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430F1">
      <w:pPr>
        <w:spacing w:before="156" w:beforeLines="50"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11FCD444">
      <w:pPr>
        <w:spacing w:before="156" w:beforeLines="50" w:line="360" w:lineRule="auto"/>
        <w:jc w:val="center"/>
        <w:rPr>
          <w:rFonts w:hint="eastAsia" w:ascii="宋体" w:hAnsi="宋体" w:cs="宋体"/>
          <w:color w:val="auto"/>
          <w:sz w:val="36"/>
          <w:szCs w:val="36"/>
          <w:highlight w:val="none"/>
        </w:rPr>
      </w:pPr>
    </w:p>
    <w:p w14:paraId="38205E04">
      <w:pPr>
        <w:spacing w:before="156" w:beforeLines="50" w:line="360" w:lineRule="auto"/>
        <w:jc w:val="center"/>
        <w:rPr>
          <w:rFonts w:hint="eastAsia" w:ascii="宋体" w:hAnsi="宋体" w:cs="宋体"/>
          <w:color w:val="auto"/>
          <w:sz w:val="36"/>
          <w:szCs w:val="36"/>
          <w:highlight w:val="none"/>
        </w:rPr>
      </w:pPr>
    </w:p>
    <w:p w14:paraId="1531498F">
      <w:pPr>
        <w:snapToGrid w:val="0"/>
        <w:spacing w:before="156" w:beforeLines="50" w:line="360" w:lineRule="auto"/>
        <w:jc w:val="center"/>
        <w:outlineLvl w:val="9"/>
        <w:rPr>
          <w:rFonts w:hint="eastAsia" w:ascii="宋体" w:hAnsi="宋体" w:cs="宋体"/>
          <w:color w:val="auto"/>
          <w:sz w:val="72"/>
          <w:szCs w:val="72"/>
          <w:highlight w:val="none"/>
        </w:rPr>
      </w:pPr>
      <w:bookmarkStart w:id="0" w:name="_Toc32686"/>
      <w:bookmarkStart w:id="1" w:name="_Toc15469"/>
      <w:bookmarkStart w:id="2" w:name="_Toc4308"/>
      <w:r>
        <w:rPr>
          <w:rFonts w:hint="eastAsia" w:ascii="宋体" w:hAnsi="宋体" w:cs="宋体"/>
          <w:color w:val="auto"/>
          <w:sz w:val="72"/>
          <w:szCs w:val="72"/>
          <w:highlight w:val="none"/>
        </w:rPr>
        <w:t>竞争性磋商文件</w:t>
      </w:r>
      <w:bookmarkEnd w:id="0"/>
      <w:bookmarkEnd w:id="1"/>
      <w:bookmarkEnd w:id="2"/>
    </w:p>
    <w:p w14:paraId="6FE465F2">
      <w:pPr>
        <w:snapToGrid w:val="0"/>
        <w:spacing w:before="156" w:beforeLines="50" w:line="360" w:lineRule="auto"/>
        <w:jc w:val="center"/>
        <w:outlineLvl w:val="9"/>
        <w:rPr>
          <w:rFonts w:hint="eastAsia" w:ascii="宋体" w:hAnsi="宋体" w:cs="宋体"/>
          <w:color w:val="auto"/>
          <w:sz w:val="44"/>
          <w:szCs w:val="44"/>
          <w:highlight w:val="none"/>
        </w:rPr>
      </w:pPr>
      <w:r>
        <w:rPr>
          <w:rFonts w:hint="eastAsia" w:ascii="宋体" w:hAnsi="宋体" w:cs="宋体"/>
          <w:color w:val="auto"/>
          <w:sz w:val="52"/>
          <w:szCs w:val="52"/>
          <w:highlight w:val="none"/>
        </w:rPr>
        <w:t>（工程类）</w:t>
      </w:r>
    </w:p>
    <w:p w14:paraId="1D1776D6">
      <w:pPr>
        <w:spacing w:before="312" w:beforeLines="100" w:after="156" w:afterLines="50" w:line="360" w:lineRule="auto"/>
        <w:jc w:val="center"/>
        <w:outlineLvl w:val="9"/>
        <w:rPr>
          <w:rFonts w:hint="eastAsia" w:ascii="宋体" w:hAnsi="宋体" w:cs="宋体"/>
          <w:b/>
          <w:color w:val="auto"/>
          <w:sz w:val="44"/>
          <w:szCs w:val="44"/>
          <w:highlight w:val="none"/>
        </w:rPr>
      </w:pPr>
      <w:bookmarkStart w:id="3" w:name="_Toc15782"/>
      <w:bookmarkStart w:id="4" w:name="_Toc9035"/>
      <w:bookmarkStart w:id="5" w:name="_Toc29180"/>
      <w:r>
        <w:rPr>
          <w:rFonts w:hint="eastAsia" w:ascii="宋体" w:hAnsi="宋体" w:cs="宋体"/>
          <w:color w:val="auto"/>
          <w:sz w:val="28"/>
          <w:szCs w:val="28"/>
          <w:highlight w:val="none"/>
        </w:rPr>
        <w:t>（全流程电子化评标）</w:t>
      </w:r>
      <w:bookmarkEnd w:id="3"/>
      <w:bookmarkEnd w:id="4"/>
      <w:bookmarkEnd w:id="5"/>
    </w:p>
    <w:p w14:paraId="20A92747">
      <w:pPr>
        <w:spacing w:line="360" w:lineRule="auto"/>
        <w:jc w:val="center"/>
        <w:rPr>
          <w:rFonts w:hint="eastAsia" w:ascii="宋体" w:hAnsi="宋体" w:cs="宋体"/>
          <w:b/>
          <w:color w:val="auto"/>
          <w:sz w:val="32"/>
          <w:szCs w:val="32"/>
          <w:highlight w:val="none"/>
        </w:rPr>
      </w:pPr>
    </w:p>
    <w:p w14:paraId="2186167D">
      <w:pPr>
        <w:pStyle w:val="18"/>
        <w:rPr>
          <w:rFonts w:hint="eastAsia" w:ascii="宋体" w:hAnsi="宋体" w:cs="宋体"/>
          <w:b/>
          <w:color w:val="auto"/>
          <w:sz w:val="32"/>
          <w:szCs w:val="32"/>
          <w:highlight w:val="none"/>
        </w:rPr>
      </w:pPr>
    </w:p>
    <w:p w14:paraId="74A86F5B">
      <w:pPr>
        <w:pStyle w:val="40"/>
        <w:tabs>
          <w:tab w:val="right" w:leader="dot" w:pos="8296"/>
          <w:tab w:val="clear" w:pos="8610"/>
        </w:tabs>
        <w:ind w:left="0" w:leftChars="0" w:firstLine="0" w:firstLineChars="0"/>
        <w:rPr>
          <w:rFonts w:hint="eastAsia"/>
          <w:color w:val="auto"/>
          <w:highlight w:val="none"/>
        </w:rPr>
      </w:pPr>
    </w:p>
    <w:p w14:paraId="61CD793E">
      <w:pPr>
        <w:spacing w:line="360" w:lineRule="auto"/>
        <w:ind w:left="1058" w:leftChars="504" w:firstLine="0" w:firstLineChars="0"/>
        <w:outlineLvl w:val="9"/>
        <w:rPr>
          <w:rFonts w:hint="eastAsia" w:ascii="宋体" w:hAnsi="宋体" w:cs="宋体"/>
          <w:b/>
          <w:color w:val="auto"/>
          <w:sz w:val="32"/>
          <w:szCs w:val="32"/>
          <w:highlight w:val="none"/>
        </w:rPr>
      </w:pPr>
      <w:bookmarkStart w:id="6" w:name="_Toc30898"/>
      <w:bookmarkStart w:id="7" w:name="_Toc13244"/>
      <w:bookmarkStart w:id="8" w:name="_Toc5665"/>
      <w:r>
        <w:rPr>
          <w:rFonts w:hint="eastAsia" w:ascii="宋体" w:hAnsi="宋体" w:cs="宋体"/>
          <w:b/>
          <w:color w:val="auto"/>
          <w:sz w:val="32"/>
          <w:szCs w:val="32"/>
          <w:highlight w:val="none"/>
        </w:rPr>
        <w:t>项目名称：</w:t>
      </w:r>
      <w:bookmarkEnd w:id="6"/>
      <w:bookmarkEnd w:id="7"/>
      <w:bookmarkEnd w:id="8"/>
      <w:r>
        <w:rPr>
          <w:rFonts w:hint="eastAsia" w:ascii="宋体" w:hAnsi="宋体" w:cs="宋体"/>
          <w:b/>
          <w:color w:val="auto"/>
          <w:sz w:val="32"/>
          <w:szCs w:val="32"/>
          <w:highlight w:val="none"/>
          <w:lang w:eastAsia="zh-CN"/>
        </w:rPr>
        <w:t>横州市2025年公益性资产管护（修缮）项目</w:t>
      </w:r>
    </w:p>
    <w:p w14:paraId="5E2EBD06">
      <w:pPr>
        <w:spacing w:line="360" w:lineRule="auto"/>
        <w:ind w:left="1058" w:leftChars="504" w:firstLine="0" w:firstLineChars="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NNZC2025-C2-270211-HCZX</w:t>
      </w:r>
    </w:p>
    <w:p w14:paraId="5713EB0A">
      <w:pPr>
        <w:spacing w:line="360" w:lineRule="auto"/>
        <w:ind w:left="1058" w:leftChars="504" w:firstLine="0" w:firstLineChars="0"/>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rPr>
        <w:t>项目所属区划：横州市</w:t>
      </w:r>
    </w:p>
    <w:p w14:paraId="73191186">
      <w:pPr>
        <w:spacing w:line="360" w:lineRule="auto"/>
        <w:ind w:left="1058" w:leftChars="504" w:firstLine="0" w:firstLineChars="0"/>
        <w:jc w:val="left"/>
        <w:outlineLvl w:val="9"/>
        <w:rPr>
          <w:rFonts w:hint="eastAsia" w:ascii="宋体" w:hAnsi="宋体" w:eastAsia="宋体" w:cs="宋体"/>
          <w:b/>
          <w:color w:val="auto"/>
          <w:sz w:val="32"/>
          <w:szCs w:val="32"/>
          <w:highlight w:val="none"/>
          <w:lang w:eastAsia="zh-CN"/>
        </w:rPr>
      </w:pPr>
      <w:bookmarkStart w:id="9" w:name="_Toc12995"/>
      <w:bookmarkStart w:id="10" w:name="_Toc28574"/>
      <w:bookmarkStart w:id="11" w:name="_Toc24889"/>
      <w:r>
        <w:rPr>
          <w:rFonts w:hint="eastAsia" w:ascii="宋体" w:hAnsi="宋体" w:cs="宋体"/>
          <w:b/>
          <w:color w:val="auto"/>
          <w:sz w:val="32"/>
          <w:szCs w:val="32"/>
          <w:highlight w:val="none"/>
        </w:rPr>
        <w:t>采   购   人：</w:t>
      </w:r>
      <w:bookmarkEnd w:id="9"/>
      <w:bookmarkEnd w:id="10"/>
      <w:bookmarkEnd w:id="11"/>
      <w:r>
        <w:rPr>
          <w:rFonts w:hint="eastAsia" w:ascii="宋体" w:hAnsi="宋体" w:cs="宋体"/>
          <w:b/>
          <w:color w:val="auto"/>
          <w:sz w:val="32"/>
          <w:szCs w:val="32"/>
          <w:highlight w:val="none"/>
          <w:lang w:eastAsia="zh-CN"/>
        </w:rPr>
        <w:t>横州市乡村振兴局</w:t>
      </w:r>
    </w:p>
    <w:p w14:paraId="4C311D6C">
      <w:pPr>
        <w:spacing w:line="360" w:lineRule="auto"/>
        <w:ind w:left="1058" w:leftChars="504" w:firstLine="0" w:firstLineChars="0"/>
        <w:jc w:val="left"/>
        <w:outlineLvl w:val="9"/>
        <w:rPr>
          <w:rFonts w:hint="eastAsia" w:ascii="宋体" w:hAnsi="宋体" w:cs="宋体"/>
          <w:b w:val="0"/>
          <w:bCs/>
          <w:color w:val="auto"/>
          <w:sz w:val="32"/>
          <w:szCs w:val="32"/>
          <w:highlight w:val="none"/>
        </w:rPr>
      </w:pPr>
      <w:bookmarkStart w:id="12" w:name="_Toc32580"/>
      <w:bookmarkStart w:id="13" w:name="_Toc20"/>
      <w:bookmarkStart w:id="14" w:name="_Toc6318"/>
      <w:r>
        <w:rPr>
          <w:rFonts w:hint="eastAsia" w:ascii="宋体" w:hAnsi="宋体" w:cs="宋体"/>
          <w:b/>
          <w:color w:val="auto"/>
          <w:sz w:val="32"/>
          <w:szCs w:val="32"/>
          <w:highlight w:val="none"/>
        </w:rPr>
        <w:t>采购代理机构：</w:t>
      </w:r>
      <w:bookmarkEnd w:id="12"/>
      <w:bookmarkEnd w:id="13"/>
      <w:bookmarkEnd w:id="14"/>
      <w:r>
        <w:rPr>
          <w:rFonts w:hint="eastAsia" w:ascii="宋体" w:hAnsi="宋体" w:cs="宋体"/>
          <w:b/>
          <w:color w:val="auto"/>
          <w:sz w:val="32"/>
          <w:szCs w:val="32"/>
          <w:highlight w:val="none"/>
          <w:lang w:eastAsia="zh-CN"/>
        </w:rPr>
        <w:t>广西汉昌工程咨询有限公司</w:t>
      </w:r>
      <w:bookmarkStart w:id="654" w:name="_GoBack"/>
      <w:bookmarkEnd w:id="654"/>
      <w:r>
        <w:rPr>
          <w:rFonts w:hint="eastAsia" w:ascii="宋体" w:hAnsi="宋体" w:cs="宋体"/>
          <w:b/>
          <w:color w:val="auto"/>
          <w:sz w:val="32"/>
          <w:szCs w:val="32"/>
          <w:highlight w:val="none"/>
        </w:rPr>
        <w:t xml:space="preserve"> </w:t>
      </w:r>
    </w:p>
    <w:p w14:paraId="6DA8EFF5">
      <w:pPr>
        <w:spacing w:line="360" w:lineRule="auto"/>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eastAsia="zh-CN"/>
        </w:rPr>
        <w:t>2025年</w:t>
      </w:r>
      <w:r>
        <w:rPr>
          <w:rFonts w:hint="eastAsia" w:ascii="宋体" w:hAnsi="宋体" w:cs="宋体"/>
          <w:b/>
          <w:color w:val="auto"/>
          <w:sz w:val="32"/>
          <w:szCs w:val="32"/>
          <w:highlight w:val="none"/>
          <w:lang w:val="en-US" w:eastAsia="zh-CN"/>
        </w:rPr>
        <w:t>11</w:t>
      </w:r>
      <w:r>
        <w:rPr>
          <w:rFonts w:hint="eastAsia" w:ascii="宋体" w:hAnsi="宋体" w:cs="宋体"/>
          <w:b/>
          <w:color w:val="auto"/>
          <w:sz w:val="32"/>
          <w:szCs w:val="32"/>
          <w:highlight w:val="none"/>
          <w:lang w:eastAsia="zh-CN"/>
        </w:rPr>
        <w:t>月</w:t>
      </w:r>
      <w:r>
        <w:rPr>
          <w:rFonts w:hint="eastAsia" w:ascii="宋体" w:hAnsi="宋体" w:cs="宋体"/>
          <w:b/>
          <w:color w:val="auto"/>
          <w:sz w:val="32"/>
          <w:szCs w:val="32"/>
          <w:highlight w:val="none"/>
          <w:lang w:val="en-US" w:eastAsia="zh-CN"/>
        </w:rPr>
        <w:t>6日</w:t>
      </w:r>
    </w:p>
    <w:p w14:paraId="5DF51B3F">
      <w:pPr>
        <w:rPr>
          <w:color w:val="auto"/>
          <w:highlight w:val="none"/>
        </w:rPr>
        <w:sectPr>
          <w:footerReference r:id="rId7" w:type="first"/>
          <w:headerReference r:id="rId3" w:type="default"/>
          <w:footerReference r:id="rId5" w:type="default"/>
          <w:headerReference r:id="rId4" w:type="even"/>
          <w:footerReference r:id="rId6" w:type="even"/>
          <w:pgSz w:w="11906" w:h="16838"/>
          <w:pgMar w:top="1440" w:right="1080" w:bottom="1440" w:left="1080" w:header="851" w:footer="992" w:gutter="0"/>
          <w:pgNumType w:start="0"/>
          <w:cols w:space="720" w:num="1"/>
          <w:titlePg/>
          <w:docGrid w:type="lines" w:linePitch="312" w:charSpace="0"/>
        </w:sectPr>
      </w:pPr>
    </w:p>
    <w:p w14:paraId="465CCC77">
      <w:pPr>
        <w:pStyle w:val="33"/>
        <w:tabs>
          <w:tab w:val="right" w:leader="dot" w:pos="9746"/>
          <w:tab w:val="clear" w:pos="5880"/>
        </w:tabs>
        <w:jc w:val="center"/>
        <w:rPr>
          <w:rFonts w:hint="eastAsia" w:ascii="宋体" w:hAnsi="宋体" w:cs="宋体"/>
          <w:b/>
          <w:color w:val="auto"/>
          <w:sz w:val="24"/>
          <w:highlight w:val="none"/>
        </w:rPr>
      </w:pPr>
      <w:r>
        <w:rPr>
          <w:rFonts w:hint="eastAsia" w:ascii="宋体" w:hAnsi="宋体" w:cs="宋体"/>
          <w:b/>
          <w:color w:val="auto"/>
          <w:sz w:val="32"/>
          <w:szCs w:val="32"/>
          <w:highlight w:val="none"/>
          <w:lang w:val="en-US" w:eastAsia="zh-CN"/>
        </w:rPr>
        <w:t>目 录</w:t>
      </w:r>
    </w:p>
    <w:p w14:paraId="1AC3E18B">
      <w:pPr>
        <w:spacing w:before="0" w:beforeLines="0" w:after="0" w:afterLines="0" w:line="240" w:lineRule="auto"/>
        <w:ind w:left="0" w:leftChars="0" w:right="0" w:rightChars="0" w:firstLine="0" w:firstLineChars="0"/>
        <w:jc w:val="center"/>
        <w:rPr>
          <w:color w:val="auto"/>
          <w:highlight w:val="none"/>
        </w:rPr>
      </w:pPr>
    </w:p>
    <w:p w14:paraId="4F584EAC">
      <w:pPr>
        <w:pStyle w:val="33"/>
        <w:tabs>
          <w:tab w:val="right" w:leader="dot" w:pos="9746"/>
          <w:tab w:val="clear" w:pos="5880"/>
        </w:tabs>
        <w:rPr>
          <w:color w:val="auto"/>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"1-1" \h \u </w:instrText>
      </w:r>
      <w:r>
        <w:rPr>
          <w:rFonts w:hint="eastAsia" w:ascii="宋体" w:hAnsi="宋体" w:cs="宋体"/>
          <w:b/>
          <w:color w:val="auto"/>
          <w:sz w:val="32"/>
          <w:szCs w:val="32"/>
          <w:highlight w:val="none"/>
        </w:rPr>
        <w:fldChar w:fldCharType="separate"/>
      </w: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_Toc14068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_Toc14068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32"/>
          <w:highlight w:val="none"/>
        </w:rPr>
        <w:fldChar w:fldCharType="end"/>
      </w:r>
    </w:p>
    <w:p w14:paraId="35398401">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_Toc1373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_Toc1373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32"/>
          <w:highlight w:val="none"/>
        </w:rPr>
        <w:fldChar w:fldCharType="end"/>
      </w:r>
    </w:p>
    <w:p w14:paraId="48B7D545">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_Toc13284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_Toc13284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szCs w:val="32"/>
          <w:highlight w:val="none"/>
        </w:rPr>
        <w:fldChar w:fldCharType="end"/>
      </w:r>
    </w:p>
    <w:p w14:paraId="4BC33993">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_Toc14006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_Toc14006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szCs w:val="32"/>
          <w:highlight w:val="none"/>
        </w:rPr>
        <w:fldChar w:fldCharType="end"/>
      </w:r>
    </w:p>
    <w:p w14:paraId="3667775A">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_Toc12286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_Toc12286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szCs w:val="32"/>
          <w:highlight w:val="none"/>
        </w:rPr>
        <w:fldChar w:fldCharType="end"/>
      </w:r>
    </w:p>
    <w:p w14:paraId="4A06BAC4">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_Toc30751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_Toc30751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szCs w:val="32"/>
          <w:highlight w:val="none"/>
        </w:rPr>
        <w:fldChar w:fldCharType="end"/>
      </w:r>
    </w:p>
    <w:p w14:paraId="2D4BBE63">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_Toc6206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第七章 工程量清单（另册）</w:t>
      </w:r>
      <w:r>
        <w:rPr>
          <w:color w:val="auto"/>
          <w:highlight w:val="none"/>
        </w:rPr>
        <w:tab/>
      </w:r>
      <w:r>
        <w:rPr>
          <w:color w:val="auto"/>
          <w:highlight w:val="none"/>
        </w:rPr>
        <w:fldChar w:fldCharType="begin"/>
      </w:r>
      <w:r>
        <w:rPr>
          <w:color w:val="auto"/>
          <w:highlight w:val="none"/>
        </w:rPr>
        <w:instrText xml:space="preserve"> PAGEREF _Toc6206 \h </w:instrText>
      </w:r>
      <w:r>
        <w:rPr>
          <w:color w:val="auto"/>
          <w:highlight w:val="none"/>
        </w:rPr>
        <w:fldChar w:fldCharType="separate"/>
      </w:r>
      <w:r>
        <w:rPr>
          <w:color w:val="auto"/>
          <w:highlight w:val="none"/>
        </w:rPr>
        <w:t>135</w:t>
      </w:r>
      <w:r>
        <w:rPr>
          <w:color w:val="auto"/>
          <w:highlight w:val="none"/>
        </w:rPr>
        <w:fldChar w:fldCharType="end"/>
      </w:r>
      <w:r>
        <w:rPr>
          <w:rFonts w:hint="eastAsia" w:ascii="宋体" w:hAnsi="宋体" w:cs="宋体"/>
          <w:color w:val="auto"/>
          <w:szCs w:val="32"/>
          <w:highlight w:val="none"/>
        </w:rPr>
        <w:fldChar w:fldCharType="end"/>
      </w:r>
    </w:p>
    <w:p w14:paraId="3C4C2D87">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_Toc20749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第八章 图纸（另册）</w:t>
      </w:r>
      <w:r>
        <w:rPr>
          <w:color w:val="auto"/>
          <w:highlight w:val="none"/>
        </w:rPr>
        <w:tab/>
      </w:r>
      <w:r>
        <w:rPr>
          <w:color w:val="auto"/>
          <w:highlight w:val="none"/>
        </w:rPr>
        <w:fldChar w:fldCharType="begin"/>
      </w:r>
      <w:r>
        <w:rPr>
          <w:color w:val="auto"/>
          <w:highlight w:val="none"/>
        </w:rPr>
        <w:instrText xml:space="preserve"> PAGEREF _Toc20749 \h </w:instrText>
      </w:r>
      <w:r>
        <w:rPr>
          <w:color w:val="auto"/>
          <w:highlight w:val="none"/>
        </w:rPr>
        <w:fldChar w:fldCharType="separate"/>
      </w:r>
      <w:r>
        <w:rPr>
          <w:color w:val="auto"/>
          <w:highlight w:val="none"/>
        </w:rPr>
        <w:t>136</w:t>
      </w:r>
      <w:r>
        <w:rPr>
          <w:color w:val="auto"/>
          <w:highlight w:val="none"/>
        </w:rPr>
        <w:fldChar w:fldCharType="end"/>
      </w:r>
      <w:r>
        <w:rPr>
          <w:rFonts w:hint="eastAsia" w:ascii="宋体" w:hAnsi="宋体" w:cs="宋体"/>
          <w:color w:val="auto"/>
          <w:szCs w:val="32"/>
          <w:highlight w:val="none"/>
        </w:rPr>
        <w:fldChar w:fldCharType="end"/>
      </w:r>
    </w:p>
    <w:p w14:paraId="10254DC1">
      <w:pPr>
        <w:pStyle w:val="33"/>
        <w:tabs>
          <w:tab w:val="right" w:leader="dot" w:pos="9746"/>
          <w:tab w:val="clear" w:pos="5880"/>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_Toc4874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第九章 质疑、投诉材料格式</w:t>
      </w:r>
      <w:r>
        <w:rPr>
          <w:color w:val="auto"/>
          <w:highlight w:val="none"/>
        </w:rPr>
        <w:tab/>
      </w:r>
      <w:r>
        <w:rPr>
          <w:color w:val="auto"/>
          <w:highlight w:val="none"/>
        </w:rPr>
        <w:fldChar w:fldCharType="begin"/>
      </w:r>
      <w:r>
        <w:rPr>
          <w:color w:val="auto"/>
          <w:highlight w:val="none"/>
        </w:rPr>
        <w:instrText xml:space="preserve"> PAGEREF _Toc4874 \h </w:instrText>
      </w:r>
      <w:r>
        <w:rPr>
          <w:color w:val="auto"/>
          <w:highlight w:val="none"/>
        </w:rPr>
        <w:fldChar w:fldCharType="separate"/>
      </w:r>
      <w:r>
        <w:rPr>
          <w:color w:val="auto"/>
          <w:highlight w:val="none"/>
        </w:rPr>
        <w:t>137</w:t>
      </w:r>
      <w:r>
        <w:rPr>
          <w:color w:val="auto"/>
          <w:highlight w:val="none"/>
        </w:rPr>
        <w:fldChar w:fldCharType="end"/>
      </w:r>
      <w:r>
        <w:rPr>
          <w:rFonts w:hint="eastAsia" w:ascii="宋体" w:hAnsi="宋体" w:cs="宋体"/>
          <w:color w:val="auto"/>
          <w:szCs w:val="32"/>
          <w:highlight w:val="none"/>
        </w:rPr>
        <w:fldChar w:fldCharType="end"/>
      </w:r>
    </w:p>
    <w:p w14:paraId="0A072445">
      <w:pPr>
        <w:keepNext w:val="0"/>
        <w:keepLines w:val="0"/>
        <w:pageBreakBefore w:val="0"/>
        <w:widowControl w:val="0"/>
        <w:tabs>
          <w:tab w:val="right" w:leader="dot" w:pos="9030"/>
        </w:tabs>
        <w:kinsoku/>
        <w:wordWrap/>
        <w:overflowPunct/>
        <w:topLinePunct w:val="0"/>
        <w:autoSpaceDE/>
        <w:autoSpaceDN/>
        <w:bidi w:val="0"/>
        <w:adjustRightInd/>
        <w:snapToGrid/>
        <w:spacing w:line="360" w:lineRule="auto"/>
        <w:textAlignment w:val="auto"/>
        <w:rPr>
          <w:rFonts w:hint="eastAsia" w:ascii="宋体" w:hAnsi="宋体" w:cs="宋体"/>
          <w:color w:val="auto"/>
          <w:szCs w:val="32"/>
          <w:highlight w:val="none"/>
        </w:rPr>
      </w:pPr>
      <w:r>
        <w:rPr>
          <w:rFonts w:hint="eastAsia" w:ascii="宋体" w:hAnsi="宋体" w:cs="宋体"/>
          <w:color w:val="auto"/>
          <w:szCs w:val="32"/>
          <w:highlight w:val="none"/>
        </w:rPr>
        <w:fldChar w:fldCharType="end"/>
      </w:r>
    </w:p>
    <w:p w14:paraId="32142F30">
      <w:pPr>
        <w:spacing w:line="360" w:lineRule="auto"/>
        <w:rPr>
          <w:rFonts w:hint="eastAsia" w:ascii="宋体" w:hAnsi="宋体" w:cs="宋体"/>
          <w:color w:val="auto"/>
          <w:szCs w:val="32"/>
          <w:highlight w:val="none"/>
        </w:rPr>
        <w:sectPr>
          <w:pgSz w:w="11906" w:h="16838"/>
          <w:pgMar w:top="1440" w:right="1080" w:bottom="1440" w:left="1080" w:header="851" w:footer="992" w:gutter="0"/>
          <w:pgNumType w:start="0"/>
          <w:cols w:space="720" w:num="1"/>
          <w:titlePg/>
          <w:docGrid w:type="lines" w:linePitch="312" w:charSpace="0"/>
        </w:sectPr>
      </w:pPr>
    </w:p>
    <w:p w14:paraId="355FF229">
      <w:pPr>
        <w:pStyle w:val="2"/>
        <w:spacing w:line="360" w:lineRule="auto"/>
        <w:jc w:val="center"/>
        <w:rPr>
          <w:rFonts w:hint="eastAsia" w:ascii="宋体" w:hAnsi="宋体" w:cs="宋体"/>
          <w:color w:val="auto"/>
          <w:highlight w:val="none"/>
        </w:rPr>
      </w:pPr>
      <w:bookmarkStart w:id="15" w:name="_Toc12032"/>
      <w:bookmarkStart w:id="16" w:name="_Toc23020"/>
      <w:bookmarkStart w:id="17" w:name="_Toc21181"/>
      <w:bookmarkStart w:id="18" w:name="_Toc3180"/>
      <w:bookmarkStart w:id="19" w:name="_Toc23802"/>
      <w:bookmarkStart w:id="20" w:name="_Toc2884"/>
      <w:bookmarkStart w:id="21" w:name="_Toc10822"/>
      <w:bookmarkStart w:id="22" w:name="_Toc17896"/>
      <w:bookmarkStart w:id="23" w:name="_Toc14068"/>
      <w:r>
        <w:rPr>
          <w:rFonts w:hint="eastAsia" w:ascii="宋体" w:hAnsi="宋体" w:cs="宋体"/>
          <w:color w:val="auto"/>
          <w:highlight w:val="none"/>
        </w:rPr>
        <w:t>第一章 竞争性磋商公告</w:t>
      </w:r>
      <w:bookmarkEnd w:id="15"/>
      <w:bookmarkEnd w:id="16"/>
      <w:bookmarkEnd w:id="17"/>
      <w:bookmarkEnd w:id="18"/>
      <w:bookmarkEnd w:id="19"/>
      <w:bookmarkEnd w:id="20"/>
      <w:bookmarkEnd w:id="21"/>
      <w:bookmarkEnd w:id="22"/>
      <w:bookmarkEnd w:id="23"/>
      <w:bookmarkStart w:id="24" w:name="_Toc28359012"/>
      <w:bookmarkStart w:id="25" w:name="_Toc28359089"/>
      <w:bookmarkStart w:id="26" w:name="_Toc35393623"/>
      <w:bookmarkStart w:id="27" w:name="_Toc28359004"/>
      <w:bookmarkStart w:id="28" w:name="_Toc44229878"/>
      <w:bookmarkStart w:id="29" w:name="_Toc35393792"/>
      <w:bookmarkStart w:id="30" w:name="_Toc28359081"/>
      <w:bookmarkStart w:id="31" w:name="_Toc35393798"/>
      <w:bookmarkStart w:id="32" w:name="_Toc35393629"/>
    </w:p>
    <w:bookmarkEnd w:id="24"/>
    <w:bookmarkEnd w:id="25"/>
    <w:bookmarkEnd w:id="26"/>
    <w:bookmarkEnd w:id="27"/>
    <w:bookmarkEnd w:id="28"/>
    <w:bookmarkEnd w:id="29"/>
    <w:bookmarkEnd w:id="30"/>
    <w:bookmarkEnd w:id="31"/>
    <w:bookmarkEnd w:id="32"/>
    <w:p w14:paraId="3B5BCFD1">
      <w:pPr>
        <w:spacing w:line="360" w:lineRule="auto"/>
        <w:jc w:val="center"/>
        <w:outlineLvl w:val="9"/>
        <w:rPr>
          <w:rFonts w:ascii="宋体" w:hAnsi="宋体" w:eastAsia="宋体"/>
          <w:color w:val="auto"/>
          <w:szCs w:val="21"/>
          <w:highlight w:val="none"/>
        </w:rPr>
      </w:pPr>
      <w:r>
        <w:rPr>
          <w:rFonts w:hint="eastAsia" w:ascii="宋体" w:hAnsi="宋体" w:eastAsia="宋体"/>
          <w:b/>
          <w:bCs/>
          <w:color w:val="auto"/>
          <w:sz w:val="32"/>
          <w:szCs w:val="32"/>
          <w:highlight w:val="none"/>
        </w:rPr>
        <w:t>竞争性磋商公告</w:t>
      </w:r>
    </w:p>
    <w:p w14:paraId="102E4ED0">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380" w:lineRule="exact"/>
        <w:ind w:firstLine="420" w:firstLineChars="200"/>
        <w:textAlignment w:val="auto"/>
        <w:rPr>
          <w:rFonts w:ascii="宋体" w:hAnsi="宋体" w:eastAsia="宋体"/>
          <w:color w:val="auto"/>
          <w:szCs w:val="21"/>
          <w:highlight w:val="none"/>
        </w:rPr>
      </w:pPr>
      <w:bookmarkStart w:id="33" w:name="_Hlk37430271"/>
      <w:r>
        <w:rPr>
          <w:rFonts w:hint="eastAsia" w:ascii="宋体" w:hAnsi="宋体" w:eastAsia="宋体"/>
          <w:color w:val="auto"/>
          <w:szCs w:val="21"/>
          <w:highlight w:val="none"/>
        </w:rPr>
        <w:t>项目概况</w:t>
      </w:r>
    </w:p>
    <w:p w14:paraId="57AB43D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u w:val="single"/>
          <w:lang w:eastAsia="zh-CN"/>
        </w:rPr>
        <w:t>横州市2025年公益性资产管护（修缮）项目</w:t>
      </w:r>
      <w:r>
        <w:rPr>
          <w:rFonts w:hint="eastAsia" w:ascii="宋体" w:hAnsi="宋体" w:eastAsia="宋体"/>
          <w:color w:val="auto"/>
          <w:szCs w:val="21"/>
          <w:highlight w:val="none"/>
        </w:rPr>
        <w:t>的潜在供应商应在广西政府采购云平台（https</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//www.gcy.zfcg.gxzf.gov.cn/）获取采购文件，并</w:t>
      </w:r>
      <w:r>
        <w:rPr>
          <w:rFonts w:hint="eastAsia" w:ascii="宋体" w:hAnsi="宋体" w:eastAsia="宋体"/>
          <w:color w:val="auto"/>
          <w:szCs w:val="21"/>
          <w:highlight w:val="none"/>
          <w:u w:val="none"/>
        </w:rPr>
        <w:t>于</w:t>
      </w:r>
      <w:r>
        <w:rPr>
          <w:rFonts w:hint="eastAsia" w:ascii="宋体" w:hAnsi="宋体" w:eastAsia="宋体"/>
          <w:color w:val="auto"/>
          <w:szCs w:val="21"/>
          <w:highlight w:val="none"/>
          <w:u w:val="none"/>
          <w:lang w:eastAsia="zh-CN"/>
        </w:rPr>
        <w:t>2025年</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lang w:eastAsia="zh-CN"/>
        </w:rPr>
        <w:t>月</w:t>
      </w:r>
      <w:r>
        <w:rPr>
          <w:rFonts w:hint="eastAsia" w:ascii="宋体" w:hAnsi="宋体"/>
          <w:color w:val="auto"/>
          <w:szCs w:val="21"/>
          <w:highlight w:val="none"/>
          <w:u w:val="none"/>
          <w:lang w:val="en-US" w:eastAsia="zh-CN"/>
        </w:rPr>
        <w:t>17</w:t>
      </w:r>
      <w:r>
        <w:rPr>
          <w:rFonts w:hint="eastAsia" w:ascii="宋体" w:hAnsi="宋体" w:eastAsia="宋体"/>
          <w:color w:val="auto"/>
          <w:szCs w:val="21"/>
          <w:highlight w:val="none"/>
          <w:u w:val="none"/>
          <w:lang w:eastAsia="zh-CN"/>
        </w:rPr>
        <w:t>日</w:t>
      </w:r>
      <w:r>
        <w:rPr>
          <w:rFonts w:hint="eastAsia" w:ascii="宋体" w:hAnsi="宋体" w:eastAsia="宋体"/>
          <w:color w:val="auto"/>
          <w:szCs w:val="21"/>
          <w:highlight w:val="none"/>
          <w:u w:val="none"/>
          <w:lang w:val="en-US" w:eastAsia="zh-CN"/>
        </w:rPr>
        <w:t>15</w:t>
      </w:r>
      <w:r>
        <w:rPr>
          <w:rFonts w:hint="eastAsia" w:ascii="宋体" w:hAnsi="宋体" w:eastAsia="宋体"/>
          <w:color w:val="auto"/>
          <w:szCs w:val="21"/>
          <w:highlight w:val="none"/>
          <w:u w:val="none"/>
          <w:lang w:eastAsia="zh-CN"/>
        </w:rPr>
        <w:t>时</w:t>
      </w:r>
      <w:r>
        <w:rPr>
          <w:rFonts w:hint="eastAsia" w:ascii="宋体" w:hAnsi="宋体" w:eastAsia="宋体"/>
          <w:color w:val="auto"/>
          <w:szCs w:val="21"/>
          <w:highlight w:val="none"/>
          <w:u w:val="none"/>
          <w:lang w:val="en-US" w:eastAsia="zh-CN"/>
        </w:rPr>
        <w:t>0</w:t>
      </w:r>
      <w:r>
        <w:rPr>
          <w:rFonts w:hint="eastAsia" w:ascii="宋体" w:hAnsi="宋体" w:eastAsia="宋体"/>
          <w:color w:val="auto"/>
          <w:szCs w:val="21"/>
          <w:highlight w:val="none"/>
          <w:u w:val="none"/>
          <w:lang w:eastAsia="zh-CN"/>
        </w:rPr>
        <w:t>0分</w:t>
      </w:r>
      <w:r>
        <w:rPr>
          <w:rFonts w:hint="eastAsia" w:ascii="宋体" w:hAnsi="宋体" w:eastAsia="宋体"/>
          <w:bCs/>
          <w:color w:val="auto"/>
          <w:szCs w:val="21"/>
          <w:highlight w:val="none"/>
        </w:rPr>
        <w:t>（北京时间）前提交（上传）</w:t>
      </w:r>
      <w:r>
        <w:rPr>
          <w:rFonts w:hint="eastAsia" w:ascii="宋体" w:hAnsi="宋体" w:eastAsia="宋体"/>
          <w:color w:val="auto"/>
          <w:szCs w:val="21"/>
          <w:highlight w:val="none"/>
        </w:rPr>
        <w:t>响应</w:t>
      </w:r>
      <w:r>
        <w:rPr>
          <w:rFonts w:hint="eastAsia" w:ascii="宋体" w:hAnsi="宋体" w:eastAsia="宋体"/>
          <w:bCs/>
          <w:color w:val="auto"/>
          <w:szCs w:val="21"/>
          <w:highlight w:val="none"/>
        </w:rPr>
        <w:t>文件</w:t>
      </w:r>
      <w:r>
        <w:rPr>
          <w:rFonts w:hint="eastAsia" w:ascii="宋体" w:hAnsi="宋体" w:eastAsia="宋体"/>
          <w:color w:val="auto"/>
          <w:szCs w:val="21"/>
          <w:highlight w:val="none"/>
        </w:rPr>
        <w:t>。</w:t>
      </w:r>
    </w:p>
    <w:p w14:paraId="1DB16AF0">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hint="eastAsia" w:ascii="宋体" w:hAnsi="宋体" w:eastAsia="宋体"/>
          <w:color w:val="auto"/>
          <w:szCs w:val="21"/>
          <w:highlight w:val="none"/>
        </w:rPr>
      </w:pPr>
      <w:bookmarkStart w:id="34" w:name="_Toc71365905"/>
      <w:r>
        <w:rPr>
          <w:rFonts w:hint="eastAsia" w:ascii="宋体" w:hAnsi="宋体" w:eastAsia="宋体"/>
          <w:b/>
          <w:color w:val="auto"/>
          <w:sz w:val="24"/>
          <w:highlight w:val="none"/>
        </w:rPr>
        <w:t>一、项目基本情况</w:t>
      </w:r>
      <w:bookmarkEnd w:id="34"/>
    </w:p>
    <w:p w14:paraId="14D581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color w:val="auto"/>
          <w:kern w:val="0"/>
          <w:szCs w:val="21"/>
          <w:highlight w:val="none"/>
          <w:lang w:eastAsia="zh-CN"/>
        </w:rPr>
      </w:pPr>
      <w:r>
        <w:rPr>
          <w:color w:val="auto"/>
          <w:kern w:val="0"/>
          <w:szCs w:val="21"/>
          <w:highlight w:val="none"/>
        </w:rPr>
        <w:t>项目编号：</w:t>
      </w:r>
      <w:r>
        <w:rPr>
          <w:rFonts w:hint="eastAsia" w:ascii="宋体" w:hAnsi="宋体"/>
          <w:color w:val="auto"/>
          <w:szCs w:val="21"/>
          <w:highlight w:val="none"/>
          <w:lang w:eastAsia="zh-CN"/>
        </w:rPr>
        <w:t>NNZC2025-C2-270211-HCZX</w:t>
      </w:r>
    </w:p>
    <w:p w14:paraId="6CD925C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横州市2025年公益性资产管护（修缮）项目</w:t>
      </w:r>
    </w:p>
    <w:p w14:paraId="18097A2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color w:val="auto"/>
          <w:kern w:val="0"/>
          <w:szCs w:val="21"/>
          <w:highlight w:val="none"/>
        </w:rPr>
      </w:pPr>
      <w:r>
        <w:rPr>
          <w:rFonts w:hint="eastAsia"/>
          <w:color w:val="auto"/>
          <w:kern w:val="0"/>
          <w:szCs w:val="21"/>
          <w:highlight w:val="none"/>
        </w:rPr>
        <w:t xml:space="preserve">采购方式：竞争性磋商 </w:t>
      </w:r>
    </w:p>
    <w:p w14:paraId="511BF7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1229524.60</w:t>
      </w:r>
    </w:p>
    <w:p w14:paraId="136525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4895DA59">
      <w:pPr>
        <w:keepNext w:val="0"/>
        <w:keepLines w:val="0"/>
        <w:pageBreakBefore w:val="0"/>
        <w:widowControl w:val="0"/>
        <w:kinsoku/>
        <w:wordWrap/>
        <w:overflowPunct/>
        <w:topLinePunct w:val="0"/>
        <w:autoSpaceDE/>
        <w:autoSpaceDN/>
        <w:bidi w:val="0"/>
        <w:adjustRightInd/>
        <w:snapToGrid/>
        <w:spacing w:line="360" w:lineRule="exact"/>
        <w:ind w:firstLine="738" w:firstLineChars="350"/>
        <w:jc w:val="left"/>
        <w:textAlignment w:val="auto"/>
        <w:rPr>
          <w:rFonts w:hint="default" w:eastAsia="宋体"/>
          <w:color w:val="auto"/>
          <w:kern w:val="0"/>
          <w:szCs w:val="21"/>
          <w:highlight w:val="none"/>
          <w:lang w:val="en-US" w:eastAsia="zh-CN"/>
        </w:rPr>
      </w:pPr>
      <w:r>
        <w:rPr>
          <w:rFonts w:hint="eastAsia"/>
          <w:b/>
          <w:bCs/>
          <w:color w:val="auto"/>
          <w:kern w:val="0"/>
          <w:szCs w:val="21"/>
          <w:highlight w:val="none"/>
          <w:lang w:val="en-US" w:eastAsia="zh-CN"/>
        </w:rPr>
        <w:t>标项一</w:t>
      </w:r>
    </w:p>
    <w:p w14:paraId="09154DB2">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标项名称：</w:t>
      </w:r>
      <w:r>
        <w:rPr>
          <w:rFonts w:hint="eastAsia"/>
          <w:color w:val="auto"/>
          <w:kern w:val="0"/>
          <w:szCs w:val="21"/>
          <w:highlight w:val="none"/>
          <w:lang w:eastAsia="zh-CN"/>
        </w:rPr>
        <w:t>横州市2025年公益性资产管护（修缮）项目（</w:t>
      </w:r>
      <w:r>
        <w:rPr>
          <w:rFonts w:hint="eastAsia"/>
          <w:color w:val="auto"/>
          <w:kern w:val="0"/>
          <w:szCs w:val="21"/>
          <w:highlight w:val="none"/>
          <w:lang w:val="en-US" w:eastAsia="zh-CN"/>
        </w:rPr>
        <w:t>一标段）</w:t>
      </w:r>
    </w:p>
    <w:p w14:paraId="5638B92F">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color w:val="auto"/>
          <w:kern w:val="0"/>
          <w:szCs w:val="21"/>
          <w:highlight w:val="none"/>
        </w:rPr>
      </w:pPr>
      <w:r>
        <w:rPr>
          <w:rFonts w:hint="eastAsia"/>
          <w:color w:val="auto"/>
          <w:kern w:val="0"/>
          <w:szCs w:val="21"/>
          <w:highlight w:val="none"/>
        </w:rPr>
        <w:t>数量：1项</w:t>
      </w:r>
    </w:p>
    <w:p w14:paraId="72EAB74F">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 w:val="22"/>
          <w:szCs w:val="22"/>
          <w:highlight w:val="none"/>
          <w:lang w:val="en-US" w:eastAsia="zh-CN"/>
        </w:rPr>
        <w:t>6088</w:t>
      </w:r>
      <w:r>
        <w:rPr>
          <w:rFonts w:hint="eastAsia"/>
          <w:color w:val="auto"/>
          <w:kern w:val="0"/>
          <w:szCs w:val="21"/>
          <w:highlight w:val="none"/>
          <w:lang w:val="en-US" w:eastAsia="zh-CN"/>
        </w:rPr>
        <w:t>48.90</w:t>
      </w:r>
    </w:p>
    <w:p w14:paraId="1886216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cs="宋体"/>
          <w:color w:val="auto"/>
          <w:szCs w:val="21"/>
          <w:highlight w:val="none"/>
          <w:lang w:val="en-US" w:eastAsia="zh-CN"/>
        </w:rPr>
      </w:pPr>
      <w:r>
        <w:rPr>
          <w:rFonts w:hint="eastAsia"/>
          <w:color w:val="auto"/>
          <w:kern w:val="0"/>
          <w:szCs w:val="21"/>
          <w:highlight w:val="none"/>
        </w:rPr>
        <w:t>简要规格描述或项目基本概况介绍、用途：本工程为横州市2025年公益性资产管护（修缮）项目（一标段），位于横州市百合镇、那阳镇、南乡镇、陶圩镇、莲塘镇、马山镇、平马镇</w:t>
      </w:r>
      <w:r>
        <w:rPr>
          <w:rFonts w:hint="eastAsia"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具体详见施工图纸及工程量清单</w:t>
      </w:r>
      <w:r>
        <w:rPr>
          <w:rFonts w:hint="eastAsia" w:ascii="宋体" w:hAnsi="宋体" w:cs="宋体"/>
          <w:color w:val="auto"/>
          <w:szCs w:val="21"/>
          <w:highlight w:val="none"/>
          <w:lang w:val="en-US" w:eastAsia="zh-CN"/>
        </w:rPr>
        <w:t>。</w:t>
      </w:r>
    </w:p>
    <w:p w14:paraId="6AF61552">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最高限价（元）：</w:t>
      </w:r>
      <w:r>
        <w:rPr>
          <w:rFonts w:hint="eastAsia"/>
          <w:color w:val="auto"/>
          <w:kern w:val="0"/>
          <w:sz w:val="22"/>
          <w:szCs w:val="22"/>
          <w:highlight w:val="none"/>
          <w:lang w:val="en-US" w:eastAsia="zh-CN"/>
        </w:rPr>
        <w:t>6088</w:t>
      </w:r>
      <w:r>
        <w:rPr>
          <w:rFonts w:hint="eastAsia"/>
          <w:color w:val="auto"/>
          <w:kern w:val="0"/>
          <w:szCs w:val="21"/>
          <w:highlight w:val="none"/>
          <w:lang w:val="en-US" w:eastAsia="zh-CN"/>
        </w:rPr>
        <w:t>48.90</w:t>
      </w:r>
    </w:p>
    <w:p w14:paraId="468357DD">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合同履约期限：</w:t>
      </w:r>
      <w:r>
        <w:rPr>
          <w:rFonts w:hint="eastAsia"/>
          <w:color w:val="auto"/>
          <w:kern w:val="0"/>
          <w:szCs w:val="21"/>
          <w:highlight w:val="none"/>
          <w:lang w:val="en-US" w:eastAsia="zh-CN"/>
        </w:rPr>
        <w:t>工期要求</w:t>
      </w:r>
      <w:r>
        <w:rPr>
          <w:rFonts w:hint="eastAsia" w:ascii="宋体" w:hAnsi="宋体" w:cs="宋体"/>
          <w:color w:val="auto"/>
          <w:szCs w:val="21"/>
          <w:highlight w:val="none"/>
          <w:lang w:val="en-US" w:eastAsia="zh-CN"/>
        </w:rPr>
        <w:t>30日历天</w:t>
      </w:r>
      <w:r>
        <w:rPr>
          <w:rFonts w:hint="eastAsia" w:ascii="宋体" w:hAnsi="宋体" w:cs="宋体"/>
          <w:color w:val="auto"/>
          <w:szCs w:val="21"/>
          <w:highlight w:val="none"/>
        </w:rPr>
        <w:t>。</w:t>
      </w:r>
    </w:p>
    <w:p w14:paraId="30DCC03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4C9AA927">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r>
        <w:rPr>
          <w:rFonts w:hint="eastAsia"/>
          <w:color w:val="auto"/>
          <w:kern w:val="0"/>
          <w:szCs w:val="21"/>
          <w:highlight w:val="none"/>
        </w:rPr>
        <w:t>备注：</w:t>
      </w:r>
      <w:r>
        <w:rPr>
          <w:rFonts w:hint="eastAsia" w:ascii="宋体" w:hAnsi="宋体" w:eastAsia="宋体"/>
          <w:color w:val="auto"/>
          <w:szCs w:val="21"/>
          <w:highlight w:val="none"/>
        </w:rPr>
        <w:t>采购计划号：HZZC2025-C2-02666-002</w:t>
      </w:r>
    </w:p>
    <w:p w14:paraId="73068AE5">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p>
    <w:p w14:paraId="5BFD78D8">
      <w:pPr>
        <w:keepNext w:val="0"/>
        <w:keepLines w:val="0"/>
        <w:pageBreakBefore w:val="0"/>
        <w:widowControl w:val="0"/>
        <w:kinsoku/>
        <w:wordWrap/>
        <w:overflowPunct/>
        <w:topLinePunct w:val="0"/>
        <w:autoSpaceDE/>
        <w:autoSpaceDN/>
        <w:bidi w:val="0"/>
        <w:adjustRightInd/>
        <w:snapToGrid/>
        <w:spacing w:line="360" w:lineRule="exact"/>
        <w:ind w:firstLine="738" w:firstLineChars="350"/>
        <w:jc w:val="left"/>
        <w:textAlignment w:val="auto"/>
        <w:rPr>
          <w:rFonts w:hint="default" w:eastAsia="宋体"/>
          <w:b/>
          <w:bCs/>
          <w:color w:val="auto"/>
          <w:kern w:val="0"/>
          <w:szCs w:val="21"/>
          <w:highlight w:val="none"/>
          <w:lang w:val="en-US" w:eastAsia="zh-CN"/>
        </w:rPr>
      </w:pPr>
      <w:r>
        <w:rPr>
          <w:rFonts w:hint="eastAsia"/>
          <w:b/>
          <w:bCs/>
          <w:color w:val="auto"/>
          <w:kern w:val="0"/>
          <w:szCs w:val="21"/>
          <w:highlight w:val="none"/>
          <w:lang w:val="en-US" w:eastAsia="zh-CN"/>
        </w:rPr>
        <w:t>标项二</w:t>
      </w:r>
    </w:p>
    <w:p w14:paraId="7DE7A30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标项名称：</w:t>
      </w:r>
      <w:r>
        <w:rPr>
          <w:rFonts w:hint="eastAsia"/>
          <w:color w:val="auto"/>
          <w:kern w:val="0"/>
          <w:szCs w:val="21"/>
          <w:highlight w:val="none"/>
          <w:lang w:eastAsia="zh-CN"/>
        </w:rPr>
        <w:t>横州市2025年公益性资产管护（修缮）项目（</w:t>
      </w:r>
      <w:r>
        <w:rPr>
          <w:rFonts w:hint="eastAsia"/>
          <w:color w:val="auto"/>
          <w:kern w:val="0"/>
          <w:szCs w:val="21"/>
          <w:highlight w:val="none"/>
          <w:lang w:val="en-US" w:eastAsia="zh-CN"/>
        </w:rPr>
        <w:t>二标段）</w:t>
      </w:r>
    </w:p>
    <w:p w14:paraId="7BFE498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color w:val="auto"/>
          <w:kern w:val="0"/>
          <w:szCs w:val="21"/>
          <w:highlight w:val="none"/>
        </w:rPr>
      </w:pPr>
      <w:r>
        <w:rPr>
          <w:rFonts w:hint="eastAsia"/>
          <w:color w:val="auto"/>
          <w:kern w:val="0"/>
          <w:szCs w:val="21"/>
          <w:highlight w:val="none"/>
        </w:rPr>
        <w:t>数量：1项</w:t>
      </w:r>
    </w:p>
    <w:p w14:paraId="7EC71AB8">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620675.70</w:t>
      </w:r>
    </w:p>
    <w:p w14:paraId="0902A4D6">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cs="宋体"/>
          <w:color w:val="auto"/>
          <w:szCs w:val="21"/>
          <w:highlight w:val="none"/>
          <w:lang w:val="en-US" w:eastAsia="zh-CN"/>
        </w:rPr>
      </w:pPr>
      <w:r>
        <w:rPr>
          <w:rFonts w:hint="eastAsia"/>
          <w:color w:val="auto"/>
          <w:kern w:val="0"/>
          <w:szCs w:val="21"/>
          <w:highlight w:val="none"/>
        </w:rPr>
        <w:t>简要规格描述或项目基本概况介绍、用途：本工程为横州市2025年公益性资产管护（修缮）项目（二标段），位于横州市镇龙乡、六景镇、新福镇</w:t>
      </w:r>
      <w:r>
        <w:rPr>
          <w:rFonts w:hint="eastAsia"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具体详见施工图纸及工程量清单</w:t>
      </w:r>
      <w:r>
        <w:rPr>
          <w:rFonts w:hint="eastAsia" w:ascii="宋体" w:hAnsi="宋体" w:cs="宋体"/>
          <w:color w:val="auto"/>
          <w:szCs w:val="21"/>
          <w:highlight w:val="none"/>
          <w:lang w:val="en-US" w:eastAsia="zh-CN"/>
        </w:rPr>
        <w:t>。</w:t>
      </w:r>
    </w:p>
    <w:p w14:paraId="42B16B3A">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最高限价（元）：</w:t>
      </w:r>
      <w:r>
        <w:rPr>
          <w:rFonts w:hint="eastAsia"/>
          <w:color w:val="auto"/>
          <w:kern w:val="0"/>
          <w:szCs w:val="21"/>
          <w:highlight w:val="none"/>
          <w:lang w:val="en-US" w:eastAsia="zh-CN"/>
        </w:rPr>
        <w:t>620675.70</w:t>
      </w:r>
    </w:p>
    <w:p w14:paraId="3463754B">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合同履约期限：</w:t>
      </w:r>
      <w:r>
        <w:rPr>
          <w:rFonts w:hint="eastAsia"/>
          <w:color w:val="auto"/>
          <w:kern w:val="0"/>
          <w:szCs w:val="21"/>
          <w:highlight w:val="none"/>
          <w:lang w:val="en-US" w:eastAsia="zh-CN"/>
        </w:rPr>
        <w:t>工期要求</w:t>
      </w:r>
      <w:r>
        <w:rPr>
          <w:rFonts w:hint="eastAsia" w:ascii="宋体" w:hAnsi="宋体" w:cs="宋体"/>
          <w:color w:val="auto"/>
          <w:szCs w:val="21"/>
          <w:highlight w:val="none"/>
          <w:lang w:val="en-US" w:eastAsia="zh-CN"/>
        </w:rPr>
        <w:t>30日历天</w:t>
      </w:r>
      <w:r>
        <w:rPr>
          <w:rFonts w:hint="eastAsia" w:ascii="宋体" w:hAnsi="宋体" w:cs="宋体"/>
          <w:color w:val="auto"/>
          <w:szCs w:val="21"/>
          <w:highlight w:val="none"/>
        </w:rPr>
        <w:t>。</w:t>
      </w:r>
    </w:p>
    <w:p w14:paraId="2FCF5BD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2C346FCF">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r>
        <w:rPr>
          <w:rFonts w:hint="eastAsia"/>
          <w:color w:val="auto"/>
          <w:kern w:val="0"/>
          <w:szCs w:val="21"/>
          <w:highlight w:val="none"/>
        </w:rPr>
        <w:t>备注：</w:t>
      </w:r>
      <w:r>
        <w:rPr>
          <w:rFonts w:hint="eastAsia" w:ascii="宋体" w:hAnsi="宋体" w:eastAsia="宋体"/>
          <w:color w:val="auto"/>
          <w:szCs w:val="21"/>
          <w:highlight w:val="none"/>
        </w:rPr>
        <w:t>采购计划号：</w:t>
      </w:r>
      <w:r>
        <w:rPr>
          <w:rFonts w:hint="eastAsia" w:ascii="宋体" w:hAnsi="宋体" w:eastAsia="宋体" w:cs="Times New Roman"/>
          <w:i w:val="0"/>
          <w:iCs w:val="0"/>
          <w:caps w:val="0"/>
          <w:color w:val="auto"/>
          <w:spacing w:val="0"/>
          <w:sz w:val="21"/>
          <w:szCs w:val="21"/>
          <w:highlight w:val="none"/>
          <w:shd w:val="clear"/>
        </w:rPr>
        <w:t>HZZC2025-C2-02666-001</w:t>
      </w:r>
    </w:p>
    <w:p w14:paraId="51BCA027">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p>
    <w:p w14:paraId="69863AAD">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ascii="宋体" w:hAnsi="宋体" w:eastAsia="宋体"/>
          <w:b/>
          <w:color w:val="auto"/>
          <w:sz w:val="24"/>
          <w:highlight w:val="none"/>
        </w:rPr>
      </w:pPr>
      <w:bookmarkStart w:id="35" w:name="_Toc44229879"/>
      <w:bookmarkStart w:id="36" w:name="_Toc71365906"/>
      <w:bookmarkStart w:id="37" w:name="_Toc35393799"/>
      <w:bookmarkStart w:id="38" w:name="_Toc28359090"/>
      <w:bookmarkStart w:id="39" w:name="_Toc28359013"/>
      <w:bookmarkStart w:id="40" w:name="_Toc35393630"/>
      <w:r>
        <w:rPr>
          <w:rFonts w:hint="eastAsia" w:ascii="宋体" w:hAnsi="宋体" w:eastAsia="宋体"/>
          <w:b/>
          <w:color w:val="auto"/>
          <w:sz w:val="24"/>
          <w:highlight w:val="none"/>
        </w:rPr>
        <w:t>二、申请人的资格条件：</w:t>
      </w:r>
      <w:bookmarkEnd w:id="35"/>
      <w:bookmarkEnd w:id="36"/>
      <w:bookmarkEnd w:id="37"/>
      <w:bookmarkEnd w:id="38"/>
      <w:bookmarkEnd w:id="39"/>
      <w:bookmarkEnd w:id="40"/>
    </w:p>
    <w:p w14:paraId="3D62B2C7">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olor w:val="auto"/>
          <w:szCs w:val="21"/>
          <w:highlight w:val="none"/>
        </w:rPr>
      </w:pPr>
      <w:bookmarkStart w:id="41" w:name="_Toc28359091"/>
      <w:bookmarkStart w:id="42" w:name="_Toc44229880"/>
      <w:bookmarkStart w:id="43" w:name="_Toc35393800"/>
      <w:bookmarkStart w:id="44" w:name="_Toc28359014"/>
      <w:bookmarkStart w:id="45" w:name="_Toc35393631"/>
      <w:r>
        <w:rPr>
          <w:rFonts w:hint="eastAsia" w:ascii="宋体" w:hAnsi="宋体" w:eastAsia="宋体"/>
          <w:color w:val="auto"/>
          <w:szCs w:val="21"/>
          <w:highlight w:val="none"/>
        </w:rPr>
        <w:t>1.满足《中华人民共和国政府采购法》第二十二条规定；</w:t>
      </w:r>
    </w:p>
    <w:p w14:paraId="00E2BF2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strike/>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.落实政府采购政策需满足的资格要求：</w:t>
      </w:r>
      <w:r>
        <w:rPr>
          <w:rFonts w:hint="eastAsia" w:ascii="宋体" w:hAnsi="宋体" w:cs="宋体"/>
          <w:bCs/>
          <w:color w:val="auto"/>
          <w:szCs w:val="21"/>
          <w:highlight w:val="none"/>
        </w:rPr>
        <w:t>本项目专门面向</w:t>
      </w:r>
      <w:r>
        <w:rPr>
          <w:rFonts w:hint="eastAsia" w:ascii="宋体" w:hAnsi="宋体" w:cs="宋体"/>
          <w:bCs/>
          <w:color w:val="auto"/>
          <w:szCs w:val="21"/>
          <w:highlight w:val="none"/>
          <w:lang w:val="en-US" w:eastAsia="zh-CN"/>
        </w:rPr>
        <w:t>中小</w:t>
      </w:r>
      <w:r>
        <w:rPr>
          <w:rFonts w:hint="eastAsia" w:ascii="宋体" w:hAnsi="宋体" w:cs="宋体"/>
          <w:bCs/>
          <w:color w:val="auto"/>
          <w:szCs w:val="21"/>
          <w:highlight w:val="none"/>
        </w:rPr>
        <w:t>企业采购，供应商须为中小企业或监狱企业或残疾人福利性单位</w:t>
      </w:r>
      <w:r>
        <w:rPr>
          <w:rFonts w:hint="eastAsia" w:ascii="宋体" w:hAnsi="宋体" w:eastAsia="宋体"/>
          <w:color w:val="auto"/>
          <w:szCs w:val="21"/>
          <w:highlight w:val="none"/>
        </w:rPr>
        <w:t>。</w:t>
      </w:r>
    </w:p>
    <w:p w14:paraId="387BBDA5">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本项目的特定资格要求：</w:t>
      </w:r>
      <w:bookmarkStart w:id="46" w:name="_Toc71365907"/>
    </w:p>
    <w:p w14:paraId="06166ED9">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（1）供应商须具备</w:t>
      </w:r>
      <w:r>
        <w:rPr>
          <w:rFonts w:hint="eastAsia" w:ascii="宋体" w:hAnsi="宋体" w:cs="宋体"/>
          <w:color w:val="auto"/>
          <w:highlight w:val="none"/>
          <w:lang w:eastAsia="zh-CN"/>
        </w:rPr>
        <w:t>市政公用工程施工总承包三级或公路工程施工</w:t>
      </w:r>
      <w:r>
        <w:rPr>
          <w:rFonts w:hint="eastAsia" w:ascii="宋体" w:hAnsi="宋体" w:eastAsia="宋体" w:cs="宋体"/>
          <w:color w:val="auto"/>
          <w:highlight w:val="none"/>
          <w:lang w:eastAsia="zh-CN"/>
        </w:rPr>
        <w:t>施工总承包三级</w:t>
      </w:r>
      <w:r>
        <w:rPr>
          <w:rFonts w:hint="eastAsia" w:ascii="宋体" w:hAnsi="宋体" w:eastAsia="宋体" w:cs="宋体"/>
          <w:color w:val="auto"/>
          <w:highlight w:val="none"/>
        </w:rPr>
        <w:t>（含）以上资质及具有在有效期内的省级及以上建设行政主管部门颁发的安全生产许可证，并在人员、设备、资金等方面具备相应的施工能力。</w:t>
      </w:r>
    </w:p>
    <w:p w14:paraId="3133E746">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（2）供应商拟派的项目经理须具备</w:t>
      </w:r>
      <w:r>
        <w:rPr>
          <w:rFonts w:hint="eastAsia" w:ascii="宋体" w:hAnsi="宋体" w:cs="宋体"/>
          <w:color w:val="auto"/>
          <w:highlight w:val="none"/>
          <w:lang w:eastAsia="zh-CN"/>
        </w:rPr>
        <w:t>市政公用工程施工总承包三级或公路工程施工</w:t>
      </w:r>
      <w:r>
        <w:rPr>
          <w:rFonts w:hint="eastAsia" w:ascii="宋体" w:hAnsi="宋体" w:eastAsia="宋体" w:cs="宋体"/>
          <w:color w:val="auto"/>
          <w:highlight w:val="none"/>
          <w:lang w:eastAsia="zh-CN"/>
        </w:rPr>
        <w:t>二级</w:t>
      </w:r>
      <w:r>
        <w:rPr>
          <w:rFonts w:hint="eastAsia" w:ascii="宋体" w:hAnsi="宋体" w:eastAsia="宋体" w:cs="宋体"/>
          <w:color w:val="auto"/>
          <w:highlight w:val="none"/>
        </w:rPr>
        <w:t>（含）以上注册建造师执业资格及有效的安全生产考核合格证书（B类），本项目不接受有在建、已中标未开工或已列为其他项目中标候选人第一名的建造师作为项目经理；</w:t>
      </w:r>
    </w:p>
    <w:p w14:paraId="030DEBF9">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（3）拟派专职安全员须具备有效的安全生产考核合格证书（C类）</w:t>
      </w:r>
      <w:r>
        <w:rPr>
          <w:rFonts w:hint="eastAsia" w:ascii="宋体" w:hAnsi="宋体" w:eastAsia="宋体" w:cs="宋体"/>
          <w:color w:val="auto"/>
          <w:highlight w:val="none"/>
          <w:lang w:val="en-US" w:eastAsia="zh-CN"/>
        </w:rPr>
        <w:t>。</w:t>
      </w:r>
    </w:p>
    <w:p w14:paraId="0EB7F91E">
      <w:pPr>
        <w:keepNext w:val="0"/>
        <w:keepLines w:val="0"/>
        <w:pageBreakBefore w:val="0"/>
        <w:kinsoku/>
        <w:overflowPunct/>
        <w:topLinePunct w:val="0"/>
        <w:autoSpaceDE/>
        <w:autoSpaceDN/>
        <w:bidi w:val="0"/>
        <w:adjustRightInd/>
        <w:spacing w:line="380" w:lineRule="exact"/>
        <w:ind w:firstLine="482" w:firstLineChars="200"/>
        <w:textAlignment w:val="auto"/>
        <w:outlineLvl w:val="9"/>
        <w:rPr>
          <w:rFonts w:ascii="宋体" w:hAnsi="宋体" w:eastAsia="宋体"/>
          <w:b/>
          <w:color w:val="auto"/>
          <w:sz w:val="24"/>
          <w:highlight w:val="none"/>
        </w:rPr>
      </w:pPr>
      <w:r>
        <w:rPr>
          <w:rFonts w:hint="eastAsia" w:ascii="宋体" w:hAnsi="宋体" w:eastAsia="宋体"/>
          <w:b/>
          <w:color w:val="auto"/>
          <w:sz w:val="24"/>
          <w:highlight w:val="none"/>
        </w:rPr>
        <w:t>三、获取</w:t>
      </w:r>
      <w:r>
        <w:rPr>
          <w:rFonts w:hint="eastAsia" w:ascii="宋体" w:hAnsi="宋体" w:eastAsia="宋体"/>
          <w:b/>
          <w:color w:val="auto"/>
          <w:sz w:val="24"/>
          <w:highlight w:val="none"/>
          <w:lang w:val="en-US" w:eastAsia="zh-CN"/>
        </w:rPr>
        <w:t>采购</w:t>
      </w:r>
      <w:r>
        <w:rPr>
          <w:rFonts w:hint="eastAsia" w:ascii="宋体" w:hAnsi="宋体" w:eastAsia="宋体"/>
          <w:b/>
          <w:color w:val="auto"/>
          <w:sz w:val="24"/>
          <w:highlight w:val="none"/>
        </w:rPr>
        <w:t>文件</w:t>
      </w:r>
      <w:bookmarkEnd w:id="41"/>
      <w:bookmarkEnd w:id="42"/>
      <w:bookmarkEnd w:id="43"/>
      <w:bookmarkEnd w:id="44"/>
      <w:bookmarkEnd w:id="45"/>
      <w:bookmarkEnd w:id="46"/>
    </w:p>
    <w:p w14:paraId="47CBAAE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bCs/>
          <w:color w:val="auto"/>
          <w:kern w:val="0"/>
          <w:szCs w:val="21"/>
          <w:highlight w:val="none"/>
        </w:rPr>
      </w:pPr>
      <w:bookmarkStart w:id="47" w:name="_Toc44229881"/>
      <w:bookmarkStart w:id="48" w:name="_Toc35393632"/>
      <w:bookmarkStart w:id="49" w:name="_Toc35393801"/>
      <w:bookmarkStart w:id="50" w:name="_Toc28359092"/>
      <w:bookmarkStart w:id="51" w:name="_Toc28359015"/>
      <w:r>
        <w:rPr>
          <w:rFonts w:hint="eastAsia" w:ascii="宋体" w:hAnsi="宋体" w:eastAsia="宋体" w:cs="Tahoma"/>
          <w:bCs/>
          <w:color w:val="auto"/>
          <w:kern w:val="0"/>
          <w:szCs w:val="21"/>
          <w:highlight w:val="none"/>
        </w:rPr>
        <w:t>时间：</w:t>
      </w:r>
      <w:r>
        <w:rPr>
          <w:rFonts w:hint="eastAsia" w:ascii="宋体" w:hAnsi="宋体" w:eastAsia="宋体"/>
          <w:color w:val="auto"/>
          <w:szCs w:val="21"/>
          <w:highlight w:val="none"/>
          <w:u w:val="none"/>
          <w:lang w:eastAsia="zh-CN"/>
        </w:rPr>
        <w:t>2025年</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lang w:eastAsia="zh-CN"/>
        </w:rPr>
        <w:t>月</w:t>
      </w:r>
      <w:r>
        <w:rPr>
          <w:rFonts w:hint="eastAsia" w:ascii="宋体" w:hAnsi="宋体"/>
          <w:color w:val="auto"/>
          <w:szCs w:val="21"/>
          <w:highlight w:val="none"/>
          <w:u w:val="none"/>
          <w:lang w:val="en-US" w:eastAsia="zh-CN"/>
        </w:rPr>
        <w:t>06</w:t>
      </w:r>
      <w:r>
        <w:rPr>
          <w:rFonts w:hint="eastAsia" w:ascii="宋体" w:hAnsi="宋体" w:eastAsia="宋体"/>
          <w:color w:val="auto"/>
          <w:szCs w:val="21"/>
          <w:highlight w:val="none"/>
          <w:u w:val="none"/>
          <w:lang w:eastAsia="zh-CN"/>
        </w:rPr>
        <w:t>日</w:t>
      </w:r>
      <w:r>
        <w:rPr>
          <w:rFonts w:hint="eastAsia" w:ascii="宋体" w:hAnsi="宋体" w:eastAsia="宋体" w:cs="Tahoma"/>
          <w:bCs/>
          <w:color w:val="auto"/>
          <w:kern w:val="0"/>
          <w:szCs w:val="21"/>
          <w:highlight w:val="none"/>
          <w:u w:val="none"/>
        </w:rPr>
        <w:t>至</w:t>
      </w:r>
      <w:r>
        <w:rPr>
          <w:rFonts w:hint="eastAsia" w:ascii="宋体" w:hAnsi="宋体" w:eastAsia="宋体"/>
          <w:color w:val="auto"/>
          <w:szCs w:val="21"/>
          <w:highlight w:val="none"/>
          <w:u w:val="none"/>
          <w:lang w:eastAsia="zh-CN"/>
        </w:rPr>
        <w:t>2025年</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lang w:eastAsia="zh-CN"/>
        </w:rPr>
        <w:t>月</w:t>
      </w:r>
      <w:r>
        <w:rPr>
          <w:rFonts w:hint="eastAsia" w:ascii="宋体" w:hAnsi="宋体"/>
          <w:color w:val="auto"/>
          <w:szCs w:val="21"/>
          <w:highlight w:val="none"/>
          <w:u w:val="none"/>
          <w:lang w:val="en-US" w:eastAsia="zh-CN"/>
        </w:rPr>
        <w:t>13</w:t>
      </w:r>
      <w:r>
        <w:rPr>
          <w:rFonts w:hint="eastAsia" w:ascii="宋体" w:hAnsi="宋体" w:eastAsia="宋体"/>
          <w:color w:val="auto"/>
          <w:szCs w:val="21"/>
          <w:highlight w:val="none"/>
          <w:u w:val="none"/>
          <w:lang w:eastAsia="zh-CN"/>
        </w:rPr>
        <w:t>日</w:t>
      </w:r>
      <w:r>
        <w:rPr>
          <w:rFonts w:hint="eastAsia" w:ascii="宋体" w:hAnsi="宋体" w:eastAsia="宋体" w:cs="Tahoma"/>
          <w:bCs/>
          <w:color w:val="auto"/>
          <w:kern w:val="0"/>
          <w:szCs w:val="21"/>
          <w:highlight w:val="none"/>
        </w:rPr>
        <w:t>，每天上午</w:t>
      </w:r>
      <w:r>
        <w:rPr>
          <w:rFonts w:ascii="宋体" w:hAnsi="宋体" w:eastAsia="宋体" w:cs="Tahoma"/>
          <w:bCs/>
          <w:color w:val="auto"/>
          <w:kern w:val="0"/>
          <w:szCs w:val="21"/>
          <w:highlight w:val="none"/>
        </w:rPr>
        <w:t>00</w:t>
      </w:r>
      <w:r>
        <w:rPr>
          <w:rFonts w:hint="eastAsia" w:ascii="宋体" w:hAnsi="宋体" w:eastAsia="宋体" w:cs="Tahoma"/>
          <w:bCs/>
          <w:color w:val="auto"/>
          <w:kern w:val="0"/>
          <w:szCs w:val="21"/>
          <w:highlight w:val="none"/>
        </w:rPr>
        <w:t>：</w:t>
      </w:r>
      <w:r>
        <w:rPr>
          <w:rFonts w:ascii="宋体" w:hAnsi="宋体" w:eastAsia="宋体" w:cs="Tahoma"/>
          <w:bCs/>
          <w:color w:val="auto"/>
          <w:kern w:val="0"/>
          <w:szCs w:val="21"/>
          <w:highlight w:val="none"/>
        </w:rPr>
        <w:t>00</w:t>
      </w:r>
      <w:r>
        <w:rPr>
          <w:rFonts w:hint="eastAsia" w:ascii="宋体" w:hAnsi="宋体" w:eastAsia="宋体" w:cs="Tahoma"/>
          <w:bCs/>
          <w:color w:val="auto"/>
          <w:kern w:val="0"/>
          <w:szCs w:val="21"/>
          <w:highlight w:val="none"/>
        </w:rPr>
        <w:t>至1</w:t>
      </w:r>
      <w:r>
        <w:rPr>
          <w:rFonts w:ascii="宋体" w:hAnsi="宋体" w:eastAsia="宋体" w:cs="Tahoma"/>
          <w:bCs/>
          <w:color w:val="auto"/>
          <w:kern w:val="0"/>
          <w:szCs w:val="21"/>
          <w:highlight w:val="none"/>
        </w:rPr>
        <w:t>2</w:t>
      </w:r>
      <w:r>
        <w:rPr>
          <w:rFonts w:hint="eastAsia" w:ascii="宋体" w:hAnsi="宋体" w:eastAsia="宋体" w:cs="Tahoma"/>
          <w:bCs/>
          <w:color w:val="auto"/>
          <w:kern w:val="0"/>
          <w:szCs w:val="21"/>
          <w:highlight w:val="none"/>
          <w:lang w:eastAsia="zh-CN"/>
        </w:rPr>
        <w:t>:</w:t>
      </w:r>
      <w:r>
        <w:rPr>
          <w:rFonts w:hint="eastAsia" w:ascii="宋体" w:hAnsi="宋体" w:eastAsia="宋体" w:cs="Tahoma"/>
          <w:bCs/>
          <w:color w:val="auto"/>
          <w:kern w:val="0"/>
          <w:szCs w:val="21"/>
          <w:highlight w:val="none"/>
        </w:rPr>
        <w:t>0</w:t>
      </w:r>
      <w:r>
        <w:rPr>
          <w:rFonts w:ascii="宋体" w:hAnsi="宋体" w:eastAsia="宋体" w:cs="Tahoma"/>
          <w:bCs/>
          <w:color w:val="auto"/>
          <w:kern w:val="0"/>
          <w:szCs w:val="21"/>
          <w:highlight w:val="none"/>
        </w:rPr>
        <w:t>0</w:t>
      </w:r>
      <w:r>
        <w:rPr>
          <w:rFonts w:hint="eastAsia" w:ascii="宋体" w:hAnsi="宋体" w:eastAsia="宋体" w:cs="Tahoma"/>
          <w:bCs/>
          <w:color w:val="auto"/>
          <w:kern w:val="0"/>
          <w:szCs w:val="21"/>
          <w:highlight w:val="none"/>
        </w:rPr>
        <w:t>，下午</w:t>
      </w:r>
      <w:r>
        <w:rPr>
          <w:rFonts w:ascii="宋体" w:hAnsi="宋体" w:eastAsia="宋体" w:cs="Tahoma"/>
          <w:bCs/>
          <w:color w:val="auto"/>
          <w:kern w:val="0"/>
          <w:szCs w:val="21"/>
          <w:highlight w:val="none"/>
        </w:rPr>
        <w:t>12</w:t>
      </w:r>
      <w:r>
        <w:rPr>
          <w:rFonts w:hint="eastAsia" w:ascii="宋体" w:hAnsi="宋体" w:eastAsia="宋体" w:cs="Tahoma"/>
          <w:bCs/>
          <w:color w:val="auto"/>
          <w:kern w:val="0"/>
          <w:szCs w:val="21"/>
          <w:highlight w:val="none"/>
          <w:lang w:eastAsia="zh-CN"/>
        </w:rPr>
        <w:t>:</w:t>
      </w:r>
      <w:r>
        <w:rPr>
          <w:rFonts w:hint="eastAsia" w:ascii="宋体" w:hAnsi="宋体" w:eastAsia="宋体" w:cs="Tahoma"/>
          <w:bCs/>
          <w:color w:val="auto"/>
          <w:kern w:val="0"/>
          <w:szCs w:val="21"/>
          <w:highlight w:val="none"/>
        </w:rPr>
        <w:t>0</w:t>
      </w:r>
      <w:r>
        <w:rPr>
          <w:rFonts w:ascii="宋体" w:hAnsi="宋体" w:eastAsia="宋体" w:cs="Tahoma"/>
          <w:bCs/>
          <w:color w:val="auto"/>
          <w:kern w:val="0"/>
          <w:szCs w:val="21"/>
          <w:highlight w:val="none"/>
        </w:rPr>
        <w:t>0</w:t>
      </w:r>
      <w:r>
        <w:rPr>
          <w:rFonts w:hint="eastAsia" w:ascii="宋体" w:hAnsi="宋体" w:eastAsia="宋体" w:cs="Tahoma"/>
          <w:bCs/>
          <w:color w:val="auto"/>
          <w:kern w:val="0"/>
          <w:szCs w:val="21"/>
          <w:highlight w:val="none"/>
        </w:rPr>
        <w:t>至23</w:t>
      </w:r>
      <w:r>
        <w:rPr>
          <w:rFonts w:hint="eastAsia" w:ascii="宋体" w:hAnsi="宋体" w:eastAsia="宋体" w:cs="Tahoma"/>
          <w:bCs/>
          <w:color w:val="auto"/>
          <w:kern w:val="0"/>
          <w:szCs w:val="21"/>
          <w:highlight w:val="none"/>
          <w:lang w:eastAsia="zh-CN"/>
        </w:rPr>
        <w:t>:</w:t>
      </w:r>
      <w:r>
        <w:rPr>
          <w:rFonts w:hint="eastAsia" w:ascii="宋体" w:hAnsi="宋体" w:eastAsia="宋体" w:cs="Tahoma"/>
          <w:bCs/>
          <w:color w:val="auto"/>
          <w:kern w:val="0"/>
          <w:szCs w:val="21"/>
          <w:highlight w:val="none"/>
        </w:rPr>
        <w:t>59（北京时间，</w:t>
      </w:r>
      <w:r>
        <w:rPr>
          <w:rFonts w:ascii="宋体" w:hAnsi="宋体" w:eastAsia="宋体" w:cs="Tahoma"/>
          <w:bCs/>
          <w:color w:val="auto"/>
          <w:kern w:val="0"/>
          <w:szCs w:val="21"/>
          <w:highlight w:val="none"/>
        </w:rPr>
        <w:t>法定节假日</w:t>
      </w:r>
      <w:r>
        <w:rPr>
          <w:rFonts w:hint="eastAsia" w:ascii="宋体" w:hAnsi="宋体" w:eastAsia="宋体" w:cs="Tahoma"/>
          <w:bCs/>
          <w:color w:val="auto"/>
          <w:kern w:val="0"/>
          <w:szCs w:val="21"/>
          <w:highlight w:val="none"/>
        </w:rPr>
        <w:t>除外）</w:t>
      </w:r>
    </w:p>
    <w:p w14:paraId="4F35D79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bCs/>
          <w:color w:val="auto"/>
          <w:kern w:val="0"/>
          <w:szCs w:val="21"/>
          <w:highlight w:val="none"/>
        </w:rPr>
      </w:pPr>
      <w:r>
        <w:rPr>
          <w:rFonts w:hint="eastAsia" w:ascii="宋体" w:hAnsi="宋体" w:eastAsia="宋体" w:cs="Tahoma"/>
          <w:bCs/>
          <w:color w:val="auto"/>
          <w:kern w:val="0"/>
          <w:szCs w:val="21"/>
          <w:highlight w:val="none"/>
        </w:rPr>
        <w:t>地点：广西政府采购云平台（https</w:t>
      </w:r>
      <w:r>
        <w:rPr>
          <w:rFonts w:hint="eastAsia" w:ascii="宋体" w:hAnsi="宋体" w:eastAsia="宋体" w:cs="Tahoma"/>
          <w:bCs/>
          <w:color w:val="auto"/>
          <w:kern w:val="0"/>
          <w:szCs w:val="21"/>
          <w:highlight w:val="none"/>
          <w:lang w:eastAsia="zh-CN"/>
        </w:rPr>
        <w:t>:</w:t>
      </w:r>
      <w:r>
        <w:rPr>
          <w:rFonts w:hint="eastAsia" w:ascii="宋体" w:hAnsi="宋体" w:eastAsia="宋体" w:cs="Tahoma"/>
          <w:bCs/>
          <w:color w:val="auto"/>
          <w:kern w:val="0"/>
          <w:szCs w:val="21"/>
          <w:highlight w:val="none"/>
        </w:rPr>
        <w:t>//www.gcy.zfcg.gxzf.gov.cn/）</w:t>
      </w:r>
    </w:p>
    <w:p w14:paraId="13DE246E">
      <w:pPr>
        <w:keepNext w:val="0"/>
        <w:keepLines w:val="0"/>
        <w:pageBreakBefore w:val="0"/>
        <w:kinsoku/>
        <w:overflowPunct/>
        <w:topLinePunct w:val="0"/>
        <w:autoSpaceDE/>
        <w:autoSpaceDN/>
        <w:bidi w:val="0"/>
        <w:adjustRightInd/>
        <w:snapToGrid w:val="0"/>
        <w:spacing w:line="380" w:lineRule="exact"/>
        <w:ind w:firstLine="420" w:firstLineChars="200"/>
        <w:textAlignment w:val="auto"/>
        <w:rPr>
          <w:rFonts w:ascii="宋体" w:hAnsi="宋体" w:eastAsia="宋体"/>
          <w:color w:val="auto"/>
          <w:szCs w:val="21"/>
          <w:highlight w:val="none"/>
        </w:rPr>
      </w:pPr>
      <w:bookmarkStart w:id="52" w:name="_Toc71365908"/>
      <w:r>
        <w:rPr>
          <w:rFonts w:hint="eastAsia" w:ascii="宋体" w:hAnsi="宋体" w:eastAsia="宋体"/>
          <w:color w:val="auto"/>
          <w:szCs w:val="21"/>
          <w:highlight w:val="none"/>
        </w:rPr>
        <w:t>获取方式</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网上下载。本项目不发放纸质文件，供应商可自行在广西政府采购云平台（http：//www.zcygov.cn）下载招标文件（操作路径：登录广西政府采购云平台-项目采购-获取采购文件-找到本项目-点击“申请获取采购文件”），电子响应文件制作需要基于广西政府采购云平台（http：//www.zcygov.cn）获取的采购文件编制。</w:t>
      </w:r>
    </w:p>
    <w:p w14:paraId="06D4F1EE">
      <w:pPr>
        <w:keepNext w:val="0"/>
        <w:keepLines w:val="0"/>
        <w:pageBreakBefore w:val="0"/>
        <w:kinsoku/>
        <w:overflowPunct/>
        <w:topLinePunct w:val="0"/>
        <w:autoSpaceDE/>
        <w:autoSpaceDN/>
        <w:bidi w:val="0"/>
        <w:adjustRightInd/>
        <w:snapToGrid w:val="0"/>
        <w:spacing w:line="380" w:lineRule="exact"/>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rPr>
        <w:t>售价：0元。</w:t>
      </w:r>
    </w:p>
    <w:p w14:paraId="3F93C740">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ascii="宋体" w:hAnsi="宋体" w:eastAsia="宋体"/>
          <w:b/>
          <w:color w:val="auto"/>
          <w:sz w:val="24"/>
          <w:highlight w:val="none"/>
        </w:rPr>
      </w:pPr>
      <w:r>
        <w:rPr>
          <w:rFonts w:hint="eastAsia" w:ascii="宋体" w:hAnsi="宋体" w:eastAsia="宋体"/>
          <w:b/>
          <w:color w:val="auto"/>
          <w:sz w:val="24"/>
          <w:highlight w:val="none"/>
        </w:rPr>
        <w:t>四、响应文件提交</w:t>
      </w:r>
      <w:bookmarkEnd w:id="47"/>
      <w:bookmarkEnd w:id="48"/>
      <w:bookmarkEnd w:id="49"/>
      <w:bookmarkEnd w:id="50"/>
      <w:bookmarkEnd w:id="51"/>
      <w:bookmarkEnd w:id="52"/>
    </w:p>
    <w:p w14:paraId="5EC83A5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bCs/>
          <w:color w:val="auto"/>
          <w:szCs w:val="21"/>
          <w:highlight w:val="none"/>
        </w:rPr>
      </w:pPr>
      <w:bookmarkStart w:id="53" w:name="_Toc28359093"/>
      <w:bookmarkStart w:id="54" w:name="_Toc44229882"/>
      <w:bookmarkStart w:id="55" w:name="_Toc35393633"/>
      <w:bookmarkStart w:id="56" w:name="_Toc35393802"/>
      <w:bookmarkStart w:id="57" w:name="_Toc28359016"/>
      <w:r>
        <w:rPr>
          <w:rFonts w:hint="eastAsia" w:ascii="宋体" w:hAnsi="宋体" w:eastAsia="宋体"/>
          <w:color w:val="auto"/>
          <w:szCs w:val="21"/>
          <w:highlight w:val="none"/>
        </w:rPr>
        <w:t>截止时间：</w:t>
      </w:r>
      <w:r>
        <w:rPr>
          <w:rFonts w:hint="eastAsia" w:ascii="宋体" w:hAnsi="宋体" w:eastAsia="宋体"/>
          <w:color w:val="auto"/>
          <w:szCs w:val="21"/>
          <w:highlight w:val="none"/>
          <w:u w:val="none"/>
          <w:lang w:eastAsia="zh-CN"/>
        </w:rPr>
        <w:t>2025年</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lang w:eastAsia="zh-CN"/>
        </w:rPr>
        <w:t>月</w:t>
      </w:r>
      <w:r>
        <w:rPr>
          <w:rFonts w:hint="eastAsia" w:ascii="宋体" w:hAnsi="宋体"/>
          <w:color w:val="auto"/>
          <w:szCs w:val="21"/>
          <w:highlight w:val="none"/>
          <w:u w:val="none"/>
          <w:lang w:val="en-US" w:eastAsia="zh-CN"/>
        </w:rPr>
        <w:t>17</w:t>
      </w:r>
      <w:r>
        <w:rPr>
          <w:rFonts w:hint="eastAsia" w:ascii="宋体" w:hAnsi="宋体" w:eastAsia="宋体"/>
          <w:color w:val="auto"/>
          <w:szCs w:val="21"/>
          <w:highlight w:val="none"/>
          <w:u w:val="none"/>
          <w:lang w:eastAsia="zh-CN"/>
        </w:rPr>
        <w:t>日</w:t>
      </w:r>
      <w:r>
        <w:rPr>
          <w:rFonts w:hint="eastAsia" w:ascii="宋体" w:hAnsi="宋体" w:eastAsia="宋体"/>
          <w:color w:val="auto"/>
          <w:szCs w:val="21"/>
          <w:highlight w:val="none"/>
          <w:u w:val="none"/>
          <w:lang w:val="en-US" w:eastAsia="zh-CN"/>
        </w:rPr>
        <w:t>15</w:t>
      </w:r>
      <w:r>
        <w:rPr>
          <w:rFonts w:hint="eastAsia" w:ascii="宋体" w:hAnsi="宋体" w:eastAsia="宋体"/>
          <w:color w:val="auto"/>
          <w:szCs w:val="21"/>
          <w:highlight w:val="none"/>
          <w:u w:val="none"/>
          <w:lang w:eastAsia="zh-CN"/>
        </w:rPr>
        <w:t>时</w:t>
      </w:r>
      <w:r>
        <w:rPr>
          <w:rFonts w:hint="eastAsia" w:ascii="宋体" w:hAnsi="宋体" w:eastAsia="宋体"/>
          <w:color w:val="auto"/>
          <w:szCs w:val="21"/>
          <w:highlight w:val="none"/>
          <w:u w:val="none"/>
          <w:lang w:val="en-US" w:eastAsia="zh-CN"/>
        </w:rPr>
        <w:t>0</w:t>
      </w:r>
      <w:r>
        <w:rPr>
          <w:rFonts w:hint="eastAsia" w:ascii="宋体" w:hAnsi="宋体" w:eastAsia="宋体"/>
          <w:color w:val="auto"/>
          <w:szCs w:val="21"/>
          <w:highlight w:val="none"/>
          <w:u w:val="none"/>
          <w:lang w:eastAsia="zh-CN"/>
        </w:rPr>
        <w:t>0分</w:t>
      </w:r>
      <w:r>
        <w:rPr>
          <w:rFonts w:hint="eastAsia" w:ascii="宋体" w:hAnsi="宋体" w:eastAsia="宋体"/>
          <w:bCs/>
          <w:color w:val="auto"/>
          <w:szCs w:val="21"/>
          <w:highlight w:val="none"/>
        </w:rPr>
        <w:t>（北京时间）</w:t>
      </w:r>
    </w:p>
    <w:p w14:paraId="352AB47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rPr>
        <w:t>地点（网址）：请登录广西政府采购云平台投标客户端投标</w:t>
      </w:r>
    </w:p>
    <w:p w14:paraId="51EB480F">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ascii="宋体" w:hAnsi="宋体" w:eastAsia="宋体"/>
          <w:b/>
          <w:color w:val="auto"/>
          <w:sz w:val="24"/>
          <w:highlight w:val="none"/>
        </w:rPr>
      </w:pPr>
      <w:bookmarkStart w:id="58" w:name="_Toc71365909"/>
      <w:r>
        <w:rPr>
          <w:rFonts w:hint="eastAsia" w:ascii="宋体" w:hAnsi="宋体" w:eastAsia="宋体"/>
          <w:b/>
          <w:color w:val="auto"/>
          <w:sz w:val="24"/>
          <w:highlight w:val="none"/>
        </w:rPr>
        <w:t>五、响应文件开启</w:t>
      </w:r>
      <w:bookmarkEnd w:id="53"/>
      <w:bookmarkEnd w:id="54"/>
      <w:bookmarkEnd w:id="55"/>
      <w:bookmarkEnd w:id="56"/>
      <w:bookmarkEnd w:id="57"/>
      <w:bookmarkEnd w:id="58"/>
    </w:p>
    <w:p w14:paraId="4CF581B9">
      <w:pPr>
        <w:keepNext w:val="0"/>
        <w:keepLines w:val="0"/>
        <w:pageBreakBefore w:val="0"/>
        <w:kinsoku/>
        <w:overflowPunct/>
        <w:topLinePunct w:val="0"/>
        <w:autoSpaceDE/>
        <w:autoSpaceDN/>
        <w:bidi w:val="0"/>
        <w:adjustRightInd/>
        <w:spacing w:line="380" w:lineRule="exact"/>
        <w:ind w:firstLine="420" w:firstLineChars="200"/>
        <w:textAlignment w:val="auto"/>
        <w:outlineLvl w:val="9"/>
        <w:rPr>
          <w:rFonts w:ascii="宋体" w:hAnsi="宋体" w:eastAsia="宋体"/>
          <w:bCs/>
          <w:color w:val="auto"/>
          <w:szCs w:val="21"/>
          <w:highlight w:val="none"/>
          <w:u w:val="single"/>
        </w:rPr>
      </w:pPr>
      <w:r>
        <w:rPr>
          <w:rFonts w:hint="eastAsia" w:ascii="宋体" w:hAnsi="宋体" w:eastAsia="宋体"/>
          <w:color w:val="auto"/>
          <w:szCs w:val="21"/>
          <w:highlight w:val="none"/>
          <w:lang w:val="en-US" w:eastAsia="zh-CN"/>
        </w:rPr>
        <w:t>开启</w:t>
      </w:r>
      <w:r>
        <w:rPr>
          <w:rFonts w:hint="eastAsia" w:ascii="宋体" w:hAnsi="宋体" w:eastAsia="宋体"/>
          <w:color w:val="auto"/>
          <w:szCs w:val="21"/>
          <w:highlight w:val="none"/>
        </w:rPr>
        <w:t>时间：</w:t>
      </w:r>
      <w:r>
        <w:rPr>
          <w:rFonts w:hint="eastAsia" w:ascii="宋体" w:hAnsi="宋体" w:eastAsia="宋体"/>
          <w:color w:val="auto"/>
          <w:szCs w:val="21"/>
          <w:highlight w:val="none"/>
          <w:u w:val="none"/>
          <w:lang w:eastAsia="zh-CN"/>
        </w:rPr>
        <w:t>2025年</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lang w:eastAsia="zh-CN"/>
        </w:rPr>
        <w:t>月</w:t>
      </w:r>
      <w:r>
        <w:rPr>
          <w:rFonts w:hint="eastAsia" w:ascii="宋体" w:hAnsi="宋体"/>
          <w:color w:val="auto"/>
          <w:szCs w:val="21"/>
          <w:highlight w:val="none"/>
          <w:u w:val="none"/>
          <w:lang w:val="en-US" w:eastAsia="zh-CN"/>
        </w:rPr>
        <w:t>17</w:t>
      </w:r>
      <w:r>
        <w:rPr>
          <w:rFonts w:hint="eastAsia" w:ascii="宋体" w:hAnsi="宋体" w:eastAsia="宋体"/>
          <w:color w:val="auto"/>
          <w:szCs w:val="21"/>
          <w:highlight w:val="none"/>
          <w:u w:val="none"/>
          <w:lang w:eastAsia="zh-CN"/>
        </w:rPr>
        <w:t>日</w:t>
      </w:r>
      <w:r>
        <w:rPr>
          <w:rFonts w:hint="eastAsia" w:ascii="宋体" w:hAnsi="宋体" w:eastAsia="宋体"/>
          <w:color w:val="auto"/>
          <w:szCs w:val="21"/>
          <w:highlight w:val="none"/>
          <w:u w:val="none"/>
          <w:lang w:val="en-US" w:eastAsia="zh-CN"/>
        </w:rPr>
        <w:t>15</w:t>
      </w:r>
      <w:r>
        <w:rPr>
          <w:rFonts w:hint="eastAsia" w:ascii="宋体" w:hAnsi="宋体" w:eastAsia="宋体"/>
          <w:color w:val="auto"/>
          <w:szCs w:val="21"/>
          <w:highlight w:val="none"/>
          <w:u w:val="none"/>
          <w:lang w:eastAsia="zh-CN"/>
        </w:rPr>
        <w:t>时</w:t>
      </w:r>
      <w:r>
        <w:rPr>
          <w:rFonts w:hint="eastAsia" w:ascii="宋体" w:hAnsi="宋体" w:eastAsia="宋体"/>
          <w:color w:val="auto"/>
          <w:szCs w:val="21"/>
          <w:highlight w:val="none"/>
          <w:u w:val="none"/>
          <w:lang w:val="en-US" w:eastAsia="zh-CN"/>
        </w:rPr>
        <w:t>0</w:t>
      </w:r>
      <w:r>
        <w:rPr>
          <w:rFonts w:hint="eastAsia" w:ascii="宋体" w:hAnsi="宋体" w:eastAsia="宋体"/>
          <w:color w:val="auto"/>
          <w:szCs w:val="21"/>
          <w:highlight w:val="none"/>
          <w:u w:val="none"/>
          <w:lang w:eastAsia="zh-CN"/>
        </w:rPr>
        <w:t>0分</w:t>
      </w:r>
      <w:r>
        <w:rPr>
          <w:rFonts w:hint="eastAsia" w:ascii="宋体" w:hAnsi="宋体" w:eastAsia="宋体"/>
          <w:bCs/>
          <w:color w:val="auto"/>
          <w:szCs w:val="21"/>
          <w:highlight w:val="none"/>
        </w:rPr>
        <w:t>（北京时间）</w:t>
      </w:r>
    </w:p>
    <w:p w14:paraId="74797C0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bCs/>
          <w:color w:val="auto"/>
          <w:szCs w:val="21"/>
          <w:highlight w:val="none"/>
          <w:u w:val="single"/>
        </w:rPr>
      </w:pPr>
      <w:r>
        <w:rPr>
          <w:rFonts w:hint="eastAsia" w:ascii="宋体" w:hAnsi="宋体" w:eastAsia="宋体"/>
          <w:color w:val="auto"/>
          <w:szCs w:val="21"/>
          <w:highlight w:val="none"/>
        </w:rPr>
        <w:t>地点：广西政府采购云平台远程开标大厅</w:t>
      </w:r>
    </w:p>
    <w:p w14:paraId="3548C08F">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ascii="宋体" w:hAnsi="宋体" w:eastAsia="宋体"/>
          <w:b/>
          <w:color w:val="auto"/>
          <w:sz w:val="24"/>
          <w:highlight w:val="none"/>
        </w:rPr>
      </w:pPr>
      <w:bookmarkStart w:id="59" w:name="_Toc71365910"/>
      <w:bookmarkStart w:id="60" w:name="_Toc28359094"/>
      <w:bookmarkStart w:id="61" w:name="_Toc44229883"/>
      <w:bookmarkStart w:id="62" w:name="_Toc28359017"/>
      <w:bookmarkStart w:id="63" w:name="_Toc35393803"/>
      <w:bookmarkStart w:id="64" w:name="_Toc35393634"/>
      <w:r>
        <w:rPr>
          <w:rFonts w:hint="eastAsia" w:ascii="宋体" w:hAnsi="宋体" w:eastAsia="宋体"/>
          <w:b/>
          <w:color w:val="auto"/>
          <w:sz w:val="24"/>
          <w:highlight w:val="none"/>
        </w:rPr>
        <w:t>六、公告期限</w:t>
      </w:r>
      <w:bookmarkEnd w:id="59"/>
      <w:bookmarkEnd w:id="60"/>
      <w:bookmarkEnd w:id="61"/>
      <w:bookmarkEnd w:id="62"/>
      <w:bookmarkEnd w:id="63"/>
      <w:bookmarkEnd w:id="64"/>
    </w:p>
    <w:p w14:paraId="0B16892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自本公告发布之日起</w:t>
      </w:r>
      <w:r>
        <w:rPr>
          <w:rFonts w:ascii="宋体" w:hAnsi="宋体" w:eastAsia="宋体" w:cs="Tahoma"/>
          <w:color w:val="auto"/>
          <w:kern w:val="0"/>
          <w:szCs w:val="21"/>
          <w:highlight w:val="none"/>
        </w:rPr>
        <w:t>5</w:t>
      </w:r>
      <w:r>
        <w:rPr>
          <w:rFonts w:hint="eastAsia" w:ascii="宋体" w:hAnsi="宋体" w:eastAsia="宋体" w:cs="Tahoma"/>
          <w:color w:val="auto"/>
          <w:kern w:val="0"/>
          <w:szCs w:val="21"/>
          <w:highlight w:val="none"/>
        </w:rPr>
        <w:t>个工作日。</w:t>
      </w:r>
    </w:p>
    <w:p w14:paraId="7C75F26F">
      <w:pPr>
        <w:keepNext w:val="0"/>
        <w:keepLines w:val="0"/>
        <w:pageBreakBefore w:val="0"/>
        <w:kinsoku/>
        <w:overflowPunct/>
        <w:topLinePunct w:val="0"/>
        <w:autoSpaceDE/>
        <w:autoSpaceDN/>
        <w:bidi w:val="0"/>
        <w:adjustRightInd/>
        <w:spacing w:line="380" w:lineRule="exact"/>
        <w:ind w:firstLine="354" w:firstLineChars="147"/>
        <w:textAlignment w:val="auto"/>
        <w:outlineLvl w:val="9"/>
        <w:rPr>
          <w:rFonts w:ascii="宋体" w:hAnsi="宋体" w:eastAsia="宋体"/>
          <w:b/>
          <w:color w:val="auto"/>
          <w:sz w:val="24"/>
          <w:highlight w:val="none"/>
        </w:rPr>
      </w:pPr>
      <w:bookmarkStart w:id="65" w:name="_Toc71365911"/>
      <w:bookmarkStart w:id="66" w:name="_Toc44229884"/>
      <w:bookmarkStart w:id="67" w:name="_Toc35393804"/>
      <w:bookmarkStart w:id="68" w:name="_Toc35393635"/>
      <w:r>
        <w:rPr>
          <w:rFonts w:hint="eastAsia" w:ascii="宋体" w:hAnsi="宋体" w:eastAsia="宋体"/>
          <w:b/>
          <w:color w:val="auto"/>
          <w:sz w:val="24"/>
          <w:highlight w:val="none"/>
        </w:rPr>
        <w:t>七、其他补充事宜</w:t>
      </w:r>
      <w:bookmarkEnd w:id="65"/>
      <w:bookmarkEnd w:id="66"/>
      <w:bookmarkEnd w:id="67"/>
      <w:bookmarkEnd w:id="68"/>
    </w:p>
    <w:p w14:paraId="58D8B2E5">
      <w:pPr>
        <w:keepNext w:val="0"/>
        <w:keepLines w:val="0"/>
        <w:pageBreakBefore w:val="0"/>
        <w:kinsoku/>
        <w:overflowPunct/>
        <w:topLinePunct w:val="0"/>
        <w:autoSpaceDE/>
        <w:autoSpaceDN/>
        <w:bidi w:val="0"/>
        <w:adjustRightInd/>
        <w:spacing w:line="380" w:lineRule="exact"/>
        <w:ind w:firstLine="420" w:firstLineChars="200"/>
        <w:textAlignment w:val="auto"/>
        <w:outlineLvl w:val="9"/>
        <w:rPr>
          <w:rFonts w:ascii="宋体" w:hAnsi="宋体" w:eastAsia="宋体" w:cs="Tahoma"/>
          <w:color w:val="auto"/>
          <w:kern w:val="0"/>
          <w:szCs w:val="21"/>
          <w:highlight w:val="none"/>
        </w:rPr>
      </w:pPr>
      <w:bookmarkStart w:id="69" w:name="_Toc44229885"/>
      <w:bookmarkStart w:id="70" w:name="_Toc35393636"/>
      <w:bookmarkStart w:id="71" w:name="_Toc28359018"/>
      <w:bookmarkStart w:id="72" w:name="_Toc35393805"/>
      <w:bookmarkStart w:id="73" w:name="_Toc28359095"/>
      <w:r>
        <w:rPr>
          <w:rFonts w:hint="eastAsia" w:ascii="宋体" w:hAnsi="宋体" w:eastAsia="宋体" w:cs="Tahoma"/>
          <w:color w:val="auto"/>
          <w:kern w:val="0"/>
          <w:szCs w:val="21"/>
          <w:highlight w:val="none"/>
        </w:rPr>
        <w:t>1</w:t>
      </w:r>
      <w:r>
        <w:rPr>
          <w:rFonts w:ascii="宋体" w:hAnsi="宋体" w:eastAsia="宋体" w:cs="Tahoma"/>
          <w:color w:val="auto"/>
          <w:kern w:val="0"/>
          <w:szCs w:val="21"/>
          <w:highlight w:val="none"/>
        </w:rPr>
        <w:t>.</w:t>
      </w:r>
      <w:r>
        <w:rPr>
          <w:rFonts w:hint="eastAsia" w:ascii="宋体" w:hAnsi="宋体" w:eastAsia="宋体" w:cs="Tahoma"/>
          <w:color w:val="auto"/>
          <w:kern w:val="0"/>
          <w:szCs w:val="21"/>
          <w:highlight w:val="none"/>
        </w:rPr>
        <w:t>网上查询地址</w:t>
      </w:r>
    </w:p>
    <w:p w14:paraId="0C00E18D">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Tahoma"/>
          <w:color w:val="auto"/>
          <w:kern w:val="0"/>
          <w:szCs w:val="21"/>
          <w:highlight w:val="none"/>
          <w:lang w:eastAsia="zh-CN"/>
        </w:rPr>
      </w:pPr>
      <w:r>
        <w:rPr>
          <w:rFonts w:hint="eastAsia" w:ascii="宋体" w:hAnsi="宋体" w:eastAsia="宋体" w:cs="Tahoma"/>
          <w:color w:val="auto"/>
          <w:kern w:val="0"/>
          <w:szCs w:val="21"/>
          <w:highlight w:val="none"/>
        </w:rPr>
        <w:t>中国政府采购网（</w:t>
      </w:r>
      <w:r>
        <w:rPr>
          <w:rFonts w:ascii="宋体" w:hAnsi="宋体" w:eastAsia="宋体" w:cs="Tahoma"/>
          <w:color w:val="auto"/>
          <w:kern w:val="0"/>
          <w:szCs w:val="21"/>
          <w:highlight w:val="none"/>
        </w:rPr>
        <w:t>http</w:t>
      </w:r>
      <w:r>
        <w:rPr>
          <w:rFonts w:hint="eastAsia" w:ascii="宋体" w:hAnsi="宋体" w:eastAsia="宋体" w:cs="Tahoma"/>
          <w:color w:val="auto"/>
          <w:kern w:val="0"/>
          <w:szCs w:val="21"/>
          <w:highlight w:val="none"/>
          <w:lang w:eastAsia="zh-CN"/>
        </w:rPr>
        <w:t>:</w:t>
      </w:r>
      <w:r>
        <w:rPr>
          <w:rFonts w:ascii="宋体" w:hAnsi="宋体" w:eastAsia="宋体" w:cs="Tahoma"/>
          <w:color w:val="auto"/>
          <w:kern w:val="0"/>
          <w:szCs w:val="21"/>
          <w:highlight w:val="none"/>
        </w:rPr>
        <w:t>//www.ccgp.gov.cn）</w:t>
      </w:r>
      <w:r>
        <w:rPr>
          <w:rFonts w:hint="eastAsia" w:ascii="宋体" w:hAnsi="宋体" w:eastAsia="宋体" w:cs="Tahoma"/>
          <w:color w:val="auto"/>
          <w:kern w:val="0"/>
          <w:szCs w:val="21"/>
          <w:highlight w:val="none"/>
        </w:rPr>
        <w:t>、广西壮族自治区政府采购网（</w:t>
      </w:r>
      <w:r>
        <w:rPr>
          <w:rFonts w:ascii="宋体" w:hAnsi="宋体" w:eastAsia="宋体" w:cs="Tahoma"/>
          <w:color w:val="auto"/>
          <w:kern w:val="0"/>
          <w:szCs w:val="21"/>
          <w:highlight w:val="none"/>
        </w:rPr>
        <w:t>http</w:t>
      </w:r>
      <w:r>
        <w:rPr>
          <w:rFonts w:hint="eastAsia" w:ascii="宋体" w:hAnsi="宋体" w:eastAsia="宋体" w:cs="Tahoma"/>
          <w:color w:val="auto"/>
          <w:kern w:val="0"/>
          <w:szCs w:val="21"/>
          <w:highlight w:val="none"/>
          <w:lang w:eastAsia="zh-CN"/>
        </w:rPr>
        <w:t>:</w:t>
      </w:r>
      <w:r>
        <w:rPr>
          <w:rFonts w:ascii="宋体" w:hAnsi="宋体" w:eastAsia="宋体" w:cs="Tahoma"/>
          <w:color w:val="auto"/>
          <w:kern w:val="0"/>
          <w:szCs w:val="21"/>
          <w:highlight w:val="none"/>
        </w:rPr>
        <w:t>//zfcg.gxzf.gov.cn）</w:t>
      </w:r>
      <w:r>
        <w:rPr>
          <w:rFonts w:hint="eastAsia" w:ascii="宋体" w:hAnsi="宋体" w:eastAsia="宋体" w:cs="Tahoma"/>
          <w:color w:val="auto"/>
          <w:kern w:val="0"/>
          <w:szCs w:val="21"/>
          <w:highlight w:val="none"/>
          <w:lang w:eastAsia="zh-CN"/>
        </w:rPr>
        <w:t>、全国公共资源交易平台(广西·南宁)(http://ggzy.jgswj.gxzf.gov.cn/nnggzy/)</w:t>
      </w:r>
    </w:p>
    <w:p w14:paraId="35145767">
      <w:pPr>
        <w:keepNext w:val="0"/>
        <w:keepLines w:val="0"/>
        <w:pageBreakBefore w:val="0"/>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单</w:t>
      </w:r>
      <w:r>
        <w:rPr>
          <w:rFonts w:hint="eastAsia" w:ascii="宋体" w:hAnsi="宋体" w:eastAsia="宋体" w:cs="宋体"/>
          <w:color w:val="auto"/>
          <w:sz w:val="21"/>
          <w:szCs w:val="21"/>
          <w:highlight w:val="none"/>
        </w:rPr>
        <w:t>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 w:val="21"/>
          <w:szCs w:val="21"/>
          <w:highlight w:val="none"/>
          <w:lang w:eastAsia="zh-CN"/>
        </w:rPr>
        <w:t>；</w:t>
      </w:r>
    </w:p>
    <w:p w14:paraId="0FD66F3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对在“信用中国”网站（www.creditchina.gov.cn）、中国政府采购网（www.ccgp.gov.cn）被列入</w:t>
      </w:r>
      <w:r>
        <w:rPr>
          <w:rFonts w:hint="eastAsia" w:ascii="宋体" w:hAnsi="宋体" w:eastAsia="宋体" w:cs="宋体"/>
          <w:color w:val="auto"/>
          <w:highlight w:val="none"/>
        </w:rPr>
        <w:t>失信被执行人、重大税收违法案件当事人名单、政府采购严重违法失信行为记录名单及其他不符合《中华人民共和国政府采购法》第二十二条规定条件的供应商，不得参与政府采购活动。</w:t>
      </w:r>
    </w:p>
    <w:p w14:paraId="523A4E9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eastAsia="宋体" w:cs="Tahoma"/>
          <w:color w:val="auto"/>
          <w:kern w:val="0"/>
          <w:szCs w:val="21"/>
          <w:highlight w:val="none"/>
        </w:rPr>
      </w:pPr>
      <w:r>
        <w:rPr>
          <w:rFonts w:hint="eastAsia" w:ascii="宋体" w:hAnsi="宋体" w:eastAsia="宋体"/>
          <w:color w:val="auto"/>
          <w:szCs w:val="21"/>
          <w:highlight w:val="none"/>
          <w:lang w:val="en-US" w:eastAsia="zh-CN"/>
        </w:rPr>
        <w:t>4</w:t>
      </w:r>
      <w:r>
        <w:rPr>
          <w:rFonts w:ascii="宋体" w:hAnsi="宋体" w:eastAsia="宋体"/>
          <w:color w:val="auto"/>
          <w:szCs w:val="21"/>
          <w:highlight w:val="none"/>
        </w:rPr>
        <w:t>.</w:t>
      </w:r>
      <w:r>
        <w:rPr>
          <w:rFonts w:hint="eastAsia" w:ascii="宋体" w:hAnsi="宋体" w:eastAsia="宋体" w:cs="Tahoma"/>
          <w:color w:val="auto"/>
          <w:kern w:val="0"/>
          <w:szCs w:val="21"/>
          <w:highlight w:val="none"/>
        </w:rPr>
        <w:t>本项目需要落实的政府采购政策</w:t>
      </w:r>
    </w:p>
    <w:p w14:paraId="6560B50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（1）政府采购促进中小企业发展。</w:t>
      </w:r>
    </w:p>
    <w:p w14:paraId="7192605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（2）政府采购支持采用本国产品的政策。</w:t>
      </w:r>
    </w:p>
    <w:p w14:paraId="4F1D1D2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（3）强制采购节能产品；优先采购节能产品、环境标志产品。</w:t>
      </w:r>
    </w:p>
    <w:p w14:paraId="0727174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（4）政府采购促进残疾人就业政策。</w:t>
      </w:r>
    </w:p>
    <w:p w14:paraId="6E71D2EF">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outlineLvl w:val="9"/>
        <w:rPr>
          <w:rFonts w:hint="eastAsia" w:ascii="宋体" w:hAnsi="宋体" w:eastAsia="宋体" w:cs="Tahoma"/>
          <w:color w:val="auto"/>
          <w:kern w:val="0"/>
          <w:szCs w:val="21"/>
          <w:highlight w:val="none"/>
        </w:rPr>
      </w:pPr>
      <w:r>
        <w:rPr>
          <w:rFonts w:hint="eastAsia" w:ascii="宋体" w:hAnsi="宋体" w:eastAsia="宋体" w:cs="Tahoma"/>
          <w:color w:val="auto"/>
          <w:kern w:val="0"/>
          <w:szCs w:val="21"/>
          <w:highlight w:val="none"/>
        </w:rPr>
        <w:t>（5）政府采购支持监狱企业发展。</w:t>
      </w:r>
    </w:p>
    <w:p w14:paraId="7358F4B7">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outlineLvl w:val="9"/>
        <w:rPr>
          <w:rFonts w:ascii="宋体" w:hAnsi="宋体" w:eastAsia="宋体"/>
          <w:color w:val="auto"/>
          <w:szCs w:val="21"/>
          <w:highlight w:val="none"/>
        </w:rPr>
      </w:pPr>
      <w:r>
        <w:rPr>
          <w:rFonts w:hint="eastAsia" w:ascii="宋体" w:hAnsi="宋体" w:eastAsia="宋体" w:cs="Tahoma"/>
          <w:color w:val="auto"/>
          <w:kern w:val="0"/>
          <w:szCs w:val="21"/>
          <w:highlight w:val="none"/>
          <w:lang w:val="en-US" w:eastAsia="zh-CN"/>
        </w:rPr>
        <w:t>5</w:t>
      </w:r>
      <w:r>
        <w:rPr>
          <w:rFonts w:hint="eastAsia" w:ascii="宋体" w:hAnsi="宋体" w:eastAsia="宋体" w:cs="Tahoma"/>
          <w:color w:val="auto"/>
          <w:kern w:val="0"/>
          <w:szCs w:val="21"/>
          <w:highlight w:val="none"/>
        </w:rPr>
        <w:t>.供应商</w:t>
      </w:r>
      <w:r>
        <w:rPr>
          <w:rFonts w:hint="eastAsia" w:ascii="宋体" w:hAnsi="宋体" w:eastAsia="宋体"/>
          <w:color w:val="auto"/>
          <w:szCs w:val="21"/>
          <w:highlight w:val="none"/>
        </w:rPr>
        <w:t>竞标注意事项</w:t>
      </w:r>
    </w:p>
    <w:p w14:paraId="4E506B80">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1）本项目为全流程电子化采购项目，通过广西政府采购云平台（https：//www.zcygov.cn）实行在线电子竞标，供应商应先安装“广西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ascii="宋体" w:hAnsi="宋体" w:eastAsia="宋体"/>
          <w:color w:val="auto"/>
          <w:highlight w:val="none"/>
        </w:rPr>
        <w:t>后缀名为“jm</w:t>
      </w:r>
      <w:r>
        <w:rPr>
          <w:rFonts w:ascii="宋体" w:hAnsi="宋体" w:eastAsia="宋体"/>
          <w:color w:val="auto"/>
          <w:highlight w:val="none"/>
        </w:rPr>
        <w:t>bs</w:t>
      </w:r>
      <w:r>
        <w:rPr>
          <w:rFonts w:hint="eastAsia" w:ascii="宋体" w:hAnsi="宋体" w:eastAsia="宋体"/>
          <w:color w:val="auto"/>
          <w:highlight w:val="none"/>
        </w:rPr>
        <w:t>”的文件</w:t>
      </w:r>
      <w:r>
        <w:rPr>
          <w:rFonts w:hint="eastAsia" w:ascii="宋体" w:hAnsi="宋体" w:eastAsia="宋体"/>
          <w:color w:val="auto"/>
          <w:szCs w:val="21"/>
          <w:highlight w:val="none"/>
        </w:rPr>
        <w:t>），</w:t>
      </w:r>
      <w:r>
        <w:rPr>
          <w:rFonts w:hint="eastAsia" w:ascii="宋体" w:hAnsi="宋体" w:eastAsia="宋体"/>
          <w:b/>
          <w:color w:val="auto"/>
          <w:szCs w:val="21"/>
          <w:highlight w:val="none"/>
        </w:rPr>
        <w:t>供应商在广西政府采购云平台提交电子响应文件时，请填写参加远程采购活动经办人联系方式。</w:t>
      </w:r>
      <w:r>
        <w:rPr>
          <w:rFonts w:hint="eastAsia" w:ascii="宋体" w:hAnsi="宋体" w:eastAsia="宋体"/>
          <w:color w:val="auto"/>
          <w:szCs w:val="21"/>
          <w:highlight w:val="none"/>
        </w:rPr>
        <w:t>供应商登录广西政府采购云平台，依次进入“服务中心-项目采购-操作流程-电子招投标-</w:t>
      </w:r>
      <w:r>
        <w:rPr>
          <w:rFonts w:hint="eastAsia" w:ascii="宋体" w:hAnsi="宋体" w:eastAsia="宋体"/>
          <w:color w:val="auto"/>
          <w:highlight w:val="none"/>
        </w:rPr>
        <w:t>政府采购项目电子交易管理操作指南</w:t>
      </w:r>
      <w:r>
        <w:rPr>
          <w:rFonts w:ascii="宋体" w:hAnsi="宋体" w:eastAsia="宋体"/>
          <w:color w:val="auto"/>
          <w:highlight w:val="none"/>
        </w:rPr>
        <w:t>-</w:t>
      </w:r>
      <w:r>
        <w:rPr>
          <w:rFonts w:hint="eastAsia" w:ascii="宋体" w:hAnsi="宋体" w:eastAsia="宋体"/>
          <w:color w:val="auto"/>
          <w:highlight w:val="none"/>
        </w:rPr>
        <w:t>供应商</w:t>
      </w:r>
      <w:r>
        <w:rPr>
          <w:rFonts w:hint="eastAsia" w:ascii="宋体" w:hAnsi="宋体" w:eastAsia="宋体"/>
          <w:color w:val="auto"/>
          <w:szCs w:val="21"/>
          <w:highlight w:val="none"/>
        </w:rPr>
        <w:t>”查看电子竞标具体操作流程。</w:t>
      </w:r>
    </w:p>
    <w:p w14:paraId="7FEC19F2">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Tahoma"/>
          <w:color w:val="auto"/>
          <w:kern w:val="0"/>
          <w:szCs w:val="21"/>
          <w:highlight w:val="none"/>
        </w:rPr>
        <w:t>广西政府采购云平台，</w:t>
      </w:r>
      <w:r>
        <w:rPr>
          <w:rFonts w:hint="eastAsia" w:ascii="宋体" w:hAnsi="宋体" w:eastAsia="宋体"/>
          <w:color w:val="auto"/>
          <w:szCs w:val="21"/>
          <w:highlight w:val="none"/>
        </w:rPr>
        <w:t>依次进入“服务中心-入驻与配置”中查看CA数字证书办理操作流程。</w:t>
      </w:r>
      <w:r>
        <w:rPr>
          <w:rFonts w:hint="eastAsia" w:ascii="宋体" w:hAnsi="宋体" w:eastAsia="宋体" w:cs="Tahoma"/>
          <w:bCs/>
          <w:color w:val="auto"/>
          <w:kern w:val="0"/>
          <w:szCs w:val="21"/>
          <w:highlight w:val="none"/>
        </w:rPr>
        <w:t>如在操作过程中遇到问题或者需要技术支持，请致电政采云客服热线：</w:t>
      </w:r>
      <w:r>
        <w:rPr>
          <w:rFonts w:ascii="宋体" w:hAnsi="宋体" w:eastAsia="宋体" w:cs="Tahoma"/>
          <w:bCs/>
          <w:color w:val="auto"/>
          <w:kern w:val="0"/>
          <w:szCs w:val="21"/>
          <w:highlight w:val="none"/>
        </w:rPr>
        <w:t>95763</w:t>
      </w:r>
      <w:r>
        <w:rPr>
          <w:rFonts w:hint="eastAsia" w:ascii="宋体" w:hAnsi="宋体" w:eastAsia="宋体"/>
          <w:color w:val="auto"/>
          <w:szCs w:val="21"/>
          <w:highlight w:val="none"/>
        </w:rPr>
        <w:t>）。</w:t>
      </w:r>
    </w:p>
    <w:p w14:paraId="63DA9D88">
      <w:pPr>
        <w:keepNext w:val="0"/>
        <w:keepLines w:val="0"/>
        <w:pageBreakBefore w:val="0"/>
        <w:kinsoku/>
        <w:overflowPunct/>
        <w:topLinePunct w:val="0"/>
        <w:autoSpaceDE/>
        <w:autoSpaceDN/>
        <w:bidi w:val="0"/>
        <w:adjustRightInd/>
        <w:snapToGrid w:val="0"/>
        <w:spacing w:line="380" w:lineRule="exact"/>
        <w:ind w:firstLine="420" w:firstLineChars="200"/>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6E4675B">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rPr>
          <w:rFonts w:ascii="宋体" w:hAnsi="宋体" w:eastAsia="宋体"/>
          <w:bCs/>
          <w:color w:val="auto"/>
          <w:szCs w:val="21"/>
          <w:highlight w:val="none"/>
        </w:rPr>
      </w:pPr>
      <w:r>
        <w:rPr>
          <w:rFonts w:hint="eastAsia" w:ascii="宋体" w:hAnsi="宋体" w:eastAsia="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4B511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olor w:val="auto"/>
          <w:szCs w:val="21"/>
          <w:highlight w:val="none"/>
          <w:u w:val="single"/>
        </w:rPr>
      </w:pPr>
      <w:r>
        <w:rPr>
          <w:rFonts w:hint="eastAsia" w:ascii="宋体" w:hAnsi="宋体" w:eastAsia="宋体" w:cs="Tahoma"/>
          <w:color w:val="auto"/>
          <w:kern w:val="0"/>
          <w:szCs w:val="21"/>
          <w:highlight w:val="none"/>
        </w:rPr>
        <w:t>（4）供应商需要在具备有摄像头及语音功能且互联网网络状况良好的电脑登录广西政府采购云平台远程开标大厅参与本次磋商，否则后果自负。</w:t>
      </w:r>
    </w:p>
    <w:p w14:paraId="20693CA1">
      <w:pPr>
        <w:keepNext w:val="0"/>
        <w:keepLines w:val="0"/>
        <w:pageBreakBefore w:val="0"/>
        <w:widowControl w:val="0"/>
        <w:kinsoku/>
        <w:wordWrap/>
        <w:overflowPunct/>
        <w:topLinePunct w:val="0"/>
        <w:autoSpaceDE/>
        <w:autoSpaceDN/>
        <w:bidi w:val="0"/>
        <w:adjustRightInd/>
        <w:snapToGrid/>
        <w:spacing w:line="380" w:lineRule="exact"/>
        <w:ind w:firstLine="354" w:firstLineChars="147"/>
        <w:textAlignment w:val="auto"/>
        <w:outlineLvl w:val="9"/>
        <w:rPr>
          <w:rFonts w:ascii="宋体" w:hAnsi="宋体" w:eastAsia="宋体"/>
          <w:b/>
          <w:color w:val="auto"/>
          <w:sz w:val="24"/>
          <w:highlight w:val="none"/>
        </w:rPr>
      </w:pPr>
      <w:r>
        <w:rPr>
          <w:rFonts w:hint="eastAsia" w:ascii="宋体" w:hAnsi="宋体" w:eastAsia="宋体"/>
          <w:b/>
          <w:color w:val="auto"/>
          <w:sz w:val="24"/>
          <w:highlight w:val="none"/>
        </w:rPr>
        <w:t>八、凡对本次采购提出询问，请按</w:t>
      </w:r>
      <w:r>
        <w:rPr>
          <w:rFonts w:ascii="宋体" w:hAnsi="宋体" w:eastAsia="宋体"/>
          <w:b/>
          <w:color w:val="auto"/>
          <w:sz w:val="24"/>
          <w:highlight w:val="none"/>
        </w:rPr>
        <w:t>以下方式</w:t>
      </w:r>
      <w:r>
        <w:rPr>
          <w:rFonts w:hint="eastAsia" w:ascii="宋体" w:hAnsi="宋体" w:eastAsia="宋体"/>
          <w:b/>
          <w:color w:val="auto"/>
          <w:sz w:val="24"/>
          <w:highlight w:val="none"/>
        </w:rPr>
        <w:t>联系</w:t>
      </w:r>
      <w:bookmarkEnd w:id="69"/>
      <w:bookmarkEnd w:id="70"/>
      <w:bookmarkEnd w:id="71"/>
      <w:bookmarkEnd w:id="72"/>
      <w:bookmarkEnd w:id="73"/>
    </w:p>
    <w:bookmarkEnd w:id="33"/>
    <w:p w14:paraId="33E591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DC0E5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横州市乡村振兴局</w:t>
      </w:r>
    </w:p>
    <w:p w14:paraId="10A8F9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 xml:space="preserve">横州市横州镇茉莉花大道21号 </w:t>
      </w:r>
    </w:p>
    <w:p w14:paraId="3DE679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零伟河、韦雨田</w:t>
      </w:r>
    </w:p>
    <w:p w14:paraId="5DEA53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联系</w:t>
      </w:r>
      <w:r>
        <w:rPr>
          <w:rFonts w:hint="eastAsia" w:ascii="宋体" w:hAnsi="宋体" w:cs="宋体"/>
          <w:color w:val="auto"/>
          <w:kern w:val="0"/>
          <w:szCs w:val="21"/>
          <w:highlight w:val="none"/>
          <w:lang w:val="en-US" w:eastAsia="zh-CN"/>
        </w:rPr>
        <w:t>方式</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0771-7082567</w:t>
      </w:r>
    </w:p>
    <w:p w14:paraId="5AB707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37F2C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广西汉昌工程咨询有限公司</w:t>
      </w:r>
    </w:p>
    <w:p w14:paraId="19105D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南宁市青秀区仙葫大道西16号鼎丰国际美食广场A栋11楼HC区域</w:t>
      </w:r>
    </w:p>
    <w:p w14:paraId="4C3C44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w:t>
      </w:r>
      <w:r>
        <w:rPr>
          <w:rFonts w:hint="eastAsia" w:ascii="宋体" w:hAnsi="宋体" w:eastAsia="宋体" w:cs="宋体"/>
          <w:color w:val="auto"/>
          <w:kern w:val="0"/>
          <w:szCs w:val="21"/>
          <w:highlight w:val="none"/>
          <w:lang w:eastAsia="zh-CN"/>
        </w:rPr>
        <w:t>人：唐华林、黄健</w:t>
      </w:r>
    </w:p>
    <w:p w14:paraId="73E71CB1">
      <w:pPr>
        <w:pStyle w:val="18"/>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szCs w:val="21"/>
          <w:highlight w:val="none"/>
          <w:lang w:eastAsia="zh-CN"/>
        </w:rPr>
        <w:t>0771-5718293</w:t>
      </w:r>
    </w:p>
    <w:p w14:paraId="2C09D7AD">
      <w:pPr>
        <w:pStyle w:val="16"/>
        <w:spacing w:line="360" w:lineRule="auto"/>
        <w:ind w:firstLine="420" w:firstLineChars="200"/>
        <w:jc w:val="right"/>
        <w:rPr>
          <w:rFonts w:hint="eastAsia" w:ascii="宋体" w:hAnsi="宋体" w:cs="宋体"/>
          <w:color w:val="auto"/>
          <w:szCs w:val="21"/>
          <w:highlight w:val="none"/>
        </w:rPr>
      </w:pPr>
    </w:p>
    <w:p w14:paraId="480F1E78">
      <w:pPr>
        <w:pStyle w:val="2"/>
        <w:spacing w:line="360" w:lineRule="auto"/>
        <w:jc w:val="center"/>
        <w:rPr>
          <w:rFonts w:ascii="宋体" w:hAnsi="宋体" w:cs="宋体"/>
          <w:color w:val="auto"/>
          <w:highlight w:val="none"/>
        </w:rPr>
      </w:pPr>
      <w:bookmarkStart w:id="74" w:name="_Toc24628"/>
      <w:bookmarkStart w:id="75" w:name="_Toc677"/>
      <w:bookmarkStart w:id="76" w:name="_Toc15575"/>
      <w:bookmarkStart w:id="77" w:name="_Toc20817"/>
      <w:bookmarkStart w:id="78" w:name="_Toc15775"/>
      <w:bookmarkStart w:id="79" w:name="_Toc24059"/>
      <w:r>
        <w:rPr>
          <w:rFonts w:hint="eastAsia" w:ascii="宋体" w:hAnsi="宋体" w:cs="宋体"/>
          <w:color w:val="auto"/>
          <w:highlight w:val="none"/>
        </w:rPr>
        <w:br w:type="page"/>
      </w:r>
      <w:bookmarkStart w:id="80" w:name="_Toc5491"/>
      <w:bookmarkStart w:id="81" w:name="_Toc15805"/>
      <w:bookmarkStart w:id="82" w:name="_Toc1373"/>
      <w:r>
        <w:rPr>
          <w:rFonts w:hint="eastAsia" w:ascii="宋体" w:hAnsi="宋体" w:cs="宋体"/>
          <w:color w:val="auto"/>
          <w:highlight w:val="none"/>
        </w:rPr>
        <w:t>第二章 采购需求</w:t>
      </w:r>
      <w:bookmarkEnd w:id="74"/>
      <w:bookmarkEnd w:id="75"/>
      <w:bookmarkEnd w:id="76"/>
      <w:bookmarkEnd w:id="77"/>
      <w:bookmarkEnd w:id="78"/>
      <w:bookmarkEnd w:id="79"/>
      <w:bookmarkEnd w:id="80"/>
      <w:bookmarkEnd w:id="81"/>
      <w:bookmarkEnd w:id="82"/>
    </w:p>
    <w:p w14:paraId="70FEF80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说明：</w:t>
      </w:r>
    </w:p>
    <w:p w14:paraId="5598294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highlight w:val="none"/>
        </w:rPr>
        <w:t>1.本项目专门面向中小企业采购：</w:t>
      </w:r>
      <w:r>
        <w:rPr>
          <w:rFonts w:hint="eastAsia" w:ascii="宋体" w:hAnsi="宋体" w:cs="宋体"/>
          <w:color w:val="auto"/>
          <w:szCs w:val="21"/>
          <w:highlight w:val="none"/>
        </w:rPr>
        <w:t>本竞争性磋商文件所称中小企业必须符合《政府采购促进中小企业发展管理办法》（财库〔2020〕46号）的规定。</w:t>
      </w:r>
    </w:p>
    <w:p w14:paraId="1A7598F8">
      <w:pPr>
        <w:keepNext w:val="0"/>
        <w:keepLines w:val="0"/>
        <w:pageBreakBefore w:val="0"/>
        <w:widowControl w:val="0"/>
        <w:kinsoku/>
        <w:wordWrap/>
        <w:overflowPunct/>
        <w:topLinePunct w:val="0"/>
        <w:autoSpaceDE/>
        <w:autoSpaceDN/>
        <w:bidi w:val="0"/>
        <w:adjustRightInd/>
        <w:snapToGrid/>
        <w:spacing w:line="380" w:lineRule="exact"/>
        <w:ind w:firstLine="413" w:firstLineChars="196"/>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本项目凡标注“▲”的条款或要求不响应或不满足的，其响应文件即作无效竞标处理。不需要供应商对采购需求响应为具体数值的，此采购需求的数值后将以◆号标注。</w:t>
      </w:r>
    </w:p>
    <w:p w14:paraId="3B58B0B9">
      <w:pPr>
        <w:keepNext w:val="0"/>
        <w:keepLines w:val="0"/>
        <w:pageBreakBefore w:val="0"/>
        <w:widowControl w:val="0"/>
        <w:kinsoku/>
        <w:wordWrap/>
        <w:overflowPunct/>
        <w:topLinePunct w:val="0"/>
        <w:autoSpaceDE/>
        <w:autoSpaceDN/>
        <w:bidi w:val="0"/>
        <w:adjustRightInd/>
        <w:snapToGrid/>
        <w:spacing w:line="380" w:lineRule="exact"/>
        <w:ind w:firstLine="413" w:firstLineChars="196"/>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3.根据《关于印发中小企业划型标准规定的通知》（工信部联企业〔2011〕300号）规定，本项目采购标的对应的中小企业划分标准所属行业为：</w:t>
      </w:r>
      <w:r>
        <w:rPr>
          <w:rFonts w:hint="eastAsia" w:ascii="宋体" w:hAnsi="宋体" w:cs="宋体"/>
          <w:b/>
          <w:bCs/>
          <w:color w:val="auto"/>
          <w:szCs w:val="21"/>
          <w:highlight w:val="none"/>
          <w:u w:val="single"/>
        </w:rPr>
        <w:t xml:space="preserve">  建筑业  </w:t>
      </w:r>
      <w:r>
        <w:rPr>
          <w:rFonts w:hint="eastAsia" w:ascii="宋体" w:hAnsi="宋体" w:cs="宋体"/>
          <w:b/>
          <w:bCs/>
          <w:color w:val="auto"/>
          <w:szCs w:val="21"/>
          <w:highlight w:val="none"/>
        </w:rPr>
        <w:t>。</w:t>
      </w:r>
    </w:p>
    <w:p w14:paraId="2C58C16D">
      <w:pPr>
        <w:keepNext w:val="0"/>
        <w:keepLines w:val="0"/>
        <w:pageBreakBefore w:val="0"/>
        <w:widowControl w:val="0"/>
        <w:kinsoku/>
        <w:wordWrap/>
        <w:overflowPunct/>
        <w:topLinePunct w:val="0"/>
        <w:autoSpaceDE/>
        <w:autoSpaceDN/>
        <w:bidi w:val="0"/>
        <w:adjustRightInd/>
        <w:snapToGrid/>
        <w:spacing w:line="380" w:lineRule="exact"/>
        <w:ind w:firstLine="413" w:firstLineChars="196"/>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分标1</w:t>
      </w:r>
    </w:p>
    <w:tbl>
      <w:tblPr>
        <w:tblStyle w:val="4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900"/>
        <w:gridCol w:w="990"/>
        <w:gridCol w:w="4739"/>
        <w:gridCol w:w="1288"/>
      </w:tblGrid>
      <w:tr w14:paraId="7671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989" w:type="dxa"/>
            <w:gridSpan w:val="6"/>
            <w:tcBorders>
              <w:top w:val="single" w:color="auto" w:sz="4" w:space="0"/>
              <w:left w:val="single" w:color="auto" w:sz="4" w:space="0"/>
              <w:bottom w:val="single" w:color="auto" w:sz="4" w:space="0"/>
              <w:right w:val="single" w:color="auto" w:sz="4" w:space="0"/>
            </w:tcBorders>
            <w:noWrap w:val="0"/>
            <w:vAlign w:val="center"/>
          </w:tcPr>
          <w:p w14:paraId="12108AE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 w:val="28"/>
                <w:szCs w:val="28"/>
                <w:highlight w:val="none"/>
              </w:rPr>
              <w:t>采购需求一览表</w:t>
            </w:r>
          </w:p>
        </w:tc>
      </w:tr>
      <w:tr w14:paraId="5EF4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noWrap w:val="0"/>
            <w:vAlign w:val="center"/>
          </w:tcPr>
          <w:p w14:paraId="09B7849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lang w:bidi="ar"/>
              </w:rPr>
            </w:pPr>
            <w:r>
              <w:rPr>
                <w:rFonts w:hint="eastAsia" w:ascii="宋体" w:hAnsi="宋体" w:cs="宋体"/>
                <w:b/>
                <w:bCs/>
                <w:color w:val="auto"/>
                <w:szCs w:val="21"/>
                <w:highlight w:val="none"/>
              </w:rPr>
              <w:t>技术需求</w:t>
            </w:r>
          </w:p>
        </w:tc>
        <w:tc>
          <w:tcPr>
            <w:tcW w:w="457" w:type="dxa"/>
            <w:tcBorders>
              <w:top w:val="single" w:color="auto" w:sz="4" w:space="0"/>
              <w:left w:val="single" w:color="auto" w:sz="4" w:space="0"/>
              <w:bottom w:val="single" w:color="auto" w:sz="4" w:space="0"/>
              <w:right w:val="single" w:color="auto" w:sz="4" w:space="0"/>
            </w:tcBorders>
            <w:noWrap w:val="0"/>
            <w:vAlign w:val="center"/>
          </w:tcPr>
          <w:p w14:paraId="2990334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序号</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D635DBF">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bidi="ar"/>
              </w:rPr>
              <w:t>标的的名称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D45C97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数量及单位</w:t>
            </w:r>
          </w:p>
        </w:tc>
        <w:tc>
          <w:tcPr>
            <w:tcW w:w="4739" w:type="dxa"/>
            <w:tcBorders>
              <w:top w:val="single" w:color="auto" w:sz="4" w:space="0"/>
              <w:left w:val="single" w:color="auto" w:sz="4" w:space="0"/>
              <w:bottom w:val="single" w:color="auto" w:sz="4" w:space="0"/>
              <w:right w:val="single" w:color="auto" w:sz="4" w:space="0"/>
            </w:tcBorders>
            <w:noWrap w:val="0"/>
            <w:vAlign w:val="center"/>
          </w:tcPr>
          <w:p w14:paraId="5AD64E4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采购内容及要求</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4A5B27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分项预算合计（元）</w:t>
            </w:r>
          </w:p>
        </w:tc>
      </w:tr>
      <w:tr w14:paraId="78B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tcBorders>
              <w:left w:val="single" w:color="auto" w:sz="4" w:space="0"/>
              <w:right w:val="single" w:color="auto" w:sz="4" w:space="0"/>
            </w:tcBorders>
            <w:noWrap w:val="0"/>
            <w:vAlign w:val="center"/>
          </w:tcPr>
          <w:p w14:paraId="31AAF72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noWrap w:val="0"/>
            <w:vAlign w:val="center"/>
          </w:tcPr>
          <w:p w14:paraId="706126C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545ACB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横州市2025年公益性资产管护（修缮）项目（</w:t>
            </w:r>
            <w:r>
              <w:rPr>
                <w:rFonts w:hint="eastAsia" w:ascii="宋体" w:hAnsi="宋体" w:cs="宋体"/>
                <w:color w:val="auto"/>
                <w:szCs w:val="21"/>
                <w:highlight w:val="none"/>
                <w:lang w:val="en-US" w:eastAsia="zh-CN"/>
              </w:rPr>
              <w:t>一标段）</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280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4739" w:type="dxa"/>
            <w:tcBorders>
              <w:top w:val="single" w:color="auto" w:sz="4" w:space="0"/>
              <w:left w:val="single" w:color="auto" w:sz="4" w:space="0"/>
              <w:bottom w:val="single" w:color="auto" w:sz="4" w:space="0"/>
              <w:right w:val="single" w:color="auto" w:sz="4" w:space="0"/>
            </w:tcBorders>
            <w:noWrap w:val="0"/>
            <w:vAlign w:val="center"/>
          </w:tcPr>
          <w:p w14:paraId="1F3C9199">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eastAsia="宋体" w:cs="Times New Roman"/>
                <w:color w:val="auto"/>
                <w:kern w:val="0"/>
                <w:szCs w:val="21"/>
                <w:highlight w:val="none"/>
                <w:lang w:val="en-US" w:eastAsia="zh-CN"/>
              </w:rPr>
            </w:pPr>
            <w:r>
              <w:rPr>
                <w:rFonts w:hint="eastAsia"/>
                <w:color w:val="auto"/>
                <w:kern w:val="0"/>
                <w:szCs w:val="21"/>
                <w:highlight w:val="none"/>
              </w:rPr>
              <w:t>本工程为横州市2025年公益性资产管护（修缮）项目（一标段），位于横州市百合镇、那阳镇、南乡镇、陶圩镇、莲塘镇、马山镇、平马镇</w:t>
            </w:r>
            <w:r>
              <w:rPr>
                <w:rFonts w:hint="eastAsia"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具体详见施工图纸及工程量清单</w:t>
            </w:r>
            <w:r>
              <w:rPr>
                <w:rFonts w:hint="eastAsia" w:ascii="宋体" w:hAnsi="宋体" w:cs="宋体"/>
                <w:color w:val="auto"/>
                <w:szCs w:val="21"/>
                <w:highlight w:val="none"/>
                <w:lang w:val="en-US" w:eastAsia="zh-CN"/>
              </w:rPr>
              <w:t>。</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0F88B3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608848.90</w:t>
            </w:r>
          </w:p>
        </w:tc>
      </w:tr>
      <w:tr w14:paraId="53C0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15" w:type="dxa"/>
            <w:tcBorders>
              <w:left w:val="single" w:color="auto" w:sz="4" w:space="0"/>
              <w:right w:val="single" w:color="auto" w:sz="4" w:space="0"/>
            </w:tcBorders>
            <w:noWrap w:val="0"/>
            <w:vAlign w:val="center"/>
          </w:tcPr>
          <w:p w14:paraId="0D012F8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rPr>
              <w:t>▲</w:t>
            </w:r>
            <w:r>
              <w:rPr>
                <w:rFonts w:hint="eastAsia" w:ascii="宋体" w:hAnsi="宋体" w:cs="宋体"/>
                <w:b/>
                <w:bCs/>
                <w:color w:val="auto"/>
                <w:szCs w:val="21"/>
                <w:highlight w:val="none"/>
              </w:rPr>
              <w:t>商务条款</w:t>
            </w:r>
          </w:p>
        </w:tc>
        <w:tc>
          <w:tcPr>
            <w:tcW w:w="9374" w:type="dxa"/>
            <w:gridSpan w:val="5"/>
            <w:tcBorders>
              <w:top w:val="single" w:color="auto" w:sz="4" w:space="0"/>
              <w:left w:val="single" w:color="auto" w:sz="4" w:space="0"/>
              <w:bottom w:val="single" w:color="auto" w:sz="4" w:space="0"/>
              <w:right w:val="single" w:color="auto" w:sz="4" w:space="0"/>
            </w:tcBorders>
            <w:noWrap w:val="0"/>
            <w:vAlign w:val="center"/>
          </w:tcPr>
          <w:p w14:paraId="1816060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一、合同签订期：自成交通知书发出之日起25日内。</w:t>
            </w:r>
          </w:p>
          <w:p w14:paraId="6AB7A84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工期：</w:t>
            </w:r>
            <w:r>
              <w:rPr>
                <w:rFonts w:hint="eastAsia" w:ascii="宋体" w:hAnsi="宋体" w:cs="宋体"/>
                <w:color w:val="auto"/>
                <w:szCs w:val="21"/>
                <w:highlight w:val="none"/>
                <w:lang w:val="en-US" w:eastAsia="zh-CN"/>
              </w:rPr>
              <w:t>30日历天</w:t>
            </w:r>
            <w:r>
              <w:rPr>
                <w:rFonts w:hint="eastAsia" w:ascii="宋体" w:hAnsi="宋体" w:cs="宋体"/>
                <w:color w:val="auto"/>
                <w:szCs w:val="21"/>
                <w:highlight w:val="none"/>
              </w:rPr>
              <w:t>。</w:t>
            </w:r>
          </w:p>
          <w:p w14:paraId="6BDB1170">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cs="宋体"/>
                <w:color w:val="auto"/>
                <w:highlight w:val="none"/>
              </w:rPr>
              <w:t>质量标准</w:t>
            </w:r>
            <w:r>
              <w:rPr>
                <w:rFonts w:hint="eastAsia" w:ascii="宋体" w:hAnsi="宋体" w:cs="宋体"/>
                <w:color w:val="auto"/>
                <w:szCs w:val="21"/>
                <w:highlight w:val="none"/>
              </w:rPr>
              <w:t>：</w:t>
            </w:r>
            <w:r>
              <w:rPr>
                <w:rFonts w:hint="eastAsia" w:cs="宋体"/>
                <w:color w:val="auto"/>
                <w:highlight w:val="none"/>
              </w:rPr>
              <w:t>达到国家施工验收规范合格标准</w:t>
            </w:r>
            <w:r>
              <w:rPr>
                <w:rFonts w:hint="eastAsia" w:ascii="宋体" w:hAnsi="宋体" w:cs="宋体"/>
                <w:color w:val="auto"/>
                <w:szCs w:val="21"/>
                <w:highlight w:val="none"/>
              </w:rPr>
              <w:t>。</w:t>
            </w:r>
          </w:p>
          <w:p w14:paraId="23791FBC">
            <w:pPr>
              <w:pStyle w:val="18"/>
              <w:keepNext w:val="0"/>
              <w:keepLines w:val="0"/>
              <w:pageBreakBefore w:val="0"/>
              <w:kinsoku/>
              <w:wordWrap/>
              <w:overflowPunct/>
              <w:topLinePunct w:val="0"/>
              <w:autoSpaceDE/>
              <w:autoSpaceDN/>
              <w:bidi w:val="0"/>
              <w:adjustRightInd/>
              <w:snapToGrid/>
              <w:spacing w:after="0" w:line="38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报价方式：采用招标工程量清单报价，竞标报价不得高于最高限价及采购预算，否则竞标无效。本项目采用最后报价方式。竞标人的最后报价如有变动（如最后报价无变动的，可以采用首次报价清单），则必须以招标工程量清单报价表的格式编制提交，否则竞标无效。竞标人须提前做好相关准备并按时递交最后报价文件，否则竞标无效。</w:t>
            </w:r>
          </w:p>
          <w:p w14:paraId="0A7E31AA">
            <w:pPr>
              <w:pStyle w:val="144"/>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、付款方式：</w:t>
            </w:r>
            <w:r>
              <w:rPr>
                <w:rFonts w:hint="eastAsia" w:ascii="宋体" w:hAnsi="宋体" w:cs="宋体"/>
                <w:color w:val="auto"/>
                <w:szCs w:val="21"/>
                <w:highlight w:val="none"/>
                <w:lang w:eastAsia="zh-CN"/>
              </w:rPr>
              <w:t>承包方已具备施工条件且已开始施工后</w:t>
            </w:r>
            <w:r>
              <w:rPr>
                <w:rFonts w:hint="eastAsia" w:ascii="宋体" w:hAnsi="宋体" w:eastAsia="宋体" w:cs="宋体"/>
                <w:color w:val="auto"/>
                <w:highlight w:val="none"/>
                <w:u w:val="none"/>
              </w:rPr>
              <w:t>，可申请不超过合同价30%的</w:t>
            </w:r>
            <w:r>
              <w:rPr>
                <w:rFonts w:hint="eastAsia" w:ascii="宋体" w:hAnsi="宋体" w:eastAsia="宋体" w:cs="宋体"/>
                <w:color w:val="auto"/>
                <w:highlight w:val="none"/>
                <w:u w:val="none"/>
                <w:lang w:eastAsia="zh-CN"/>
              </w:rPr>
              <w:t>工程</w:t>
            </w:r>
            <w:r>
              <w:rPr>
                <w:rFonts w:hint="eastAsia" w:ascii="宋体" w:hAnsi="宋体" w:eastAsia="宋体" w:cs="宋体"/>
                <w:color w:val="auto"/>
                <w:highlight w:val="none"/>
                <w:u w:val="none"/>
              </w:rPr>
              <w:t>预付款</w:t>
            </w:r>
            <w:r>
              <w:rPr>
                <w:rFonts w:hint="eastAsia" w:ascii="宋体" w:hAnsi="宋体" w:eastAsia="宋体" w:cs="宋体"/>
                <w:color w:val="auto"/>
                <w:highlight w:val="none"/>
                <w:u w:val="none"/>
                <w:lang w:eastAsia="zh-CN"/>
              </w:rPr>
              <w:t>（工程预付款在</w:t>
            </w:r>
            <w:r>
              <w:rPr>
                <w:rFonts w:hint="eastAsia" w:ascii="宋体" w:hAnsi="宋体" w:eastAsia="宋体" w:cs="宋体"/>
                <w:color w:val="auto"/>
                <w:highlight w:val="none"/>
                <w:u w:val="none"/>
              </w:rPr>
              <w:t>项目报账</w:t>
            </w:r>
            <w:r>
              <w:rPr>
                <w:rFonts w:hint="eastAsia" w:ascii="宋体" w:hAnsi="宋体" w:eastAsia="宋体" w:cs="宋体"/>
                <w:color w:val="auto"/>
                <w:highlight w:val="none"/>
                <w:u w:val="none"/>
                <w:lang w:eastAsia="zh-CN"/>
              </w:rPr>
              <w:t>时</w:t>
            </w:r>
            <w:r>
              <w:rPr>
                <w:rFonts w:hint="eastAsia" w:ascii="宋体" w:hAnsi="宋体" w:eastAsia="宋体" w:cs="宋体"/>
                <w:color w:val="auto"/>
                <w:highlight w:val="none"/>
                <w:u w:val="none"/>
              </w:rPr>
              <w:t>抵扣）</w:t>
            </w:r>
            <w:r>
              <w:rPr>
                <w:rFonts w:hint="eastAsia" w:ascii="宋体" w:hAnsi="宋体" w:eastAsia="宋体" w:cs="宋体"/>
                <w:color w:val="auto"/>
                <w:highlight w:val="none"/>
                <w:u w:val="none"/>
                <w:lang w:eastAsia="zh-CN"/>
              </w:rPr>
              <w:t>，发包方拨</w:t>
            </w:r>
            <w:r>
              <w:rPr>
                <w:rFonts w:hint="eastAsia" w:ascii="宋体" w:hAnsi="宋体" w:eastAsia="宋体" w:cs="宋体"/>
                <w:color w:val="auto"/>
                <w:highlight w:val="none"/>
                <w:u w:val="none"/>
              </w:rPr>
              <w:t>付至工程进度款的90%时，抵扣完所有工程预付款。</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按项目进度</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拨付工程款，可根据实际进度申请不超过90%的进度款</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工程项目竣工后，</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可</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拨付至项目监理部门审定完成投资90%的工程款。工程竣工并通过建设单位验收合格,并经横州市财政投资项目评审中心或第三方咨询公司审核并出具审核结算报告后，</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可</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拨付至合同价款97%的工程款</w:t>
            </w:r>
            <w:r>
              <w:rPr>
                <w:rFonts w:hint="eastAsia" w:ascii="宋体" w:hAnsi="宋体" w:eastAsia="宋体" w:cs="宋体"/>
                <w:color w:val="auto"/>
                <w:highlight w:val="none"/>
                <w:u w:val="none"/>
                <w:lang w:eastAsia="zh-CN"/>
              </w:rPr>
              <w:t>。发包方</w:t>
            </w:r>
            <w:r>
              <w:rPr>
                <w:rFonts w:hint="eastAsia" w:ascii="宋体" w:hAnsi="宋体" w:eastAsia="宋体" w:cs="宋体"/>
                <w:color w:val="auto"/>
                <w:highlight w:val="none"/>
                <w:u w:val="none"/>
              </w:rPr>
              <w:t>留存工程合同价的3%的工程款作为工程质量保证金，承包方在工程竣工验收合格1年后，经实地检验工程无质量缺陷，向发包方申请工程质量保证金（项目总价款最终以审核结算价为准）。</w:t>
            </w:r>
          </w:p>
          <w:p w14:paraId="177D772C">
            <w:pPr>
              <w:pStyle w:val="144"/>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注：如果工程量有变动，需经监理</w:t>
            </w:r>
            <w:r>
              <w:rPr>
                <w:rFonts w:ascii="宋体" w:hAnsi="宋体" w:cs="宋体"/>
                <w:b/>
                <w:bCs/>
                <w:color w:val="auto"/>
                <w:szCs w:val="21"/>
                <w:highlight w:val="none"/>
              </w:rPr>
              <w:t>、设计</w:t>
            </w:r>
            <w:r>
              <w:rPr>
                <w:rFonts w:hint="eastAsia" w:ascii="宋体" w:hAnsi="宋体" w:cs="宋体"/>
                <w:b/>
                <w:bCs/>
                <w:color w:val="auto"/>
                <w:szCs w:val="21"/>
                <w:highlight w:val="none"/>
              </w:rPr>
              <w:t>、</w:t>
            </w:r>
            <w:r>
              <w:rPr>
                <w:rFonts w:ascii="宋体" w:hAnsi="宋体" w:cs="宋体"/>
                <w:b/>
                <w:bCs/>
                <w:color w:val="auto"/>
                <w:szCs w:val="21"/>
                <w:highlight w:val="none"/>
              </w:rPr>
              <w:t>发包人审批</w:t>
            </w:r>
            <w:r>
              <w:rPr>
                <w:rFonts w:hint="eastAsia" w:ascii="宋体" w:hAnsi="宋体" w:cs="宋体"/>
                <w:b/>
                <w:bCs/>
                <w:color w:val="auto"/>
                <w:szCs w:val="21"/>
                <w:highlight w:val="none"/>
              </w:rPr>
              <w:t>同意，但最终结算以财政部门审定的工程量及单价为准。</w:t>
            </w:r>
          </w:p>
        </w:tc>
      </w:tr>
      <w:tr w14:paraId="11CA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615" w:type="dxa"/>
            <w:tcBorders>
              <w:left w:val="single" w:color="auto" w:sz="4" w:space="0"/>
              <w:bottom w:val="single" w:color="auto" w:sz="4" w:space="0"/>
              <w:right w:val="single" w:color="auto" w:sz="4" w:space="0"/>
            </w:tcBorders>
            <w:noWrap w:val="0"/>
            <w:vAlign w:val="center"/>
          </w:tcPr>
          <w:p w14:paraId="6CEF1AA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其他说明</w:t>
            </w:r>
          </w:p>
        </w:tc>
        <w:tc>
          <w:tcPr>
            <w:tcW w:w="9374" w:type="dxa"/>
            <w:gridSpan w:val="5"/>
            <w:tcBorders>
              <w:top w:val="single" w:color="auto" w:sz="4" w:space="0"/>
              <w:left w:val="single" w:color="auto" w:sz="4" w:space="0"/>
              <w:bottom w:val="single" w:color="auto" w:sz="4" w:space="0"/>
              <w:right w:val="single" w:color="auto" w:sz="4" w:space="0"/>
            </w:tcBorders>
            <w:noWrap w:val="0"/>
            <w:vAlign w:val="center"/>
          </w:tcPr>
          <w:p w14:paraId="49B4F3A1">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一、与本项目有关的设计图纸、技术规范、文件等附件资料获取方式：网上下载。供应商可自行在广西政府采购云平台自行下载。</w:t>
            </w:r>
          </w:p>
          <w:p w14:paraId="10BCB40F">
            <w:pPr>
              <w:pStyle w:val="18"/>
              <w:keepNext w:val="0"/>
              <w:keepLines w:val="0"/>
              <w:pageBreakBefore w:val="0"/>
              <w:kinsoku/>
              <w:wordWrap/>
              <w:overflowPunct/>
              <w:topLinePunct w:val="0"/>
              <w:autoSpaceDE/>
              <w:autoSpaceDN/>
              <w:bidi w:val="0"/>
              <w:adjustRightInd/>
              <w:snapToGrid/>
              <w:spacing w:after="0"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二、可能实质性变动的内容：技术、服务要求以及合同草案条款。</w:t>
            </w:r>
          </w:p>
        </w:tc>
      </w:tr>
    </w:tbl>
    <w:p w14:paraId="4C338CA7">
      <w:pPr>
        <w:spacing w:line="360" w:lineRule="auto"/>
        <w:rPr>
          <w:rFonts w:hint="eastAsia" w:ascii="宋体" w:hAnsi="宋体" w:cs="宋体"/>
          <w:color w:val="auto"/>
          <w:sz w:val="32"/>
          <w:szCs w:val="32"/>
          <w:highlight w:val="none"/>
        </w:rPr>
      </w:pPr>
    </w:p>
    <w:p w14:paraId="5C6FE212">
      <w:pPr>
        <w:keepNext w:val="0"/>
        <w:keepLines w:val="0"/>
        <w:pageBreakBefore w:val="0"/>
        <w:widowControl w:val="0"/>
        <w:kinsoku/>
        <w:wordWrap/>
        <w:overflowPunct/>
        <w:topLinePunct w:val="0"/>
        <w:autoSpaceDE/>
        <w:autoSpaceDN/>
        <w:bidi w:val="0"/>
        <w:adjustRightInd/>
        <w:snapToGrid/>
        <w:spacing w:line="380" w:lineRule="exact"/>
        <w:ind w:firstLine="413" w:firstLineChars="196"/>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分标2</w:t>
      </w:r>
    </w:p>
    <w:tbl>
      <w:tblPr>
        <w:tblStyle w:val="4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900"/>
        <w:gridCol w:w="990"/>
        <w:gridCol w:w="4739"/>
        <w:gridCol w:w="1288"/>
      </w:tblGrid>
      <w:tr w14:paraId="6B47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989" w:type="dxa"/>
            <w:gridSpan w:val="6"/>
            <w:tcBorders>
              <w:top w:val="single" w:color="auto" w:sz="4" w:space="0"/>
              <w:left w:val="single" w:color="auto" w:sz="4" w:space="0"/>
              <w:bottom w:val="single" w:color="auto" w:sz="4" w:space="0"/>
              <w:right w:val="single" w:color="auto" w:sz="4" w:space="0"/>
            </w:tcBorders>
            <w:noWrap w:val="0"/>
            <w:vAlign w:val="center"/>
          </w:tcPr>
          <w:p w14:paraId="23F5DDA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 w:val="28"/>
                <w:szCs w:val="28"/>
                <w:highlight w:val="none"/>
              </w:rPr>
              <w:t>采购需求一览表</w:t>
            </w:r>
          </w:p>
        </w:tc>
      </w:tr>
      <w:tr w14:paraId="0E8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noWrap w:val="0"/>
            <w:vAlign w:val="center"/>
          </w:tcPr>
          <w:p w14:paraId="2470B3B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lang w:bidi="ar"/>
              </w:rPr>
            </w:pPr>
            <w:r>
              <w:rPr>
                <w:rFonts w:hint="eastAsia" w:ascii="宋体" w:hAnsi="宋体" w:cs="宋体"/>
                <w:b/>
                <w:bCs/>
                <w:color w:val="auto"/>
                <w:szCs w:val="21"/>
                <w:highlight w:val="none"/>
              </w:rPr>
              <w:t>技术需求</w:t>
            </w:r>
          </w:p>
        </w:tc>
        <w:tc>
          <w:tcPr>
            <w:tcW w:w="457" w:type="dxa"/>
            <w:tcBorders>
              <w:top w:val="single" w:color="auto" w:sz="4" w:space="0"/>
              <w:left w:val="single" w:color="auto" w:sz="4" w:space="0"/>
              <w:bottom w:val="single" w:color="auto" w:sz="4" w:space="0"/>
              <w:right w:val="single" w:color="auto" w:sz="4" w:space="0"/>
            </w:tcBorders>
            <w:noWrap w:val="0"/>
            <w:vAlign w:val="center"/>
          </w:tcPr>
          <w:p w14:paraId="0DF54F2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序号</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6F9DBA7">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bidi="ar"/>
              </w:rPr>
              <w:t>标的的名称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0AA3E0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数量及单位</w:t>
            </w:r>
          </w:p>
        </w:tc>
        <w:tc>
          <w:tcPr>
            <w:tcW w:w="4739" w:type="dxa"/>
            <w:tcBorders>
              <w:top w:val="single" w:color="auto" w:sz="4" w:space="0"/>
              <w:left w:val="single" w:color="auto" w:sz="4" w:space="0"/>
              <w:bottom w:val="single" w:color="auto" w:sz="4" w:space="0"/>
              <w:right w:val="single" w:color="auto" w:sz="4" w:space="0"/>
            </w:tcBorders>
            <w:noWrap w:val="0"/>
            <w:vAlign w:val="center"/>
          </w:tcPr>
          <w:p w14:paraId="42C3F0B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采购内容及要求</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F6F41B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bidi="ar"/>
              </w:rPr>
              <w:t>分项预算合计（元）</w:t>
            </w:r>
          </w:p>
        </w:tc>
      </w:tr>
      <w:tr w14:paraId="5165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tcBorders>
              <w:left w:val="single" w:color="auto" w:sz="4" w:space="0"/>
              <w:right w:val="single" w:color="auto" w:sz="4" w:space="0"/>
            </w:tcBorders>
            <w:noWrap w:val="0"/>
            <w:vAlign w:val="center"/>
          </w:tcPr>
          <w:p w14:paraId="389DA56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noWrap w:val="0"/>
            <w:vAlign w:val="center"/>
          </w:tcPr>
          <w:p w14:paraId="76F435A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BF28E4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横州市2025年公益性资产管护（修缮）项目（</w:t>
            </w:r>
            <w:r>
              <w:rPr>
                <w:rFonts w:hint="eastAsia" w:ascii="宋体" w:hAnsi="宋体" w:cs="宋体"/>
                <w:color w:val="auto"/>
                <w:szCs w:val="21"/>
                <w:highlight w:val="none"/>
                <w:lang w:val="en-US" w:eastAsia="zh-CN"/>
              </w:rPr>
              <w:t>二标段）</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DBBD96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4739" w:type="dxa"/>
            <w:tcBorders>
              <w:top w:val="single" w:color="auto" w:sz="4" w:space="0"/>
              <w:left w:val="single" w:color="auto" w:sz="4" w:space="0"/>
              <w:bottom w:val="single" w:color="auto" w:sz="4" w:space="0"/>
              <w:right w:val="single" w:color="auto" w:sz="4" w:space="0"/>
            </w:tcBorders>
            <w:noWrap w:val="0"/>
            <w:vAlign w:val="center"/>
          </w:tcPr>
          <w:p w14:paraId="056F7274">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eastAsia="宋体" w:cs="Times New Roman"/>
                <w:color w:val="auto"/>
                <w:kern w:val="0"/>
                <w:szCs w:val="21"/>
                <w:highlight w:val="none"/>
                <w:lang w:val="en-US" w:eastAsia="zh-CN"/>
              </w:rPr>
            </w:pPr>
            <w:r>
              <w:rPr>
                <w:rFonts w:hint="eastAsia"/>
                <w:color w:val="auto"/>
                <w:kern w:val="0"/>
                <w:szCs w:val="21"/>
                <w:highlight w:val="none"/>
              </w:rPr>
              <w:t>本工程为横州市2025年公益性资产管护（修缮）项目（二标段），位于横州市镇龙乡、六景镇、新福镇</w:t>
            </w:r>
            <w:r>
              <w:rPr>
                <w:rFonts w:hint="eastAsia"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具体详见施工图纸及工程量清单</w:t>
            </w:r>
            <w:r>
              <w:rPr>
                <w:rFonts w:hint="eastAsia" w:ascii="宋体" w:hAnsi="宋体" w:cs="宋体"/>
                <w:color w:val="auto"/>
                <w:szCs w:val="21"/>
                <w:highlight w:val="none"/>
                <w:lang w:val="en-US" w:eastAsia="zh-CN"/>
              </w:rPr>
              <w:t>。</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419E23B7">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620675.70</w:t>
            </w:r>
          </w:p>
        </w:tc>
      </w:tr>
      <w:tr w14:paraId="349F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15" w:type="dxa"/>
            <w:tcBorders>
              <w:left w:val="single" w:color="auto" w:sz="4" w:space="0"/>
              <w:right w:val="single" w:color="auto" w:sz="4" w:space="0"/>
            </w:tcBorders>
            <w:noWrap w:val="0"/>
            <w:vAlign w:val="center"/>
          </w:tcPr>
          <w:p w14:paraId="7BBD420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rPr>
              <w:t>▲</w:t>
            </w:r>
            <w:r>
              <w:rPr>
                <w:rFonts w:hint="eastAsia" w:ascii="宋体" w:hAnsi="宋体" w:cs="宋体"/>
                <w:b/>
                <w:bCs/>
                <w:color w:val="auto"/>
                <w:szCs w:val="21"/>
                <w:highlight w:val="none"/>
              </w:rPr>
              <w:t>商务条款</w:t>
            </w:r>
          </w:p>
        </w:tc>
        <w:tc>
          <w:tcPr>
            <w:tcW w:w="9374" w:type="dxa"/>
            <w:gridSpan w:val="5"/>
            <w:tcBorders>
              <w:top w:val="single" w:color="auto" w:sz="4" w:space="0"/>
              <w:left w:val="single" w:color="auto" w:sz="4" w:space="0"/>
              <w:bottom w:val="single" w:color="auto" w:sz="4" w:space="0"/>
              <w:right w:val="single" w:color="auto" w:sz="4" w:space="0"/>
            </w:tcBorders>
            <w:noWrap w:val="0"/>
            <w:vAlign w:val="center"/>
          </w:tcPr>
          <w:p w14:paraId="6C5DC52E">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一、合同签订</w:t>
            </w:r>
            <w:r>
              <w:rPr>
                <w:rFonts w:hint="eastAsia" w:ascii="宋体" w:hAnsi="宋体" w:cs="宋体"/>
                <w:color w:val="auto"/>
                <w:szCs w:val="21"/>
                <w:highlight w:val="none"/>
                <w:lang w:eastAsia="zh-CN"/>
              </w:rPr>
              <w:t>期限</w:t>
            </w:r>
            <w:r>
              <w:rPr>
                <w:rFonts w:hint="eastAsia" w:ascii="宋体" w:hAnsi="宋体" w:cs="宋体"/>
                <w:color w:val="auto"/>
                <w:szCs w:val="21"/>
                <w:highlight w:val="none"/>
              </w:rPr>
              <w:t>：自成交通知书发出之日起25日内。</w:t>
            </w:r>
          </w:p>
          <w:p w14:paraId="2BD3C9B1">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工期：</w:t>
            </w:r>
            <w:r>
              <w:rPr>
                <w:rFonts w:hint="eastAsia" w:ascii="宋体" w:hAnsi="宋体" w:cs="宋体"/>
                <w:color w:val="auto"/>
                <w:szCs w:val="21"/>
                <w:highlight w:val="none"/>
                <w:lang w:val="en-US" w:eastAsia="zh-CN"/>
              </w:rPr>
              <w:t>30日历天</w:t>
            </w:r>
            <w:r>
              <w:rPr>
                <w:rFonts w:hint="eastAsia" w:ascii="宋体" w:hAnsi="宋体" w:cs="宋体"/>
                <w:color w:val="auto"/>
                <w:szCs w:val="21"/>
                <w:highlight w:val="none"/>
              </w:rPr>
              <w:t>。</w:t>
            </w:r>
          </w:p>
          <w:p w14:paraId="664DDB6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cs="宋体"/>
                <w:color w:val="auto"/>
                <w:highlight w:val="none"/>
              </w:rPr>
              <w:t>质量标准</w:t>
            </w:r>
            <w:r>
              <w:rPr>
                <w:rFonts w:hint="eastAsia" w:ascii="宋体" w:hAnsi="宋体" w:cs="宋体"/>
                <w:color w:val="auto"/>
                <w:szCs w:val="21"/>
                <w:highlight w:val="none"/>
              </w:rPr>
              <w:t>：</w:t>
            </w:r>
            <w:r>
              <w:rPr>
                <w:rFonts w:hint="eastAsia" w:cs="宋体"/>
                <w:color w:val="auto"/>
                <w:highlight w:val="none"/>
              </w:rPr>
              <w:t>达到国家施工验收规范合格标准</w:t>
            </w:r>
            <w:r>
              <w:rPr>
                <w:rFonts w:hint="eastAsia" w:ascii="宋体" w:hAnsi="宋体" w:cs="宋体"/>
                <w:color w:val="auto"/>
                <w:szCs w:val="21"/>
                <w:highlight w:val="none"/>
              </w:rPr>
              <w:t>。</w:t>
            </w:r>
          </w:p>
          <w:p w14:paraId="1CF0EB78">
            <w:pPr>
              <w:pStyle w:val="18"/>
              <w:keepNext w:val="0"/>
              <w:keepLines w:val="0"/>
              <w:pageBreakBefore w:val="0"/>
              <w:kinsoku/>
              <w:wordWrap/>
              <w:overflowPunct/>
              <w:topLinePunct w:val="0"/>
              <w:autoSpaceDE/>
              <w:autoSpaceDN/>
              <w:bidi w:val="0"/>
              <w:adjustRightInd/>
              <w:snapToGrid/>
              <w:spacing w:after="0" w:line="38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报价方式：采用招标工程量清单报价，竞标报价不得高于最高限价及采购预算，否则竞标无效。本项目采用最后报价方式。竞标人的最后报价如有变动（如最后报价无变动的，可以采用首次报价清单），则必须以招标工程量清单报价表的格式编制提交，否则竞标无效。竞标人须提前做好相关准备并按时递交最后报价文件，否则竞标无效。</w:t>
            </w:r>
          </w:p>
          <w:p w14:paraId="53FF2CA7">
            <w:pPr>
              <w:pStyle w:val="144"/>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、付款方式：</w:t>
            </w:r>
            <w:r>
              <w:rPr>
                <w:rFonts w:hint="eastAsia" w:ascii="宋体" w:hAnsi="宋体" w:cs="宋体"/>
                <w:color w:val="auto"/>
                <w:szCs w:val="21"/>
                <w:highlight w:val="none"/>
                <w:lang w:eastAsia="zh-CN"/>
              </w:rPr>
              <w:t>承包方已具备施工条件且已开始施工后</w:t>
            </w:r>
            <w:r>
              <w:rPr>
                <w:rFonts w:hint="eastAsia" w:ascii="宋体" w:hAnsi="宋体" w:eastAsia="宋体" w:cs="宋体"/>
                <w:color w:val="auto"/>
                <w:highlight w:val="none"/>
                <w:u w:val="none"/>
              </w:rPr>
              <w:t>，可申请不超过合同价30%的</w:t>
            </w:r>
            <w:r>
              <w:rPr>
                <w:rFonts w:hint="eastAsia" w:ascii="宋体" w:hAnsi="宋体" w:eastAsia="宋体" w:cs="宋体"/>
                <w:color w:val="auto"/>
                <w:highlight w:val="none"/>
                <w:u w:val="none"/>
                <w:lang w:eastAsia="zh-CN"/>
              </w:rPr>
              <w:t>工程</w:t>
            </w:r>
            <w:r>
              <w:rPr>
                <w:rFonts w:hint="eastAsia" w:ascii="宋体" w:hAnsi="宋体" w:eastAsia="宋体" w:cs="宋体"/>
                <w:color w:val="auto"/>
                <w:highlight w:val="none"/>
                <w:u w:val="none"/>
              </w:rPr>
              <w:t>预付款</w:t>
            </w:r>
            <w:r>
              <w:rPr>
                <w:rFonts w:hint="eastAsia" w:ascii="宋体" w:hAnsi="宋体" w:eastAsia="宋体" w:cs="宋体"/>
                <w:color w:val="auto"/>
                <w:highlight w:val="none"/>
                <w:u w:val="none"/>
                <w:lang w:eastAsia="zh-CN"/>
              </w:rPr>
              <w:t>（工程预付款在</w:t>
            </w:r>
            <w:r>
              <w:rPr>
                <w:rFonts w:hint="eastAsia" w:ascii="宋体" w:hAnsi="宋体" w:eastAsia="宋体" w:cs="宋体"/>
                <w:color w:val="auto"/>
                <w:highlight w:val="none"/>
                <w:u w:val="none"/>
              </w:rPr>
              <w:t>项目报账</w:t>
            </w:r>
            <w:r>
              <w:rPr>
                <w:rFonts w:hint="eastAsia" w:ascii="宋体" w:hAnsi="宋体" w:eastAsia="宋体" w:cs="宋体"/>
                <w:color w:val="auto"/>
                <w:highlight w:val="none"/>
                <w:u w:val="none"/>
                <w:lang w:eastAsia="zh-CN"/>
              </w:rPr>
              <w:t>时</w:t>
            </w:r>
            <w:r>
              <w:rPr>
                <w:rFonts w:hint="eastAsia" w:ascii="宋体" w:hAnsi="宋体" w:eastAsia="宋体" w:cs="宋体"/>
                <w:color w:val="auto"/>
                <w:highlight w:val="none"/>
                <w:u w:val="none"/>
              </w:rPr>
              <w:t>抵扣）</w:t>
            </w:r>
            <w:r>
              <w:rPr>
                <w:rFonts w:hint="eastAsia" w:ascii="宋体" w:hAnsi="宋体" w:eastAsia="宋体" w:cs="宋体"/>
                <w:color w:val="auto"/>
                <w:highlight w:val="none"/>
                <w:u w:val="none"/>
                <w:lang w:eastAsia="zh-CN"/>
              </w:rPr>
              <w:t>，发包方拨</w:t>
            </w:r>
            <w:r>
              <w:rPr>
                <w:rFonts w:hint="eastAsia" w:ascii="宋体" w:hAnsi="宋体" w:eastAsia="宋体" w:cs="宋体"/>
                <w:color w:val="auto"/>
                <w:highlight w:val="none"/>
                <w:u w:val="none"/>
              </w:rPr>
              <w:t>付至工程进度款的90%时，抵扣完所有工程预付款。</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按项目进度</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拨付工程款，可根据实际进度申请不超过90%的进度款</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工程项目竣工后，</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可</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拨付至项目监理部门审定完成投资90%的工程款。工程竣工并通过建设单位验收合格,并经横州市财政投资项目评审中心或第三方咨询公司审核并出具审核结算报告后，</w:t>
            </w:r>
            <w:r>
              <w:rPr>
                <w:rFonts w:hint="eastAsia" w:ascii="宋体" w:hAnsi="宋体" w:eastAsia="宋体" w:cs="宋体"/>
                <w:color w:val="auto"/>
                <w:highlight w:val="none"/>
                <w:u w:val="none"/>
                <w:lang w:eastAsia="zh-CN"/>
              </w:rPr>
              <w:t>承包方</w:t>
            </w:r>
            <w:r>
              <w:rPr>
                <w:rFonts w:hint="eastAsia" w:ascii="宋体" w:hAnsi="宋体" w:eastAsia="宋体" w:cs="宋体"/>
                <w:color w:val="auto"/>
                <w:highlight w:val="none"/>
                <w:u w:val="none"/>
              </w:rPr>
              <w:t>可</w:t>
            </w:r>
            <w:r>
              <w:rPr>
                <w:rFonts w:hint="eastAsia" w:ascii="宋体" w:hAnsi="宋体" w:eastAsia="宋体" w:cs="宋体"/>
                <w:color w:val="auto"/>
                <w:highlight w:val="none"/>
                <w:u w:val="none"/>
                <w:lang w:eastAsia="zh-CN"/>
              </w:rPr>
              <w:t>申请</w:t>
            </w:r>
            <w:r>
              <w:rPr>
                <w:rFonts w:hint="eastAsia" w:ascii="宋体" w:hAnsi="宋体" w:eastAsia="宋体" w:cs="宋体"/>
                <w:color w:val="auto"/>
                <w:highlight w:val="none"/>
                <w:u w:val="none"/>
              </w:rPr>
              <w:t>拨付至合同价款97%的工程款</w:t>
            </w:r>
            <w:r>
              <w:rPr>
                <w:rFonts w:hint="eastAsia" w:ascii="宋体" w:hAnsi="宋体" w:eastAsia="宋体" w:cs="宋体"/>
                <w:color w:val="auto"/>
                <w:highlight w:val="none"/>
                <w:u w:val="none"/>
                <w:lang w:eastAsia="zh-CN"/>
              </w:rPr>
              <w:t>。发包方</w:t>
            </w:r>
            <w:r>
              <w:rPr>
                <w:rFonts w:hint="eastAsia" w:ascii="宋体" w:hAnsi="宋体" w:eastAsia="宋体" w:cs="宋体"/>
                <w:color w:val="auto"/>
                <w:highlight w:val="none"/>
                <w:u w:val="none"/>
              </w:rPr>
              <w:t>留存工程合同价的3%的工程款作为工程质量保证金，承包方在工程竣工验收合格1年后，经实地检验工程无质量缺陷，向发包方申请工程质量保证金（项目总价款最终以审核结算价为准）。</w:t>
            </w:r>
          </w:p>
          <w:p w14:paraId="52614EC9">
            <w:pPr>
              <w:pStyle w:val="144"/>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注：如果工程量有变动，需经监理</w:t>
            </w:r>
            <w:r>
              <w:rPr>
                <w:rFonts w:ascii="宋体" w:hAnsi="宋体" w:cs="宋体"/>
                <w:b/>
                <w:bCs/>
                <w:color w:val="auto"/>
                <w:szCs w:val="21"/>
                <w:highlight w:val="none"/>
              </w:rPr>
              <w:t>、设计</w:t>
            </w:r>
            <w:r>
              <w:rPr>
                <w:rFonts w:hint="eastAsia" w:ascii="宋体" w:hAnsi="宋体" w:cs="宋体"/>
                <w:b/>
                <w:bCs/>
                <w:color w:val="auto"/>
                <w:szCs w:val="21"/>
                <w:highlight w:val="none"/>
              </w:rPr>
              <w:t>、</w:t>
            </w:r>
            <w:r>
              <w:rPr>
                <w:rFonts w:ascii="宋体" w:hAnsi="宋体" w:cs="宋体"/>
                <w:b/>
                <w:bCs/>
                <w:color w:val="auto"/>
                <w:szCs w:val="21"/>
                <w:highlight w:val="none"/>
              </w:rPr>
              <w:t>发包人审批</w:t>
            </w:r>
            <w:r>
              <w:rPr>
                <w:rFonts w:hint="eastAsia" w:ascii="宋体" w:hAnsi="宋体" w:cs="宋体"/>
                <w:b/>
                <w:bCs/>
                <w:color w:val="auto"/>
                <w:szCs w:val="21"/>
                <w:highlight w:val="none"/>
              </w:rPr>
              <w:t>同意，但最终结算以财政部门审定的工程量及单价为准。</w:t>
            </w:r>
          </w:p>
        </w:tc>
      </w:tr>
      <w:tr w14:paraId="78D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615" w:type="dxa"/>
            <w:tcBorders>
              <w:left w:val="single" w:color="auto" w:sz="4" w:space="0"/>
              <w:bottom w:val="single" w:color="auto" w:sz="4" w:space="0"/>
              <w:right w:val="single" w:color="auto" w:sz="4" w:space="0"/>
            </w:tcBorders>
            <w:noWrap w:val="0"/>
            <w:vAlign w:val="center"/>
          </w:tcPr>
          <w:p w14:paraId="429BBCC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其他说明</w:t>
            </w:r>
          </w:p>
        </w:tc>
        <w:tc>
          <w:tcPr>
            <w:tcW w:w="9374" w:type="dxa"/>
            <w:gridSpan w:val="5"/>
            <w:tcBorders>
              <w:top w:val="single" w:color="auto" w:sz="4" w:space="0"/>
              <w:left w:val="single" w:color="auto" w:sz="4" w:space="0"/>
              <w:bottom w:val="single" w:color="auto" w:sz="4" w:space="0"/>
              <w:right w:val="single" w:color="auto" w:sz="4" w:space="0"/>
            </w:tcBorders>
            <w:noWrap w:val="0"/>
            <w:vAlign w:val="center"/>
          </w:tcPr>
          <w:p w14:paraId="371148C7">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一、与本项目有关的设计图纸、技术规范、文件等附件资料获取方式：网上下载。供应商可自行在广西政府采购云平台自行下载。</w:t>
            </w:r>
          </w:p>
          <w:p w14:paraId="1207F13E">
            <w:pPr>
              <w:pStyle w:val="18"/>
              <w:keepNext w:val="0"/>
              <w:keepLines w:val="0"/>
              <w:pageBreakBefore w:val="0"/>
              <w:kinsoku/>
              <w:wordWrap/>
              <w:overflowPunct/>
              <w:topLinePunct w:val="0"/>
              <w:autoSpaceDE/>
              <w:autoSpaceDN/>
              <w:bidi w:val="0"/>
              <w:adjustRightInd/>
              <w:snapToGrid/>
              <w:spacing w:after="0"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二、可能实质性变动的内容：技术、服务要求以及合同草案条款。</w:t>
            </w:r>
          </w:p>
        </w:tc>
      </w:tr>
    </w:tbl>
    <w:p w14:paraId="33F83EDE">
      <w:pPr>
        <w:spacing w:line="360" w:lineRule="auto"/>
        <w:ind w:left="119"/>
        <w:rPr>
          <w:rFonts w:hint="eastAsia" w:ascii="宋体" w:hAnsi="宋体" w:cs="宋体"/>
          <w:color w:val="auto"/>
          <w:sz w:val="32"/>
          <w:szCs w:val="32"/>
          <w:highlight w:val="none"/>
        </w:rPr>
        <w:sectPr>
          <w:footerReference r:id="rId8" w:type="default"/>
          <w:pgSz w:w="11906" w:h="16838"/>
          <w:pgMar w:top="1440" w:right="1080" w:bottom="1440" w:left="1080" w:header="720" w:footer="720" w:gutter="0"/>
          <w:pgNumType w:fmt="decimal" w:start="1"/>
          <w:cols w:space="720" w:num="1"/>
          <w:docGrid w:type="lines" w:linePitch="331" w:charSpace="0"/>
        </w:sectPr>
      </w:pPr>
    </w:p>
    <w:p w14:paraId="3E309E17">
      <w:pPr>
        <w:rPr>
          <w:rFonts w:hint="eastAsia" w:hAnsi="宋体" w:cs="宋体"/>
          <w:color w:val="auto"/>
          <w:sz w:val="32"/>
          <w:szCs w:val="32"/>
          <w:highlight w:val="none"/>
        </w:rPr>
      </w:pPr>
      <w:bookmarkStart w:id="83" w:name="_Toc23956"/>
      <w:bookmarkStart w:id="84" w:name="_Toc30087"/>
      <w:bookmarkStart w:id="85" w:name="_Toc17962"/>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1</w:t>
      </w:r>
      <w:r>
        <w:rPr>
          <w:rFonts w:hint="eastAsia" w:hAnsi="宋体" w:cs="宋体"/>
          <w:color w:val="auto"/>
          <w:sz w:val="32"/>
          <w:szCs w:val="32"/>
          <w:highlight w:val="none"/>
        </w:rPr>
        <w:t>：</w:t>
      </w:r>
    </w:p>
    <w:p w14:paraId="67271E7E">
      <w:pPr>
        <w:spacing w:line="528" w:lineRule="exact"/>
        <w:ind w:firstLine="2560" w:firstLineChars="800"/>
        <w:rPr>
          <w:rFonts w:hint="eastAsia" w:ascii="宋体" w:hAnsi="宋体" w:cs="宋体"/>
          <w:color w:val="auto"/>
          <w:sz w:val="32"/>
          <w:szCs w:val="32"/>
          <w:highlight w:val="none"/>
        </w:rPr>
      </w:pPr>
      <w:r>
        <w:rPr>
          <w:rFonts w:hint="eastAsia" w:ascii="宋体" w:hAnsi="宋体" w:cs="宋体"/>
          <w:color w:val="auto"/>
          <w:sz w:val="32"/>
          <w:szCs w:val="32"/>
          <w:highlight w:val="none"/>
        </w:rPr>
        <w:t>中小微企业划型标准</w:t>
      </w:r>
    </w:p>
    <w:p w14:paraId="3C13BB1B">
      <w:pPr>
        <w:pStyle w:val="40"/>
        <w:tabs>
          <w:tab w:val="right" w:leader="dot" w:pos="8296"/>
          <w:tab w:val="clear" w:pos="8610"/>
        </w:tabs>
        <w:rPr>
          <w:rFonts w:hint="eastAsia"/>
          <w:color w:val="auto"/>
          <w:highlight w:val="none"/>
        </w:rPr>
      </w:pPr>
    </w:p>
    <w:tbl>
      <w:tblPr>
        <w:tblStyle w:val="49"/>
        <w:tblW w:w="0" w:type="auto"/>
        <w:tblInd w:w="250" w:type="dxa"/>
        <w:tblLayout w:type="fixed"/>
        <w:tblCellMar>
          <w:top w:w="0" w:type="dxa"/>
          <w:left w:w="108" w:type="dxa"/>
          <w:bottom w:w="0" w:type="dxa"/>
          <w:right w:w="108" w:type="dxa"/>
        </w:tblCellMar>
      </w:tblPr>
      <w:tblGrid>
        <w:gridCol w:w="1701"/>
        <w:gridCol w:w="1384"/>
        <w:gridCol w:w="913"/>
        <w:gridCol w:w="1822"/>
        <w:gridCol w:w="1585"/>
        <w:gridCol w:w="1323"/>
      </w:tblGrid>
      <w:tr w14:paraId="4A4CAF9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EA4505F">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CC9ECF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5A4B4CD4">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22" w:type="dxa"/>
            <w:tcBorders>
              <w:top w:val="single" w:color="auto" w:sz="4" w:space="0"/>
              <w:left w:val="nil"/>
              <w:bottom w:val="single" w:color="auto" w:sz="4" w:space="0"/>
              <w:right w:val="single" w:color="auto" w:sz="4" w:space="0"/>
            </w:tcBorders>
            <w:noWrap w:val="0"/>
            <w:vAlign w:val="center"/>
          </w:tcPr>
          <w:p w14:paraId="7668F799">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85" w:type="dxa"/>
            <w:tcBorders>
              <w:top w:val="single" w:color="auto" w:sz="4" w:space="0"/>
              <w:left w:val="nil"/>
              <w:bottom w:val="single" w:color="auto" w:sz="4" w:space="0"/>
              <w:right w:val="single" w:color="auto" w:sz="4" w:space="0"/>
            </w:tcBorders>
            <w:noWrap w:val="0"/>
            <w:vAlign w:val="center"/>
          </w:tcPr>
          <w:p w14:paraId="7B382DC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323" w:type="dxa"/>
            <w:tcBorders>
              <w:top w:val="single" w:color="auto" w:sz="4" w:space="0"/>
              <w:left w:val="nil"/>
              <w:bottom w:val="single" w:color="auto" w:sz="4" w:space="0"/>
              <w:right w:val="single" w:color="auto" w:sz="4" w:space="0"/>
            </w:tcBorders>
            <w:noWrap w:val="0"/>
            <w:vAlign w:val="center"/>
          </w:tcPr>
          <w:p w14:paraId="2EA7BC58">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17379F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6970CE2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0C99A01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B8B78F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2A5BF8B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85" w:type="dxa"/>
            <w:tcBorders>
              <w:top w:val="nil"/>
              <w:left w:val="nil"/>
              <w:bottom w:val="single" w:color="auto" w:sz="4" w:space="0"/>
              <w:right w:val="single" w:color="auto" w:sz="4" w:space="0"/>
            </w:tcBorders>
            <w:noWrap w:val="0"/>
            <w:vAlign w:val="center"/>
          </w:tcPr>
          <w:p w14:paraId="4B39E83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323" w:type="dxa"/>
            <w:tcBorders>
              <w:top w:val="nil"/>
              <w:left w:val="nil"/>
              <w:bottom w:val="single" w:color="auto" w:sz="4" w:space="0"/>
              <w:right w:val="single" w:color="auto" w:sz="4" w:space="0"/>
            </w:tcBorders>
            <w:noWrap w:val="0"/>
            <w:vAlign w:val="center"/>
          </w:tcPr>
          <w:p w14:paraId="78BBBD3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09F12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3E2367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EB8FC0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25D3A3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07EF74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3A682E7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4451F61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00D2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9B7553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D79E02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F2A1F8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2049DA4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85" w:type="dxa"/>
            <w:tcBorders>
              <w:top w:val="nil"/>
              <w:left w:val="nil"/>
              <w:bottom w:val="single" w:color="auto" w:sz="4" w:space="0"/>
              <w:right w:val="single" w:color="auto" w:sz="4" w:space="0"/>
            </w:tcBorders>
            <w:noWrap w:val="0"/>
            <w:vAlign w:val="center"/>
          </w:tcPr>
          <w:p w14:paraId="7A91A30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323" w:type="dxa"/>
            <w:tcBorders>
              <w:top w:val="nil"/>
              <w:left w:val="nil"/>
              <w:bottom w:val="single" w:color="auto" w:sz="4" w:space="0"/>
              <w:right w:val="single" w:color="auto" w:sz="4" w:space="0"/>
            </w:tcBorders>
            <w:noWrap w:val="0"/>
            <w:vAlign w:val="center"/>
          </w:tcPr>
          <w:p w14:paraId="4A68F57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DD299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DDF386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F3335B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A9E485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00ABCDB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85" w:type="dxa"/>
            <w:tcBorders>
              <w:top w:val="nil"/>
              <w:left w:val="nil"/>
              <w:bottom w:val="single" w:color="auto" w:sz="4" w:space="0"/>
              <w:right w:val="single" w:color="auto" w:sz="4" w:space="0"/>
            </w:tcBorders>
            <w:noWrap w:val="0"/>
            <w:vAlign w:val="center"/>
          </w:tcPr>
          <w:p w14:paraId="5CF241F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323" w:type="dxa"/>
            <w:tcBorders>
              <w:top w:val="nil"/>
              <w:left w:val="nil"/>
              <w:bottom w:val="single" w:color="auto" w:sz="4" w:space="0"/>
              <w:right w:val="single" w:color="auto" w:sz="4" w:space="0"/>
            </w:tcBorders>
            <w:noWrap w:val="0"/>
            <w:vAlign w:val="center"/>
          </w:tcPr>
          <w:p w14:paraId="484116C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534E91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6BF1D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745013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6A3F85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1A7D6A1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85" w:type="dxa"/>
            <w:tcBorders>
              <w:top w:val="nil"/>
              <w:left w:val="nil"/>
              <w:bottom w:val="single" w:color="auto" w:sz="4" w:space="0"/>
              <w:right w:val="single" w:color="auto" w:sz="4" w:space="0"/>
            </w:tcBorders>
            <w:noWrap w:val="0"/>
            <w:vAlign w:val="center"/>
          </w:tcPr>
          <w:p w14:paraId="3141815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323" w:type="dxa"/>
            <w:tcBorders>
              <w:top w:val="nil"/>
              <w:left w:val="nil"/>
              <w:bottom w:val="single" w:color="auto" w:sz="4" w:space="0"/>
              <w:right w:val="single" w:color="auto" w:sz="4" w:space="0"/>
            </w:tcBorders>
            <w:noWrap w:val="0"/>
            <w:vAlign w:val="center"/>
          </w:tcPr>
          <w:p w14:paraId="2447B49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4AD5FE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80A383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3CF00C8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AFE646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35F9CA1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85" w:type="dxa"/>
            <w:tcBorders>
              <w:top w:val="nil"/>
              <w:left w:val="nil"/>
              <w:bottom w:val="single" w:color="auto" w:sz="4" w:space="0"/>
              <w:right w:val="single" w:color="auto" w:sz="4" w:space="0"/>
            </w:tcBorders>
            <w:noWrap w:val="0"/>
            <w:vAlign w:val="center"/>
          </w:tcPr>
          <w:p w14:paraId="7F3D667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323" w:type="dxa"/>
            <w:tcBorders>
              <w:top w:val="nil"/>
              <w:left w:val="nil"/>
              <w:bottom w:val="single" w:color="auto" w:sz="4" w:space="0"/>
              <w:right w:val="single" w:color="auto" w:sz="4" w:space="0"/>
            </w:tcBorders>
            <w:noWrap w:val="0"/>
            <w:vAlign w:val="center"/>
          </w:tcPr>
          <w:p w14:paraId="3DDAD25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0287F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3BF803F">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BFD438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90311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7F41466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85" w:type="dxa"/>
            <w:tcBorders>
              <w:top w:val="nil"/>
              <w:left w:val="nil"/>
              <w:bottom w:val="single" w:color="auto" w:sz="4" w:space="0"/>
              <w:right w:val="single" w:color="auto" w:sz="4" w:space="0"/>
            </w:tcBorders>
            <w:noWrap w:val="0"/>
            <w:vAlign w:val="center"/>
          </w:tcPr>
          <w:p w14:paraId="4706E3D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323" w:type="dxa"/>
            <w:tcBorders>
              <w:top w:val="nil"/>
              <w:left w:val="nil"/>
              <w:bottom w:val="single" w:color="auto" w:sz="4" w:space="0"/>
              <w:right w:val="single" w:color="auto" w:sz="4" w:space="0"/>
            </w:tcBorders>
            <w:noWrap w:val="0"/>
            <w:vAlign w:val="center"/>
          </w:tcPr>
          <w:p w14:paraId="7FBD9A6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118CA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1D60CB7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D18A27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A517AE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17E587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85" w:type="dxa"/>
            <w:tcBorders>
              <w:top w:val="nil"/>
              <w:left w:val="nil"/>
              <w:bottom w:val="single" w:color="auto" w:sz="4" w:space="0"/>
              <w:right w:val="single" w:color="auto" w:sz="4" w:space="0"/>
            </w:tcBorders>
            <w:noWrap w:val="0"/>
            <w:vAlign w:val="center"/>
          </w:tcPr>
          <w:p w14:paraId="5EBA917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323" w:type="dxa"/>
            <w:tcBorders>
              <w:top w:val="nil"/>
              <w:left w:val="nil"/>
              <w:bottom w:val="single" w:color="auto" w:sz="4" w:space="0"/>
              <w:right w:val="single" w:color="auto" w:sz="4" w:space="0"/>
            </w:tcBorders>
            <w:noWrap w:val="0"/>
            <w:vAlign w:val="center"/>
          </w:tcPr>
          <w:p w14:paraId="6527D29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DC5FB9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72F170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379DC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119BE4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67A86B9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85" w:type="dxa"/>
            <w:tcBorders>
              <w:top w:val="nil"/>
              <w:left w:val="nil"/>
              <w:bottom w:val="single" w:color="auto" w:sz="4" w:space="0"/>
              <w:right w:val="single" w:color="auto" w:sz="4" w:space="0"/>
            </w:tcBorders>
            <w:noWrap w:val="0"/>
            <w:vAlign w:val="center"/>
          </w:tcPr>
          <w:p w14:paraId="263D17C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323" w:type="dxa"/>
            <w:tcBorders>
              <w:top w:val="nil"/>
              <w:left w:val="nil"/>
              <w:bottom w:val="single" w:color="auto" w:sz="4" w:space="0"/>
              <w:right w:val="single" w:color="auto" w:sz="4" w:space="0"/>
            </w:tcBorders>
            <w:noWrap w:val="0"/>
            <w:vAlign w:val="center"/>
          </w:tcPr>
          <w:p w14:paraId="1752659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D6D3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47A65D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79077B9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5EA18D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CDF1B4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04CDF89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1765D6A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1C61A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EB3CB78">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F0642C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D62E25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46D1C42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85" w:type="dxa"/>
            <w:tcBorders>
              <w:top w:val="nil"/>
              <w:left w:val="nil"/>
              <w:bottom w:val="single" w:color="auto" w:sz="4" w:space="0"/>
              <w:right w:val="single" w:color="auto" w:sz="4" w:space="0"/>
            </w:tcBorders>
            <w:noWrap w:val="0"/>
            <w:vAlign w:val="center"/>
          </w:tcPr>
          <w:p w14:paraId="3BA9562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323" w:type="dxa"/>
            <w:tcBorders>
              <w:top w:val="nil"/>
              <w:left w:val="nil"/>
              <w:bottom w:val="single" w:color="auto" w:sz="4" w:space="0"/>
              <w:right w:val="single" w:color="auto" w:sz="4" w:space="0"/>
            </w:tcBorders>
            <w:noWrap w:val="0"/>
            <w:vAlign w:val="center"/>
          </w:tcPr>
          <w:p w14:paraId="3636E7C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B8603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1A5AD0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3592BE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B5198B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6BD1EF8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85" w:type="dxa"/>
            <w:tcBorders>
              <w:top w:val="nil"/>
              <w:left w:val="nil"/>
              <w:bottom w:val="single" w:color="auto" w:sz="4" w:space="0"/>
              <w:right w:val="single" w:color="auto" w:sz="4" w:space="0"/>
            </w:tcBorders>
            <w:noWrap w:val="0"/>
            <w:vAlign w:val="center"/>
          </w:tcPr>
          <w:p w14:paraId="7FEC34D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323" w:type="dxa"/>
            <w:tcBorders>
              <w:top w:val="nil"/>
              <w:left w:val="nil"/>
              <w:bottom w:val="single" w:color="auto" w:sz="4" w:space="0"/>
              <w:right w:val="single" w:color="auto" w:sz="4" w:space="0"/>
            </w:tcBorders>
            <w:noWrap w:val="0"/>
            <w:vAlign w:val="center"/>
          </w:tcPr>
          <w:p w14:paraId="5A9C257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CC792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2C131A3">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CAB595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100C4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6A8C8A6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85" w:type="dxa"/>
            <w:tcBorders>
              <w:top w:val="nil"/>
              <w:left w:val="nil"/>
              <w:bottom w:val="single" w:color="auto" w:sz="4" w:space="0"/>
              <w:right w:val="single" w:color="auto" w:sz="4" w:space="0"/>
            </w:tcBorders>
            <w:noWrap w:val="0"/>
            <w:vAlign w:val="center"/>
          </w:tcPr>
          <w:p w14:paraId="609F1FA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23" w:type="dxa"/>
            <w:tcBorders>
              <w:top w:val="nil"/>
              <w:left w:val="nil"/>
              <w:bottom w:val="single" w:color="auto" w:sz="4" w:space="0"/>
              <w:right w:val="single" w:color="auto" w:sz="4" w:space="0"/>
            </w:tcBorders>
            <w:noWrap w:val="0"/>
            <w:vAlign w:val="center"/>
          </w:tcPr>
          <w:p w14:paraId="0C15A23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7C401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105A23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74E63D0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81BA20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75E02E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674924E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11C7877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E0D96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96B7D7E">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F32800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36AB84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5EC1CA9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85" w:type="dxa"/>
            <w:tcBorders>
              <w:top w:val="nil"/>
              <w:left w:val="nil"/>
              <w:bottom w:val="single" w:color="auto" w:sz="4" w:space="0"/>
              <w:right w:val="single" w:color="auto" w:sz="4" w:space="0"/>
            </w:tcBorders>
            <w:noWrap w:val="0"/>
            <w:vAlign w:val="center"/>
          </w:tcPr>
          <w:p w14:paraId="7D9FA45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6EC74A2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F41B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A4958C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3D46276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CA5476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D2CF37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70610FF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5107569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C3ED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F85D3C">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8576DA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950C2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0C61778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85" w:type="dxa"/>
            <w:tcBorders>
              <w:top w:val="nil"/>
              <w:left w:val="nil"/>
              <w:bottom w:val="single" w:color="auto" w:sz="4" w:space="0"/>
              <w:right w:val="single" w:color="auto" w:sz="4" w:space="0"/>
            </w:tcBorders>
            <w:noWrap w:val="0"/>
            <w:vAlign w:val="center"/>
          </w:tcPr>
          <w:p w14:paraId="4AFFAB7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1834045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06479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57B271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03E1ECC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0FFFD7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8C7DEC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04EBA6D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1B5CD3A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68A45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D154B0">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7AB464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1BF2A7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1AB657A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85" w:type="dxa"/>
            <w:tcBorders>
              <w:top w:val="nil"/>
              <w:left w:val="nil"/>
              <w:bottom w:val="single" w:color="auto" w:sz="4" w:space="0"/>
              <w:right w:val="single" w:color="auto" w:sz="4" w:space="0"/>
            </w:tcBorders>
            <w:noWrap w:val="0"/>
            <w:vAlign w:val="center"/>
          </w:tcPr>
          <w:p w14:paraId="7F2342F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380CBA2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D0936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529172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6C2AC3C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140B27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75BC5D6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85" w:type="dxa"/>
            <w:tcBorders>
              <w:top w:val="nil"/>
              <w:left w:val="nil"/>
              <w:bottom w:val="single" w:color="auto" w:sz="4" w:space="0"/>
              <w:right w:val="single" w:color="auto" w:sz="4" w:space="0"/>
            </w:tcBorders>
            <w:noWrap w:val="0"/>
            <w:vAlign w:val="center"/>
          </w:tcPr>
          <w:p w14:paraId="324011D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7383428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B895B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91AE85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235B8D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775511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787BBD3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85" w:type="dxa"/>
            <w:tcBorders>
              <w:top w:val="nil"/>
              <w:left w:val="nil"/>
              <w:bottom w:val="single" w:color="auto" w:sz="4" w:space="0"/>
              <w:right w:val="single" w:color="auto" w:sz="4" w:space="0"/>
            </w:tcBorders>
            <w:noWrap w:val="0"/>
            <w:vAlign w:val="center"/>
          </w:tcPr>
          <w:p w14:paraId="174171B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23" w:type="dxa"/>
            <w:tcBorders>
              <w:top w:val="nil"/>
              <w:left w:val="nil"/>
              <w:bottom w:val="single" w:color="auto" w:sz="4" w:space="0"/>
              <w:right w:val="single" w:color="auto" w:sz="4" w:space="0"/>
            </w:tcBorders>
            <w:noWrap w:val="0"/>
            <w:vAlign w:val="center"/>
          </w:tcPr>
          <w:p w14:paraId="62FC7A6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30ACB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D9B7C6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660A097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D47D1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4A6B7B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776DE04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4176FA8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063A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9FAD99">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B914DC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08C38E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7FCEF66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85" w:type="dxa"/>
            <w:tcBorders>
              <w:top w:val="nil"/>
              <w:left w:val="nil"/>
              <w:bottom w:val="single" w:color="auto" w:sz="4" w:space="0"/>
              <w:right w:val="single" w:color="auto" w:sz="4" w:space="0"/>
            </w:tcBorders>
            <w:noWrap w:val="0"/>
            <w:vAlign w:val="center"/>
          </w:tcPr>
          <w:p w14:paraId="15A9059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323" w:type="dxa"/>
            <w:tcBorders>
              <w:top w:val="nil"/>
              <w:left w:val="nil"/>
              <w:bottom w:val="single" w:color="auto" w:sz="4" w:space="0"/>
              <w:right w:val="single" w:color="auto" w:sz="4" w:space="0"/>
            </w:tcBorders>
            <w:noWrap w:val="0"/>
            <w:vAlign w:val="center"/>
          </w:tcPr>
          <w:p w14:paraId="66DCAFA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C0D0D5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0CACD1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7C1F9CD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4F0C71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2567179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85" w:type="dxa"/>
            <w:tcBorders>
              <w:top w:val="nil"/>
              <w:left w:val="nil"/>
              <w:bottom w:val="single" w:color="auto" w:sz="4" w:space="0"/>
              <w:right w:val="single" w:color="auto" w:sz="4" w:space="0"/>
            </w:tcBorders>
            <w:noWrap w:val="0"/>
            <w:vAlign w:val="center"/>
          </w:tcPr>
          <w:p w14:paraId="1AAA5D2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323" w:type="dxa"/>
            <w:tcBorders>
              <w:top w:val="nil"/>
              <w:left w:val="nil"/>
              <w:bottom w:val="single" w:color="auto" w:sz="4" w:space="0"/>
              <w:right w:val="single" w:color="auto" w:sz="4" w:space="0"/>
            </w:tcBorders>
            <w:noWrap w:val="0"/>
            <w:vAlign w:val="center"/>
          </w:tcPr>
          <w:p w14:paraId="0C3709F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56BDE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0BCCF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EB91F5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E6712C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4C49F65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85" w:type="dxa"/>
            <w:tcBorders>
              <w:top w:val="nil"/>
              <w:left w:val="nil"/>
              <w:bottom w:val="single" w:color="auto" w:sz="4" w:space="0"/>
              <w:right w:val="single" w:color="auto" w:sz="4" w:space="0"/>
            </w:tcBorders>
            <w:noWrap w:val="0"/>
            <w:vAlign w:val="center"/>
          </w:tcPr>
          <w:p w14:paraId="6E1D1A5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323" w:type="dxa"/>
            <w:tcBorders>
              <w:top w:val="nil"/>
              <w:left w:val="nil"/>
              <w:bottom w:val="single" w:color="auto" w:sz="4" w:space="0"/>
              <w:right w:val="single" w:color="auto" w:sz="4" w:space="0"/>
            </w:tcBorders>
            <w:noWrap w:val="0"/>
            <w:vAlign w:val="center"/>
          </w:tcPr>
          <w:p w14:paraId="30ADFA2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29F18B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4E44FB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1F4EAB0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392F5E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563A2F0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3DB3C9E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323" w:type="dxa"/>
            <w:tcBorders>
              <w:top w:val="nil"/>
              <w:left w:val="nil"/>
              <w:bottom w:val="single" w:color="auto" w:sz="4" w:space="0"/>
              <w:right w:val="single" w:color="auto" w:sz="4" w:space="0"/>
            </w:tcBorders>
            <w:noWrap w:val="0"/>
            <w:vAlign w:val="center"/>
          </w:tcPr>
          <w:p w14:paraId="6AB79D6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3A3D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AC5CE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789686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8FE511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12ADE2B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85" w:type="dxa"/>
            <w:tcBorders>
              <w:top w:val="nil"/>
              <w:left w:val="nil"/>
              <w:bottom w:val="single" w:color="auto" w:sz="4" w:space="0"/>
              <w:right w:val="single" w:color="auto" w:sz="4" w:space="0"/>
            </w:tcBorders>
            <w:noWrap w:val="0"/>
            <w:vAlign w:val="center"/>
          </w:tcPr>
          <w:p w14:paraId="034D296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323" w:type="dxa"/>
            <w:tcBorders>
              <w:top w:val="nil"/>
              <w:left w:val="nil"/>
              <w:bottom w:val="single" w:color="auto" w:sz="4" w:space="0"/>
              <w:right w:val="single" w:color="auto" w:sz="4" w:space="0"/>
            </w:tcBorders>
            <w:noWrap w:val="0"/>
            <w:vAlign w:val="center"/>
          </w:tcPr>
          <w:p w14:paraId="4B29148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173BA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AE8A9A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1752C32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30020A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9F2C24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40E72B9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3BB8A51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933B7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5F00F01">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9772BC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7FFDCA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650F263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85" w:type="dxa"/>
            <w:tcBorders>
              <w:top w:val="nil"/>
              <w:left w:val="nil"/>
              <w:bottom w:val="single" w:color="auto" w:sz="4" w:space="0"/>
              <w:right w:val="single" w:color="auto" w:sz="4" w:space="0"/>
            </w:tcBorders>
            <w:noWrap w:val="0"/>
            <w:vAlign w:val="center"/>
          </w:tcPr>
          <w:p w14:paraId="20E2004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323" w:type="dxa"/>
            <w:tcBorders>
              <w:top w:val="nil"/>
              <w:left w:val="nil"/>
              <w:bottom w:val="single" w:color="auto" w:sz="4" w:space="0"/>
              <w:right w:val="single" w:color="auto" w:sz="4" w:space="0"/>
            </w:tcBorders>
            <w:noWrap w:val="0"/>
            <w:vAlign w:val="center"/>
          </w:tcPr>
          <w:p w14:paraId="14519AD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8420B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149656A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1F06AAB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9926BB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4A9DD2B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13F898A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494C990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79F3C0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96C38F5">
      <w:pPr>
        <w:pStyle w:val="2"/>
        <w:spacing w:line="360" w:lineRule="auto"/>
        <w:jc w:val="center"/>
        <w:rPr>
          <w:rFonts w:hint="eastAsia" w:ascii="宋体" w:hAnsi="宋体" w:cs="宋体"/>
          <w:color w:val="auto"/>
          <w:highlight w:val="none"/>
        </w:rPr>
      </w:pPr>
      <w:bookmarkStart w:id="86" w:name="_Toc16905"/>
      <w:bookmarkStart w:id="87" w:name="_Toc13284"/>
      <w:bookmarkStart w:id="88" w:name="_Toc25187"/>
      <w:bookmarkStart w:id="89" w:name="_Toc18676"/>
      <w:bookmarkStart w:id="90" w:name="_Toc4822"/>
      <w:bookmarkStart w:id="91" w:name="_Toc22856"/>
      <w:r>
        <w:rPr>
          <w:rFonts w:hint="eastAsia" w:ascii="宋体" w:hAnsi="宋体" w:cs="宋体"/>
          <w:color w:val="auto"/>
          <w:highlight w:val="none"/>
        </w:rPr>
        <w:t>第三章 供应商须知</w:t>
      </w:r>
      <w:bookmarkEnd w:id="83"/>
      <w:bookmarkEnd w:id="84"/>
      <w:bookmarkEnd w:id="85"/>
      <w:bookmarkEnd w:id="86"/>
      <w:bookmarkEnd w:id="87"/>
      <w:bookmarkEnd w:id="88"/>
      <w:bookmarkEnd w:id="89"/>
      <w:bookmarkEnd w:id="90"/>
      <w:bookmarkEnd w:id="91"/>
    </w:p>
    <w:p w14:paraId="28898CA1">
      <w:pPr>
        <w:pStyle w:val="3"/>
        <w:spacing w:line="360" w:lineRule="auto"/>
        <w:jc w:val="center"/>
        <w:rPr>
          <w:rFonts w:hint="eastAsia" w:ascii="宋体" w:hAnsi="宋体" w:cs="宋体"/>
          <w:b w:val="0"/>
          <w:color w:val="auto"/>
          <w:highlight w:val="none"/>
        </w:rPr>
      </w:pPr>
      <w:bookmarkStart w:id="92" w:name="_Toc10841"/>
      <w:bookmarkStart w:id="93" w:name="_Toc24946"/>
      <w:bookmarkStart w:id="94" w:name="_Toc12599"/>
      <w:bookmarkStart w:id="95" w:name="_Toc28335"/>
      <w:bookmarkStart w:id="96" w:name="_Toc23940"/>
      <w:r>
        <w:rPr>
          <w:rFonts w:hint="eastAsia" w:ascii="宋体" w:hAnsi="宋体" w:cs="宋体"/>
          <w:b w:val="0"/>
          <w:color w:val="auto"/>
          <w:highlight w:val="none"/>
        </w:rPr>
        <w:t>第一节 供应商须知前附表</w:t>
      </w:r>
      <w:bookmarkEnd w:id="92"/>
      <w:bookmarkEnd w:id="93"/>
      <w:bookmarkEnd w:id="94"/>
      <w:bookmarkEnd w:id="95"/>
      <w:bookmarkEnd w:id="96"/>
    </w:p>
    <w:tbl>
      <w:tblPr>
        <w:tblStyle w:val="4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378"/>
        <w:gridCol w:w="6357"/>
      </w:tblGrid>
      <w:tr w14:paraId="0B9E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42D1EE8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78" w:type="dxa"/>
            <w:noWrap w:val="0"/>
            <w:vAlign w:val="center"/>
          </w:tcPr>
          <w:p w14:paraId="0DCA78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357" w:type="dxa"/>
            <w:noWrap w:val="0"/>
            <w:vAlign w:val="center"/>
          </w:tcPr>
          <w:p w14:paraId="4129112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6F24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DD025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378" w:type="dxa"/>
            <w:noWrap w:val="0"/>
            <w:vAlign w:val="center"/>
          </w:tcPr>
          <w:p w14:paraId="6B3296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357" w:type="dxa"/>
            <w:noWrap w:val="0"/>
            <w:vAlign w:val="center"/>
          </w:tcPr>
          <w:p w14:paraId="1131653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387A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2598D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78" w:type="dxa"/>
            <w:noWrap w:val="0"/>
            <w:vAlign w:val="center"/>
          </w:tcPr>
          <w:p w14:paraId="37283B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357" w:type="dxa"/>
            <w:noWrap w:val="0"/>
            <w:vAlign w:val="center"/>
          </w:tcPr>
          <w:p w14:paraId="75A5CF3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□是/☑否</w:t>
            </w:r>
          </w:p>
        </w:tc>
      </w:tr>
      <w:tr w14:paraId="7CD6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0FE9D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78" w:type="dxa"/>
            <w:noWrap w:val="0"/>
            <w:vAlign w:val="center"/>
          </w:tcPr>
          <w:p w14:paraId="02B688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6357" w:type="dxa"/>
            <w:noWrap w:val="0"/>
            <w:vAlign w:val="center"/>
          </w:tcPr>
          <w:p w14:paraId="0A15BED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6F98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CDF4A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378" w:type="dxa"/>
            <w:noWrap w:val="0"/>
            <w:vAlign w:val="center"/>
          </w:tcPr>
          <w:p w14:paraId="28C141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357" w:type="dxa"/>
            <w:noWrap w:val="0"/>
            <w:vAlign w:val="center"/>
          </w:tcPr>
          <w:p w14:paraId="28C9CA52">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4DB9BA">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32D548A6">
            <w:pPr>
              <w:pStyle w:val="16"/>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14E0C37">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5020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5C67E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378" w:type="dxa"/>
            <w:noWrap w:val="0"/>
            <w:vAlign w:val="center"/>
          </w:tcPr>
          <w:p w14:paraId="279BE78C">
            <w:pPr>
              <w:snapToGrid w:val="0"/>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资格证明文件组成</w:t>
            </w:r>
          </w:p>
        </w:tc>
        <w:tc>
          <w:tcPr>
            <w:tcW w:w="6357" w:type="dxa"/>
            <w:noWrap w:val="0"/>
            <w:vAlign w:val="center"/>
          </w:tcPr>
          <w:p w14:paraId="1DE493AF">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1.供应商为法人或者其他组织的提供其营业执照等证明文件（如营业执照或者事业单位法人证书或者执业许可证等）复印件，供应商为自然人的提供其身份证复印件；（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87B49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截标时间前</w:t>
            </w:r>
            <w:r>
              <w:rPr>
                <w:rFonts w:hint="eastAsia" w:ascii="宋体" w:hAnsi="宋体" w:eastAsia="宋体" w:cs="宋体"/>
                <w:color w:val="auto"/>
                <w:sz w:val="21"/>
                <w:szCs w:val="21"/>
                <w:highlight w:val="none"/>
              </w:rPr>
              <w:t>半年内任意连续三个月</w:t>
            </w:r>
            <w:r>
              <w:rPr>
                <w:rFonts w:hint="eastAsia" w:ascii="宋体" w:hAnsi="宋体" w:cs="宋体"/>
                <w:color w:val="auto"/>
                <w:szCs w:val="21"/>
                <w:highlight w:val="none"/>
              </w:rPr>
              <w:t>的依法缴纳税收的凭据复印件；依法免税或零申报的，必须提供相应文件证明其依法免税或零申报。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1D9B11E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eastAsia="宋体" w:cs="宋体"/>
                <w:color w:val="auto"/>
                <w:sz w:val="21"/>
                <w:szCs w:val="21"/>
                <w:highlight w:val="none"/>
                <w:lang w:val="en-US" w:eastAsia="zh-CN"/>
              </w:rPr>
              <w:t>截标时间前</w:t>
            </w:r>
            <w:r>
              <w:rPr>
                <w:rFonts w:hint="eastAsia" w:ascii="宋体" w:hAnsi="宋体" w:eastAsia="宋体" w:cs="宋体"/>
                <w:color w:val="auto"/>
                <w:sz w:val="21"/>
                <w:szCs w:val="21"/>
                <w:highlight w:val="none"/>
              </w:rPr>
              <w:t>半年内任意连续三个月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27671C3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lang w:val="en-US" w:eastAsia="zh-CN"/>
              </w:rPr>
              <w:t>2024年</w:t>
            </w:r>
            <w:r>
              <w:rPr>
                <w:rFonts w:hint="eastAsia" w:ascii="宋体" w:hAnsi="宋体" w:cs="宋体"/>
                <w:color w:val="auto"/>
                <w:szCs w:val="21"/>
                <w:highlight w:val="none"/>
                <w:u w:val="none"/>
              </w:rPr>
              <w:t>的财务报表</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rPr>
              <w:t>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供应商开户行出具的银行资信证明文件复印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4337C30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230C2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B0688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7.联合体协议书原件（格式后附）；（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2E1FFD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中小企业声明函</w:t>
            </w:r>
            <w:r>
              <w:rPr>
                <w:rFonts w:hint="eastAsia" w:ascii="宋体" w:hAnsi="宋体" w:cs="宋体"/>
                <w:color w:val="auto"/>
                <w:szCs w:val="21"/>
                <w:highlight w:val="none"/>
              </w:rPr>
              <w:t>（格式后附）</w:t>
            </w:r>
            <w:r>
              <w:rPr>
                <w:rFonts w:hint="eastAsia" w:ascii="宋体" w:hAnsi="宋体"/>
                <w:color w:val="auto"/>
                <w:szCs w:val="21"/>
                <w:highlight w:val="none"/>
              </w:rPr>
              <w:t>或残疾人福利性单位声明函</w:t>
            </w:r>
            <w:r>
              <w:rPr>
                <w:rFonts w:hint="eastAsia" w:ascii="宋体" w:hAnsi="宋体" w:cs="宋体"/>
                <w:color w:val="auto"/>
                <w:szCs w:val="21"/>
                <w:highlight w:val="none"/>
              </w:rPr>
              <w:t>（格式后附）</w:t>
            </w:r>
            <w:r>
              <w:rPr>
                <w:rFonts w:hint="eastAsia" w:ascii="宋体" w:hAnsi="宋体"/>
                <w:color w:val="auto"/>
                <w:szCs w:val="21"/>
                <w:highlight w:val="none"/>
              </w:rPr>
              <w:t>或供应商属于监狱企业的证明材料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718B125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9.特定资格要求的资格证明材料：（1）供应商必须提供具备</w:t>
            </w:r>
            <w:r>
              <w:rPr>
                <w:rFonts w:hint="eastAsia" w:ascii="宋体" w:hAnsi="宋体" w:cs="宋体"/>
                <w:color w:val="auto"/>
                <w:highlight w:val="none"/>
                <w:lang w:eastAsia="zh-CN"/>
              </w:rPr>
              <w:t>市政公用工程施工总承包三级或</w:t>
            </w:r>
            <w:r>
              <w:rPr>
                <w:rFonts w:hint="eastAsia" w:ascii="宋体" w:hAnsi="宋体" w:cs="宋体"/>
                <w:color w:val="auto"/>
                <w:szCs w:val="21"/>
                <w:highlight w:val="none"/>
                <w:lang w:eastAsia="zh-CN"/>
              </w:rPr>
              <w:t>公路工程施工施工总承包三级</w:t>
            </w:r>
            <w:r>
              <w:rPr>
                <w:rFonts w:hint="eastAsia" w:ascii="宋体" w:hAnsi="宋体" w:cs="宋体"/>
                <w:color w:val="auto"/>
                <w:szCs w:val="21"/>
                <w:highlight w:val="none"/>
              </w:rPr>
              <w:t>(含)以上资质</w:t>
            </w:r>
            <w:r>
              <w:rPr>
                <w:rFonts w:hint="eastAsia" w:ascii="宋体" w:hAnsi="宋体" w:eastAsia="宋体" w:cs="宋体"/>
                <w:color w:val="auto"/>
                <w:highlight w:val="none"/>
              </w:rPr>
              <w:t>及具有在有效期内的省级及以上建设行政主管部门颁发的</w:t>
            </w:r>
            <w:r>
              <w:rPr>
                <w:rFonts w:hint="eastAsia" w:ascii="宋体" w:hAnsi="宋体" w:cs="宋体"/>
                <w:color w:val="auto"/>
                <w:szCs w:val="21"/>
                <w:highlight w:val="none"/>
              </w:rPr>
              <w:t>安全生产许可证复印件；（2）供应商必须提供拟派项目经理</w:t>
            </w:r>
            <w:r>
              <w:rPr>
                <w:rFonts w:hint="eastAsia" w:ascii="宋体" w:hAnsi="宋体" w:eastAsia="宋体" w:cs="宋体"/>
                <w:color w:val="auto"/>
                <w:highlight w:val="none"/>
              </w:rPr>
              <w:t>具备</w:t>
            </w:r>
            <w:r>
              <w:rPr>
                <w:rFonts w:hint="eastAsia" w:ascii="宋体" w:hAnsi="宋体" w:cs="宋体"/>
                <w:color w:val="auto"/>
                <w:highlight w:val="none"/>
                <w:lang w:eastAsia="zh-CN"/>
              </w:rPr>
              <w:t>市政公用工程施工总承包三级或公路工程施工</w:t>
            </w:r>
            <w:r>
              <w:rPr>
                <w:rFonts w:hint="eastAsia" w:ascii="宋体" w:hAnsi="宋体" w:eastAsia="宋体" w:cs="宋体"/>
                <w:color w:val="auto"/>
                <w:highlight w:val="none"/>
                <w:lang w:eastAsia="zh-CN"/>
              </w:rPr>
              <w:t>二级</w:t>
            </w:r>
            <w:r>
              <w:rPr>
                <w:rFonts w:hint="eastAsia" w:ascii="宋体" w:hAnsi="宋体" w:eastAsia="宋体" w:cs="宋体"/>
                <w:color w:val="auto"/>
                <w:highlight w:val="none"/>
              </w:rPr>
              <w:t>（含）以上</w:t>
            </w:r>
            <w:r>
              <w:rPr>
                <w:rFonts w:hint="eastAsia" w:ascii="宋体" w:hAnsi="宋体" w:eastAsia="宋体" w:cs="宋体"/>
                <w:color w:val="auto"/>
                <w:szCs w:val="21"/>
                <w:highlight w:val="none"/>
              </w:rPr>
              <w:t>注册建造师执业资格证书复印件</w:t>
            </w:r>
            <w:r>
              <w:rPr>
                <w:rFonts w:hint="eastAsia" w:ascii="宋体" w:hAnsi="宋体" w:cs="宋体"/>
                <w:color w:val="auto"/>
                <w:szCs w:val="21"/>
                <w:highlight w:val="none"/>
              </w:rPr>
              <w:t>及有效的安全生产考核合格证书（B类）复印件；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highlight w:val="none"/>
              </w:rPr>
              <w:t>拟派专职安全员须具备有效的安全生产考核合格证书（C类）</w:t>
            </w:r>
            <w:r>
              <w:rPr>
                <w:rFonts w:hint="eastAsia" w:ascii="宋体" w:hAnsi="宋体" w:cs="宋体"/>
                <w:color w:val="auto"/>
                <w:szCs w:val="21"/>
                <w:highlight w:val="none"/>
              </w:rPr>
              <w:t>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E86E53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10.拟投入本项目的项目经理无在建承诺书；（</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F9A08D">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11.除磋商文件规定必须提供以外，供应商认为需要提供的其他证明材料。</w:t>
            </w:r>
          </w:p>
          <w:p w14:paraId="1509E65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C4977E8">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63D8815C">
            <w:pPr>
              <w:pStyle w:val="16"/>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3941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1A9C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378" w:type="dxa"/>
            <w:noWrap w:val="0"/>
            <w:vAlign w:val="center"/>
          </w:tcPr>
          <w:p w14:paraId="10A143D2">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357" w:type="dxa"/>
            <w:noWrap w:val="0"/>
            <w:vAlign w:val="center"/>
          </w:tcPr>
          <w:p w14:paraId="427720BA">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9FA26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法定代表人身份证明书（格式后附）及法定代表人有效身份证正反面复印件；（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1268AC">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法定代表人授权委托书（格式后附）及委托代理人有效身份证正反面复印件；（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CC4126F">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B4CCCD">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竞标人情况介绍；</w:t>
            </w:r>
          </w:p>
          <w:p w14:paraId="284E3C03">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bookmarkStart w:id="97" w:name="_Hlk106537541"/>
            <w:r>
              <w:rPr>
                <w:rFonts w:hint="eastAsia" w:ascii="宋体" w:hAnsi="宋体" w:cs="宋体"/>
                <w:color w:val="auto"/>
                <w:szCs w:val="21"/>
                <w:highlight w:val="none"/>
              </w:rPr>
              <w:t>类似业绩一览表（类似业绩是指：供应商自202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年以来，承接过类似工程业绩）</w:t>
            </w:r>
            <w:r>
              <w:rPr>
                <w:rFonts w:hint="eastAsia" w:ascii="宋体" w:hAnsi="宋体" w:cs="宋体"/>
                <w:b/>
                <w:bCs/>
                <w:color w:val="auto"/>
                <w:szCs w:val="21"/>
                <w:highlight w:val="none"/>
              </w:rPr>
              <w:t>（如有）</w:t>
            </w:r>
          </w:p>
          <w:p w14:paraId="40D58AE5">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项目经理简历表</w:t>
            </w:r>
            <w:bookmarkEnd w:id="97"/>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7087EFA3">
            <w:pPr>
              <w:keepNext w:val="0"/>
              <w:keepLines w:val="0"/>
              <w:pageBreakBefore w:val="0"/>
              <w:widowControl w:val="0"/>
              <w:kinsoku/>
              <w:wordWrap/>
              <w:overflowPunct/>
              <w:topLinePunct w:val="0"/>
              <w:autoSpaceDE/>
              <w:autoSpaceDN/>
              <w:bidi w:val="0"/>
              <w:adjustRightInd/>
              <w:spacing w:line="360" w:lineRule="auto"/>
              <w:ind w:left="0" w:firstLine="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8.</w:t>
            </w:r>
            <w:bookmarkStart w:id="98" w:name="_Hlk106537557"/>
            <w:r>
              <w:rPr>
                <w:rFonts w:hint="eastAsia" w:ascii="宋体" w:hAnsi="宋体" w:cs="宋体"/>
                <w:color w:val="auto"/>
                <w:szCs w:val="21"/>
                <w:highlight w:val="none"/>
              </w:rPr>
              <w:t>项目管理机构配备情况表</w:t>
            </w:r>
            <w:bookmarkEnd w:id="98"/>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449FE400">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施工组织设计</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A0D0D1">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对应采购需求的技术需求、商务条款提供的其他文件资料；</w:t>
            </w:r>
          </w:p>
          <w:p w14:paraId="26915AB3">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left"/>
              <w:textAlignment w:val="auto"/>
              <w:rPr>
                <w:rFonts w:hint="eastAsia"/>
                <w:color w:val="auto"/>
                <w:highlight w:val="none"/>
              </w:rPr>
            </w:pPr>
            <w:r>
              <w:rPr>
                <w:rFonts w:hint="eastAsia" w:ascii="宋体" w:hAnsi="宋体" w:cs="宋体"/>
                <w:color w:val="auto"/>
                <w:szCs w:val="21"/>
                <w:highlight w:val="none"/>
              </w:rPr>
              <w:t>供应商认为需要提供的其他有关资料。</w:t>
            </w:r>
          </w:p>
          <w:p w14:paraId="005BB4D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00C11902">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79C26C73">
            <w:pPr>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1D74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D51A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2378" w:type="dxa"/>
            <w:noWrap w:val="0"/>
            <w:vAlign w:val="center"/>
          </w:tcPr>
          <w:p w14:paraId="23686F60">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357" w:type="dxa"/>
            <w:noWrap w:val="0"/>
            <w:vAlign w:val="center"/>
          </w:tcPr>
          <w:p w14:paraId="7E6085D4">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（必须提供，否则作无效响应处理）</w:t>
            </w:r>
          </w:p>
          <w:p w14:paraId="6A6CE1D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E8C28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5ACAE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1E4D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0F908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78" w:type="dxa"/>
            <w:noWrap w:val="0"/>
            <w:vAlign w:val="center"/>
          </w:tcPr>
          <w:p w14:paraId="0E6FCA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357" w:type="dxa"/>
            <w:noWrap w:val="0"/>
            <w:vAlign w:val="center"/>
          </w:tcPr>
          <w:p w14:paraId="2A1360C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9BC1AD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6D33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4FCAA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378" w:type="dxa"/>
            <w:noWrap w:val="0"/>
            <w:vAlign w:val="center"/>
          </w:tcPr>
          <w:p w14:paraId="0E1950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357" w:type="dxa"/>
            <w:noWrap w:val="0"/>
            <w:vAlign w:val="center"/>
          </w:tcPr>
          <w:p w14:paraId="0AA3555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工程价格、必要的保险费用和各项税金、其他：包括但不限于工程的成本、材料费、人工费、运输（含保险）、安装（如有）、调试、检验、技术服务、培训、税费等所有费用。</w:t>
            </w:r>
          </w:p>
        </w:tc>
      </w:tr>
      <w:tr w14:paraId="1556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8E098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378" w:type="dxa"/>
            <w:noWrap w:val="0"/>
            <w:vAlign w:val="center"/>
          </w:tcPr>
          <w:p w14:paraId="39DD9C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357" w:type="dxa"/>
            <w:noWrap w:val="0"/>
            <w:vAlign w:val="center"/>
          </w:tcPr>
          <w:p w14:paraId="5C8407EC">
            <w:pPr>
              <w:pStyle w:val="13"/>
              <w:widowControl w:val="0"/>
              <w:tabs>
                <w:tab w:val="clear" w:pos="454"/>
              </w:tabs>
              <w:snapToGrid w:val="0"/>
              <w:spacing w:afterLines="0" w:line="360" w:lineRule="auto"/>
              <w:ind w:left="-283" w:leftChars="-135"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10395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F8062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378" w:type="dxa"/>
            <w:noWrap w:val="0"/>
            <w:vAlign w:val="center"/>
          </w:tcPr>
          <w:p w14:paraId="152229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357" w:type="dxa"/>
            <w:noWrap w:val="0"/>
            <w:vAlign w:val="center"/>
          </w:tcPr>
          <w:p w14:paraId="22833BBF">
            <w:pPr>
              <w:autoSpaceDE w:val="0"/>
              <w:autoSpaceDN w:val="0"/>
              <w:snapToGrid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4ABF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3" w:type="dxa"/>
            <w:vMerge w:val="restart"/>
            <w:noWrap w:val="0"/>
            <w:vAlign w:val="center"/>
          </w:tcPr>
          <w:p w14:paraId="53481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378" w:type="dxa"/>
            <w:noWrap w:val="0"/>
            <w:vAlign w:val="center"/>
          </w:tcPr>
          <w:p w14:paraId="570D59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357" w:type="dxa"/>
            <w:noWrap w:val="0"/>
            <w:vAlign w:val="center"/>
          </w:tcPr>
          <w:p w14:paraId="0AF64B3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029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5489CF3F">
            <w:pPr>
              <w:spacing w:line="360" w:lineRule="auto"/>
              <w:jc w:val="center"/>
              <w:rPr>
                <w:rFonts w:hint="eastAsia" w:ascii="宋体" w:hAnsi="宋体" w:cs="宋体"/>
                <w:color w:val="auto"/>
                <w:szCs w:val="21"/>
                <w:highlight w:val="none"/>
              </w:rPr>
            </w:pPr>
          </w:p>
        </w:tc>
        <w:tc>
          <w:tcPr>
            <w:tcW w:w="2378" w:type="dxa"/>
            <w:noWrap w:val="0"/>
            <w:vAlign w:val="center"/>
          </w:tcPr>
          <w:p w14:paraId="52BD75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357" w:type="dxa"/>
            <w:noWrap w:val="0"/>
            <w:vAlign w:val="center"/>
          </w:tcPr>
          <w:p w14:paraId="00082574">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692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3AE7C2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378" w:type="dxa"/>
            <w:noWrap w:val="0"/>
            <w:vAlign w:val="center"/>
          </w:tcPr>
          <w:p w14:paraId="02024A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357" w:type="dxa"/>
            <w:noWrap w:val="0"/>
            <w:vAlign w:val="center"/>
          </w:tcPr>
          <w:p w14:paraId="799FEF4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0D969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3D95E2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78" w:type="dxa"/>
            <w:noWrap w:val="0"/>
            <w:vAlign w:val="center"/>
          </w:tcPr>
          <w:p w14:paraId="5E7053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357" w:type="dxa"/>
            <w:noWrap w:val="0"/>
            <w:vAlign w:val="center"/>
          </w:tcPr>
          <w:p w14:paraId="1E9B098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1725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2F3589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378" w:type="dxa"/>
            <w:noWrap w:val="0"/>
            <w:vAlign w:val="center"/>
          </w:tcPr>
          <w:p w14:paraId="0AB9F8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357" w:type="dxa"/>
            <w:noWrap w:val="0"/>
            <w:vAlign w:val="center"/>
          </w:tcPr>
          <w:p w14:paraId="79E8DFC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1CB522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BF2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1FDFE64">
            <w:pPr>
              <w:spacing w:line="360" w:lineRule="auto"/>
              <w:jc w:val="center"/>
              <w:rPr>
                <w:rFonts w:hint="eastAsia" w:ascii="宋体" w:hAnsi="宋体" w:cs="宋体"/>
                <w:color w:val="auto"/>
                <w:szCs w:val="21"/>
                <w:highlight w:val="none"/>
              </w:rPr>
            </w:pPr>
          </w:p>
        </w:tc>
        <w:tc>
          <w:tcPr>
            <w:tcW w:w="2378" w:type="dxa"/>
            <w:noWrap w:val="0"/>
            <w:vAlign w:val="center"/>
          </w:tcPr>
          <w:p w14:paraId="626CB74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6357" w:type="dxa"/>
            <w:noWrap w:val="0"/>
            <w:vAlign w:val="center"/>
          </w:tcPr>
          <w:p w14:paraId="6DE2900B">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1853306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☑随机排序。</w:t>
            </w:r>
          </w:p>
          <w:p w14:paraId="052A858F">
            <w:pPr>
              <w:pStyle w:val="16"/>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648F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D8438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378" w:type="dxa"/>
            <w:noWrap w:val="0"/>
            <w:vAlign w:val="center"/>
          </w:tcPr>
          <w:p w14:paraId="672596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357" w:type="dxa"/>
            <w:noWrap w:val="0"/>
            <w:vAlign w:val="center"/>
          </w:tcPr>
          <w:p w14:paraId="50DE784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43499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FFB64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378" w:type="dxa"/>
            <w:noWrap w:val="0"/>
            <w:vAlign w:val="center"/>
          </w:tcPr>
          <w:p w14:paraId="40D21A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6357" w:type="dxa"/>
            <w:noWrap w:val="0"/>
            <w:vAlign w:val="center"/>
          </w:tcPr>
          <w:p w14:paraId="55817DA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15AA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BA5B7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378" w:type="dxa"/>
            <w:noWrap w:val="0"/>
            <w:vAlign w:val="center"/>
          </w:tcPr>
          <w:p w14:paraId="06031B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357" w:type="dxa"/>
            <w:noWrap w:val="0"/>
            <w:vAlign w:val="center"/>
          </w:tcPr>
          <w:p w14:paraId="16BEB7D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31C4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0F08DA4D">
            <w:pPr>
              <w:spacing w:line="360" w:lineRule="auto"/>
              <w:jc w:val="center"/>
              <w:rPr>
                <w:rFonts w:hint="eastAsia" w:ascii="宋体" w:hAnsi="宋体" w:cs="宋体"/>
                <w:color w:val="auto"/>
                <w:szCs w:val="21"/>
                <w:highlight w:val="none"/>
              </w:rPr>
            </w:pPr>
          </w:p>
        </w:tc>
        <w:tc>
          <w:tcPr>
            <w:tcW w:w="2378" w:type="dxa"/>
            <w:noWrap w:val="0"/>
            <w:vAlign w:val="center"/>
          </w:tcPr>
          <w:p w14:paraId="5934F4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357" w:type="dxa"/>
            <w:noWrap w:val="0"/>
            <w:vAlign w:val="center"/>
          </w:tcPr>
          <w:p w14:paraId="15FDB8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广西汉昌工程咨询有限公司</w:t>
            </w:r>
            <w:r>
              <w:rPr>
                <w:rFonts w:hint="eastAsia" w:ascii="宋体" w:hAnsi="宋体" w:cs="宋体"/>
                <w:color w:val="auto"/>
                <w:szCs w:val="21"/>
                <w:highlight w:val="none"/>
              </w:rPr>
              <w:t>；</w:t>
            </w:r>
          </w:p>
          <w:p w14:paraId="2441D30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0771-5718293</w:t>
            </w:r>
          </w:p>
          <w:p w14:paraId="1DA29DF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南宁市青秀区仙葫大道西16号鼎丰国际美食广场A栋11楼HC区域</w:t>
            </w:r>
          </w:p>
          <w:p w14:paraId="2376B14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横州市乡村振兴局</w:t>
            </w:r>
            <w:r>
              <w:rPr>
                <w:rFonts w:hint="eastAsia" w:ascii="宋体" w:hAnsi="宋体" w:cs="宋体"/>
                <w:color w:val="auto"/>
                <w:szCs w:val="21"/>
                <w:highlight w:val="none"/>
              </w:rPr>
              <w:t>；</w:t>
            </w:r>
          </w:p>
          <w:p w14:paraId="56C75071">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联系电话：</w:t>
            </w:r>
            <w:r>
              <w:rPr>
                <w:rFonts w:hint="eastAsia" w:ascii="宋体" w:hAnsi="宋体"/>
                <w:color w:val="auto"/>
                <w:szCs w:val="21"/>
                <w:highlight w:val="none"/>
                <w:u w:val="none"/>
                <w:lang w:val="en-US" w:eastAsia="zh-CN"/>
              </w:rPr>
              <w:t>0771-7082567</w:t>
            </w:r>
          </w:p>
          <w:p w14:paraId="5C26D0C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 xml:space="preserve">横州市横州镇茉莉花大道21号 </w:t>
            </w:r>
          </w:p>
        </w:tc>
      </w:tr>
      <w:tr w14:paraId="2EEF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11DA4F1">
            <w:pPr>
              <w:spacing w:line="360" w:lineRule="auto"/>
              <w:jc w:val="center"/>
              <w:rPr>
                <w:rFonts w:hint="eastAsia" w:ascii="宋体" w:hAnsi="宋体" w:cs="宋体"/>
                <w:color w:val="auto"/>
                <w:szCs w:val="21"/>
                <w:highlight w:val="none"/>
              </w:rPr>
            </w:pPr>
          </w:p>
        </w:tc>
        <w:tc>
          <w:tcPr>
            <w:tcW w:w="2378" w:type="dxa"/>
            <w:noWrap w:val="0"/>
            <w:vAlign w:val="center"/>
          </w:tcPr>
          <w:p w14:paraId="3F2CABDE">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6357" w:type="dxa"/>
            <w:noWrap w:val="0"/>
            <w:vAlign w:val="center"/>
          </w:tcPr>
          <w:p w14:paraId="3EF3E68A">
            <w:pPr>
              <w:snapToGrid w:val="0"/>
              <w:spacing w:line="360" w:lineRule="auto"/>
              <w:jc w:val="left"/>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17</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w:t>
            </w:r>
          </w:p>
        </w:tc>
      </w:tr>
      <w:tr w14:paraId="6A91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903" w:type="dxa"/>
            <w:noWrap w:val="0"/>
            <w:vAlign w:val="center"/>
          </w:tcPr>
          <w:p w14:paraId="213E61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378" w:type="dxa"/>
            <w:noWrap w:val="0"/>
            <w:vAlign w:val="center"/>
          </w:tcPr>
          <w:p w14:paraId="7A4E79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357" w:type="dxa"/>
            <w:noWrap w:val="0"/>
            <w:vAlign w:val="center"/>
          </w:tcPr>
          <w:p w14:paraId="784C24E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24F3B42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2.邮寄地址：</w:t>
            </w:r>
          </w:p>
          <w:p w14:paraId="25C320D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名称：横州市财政局</w:t>
            </w:r>
          </w:p>
          <w:p w14:paraId="5A26D82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地址：横州市横州镇柳明路022号</w:t>
            </w:r>
          </w:p>
          <w:p w14:paraId="4B49DDD3">
            <w:pPr>
              <w:snapToGrid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联系电话：0771-7233567</w:t>
            </w:r>
          </w:p>
        </w:tc>
      </w:tr>
      <w:tr w14:paraId="0FEC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1" w:hRule="atLeast"/>
          <w:jc w:val="center"/>
        </w:trPr>
        <w:tc>
          <w:tcPr>
            <w:tcW w:w="903" w:type="dxa"/>
            <w:noWrap w:val="0"/>
            <w:vAlign w:val="center"/>
          </w:tcPr>
          <w:p w14:paraId="44B147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2378" w:type="dxa"/>
            <w:noWrap w:val="0"/>
            <w:vAlign w:val="center"/>
          </w:tcPr>
          <w:p w14:paraId="72A9A9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357" w:type="dxa"/>
            <w:noWrap w:val="0"/>
            <w:vAlign w:val="center"/>
          </w:tcPr>
          <w:p w14:paraId="5223E12A">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1. 是否收取采购代理费：</w:t>
            </w:r>
          </w:p>
          <w:p w14:paraId="2552F52C">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☑是    □否</w:t>
            </w:r>
          </w:p>
          <w:p w14:paraId="0BC2F280">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2.采购代理费支付方式：</w:t>
            </w:r>
          </w:p>
          <w:p w14:paraId="602B1F32">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BAE09C2">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□采购人支付。</w:t>
            </w:r>
          </w:p>
          <w:p w14:paraId="2A38B907">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3.采购代理费收取标准：</w:t>
            </w:r>
          </w:p>
          <w:p w14:paraId="3FE05C0B">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w:t>
            </w:r>
            <w:r>
              <w:rPr>
                <w:rFonts w:hint="eastAsia" w:hAnsi="宋体" w:cs="宋体"/>
                <w:color w:val="auto"/>
                <w:sz w:val="21"/>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采购预算/□暂定成交金额/□其他</w:t>
            </w:r>
            <w:r>
              <w:rPr>
                <w:rFonts w:hint="eastAsia" w:hAnsi="宋体" w:cs="宋体"/>
                <w:color w:val="auto"/>
                <w:sz w:val="21"/>
                <w:highlight w:val="none"/>
                <w:u w:val="single"/>
              </w:rPr>
              <w:t xml:space="preserve"> / </w:t>
            </w:r>
            <w:r>
              <w:rPr>
                <w:rFonts w:hint="eastAsia" w:hAnsi="宋体" w:cs="宋体"/>
                <w:color w:val="auto"/>
                <w:sz w:val="21"/>
                <w:highlight w:val="none"/>
              </w:rPr>
              <w:t>）为计费额，按</w:t>
            </w:r>
            <w:r>
              <w:rPr>
                <w:rFonts w:hint="eastAsia" w:hAnsi="宋体" w:cs="宋体"/>
                <w:b/>
                <w:bCs/>
                <w:color w:val="auto"/>
                <w:sz w:val="21"/>
                <w:highlight w:val="none"/>
              </w:rPr>
              <w:t>工程类</w:t>
            </w:r>
            <w:r>
              <w:rPr>
                <w:rFonts w:hint="eastAsia" w:hAnsi="宋体" w:cs="宋体"/>
                <w:color w:val="auto"/>
                <w:sz w:val="21"/>
                <w:highlight w:val="none"/>
              </w:rPr>
              <w:t>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eastAsia="zh-CN"/>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 %</w:t>
            </w:r>
            <w:r>
              <w:rPr>
                <w:rFonts w:hint="eastAsia" w:hAnsi="宋体" w:cs="宋体"/>
                <w:color w:val="auto"/>
                <w:sz w:val="21"/>
                <w:highlight w:val="none"/>
              </w:rPr>
              <w:t>）收取（不足伍仟元按伍仟元整收取）。</w:t>
            </w:r>
          </w:p>
          <w:p w14:paraId="57AFE89B">
            <w:pPr>
              <w:pStyle w:val="25"/>
              <w:snapToGrid w:val="0"/>
              <w:spacing w:line="360" w:lineRule="auto"/>
              <w:jc w:val="left"/>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ascii="宋体" w:hAnsi="宋体" w:eastAsia="宋体" w:cs="宋体"/>
                <w:color w:val="auto"/>
                <w:sz w:val="24"/>
                <w:szCs w:val="24"/>
                <w:highlight w:val="none"/>
                <w:u w:val="single"/>
                <w:lang w:val="en-US" w:eastAsia="zh-CN"/>
              </w:rPr>
              <w:t>标段一:6100元，标段二：6200元</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p>
          <w:p w14:paraId="69DFFA7B">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4.采购代理费收取银行账户</w:t>
            </w:r>
          </w:p>
          <w:p w14:paraId="453CB111">
            <w:pPr>
              <w:pStyle w:val="25"/>
              <w:snapToGrid w:val="0"/>
              <w:spacing w:line="360" w:lineRule="auto"/>
              <w:jc w:val="left"/>
              <w:rPr>
                <w:rFonts w:hint="eastAsia" w:hAnsi="宋体" w:eastAsia="宋体" w:cs="宋体"/>
                <w:color w:val="auto"/>
                <w:sz w:val="21"/>
                <w:highlight w:val="none"/>
                <w:lang w:eastAsia="zh-CN"/>
              </w:rPr>
            </w:pPr>
            <w:r>
              <w:rPr>
                <w:rFonts w:hint="eastAsia" w:hAnsi="宋体" w:cs="宋体"/>
                <w:color w:val="auto"/>
                <w:sz w:val="21"/>
                <w:highlight w:val="none"/>
              </w:rPr>
              <w:t>开户名称：</w:t>
            </w:r>
            <w:r>
              <w:rPr>
                <w:rFonts w:hint="eastAsia" w:hAnsi="宋体" w:cs="宋体"/>
                <w:color w:val="auto"/>
                <w:sz w:val="21"/>
                <w:highlight w:val="none"/>
                <w:lang w:eastAsia="zh-CN"/>
              </w:rPr>
              <w:t>广西汉昌工程咨询有限公司</w:t>
            </w:r>
            <w:r>
              <w:rPr>
                <w:rFonts w:hint="eastAsia" w:hAnsi="宋体" w:cs="宋体"/>
                <w:color w:val="auto"/>
                <w:sz w:val="21"/>
                <w:highlight w:val="none"/>
                <w:lang w:val="en-US" w:eastAsia="zh-CN"/>
              </w:rPr>
              <w:t>第十八分公司</w:t>
            </w:r>
          </w:p>
          <w:p w14:paraId="3D301A2F">
            <w:pPr>
              <w:pStyle w:val="25"/>
              <w:snapToGrid w:val="0"/>
              <w:spacing w:line="360" w:lineRule="auto"/>
              <w:jc w:val="left"/>
              <w:rPr>
                <w:rFonts w:hint="eastAsia" w:hAnsi="宋体" w:eastAsia="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eastAsia="zh-CN"/>
              </w:rPr>
              <w:t>招商银行股份有限公司南宁分行</w:t>
            </w:r>
          </w:p>
          <w:p w14:paraId="4ACC56DB">
            <w:pPr>
              <w:pStyle w:val="25"/>
              <w:snapToGrid w:val="0"/>
              <w:spacing w:line="360" w:lineRule="auto"/>
              <w:jc w:val="left"/>
              <w:rPr>
                <w:rFonts w:hint="eastAsia" w:hAnsi="宋体" w:eastAsia="宋体" w:cs="宋体"/>
                <w:color w:val="auto"/>
                <w:sz w:val="21"/>
                <w:highlight w:val="none"/>
                <w:lang w:eastAsia="zh-CN"/>
              </w:rPr>
            </w:pPr>
            <w:r>
              <w:rPr>
                <w:rFonts w:hint="eastAsia" w:hAnsi="宋体" w:cs="宋体"/>
                <w:color w:val="auto"/>
                <w:sz w:val="21"/>
                <w:highlight w:val="none"/>
              </w:rPr>
              <w:t>银行账号：</w:t>
            </w:r>
            <w:r>
              <w:rPr>
                <w:rFonts w:hint="eastAsia" w:hAnsi="宋体" w:cs="宋体"/>
                <w:color w:val="auto"/>
                <w:sz w:val="21"/>
                <w:highlight w:val="none"/>
                <w:lang w:eastAsia="zh-CN"/>
              </w:rPr>
              <w:t>771903123610828</w:t>
            </w:r>
          </w:p>
        </w:tc>
      </w:tr>
      <w:tr w14:paraId="4ACF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7EFA4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78" w:type="dxa"/>
            <w:noWrap w:val="0"/>
            <w:vAlign w:val="center"/>
          </w:tcPr>
          <w:p w14:paraId="5E75F314">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解释</w:t>
            </w:r>
          </w:p>
        </w:tc>
        <w:tc>
          <w:tcPr>
            <w:tcW w:w="6357" w:type="dxa"/>
            <w:noWrap w:val="0"/>
            <w:vAlign w:val="center"/>
          </w:tcPr>
          <w:p w14:paraId="7175807F">
            <w:pPr>
              <w:pStyle w:val="25"/>
              <w:snapToGrid w:val="0"/>
              <w:spacing w:line="360" w:lineRule="auto"/>
              <w:jc w:val="left"/>
              <w:rPr>
                <w:rFonts w:hint="eastAsia"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A93C572">
            <w:pPr>
              <w:pStyle w:val="25"/>
              <w:snapToGrid w:val="0"/>
              <w:spacing w:line="360" w:lineRule="auto"/>
              <w:jc w:val="left"/>
              <w:rPr>
                <w:rFonts w:hint="eastAsia" w:hAnsi="宋体" w:cs="宋体"/>
                <w:color w:val="auto"/>
                <w:sz w:val="21"/>
                <w:highlight w:val="none"/>
              </w:rPr>
            </w:pPr>
            <w:r>
              <w:rPr>
                <w:rFonts w:hint="eastAsia" w:hAnsi="宋体" w:cs="宋体"/>
                <w:b/>
                <w:color w:val="auto"/>
                <w:sz w:val="21"/>
                <w:highlight w:val="none"/>
              </w:rPr>
              <w:t>法律责任：</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632999E">
            <w:pPr>
              <w:pStyle w:val="25"/>
              <w:snapToGrid w:val="0"/>
              <w:spacing w:line="360" w:lineRule="auto"/>
              <w:jc w:val="left"/>
              <w:rPr>
                <w:rFonts w:hint="eastAsia" w:hAnsi="宋体" w:cs="宋体"/>
                <w:color w:val="auto"/>
                <w:kern w:val="2"/>
                <w:sz w:val="21"/>
                <w:highlight w:val="none"/>
              </w:rPr>
            </w:pPr>
            <w:r>
              <w:rPr>
                <w:rFonts w:hint="eastAsia" w:hAnsi="宋体" w:cs="宋体"/>
                <w:b/>
                <w:bCs/>
                <w:color w:val="auto"/>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DEA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59E9B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2378" w:type="dxa"/>
            <w:noWrap w:val="0"/>
            <w:vAlign w:val="center"/>
          </w:tcPr>
          <w:p w14:paraId="61465D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357" w:type="dxa"/>
            <w:noWrap w:val="0"/>
            <w:vAlign w:val="center"/>
          </w:tcPr>
          <w:p w14:paraId="267BD3F7">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w:t>
            </w:r>
            <w:r>
              <w:rPr>
                <w:rFonts w:hint="eastAsia" w:hAnsi="宋体" w:cs="宋体"/>
                <w:color w:val="auto"/>
                <w:sz w:val="21"/>
                <w:highlight w:val="none"/>
                <w:lang w:eastAsia="zh-CN"/>
              </w:rPr>
              <w:t>，使</w:t>
            </w:r>
            <w:r>
              <w:rPr>
                <w:rFonts w:hint="eastAsia" w:hAnsi="宋体" w:cs="宋体"/>
                <w:color w:val="auto"/>
                <w:sz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A0B7F99">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5C5F5B">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1CF9EF2">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84FDF7A">
            <w:pPr>
              <w:pStyle w:val="25"/>
              <w:snapToGrid w:val="0"/>
              <w:spacing w:line="360" w:lineRule="auto"/>
              <w:jc w:val="lef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4B2BA56B">
      <w:pPr>
        <w:pStyle w:val="3"/>
        <w:spacing w:line="360" w:lineRule="auto"/>
        <w:jc w:val="center"/>
        <w:rPr>
          <w:rFonts w:hint="eastAsia" w:ascii="宋体" w:hAnsi="宋体" w:cs="宋体"/>
          <w:b w:val="0"/>
          <w:color w:val="auto"/>
          <w:highlight w:val="none"/>
        </w:rPr>
      </w:pPr>
      <w:r>
        <w:rPr>
          <w:rFonts w:hint="eastAsia" w:ascii="宋体" w:hAnsi="宋体" w:cs="宋体"/>
          <w:b w:val="0"/>
          <w:color w:val="auto"/>
          <w:highlight w:val="none"/>
        </w:rPr>
        <w:br w:type="page"/>
      </w:r>
      <w:bookmarkStart w:id="99" w:name="_Toc18606"/>
      <w:bookmarkStart w:id="100" w:name="_Toc3460"/>
      <w:bookmarkStart w:id="101" w:name="_Toc15765"/>
      <w:bookmarkStart w:id="102" w:name="_Toc28698"/>
      <w:bookmarkStart w:id="103" w:name="_Toc27035"/>
      <w:r>
        <w:rPr>
          <w:rFonts w:hint="eastAsia" w:ascii="宋体" w:hAnsi="宋体" w:cs="宋体"/>
          <w:b w:val="0"/>
          <w:color w:val="auto"/>
          <w:highlight w:val="none"/>
        </w:rPr>
        <w:t>第二节 供应商须知正文</w:t>
      </w:r>
      <w:bookmarkEnd w:id="99"/>
      <w:bookmarkEnd w:id="100"/>
      <w:bookmarkEnd w:id="101"/>
      <w:bookmarkEnd w:id="102"/>
      <w:bookmarkEnd w:id="103"/>
    </w:p>
    <w:p w14:paraId="3E7C0B9E">
      <w:pPr>
        <w:pStyle w:val="4"/>
        <w:spacing w:before="0" w:after="0" w:line="360" w:lineRule="auto"/>
        <w:rPr>
          <w:rFonts w:hint="eastAsia" w:ascii="宋体" w:hAnsi="宋体" w:cs="宋体"/>
          <w:bCs w:val="0"/>
          <w:color w:val="auto"/>
          <w:highlight w:val="none"/>
        </w:rPr>
      </w:pPr>
      <w:bookmarkStart w:id="104" w:name="_Toc6602"/>
      <w:bookmarkStart w:id="105" w:name="_Toc5632"/>
      <w:bookmarkStart w:id="106" w:name="_Toc4039"/>
      <w:bookmarkStart w:id="107" w:name="_Toc8365"/>
      <w:bookmarkStart w:id="108" w:name="_Toc31718"/>
      <w:r>
        <w:rPr>
          <w:rFonts w:hint="eastAsia" w:ascii="宋体" w:hAnsi="宋体" w:cs="宋体"/>
          <w:bCs w:val="0"/>
          <w:color w:val="auto"/>
          <w:highlight w:val="none"/>
        </w:rPr>
        <w:t>一、总则</w:t>
      </w:r>
      <w:bookmarkEnd w:id="104"/>
      <w:bookmarkEnd w:id="105"/>
      <w:bookmarkEnd w:id="106"/>
      <w:bookmarkEnd w:id="107"/>
      <w:bookmarkEnd w:id="108"/>
    </w:p>
    <w:p w14:paraId="44E085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16116B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462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2A5130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40DE98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04385B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11CA6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9F8F0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6243B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A4AF4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E00E1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029EA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523C0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4085A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0AFDC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135A53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5EF9E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566AE6F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6C56AA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ECE980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4.磋商费用</w:t>
      </w:r>
    </w:p>
    <w:p w14:paraId="3D44E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供应商应承担参与本次采购活动有关的所有费用，包括但不限于、勘察现场、编制和提交响应文件、参加磋商与应答、签订合同等，不论竞标结果如何，均应自行承担。</w:t>
      </w:r>
    </w:p>
    <w:p w14:paraId="4CCA0A9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65BDB4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C440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29375FF9">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6BCD4D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064EEE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9E56C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722C6487">
      <w:pPr>
        <w:spacing w:line="360" w:lineRule="auto"/>
        <w:ind w:firstLine="420" w:firstLineChars="200"/>
        <w:rPr>
          <w:rFonts w:hint="eastAsia" w:ascii="宋体" w:hAnsi="宋体" w:cs="宋体"/>
          <w:b/>
          <w:bCs/>
          <w:color w:val="auto"/>
          <w:sz w:val="24"/>
          <w:highlight w:val="none"/>
        </w:rPr>
      </w:pPr>
      <w:bookmarkStart w:id="109" w:name="_Toc254970532"/>
      <w:bookmarkStart w:id="110" w:name="_Toc254970673"/>
      <w:r>
        <w:rPr>
          <w:rFonts w:hint="eastAsia" w:ascii="宋体" w:hAnsi="宋体" w:cs="宋体"/>
          <w:bCs/>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24BCAFF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109"/>
      <w:bookmarkEnd w:id="110"/>
    </w:p>
    <w:p w14:paraId="033BB41F">
      <w:pPr>
        <w:spacing w:line="360" w:lineRule="auto"/>
        <w:ind w:firstLine="420" w:firstLineChars="200"/>
        <w:rPr>
          <w:rFonts w:hint="eastAsia" w:ascii="宋体" w:hAnsi="宋体" w:cs="宋体"/>
          <w:color w:val="auto"/>
          <w:szCs w:val="21"/>
          <w:highlight w:val="none"/>
        </w:rPr>
      </w:pPr>
      <w:bookmarkStart w:id="111" w:name="_8.1提供相同品牌产品且通过资格审查、符合性审查的不同投标人参加同一合"/>
      <w:bookmarkEnd w:id="111"/>
      <w:r>
        <w:rPr>
          <w:rFonts w:hint="eastAsia" w:ascii="宋体" w:hAnsi="宋体" w:cs="宋体"/>
          <w:color w:val="auto"/>
          <w:szCs w:val="21"/>
          <w:highlight w:val="none"/>
        </w:rPr>
        <w:t>7.1</w:t>
      </w:r>
      <w:bookmarkStart w:id="112"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112"/>
    <w:p w14:paraId="57CF99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80252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6D05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D1F2E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769CD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3AB66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13D29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1069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27164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7F55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DD4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506ED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BC44D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729B5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2663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80E771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3BBFC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2E42D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6E3E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86365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869E4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3D32D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FF6E7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6733C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E67B34F">
      <w:pPr>
        <w:spacing w:line="360" w:lineRule="auto"/>
        <w:rPr>
          <w:rFonts w:hint="eastAsia" w:ascii="宋体" w:hAnsi="宋体" w:cs="宋体"/>
          <w:color w:val="auto"/>
          <w:highlight w:val="none"/>
        </w:rPr>
      </w:pPr>
      <w:bookmarkStart w:id="113" w:name="_Toc254970675"/>
      <w:bookmarkStart w:id="114" w:name="_Toc254970534"/>
    </w:p>
    <w:p w14:paraId="59CAC6D3">
      <w:pPr>
        <w:pStyle w:val="4"/>
        <w:spacing w:before="0" w:after="0" w:line="360" w:lineRule="auto"/>
        <w:rPr>
          <w:rFonts w:hint="eastAsia" w:ascii="宋体" w:hAnsi="宋体" w:cs="宋体"/>
          <w:bCs w:val="0"/>
          <w:color w:val="auto"/>
          <w:highlight w:val="none"/>
        </w:rPr>
      </w:pPr>
      <w:bookmarkStart w:id="115" w:name="_Toc22797"/>
      <w:bookmarkStart w:id="116" w:name="_Toc25818"/>
      <w:bookmarkStart w:id="117" w:name="_Toc16003"/>
      <w:bookmarkStart w:id="118" w:name="_Toc28796"/>
      <w:bookmarkStart w:id="119" w:name="_Toc20666"/>
      <w:r>
        <w:rPr>
          <w:rFonts w:hint="eastAsia" w:ascii="宋体" w:hAnsi="宋体" w:cs="宋体"/>
          <w:bCs w:val="0"/>
          <w:color w:val="auto"/>
          <w:highlight w:val="none"/>
        </w:rPr>
        <w:t>二、磋商文件</w:t>
      </w:r>
      <w:bookmarkEnd w:id="113"/>
      <w:bookmarkEnd w:id="114"/>
      <w:bookmarkEnd w:id="115"/>
      <w:bookmarkEnd w:id="116"/>
      <w:bookmarkEnd w:id="117"/>
      <w:bookmarkEnd w:id="118"/>
      <w:bookmarkEnd w:id="119"/>
    </w:p>
    <w:p w14:paraId="103E93D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7D52A41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27E3C7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32043D5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498CEFA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0AFFBF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7B5BFDB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1E9E50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工程量清单</w:t>
      </w:r>
    </w:p>
    <w:p w14:paraId="2C39DC0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第八章 图纸</w:t>
      </w:r>
    </w:p>
    <w:p w14:paraId="7B23D62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第九章 质疑、投诉材料格式。</w:t>
      </w:r>
    </w:p>
    <w:p w14:paraId="1BDCBBB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53B946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218341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0E8F6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2DB4CD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AE075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65CE9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w:t>
      </w:r>
      <w:r>
        <w:rPr>
          <w:rFonts w:hint="eastAsia" w:ascii="宋体" w:hAnsi="宋体" w:cs="宋体"/>
          <w:color w:val="auto"/>
          <w:szCs w:val="21"/>
          <w:highlight w:val="none"/>
        </w:rPr>
        <w:t>公告的采购项目名称及首次公告日期，更正事项、内容及日期，采购项目联系人和电话。</w:t>
      </w:r>
    </w:p>
    <w:p w14:paraId="6010E4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87814FC">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199CC2CB">
      <w:pPr>
        <w:pStyle w:val="18"/>
        <w:spacing w:line="360" w:lineRule="auto"/>
        <w:rPr>
          <w:rFonts w:hint="eastAsia" w:ascii="宋体" w:hAnsi="宋体" w:cs="宋体"/>
          <w:color w:val="auto"/>
          <w:highlight w:val="none"/>
        </w:rPr>
      </w:pPr>
    </w:p>
    <w:p w14:paraId="206C884F">
      <w:pPr>
        <w:pStyle w:val="4"/>
        <w:spacing w:before="0" w:after="0" w:line="360" w:lineRule="auto"/>
        <w:rPr>
          <w:rFonts w:hint="eastAsia" w:ascii="宋体" w:hAnsi="宋体" w:cs="宋体"/>
          <w:bCs w:val="0"/>
          <w:color w:val="auto"/>
          <w:highlight w:val="none"/>
        </w:rPr>
      </w:pPr>
      <w:bookmarkStart w:id="120" w:name="_Toc7876"/>
      <w:bookmarkStart w:id="121" w:name="_Toc30069"/>
      <w:bookmarkStart w:id="122" w:name="_Toc30454"/>
      <w:bookmarkStart w:id="123" w:name="_Toc32072"/>
      <w:bookmarkStart w:id="124" w:name="_Toc18572"/>
      <w:r>
        <w:rPr>
          <w:rFonts w:hint="eastAsia" w:ascii="宋体" w:hAnsi="宋体" w:cs="宋体"/>
          <w:bCs w:val="0"/>
          <w:color w:val="auto"/>
          <w:highlight w:val="none"/>
        </w:rPr>
        <w:t>三、响应文件的编制</w:t>
      </w:r>
      <w:bookmarkEnd w:id="120"/>
      <w:bookmarkEnd w:id="121"/>
      <w:bookmarkEnd w:id="122"/>
      <w:bookmarkEnd w:id="123"/>
      <w:bookmarkEnd w:id="124"/>
    </w:p>
    <w:p w14:paraId="1FDA319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AD2DE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8DC95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53374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092856A">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6E301FA4">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02AD9B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14DA01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53FAB4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159DE8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36D8D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37BADE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3DB219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BFAD14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F33DBA0">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165DE3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1CC69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29C0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E11B6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2CB1C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5543C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125"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125"/>
    <w:p w14:paraId="0E77149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508831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F1E4B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F6304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54A8FB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6A351B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2802675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0F498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54187B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9367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126"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126"/>
      <w:r>
        <w:rPr>
          <w:rFonts w:hint="eastAsia" w:ascii="宋体" w:hAnsi="宋体" w:cs="宋体"/>
          <w:color w:val="auto"/>
          <w:szCs w:val="21"/>
          <w:highlight w:val="none"/>
        </w:rPr>
        <w:t>，否则其响应文件按无效响应处理。骑缝盖公章不视为在规定位置盖章。</w:t>
      </w:r>
    </w:p>
    <w:p w14:paraId="3E5128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3449C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7C13B7E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4F134F9">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rPr>
        <w:t>采购云平台</w:t>
      </w:r>
      <w:r>
        <w:rPr>
          <w:rFonts w:hint="eastAsia" w:ascii="宋体" w:hAnsi="宋体" w:cs="宋体"/>
          <w:color w:val="auto"/>
          <w:kern w:val="0"/>
          <w:szCs w:val="21"/>
          <w:highlight w:val="none"/>
          <w:lang w:val="zh-CN"/>
        </w:rPr>
        <w:t>电子交易客户端”，并按照磋商文件和电子交易平台的要求编制并加密响应文件。供应商未按规定加密的响应文件，电子交易平台将拒收并提示。</w:t>
      </w:r>
    </w:p>
    <w:p w14:paraId="6903DEA8">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w:t>
      </w:r>
      <w:r>
        <w:rPr>
          <w:rFonts w:hint="eastAsia" w:ascii="宋体" w:hAnsi="宋体" w:cs="宋体"/>
          <w:color w:val="auto"/>
          <w:kern w:val="0"/>
          <w:szCs w:val="21"/>
          <w:highlight w:val="none"/>
        </w:rPr>
        <w:t>采购云平台</w:t>
      </w:r>
      <w:r>
        <w:rPr>
          <w:rFonts w:hint="eastAsia" w:ascii="宋体" w:hAnsi="宋体" w:cs="宋体"/>
          <w:color w:val="auto"/>
          <w:kern w:val="0"/>
          <w:szCs w:val="21"/>
          <w:highlight w:val="none"/>
          <w:lang w:val="zh-CN"/>
        </w:rPr>
        <w:t>电子交易客户端”需要提前申领CA数字证书，申领流程见该项目采购公告附件。</w:t>
      </w:r>
    </w:p>
    <w:p w14:paraId="31CC6C36">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14E9A3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7D72B4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0C338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7E0D3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E090D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BFFE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270E8C18">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6770C62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C0E70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380C2C20">
      <w:pPr>
        <w:spacing w:line="360" w:lineRule="auto"/>
        <w:ind w:firstLine="482" w:firstLineChars="200"/>
        <w:rPr>
          <w:rFonts w:hint="eastAsia" w:ascii="宋体" w:hAnsi="宋体" w:cs="宋体"/>
          <w:b/>
          <w:bCs/>
          <w:color w:val="auto"/>
          <w:sz w:val="24"/>
          <w:highlight w:val="none"/>
        </w:rPr>
      </w:pPr>
      <w:bookmarkStart w:id="127" w:name="_Hlk45702405"/>
      <w:r>
        <w:rPr>
          <w:rFonts w:hint="eastAsia" w:ascii="宋体" w:hAnsi="宋体" w:cs="宋体"/>
          <w:b/>
          <w:bCs/>
          <w:color w:val="auto"/>
          <w:sz w:val="24"/>
          <w:highlight w:val="none"/>
        </w:rPr>
        <w:t>22. 首次响应文件的退回</w:t>
      </w:r>
    </w:p>
    <w:p w14:paraId="612EF6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350CE74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75FCF9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127"/>
    </w:p>
    <w:p w14:paraId="0D50CAB5">
      <w:pPr>
        <w:pStyle w:val="18"/>
        <w:spacing w:line="360" w:lineRule="auto"/>
        <w:rPr>
          <w:rFonts w:hint="eastAsia" w:ascii="宋体" w:hAnsi="宋体" w:cs="宋体"/>
          <w:color w:val="auto"/>
          <w:highlight w:val="none"/>
        </w:rPr>
      </w:pPr>
    </w:p>
    <w:p w14:paraId="2954C2AD">
      <w:pPr>
        <w:pStyle w:val="4"/>
        <w:spacing w:before="0" w:after="0" w:line="360" w:lineRule="auto"/>
        <w:rPr>
          <w:rFonts w:hint="eastAsia" w:ascii="宋体" w:hAnsi="宋体" w:cs="宋体"/>
          <w:bCs w:val="0"/>
          <w:color w:val="auto"/>
          <w:highlight w:val="none"/>
        </w:rPr>
      </w:pPr>
      <w:bookmarkStart w:id="128" w:name="_Toc27120"/>
      <w:bookmarkStart w:id="129" w:name="_Toc30168"/>
      <w:bookmarkStart w:id="130" w:name="_Toc7042"/>
      <w:bookmarkStart w:id="131" w:name="_Toc25351"/>
      <w:bookmarkStart w:id="132" w:name="_Toc4204"/>
      <w:r>
        <w:rPr>
          <w:rFonts w:hint="eastAsia" w:ascii="宋体" w:hAnsi="宋体" w:cs="宋体"/>
          <w:bCs w:val="0"/>
          <w:color w:val="auto"/>
          <w:highlight w:val="none"/>
        </w:rPr>
        <w:t>四、评审及磋商</w:t>
      </w:r>
      <w:bookmarkEnd w:id="128"/>
      <w:bookmarkEnd w:id="129"/>
      <w:bookmarkEnd w:id="130"/>
      <w:bookmarkEnd w:id="131"/>
      <w:bookmarkEnd w:id="132"/>
    </w:p>
    <w:p w14:paraId="53816FB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1B30FD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8C85F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0C6DA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C7B6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5F01A61">
      <w:pPr>
        <w:pStyle w:val="25"/>
        <w:spacing w:line="360" w:lineRule="auto"/>
        <w:ind w:firstLine="420" w:firstLineChars="200"/>
        <w:rPr>
          <w:rFonts w:hint="eastAsia"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1F963F5">
      <w:pPr>
        <w:pStyle w:val="25"/>
        <w:snapToGrid w:val="0"/>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8F48581">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58A0501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A631C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5EC52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采购需求负偏离要求及磋商顺序详见 “ 供应商须知前附表”。</w:t>
      </w:r>
    </w:p>
    <w:p w14:paraId="424478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892B0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E5B9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3B07C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288E0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3BF7F7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095784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79DB0">
      <w:pPr>
        <w:pStyle w:val="18"/>
        <w:spacing w:line="360" w:lineRule="auto"/>
        <w:rPr>
          <w:rFonts w:hint="eastAsia" w:ascii="宋体" w:hAnsi="宋体" w:cs="宋体"/>
          <w:color w:val="auto"/>
          <w:highlight w:val="none"/>
        </w:rPr>
      </w:pPr>
    </w:p>
    <w:p w14:paraId="625421A2">
      <w:pPr>
        <w:pStyle w:val="4"/>
        <w:spacing w:before="0" w:after="0" w:line="360" w:lineRule="auto"/>
        <w:rPr>
          <w:rFonts w:hint="eastAsia" w:ascii="宋体" w:hAnsi="宋体" w:cs="宋体"/>
          <w:bCs w:val="0"/>
          <w:color w:val="auto"/>
          <w:highlight w:val="none"/>
        </w:rPr>
      </w:pPr>
      <w:bookmarkStart w:id="133" w:name="_Toc32465"/>
      <w:bookmarkStart w:id="134" w:name="_Toc26245"/>
      <w:bookmarkStart w:id="135" w:name="_Toc24541"/>
      <w:bookmarkStart w:id="136" w:name="_Toc24055"/>
      <w:bookmarkStart w:id="137" w:name="_Toc11367"/>
      <w:r>
        <w:rPr>
          <w:rFonts w:hint="eastAsia" w:ascii="宋体" w:hAnsi="宋体" w:cs="宋体"/>
          <w:bCs w:val="0"/>
          <w:color w:val="auto"/>
          <w:highlight w:val="none"/>
        </w:rPr>
        <w:t>五、成交及合同</w:t>
      </w:r>
      <w:bookmarkEnd w:id="133"/>
      <w:bookmarkEnd w:id="134"/>
      <w:bookmarkEnd w:id="135"/>
      <w:bookmarkEnd w:id="136"/>
      <w:bookmarkEnd w:id="137"/>
    </w:p>
    <w:p w14:paraId="4476179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452F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6C613E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BF5E0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B419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DE4D14B">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943106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618375BD">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 “供应商须知前附表”</w:t>
      </w:r>
    </w:p>
    <w:p w14:paraId="093D0F6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2998DBF4">
      <w:pPr>
        <w:pStyle w:val="124"/>
        <w:snapToGrid w:val="0"/>
        <w:spacing w:before="0"/>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3FA08E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26275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F9DB1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21B81D99">
      <w:pPr>
        <w:pStyle w:val="124"/>
        <w:spacing w:before="0"/>
        <w:ind w:firstLine="420"/>
        <w:rPr>
          <w:rFonts w:hint="eastAsia"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213661B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35E66E3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w:t>
      </w:r>
      <w:r>
        <w:rPr>
          <w:rFonts w:hint="eastAsia" w:ascii="宋体" w:hAnsi="宋体" w:cs="宋体"/>
          <w:color w:val="auto"/>
          <w:highlight w:val="none"/>
        </w:rPr>
        <w:t>“广西政府采购云平台”（https://www.gcy.zfcg.gxzf.gov.cn）上公告，但政府采购合同中涉及国家秘密、商业秘密的内容除外。</w:t>
      </w:r>
    </w:p>
    <w:p w14:paraId="186FC95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7B8167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04D4F7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4C2378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0C12F3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8BE5BB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0345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788841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F8E28D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92FD94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0AC812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FB0F6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E50F3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718C2B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7447C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D94DE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823124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34397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B86B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3C899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38" w:name="_Toc80205930"/>
    </w:p>
    <w:p w14:paraId="4F0A4701">
      <w:pPr>
        <w:pStyle w:val="18"/>
        <w:spacing w:line="360" w:lineRule="auto"/>
        <w:rPr>
          <w:rFonts w:hint="eastAsia" w:ascii="宋体" w:hAnsi="宋体" w:cs="宋体"/>
          <w:color w:val="auto"/>
          <w:highlight w:val="none"/>
        </w:rPr>
      </w:pPr>
    </w:p>
    <w:p w14:paraId="365A4C89">
      <w:pPr>
        <w:pStyle w:val="4"/>
        <w:spacing w:before="0" w:after="0" w:line="360" w:lineRule="auto"/>
        <w:rPr>
          <w:rFonts w:hint="eastAsia" w:ascii="宋体" w:hAnsi="宋体" w:cs="宋体"/>
          <w:bCs w:val="0"/>
          <w:color w:val="auto"/>
          <w:highlight w:val="none"/>
        </w:rPr>
      </w:pPr>
      <w:bookmarkStart w:id="139" w:name="_Toc32480"/>
      <w:bookmarkStart w:id="140" w:name="_Toc12020"/>
      <w:bookmarkStart w:id="141" w:name="_Toc29005"/>
      <w:bookmarkStart w:id="142" w:name="_Toc7926"/>
      <w:bookmarkStart w:id="143" w:name="_Toc15338"/>
      <w:r>
        <w:rPr>
          <w:rFonts w:hint="eastAsia" w:ascii="宋体" w:hAnsi="宋体" w:cs="宋体"/>
          <w:bCs w:val="0"/>
          <w:color w:val="auto"/>
          <w:highlight w:val="none"/>
        </w:rPr>
        <w:t>六、验收</w:t>
      </w:r>
      <w:bookmarkEnd w:id="138"/>
      <w:bookmarkEnd w:id="139"/>
      <w:bookmarkEnd w:id="140"/>
      <w:bookmarkEnd w:id="141"/>
      <w:bookmarkEnd w:id="142"/>
      <w:bookmarkEnd w:id="143"/>
    </w:p>
    <w:p w14:paraId="635031C8">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74E92654">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1396FD">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7267CDD">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4B37EB">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04C7B60">
      <w:pPr>
        <w:pStyle w:val="18"/>
        <w:spacing w:line="360" w:lineRule="auto"/>
        <w:rPr>
          <w:rFonts w:hint="eastAsia" w:ascii="宋体" w:hAnsi="宋体" w:cs="宋体"/>
          <w:color w:val="auto"/>
          <w:highlight w:val="none"/>
        </w:rPr>
      </w:pPr>
    </w:p>
    <w:p w14:paraId="40CD64C8">
      <w:pPr>
        <w:pStyle w:val="4"/>
        <w:spacing w:before="0" w:after="0" w:line="360" w:lineRule="auto"/>
        <w:rPr>
          <w:rFonts w:hint="eastAsia" w:ascii="宋体" w:hAnsi="宋体" w:cs="宋体"/>
          <w:bCs w:val="0"/>
          <w:color w:val="auto"/>
          <w:highlight w:val="none"/>
        </w:rPr>
      </w:pPr>
      <w:bookmarkStart w:id="144" w:name="_Toc12694"/>
      <w:bookmarkStart w:id="145" w:name="_Toc3779"/>
      <w:bookmarkStart w:id="146" w:name="_Toc5356"/>
      <w:bookmarkStart w:id="147" w:name="_Toc21773"/>
      <w:bookmarkStart w:id="148" w:name="_Toc14544"/>
      <w:r>
        <w:rPr>
          <w:rFonts w:hint="eastAsia" w:ascii="宋体" w:hAnsi="宋体" w:cs="宋体"/>
          <w:bCs w:val="0"/>
          <w:color w:val="auto"/>
          <w:highlight w:val="none"/>
        </w:rPr>
        <w:t>七、其他事项</w:t>
      </w:r>
      <w:bookmarkEnd w:id="144"/>
      <w:bookmarkEnd w:id="145"/>
      <w:bookmarkEnd w:id="146"/>
      <w:bookmarkEnd w:id="147"/>
      <w:bookmarkEnd w:id="148"/>
    </w:p>
    <w:p w14:paraId="2E678B9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3EF9AFC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DE0EFF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246C1CEA">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2BDD7423">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59469ADB">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48DA3274">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0B97A53">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9CE6B8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35. 政采贷相关说明</w:t>
      </w:r>
    </w:p>
    <w:p w14:paraId="3956DF92">
      <w:pPr>
        <w:pStyle w:val="25"/>
        <w:spacing w:line="360" w:lineRule="auto"/>
        <w:ind w:firstLine="420" w:firstLineChars="200"/>
        <w:textAlignment w:val="center"/>
        <w:rPr>
          <w:rFonts w:hint="eastAsia"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0BFD5AB1">
      <w:pPr>
        <w:pStyle w:val="25"/>
        <w:numPr>
          <w:ilvl w:val="0"/>
          <w:numId w:val="2"/>
        </w:numPr>
        <w:spacing w:line="360" w:lineRule="auto"/>
        <w:ind w:firstLine="420" w:firstLineChars="200"/>
        <w:textAlignment w:val="center"/>
        <w:rPr>
          <w:rFonts w:hint="eastAsia" w:hAnsi="宋体"/>
          <w:color w:val="auto"/>
          <w:sz w:val="21"/>
          <w:highlight w:val="none"/>
        </w:rPr>
      </w:pPr>
      <w:r>
        <w:rPr>
          <w:rFonts w:hint="eastAsia" w:hAnsi="宋体" w:cs="宋体"/>
          <w:color w:val="auto"/>
          <w:sz w:val="21"/>
          <w:highlight w:val="none"/>
        </w:rPr>
        <w:t>线下渠道：</w:t>
      </w:r>
      <w:r>
        <w:rPr>
          <w:rFonts w:hint="eastAsia" w:hAnsi="宋体"/>
          <w:color w:val="auto"/>
          <w:sz w:val="21"/>
          <w:highlight w:val="none"/>
        </w:rPr>
        <w:t>在“南宁市公共资源交易中心”官网（网址：</w:t>
      </w:r>
      <w:r>
        <w:rPr>
          <w:rFonts w:hint="eastAsia" w:hAnsi="宋体"/>
          <w:color w:val="auto"/>
          <w:sz w:val="21"/>
          <w:highlight w:val="none"/>
        </w:rPr>
        <w:fldChar w:fldCharType="begin"/>
      </w:r>
      <w:r>
        <w:rPr>
          <w:rFonts w:hint="eastAsia" w:hAnsi="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color w:val="auto"/>
          <w:sz w:val="21"/>
          <w:highlight w:val="none"/>
        </w:rPr>
        <w:fldChar w:fldCharType="separate"/>
      </w:r>
      <w:r>
        <w:rPr>
          <w:rStyle w:val="57"/>
          <w:rFonts w:hint="eastAsia" w:hAnsi="宋体"/>
          <w:color w:val="auto"/>
          <w:sz w:val="21"/>
          <w:highlight w:val="none"/>
        </w:rPr>
        <w:t>http://www.nnggzy.org.cn）“交易信息-政府采购-政府采购信用融资”中融资银行和南宁市企业融资服务中心专栏信息申请政府采购信用融资。</w:t>
      </w:r>
      <w:r>
        <w:rPr>
          <w:rFonts w:hint="eastAsia" w:hAnsi="宋体"/>
          <w:color w:val="auto"/>
          <w:sz w:val="21"/>
          <w:highlight w:val="none"/>
        </w:rPr>
        <w:fldChar w:fldCharType="end"/>
      </w:r>
    </w:p>
    <w:p w14:paraId="6A06EB54">
      <w:pPr>
        <w:pStyle w:val="25"/>
        <w:numPr>
          <w:ilvl w:val="0"/>
          <w:numId w:val="2"/>
        </w:numPr>
        <w:wordWrap w:val="0"/>
        <w:spacing w:line="360" w:lineRule="auto"/>
        <w:ind w:firstLine="420" w:firstLineChars="200"/>
        <w:textAlignment w:val="center"/>
        <w:rPr>
          <w:rFonts w:hint="eastAsia" w:hAnsi="宋体" w:cs="宋体"/>
          <w:color w:val="auto"/>
          <w:highlight w:val="none"/>
        </w:rPr>
      </w:pPr>
      <w:r>
        <w:rPr>
          <w:rFonts w:hint="eastAsia" w:hAnsi="宋体"/>
          <w:color w:val="auto"/>
          <w:sz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t>。</w:t>
      </w:r>
    </w:p>
    <w:p w14:paraId="15AD5896">
      <w:pPr>
        <w:pStyle w:val="25"/>
        <w:spacing w:line="360" w:lineRule="auto"/>
        <w:textAlignment w:val="center"/>
        <w:rPr>
          <w:rFonts w:hint="eastAsia" w:hAnsi="宋体"/>
          <w:color w:val="auto"/>
          <w:highlight w:val="none"/>
        </w:rPr>
      </w:pPr>
    </w:p>
    <w:p w14:paraId="22FD106F">
      <w:pPr>
        <w:pStyle w:val="25"/>
        <w:spacing w:line="360" w:lineRule="auto"/>
        <w:textAlignment w:val="center"/>
        <w:rPr>
          <w:rFonts w:hint="eastAsia" w:hAnsi="宋体"/>
          <w:color w:val="auto"/>
          <w:highlight w:val="none"/>
        </w:rPr>
      </w:pPr>
    </w:p>
    <w:p w14:paraId="4433F63F">
      <w:pPr>
        <w:pStyle w:val="25"/>
        <w:spacing w:line="360" w:lineRule="auto"/>
        <w:textAlignment w:val="center"/>
        <w:rPr>
          <w:rFonts w:hint="eastAsia" w:hAnsi="宋体"/>
          <w:color w:val="auto"/>
          <w:highlight w:val="none"/>
        </w:rPr>
      </w:pPr>
    </w:p>
    <w:p w14:paraId="2C1AC818">
      <w:pPr>
        <w:pStyle w:val="25"/>
        <w:spacing w:line="360" w:lineRule="auto"/>
        <w:textAlignment w:val="center"/>
        <w:rPr>
          <w:rFonts w:hint="eastAsia" w:hAnsi="宋体" w:cs="宋体"/>
          <w:color w:val="auto"/>
          <w:highlight w:val="none"/>
        </w:rPr>
      </w:pPr>
    </w:p>
    <w:p w14:paraId="5F37EE19">
      <w:pPr>
        <w:pStyle w:val="2"/>
        <w:spacing w:line="360" w:lineRule="auto"/>
        <w:jc w:val="center"/>
        <w:outlineLvl w:val="9"/>
        <w:rPr>
          <w:rFonts w:hint="eastAsia" w:ascii="宋体" w:hAnsi="宋体" w:cs="宋体"/>
          <w:color w:val="auto"/>
          <w:highlight w:val="none"/>
        </w:rPr>
        <w:sectPr>
          <w:footerReference r:id="rId9" w:type="default"/>
          <w:pgSz w:w="11910" w:h="16840"/>
          <w:pgMar w:top="1440" w:right="1080" w:bottom="1440" w:left="1080" w:header="720" w:footer="720" w:gutter="0"/>
          <w:pgNumType w:fmt="decimal"/>
          <w:cols w:space="720" w:num="1"/>
        </w:sectPr>
      </w:pPr>
    </w:p>
    <w:p w14:paraId="73FE3A2B">
      <w:pPr>
        <w:pStyle w:val="2"/>
        <w:spacing w:line="360" w:lineRule="auto"/>
        <w:jc w:val="center"/>
        <w:rPr>
          <w:rFonts w:hint="eastAsia" w:ascii="宋体" w:hAnsi="宋体" w:cs="宋体"/>
          <w:color w:val="auto"/>
          <w:highlight w:val="none"/>
        </w:rPr>
      </w:pPr>
      <w:bookmarkStart w:id="149" w:name="_Toc1764"/>
      <w:bookmarkStart w:id="150" w:name="_Toc4276"/>
      <w:bookmarkStart w:id="151" w:name="_Toc14829"/>
      <w:bookmarkStart w:id="152" w:name="_Toc22849"/>
      <w:bookmarkStart w:id="153" w:name="_Toc14006"/>
      <w:bookmarkStart w:id="154" w:name="_Toc16334"/>
      <w:bookmarkStart w:id="155" w:name="_Toc3854"/>
      <w:bookmarkStart w:id="156" w:name="_Toc22508"/>
      <w:bookmarkStart w:id="157" w:name="_Toc26703"/>
      <w:r>
        <w:rPr>
          <w:rFonts w:hint="eastAsia" w:ascii="宋体" w:hAnsi="宋体" w:cs="宋体"/>
          <w:color w:val="auto"/>
          <w:highlight w:val="none"/>
        </w:rPr>
        <w:t>第四章  评审程序、评审方法和评审标准</w:t>
      </w:r>
      <w:bookmarkEnd w:id="149"/>
      <w:bookmarkEnd w:id="150"/>
      <w:bookmarkEnd w:id="151"/>
      <w:bookmarkEnd w:id="152"/>
      <w:bookmarkEnd w:id="153"/>
      <w:bookmarkEnd w:id="154"/>
      <w:bookmarkEnd w:id="155"/>
      <w:bookmarkEnd w:id="156"/>
      <w:bookmarkEnd w:id="157"/>
    </w:p>
    <w:p w14:paraId="18DD5D44">
      <w:pPr>
        <w:pStyle w:val="3"/>
        <w:spacing w:line="360" w:lineRule="auto"/>
        <w:jc w:val="center"/>
        <w:rPr>
          <w:rFonts w:hint="eastAsia" w:ascii="宋体" w:hAnsi="宋体" w:cs="宋体"/>
          <w:b w:val="0"/>
          <w:color w:val="auto"/>
          <w:highlight w:val="none"/>
        </w:rPr>
      </w:pPr>
      <w:bookmarkStart w:id="158" w:name="_Toc23306"/>
      <w:bookmarkStart w:id="159" w:name="_Toc9226"/>
      <w:bookmarkStart w:id="160" w:name="_Toc15557"/>
      <w:bookmarkStart w:id="161" w:name="_Toc8295"/>
      <w:bookmarkStart w:id="162" w:name="_Toc2012"/>
      <w:r>
        <w:rPr>
          <w:rFonts w:hint="eastAsia" w:ascii="宋体" w:hAnsi="宋体" w:cs="宋体"/>
          <w:b w:val="0"/>
          <w:color w:val="auto"/>
          <w:highlight w:val="none"/>
        </w:rPr>
        <w:t>第一节 评审程序和评审方法</w:t>
      </w:r>
      <w:bookmarkEnd w:id="158"/>
      <w:bookmarkEnd w:id="159"/>
      <w:bookmarkEnd w:id="160"/>
      <w:bookmarkEnd w:id="161"/>
      <w:bookmarkEnd w:id="162"/>
    </w:p>
    <w:p w14:paraId="4CA4110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1.确认磋商文件</w:t>
      </w:r>
    </w:p>
    <w:p w14:paraId="0931E2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0A2A839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6B2078D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4F7923F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1E2647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"http://www.creditchina.gov.cn" </w:instrText>
      </w:r>
      <w:r>
        <w:rPr>
          <w:rFonts w:hint="eastAsia" w:ascii="宋体" w:hAnsi="宋体" w:cs="宋体"/>
          <w:color w:val="auto"/>
          <w:szCs w:val="21"/>
          <w:highlight w:val="none"/>
        </w:rPr>
        <w:fldChar w:fldCharType="separate"/>
      </w:r>
      <w:r>
        <w:rPr>
          <w:rStyle w:val="57"/>
          <w:rFonts w:hint="eastAsia" w:ascii="宋体" w:hAnsi="宋体" w:cs="宋体"/>
          <w:color w:val="auto"/>
          <w:highlight w:val="none"/>
        </w:rPr>
        <w:t>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Style w:val="57"/>
          <w:rFonts w:hint="eastAsia" w:ascii="宋体" w:hAnsi="宋体" w:cs="宋体"/>
          <w:color w:val="auto"/>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)链接入口。</w:t>
      </w:r>
    </w:p>
    <w:p w14:paraId="005C31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FA969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F0610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FA502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8F0AC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310585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2A71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65D48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EFD7BC6">
      <w:pPr>
        <w:spacing w:line="360" w:lineRule="auto"/>
        <w:ind w:firstLine="420" w:firstLineChars="200"/>
        <w:rPr>
          <w:rFonts w:hint="eastAsia" w:ascii="宋体" w:hAnsi="宋体" w:cs="宋体"/>
          <w:color w:val="auto"/>
          <w:szCs w:val="21"/>
          <w:highlight w:val="none"/>
        </w:rPr>
      </w:pPr>
      <w:bookmarkStart w:id="163"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63"/>
    </w:p>
    <w:p w14:paraId="70FEE8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2F85153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65CE87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06805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71EDE0">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0E8A1D7F">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619D3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69889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00F1E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6F6F5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CF54D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FACC3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6A7E1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2B86C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3EAC07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BD4E0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B920C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A418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74F16A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C2E37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1D2CD0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8D343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07201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62198C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10）服务参数允许负偏离的条款数超过“供应商须知前附表”规定项数；</w:t>
      </w:r>
    </w:p>
    <w:p w14:paraId="00D8E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554519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02FCE2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1E0F58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5B68F8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01E5EB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0D9E8B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1D4567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47B7C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409D4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523C5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A2A96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503E2E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63110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38C74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4.磋商程序</w:t>
      </w:r>
    </w:p>
    <w:p w14:paraId="13C6B6F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80A7B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2C6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34407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60C3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9585210">
      <w:pPr>
        <w:widowControl/>
        <w:tabs>
          <w:tab w:val="left" w:pos="540"/>
        </w:tabs>
        <w:spacing w:line="360" w:lineRule="auto"/>
        <w:ind w:firstLine="420" w:firstLineChars="200"/>
        <w:jc w:val="left"/>
        <w:rPr>
          <w:rFonts w:hint="eastAsia"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3BF9E857">
      <w:pPr>
        <w:pStyle w:val="124"/>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224A9DAE">
      <w:pPr>
        <w:pStyle w:val="124"/>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2EF65C22">
      <w:pPr>
        <w:pStyle w:val="124"/>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9C6F77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179DF02B">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EFBEAC">
      <w:pPr>
        <w:spacing w:line="360" w:lineRule="auto"/>
        <w:ind w:firstLine="200"/>
        <w:rPr>
          <w:rFonts w:hint="eastAsia" w:ascii="宋体" w:hAnsi="宋体" w:cs="宋体"/>
          <w:color w:val="auto"/>
          <w:szCs w:val="21"/>
          <w:highlight w:val="none"/>
        </w:rPr>
      </w:pPr>
      <w:r>
        <w:rPr>
          <w:rFonts w:hint="eastAsia" w:ascii="宋体" w:hAnsi="宋体" w:cs="宋体"/>
          <w:b/>
          <w:bCs/>
          <w:color w:val="auto"/>
          <w:sz w:val="24"/>
          <w:highlight w:val="none"/>
        </w:rPr>
        <w:t>5. 最后报价</w:t>
      </w:r>
    </w:p>
    <w:p w14:paraId="75617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08BE0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7E79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86BCB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742D1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E2C10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541EC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11AB0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2143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851BF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6BFB73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49CA06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2E6868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02A0A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434CFF28">
      <w:pPr>
        <w:spacing w:line="360" w:lineRule="auto"/>
        <w:ind w:firstLine="200"/>
        <w:rPr>
          <w:rFonts w:hint="eastAsia" w:ascii="宋体" w:hAnsi="宋体" w:cs="宋体"/>
          <w:b/>
          <w:bCs/>
          <w:color w:val="auto"/>
          <w:sz w:val="24"/>
          <w:highlight w:val="none"/>
        </w:rPr>
      </w:pPr>
      <w:r>
        <w:rPr>
          <w:rFonts w:hint="eastAsia" w:ascii="宋体" w:hAnsi="宋体" w:cs="宋体"/>
          <w:b/>
          <w:bCs/>
          <w:color w:val="auto"/>
          <w:sz w:val="24"/>
          <w:highlight w:val="none"/>
        </w:rPr>
        <w:t>6.比较与评价</w:t>
      </w:r>
    </w:p>
    <w:p w14:paraId="28009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05442D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12EC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3B1205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6FA2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368B2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F0FD4E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7B53B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31A007">
      <w:pPr>
        <w:spacing w:line="360" w:lineRule="auto"/>
        <w:rPr>
          <w:rFonts w:hint="eastAsia" w:ascii="宋体" w:hAnsi="宋体"/>
          <w:color w:val="auto"/>
          <w:szCs w:val="21"/>
          <w:highlight w:val="none"/>
        </w:rPr>
      </w:pPr>
      <w:r>
        <w:rPr>
          <w:rFonts w:hint="eastAsia" w:ascii="黑体" w:hAnsi="黑体" w:eastAsia="黑体" w:cs="宋体"/>
          <w:b/>
          <w:bCs/>
          <w:color w:val="auto"/>
          <w:sz w:val="24"/>
          <w:highlight w:val="none"/>
        </w:rPr>
        <w:t>7.评审复核</w:t>
      </w:r>
    </w:p>
    <w:p w14:paraId="6881EF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7F84723E">
      <w:pPr>
        <w:spacing w:line="360" w:lineRule="auto"/>
        <w:ind w:firstLine="409" w:firstLineChars="195"/>
        <w:rPr>
          <w:rFonts w:hint="eastAsia" w:ascii="宋体" w:hAnsi="宋体" w:cs="宋体"/>
          <w:b/>
          <w:bCs/>
          <w:color w:val="auto"/>
          <w:sz w:val="24"/>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58CE39A">
      <w:pPr>
        <w:spacing w:line="360" w:lineRule="auto"/>
        <w:ind w:firstLine="200"/>
        <w:rPr>
          <w:rFonts w:hint="eastAsia" w:ascii="宋体" w:hAnsi="宋体" w:cs="宋体"/>
          <w:b/>
          <w:bCs/>
          <w:color w:val="auto"/>
          <w:sz w:val="24"/>
          <w:highlight w:val="none"/>
        </w:rPr>
      </w:pPr>
      <w:r>
        <w:rPr>
          <w:rFonts w:hint="eastAsia" w:ascii="宋体" w:hAnsi="宋体" w:cs="宋体"/>
          <w:b/>
          <w:bCs/>
          <w:color w:val="auto"/>
          <w:sz w:val="24"/>
          <w:highlight w:val="none"/>
        </w:rPr>
        <w:t>8.评审标准</w:t>
      </w:r>
    </w:p>
    <w:p w14:paraId="0B70E6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8.1评审依据：磋商小组将以磋商响应文件为评审依据，对供应商的报价、技术、商务等方面内容按百分制打分。（计分方法按四舍五入取至百分位）</w:t>
      </w:r>
    </w:p>
    <w:tbl>
      <w:tblPr>
        <w:tblStyle w:val="49"/>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09"/>
        <w:gridCol w:w="6518"/>
        <w:gridCol w:w="846"/>
      </w:tblGrid>
      <w:tr w14:paraId="38D0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722C401A">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509" w:type="dxa"/>
            <w:noWrap w:val="0"/>
            <w:vAlign w:val="center"/>
          </w:tcPr>
          <w:p w14:paraId="1650DDF5">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518" w:type="dxa"/>
            <w:noWrap w:val="0"/>
            <w:vAlign w:val="center"/>
          </w:tcPr>
          <w:p w14:paraId="4F92B9A4">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46" w:type="dxa"/>
            <w:noWrap w:val="0"/>
            <w:vAlign w:val="center"/>
          </w:tcPr>
          <w:p w14:paraId="2B4FE8FE">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F74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32" w:type="dxa"/>
            <w:noWrap w:val="0"/>
            <w:vAlign w:val="center"/>
          </w:tcPr>
          <w:p w14:paraId="1245F973">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509" w:type="dxa"/>
            <w:noWrap w:val="0"/>
            <w:vAlign w:val="center"/>
          </w:tcPr>
          <w:p w14:paraId="62B569BF">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价格分（满分</w:t>
            </w: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0分）</w:t>
            </w:r>
          </w:p>
        </w:tc>
        <w:tc>
          <w:tcPr>
            <w:tcW w:w="6518" w:type="dxa"/>
            <w:noWrap w:val="0"/>
            <w:vAlign w:val="top"/>
          </w:tcPr>
          <w:p w14:paraId="34808B8F">
            <w:pPr>
              <w:pageBreakBefore w:val="0"/>
              <w:kinsoku/>
              <w:wordWrap/>
              <w:overflowPunct/>
              <w:topLinePunct w:val="0"/>
              <w:autoSpaceDE/>
              <w:autoSpaceDN/>
              <w:bidi w:val="0"/>
              <w:spacing w:line="380" w:lineRule="exact"/>
              <w:ind w:left="0" w:leftChars="0" w:right="0" w:rightChars="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72F2C3D0">
            <w:pPr>
              <w:pStyle w:val="25"/>
              <w:pageBreakBefore w:val="0"/>
              <w:kinsoku/>
              <w:wordWrap/>
              <w:overflowPunct/>
              <w:topLinePunct w:val="0"/>
              <w:autoSpaceDE/>
              <w:autoSpaceDN/>
              <w:bidi w:val="0"/>
              <w:spacing w:line="380" w:lineRule="exact"/>
              <w:ind w:left="0" w:leftChars="0" w:right="0" w:rightChars="0" w:firstLine="420" w:firstLineChars="200"/>
              <w:rPr>
                <w:rFonts w:hint="eastAsia" w:hAnsi="宋体" w:cs="宋体"/>
                <w:bCs/>
                <w:color w:val="auto"/>
                <w:sz w:val="21"/>
                <w:highlight w:val="none"/>
              </w:rPr>
            </w:pPr>
            <w:r>
              <w:rPr>
                <w:rFonts w:hint="eastAsia" w:hAnsi="宋体" w:cs="宋体"/>
                <w:bCs/>
                <w:color w:val="auto"/>
                <w:kern w:val="2"/>
                <w:sz w:val="21"/>
                <w:highlight w:val="none"/>
              </w:rPr>
              <w:t>2.政府采购政策性扣除计算方法</w:t>
            </w:r>
          </w:p>
          <w:p w14:paraId="0554B977">
            <w:pPr>
              <w:pageBreakBefore w:val="0"/>
              <w:kinsoku/>
              <w:wordWrap/>
              <w:overflowPunct/>
              <w:topLinePunct w:val="0"/>
              <w:autoSpaceDE/>
              <w:autoSpaceDN/>
              <w:bidi w:val="0"/>
              <w:snapToGrid w:val="0"/>
              <w:spacing w:line="380" w:lineRule="exact"/>
              <w:ind w:left="0" w:leftChars="0" w:right="0" w:rightChars="0"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按照《政府采购促进中小企业发展管理办法》（财库[2020]46号）及《广西壮族自治区财政厅关于进一步发挥政府采购政策功能促进企业发展的通知》（桂财采〔2022〕30号）</w:t>
            </w:r>
            <w:r>
              <w:rPr>
                <w:rFonts w:hint="eastAsia" w:ascii="宋体" w:hAnsi="宋体" w:cs="宋体"/>
                <w:b/>
                <w:bCs w:val="0"/>
                <w:color w:val="auto"/>
                <w:szCs w:val="21"/>
                <w:highlight w:val="none"/>
              </w:rPr>
              <w:t>，本项目专门面向</w:t>
            </w:r>
            <w:r>
              <w:rPr>
                <w:rFonts w:hint="eastAsia" w:ascii="宋体" w:hAnsi="宋体" w:cs="宋体"/>
                <w:b/>
                <w:bCs w:val="0"/>
                <w:color w:val="auto"/>
                <w:szCs w:val="21"/>
                <w:highlight w:val="none"/>
                <w:lang w:val="en-US" w:eastAsia="zh-CN"/>
              </w:rPr>
              <w:t>中小</w:t>
            </w:r>
            <w:r>
              <w:rPr>
                <w:rFonts w:hint="eastAsia" w:ascii="宋体" w:hAnsi="宋体" w:cs="宋体"/>
                <w:b/>
                <w:bCs w:val="0"/>
                <w:color w:val="auto"/>
                <w:szCs w:val="21"/>
                <w:highlight w:val="none"/>
              </w:rPr>
              <w:t>企业采购，不再执行价格评审优惠的扶持政策</w:t>
            </w:r>
            <w:r>
              <w:rPr>
                <w:rFonts w:hint="eastAsia" w:ascii="宋体" w:hAnsi="宋体" w:cs="宋体"/>
                <w:bCs/>
                <w:color w:val="auto"/>
                <w:szCs w:val="21"/>
                <w:highlight w:val="none"/>
              </w:rPr>
              <w:t>；监狱企业或残疾人福利性单位视同小型、微型企业。</w:t>
            </w:r>
          </w:p>
          <w:p w14:paraId="7623E63F">
            <w:pPr>
              <w:pageBreakBefore w:val="0"/>
              <w:kinsoku/>
              <w:wordWrap/>
              <w:overflowPunct/>
              <w:topLinePunct w:val="0"/>
              <w:autoSpaceDE/>
              <w:autoSpaceDN/>
              <w:bidi w:val="0"/>
              <w:snapToGrid w:val="0"/>
              <w:spacing w:line="380" w:lineRule="exact"/>
              <w:ind w:left="0" w:leftChars="0" w:right="0" w:rightChars="0"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评审报价＝最后报价</w:t>
            </w:r>
          </w:p>
          <w:p w14:paraId="1F317718">
            <w:pPr>
              <w:pStyle w:val="25"/>
              <w:pageBreakBefore w:val="0"/>
              <w:kinsoku/>
              <w:wordWrap/>
              <w:overflowPunct/>
              <w:topLinePunct w:val="0"/>
              <w:autoSpaceDE/>
              <w:autoSpaceDN/>
              <w:bidi w:val="0"/>
              <w:spacing w:line="380" w:lineRule="exact"/>
              <w:ind w:left="0" w:leftChars="0" w:right="0" w:rightChars="0"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3.以进入比较与评价环节的最低的评审报价为基准价，基准价得分为</w:t>
            </w:r>
            <w:r>
              <w:rPr>
                <w:rFonts w:hint="eastAsia" w:hAnsi="宋体" w:cs="宋体"/>
                <w:bCs/>
                <w:color w:val="auto"/>
                <w:kern w:val="2"/>
                <w:sz w:val="21"/>
                <w:highlight w:val="none"/>
                <w:u w:val="single"/>
                <w:lang w:val="en-US" w:eastAsia="zh-CN"/>
              </w:rPr>
              <w:t>2</w:t>
            </w:r>
            <w:r>
              <w:rPr>
                <w:rFonts w:hint="eastAsia" w:hAnsi="宋体" w:cs="宋体"/>
                <w:bCs/>
                <w:color w:val="auto"/>
                <w:kern w:val="2"/>
                <w:sz w:val="21"/>
                <w:highlight w:val="none"/>
                <w:u w:val="single"/>
              </w:rPr>
              <w:t>0分</w:t>
            </w:r>
            <w:r>
              <w:rPr>
                <w:rFonts w:hint="eastAsia" w:hAnsi="宋体" w:cs="宋体"/>
                <w:bCs/>
                <w:color w:val="auto"/>
                <w:kern w:val="2"/>
                <w:sz w:val="21"/>
                <w:highlight w:val="none"/>
              </w:rPr>
              <w:t>。</w:t>
            </w:r>
          </w:p>
          <w:p w14:paraId="547094EA">
            <w:pPr>
              <w:pStyle w:val="25"/>
              <w:pageBreakBefore w:val="0"/>
              <w:kinsoku/>
              <w:wordWrap/>
              <w:overflowPunct/>
              <w:topLinePunct w:val="0"/>
              <w:autoSpaceDE/>
              <w:autoSpaceDN/>
              <w:bidi w:val="0"/>
              <w:spacing w:line="380" w:lineRule="exact"/>
              <w:ind w:left="0" w:leftChars="0" w:right="0" w:rightChars="0"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4.价格分计算公式：</w:t>
            </w:r>
          </w:p>
          <w:p w14:paraId="532BC1DF">
            <w:pPr>
              <w:pageBreakBefore w:val="0"/>
              <w:kinsoku/>
              <w:wordWrap/>
              <w:overflowPunct/>
              <w:topLinePunct w:val="0"/>
              <w:autoSpaceDE/>
              <w:autoSpaceDN/>
              <w:bidi w:val="0"/>
              <w:spacing w:line="380" w:lineRule="exact"/>
              <w:ind w:left="0" w:leftChars="0" w:right="0" w:rightChars="0" w:firstLine="420" w:firstLineChars="200"/>
              <w:rPr>
                <w:rFonts w:ascii="宋体" w:hAnsi="宋体" w:cs="Courier New"/>
                <w:bCs/>
                <w:color w:val="auto"/>
                <w:szCs w:val="21"/>
                <w:highlight w:val="none"/>
              </w:rPr>
            </w:pPr>
            <w:r>
              <w:rPr>
                <w:rFonts w:hint="eastAsia" w:ascii="宋体" w:hAnsi="宋体" w:cs="宋体"/>
                <w:bCs/>
                <w:color w:val="auto"/>
                <w:szCs w:val="21"/>
                <w:highlight w:val="none"/>
              </w:rPr>
              <w:t>报价得分=（基准价/最后报价）×</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0分</w:t>
            </w:r>
          </w:p>
        </w:tc>
        <w:tc>
          <w:tcPr>
            <w:tcW w:w="846" w:type="dxa"/>
            <w:noWrap w:val="0"/>
            <w:vAlign w:val="center"/>
          </w:tcPr>
          <w:p w14:paraId="7CAB0C75">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w:t>
            </w:r>
            <w:r>
              <w:rPr>
                <w:rFonts w:ascii="宋体" w:hAnsi="宋体" w:cs="Tahoma"/>
                <w:color w:val="auto"/>
                <w:kern w:val="0"/>
                <w:szCs w:val="21"/>
                <w:highlight w:val="none"/>
              </w:rPr>
              <w:t>0</w:t>
            </w:r>
            <w:r>
              <w:rPr>
                <w:rFonts w:hint="eastAsia" w:ascii="宋体" w:hAnsi="宋体" w:cs="Tahoma"/>
                <w:color w:val="auto"/>
                <w:kern w:val="0"/>
                <w:szCs w:val="21"/>
                <w:highlight w:val="none"/>
              </w:rPr>
              <w:t>分</w:t>
            </w:r>
          </w:p>
        </w:tc>
      </w:tr>
      <w:tr w14:paraId="15CC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79F2FB87">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509" w:type="dxa"/>
            <w:noWrap w:val="0"/>
            <w:vAlign w:val="center"/>
          </w:tcPr>
          <w:p w14:paraId="38D421DC">
            <w:pPr>
              <w:pageBreakBefore w:val="0"/>
              <w:widowControl/>
              <w:kinsoku/>
              <w:wordWrap/>
              <w:overflowPunct/>
              <w:topLinePunct w:val="0"/>
              <w:autoSpaceDE/>
              <w:autoSpaceDN/>
              <w:bidi w:val="0"/>
              <w:spacing w:line="380" w:lineRule="exact"/>
              <w:ind w:left="0" w:leftChars="0" w:right="0" w:rightChars="0"/>
              <w:jc w:val="center"/>
              <w:rPr>
                <w:rFonts w:hint="eastAsia" w:ascii="宋体" w:hAnsi="宋体"/>
                <w:bCs/>
                <w:color w:val="auto"/>
                <w:kern w:val="0"/>
                <w:szCs w:val="21"/>
                <w:highlight w:val="none"/>
              </w:rPr>
            </w:pPr>
            <w:r>
              <w:rPr>
                <w:rFonts w:hint="eastAsia" w:ascii="宋体" w:hAnsi="宋体"/>
                <w:bCs/>
                <w:color w:val="auto"/>
                <w:kern w:val="0"/>
                <w:szCs w:val="21"/>
                <w:highlight w:val="none"/>
              </w:rPr>
              <w:t>技术分</w:t>
            </w:r>
          </w:p>
          <w:p w14:paraId="690B5DB4">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bCs/>
                <w:color w:val="auto"/>
                <w:kern w:val="0"/>
                <w:szCs w:val="21"/>
                <w:highlight w:val="none"/>
              </w:rPr>
              <w:t>（满分</w:t>
            </w:r>
            <w:r>
              <w:rPr>
                <w:rFonts w:hint="eastAsia" w:ascii="宋体" w:hAnsi="宋体"/>
                <w:bCs/>
                <w:color w:val="auto"/>
                <w:kern w:val="0"/>
                <w:szCs w:val="21"/>
                <w:highlight w:val="none"/>
                <w:lang w:val="en-US" w:eastAsia="zh-CN"/>
              </w:rPr>
              <w:t>7</w:t>
            </w:r>
            <w:r>
              <w:rPr>
                <w:rFonts w:hint="eastAsia" w:ascii="宋体" w:hAnsi="宋体"/>
                <w:bCs/>
                <w:color w:val="auto"/>
                <w:kern w:val="0"/>
                <w:szCs w:val="21"/>
                <w:highlight w:val="none"/>
              </w:rPr>
              <w:t>0分）</w:t>
            </w:r>
          </w:p>
        </w:tc>
        <w:tc>
          <w:tcPr>
            <w:tcW w:w="7364" w:type="dxa"/>
            <w:gridSpan w:val="2"/>
            <w:noWrap w:val="0"/>
            <w:vAlign w:val="center"/>
          </w:tcPr>
          <w:p w14:paraId="6E58780F">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45DB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41858B45">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509" w:type="dxa"/>
            <w:noWrap w:val="0"/>
            <w:vAlign w:val="center"/>
          </w:tcPr>
          <w:p w14:paraId="53611397">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6518" w:type="dxa"/>
            <w:noWrap w:val="0"/>
            <w:vAlign w:val="center"/>
          </w:tcPr>
          <w:p w14:paraId="6EB7058D">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主要施工方法</w:t>
            </w:r>
          </w:p>
          <w:p w14:paraId="6EAC7432">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rPr>
              <w:t>3</w:t>
            </w:r>
            <w:r>
              <w:rPr>
                <w:rFonts w:ascii="宋体" w:hAnsi="宋体" w:cs="宋体"/>
                <w:bCs/>
                <w:color w:val="auto"/>
                <w:highlight w:val="none"/>
              </w:rPr>
              <w:t>分）各主要分部施工方法基本符合项目实际，有施工技术方案，工艺一般、方法勉强可行，勉强能指导具体施工并确保安全。</w:t>
            </w:r>
          </w:p>
          <w:p w14:paraId="0BB43BCE">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二档</w:t>
            </w:r>
            <w:r>
              <w:rPr>
                <w:rFonts w:ascii="宋体" w:hAnsi="宋体" w:cs="宋体"/>
                <w:bCs/>
                <w:color w:val="auto"/>
                <w:highlight w:val="none"/>
              </w:rPr>
              <w:t>（</w:t>
            </w:r>
            <w:r>
              <w:rPr>
                <w:rFonts w:hint="eastAsia" w:ascii="宋体" w:hAnsi="宋体" w:cs="宋体"/>
                <w:bCs/>
                <w:color w:val="auto"/>
                <w:highlight w:val="none"/>
                <w:lang w:val="en-US" w:eastAsia="zh-CN"/>
              </w:rPr>
              <w:t>6</w:t>
            </w:r>
            <w:r>
              <w:rPr>
                <w:rFonts w:ascii="宋体" w:hAnsi="宋体" w:cs="宋体"/>
                <w:bCs/>
                <w:color w:val="auto"/>
                <w:highlight w:val="none"/>
              </w:rPr>
              <w:t>分）：各主要分部施工方法符合项目实际，有详尽的施工技术方案，工艺一般、方法基本可行，能指导具体施工并确保安全。</w:t>
            </w:r>
          </w:p>
          <w:p w14:paraId="1923F85B">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三档</w:t>
            </w:r>
            <w:r>
              <w:rPr>
                <w:rFonts w:ascii="宋体" w:hAnsi="宋体" w:cs="宋体"/>
                <w:bCs/>
                <w:color w:val="auto"/>
                <w:highlight w:val="none"/>
              </w:rPr>
              <w:t>（</w:t>
            </w:r>
            <w:r>
              <w:rPr>
                <w:rFonts w:hint="eastAsia" w:ascii="宋体" w:hAnsi="宋体" w:cs="宋体"/>
                <w:bCs/>
                <w:color w:val="auto"/>
                <w:highlight w:val="none"/>
                <w:lang w:val="en-US" w:eastAsia="zh-CN"/>
              </w:rPr>
              <w:t>9</w:t>
            </w:r>
            <w:r>
              <w:rPr>
                <w:rFonts w:ascii="宋体" w:hAnsi="宋体" w:cs="宋体"/>
                <w:bCs/>
                <w:color w:val="auto"/>
                <w:highlight w:val="none"/>
              </w:rPr>
              <w:t>分）：各主要分部施工方法符合项目实际，有详尽的施工技术方案，工艺一般、方法可行，能指导具体施工并确保安全。</w:t>
            </w:r>
          </w:p>
          <w:p w14:paraId="65CD9514">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四档</w:t>
            </w:r>
            <w:r>
              <w:rPr>
                <w:rFonts w:ascii="宋体" w:hAnsi="宋体" w:cs="宋体"/>
                <w:bCs/>
                <w:color w:val="auto"/>
                <w:highlight w:val="none"/>
              </w:rPr>
              <w:t>（</w:t>
            </w:r>
            <w:r>
              <w:rPr>
                <w:rFonts w:hint="eastAsia" w:ascii="宋体" w:hAnsi="宋体" w:cs="宋体"/>
                <w:bCs/>
                <w:color w:val="auto"/>
                <w:highlight w:val="none"/>
              </w:rPr>
              <w:t>1</w:t>
            </w:r>
            <w:r>
              <w:rPr>
                <w:rFonts w:hint="eastAsia" w:ascii="宋体" w:hAnsi="宋体" w:cs="宋体"/>
                <w:bCs/>
                <w:color w:val="auto"/>
                <w:highlight w:val="none"/>
                <w:lang w:val="en-US" w:eastAsia="zh-CN"/>
              </w:rPr>
              <w:t>2</w:t>
            </w:r>
            <w:r>
              <w:rPr>
                <w:rFonts w:ascii="宋体" w:hAnsi="宋体" w:cs="宋体"/>
                <w:bCs/>
                <w:color w:val="auto"/>
                <w:highlight w:val="none"/>
              </w:rPr>
              <w:t>分）：各主要分部施工方法符合项目实际，有详尽的施工技术方案，工艺先进、方法科学合理、可行，能指导具体施工并确保安全。</w:t>
            </w:r>
          </w:p>
          <w:p w14:paraId="5800A70E">
            <w:pPr>
              <w:pageBreakBefore w:val="0"/>
              <w:kinsoku/>
              <w:wordWrap/>
              <w:overflowPunct/>
              <w:topLinePunct w:val="0"/>
              <w:autoSpaceDE/>
              <w:autoSpaceDN/>
              <w:bidi w:val="0"/>
              <w:spacing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2185E1A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7A62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50788033">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2.2</w:t>
            </w:r>
          </w:p>
        </w:tc>
        <w:tc>
          <w:tcPr>
            <w:tcW w:w="1509" w:type="dxa"/>
            <w:noWrap w:val="0"/>
            <w:vAlign w:val="center"/>
          </w:tcPr>
          <w:p w14:paraId="4D341990">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拟投入的主要物资计划</w:t>
            </w:r>
          </w:p>
        </w:tc>
        <w:tc>
          <w:tcPr>
            <w:tcW w:w="6518" w:type="dxa"/>
            <w:noWrap w:val="0"/>
            <w:vAlign w:val="center"/>
          </w:tcPr>
          <w:p w14:paraId="10E4CF31">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拟投入的主要物资计划</w:t>
            </w:r>
          </w:p>
          <w:p w14:paraId="54033995">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rPr>
              <w:t>1</w:t>
            </w:r>
            <w:r>
              <w:rPr>
                <w:rFonts w:ascii="宋体" w:hAnsi="宋体" w:cs="宋体"/>
                <w:bCs/>
                <w:color w:val="auto"/>
                <w:highlight w:val="none"/>
              </w:rPr>
              <w:t xml:space="preserve">分）投入的施工材料有组织计划且计划一般，数量、选型配置、进场时间安排勉强合理，勉强能满足施工需要。 </w:t>
            </w:r>
          </w:p>
          <w:p w14:paraId="66D0A718">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二档</w:t>
            </w:r>
            <w:r>
              <w:rPr>
                <w:rFonts w:ascii="宋体" w:hAnsi="宋体" w:cs="宋体"/>
                <w:bCs/>
                <w:color w:val="auto"/>
                <w:highlight w:val="none"/>
              </w:rPr>
              <w:t>（</w:t>
            </w:r>
            <w:r>
              <w:rPr>
                <w:rFonts w:hint="eastAsia" w:ascii="宋体" w:hAnsi="宋体" w:cs="宋体"/>
                <w:bCs/>
                <w:color w:val="auto"/>
                <w:highlight w:val="none"/>
              </w:rPr>
              <w:t>3</w:t>
            </w:r>
            <w:r>
              <w:rPr>
                <w:rFonts w:ascii="宋体" w:hAnsi="宋体" w:cs="宋体"/>
                <w:bCs/>
                <w:color w:val="auto"/>
                <w:highlight w:val="none"/>
              </w:rPr>
              <w:t>分）：投入的施工材料有组织计划且计划一般，数量、选型配置、进场时间安排基本合理，基本满足施工需要。</w:t>
            </w:r>
          </w:p>
          <w:p w14:paraId="1EF90728">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三档</w:t>
            </w:r>
            <w:r>
              <w:rPr>
                <w:rFonts w:ascii="宋体" w:hAnsi="宋体" w:cs="宋体"/>
                <w:bCs/>
                <w:color w:val="auto"/>
                <w:highlight w:val="none"/>
              </w:rPr>
              <w:t>（</w:t>
            </w:r>
            <w:r>
              <w:rPr>
                <w:rFonts w:hint="eastAsia" w:ascii="宋体" w:hAnsi="宋体" w:cs="宋体"/>
                <w:bCs/>
                <w:color w:val="auto"/>
                <w:highlight w:val="none"/>
              </w:rPr>
              <w:t>4</w:t>
            </w:r>
            <w:r>
              <w:rPr>
                <w:rFonts w:ascii="宋体" w:hAnsi="宋体" w:cs="宋体"/>
                <w:bCs/>
                <w:color w:val="auto"/>
                <w:highlight w:val="none"/>
              </w:rPr>
              <w:t>分）：投入的施工材料有组织计划且计划较好，数量、选型配置、进场时间安排较合理，满足施工需要。</w:t>
            </w:r>
          </w:p>
          <w:p w14:paraId="01675A04">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四档</w:t>
            </w:r>
            <w:r>
              <w:rPr>
                <w:rFonts w:ascii="宋体" w:hAnsi="宋体" w:cs="宋体"/>
                <w:bCs/>
                <w:color w:val="auto"/>
                <w:highlight w:val="none"/>
              </w:rPr>
              <w:t>（</w:t>
            </w:r>
            <w:r>
              <w:rPr>
                <w:rFonts w:hint="eastAsia" w:ascii="宋体" w:hAnsi="宋体" w:cs="宋体"/>
                <w:bCs/>
                <w:color w:val="auto"/>
                <w:highlight w:val="none"/>
              </w:rPr>
              <w:t>5</w:t>
            </w:r>
            <w:r>
              <w:rPr>
                <w:rFonts w:ascii="宋体" w:hAnsi="宋体" w:cs="宋体"/>
                <w:bCs/>
                <w:color w:val="auto"/>
                <w:highlight w:val="none"/>
              </w:rPr>
              <w:t>分）：投入的施工材料有详细的组织计划且计划周密，数量、选型配置、进场时间安排合理，满足施工需要。</w:t>
            </w:r>
          </w:p>
          <w:p w14:paraId="5957548B">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57298F73">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color w:val="auto"/>
                <w:kern w:val="0"/>
                <w:szCs w:val="21"/>
                <w:highlight w:val="none"/>
              </w:rPr>
              <w:t>5分</w:t>
            </w:r>
          </w:p>
        </w:tc>
      </w:tr>
      <w:tr w14:paraId="561F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098D7BC0">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2.3</w:t>
            </w:r>
          </w:p>
        </w:tc>
        <w:tc>
          <w:tcPr>
            <w:tcW w:w="1509" w:type="dxa"/>
            <w:noWrap w:val="0"/>
            <w:vAlign w:val="center"/>
          </w:tcPr>
          <w:p w14:paraId="74190525">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拟投入的主要施工机械、设备计划</w:t>
            </w:r>
          </w:p>
        </w:tc>
        <w:tc>
          <w:tcPr>
            <w:tcW w:w="6518" w:type="dxa"/>
            <w:noWrap w:val="0"/>
            <w:vAlign w:val="center"/>
          </w:tcPr>
          <w:p w14:paraId="4667C57F">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拟投入的主要施工机械、设备计划</w:t>
            </w:r>
          </w:p>
          <w:p w14:paraId="3B84D1EA">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color w:val="auto"/>
                <w:highlight w:val="none"/>
              </w:rPr>
            </w:pPr>
            <w:r>
              <w:rPr>
                <w:rFonts w:ascii="宋体" w:hAnsi="宋体" w:cs="宋体"/>
                <w:color w:val="auto"/>
                <w:highlight w:val="none"/>
              </w:rPr>
              <w:t>一</w:t>
            </w:r>
            <w:r>
              <w:rPr>
                <w:rFonts w:hint="eastAsia" w:ascii="宋体" w:hAnsi="宋体" w:cs="宋体"/>
                <w:color w:val="auto"/>
                <w:highlight w:val="none"/>
              </w:rPr>
              <w:t>档</w:t>
            </w:r>
            <w:r>
              <w:rPr>
                <w:rFonts w:ascii="宋体" w:hAnsi="宋体" w:cs="宋体"/>
                <w:color w:val="auto"/>
                <w:highlight w:val="none"/>
              </w:rPr>
              <w:t>（</w:t>
            </w:r>
            <w:r>
              <w:rPr>
                <w:rFonts w:hint="eastAsia" w:ascii="宋体" w:hAnsi="宋体" w:cs="宋体"/>
                <w:color w:val="auto"/>
                <w:highlight w:val="none"/>
              </w:rPr>
              <w:t>1</w:t>
            </w:r>
            <w:r>
              <w:rPr>
                <w:rFonts w:ascii="宋体" w:hAnsi="宋体" w:cs="宋体"/>
                <w:color w:val="auto"/>
                <w:highlight w:val="none"/>
              </w:rPr>
              <w:t>分）：拟投入的各类机械设备、施工机具合计</w:t>
            </w:r>
            <w:r>
              <w:rPr>
                <w:rFonts w:hint="eastAsia" w:ascii="宋体" w:hAnsi="宋体" w:cs="宋体"/>
                <w:color w:val="auto"/>
                <w:highlight w:val="none"/>
              </w:rPr>
              <w:t>4</w:t>
            </w:r>
            <w:r>
              <w:rPr>
                <w:rFonts w:ascii="宋体" w:hAnsi="宋体" w:cs="宋体"/>
                <w:color w:val="auto"/>
                <w:highlight w:val="none"/>
              </w:rPr>
              <w:t>台（含）以上；且拟投入的主要机械设备、辅助施工设备、器具基本齐全，投入计划与进度计划呼应，无重大缺漏，设备型号、数量基本满足施工需要且配置基本合理，采用目前国际、国内先进的机械设备。</w:t>
            </w:r>
          </w:p>
          <w:p w14:paraId="64216F8A">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color w:val="auto"/>
                <w:highlight w:val="none"/>
              </w:rPr>
            </w:pPr>
            <w:r>
              <w:rPr>
                <w:rFonts w:hint="eastAsia" w:ascii="宋体" w:hAnsi="宋体" w:cs="宋体"/>
                <w:bCs/>
                <w:color w:val="auto"/>
                <w:highlight w:val="none"/>
              </w:rPr>
              <w:t>二档</w:t>
            </w:r>
            <w:r>
              <w:rPr>
                <w:rFonts w:ascii="宋体" w:hAnsi="宋体" w:cs="宋体"/>
                <w:color w:val="auto"/>
                <w:highlight w:val="none"/>
              </w:rPr>
              <w:t>（</w:t>
            </w:r>
            <w:r>
              <w:rPr>
                <w:rFonts w:hint="eastAsia" w:ascii="宋体" w:hAnsi="宋体" w:cs="宋体"/>
                <w:color w:val="auto"/>
                <w:highlight w:val="none"/>
                <w:lang w:val="en-US" w:eastAsia="zh-CN"/>
              </w:rPr>
              <w:t>3</w:t>
            </w:r>
            <w:r>
              <w:rPr>
                <w:rFonts w:ascii="宋体" w:hAnsi="宋体" w:cs="宋体"/>
                <w:color w:val="auto"/>
                <w:highlight w:val="none"/>
              </w:rPr>
              <w:t>分）：拟投入的各类机械设备、施工机具合计</w:t>
            </w:r>
            <w:r>
              <w:rPr>
                <w:rFonts w:hint="eastAsia" w:ascii="宋体" w:hAnsi="宋体" w:cs="宋体"/>
                <w:color w:val="auto"/>
                <w:highlight w:val="none"/>
              </w:rPr>
              <w:t>6</w:t>
            </w:r>
            <w:r>
              <w:rPr>
                <w:rFonts w:ascii="宋体" w:hAnsi="宋体" w:cs="宋体"/>
                <w:color w:val="auto"/>
                <w:highlight w:val="none"/>
              </w:rPr>
              <w:t>台（含）以上；且拟投入的主要机械设备、辅助施工设备、器具基本齐全，投入计划与进度计划呼应，无重大缺漏，设备型号、数量基本满足施工需要且配置科学合理，采用目前国际、国内先进的机械设备。</w:t>
            </w:r>
          </w:p>
          <w:p w14:paraId="2152DE63">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color w:val="auto"/>
                <w:highlight w:val="none"/>
              </w:rPr>
            </w:pPr>
            <w:r>
              <w:rPr>
                <w:rFonts w:hint="eastAsia" w:ascii="宋体" w:hAnsi="宋体" w:cs="宋体"/>
                <w:bCs/>
                <w:color w:val="auto"/>
                <w:highlight w:val="none"/>
              </w:rPr>
              <w:t>三档</w:t>
            </w:r>
            <w:r>
              <w:rPr>
                <w:rFonts w:ascii="宋体" w:hAnsi="宋体" w:cs="宋体"/>
                <w:color w:val="auto"/>
                <w:highlight w:val="none"/>
              </w:rPr>
              <w:t>（</w:t>
            </w:r>
            <w:r>
              <w:rPr>
                <w:rFonts w:hint="eastAsia" w:ascii="宋体" w:hAnsi="宋体" w:cs="宋体"/>
                <w:color w:val="auto"/>
                <w:highlight w:val="none"/>
                <w:lang w:val="en-US" w:eastAsia="zh-CN"/>
              </w:rPr>
              <w:t>4</w:t>
            </w:r>
            <w:r>
              <w:rPr>
                <w:rFonts w:ascii="宋体" w:hAnsi="宋体" w:cs="宋体"/>
                <w:color w:val="auto"/>
                <w:highlight w:val="none"/>
              </w:rPr>
              <w:t>分）：拟投入的各类机械设备、施工机具合计</w:t>
            </w:r>
            <w:r>
              <w:rPr>
                <w:rFonts w:hint="eastAsia" w:ascii="宋体" w:hAnsi="宋体" w:cs="宋体"/>
                <w:color w:val="auto"/>
                <w:highlight w:val="none"/>
              </w:rPr>
              <w:t>8</w:t>
            </w:r>
            <w:r>
              <w:rPr>
                <w:rFonts w:ascii="宋体" w:hAnsi="宋体" w:cs="宋体"/>
                <w:color w:val="auto"/>
                <w:highlight w:val="none"/>
              </w:rPr>
              <w:t>台（含）以上；且拟投入的主要机械设备、辅助施工设备、器具齐全且配备较合理， 投入计划与进度计划呼应，设备型号、数量满足施工需要且配置科学合理，采用目前国际、国内先进的机械设备。</w:t>
            </w:r>
          </w:p>
          <w:p w14:paraId="60B021F6">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color w:val="auto"/>
                <w:highlight w:val="none"/>
              </w:rPr>
            </w:pPr>
            <w:r>
              <w:rPr>
                <w:rFonts w:hint="eastAsia" w:ascii="宋体" w:hAnsi="宋体" w:cs="宋体"/>
                <w:bCs/>
                <w:color w:val="auto"/>
                <w:highlight w:val="none"/>
              </w:rPr>
              <w:t>四档</w:t>
            </w:r>
            <w:r>
              <w:rPr>
                <w:rFonts w:ascii="宋体" w:hAnsi="宋体" w:cs="宋体"/>
                <w:color w:val="auto"/>
                <w:highlight w:val="none"/>
              </w:rPr>
              <w:t>（</w:t>
            </w:r>
            <w:r>
              <w:rPr>
                <w:rFonts w:hint="eastAsia" w:ascii="宋体" w:hAnsi="宋体" w:cs="宋体"/>
                <w:color w:val="auto"/>
                <w:highlight w:val="none"/>
                <w:lang w:val="en-US" w:eastAsia="zh-CN"/>
              </w:rPr>
              <w:t>5</w:t>
            </w:r>
            <w:r>
              <w:rPr>
                <w:rFonts w:ascii="宋体" w:hAnsi="宋体" w:cs="宋体"/>
                <w:color w:val="auto"/>
                <w:highlight w:val="none"/>
              </w:rPr>
              <w:t>分）：拟投入的各类机械设备、施工机具合计</w:t>
            </w:r>
            <w:r>
              <w:rPr>
                <w:rFonts w:hint="eastAsia" w:ascii="宋体" w:hAnsi="宋体" w:cs="宋体"/>
                <w:color w:val="auto"/>
                <w:highlight w:val="none"/>
              </w:rPr>
              <w:t>10</w:t>
            </w:r>
            <w:r>
              <w:rPr>
                <w:rFonts w:ascii="宋体" w:hAnsi="宋体" w:cs="宋体"/>
                <w:color w:val="auto"/>
                <w:highlight w:val="none"/>
              </w:rPr>
              <w:t xml:space="preserve">台（含）以上；且拟投入的主要机械设备、辅助施工设备器具齐全且配备科学合理，投入计划与进度计划呼应，设备型号、数量完全满足施工需要且配置科学合理，具有一定储备，采用目前国际、国内先进的机械设备。 </w:t>
            </w:r>
          </w:p>
          <w:p w14:paraId="541C3DA3">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51DCD9D4">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0-5</w:t>
            </w:r>
            <w:r>
              <w:rPr>
                <w:rFonts w:hint="eastAsia" w:ascii="宋体" w:hAnsi="宋体" w:cs="宋体"/>
                <w:bCs/>
                <w:color w:val="auto"/>
                <w:kern w:val="0"/>
                <w:szCs w:val="21"/>
                <w:highlight w:val="none"/>
              </w:rPr>
              <w:t>分</w:t>
            </w:r>
          </w:p>
        </w:tc>
      </w:tr>
      <w:tr w14:paraId="480F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607B79B3">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2.4</w:t>
            </w:r>
          </w:p>
        </w:tc>
        <w:tc>
          <w:tcPr>
            <w:tcW w:w="1509" w:type="dxa"/>
            <w:noWrap w:val="0"/>
            <w:vAlign w:val="center"/>
          </w:tcPr>
          <w:p w14:paraId="33CD0397">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劳动力安排计划</w:t>
            </w:r>
          </w:p>
        </w:tc>
        <w:tc>
          <w:tcPr>
            <w:tcW w:w="6518" w:type="dxa"/>
            <w:noWrap w:val="0"/>
            <w:vAlign w:val="center"/>
          </w:tcPr>
          <w:p w14:paraId="733D0A7C">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2.4</w:t>
            </w:r>
            <w:r>
              <w:rPr>
                <w:rFonts w:hint="eastAsia" w:ascii="宋体" w:hAnsi="宋体" w:cs="宋体"/>
                <w:bCs/>
                <w:color w:val="auto"/>
                <w:kern w:val="0"/>
                <w:szCs w:val="21"/>
                <w:highlight w:val="none"/>
              </w:rPr>
              <w:t>劳动力安排计划</w:t>
            </w:r>
          </w:p>
          <w:p w14:paraId="1EF2BC2F">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一档（1分）：各主要施工工序有劳动力安排计划，有各工种劳动力安排计划，劳动力投入勉强合理，勉强满足施工需要。</w:t>
            </w:r>
          </w:p>
          <w:p w14:paraId="696DB53C">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3</w:t>
            </w:r>
            <w:r>
              <w:rPr>
                <w:rFonts w:hint="eastAsia" w:ascii="宋体" w:hAnsi="宋体" w:cs="宋体"/>
                <w:bCs/>
                <w:color w:val="auto"/>
                <w:highlight w:val="none"/>
              </w:rPr>
              <w:t>分）：各主要施工工序有劳动力安排计划，有各工种劳动力安排计划，劳动力投入基本合理，基本满足施工需要。</w:t>
            </w:r>
          </w:p>
          <w:p w14:paraId="6B0CDF65">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4</w:t>
            </w:r>
            <w:r>
              <w:rPr>
                <w:rFonts w:hint="eastAsia" w:ascii="宋体" w:hAnsi="宋体" w:cs="宋体"/>
                <w:bCs/>
                <w:color w:val="auto"/>
                <w:highlight w:val="none"/>
              </w:rPr>
              <w:t>分）：各主要施工工序有劳动力安排计划，有各工种劳动力安排计划，劳动力投入合理，满足施工需要。</w:t>
            </w:r>
          </w:p>
          <w:p w14:paraId="18F2FB06">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四档（</w:t>
            </w:r>
            <w:r>
              <w:rPr>
                <w:rFonts w:hint="eastAsia" w:ascii="宋体" w:hAnsi="宋体" w:cs="宋体"/>
                <w:bCs/>
                <w:color w:val="auto"/>
                <w:highlight w:val="none"/>
                <w:lang w:val="en-US" w:eastAsia="zh-CN"/>
              </w:rPr>
              <w:t>5</w:t>
            </w:r>
            <w:r>
              <w:rPr>
                <w:rFonts w:hint="eastAsia" w:ascii="宋体" w:hAnsi="宋体" w:cs="宋体"/>
                <w:bCs/>
                <w:color w:val="auto"/>
                <w:highlight w:val="none"/>
              </w:rPr>
              <w:t>分）：各主要施工工序有详细周密的劳动力安排计划，有各工种劳动力安排计划，劳动力投入合理，满足施工需要。</w:t>
            </w:r>
          </w:p>
          <w:p w14:paraId="10FB5411">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02F36FD8">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0-5</w:t>
            </w:r>
            <w:r>
              <w:rPr>
                <w:rFonts w:hint="eastAsia" w:ascii="宋体" w:hAnsi="宋体" w:cs="宋体"/>
                <w:bCs/>
                <w:color w:val="auto"/>
                <w:kern w:val="0"/>
                <w:szCs w:val="21"/>
                <w:highlight w:val="none"/>
              </w:rPr>
              <w:t>分</w:t>
            </w:r>
          </w:p>
        </w:tc>
      </w:tr>
      <w:tr w14:paraId="0441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22677339">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2.5</w:t>
            </w:r>
          </w:p>
        </w:tc>
        <w:tc>
          <w:tcPr>
            <w:tcW w:w="1509" w:type="dxa"/>
            <w:noWrap w:val="0"/>
            <w:vAlign w:val="center"/>
          </w:tcPr>
          <w:p w14:paraId="055868B2">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确保工程质量的技术组织措施</w:t>
            </w:r>
          </w:p>
        </w:tc>
        <w:tc>
          <w:tcPr>
            <w:tcW w:w="6518" w:type="dxa"/>
            <w:noWrap w:val="0"/>
            <w:vAlign w:val="center"/>
          </w:tcPr>
          <w:p w14:paraId="1D7DA774">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确保工程质量的技术组织措施</w:t>
            </w:r>
          </w:p>
          <w:p w14:paraId="60B3E5B2">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1</w:t>
            </w:r>
            <w:r>
              <w:rPr>
                <w:rFonts w:hint="eastAsia" w:ascii="宋体" w:hAnsi="宋体" w:cs="宋体"/>
                <w:bCs/>
                <w:color w:val="auto"/>
                <w:highlight w:val="none"/>
              </w:rPr>
              <w:t>分）：工程质量技术组织措施不可行，没能满足招标文件的质量要求。</w:t>
            </w:r>
          </w:p>
          <w:p w14:paraId="7ACA29C3">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4</w:t>
            </w:r>
            <w:r>
              <w:rPr>
                <w:rFonts w:hint="eastAsia" w:ascii="宋体" w:hAnsi="宋体" w:cs="宋体"/>
                <w:bCs/>
                <w:color w:val="auto"/>
                <w:highlight w:val="none"/>
              </w:rPr>
              <w:t>分）：有质量技术管理班子和制度，且人员配备基本合理，制度基本健全。主要工序有质量技术保证措施和手段，自控体系，基本能保证技术质量，基本满足招标文件的质量要求。</w:t>
            </w:r>
          </w:p>
          <w:p w14:paraId="0FCDD301">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7</w:t>
            </w:r>
            <w:r>
              <w:rPr>
                <w:rFonts w:hint="eastAsia" w:ascii="宋体" w:hAnsi="宋体" w:cs="宋体"/>
                <w:bCs/>
                <w:color w:val="auto"/>
                <w:highlight w:val="none"/>
              </w:rPr>
              <w:t>分）：有质量技术管理班子和制度，且人员配备合理，制度健全。主要工序有质量技术保证措施和手段，自控体系完整，能保证技术质量，满足招标文件的质量要求。</w:t>
            </w:r>
          </w:p>
          <w:p w14:paraId="03395406">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四档（1</w:t>
            </w:r>
            <w:r>
              <w:rPr>
                <w:rFonts w:hint="eastAsia" w:ascii="宋体" w:hAnsi="宋体" w:cs="宋体"/>
                <w:bCs/>
                <w:color w:val="auto"/>
                <w:highlight w:val="none"/>
                <w:lang w:val="en-US" w:eastAsia="zh-CN"/>
              </w:rPr>
              <w:t>0</w:t>
            </w:r>
            <w:r>
              <w:rPr>
                <w:rFonts w:hint="eastAsia" w:ascii="宋体" w:hAnsi="宋体" w:cs="宋体"/>
                <w:bCs/>
                <w:color w:val="auto"/>
                <w:highlight w:val="none"/>
              </w:rPr>
              <w:t>分）：有专门的质量技术管理班子和制度，且人员配备合理，制度健全。主要工序有质量技术保证措施和手段，自控体系完整，能有效保证技术质量，达到承诺的质量标准。</w:t>
            </w:r>
          </w:p>
          <w:p w14:paraId="4CE10711">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5D96BFC7">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分</w:t>
            </w:r>
          </w:p>
        </w:tc>
      </w:tr>
      <w:tr w14:paraId="77BC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040CC4C2">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2.6</w:t>
            </w:r>
          </w:p>
        </w:tc>
        <w:tc>
          <w:tcPr>
            <w:tcW w:w="1509" w:type="dxa"/>
            <w:noWrap w:val="0"/>
            <w:vAlign w:val="center"/>
          </w:tcPr>
          <w:p w14:paraId="5F3F59A9">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确保安全文明生产的技术组织措施</w:t>
            </w:r>
          </w:p>
        </w:tc>
        <w:tc>
          <w:tcPr>
            <w:tcW w:w="6518" w:type="dxa"/>
            <w:noWrap w:val="0"/>
            <w:vAlign w:val="center"/>
          </w:tcPr>
          <w:p w14:paraId="493DBCB9">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rPr>
              <w:t>确保安全文明生产的技术组织措施</w:t>
            </w:r>
          </w:p>
          <w:p w14:paraId="4355A989">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一档（1分）：安全文明措施不得力，采用规范不正确。</w:t>
            </w:r>
          </w:p>
          <w:p w14:paraId="5786A007">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二档（4分）：针对项目实际情况，有生产技术组织措施，采用规范正确。</w:t>
            </w:r>
          </w:p>
          <w:p w14:paraId="388F7FE8">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三档（7分）：针对项目实际情况</w:t>
            </w:r>
            <w:r>
              <w:rPr>
                <w:rFonts w:hint="eastAsia" w:ascii="宋体" w:hAnsi="宋体" w:cs="宋体"/>
                <w:bCs/>
                <w:color w:val="auto"/>
                <w:highlight w:val="none"/>
                <w:lang w:eastAsia="zh-CN"/>
              </w:rPr>
              <w:t>，具</w:t>
            </w:r>
            <w:r>
              <w:rPr>
                <w:rFonts w:hint="eastAsia" w:ascii="宋体" w:hAnsi="宋体" w:cs="宋体"/>
                <w:bCs/>
                <w:color w:val="auto"/>
                <w:highlight w:val="none"/>
              </w:rPr>
              <w:t>有合理安全生产技术组织措施且具体、完整，采用规范正确。</w:t>
            </w:r>
          </w:p>
          <w:p w14:paraId="211D3238">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cs="宋体"/>
                <w:bCs/>
                <w:color w:val="auto"/>
                <w:highlight w:val="none"/>
              </w:rPr>
              <w:t>四档（10分）：有专门</w:t>
            </w:r>
            <w:r>
              <w:rPr>
                <w:rFonts w:hint="eastAsia" w:ascii="宋体" w:hAnsi="宋体" w:cs="宋体"/>
                <w:bCs/>
                <w:color w:val="auto"/>
                <w:kern w:val="0"/>
                <w:szCs w:val="21"/>
                <w:highlight w:val="none"/>
              </w:rPr>
              <w:t>安全文明</w:t>
            </w:r>
            <w:r>
              <w:rPr>
                <w:rFonts w:hint="eastAsia" w:ascii="宋体" w:hAnsi="宋体" w:cs="宋体"/>
                <w:bCs/>
                <w:color w:val="auto"/>
                <w:highlight w:val="none"/>
              </w:rPr>
              <w:t>管理人员和制度，且人员配备合理，制度</w:t>
            </w:r>
            <w:r>
              <w:rPr>
                <w:rFonts w:hint="eastAsia" w:ascii="宋体" w:hAnsi="宋体" w:cs="宋体"/>
                <w:bCs/>
                <w:color w:val="auto"/>
                <w:highlight w:val="none"/>
                <w:lang w:eastAsia="zh-CN"/>
              </w:rPr>
              <w:t>健全</w:t>
            </w:r>
            <w:r>
              <w:rPr>
                <w:rFonts w:hint="eastAsia" w:ascii="宋体" w:hAnsi="宋体" w:cs="宋体"/>
                <w:bCs/>
                <w:color w:val="auto"/>
                <w:highlight w:val="none"/>
              </w:rPr>
              <w:t>，各道工序安全技术措施针对性强，符合实际且满足安全技术标准要求，文明施工。</w:t>
            </w: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3DAA1F3C">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10分</w:t>
            </w:r>
          </w:p>
        </w:tc>
      </w:tr>
      <w:tr w14:paraId="4463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0D0F9D16">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2.7</w:t>
            </w:r>
          </w:p>
        </w:tc>
        <w:tc>
          <w:tcPr>
            <w:tcW w:w="1509" w:type="dxa"/>
            <w:noWrap w:val="0"/>
            <w:vAlign w:val="center"/>
          </w:tcPr>
          <w:p w14:paraId="2DA91595">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确保工期的技术组织措施</w:t>
            </w:r>
          </w:p>
        </w:tc>
        <w:tc>
          <w:tcPr>
            <w:tcW w:w="6518" w:type="dxa"/>
            <w:noWrap w:val="0"/>
            <w:vAlign w:val="center"/>
          </w:tcPr>
          <w:p w14:paraId="423BA600">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确保工期的技术组织措施</w:t>
            </w:r>
          </w:p>
          <w:p w14:paraId="345F951A">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 xml:space="preserve">一档（1分）：在施工工艺、施工方法、材料选用、劳动力安排、技术等方面没有措施。没有控制工期的施工进度计划。没有施工总进度表或施工网络图。 </w:t>
            </w:r>
          </w:p>
          <w:p w14:paraId="19767F85">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二档（4分）：在施工工艺、施工方法、材料选用、劳动力安排、技术等方面有简单措施。有控制工期的施工进度可行计划。有完整的施工总进度表或施工网络图，安排基本合理。</w:t>
            </w:r>
          </w:p>
          <w:p w14:paraId="5A8F1271">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三档（7分）：在施工工艺、施工方法、材料选用、劳动力安排、技术等方面有可行措施。有控制工期的施工进度可行计划。有完整的施工总进度表或施工网络图，安排合理。</w:t>
            </w:r>
          </w:p>
          <w:p w14:paraId="48876DA6">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highlight w:val="none"/>
              </w:rPr>
              <w:t>四档（10分）：在施工工艺、施工方法、材料选用、劳动力安排、技术等方面有保证工期的具体措施。有控制工期的施工进度计划。有施工总进度表或施工网络图，各项计划图表编制完善，安排科学合理，符合本项目施工实际要求。</w:t>
            </w:r>
          </w:p>
          <w:p w14:paraId="7133CEFE">
            <w:pPr>
              <w:pageBreakBefore w:val="0"/>
              <w:kinsoku/>
              <w:wordWrap/>
              <w:overflowPunct/>
              <w:topLinePunct w:val="0"/>
              <w:autoSpaceDE/>
              <w:autoSpaceDN/>
              <w:bidi w:val="0"/>
              <w:spacing w:before="0" w:after="0" w:line="380" w:lineRule="exact"/>
              <w:ind w:left="0" w:leftChars="0" w:right="0" w:rightChars="0" w:firstLine="420" w:firstLineChars="200"/>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3F60D97E">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10分</w:t>
            </w:r>
          </w:p>
        </w:tc>
      </w:tr>
      <w:tr w14:paraId="5D72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3A6601FF">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2.8</w:t>
            </w:r>
          </w:p>
        </w:tc>
        <w:tc>
          <w:tcPr>
            <w:tcW w:w="1509" w:type="dxa"/>
            <w:noWrap w:val="0"/>
            <w:vAlign w:val="center"/>
          </w:tcPr>
          <w:p w14:paraId="6737103D">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工程施工的重点和难点及保证措施</w:t>
            </w:r>
          </w:p>
        </w:tc>
        <w:tc>
          <w:tcPr>
            <w:tcW w:w="6518" w:type="dxa"/>
            <w:noWrap w:val="0"/>
            <w:vAlign w:val="center"/>
          </w:tcPr>
          <w:p w14:paraId="3F60CFF0">
            <w:pPr>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工程施工的重点和难点及保证措施</w:t>
            </w:r>
          </w:p>
          <w:p w14:paraId="13C6711C">
            <w:pPr>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cs="宋体"/>
                <w:bCs/>
                <w:color w:val="auto"/>
                <w:highlight w:val="none"/>
              </w:rPr>
            </w:pPr>
            <w:r>
              <w:rPr>
                <w:rFonts w:hint="eastAsia" w:ascii="宋体" w:hAnsi="宋体" w:cs="宋体"/>
                <w:bCs/>
                <w:color w:val="auto"/>
                <w:highlight w:val="none"/>
              </w:rPr>
              <w:t>一档（1分）：针对本工程的特点有表述，对重点、难点有建议，但解决方案不可行。</w:t>
            </w:r>
          </w:p>
          <w:p w14:paraId="11C185BC">
            <w:pPr>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ascii="宋体" w:hAnsi="宋体" w:cs="宋体"/>
                <w:bCs/>
                <w:color w:val="auto"/>
                <w:highlight w:val="none"/>
              </w:rPr>
            </w:pPr>
            <w:r>
              <w:rPr>
                <w:rFonts w:hint="eastAsia" w:ascii="宋体" w:hAnsi="宋体" w:cs="宋体"/>
                <w:bCs/>
                <w:color w:val="auto"/>
                <w:highlight w:val="none"/>
              </w:rPr>
              <w:t>二档（3分）：针对本工程的特点，能简单阐述工程的重点和难点，解决重点和难点问题的方案，方案基本可行。</w:t>
            </w:r>
          </w:p>
          <w:p w14:paraId="2CB0801F">
            <w:pPr>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ascii="宋体" w:hAnsi="宋体" w:cs="宋体"/>
                <w:bCs/>
                <w:color w:val="auto"/>
                <w:highlight w:val="none"/>
              </w:rPr>
            </w:pPr>
            <w:r>
              <w:rPr>
                <w:rFonts w:hint="eastAsia" w:ascii="宋体" w:hAnsi="宋体" w:cs="宋体"/>
                <w:bCs/>
                <w:color w:val="auto"/>
                <w:highlight w:val="none"/>
              </w:rPr>
              <w:t>三档（4分）：针对本工程的特点，阐述工程的重点和难点，有解决重点和难点问题的方案。</w:t>
            </w:r>
          </w:p>
          <w:p w14:paraId="568BC48B">
            <w:pPr>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ascii="宋体" w:hAnsi="宋体" w:cs="宋体"/>
                <w:bCs/>
                <w:color w:val="auto"/>
                <w:highlight w:val="none"/>
              </w:rPr>
            </w:pPr>
            <w:r>
              <w:rPr>
                <w:rFonts w:hint="eastAsia" w:ascii="宋体" w:hAnsi="宋体" w:cs="宋体"/>
                <w:bCs/>
                <w:color w:val="auto"/>
                <w:highlight w:val="none"/>
              </w:rPr>
              <w:t>四档（5分）：针对本工程的特点，阐述工程的重点和难点</w:t>
            </w:r>
            <w:r>
              <w:rPr>
                <w:rFonts w:hint="eastAsia" w:ascii="宋体" w:hAnsi="宋体" w:cs="宋体"/>
                <w:bCs/>
                <w:color w:val="auto"/>
                <w:highlight w:val="none"/>
                <w:lang w:eastAsia="zh-CN"/>
              </w:rPr>
              <w:t>，具</w:t>
            </w:r>
            <w:r>
              <w:rPr>
                <w:rFonts w:hint="eastAsia" w:ascii="宋体" w:hAnsi="宋体" w:cs="宋体"/>
                <w:bCs/>
                <w:color w:val="auto"/>
                <w:highlight w:val="none"/>
              </w:rPr>
              <w:t>有解决重点和难点问题的切实可行方案且措施得力。</w:t>
            </w:r>
          </w:p>
          <w:p w14:paraId="0F8A8C21">
            <w:pPr>
              <w:pageBreakBefore w:val="0"/>
              <w:widowControl w:val="0"/>
              <w:kinsoku/>
              <w:wordWrap/>
              <w:overflowPunct/>
              <w:topLinePunct w:val="0"/>
              <w:autoSpaceDE/>
              <w:autoSpaceDN/>
              <w:bidi w:val="0"/>
              <w:adjustRightInd/>
              <w:snapToGrid/>
              <w:spacing w:before="0" w:after="0" w:line="380" w:lineRule="exact"/>
              <w:ind w:left="0" w:leftChars="0" w:right="0" w:rightChars="0" w:firstLine="420" w:firstLineChars="200"/>
              <w:textAlignment w:val="auto"/>
              <w:outlineLvl w:val="9"/>
              <w:rPr>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846" w:type="dxa"/>
            <w:noWrap w:val="0"/>
            <w:vAlign w:val="center"/>
          </w:tcPr>
          <w:p w14:paraId="3CF96BE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5分</w:t>
            </w:r>
          </w:p>
        </w:tc>
      </w:tr>
      <w:tr w14:paraId="6469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5385189C">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2.9</w:t>
            </w:r>
          </w:p>
        </w:tc>
        <w:tc>
          <w:tcPr>
            <w:tcW w:w="1509" w:type="dxa"/>
            <w:noWrap w:val="0"/>
            <w:vAlign w:val="center"/>
          </w:tcPr>
          <w:p w14:paraId="7AF8B118">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人员配置</w:t>
            </w:r>
          </w:p>
          <w:p w14:paraId="258CAD7F">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hint="default" w:ascii="宋体" w:hAnsi="宋体" w:eastAsia="宋体" w:cs="宋体"/>
                <w:bCs/>
                <w:color w:val="auto"/>
                <w:kern w:val="0"/>
                <w:szCs w:val="21"/>
                <w:highlight w:val="none"/>
                <w:lang w:val="en-US" w:eastAsia="zh-CN"/>
              </w:rPr>
            </w:pPr>
            <w:r>
              <w:rPr>
                <w:rFonts w:hint="eastAsia" w:ascii="宋体" w:hAnsi="宋体" w:cs="Courier New"/>
                <w:bCs/>
                <w:color w:val="auto"/>
                <w:szCs w:val="21"/>
                <w:highlight w:val="none"/>
                <w:lang w:val="en-US" w:eastAsia="zh-CN"/>
              </w:rPr>
              <w:t>（</w:t>
            </w:r>
            <w:r>
              <w:rPr>
                <w:rFonts w:hint="eastAsia" w:ascii="宋体" w:hAnsi="宋体" w:cs="宋体"/>
                <w:color w:val="auto"/>
                <w:highlight w:val="none"/>
              </w:rPr>
              <w:t>客观分</w:t>
            </w:r>
            <w:r>
              <w:rPr>
                <w:rFonts w:hint="eastAsia" w:ascii="宋体" w:hAnsi="宋体" w:cs="宋体"/>
                <w:color w:val="auto"/>
                <w:highlight w:val="none"/>
                <w:lang w:eastAsia="zh-CN"/>
              </w:rPr>
              <w:t>）</w:t>
            </w:r>
          </w:p>
        </w:tc>
        <w:tc>
          <w:tcPr>
            <w:tcW w:w="6518" w:type="dxa"/>
            <w:noWrap w:val="0"/>
            <w:vAlign w:val="center"/>
          </w:tcPr>
          <w:p w14:paraId="689FAB06">
            <w:pPr>
              <w:pageBreakBefore w:val="0"/>
              <w:kinsoku/>
              <w:wordWrap/>
              <w:overflowPunct/>
              <w:topLinePunct w:val="0"/>
              <w:autoSpaceDE/>
              <w:autoSpaceDN/>
              <w:bidi w:val="0"/>
              <w:adjustRightInd w:val="0"/>
              <w:spacing w:line="380" w:lineRule="exact"/>
              <w:ind w:left="0" w:leftChars="0" w:right="0" w:rightChars="0" w:firstLine="420" w:firstLineChars="200"/>
              <w:jc w:val="left"/>
              <w:textAlignment w:val="baseline"/>
              <w:outlineLvl w:val="9"/>
              <w:rPr>
                <w:rFonts w:hint="eastAsia" w:ascii="宋体" w:hAnsi="宋体" w:eastAsia="宋体" w:cs="宋体"/>
                <w:b w:val="0"/>
                <w:bCs/>
                <w:color w:val="auto"/>
                <w:kern w:val="2"/>
                <w:sz w:val="21"/>
                <w:szCs w:val="24"/>
                <w:highlight w:val="none"/>
                <w:lang w:val="en-US" w:eastAsia="zh-CN" w:bidi="ar-SA"/>
              </w:rPr>
            </w:pPr>
            <w:r>
              <w:rPr>
                <w:rFonts w:hint="eastAsia" w:ascii="宋体" w:hAnsi="宋体" w:cs="宋体"/>
                <w:bCs/>
                <w:color w:val="auto"/>
                <w:kern w:val="0"/>
                <w:szCs w:val="21"/>
                <w:highlight w:val="none"/>
                <w:lang w:val="en-US" w:eastAsia="zh-CN"/>
              </w:rPr>
              <w:t>2.9人员配置</w:t>
            </w:r>
          </w:p>
          <w:p w14:paraId="0174075A">
            <w:pPr>
              <w:pageBreakBefore w:val="0"/>
              <w:widowControl w:val="0"/>
              <w:numPr>
                <w:ilvl w:val="0"/>
                <w:numId w:val="3"/>
              </w:numPr>
              <w:kinsoku/>
              <w:wordWrap/>
              <w:overflowPunct/>
              <w:topLinePunct w:val="0"/>
              <w:autoSpaceDE/>
              <w:autoSpaceDN/>
              <w:bidi w:val="0"/>
              <w:adjustRightInd/>
              <w:snapToGrid/>
              <w:spacing w:before="0" w:after="0" w:line="380" w:lineRule="exact"/>
              <w:ind w:left="0" w:leftChars="0" w:right="0" w:rightChars="0" w:firstLine="420" w:firstLineChars="200"/>
              <w:textAlignment w:val="auto"/>
              <w:outlineLvl w:val="9"/>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拟投入本项目的项目技术负责人具备中级（或以上）职称的得</w:t>
            </w:r>
            <w:r>
              <w:rPr>
                <w:rFonts w:hint="eastAsia" w:ascii="宋体" w:hAnsi="宋体" w:cs="宋体"/>
                <w:b w:val="0"/>
                <w:bCs/>
                <w:color w:val="auto"/>
                <w:kern w:val="2"/>
                <w:sz w:val="21"/>
                <w:szCs w:val="24"/>
                <w:highlight w:val="none"/>
                <w:lang w:val="en-US" w:eastAsia="zh-CN" w:bidi="ar-SA"/>
              </w:rPr>
              <w:t>4</w:t>
            </w:r>
            <w:r>
              <w:rPr>
                <w:rFonts w:hint="eastAsia" w:ascii="宋体" w:hAnsi="宋体" w:eastAsia="宋体" w:cs="宋体"/>
                <w:b w:val="0"/>
                <w:bCs/>
                <w:color w:val="auto"/>
                <w:kern w:val="2"/>
                <w:sz w:val="21"/>
                <w:szCs w:val="24"/>
                <w:highlight w:val="none"/>
                <w:lang w:val="en-US" w:eastAsia="zh-CN" w:bidi="ar-SA"/>
              </w:rPr>
              <w:t>分</w:t>
            </w:r>
            <w:r>
              <w:rPr>
                <w:rFonts w:hint="eastAsia" w:ascii="宋体" w:hAnsi="宋体" w:cs="宋体"/>
                <w:b w:val="0"/>
                <w:bCs/>
                <w:color w:val="auto"/>
                <w:kern w:val="2"/>
                <w:sz w:val="21"/>
                <w:szCs w:val="24"/>
                <w:highlight w:val="none"/>
                <w:lang w:val="en-US" w:eastAsia="zh-CN" w:bidi="ar-SA"/>
              </w:rPr>
              <w:t>。</w:t>
            </w:r>
          </w:p>
          <w:p w14:paraId="5C5E3E42">
            <w:pPr>
              <w:pageBreakBefore w:val="0"/>
              <w:widowControl w:val="0"/>
              <w:numPr>
                <w:ilvl w:val="0"/>
                <w:numId w:val="3"/>
              </w:numPr>
              <w:kinsoku/>
              <w:wordWrap/>
              <w:overflowPunct/>
              <w:topLinePunct w:val="0"/>
              <w:autoSpaceDE/>
              <w:autoSpaceDN/>
              <w:bidi w:val="0"/>
              <w:adjustRightInd/>
              <w:snapToGrid/>
              <w:spacing w:before="0" w:after="0" w:line="380" w:lineRule="exact"/>
              <w:ind w:left="0" w:leftChars="0" w:right="0" w:rightChars="0" w:firstLine="420" w:firstLineChars="200"/>
              <w:textAlignment w:val="auto"/>
              <w:outlineLvl w:val="9"/>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配备的施工员、质量员、材料员、安全员等人员具备相应岗位证书（符合国家有关规定）的每个得1分，满分 4 分。</w:t>
            </w:r>
          </w:p>
          <w:p w14:paraId="47A21ACC">
            <w:pPr>
              <w:pageBreakBefore w:val="0"/>
              <w:widowControl w:val="0"/>
              <w:numPr>
                <w:ilvl w:val="0"/>
                <w:numId w:val="0"/>
              </w:numPr>
              <w:kinsoku/>
              <w:wordWrap/>
              <w:overflowPunct/>
              <w:topLinePunct w:val="0"/>
              <w:autoSpaceDE/>
              <w:autoSpaceDN/>
              <w:bidi w:val="0"/>
              <w:adjustRightInd/>
              <w:snapToGrid/>
              <w:spacing w:before="0" w:after="0" w:line="380" w:lineRule="exact"/>
              <w:ind w:right="0" w:rightChars="0" w:firstLine="420" w:firstLineChars="200"/>
              <w:textAlignment w:val="auto"/>
              <w:outlineLvl w:val="9"/>
              <w:rPr>
                <w:rFonts w:hint="default" w:ascii="宋体" w:hAnsi="宋体" w:eastAsia="宋体" w:cs="宋体"/>
                <w:b w:val="0"/>
                <w:bCs/>
                <w:color w:val="auto"/>
                <w:kern w:val="2"/>
                <w:sz w:val="21"/>
                <w:szCs w:val="24"/>
                <w:highlight w:val="none"/>
                <w:lang w:val="en-US" w:eastAsia="zh-CN" w:bidi="ar-SA"/>
              </w:rPr>
            </w:pPr>
            <w:r>
              <w:rPr>
                <w:rFonts w:hint="eastAsia" w:eastAsia="宋体"/>
                <w:b w:val="0"/>
                <w:bCs w:val="0"/>
                <w:color w:val="auto"/>
                <w:highlight w:val="none"/>
                <w:lang w:val="en-US" w:eastAsia="zh-CN"/>
              </w:rPr>
              <w:t>注：拟投入本项目人员需</w:t>
            </w:r>
            <w:r>
              <w:rPr>
                <w:rFonts w:hint="default" w:ascii="Times New Roman" w:hAnsi="Times New Roman" w:eastAsia="宋体" w:cs="宋体"/>
                <w:b w:val="0"/>
                <w:bCs w:val="0"/>
                <w:color w:val="auto"/>
                <w:spacing w:val="0"/>
                <w:sz w:val="21"/>
                <w:szCs w:val="21"/>
                <w:highlight w:val="none"/>
                <w:shd w:val="clear" w:color="auto" w:fill="auto"/>
                <w:lang w:val="en-US" w:eastAsia="zh-CN"/>
              </w:rPr>
              <w:t>提供</w:t>
            </w:r>
            <w:r>
              <w:rPr>
                <w:rFonts w:hint="eastAsia" w:ascii="宋体" w:hAnsi="宋体" w:eastAsia="宋体" w:cs="宋体"/>
                <w:b w:val="0"/>
                <w:bCs w:val="0"/>
                <w:color w:val="auto"/>
                <w:sz w:val="21"/>
                <w:szCs w:val="21"/>
                <w:highlight w:val="none"/>
                <w:lang w:val="en-US" w:eastAsia="zh-CN"/>
              </w:rPr>
              <w:t>截标时间前</w:t>
            </w:r>
            <w:r>
              <w:rPr>
                <w:rFonts w:hint="eastAsia" w:ascii="宋体" w:hAnsi="宋体" w:eastAsia="宋体" w:cs="宋体"/>
                <w:b w:val="0"/>
                <w:bCs w:val="0"/>
                <w:color w:val="auto"/>
                <w:sz w:val="21"/>
                <w:szCs w:val="21"/>
                <w:highlight w:val="none"/>
              </w:rPr>
              <w:t>半年内任意连续三个月</w:t>
            </w:r>
            <w:r>
              <w:rPr>
                <w:rFonts w:hint="eastAsia" w:ascii="Times New Roman" w:hAnsi="Times New Roman" w:eastAsia="宋体" w:cs="宋体"/>
                <w:b w:val="0"/>
                <w:bCs w:val="0"/>
                <w:color w:val="auto"/>
                <w:spacing w:val="0"/>
                <w:sz w:val="21"/>
                <w:szCs w:val="21"/>
                <w:highlight w:val="none"/>
                <w:u w:val="none"/>
                <w:shd w:val="clear" w:color="auto" w:fill="auto"/>
                <w:lang w:val="en-US" w:eastAsia="zh-CN"/>
              </w:rPr>
              <w:t>供应商</w:t>
            </w:r>
            <w:r>
              <w:rPr>
                <w:rFonts w:hint="default" w:ascii="Times New Roman" w:hAnsi="Times New Roman" w:eastAsia="宋体" w:cs="宋体"/>
                <w:b w:val="0"/>
                <w:bCs w:val="0"/>
                <w:color w:val="auto"/>
                <w:spacing w:val="0"/>
                <w:sz w:val="21"/>
                <w:szCs w:val="21"/>
                <w:highlight w:val="none"/>
                <w:u w:val="none"/>
                <w:shd w:val="clear" w:color="auto" w:fill="auto"/>
                <w:lang w:val="en-US" w:eastAsia="zh-CN"/>
              </w:rPr>
              <w:t>为其依法缴纳社会保险的证明材料</w:t>
            </w:r>
            <w:r>
              <w:rPr>
                <w:rFonts w:hint="eastAsia" w:ascii="Times New Roman" w:hAnsi="Times New Roman" w:eastAsia="宋体" w:cs="宋体"/>
                <w:b w:val="0"/>
                <w:bCs w:val="0"/>
                <w:color w:val="auto"/>
                <w:spacing w:val="0"/>
                <w:sz w:val="21"/>
                <w:szCs w:val="21"/>
                <w:highlight w:val="none"/>
                <w:shd w:val="clear" w:color="auto" w:fill="auto"/>
                <w:lang w:val="en-US" w:eastAsia="zh-CN"/>
              </w:rPr>
              <w:t>。</w:t>
            </w:r>
          </w:p>
        </w:tc>
        <w:tc>
          <w:tcPr>
            <w:tcW w:w="846" w:type="dxa"/>
            <w:noWrap w:val="0"/>
            <w:vAlign w:val="center"/>
          </w:tcPr>
          <w:p w14:paraId="029E6097">
            <w:pPr>
              <w:pageBreakBefore w:val="0"/>
              <w:kinsoku/>
              <w:wordWrap/>
              <w:overflowPunct/>
              <w:topLinePunct w:val="0"/>
              <w:autoSpaceDE/>
              <w:autoSpaceDN/>
              <w:bidi w:val="0"/>
              <w:spacing w:line="380" w:lineRule="exact"/>
              <w:ind w:left="0" w:leftChars="0" w:right="0" w:rightChars="0"/>
              <w:jc w:val="center"/>
              <w:outlineLvl w:val="9"/>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0-8</w:t>
            </w:r>
          </w:p>
        </w:tc>
      </w:tr>
      <w:tr w14:paraId="7046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3FA510A3">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509" w:type="dxa"/>
            <w:noWrap w:val="0"/>
            <w:vAlign w:val="center"/>
          </w:tcPr>
          <w:p w14:paraId="796D6A9B">
            <w:pPr>
              <w:pageBreakBefore w:val="0"/>
              <w:widowControl/>
              <w:kinsoku/>
              <w:wordWrap/>
              <w:overflowPunct/>
              <w:topLinePunct w:val="0"/>
              <w:autoSpaceDE/>
              <w:autoSpaceDN/>
              <w:bidi w:val="0"/>
              <w:spacing w:line="380" w:lineRule="exact"/>
              <w:ind w:left="0" w:leftChars="0" w:right="0" w:rightChars="0"/>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p w14:paraId="155438CC">
            <w:pPr>
              <w:pageBreakBefore w:val="0"/>
              <w:widowControl/>
              <w:kinsoku/>
              <w:wordWrap/>
              <w:overflowPunct/>
              <w:topLinePunct w:val="0"/>
              <w:autoSpaceDE/>
              <w:autoSpaceDN/>
              <w:bidi w:val="0"/>
              <w:spacing w:line="380" w:lineRule="exact"/>
              <w:ind w:left="0" w:leftChars="0" w:right="0" w:rightChars="0"/>
              <w:jc w:val="center"/>
              <w:rPr>
                <w:rFonts w:ascii="宋体" w:hAnsi="宋体" w:cs="Courier New"/>
                <w:bCs/>
                <w:color w:val="auto"/>
                <w:szCs w:val="21"/>
                <w:highlight w:val="none"/>
              </w:rPr>
            </w:pPr>
            <w:r>
              <w:rPr>
                <w:rFonts w:hint="eastAsia" w:ascii="宋体" w:hAnsi="宋体" w:cs="Courier New"/>
                <w:bCs/>
                <w:color w:val="auto"/>
                <w:szCs w:val="21"/>
                <w:highlight w:val="none"/>
              </w:rPr>
              <w:t>（满分10分）</w:t>
            </w:r>
          </w:p>
        </w:tc>
        <w:tc>
          <w:tcPr>
            <w:tcW w:w="7364" w:type="dxa"/>
            <w:gridSpan w:val="2"/>
            <w:noWrap w:val="0"/>
            <w:vAlign w:val="center"/>
          </w:tcPr>
          <w:p w14:paraId="325E1267">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326F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noWrap w:val="0"/>
            <w:vAlign w:val="center"/>
          </w:tcPr>
          <w:p w14:paraId="33471A8D">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509" w:type="dxa"/>
            <w:noWrap w:val="0"/>
            <w:vAlign w:val="center"/>
          </w:tcPr>
          <w:p w14:paraId="364A8B02">
            <w:pPr>
              <w:pageBreakBefore w:val="0"/>
              <w:widowControl/>
              <w:kinsoku/>
              <w:wordWrap/>
              <w:overflowPunct/>
              <w:topLinePunct w:val="0"/>
              <w:autoSpaceDE/>
              <w:autoSpaceDN/>
              <w:bidi w:val="0"/>
              <w:spacing w:line="380" w:lineRule="exact"/>
              <w:ind w:left="0" w:leftChars="0" w:right="0" w:rightChars="0"/>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信誉、业绩</w:t>
            </w:r>
          </w:p>
          <w:p w14:paraId="045ED987">
            <w:pPr>
              <w:pageBreakBefore w:val="0"/>
              <w:widowControl/>
              <w:kinsoku/>
              <w:wordWrap/>
              <w:overflowPunct/>
              <w:topLinePunct w:val="0"/>
              <w:autoSpaceDE/>
              <w:autoSpaceDN/>
              <w:bidi w:val="0"/>
              <w:spacing w:line="380" w:lineRule="exact"/>
              <w:ind w:left="0" w:leftChars="0" w:right="0" w:rightChars="0"/>
              <w:jc w:val="center"/>
              <w:rPr>
                <w:rFonts w:hint="eastAsia" w:ascii="宋体" w:hAnsi="宋体" w:eastAsia="宋体" w:cs="Tahoma"/>
                <w:color w:val="auto"/>
                <w:kern w:val="0"/>
                <w:szCs w:val="21"/>
                <w:highlight w:val="none"/>
                <w:lang w:val="en-US" w:eastAsia="zh-CN"/>
              </w:rPr>
            </w:pPr>
            <w:r>
              <w:rPr>
                <w:rFonts w:hint="eastAsia" w:ascii="宋体" w:hAnsi="宋体" w:cs="Courier New"/>
                <w:bCs/>
                <w:color w:val="auto"/>
                <w:szCs w:val="21"/>
                <w:highlight w:val="none"/>
                <w:lang w:val="en-US" w:eastAsia="zh-CN"/>
              </w:rPr>
              <w:t>（</w:t>
            </w:r>
            <w:r>
              <w:rPr>
                <w:rFonts w:hint="eastAsia" w:ascii="宋体" w:hAnsi="宋体" w:cs="宋体"/>
                <w:color w:val="auto"/>
                <w:highlight w:val="none"/>
              </w:rPr>
              <w:t>客观分</w:t>
            </w:r>
            <w:r>
              <w:rPr>
                <w:rFonts w:hint="eastAsia" w:ascii="宋体" w:hAnsi="宋体" w:cs="宋体"/>
                <w:color w:val="auto"/>
                <w:highlight w:val="none"/>
                <w:lang w:eastAsia="zh-CN"/>
              </w:rPr>
              <w:t>）</w:t>
            </w:r>
          </w:p>
        </w:tc>
        <w:tc>
          <w:tcPr>
            <w:tcW w:w="6518" w:type="dxa"/>
            <w:noWrap w:val="0"/>
            <w:vAlign w:val="top"/>
          </w:tcPr>
          <w:p w14:paraId="68CA5D9F">
            <w:pPr>
              <w:pageBreakBefore w:val="0"/>
              <w:kinsoku/>
              <w:wordWrap/>
              <w:overflowPunct/>
              <w:topLinePunct w:val="0"/>
              <w:autoSpaceDE/>
              <w:autoSpaceDN/>
              <w:bidi w:val="0"/>
              <w:spacing w:line="380" w:lineRule="exact"/>
              <w:ind w:right="0" w:rightChars="0" w:firstLine="420" w:firstLineChars="200"/>
              <w:rPr>
                <w:rFonts w:ascii="宋体" w:hAnsi="宋体" w:cs="Courier New"/>
                <w:bCs/>
                <w:color w:val="auto"/>
                <w:szCs w:val="21"/>
                <w:highlight w:val="none"/>
              </w:rPr>
            </w:pPr>
            <w:r>
              <w:rPr>
                <w:rFonts w:hint="eastAsia" w:ascii="宋体" w:hAnsi="宋体"/>
                <w:bCs/>
                <w:color w:val="auto"/>
                <w:kern w:val="0"/>
                <w:szCs w:val="21"/>
                <w:highlight w:val="none"/>
              </w:rPr>
              <w:t>（1）供应商自202</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年以来承接类似工程项目的，每个业绩得</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分。满分</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rPr>
              <w:t>分。（响应文件中须提供中标通知书或合同复印件，否则该项业绩不予计分）。</w:t>
            </w:r>
          </w:p>
        </w:tc>
        <w:tc>
          <w:tcPr>
            <w:tcW w:w="846" w:type="dxa"/>
            <w:noWrap w:val="0"/>
            <w:vAlign w:val="center"/>
          </w:tcPr>
          <w:p w14:paraId="7579FBDB">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0-10</w:t>
            </w:r>
            <w:r>
              <w:rPr>
                <w:rFonts w:hint="eastAsia" w:ascii="宋体" w:hAnsi="宋体" w:cs="Tahoma"/>
                <w:color w:val="auto"/>
                <w:kern w:val="0"/>
                <w:szCs w:val="21"/>
                <w:highlight w:val="none"/>
              </w:rPr>
              <w:t>分</w:t>
            </w:r>
          </w:p>
        </w:tc>
      </w:tr>
      <w:tr w14:paraId="28A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9" w:type="dxa"/>
            <w:gridSpan w:val="3"/>
            <w:noWrap w:val="0"/>
            <w:vAlign w:val="top"/>
          </w:tcPr>
          <w:p w14:paraId="7E9EDE03">
            <w:pPr>
              <w:pageBreakBefore w:val="0"/>
              <w:kinsoku/>
              <w:wordWrap/>
              <w:overflowPunct/>
              <w:topLinePunct w:val="0"/>
              <w:autoSpaceDE/>
              <w:autoSpaceDN/>
              <w:bidi w:val="0"/>
              <w:spacing w:line="380" w:lineRule="exact"/>
              <w:ind w:left="0" w:leftChars="0" w:right="0" w:rightChars="0"/>
              <w:rPr>
                <w:rFonts w:ascii="宋体" w:hAnsi="宋体" w:cs="Courier New"/>
                <w:bCs/>
                <w:color w:val="auto"/>
                <w:szCs w:val="21"/>
                <w:highlight w:val="none"/>
              </w:rPr>
            </w:pPr>
            <w:r>
              <w:rPr>
                <w:rFonts w:hint="eastAsia" w:ascii="宋体" w:hAnsi="宋体" w:cs="Courier New"/>
                <w:bCs/>
                <w:color w:val="auto"/>
                <w:szCs w:val="21"/>
                <w:highlight w:val="none"/>
              </w:rPr>
              <w:t>总得分＝1＋2＋3</w:t>
            </w:r>
          </w:p>
        </w:tc>
        <w:tc>
          <w:tcPr>
            <w:tcW w:w="846" w:type="dxa"/>
            <w:noWrap w:val="0"/>
            <w:vAlign w:val="center"/>
          </w:tcPr>
          <w:p w14:paraId="3BCE81A5">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573094FC">
      <w:pPr>
        <w:spacing w:line="360" w:lineRule="auto"/>
        <w:ind w:firstLine="420" w:firstLineChars="200"/>
        <w:rPr>
          <w:rFonts w:hint="eastAsia" w:ascii="宋体" w:hAnsi="宋体" w:cs="宋体"/>
          <w:color w:val="auto"/>
          <w:highlight w:val="none"/>
        </w:rPr>
      </w:pPr>
    </w:p>
    <w:p w14:paraId="1E06DAD2">
      <w:pPr>
        <w:spacing w:line="360" w:lineRule="auto"/>
        <w:ind w:firstLine="420" w:firstLineChars="200"/>
        <w:rPr>
          <w:rFonts w:hint="eastAsia" w:ascii="宋体" w:hAnsi="宋体" w:cs="宋体"/>
          <w:bCs/>
          <w:color w:val="auto"/>
          <w:highlight w:val="none"/>
        </w:rPr>
      </w:pPr>
      <w:r>
        <w:rPr>
          <w:rFonts w:hint="eastAsia" w:ascii="宋体" w:hAnsi="宋体" w:cs="宋体"/>
          <w:color w:val="auto"/>
          <w:highlight w:val="none"/>
        </w:rPr>
        <w:t>8.2商务技术评审因素为客观评分项的，应在评分项目或评分标准中予以标注为“客观分”。对供应商的客观评分项目，各评审专家评分应当一致。</w:t>
      </w:r>
    </w:p>
    <w:p w14:paraId="1397E9DE">
      <w:pPr>
        <w:spacing w:line="360" w:lineRule="auto"/>
        <w:ind w:firstLine="420" w:firstLineChars="200"/>
        <w:rPr>
          <w:rFonts w:hint="eastAsia" w:ascii="宋体" w:hAnsi="宋体" w:cs="宋体"/>
          <w:color w:val="auto"/>
          <w:highlight w:val="none"/>
        </w:rPr>
      </w:pPr>
      <w:bookmarkStart w:id="164" w:name="_Toc80205935"/>
      <w:r>
        <w:rPr>
          <w:rFonts w:hint="eastAsia" w:ascii="宋体" w:hAnsi="宋体" w:cs="宋体"/>
          <w:color w:val="auto"/>
          <w:highlight w:val="none"/>
        </w:rPr>
        <w:t>8.3.终止竞争性磋商采购活动</w:t>
      </w:r>
    </w:p>
    <w:p w14:paraId="4D1F689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BFC2D28">
      <w:pPr>
        <w:spacing w:line="360" w:lineRule="auto"/>
        <w:rPr>
          <w:rFonts w:hint="eastAsia" w:ascii="宋体" w:hAnsi="宋体" w:cs="宋体"/>
          <w:color w:val="auto"/>
          <w:highlight w:val="none"/>
        </w:rPr>
      </w:pPr>
    </w:p>
    <w:p w14:paraId="7C871E85">
      <w:pPr>
        <w:pStyle w:val="3"/>
        <w:spacing w:before="0" w:after="0" w:line="360" w:lineRule="auto"/>
        <w:ind w:firstLine="640" w:firstLineChars="200"/>
        <w:jc w:val="center"/>
        <w:outlineLvl w:val="9"/>
        <w:rPr>
          <w:rFonts w:hint="eastAsia" w:ascii="宋体" w:hAnsi="宋体" w:cs="宋体"/>
          <w:b w:val="0"/>
          <w:color w:val="auto"/>
          <w:highlight w:val="none"/>
        </w:rPr>
        <w:sectPr>
          <w:pgSz w:w="11910" w:h="16840"/>
          <w:pgMar w:top="1440" w:right="1080" w:bottom="1440" w:left="1080" w:header="720" w:footer="720" w:gutter="0"/>
          <w:pgNumType w:fmt="decimal"/>
          <w:cols w:space="720" w:num="1"/>
        </w:sectPr>
      </w:pPr>
    </w:p>
    <w:p w14:paraId="6CEA6DB6">
      <w:pPr>
        <w:pStyle w:val="3"/>
        <w:spacing w:before="0" w:after="0" w:line="360" w:lineRule="auto"/>
        <w:ind w:firstLine="640" w:firstLineChars="200"/>
        <w:jc w:val="center"/>
        <w:rPr>
          <w:rFonts w:hint="eastAsia" w:ascii="宋体" w:hAnsi="宋体" w:cs="宋体"/>
          <w:b w:val="0"/>
          <w:color w:val="auto"/>
          <w:highlight w:val="none"/>
        </w:rPr>
      </w:pPr>
      <w:bookmarkStart w:id="165" w:name="_Toc498"/>
      <w:bookmarkStart w:id="166" w:name="_Toc14976"/>
      <w:bookmarkStart w:id="167" w:name="_Toc20707"/>
      <w:bookmarkStart w:id="168" w:name="_Toc6406"/>
      <w:bookmarkStart w:id="169" w:name="_Toc22098"/>
      <w:r>
        <w:rPr>
          <w:rFonts w:hint="eastAsia" w:ascii="宋体" w:hAnsi="宋体" w:cs="宋体"/>
          <w:b w:val="0"/>
          <w:color w:val="auto"/>
          <w:highlight w:val="none"/>
        </w:rPr>
        <w:t>第二节 评标报告</w:t>
      </w:r>
      <w:bookmarkEnd w:id="164"/>
      <w:bookmarkEnd w:id="165"/>
      <w:bookmarkEnd w:id="166"/>
      <w:bookmarkEnd w:id="167"/>
      <w:bookmarkEnd w:id="168"/>
      <w:bookmarkEnd w:id="169"/>
    </w:p>
    <w:p w14:paraId="685B979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1.成交标准</w:t>
      </w:r>
    </w:p>
    <w:p w14:paraId="0380195C">
      <w:pPr>
        <w:spacing w:line="360" w:lineRule="auto"/>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5E880D8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7E7D3F85">
      <w:pPr>
        <w:pStyle w:val="124"/>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21151B2">
      <w:pPr>
        <w:pStyle w:val="3"/>
        <w:spacing w:before="0" w:after="0" w:line="360" w:lineRule="auto"/>
        <w:ind w:firstLine="640" w:firstLineChars="200"/>
        <w:jc w:val="center"/>
        <w:rPr>
          <w:rFonts w:hint="eastAsia" w:ascii="宋体" w:hAnsi="宋体" w:cs="宋体"/>
          <w:b w:val="0"/>
          <w:color w:val="auto"/>
          <w:highlight w:val="none"/>
        </w:rPr>
      </w:pPr>
      <w:bookmarkStart w:id="170" w:name="_Toc27514"/>
      <w:bookmarkStart w:id="171" w:name="_Toc80205936"/>
      <w:bookmarkStart w:id="172" w:name="_Toc25502"/>
      <w:bookmarkStart w:id="173" w:name="_Toc3713"/>
      <w:bookmarkStart w:id="174" w:name="_Toc3846"/>
      <w:bookmarkStart w:id="175" w:name="_Toc9233"/>
      <w:r>
        <w:rPr>
          <w:rFonts w:hint="eastAsia" w:ascii="宋体" w:hAnsi="宋体" w:cs="宋体"/>
          <w:b w:val="0"/>
          <w:color w:val="auto"/>
          <w:highlight w:val="none"/>
        </w:rPr>
        <w:t>第三节 评审过程的保密与录像</w:t>
      </w:r>
      <w:bookmarkEnd w:id="170"/>
      <w:bookmarkEnd w:id="171"/>
      <w:bookmarkEnd w:id="172"/>
      <w:bookmarkEnd w:id="173"/>
      <w:bookmarkEnd w:id="174"/>
      <w:bookmarkEnd w:id="175"/>
    </w:p>
    <w:p w14:paraId="383CF87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1.保密。</w:t>
      </w:r>
    </w:p>
    <w:p w14:paraId="2C296264">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64CE6E5">
      <w:pPr>
        <w:widowControl/>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2.录音录像。</w:t>
      </w:r>
    </w:p>
    <w:p w14:paraId="271558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3D99AF44">
      <w:pPr>
        <w:spacing w:line="360" w:lineRule="auto"/>
        <w:ind w:firstLine="420" w:firstLineChars="200"/>
        <w:rPr>
          <w:rFonts w:hint="eastAsia" w:ascii="宋体" w:hAnsi="宋体" w:cs="宋体"/>
          <w:color w:val="auto"/>
          <w:highlight w:val="none"/>
        </w:rPr>
      </w:pPr>
    </w:p>
    <w:p w14:paraId="3ED8DE23">
      <w:pPr>
        <w:spacing w:line="360" w:lineRule="auto"/>
        <w:ind w:firstLine="420" w:firstLineChars="200"/>
        <w:rPr>
          <w:rFonts w:hint="eastAsia" w:ascii="宋体" w:hAnsi="宋体" w:cs="宋体"/>
          <w:color w:val="auto"/>
          <w:highlight w:val="none"/>
        </w:rPr>
      </w:pPr>
    </w:p>
    <w:p w14:paraId="06BFA68F">
      <w:pPr>
        <w:spacing w:line="360" w:lineRule="auto"/>
        <w:rPr>
          <w:rFonts w:hint="eastAsia" w:ascii="宋体" w:hAnsi="宋体" w:cs="宋体"/>
          <w:color w:val="auto"/>
          <w:highlight w:val="none"/>
        </w:rPr>
      </w:pPr>
    </w:p>
    <w:p w14:paraId="3D399EAD">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012EBCC2">
      <w:pPr>
        <w:pStyle w:val="18"/>
        <w:spacing w:line="360" w:lineRule="auto"/>
        <w:rPr>
          <w:rFonts w:hint="eastAsia" w:ascii="宋体" w:hAnsi="宋体" w:cs="宋体"/>
          <w:color w:val="auto"/>
          <w:highlight w:val="none"/>
        </w:rPr>
      </w:pPr>
    </w:p>
    <w:p w14:paraId="69C52F33">
      <w:pPr>
        <w:pStyle w:val="18"/>
        <w:spacing w:line="360" w:lineRule="auto"/>
        <w:rPr>
          <w:rFonts w:hint="eastAsia" w:ascii="宋体" w:hAnsi="宋体" w:cs="宋体"/>
          <w:color w:val="auto"/>
          <w:highlight w:val="none"/>
        </w:rPr>
      </w:pPr>
    </w:p>
    <w:p w14:paraId="7A685E62">
      <w:pPr>
        <w:pStyle w:val="18"/>
        <w:spacing w:line="360" w:lineRule="auto"/>
        <w:rPr>
          <w:rFonts w:hint="eastAsia" w:ascii="宋体" w:hAnsi="宋体" w:cs="宋体"/>
          <w:color w:val="auto"/>
          <w:highlight w:val="none"/>
        </w:rPr>
      </w:pPr>
    </w:p>
    <w:p w14:paraId="359341D3">
      <w:pPr>
        <w:pStyle w:val="18"/>
        <w:spacing w:line="360" w:lineRule="auto"/>
        <w:rPr>
          <w:rFonts w:hint="eastAsia" w:ascii="宋体" w:hAnsi="宋体" w:cs="宋体"/>
          <w:color w:val="auto"/>
          <w:highlight w:val="none"/>
        </w:rPr>
      </w:pPr>
    </w:p>
    <w:p w14:paraId="0E00228B">
      <w:pPr>
        <w:pStyle w:val="18"/>
        <w:spacing w:line="360" w:lineRule="auto"/>
        <w:rPr>
          <w:rFonts w:hint="eastAsia" w:ascii="宋体" w:hAnsi="宋体" w:cs="宋体"/>
          <w:color w:val="auto"/>
          <w:highlight w:val="none"/>
        </w:rPr>
      </w:pPr>
    </w:p>
    <w:p w14:paraId="2A7CEFD5">
      <w:pPr>
        <w:pStyle w:val="18"/>
        <w:spacing w:line="360" w:lineRule="auto"/>
        <w:rPr>
          <w:rFonts w:hint="eastAsia" w:ascii="宋体" w:hAnsi="宋体" w:cs="宋体"/>
          <w:color w:val="auto"/>
          <w:highlight w:val="none"/>
        </w:rPr>
      </w:pPr>
    </w:p>
    <w:p w14:paraId="4EBD8F60">
      <w:pPr>
        <w:pStyle w:val="18"/>
        <w:spacing w:line="360" w:lineRule="auto"/>
        <w:rPr>
          <w:rFonts w:hint="eastAsia" w:ascii="宋体" w:hAnsi="宋体" w:cs="宋体"/>
          <w:color w:val="auto"/>
          <w:highlight w:val="none"/>
        </w:rPr>
      </w:pPr>
    </w:p>
    <w:p w14:paraId="3F9C6415">
      <w:pPr>
        <w:pStyle w:val="18"/>
        <w:spacing w:line="360" w:lineRule="auto"/>
        <w:rPr>
          <w:rFonts w:hint="eastAsia" w:ascii="宋体" w:hAnsi="宋体" w:cs="宋体"/>
          <w:color w:val="auto"/>
          <w:highlight w:val="none"/>
        </w:rPr>
      </w:pPr>
    </w:p>
    <w:p w14:paraId="3F65EDD7">
      <w:pPr>
        <w:pStyle w:val="18"/>
        <w:spacing w:line="360" w:lineRule="auto"/>
        <w:rPr>
          <w:rFonts w:hint="eastAsia" w:ascii="宋体" w:hAnsi="宋体" w:cs="宋体"/>
          <w:color w:val="auto"/>
          <w:highlight w:val="none"/>
        </w:rPr>
      </w:pPr>
    </w:p>
    <w:p w14:paraId="180BE59C">
      <w:pPr>
        <w:pStyle w:val="18"/>
        <w:spacing w:line="360" w:lineRule="auto"/>
        <w:rPr>
          <w:rFonts w:hint="eastAsia" w:ascii="宋体" w:hAnsi="宋体" w:cs="宋体"/>
          <w:color w:val="auto"/>
          <w:highlight w:val="none"/>
        </w:rPr>
      </w:pPr>
    </w:p>
    <w:p w14:paraId="1974EA8D">
      <w:pPr>
        <w:pStyle w:val="18"/>
        <w:spacing w:line="360" w:lineRule="auto"/>
        <w:rPr>
          <w:rFonts w:hint="eastAsia" w:ascii="宋体" w:hAnsi="宋体" w:cs="宋体"/>
          <w:color w:val="auto"/>
          <w:highlight w:val="none"/>
        </w:rPr>
      </w:pPr>
    </w:p>
    <w:p w14:paraId="7F66B683">
      <w:pPr>
        <w:pStyle w:val="2"/>
        <w:spacing w:line="360" w:lineRule="auto"/>
        <w:jc w:val="center"/>
        <w:rPr>
          <w:rFonts w:hint="eastAsia" w:ascii="宋体" w:hAnsi="宋体" w:cs="宋体"/>
          <w:color w:val="auto"/>
          <w:highlight w:val="none"/>
        </w:rPr>
        <w:sectPr>
          <w:pgSz w:w="11910" w:h="16840"/>
          <w:pgMar w:top="1440" w:right="1080" w:bottom="1440" w:left="1080" w:header="720" w:footer="720" w:gutter="0"/>
          <w:pgNumType w:fmt="decimal"/>
          <w:cols w:space="720" w:num="1"/>
        </w:sectPr>
      </w:pPr>
      <w:bookmarkStart w:id="176" w:name="_Toc28247"/>
      <w:bookmarkStart w:id="177" w:name="_Toc18910"/>
      <w:bookmarkStart w:id="178" w:name="_Toc17615"/>
      <w:bookmarkStart w:id="179" w:name="_Toc29932"/>
      <w:bookmarkStart w:id="180" w:name="_Toc8782"/>
      <w:bookmarkStart w:id="181" w:name="_Toc612"/>
      <w:bookmarkStart w:id="182" w:name="_Toc16991"/>
      <w:bookmarkStart w:id="183" w:name="_Toc12286"/>
      <w:r>
        <w:rPr>
          <w:rFonts w:hint="eastAsia" w:ascii="宋体" w:hAnsi="宋体" w:cs="宋体"/>
          <w:color w:val="auto"/>
          <w:highlight w:val="none"/>
        </w:rPr>
        <w:t>第五章 响应文件格式</w:t>
      </w:r>
      <w:bookmarkEnd w:id="176"/>
      <w:bookmarkEnd w:id="177"/>
      <w:bookmarkEnd w:id="178"/>
      <w:bookmarkEnd w:id="179"/>
      <w:bookmarkEnd w:id="180"/>
      <w:bookmarkEnd w:id="181"/>
      <w:bookmarkEnd w:id="182"/>
      <w:bookmarkEnd w:id="183"/>
    </w:p>
    <w:p w14:paraId="2D40E556">
      <w:pPr>
        <w:pStyle w:val="3"/>
        <w:spacing w:line="360" w:lineRule="auto"/>
        <w:jc w:val="center"/>
        <w:rPr>
          <w:rFonts w:hint="eastAsia" w:ascii="宋体" w:hAnsi="宋体" w:cs="宋体"/>
          <w:b w:val="0"/>
          <w:color w:val="auto"/>
          <w:highlight w:val="none"/>
        </w:rPr>
      </w:pPr>
      <w:bookmarkStart w:id="184" w:name="_Toc16580"/>
      <w:bookmarkStart w:id="185" w:name="_Toc11094"/>
      <w:bookmarkStart w:id="186" w:name="_Toc10119"/>
      <w:bookmarkStart w:id="187" w:name="_Toc26547"/>
      <w:bookmarkStart w:id="188" w:name="_Toc3747"/>
      <w:bookmarkStart w:id="189" w:name="_Toc80205938"/>
      <w:r>
        <w:rPr>
          <w:rFonts w:hint="eastAsia" w:ascii="宋体" w:hAnsi="宋体" w:cs="宋体"/>
          <w:b w:val="0"/>
          <w:color w:val="auto"/>
          <w:highlight w:val="none"/>
        </w:rPr>
        <w:t>第一节 封面格式</w:t>
      </w:r>
      <w:bookmarkEnd w:id="184"/>
      <w:bookmarkEnd w:id="185"/>
      <w:bookmarkEnd w:id="186"/>
      <w:bookmarkEnd w:id="187"/>
      <w:bookmarkEnd w:id="188"/>
      <w:bookmarkEnd w:id="189"/>
    </w:p>
    <w:p w14:paraId="608B9F90">
      <w:pPr>
        <w:spacing w:line="360" w:lineRule="auto"/>
        <w:rPr>
          <w:rFonts w:hint="eastAsia" w:ascii="宋体" w:hAnsi="宋体" w:cs="宋体"/>
          <w:b/>
          <w:bCs/>
          <w:color w:val="auto"/>
          <w:sz w:val="32"/>
          <w:szCs w:val="32"/>
          <w:highlight w:val="none"/>
        </w:rPr>
      </w:pPr>
    </w:p>
    <w:p w14:paraId="59A58763">
      <w:pPr>
        <w:snapToGrid w:val="0"/>
        <w:spacing w:before="120" w:beforeLines="50" w:after="50" w:line="360" w:lineRule="auto"/>
        <w:rPr>
          <w:rFonts w:hint="eastAsia" w:ascii="宋体" w:hAnsi="宋体" w:cs="宋体"/>
          <w:color w:val="auto"/>
          <w:sz w:val="24"/>
          <w:szCs w:val="20"/>
          <w:highlight w:val="none"/>
        </w:rPr>
      </w:pPr>
    </w:p>
    <w:p w14:paraId="1AE4A687">
      <w:pPr>
        <w:snapToGrid w:val="0"/>
        <w:spacing w:before="120" w:beforeLines="50" w:after="50" w:line="360" w:lineRule="auto"/>
        <w:jc w:val="center"/>
        <w:rPr>
          <w:rFonts w:hint="eastAsia" w:ascii="宋体" w:hAnsi="宋体" w:cs="宋体"/>
          <w:bCs/>
          <w:color w:val="auto"/>
          <w:sz w:val="24"/>
          <w:szCs w:val="20"/>
          <w:highlight w:val="none"/>
        </w:rPr>
      </w:pPr>
    </w:p>
    <w:p w14:paraId="3FCAAE2F">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F736D6D">
      <w:pPr>
        <w:snapToGrid w:val="0"/>
        <w:spacing w:before="120" w:beforeLines="50" w:after="50" w:line="360" w:lineRule="auto"/>
        <w:rPr>
          <w:rFonts w:hint="eastAsia" w:ascii="宋体" w:hAnsi="宋体" w:cs="宋体"/>
          <w:bCs/>
          <w:color w:val="auto"/>
          <w:sz w:val="24"/>
          <w:szCs w:val="20"/>
          <w:highlight w:val="none"/>
        </w:rPr>
      </w:pPr>
    </w:p>
    <w:p w14:paraId="3743980D">
      <w:pPr>
        <w:snapToGrid w:val="0"/>
        <w:spacing w:before="120" w:beforeLines="50" w:after="50" w:line="360" w:lineRule="auto"/>
        <w:rPr>
          <w:rFonts w:hint="eastAsia" w:ascii="宋体" w:hAnsi="宋体" w:cs="宋体"/>
          <w:bCs/>
          <w:color w:val="auto"/>
          <w:sz w:val="24"/>
          <w:szCs w:val="20"/>
          <w:highlight w:val="none"/>
        </w:rPr>
      </w:pPr>
    </w:p>
    <w:p w14:paraId="4C972E7F">
      <w:pPr>
        <w:snapToGrid w:val="0"/>
        <w:spacing w:before="120" w:beforeLines="50" w:after="50" w:line="360" w:lineRule="auto"/>
        <w:rPr>
          <w:rFonts w:hint="eastAsia" w:ascii="宋体" w:hAnsi="宋体" w:cs="宋体"/>
          <w:bCs/>
          <w:color w:val="auto"/>
          <w:sz w:val="32"/>
          <w:szCs w:val="32"/>
          <w:highlight w:val="none"/>
        </w:rPr>
      </w:pPr>
    </w:p>
    <w:p w14:paraId="025581F0">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6522F52">
      <w:pPr>
        <w:snapToGrid w:val="0"/>
        <w:spacing w:before="120" w:beforeLines="50" w:after="50" w:line="360" w:lineRule="auto"/>
        <w:ind w:firstLine="480" w:firstLineChars="150"/>
        <w:rPr>
          <w:rFonts w:hint="eastAsia" w:ascii="宋体" w:hAnsi="宋体" w:cs="宋体"/>
          <w:bCs/>
          <w:color w:val="auto"/>
          <w:sz w:val="32"/>
          <w:szCs w:val="32"/>
          <w:highlight w:val="none"/>
        </w:rPr>
      </w:pPr>
    </w:p>
    <w:p w14:paraId="62EA7D64">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1CD865C">
      <w:pPr>
        <w:snapToGrid w:val="0"/>
        <w:spacing w:before="120" w:beforeLines="50" w:after="50" w:line="360" w:lineRule="auto"/>
        <w:ind w:firstLine="480" w:firstLineChars="150"/>
        <w:rPr>
          <w:rFonts w:hint="eastAsia" w:ascii="宋体" w:hAnsi="宋体" w:cs="宋体"/>
          <w:bCs/>
          <w:color w:val="auto"/>
          <w:sz w:val="32"/>
          <w:szCs w:val="32"/>
          <w:highlight w:val="none"/>
        </w:rPr>
      </w:pPr>
    </w:p>
    <w:p w14:paraId="2729F484">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6D6AB53">
      <w:pPr>
        <w:snapToGrid w:val="0"/>
        <w:spacing w:before="120" w:beforeLines="50" w:after="50" w:line="360" w:lineRule="auto"/>
        <w:rPr>
          <w:rFonts w:hint="eastAsia" w:ascii="宋体" w:hAnsi="宋体" w:cs="宋体"/>
          <w:bCs/>
          <w:color w:val="auto"/>
          <w:sz w:val="32"/>
          <w:szCs w:val="32"/>
          <w:highlight w:val="none"/>
        </w:rPr>
      </w:pPr>
    </w:p>
    <w:p w14:paraId="085DA9C0">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8C86A1F">
      <w:pPr>
        <w:snapToGrid w:val="0"/>
        <w:spacing w:before="120" w:beforeLines="50" w:after="50" w:line="360" w:lineRule="auto"/>
        <w:rPr>
          <w:rFonts w:hint="eastAsia" w:ascii="宋体" w:hAnsi="宋体" w:cs="宋体"/>
          <w:bCs/>
          <w:color w:val="auto"/>
          <w:sz w:val="32"/>
          <w:szCs w:val="32"/>
          <w:highlight w:val="none"/>
        </w:rPr>
      </w:pPr>
    </w:p>
    <w:p w14:paraId="0675408D">
      <w:pPr>
        <w:snapToGrid w:val="0"/>
        <w:spacing w:before="120" w:beforeLines="50" w:after="50" w:line="360" w:lineRule="auto"/>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265AA27">
      <w:pPr>
        <w:snapToGrid w:val="0"/>
        <w:spacing w:before="120" w:beforeLines="50" w:after="50" w:line="360" w:lineRule="auto"/>
        <w:ind w:firstLine="5440" w:firstLineChars="1700"/>
        <w:jc w:val="center"/>
        <w:rPr>
          <w:rFonts w:hint="eastAsia" w:ascii="宋体" w:hAnsi="宋体" w:cs="宋体"/>
          <w:bCs/>
          <w:color w:val="auto"/>
          <w:sz w:val="32"/>
          <w:szCs w:val="32"/>
          <w:highlight w:val="none"/>
        </w:rPr>
      </w:pPr>
    </w:p>
    <w:p w14:paraId="57914F0C">
      <w:pPr>
        <w:snapToGrid w:val="0"/>
        <w:spacing w:before="120" w:beforeLines="50" w:after="50" w:line="360" w:lineRule="auto"/>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685B060C">
      <w:pPr>
        <w:spacing w:line="360" w:lineRule="auto"/>
        <w:rPr>
          <w:rFonts w:hint="eastAsia" w:ascii="宋体" w:hAnsi="宋体" w:cs="宋体"/>
          <w:color w:val="auto"/>
          <w:highlight w:val="none"/>
        </w:rPr>
        <w:sectPr>
          <w:pgSz w:w="11910" w:h="16840"/>
          <w:pgMar w:top="1440" w:right="1080" w:bottom="1440" w:left="1080" w:header="720" w:footer="720" w:gutter="0"/>
          <w:pgNumType w:fmt="decimal"/>
          <w:cols w:space="720" w:num="1"/>
        </w:sectPr>
      </w:pPr>
    </w:p>
    <w:p w14:paraId="3B7D6C4C">
      <w:pPr>
        <w:pStyle w:val="3"/>
        <w:spacing w:line="360" w:lineRule="auto"/>
        <w:jc w:val="center"/>
        <w:rPr>
          <w:rFonts w:hint="eastAsia" w:ascii="宋体" w:hAnsi="宋体" w:cs="宋体"/>
          <w:bCs w:val="0"/>
          <w:color w:val="auto"/>
          <w:highlight w:val="none"/>
        </w:rPr>
      </w:pPr>
      <w:bookmarkStart w:id="190" w:name="_Toc1270"/>
      <w:bookmarkStart w:id="191" w:name="_Toc21695"/>
      <w:bookmarkStart w:id="192" w:name="_Toc32117"/>
      <w:bookmarkStart w:id="193" w:name="_Toc25717"/>
      <w:bookmarkStart w:id="194" w:name="_Toc80205939"/>
      <w:bookmarkStart w:id="195" w:name="_Toc18832"/>
      <w:r>
        <w:rPr>
          <w:rFonts w:hint="eastAsia" w:ascii="宋体" w:hAnsi="宋体" w:cs="宋体"/>
          <w:bCs w:val="0"/>
          <w:color w:val="auto"/>
          <w:highlight w:val="none"/>
        </w:rPr>
        <w:t>第二节 资格证明文件格式</w:t>
      </w:r>
      <w:bookmarkEnd w:id="190"/>
      <w:bookmarkEnd w:id="191"/>
      <w:bookmarkEnd w:id="192"/>
      <w:bookmarkEnd w:id="193"/>
      <w:bookmarkEnd w:id="194"/>
      <w:bookmarkEnd w:id="195"/>
    </w:p>
    <w:p w14:paraId="4F9A46A7">
      <w:pPr>
        <w:snapToGrid w:val="0"/>
        <w:spacing w:before="120" w:beforeLines="50" w:after="50" w:line="360" w:lineRule="auto"/>
        <w:jc w:val="center"/>
        <w:rPr>
          <w:rFonts w:hint="eastAsia" w:ascii="宋体" w:hAnsi="宋体" w:cs="宋体"/>
          <w:bCs/>
          <w:color w:val="auto"/>
          <w:highlight w:val="none"/>
        </w:rPr>
      </w:pPr>
    </w:p>
    <w:p w14:paraId="68459A84">
      <w:pPr>
        <w:snapToGrid w:val="0"/>
        <w:spacing w:before="120" w:beforeLines="50" w:after="50" w:line="360" w:lineRule="auto"/>
        <w:jc w:val="center"/>
        <w:rPr>
          <w:rFonts w:hint="eastAsia" w:ascii="宋体" w:hAnsi="宋体" w:eastAsia="宋体" w:cs="宋体"/>
          <w:bCs/>
          <w:color w:val="auto"/>
          <w:sz w:val="32"/>
          <w:szCs w:val="40"/>
          <w:highlight w:val="none"/>
        </w:rPr>
      </w:pPr>
      <w:r>
        <w:rPr>
          <w:rFonts w:hint="eastAsia" w:ascii="宋体" w:hAnsi="宋体" w:eastAsia="宋体" w:cs="宋体"/>
          <w:bCs/>
          <w:color w:val="auto"/>
          <w:sz w:val="32"/>
          <w:szCs w:val="40"/>
          <w:highlight w:val="none"/>
        </w:rPr>
        <w:t>全流程电子文件</w:t>
      </w:r>
    </w:p>
    <w:p w14:paraId="7D414465">
      <w:pPr>
        <w:snapToGrid w:val="0"/>
        <w:spacing w:before="120" w:beforeLines="50" w:after="50" w:line="360" w:lineRule="auto"/>
        <w:rPr>
          <w:rFonts w:hint="eastAsia" w:ascii="宋体" w:hAnsi="宋体" w:cs="宋体"/>
          <w:color w:val="auto"/>
          <w:sz w:val="24"/>
          <w:szCs w:val="20"/>
          <w:highlight w:val="none"/>
        </w:rPr>
      </w:pPr>
    </w:p>
    <w:p w14:paraId="5BA46BD6">
      <w:pPr>
        <w:snapToGrid w:val="0"/>
        <w:spacing w:before="120" w:beforeLines="50" w:after="50" w:line="360" w:lineRule="auto"/>
        <w:rPr>
          <w:rFonts w:hint="eastAsia" w:ascii="宋体" w:hAnsi="宋体" w:cs="宋体"/>
          <w:color w:val="auto"/>
          <w:sz w:val="24"/>
          <w:szCs w:val="20"/>
          <w:highlight w:val="none"/>
        </w:rPr>
      </w:pPr>
    </w:p>
    <w:p w14:paraId="2B37CA4B">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4ADB2234">
      <w:pPr>
        <w:snapToGrid w:val="0"/>
        <w:spacing w:before="120" w:beforeLines="50" w:after="50" w:line="360" w:lineRule="auto"/>
        <w:rPr>
          <w:rFonts w:hint="eastAsia" w:ascii="宋体" w:hAnsi="宋体" w:cs="宋体"/>
          <w:bCs/>
          <w:color w:val="auto"/>
          <w:sz w:val="24"/>
          <w:szCs w:val="20"/>
          <w:highlight w:val="none"/>
        </w:rPr>
      </w:pPr>
    </w:p>
    <w:p w14:paraId="4F3A0D74">
      <w:pPr>
        <w:snapToGrid w:val="0"/>
        <w:spacing w:before="120" w:beforeLines="50" w:after="50" w:line="360" w:lineRule="auto"/>
        <w:rPr>
          <w:rFonts w:hint="eastAsia" w:ascii="宋体" w:hAnsi="宋体" w:cs="宋体"/>
          <w:bCs/>
          <w:color w:val="auto"/>
          <w:sz w:val="24"/>
          <w:szCs w:val="20"/>
          <w:highlight w:val="none"/>
        </w:rPr>
      </w:pPr>
    </w:p>
    <w:p w14:paraId="500EE27B">
      <w:pPr>
        <w:snapToGrid w:val="0"/>
        <w:spacing w:before="120" w:beforeLines="50" w:after="50" w:line="360" w:lineRule="auto"/>
        <w:rPr>
          <w:rFonts w:hint="eastAsia" w:ascii="宋体" w:hAnsi="宋体" w:cs="宋体"/>
          <w:bCs/>
          <w:color w:val="auto"/>
          <w:sz w:val="24"/>
          <w:szCs w:val="20"/>
          <w:highlight w:val="none"/>
        </w:rPr>
      </w:pPr>
    </w:p>
    <w:p w14:paraId="18BD470F">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8F7DDDD">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3586941D">
      <w:pPr>
        <w:snapToGrid w:val="0"/>
        <w:spacing w:before="120" w:beforeLines="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1CE5EC9">
      <w:pPr>
        <w:snapToGrid w:val="0"/>
        <w:spacing w:before="120" w:beforeLines="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85DD0D1">
      <w:pPr>
        <w:snapToGrid w:val="0"/>
        <w:spacing w:before="120" w:beforeLines="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9E34C46">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77F98111">
      <w:pPr>
        <w:pStyle w:val="7"/>
        <w:snapToGrid w:val="0"/>
        <w:spacing w:before="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51421DB">
      <w:pPr>
        <w:pStyle w:val="7"/>
        <w:snapToGrid w:val="0"/>
        <w:spacing w:before="50" w:after="50" w:line="360" w:lineRule="auto"/>
        <w:ind w:left="0" w:leftChars="0" w:firstLine="0" w:firstLineChars="0"/>
        <w:rPr>
          <w:rFonts w:hint="eastAsia" w:ascii="宋体" w:hAnsi="宋体" w:cs="宋体"/>
          <w:bCs/>
          <w:color w:val="auto"/>
          <w:sz w:val="32"/>
          <w:szCs w:val="32"/>
          <w:highlight w:val="none"/>
        </w:rPr>
      </w:pPr>
    </w:p>
    <w:p w14:paraId="2E59D980">
      <w:pPr>
        <w:snapToGrid w:val="0"/>
        <w:spacing w:before="120" w:beforeLines="50" w:after="50"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C3A6E3A">
      <w:pPr>
        <w:snapToGrid w:val="0"/>
        <w:spacing w:before="120" w:beforeLines="50" w:after="50" w:line="360" w:lineRule="auto"/>
        <w:jc w:val="center"/>
        <w:rPr>
          <w:rFonts w:hint="eastAsia"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kern w:val="0"/>
          <w:sz w:val="36"/>
          <w:szCs w:val="36"/>
          <w:highlight w:val="none"/>
        </w:rPr>
        <w:t>资格证明文件目录</w:t>
      </w:r>
    </w:p>
    <w:p w14:paraId="618212D7">
      <w:pPr>
        <w:snapToGrid w:val="0"/>
        <w:spacing w:line="360" w:lineRule="auto"/>
        <w:rPr>
          <w:rFonts w:hint="eastAsia" w:ascii="宋体" w:hAnsi="宋体" w:cs="宋体"/>
          <w:color w:val="auto"/>
          <w:kern w:val="0"/>
          <w:sz w:val="24"/>
          <w:highlight w:val="none"/>
        </w:rPr>
      </w:pPr>
    </w:p>
    <w:p w14:paraId="4CF8D6A4">
      <w:pPr>
        <w:keepNext w:val="0"/>
        <w:keepLines w:val="0"/>
        <w:pageBreakBefore w:val="0"/>
        <w:widowControl w:val="0"/>
        <w:numPr>
          <w:ilvl w:val="0"/>
          <w:numId w:val="4"/>
        </w:numPr>
        <w:kinsoku/>
        <w:wordWrap w:val="0"/>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供应商为法人或者其他组织的提供其营业执照等证明文件（如营业执照或者事业单位法人证书或者执业许可证等）复印件，供应商为自然人的提供其身份证复印件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（页码）</w:t>
      </w:r>
    </w:p>
    <w:p w14:paraId="015A7E5C">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供应商依法缴纳税收的相关材料………………………………………… （页码）</w:t>
      </w:r>
    </w:p>
    <w:p w14:paraId="0FDFBEF2">
      <w:pPr>
        <w:pStyle w:val="31"/>
        <w:keepNext w:val="0"/>
        <w:keepLines w:val="0"/>
        <w:pageBreakBefore w:val="0"/>
        <w:widowControl w:val="0"/>
        <w:numPr>
          <w:ilvl w:val="0"/>
          <w:numId w:val="4"/>
        </w:numPr>
        <w:kinsoku/>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供应商依法缴纳社会保障资金的相关材料………………………………（页码）</w:t>
      </w:r>
    </w:p>
    <w:p w14:paraId="7C121644">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财务状况报告方面的材料…………………………………………………（页码）</w:t>
      </w:r>
    </w:p>
    <w:p w14:paraId="6FF58D1A">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rPr>
        <w:t>供应商直接控股、管理关系信息表</w:t>
      </w:r>
      <w:r>
        <w:rPr>
          <w:rFonts w:hint="eastAsia" w:ascii="宋体" w:hAnsi="宋体" w:cs="宋体"/>
          <w:color w:val="auto"/>
          <w:kern w:val="0"/>
          <w:sz w:val="24"/>
          <w:highlight w:val="none"/>
        </w:rPr>
        <w:t>………………………………………（页码）</w:t>
      </w:r>
    </w:p>
    <w:p w14:paraId="30FA1072">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资格声明函…………………………………………………………………（页码）</w:t>
      </w:r>
    </w:p>
    <w:p w14:paraId="40941A8C">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4D0A0075">
      <w:pPr>
        <w:keepNext w:val="0"/>
        <w:keepLines w:val="0"/>
        <w:pageBreakBefore w:val="0"/>
        <w:widowControl w:val="0"/>
        <w:numPr>
          <w:ilvl w:val="0"/>
          <w:numId w:val="4"/>
        </w:numPr>
        <w:kinsoku/>
        <w:wordWrap w:val="0"/>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sz w:val="24"/>
          <w:highlight w:val="none"/>
        </w:rPr>
      </w:pPr>
      <w:r>
        <w:rPr>
          <w:rFonts w:hint="eastAsia" w:ascii="宋体" w:hAnsi="宋体"/>
          <w:color w:val="auto"/>
          <w:sz w:val="24"/>
          <w:highlight w:val="none"/>
        </w:rPr>
        <w:t>中小企业声明函或残疾人福利性单位声明函或供应商属于监狱企业的证明材料</w:t>
      </w:r>
      <w:r>
        <w:rPr>
          <w:rFonts w:hint="eastAsia" w:ascii="宋体" w:hAnsi="宋体" w:cs="宋体"/>
          <w:color w:val="auto"/>
          <w:kern w:val="0"/>
          <w:sz w:val="24"/>
          <w:highlight w:val="none"/>
        </w:rPr>
        <w:t>…（页码）</w:t>
      </w:r>
    </w:p>
    <w:p w14:paraId="434B75D3">
      <w:pPr>
        <w:keepNext w:val="0"/>
        <w:keepLines w:val="0"/>
        <w:pageBreakBefore w:val="0"/>
        <w:widowControl w:val="0"/>
        <w:numPr>
          <w:ilvl w:val="0"/>
          <w:numId w:val="4"/>
        </w:numPr>
        <w:kinsoku/>
        <w:overflowPunct/>
        <w:topLinePunct w:val="0"/>
        <w:autoSpaceDE/>
        <w:autoSpaceDN/>
        <w:bidi w:val="0"/>
        <w:adjustRightInd/>
        <w:snapToGrid w:val="0"/>
        <w:spacing w:line="46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rPr>
        <w:t>特定资格要求的资格证明材料</w:t>
      </w:r>
      <w:r>
        <w:rPr>
          <w:rFonts w:hint="eastAsia" w:ascii="宋体" w:hAnsi="宋体" w:cs="宋体"/>
          <w:color w:val="auto"/>
          <w:kern w:val="0"/>
          <w:sz w:val="24"/>
          <w:highlight w:val="none"/>
        </w:rPr>
        <w:t>……………………………………………（页码）</w:t>
      </w:r>
    </w:p>
    <w:p w14:paraId="1BF186B7">
      <w:pPr>
        <w:pStyle w:val="18"/>
        <w:keepNext w:val="0"/>
        <w:keepLines w:val="0"/>
        <w:pageBreakBefore w:val="0"/>
        <w:widowControl w:val="0"/>
        <w:numPr>
          <w:ilvl w:val="0"/>
          <w:numId w:val="4"/>
        </w:numPr>
        <w:kinsoku/>
        <w:overflowPunct/>
        <w:topLinePunct w:val="0"/>
        <w:autoSpaceDE/>
        <w:autoSpaceDN/>
        <w:bidi w:val="0"/>
        <w:adjustRightInd/>
        <w:spacing w:after="0" w:line="460" w:lineRule="exact"/>
        <w:ind w:left="0" w:leftChars="0" w:firstLine="480" w:firstLineChars="200"/>
        <w:textAlignment w:val="auto"/>
        <w:rPr>
          <w:color w:val="auto"/>
          <w:highlight w:val="none"/>
        </w:rPr>
      </w:pPr>
      <w:r>
        <w:rPr>
          <w:rFonts w:hint="eastAsia" w:ascii="宋体" w:hAnsi="宋体" w:cs="宋体"/>
          <w:color w:val="auto"/>
          <w:kern w:val="0"/>
          <w:sz w:val="24"/>
          <w:highlight w:val="none"/>
        </w:rPr>
        <w:t>拟投入本项目的项目经理无在建承诺书…………………………………（页码）</w:t>
      </w:r>
    </w:p>
    <w:p w14:paraId="38AF3F5B">
      <w:pPr>
        <w:keepNext w:val="0"/>
        <w:keepLines w:val="0"/>
        <w:pageBreakBefore w:val="0"/>
        <w:widowControl w:val="0"/>
        <w:numPr>
          <w:ilvl w:val="0"/>
          <w:numId w:val="4"/>
        </w:numPr>
        <w:kinsoku/>
        <w:overflowPunct/>
        <w:topLinePunct w:val="0"/>
        <w:autoSpaceDE/>
        <w:autoSpaceDN/>
        <w:bidi w:val="0"/>
        <w:adjustRightInd/>
        <w:spacing w:line="460" w:lineRule="exact"/>
        <w:ind w:left="0" w:leftChars="0"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除磋商文件规定必须提供以外，供应商认为需要提供的其他证明材料。</w:t>
      </w:r>
      <w:r>
        <w:rPr>
          <w:rFonts w:hint="eastAsia" w:ascii="宋体" w:hAnsi="宋体" w:cs="宋体"/>
          <w:color w:val="auto"/>
          <w:kern w:val="0"/>
          <w:sz w:val="24"/>
          <w:highlight w:val="none"/>
        </w:rPr>
        <w:t>…（页码）</w:t>
      </w:r>
    </w:p>
    <w:p w14:paraId="7C29EA3E">
      <w:pPr>
        <w:spacing w:line="360" w:lineRule="auto"/>
        <w:rPr>
          <w:rFonts w:hint="eastAsia" w:ascii="宋体" w:hAnsi="宋体" w:cs="宋体"/>
          <w:b/>
          <w:bCs/>
          <w:color w:val="auto"/>
          <w:sz w:val="24"/>
          <w:highlight w:val="none"/>
        </w:rPr>
      </w:pPr>
    </w:p>
    <w:p w14:paraId="75310C7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06136A86">
      <w:pPr>
        <w:spacing w:line="360" w:lineRule="auto"/>
        <w:rPr>
          <w:rFonts w:hint="eastAsia" w:ascii="宋体" w:hAnsi="宋体" w:cs="宋体"/>
          <w:color w:val="auto"/>
          <w:szCs w:val="21"/>
          <w:highlight w:val="none"/>
        </w:rPr>
      </w:pPr>
      <w:r>
        <w:rPr>
          <w:rFonts w:hint="eastAsia" w:ascii="宋体" w:hAnsi="宋体" w:cs="宋体"/>
          <w:b/>
          <w:bCs/>
          <w:color w:val="auto"/>
          <w:sz w:val="24"/>
          <w:highlight w:val="none"/>
        </w:rPr>
        <w:br w:type="page"/>
      </w:r>
    </w:p>
    <w:p w14:paraId="7938AB10">
      <w:pPr>
        <w:pStyle w:val="25"/>
        <w:numPr>
          <w:ilvl w:val="0"/>
          <w:numId w:val="5"/>
        </w:numPr>
        <w:spacing w:line="360" w:lineRule="auto"/>
        <w:rPr>
          <w:rFonts w:hint="eastAsia" w:hAnsi="宋体" w:cs="宋体"/>
          <w:b/>
          <w:color w:val="auto"/>
          <w:sz w:val="30"/>
          <w:szCs w:val="30"/>
          <w:highlight w:val="none"/>
        </w:rPr>
      </w:pPr>
      <w:r>
        <w:rPr>
          <w:rFonts w:hint="eastAsia" w:hAnsi="宋体" w:cs="宋体"/>
          <w:b/>
          <w:color w:val="auto"/>
          <w:sz w:val="30"/>
          <w:szCs w:val="30"/>
          <w:highlight w:val="none"/>
        </w:rPr>
        <w:t>供应商为法人或者其他组织的提供其营业执照等证明文件（如营业执照或者事业单位法人证书或者执业许可证等）复印件，供应商为自然人的提供其身份证复印件</w:t>
      </w:r>
    </w:p>
    <w:p w14:paraId="08012709">
      <w:pPr>
        <w:pStyle w:val="25"/>
        <w:spacing w:line="360" w:lineRule="auto"/>
        <w:ind w:firstLine="602" w:firstLineChars="200"/>
        <w:rPr>
          <w:rFonts w:hint="eastAsia" w:hAnsi="宋体" w:cs="宋体"/>
          <w:b/>
          <w:color w:val="auto"/>
          <w:sz w:val="30"/>
          <w:szCs w:val="30"/>
          <w:highlight w:val="none"/>
        </w:rPr>
      </w:pPr>
    </w:p>
    <w:p w14:paraId="6DAE34D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1B5272">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7580071">
      <w:pPr>
        <w:snapToGrid w:val="0"/>
        <w:spacing w:before="120" w:beforeLines="50" w:after="50" w:line="360" w:lineRule="auto"/>
        <w:rPr>
          <w:rFonts w:hint="eastAsia" w:ascii="宋体" w:hAnsi="宋体" w:cs="宋体"/>
          <w:color w:val="auto"/>
          <w:sz w:val="24"/>
          <w:szCs w:val="20"/>
          <w:highlight w:val="none"/>
        </w:rPr>
      </w:pPr>
    </w:p>
    <w:p w14:paraId="0FB71421">
      <w:pPr>
        <w:pStyle w:val="25"/>
        <w:numPr>
          <w:ilvl w:val="0"/>
          <w:numId w:val="5"/>
        </w:numPr>
        <w:spacing w:line="360" w:lineRule="auto"/>
        <w:rPr>
          <w:rFonts w:hint="eastAsia" w:hAnsi="宋体" w:cs="宋体"/>
          <w:b/>
          <w:color w:val="auto"/>
          <w:sz w:val="30"/>
          <w:szCs w:val="30"/>
          <w:highlight w:val="none"/>
        </w:rPr>
      </w:pPr>
      <w:r>
        <w:rPr>
          <w:rFonts w:hint="eastAsia" w:ascii="宋体" w:hAnsi="宋体" w:eastAsia="宋体" w:cs="宋体"/>
          <w:b/>
          <w:color w:val="auto"/>
          <w:sz w:val="30"/>
          <w:szCs w:val="30"/>
          <w:highlight w:val="none"/>
        </w:rPr>
        <w:t>供应商依法缴纳税收的相关材料</w:t>
      </w:r>
    </w:p>
    <w:p w14:paraId="16AF1B92">
      <w:pPr>
        <w:spacing w:line="360" w:lineRule="auto"/>
        <w:rPr>
          <w:rFonts w:hint="eastAsia" w:ascii="宋体" w:hAnsi="宋体" w:cs="宋体"/>
          <w:color w:val="auto"/>
          <w:szCs w:val="21"/>
          <w:highlight w:val="none"/>
        </w:rPr>
      </w:pPr>
    </w:p>
    <w:p w14:paraId="7719654A">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EFB3670">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C4A6178">
      <w:pPr>
        <w:spacing w:line="360" w:lineRule="auto"/>
        <w:rPr>
          <w:rFonts w:hint="eastAsia" w:ascii="宋体" w:hAnsi="宋体" w:cs="宋体"/>
          <w:color w:val="auto"/>
          <w:szCs w:val="21"/>
          <w:highlight w:val="none"/>
        </w:rPr>
      </w:pPr>
    </w:p>
    <w:p w14:paraId="445E5656">
      <w:pPr>
        <w:numPr>
          <w:ilvl w:val="0"/>
          <w:numId w:val="5"/>
        </w:numPr>
        <w:spacing w:line="360" w:lineRule="auto"/>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供应商依法缴纳社会保障资金的相关材料</w:t>
      </w:r>
    </w:p>
    <w:p w14:paraId="626305BB">
      <w:pPr>
        <w:spacing w:line="360" w:lineRule="auto"/>
        <w:rPr>
          <w:rFonts w:hint="eastAsia" w:ascii="宋体" w:hAnsi="宋体" w:cs="宋体"/>
          <w:color w:val="auto"/>
          <w:szCs w:val="21"/>
          <w:highlight w:val="none"/>
        </w:rPr>
      </w:pPr>
    </w:p>
    <w:p w14:paraId="611304EE">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E010AFD">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BD6459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DF2054">
      <w:pPr>
        <w:numPr>
          <w:ilvl w:val="0"/>
          <w:numId w:val="5"/>
        </w:numPr>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财务状况报告方面的材料</w:t>
      </w:r>
    </w:p>
    <w:p w14:paraId="542CADE0">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D1A93F">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0294516">
      <w:pPr>
        <w:snapToGrid w:val="0"/>
        <w:spacing w:before="120" w:beforeLines="50" w:after="50" w:line="360" w:lineRule="auto"/>
        <w:jc w:val="center"/>
        <w:rPr>
          <w:rFonts w:hint="eastAsia" w:ascii="宋体" w:hAnsi="宋体" w:cs="宋体"/>
          <w:b/>
          <w:color w:val="auto"/>
          <w:sz w:val="24"/>
          <w:highlight w:val="none"/>
        </w:rPr>
      </w:pPr>
    </w:p>
    <w:p w14:paraId="46B380A0">
      <w:pPr>
        <w:spacing w:line="360" w:lineRule="auto"/>
        <w:ind w:firstLine="596" w:firstLineChars="198"/>
        <w:contextualSpacing/>
        <w:rPr>
          <w:rFonts w:hint="eastAsia" w:ascii="宋体" w:hAnsi="宋体" w:cs="宋体"/>
          <w:b/>
          <w:color w:val="auto"/>
          <w:kern w:val="0"/>
          <w:sz w:val="30"/>
          <w:szCs w:val="30"/>
          <w:highlight w:val="none"/>
        </w:rPr>
        <w:sectPr>
          <w:pgSz w:w="11910" w:h="16840"/>
          <w:pgMar w:top="1440" w:right="1080" w:bottom="1440" w:left="1080" w:header="720" w:footer="720" w:gutter="0"/>
          <w:pgNumType w:fmt="decimal"/>
          <w:cols w:space="720" w:num="1"/>
        </w:sectPr>
      </w:pPr>
    </w:p>
    <w:p w14:paraId="6F281541">
      <w:pPr>
        <w:numPr>
          <w:ilvl w:val="0"/>
          <w:numId w:val="5"/>
        </w:numPr>
        <w:spacing w:line="360" w:lineRule="auto"/>
        <w:contextualSpacing/>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供应商直接控股、管理关系信息表</w:t>
      </w:r>
    </w:p>
    <w:p w14:paraId="69373F19">
      <w:pPr>
        <w:numPr>
          <w:ilvl w:val="0"/>
          <w:numId w:val="0"/>
        </w:numPr>
        <w:spacing w:line="360" w:lineRule="auto"/>
        <w:ind w:left="420" w:leftChars="0"/>
        <w:contextualSpacing/>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供应商直接控股股东信息</w:t>
      </w:r>
    </w:p>
    <w:p w14:paraId="477C09A0">
      <w:pPr>
        <w:spacing w:line="360" w:lineRule="auto"/>
        <w:contextualSpacing/>
        <w:jc w:val="center"/>
        <w:rPr>
          <w:rFonts w:hint="eastAsia" w:ascii="宋体" w:hAnsi="宋体" w:cs="宋体"/>
          <w:b/>
          <w:color w:val="auto"/>
          <w:sz w:val="24"/>
          <w:highlight w:val="none"/>
        </w:rPr>
      </w:pPr>
    </w:p>
    <w:tbl>
      <w:tblPr>
        <w:tblStyle w:val="4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C99E2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FF1F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3AE1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B8F2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2F33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657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EB7B2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49169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3F5C5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F107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8FC9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66496C">
            <w:pPr>
              <w:widowControl/>
              <w:spacing w:line="360" w:lineRule="auto"/>
              <w:contextualSpacing/>
              <w:jc w:val="center"/>
              <w:rPr>
                <w:rFonts w:hint="eastAsia" w:ascii="宋体" w:hAnsi="宋体" w:cs="宋体"/>
                <w:color w:val="auto"/>
                <w:kern w:val="0"/>
                <w:sz w:val="24"/>
                <w:highlight w:val="none"/>
              </w:rPr>
            </w:pPr>
          </w:p>
        </w:tc>
      </w:tr>
      <w:tr w14:paraId="5BAE5F5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222F4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8FF73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1414F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9FAB4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6FCE1">
            <w:pPr>
              <w:widowControl/>
              <w:spacing w:line="360" w:lineRule="auto"/>
              <w:contextualSpacing/>
              <w:jc w:val="center"/>
              <w:rPr>
                <w:rFonts w:hint="eastAsia" w:ascii="宋体" w:hAnsi="宋体" w:cs="宋体"/>
                <w:color w:val="auto"/>
                <w:kern w:val="0"/>
                <w:sz w:val="24"/>
                <w:highlight w:val="none"/>
              </w:rPr>
            </w:pPr>
          </w:p>
        </w:tc>
      </w:tr>
      <w:tr w14:paraId="6491765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CE539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D97F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4D58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032D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AA1BD">
            <w:pPr>
              <w:widowControl/>
              <w:spacing w:line="360" w:lineRule="auto"/>
              <w:contextualSpacing/>
              <w:jc w:val="center"/>
              <w:rPr>
                <w:rFonts w:hint="eastAsia" w:ascii="宋体" w:hAnsi="宋体" w:cs="宋体"/>
                <w:color w:val="auto"/>
                <w:kern w:val="0"/>
                <w:sz w:val="24"/>
                <w:highlight w:val="none"/>
              </w:rPr>
            </w:pPr>
          </w:p>
        </w:tc>
      </w:tr>
      <w:tr w14:paraId="5E3F9A0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3EF34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E8CA4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9407BB">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050CD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09EA77">
            <w:pPr>
              <w:widowControl/>
              <w:spacing w:line="360" w:lineRule="auto"/>
              <w:contextualSpacing/>
              <w:jc w:val="center"/>
              <w:rPr>
                <w:rFonts w:hint="eastAsia" w:ascii="宋体" w:hAnsi="宋体" w:cs="宋体"/>
                <w:color w:val="auto"/>
                <w:kern w:val="0"/>
                <w:sz w:val="24"/>
                <w:highlight w:val="none"/>
              </w:rPr>
            </w:pPr>
          </w:p>
        </w:tc>
      </w:tr>
    </w:tbl>
    <w:p w14:paraId="2717DC6A">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6BB78FFF">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EB32FE">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7FEADE3D">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50EFDE8B">
      <w:pPr>
        <w:snapToGrid w:val="0"/>
        <w:spacing w:line="360" w:lineRule="auto"/>
        <w:jc w:val="left"/>
        <w:rPr>
          <w:rFonts w:hint="eastAsia" w:ascii="宋体" w:hAnsi="宋体" w:cs="宋体"/>
          <w:color w:val="auto"/>
          <w:sz w:val="24"/>
          <w:highlight w:val="none"/>
        </w:rPr>
      </w:pPr>
    </w:p>
    <w:p w14:paraId="7C15BACC">
      <w:pPr>
        <w:snapToGrid w:val="0"/>
        <w:spacing w:line="360" w:lineRule="auto"/>
        <w:jc w:val="left"/>
        <w:rPr>
          <w:rFonts w:hint="eastAsia" w:ascii="宋体" w:hAnsi="宋体" w:cs="宋体"/>
          <w:color w:val="auto"/>
          <w:sz w:val="24"/>
          <w:highlight w:val="none"/>
        </w:rPr>
      </w:pPr>
    </w:p>
    <w:p w14:paraId="0CA33FA0">
      <w:pPr>
        <w:snapToGrid w:val="0"/>
        <w:spacing w:line="360" w:lineRule="auto"/>
        <w:jc w:val="left"/>
        <w:rPr>
          <w:rFonts w:hint="eastAsia" w:ascii="宋体" w:hAnsi="宋体" w:cs="宋体"/>
          <w:color w:val="auto"/>
          <w:sz w:val="24"/>
          <w:highlight w:val="none"/>
        </w:rPr>
      </w:pPr>
    </w:p>
    <w:p w14:paraId="5B0EC693">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40C1BF">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B134D65">
      <w:pPr>
        <w:snapToGrid w:val="0"/>
        <w:spacing w:line="360" w:lineRule="auto"/>
        <w:rPr>
          <w:rFonts w:hint="eastAsia" w:ascii="宋体" w:hAnsi="宋体" w:cs="宋体"/>
          <w:b/>
          <w:color w:val="auto"/>
          <w:kern w:val="0"/>
          <w:sz w:val="30"/>
          <w:szCs w:val="30"/>
          <w:highlight w:val="none"/>
        </w:rPr>
      </w:pPr>
    </w:p>
    <w:p w14:paraId="1CEADB45">
      <w:pPr>
        <w:snapToGrid w:val="0"/>
        <w:spacing w:line="360" w:lineRule="auto"/>
        <w:ind w:firstLine="596" w:firstLineChars="198"/>
        <w:rPr>
          <w:rFonts w:hint="eastAsia" w:ascii="宋体" w:hAnsi="宋体" w:cs="宋体"/>
          <w:b/>
          <w:color w:val="auto"/>
          <w:kern w:val="0"/>
          <w:sz w:val="30"/>
          <w:szCs w:val="30"/>
          <w:highlight w:val="none"/>
        </w:rPr>
        <w:sectPr>
          <w:pgSz w:w="11910" w:h="16840"/>
          <w:pgMar w:top="1440" w:right="1080" w:bottom="1440" w:left="1080" w:header="720" w:footer="720" w:gutter="0"/>
          <w:pgNumType w:fmt="decimal"/>
          <w:cols w:space="720" w:num="1"/>
        </w:sectPr>
      </w:pPr>
    </w:p>
    <w:p w14:paraId="6953EE22">
      <w:pPr>
        <w:numPr>
          <w:ilvl w:val="0"/>
          <w:numId w:val="0"/>
        </w:numPr>
        <w:snapToGrid w:val="0"/>
        <w:spacing w:line="360" w:lineRule="auto"/>
        <w:ind w:left="420" w:leftChars="0"/>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供应商直接管理关系信息表</w:t>
      </w:r>
    </w:p>
    <w:p w14:paraId="17FE5713">
      <w:pPr>
        <w:snapToGrid w:val="0"/>
        <w:spacing w:line="360" w:lineRule="auto"/>
        <w:jc w:val="center"/>
        <w:rPr>
          <w:rFonts w:hint="eastAsia" w:ascii="宋体" w:hAnsi="宋体" w:cs="宋体"/>
          <w:b/>
          <w:color w:val="auto"/>
          <w:sz w:val="24"/>
          <w:highlight w:val="none"/>
        </w:rPr>
      </w:pPr>
    </w:p>
    <w:tbl>
      <w:tblPr>
        <w:tblStyle w:val="4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0D46B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821BB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EA70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2460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56F7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085B2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F382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392D2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225D91">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8FC433">
            <w:pPr>
              <w:widowControl/>
              <w:spacing w:line="360" w:lineRule="auto"/>
              <w:contextualSpacing/>
              <w:jc w:val="center"/>
              <w:rPr>
                <w:rFonts w:hint="eastAsia" w:ascii="宋体" w:hAnsi="宋体" w:cs="宋体"/>
                <w:color w:val="auto"/>
                <w:kern w:val="0"/>
                <w:sz w:val="24"/>
                <w:highlight w:val="none"/>
              </w:rPr>
            </w:pPr>
          </w:p>
        </w:tc>
      </w:tr>
      <w:tr w14:paraId="45632F2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73802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9A043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7DB34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EBE04">
            <w:pPr>
              <w:widowControl/>
              <w:spacing w:line="360" w:lineRule="auto"/>
              <w:contextualSpacing/>
              <w:jc w:val="center"/>
              <w:rPr>
                <w:rFonts w:hint="eastAsia" w:ascii="宋体" w:hAnsi="宋体" w:cs="宋体"/>
                <w:color w:val="auto"/>
                <w:kern w:val="0"/>
                <w:sz w:val="24"/>
                <w:highlight w:val="none"/>
              </w:rPr>
            </w:pPr>
          </w:p>
        </w:tc>
      </w:tr>
      <w:tr w14:paraId="74A17C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62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182EA">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304491">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4EEF1">
            <w:pPr>
              <w:widowControl/>
              <w:spacing w:line="360" w:lineRule="auto"/>
              <w:contextualSpacing/>
              <w:jc w:val="center"/>
              <w:rPr>
                <w:rFonts w:hint="eastAsia" w:ascii="宋体" w:hAnsi="宋体" w:cs="宋体"/>
                <w:color w:val="auto"/>
                <w:kern w:val="0"/>
                <w:sz w:val="24"/>
                <w:highlight w:val="none"/>
              </w:rPr>
            </w:pPr>
          </w:p>
        </w:tc>
      </w:tr>
      <w:tr w14:paraId="6FD5CC1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BD2F3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56783">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8D048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FDBB6">
            <w:pPr>
              <w:widowControl/>
              <w:spacing w:line="360" w:lineRule="auto"/>
              <w:contextualSpacing/>
              <w:jc w:val="center"/>
              <w:rPr>
                <w:rFonts w:hint="eastAsia" w:ascii="宋体" w:hAnsi="宋体" w:cs="宋体"/>
                <w:color w:val="auto"/>
                <w:kern w:val="0"/>
                <w:sz w:val="24"/>
                <w:highlight w:val="none"/>
              </w:rPr>
            </w:pPr>
          </w:p>
        </w:tc>
      </w:tr>
    </w:tbl>
    <w:p w14:paraId="1CD3E651">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2F8A724B">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23CEFCA8">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78FD6E7">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810F642">
      <w:pPr>
        <w:spacing w:line="360" w:lineRule="auto"/>
        <w:contextualSpacing/>
        <w:jc w:val="left"/>
        <w:rPr>
          <w:rFonts w:hint="eastAsia" w:ascii="宋体" w:hAnsi="宋体" w:cs="宋体"/>
          <w:color w:val="auto"/>
          <w:sz w:val="24"/>
          <w:highlight w:val="none"/>
        </w:rPr>
      </w:pPr>
    </w:p>
    <w:p w14:paraId="4430D4BD">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B113444">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49BED07">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w:t>
      </w:r>
    </w:p>
    <w:p w14:paraId="15A7A822">
      <w:pPr>
        <w:numPr>
          <w:ilvl w:val="0"/>
          <w:numId w:val="5"/>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资格声明函</w:t>
      </w:r>
    </w:p>
    <w:p w14:paraId="466FC029">
      <w:pPr>
        <w:spacing w:line="360" w:lineRule="auto"/>
        <w:jc w:val="center"/>
        <w:rPr>
          <w:rFonts w:hint="eastAsia" w:ascii="宋体" w:hAnsi="宋体" w:cs="宋体"/>
          <w:b/>
          <w:color w:val="auto"/>
          <w:sz w:val="32"/>
          <w:szCs w:val="32"/>
          <w:highlight w:val="none"/>
        </w:rPr>
      </w:pPr>
    </w:p>
    <w:p w14:paraId="4AD969E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5D8DEACD">
      <w:pPr>
        <w:spacing w:line="360" w:lineRule="auto"/>
        <w:jc w:val="center"/>
        <w:rPr>
          <w:rFonts w:hint="eastAsia" w:ascii="宋体" w:hAnsi="宋体" w:cs="宋体"/>
          <w:color w:val="auto"/>
          <w:sz w:val="24"/>
          <w:szCs w:val="20"/>
          <w:highlight w:val="none"/>
        </w:rPr>
      </w:pPr>
    </w:p>
    <w:p w14:paraId="13905E8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474DE9EA">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71EA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项目的竞标，为便于贵方公正、择优的确定成交供应商及其竞标产品和服务，我方就本次竞标有关事项郑重声明如下：</w:t>
      </w:r>
    </w:p>
    <w:p w14:paraId="54526F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5092B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020E395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F923B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FE0346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40DFA2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6CC96F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92142D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F5F45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62C90A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AD46CC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6D877F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274218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81DC7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5B80B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EBE0B3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F2588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D5849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4D6EB00">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779B592">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C60F993">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77405039">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C8FF8E1">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8135353">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10FA23B2">
      <w:pPr>
        <w:pStyle w:val="20"/>
        <w:tabs>
          <w:tab w:val="left" w:pos="939"/>
        </w:tabs>
        <w:spacing w:line="360" w:lineRule="auto"/>
        <w:ind w:left="0" w:leftChars="0" w:firstLine="480" w:firstLineChars="200"/>
        <w:rPr>
          <w:rFonts w:hint="eastAsia" w:ascii="宋体" w:hAnsi="宋体" w:cs="宋体"/>
          <w:color w:val="auto"/>
          <w:sz w:val="24"/>
          <w:highlight w:val="none"/>
        </w:rPr>
      </w:pPr>
    </w:p>
    <w:p w14:paraId="5ACF2553">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5DE7072">
      <w:pPr>
        <w:autoSpaceDE w:val="0"/>
        <w:autoSpaceDN w:val="0"/>
        <w:spacing w:line="360" w:lineRule="auto"/>
        <w:ind w:firstLine="6120" w:firstLineChars="2550"/>
        <w:rPr>
          <w:rFonts w:hint="eastAsia"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cs="宋体"/>
          <w:color w:val="auto"/>
          <w:kern w:val="0"/>
          <w:sz w:val="24"/>
          <w:highlight w:val="none"/>
          <w:lang w:val="zh-CN"/>
        </w:rPr>
        <w:t>日期：  年  月   日</w:t>
      </w:r>
    </w:p>
    <w:p w14:paraId="26C5A57F">
      <w:pPr>
        <w:pStyle w:val="18"/>
        <w:rPr>
          <w:rFonts w:hint="eastAsia"/>
          <w:color w:val="auto"/>
          <w:highlight w:val="none"/>
          <w:lang w:val="zh-CN"/>
        </w:rPr>
      </w:pPr>
    </w:p>
    <w:p w14:paraId="00CFA528">
      <w:pPr>
        <w:pStyle w:val="25"/>
        <w:numPr>
          <w:ilvl w:val="0"/>
          <w:numId w:val="5"/>
        </w:numPr>
        <w:spacing w:line="360" w:lineRule="auto"/>
        <w:rPr>
          <w:rFonts w:hAnsi="宋体" w:cs="宋体"/>
          <w:b/>
          <w:color w:val="auto"/>
          <w:kern w:val="2"/>
          <w:sz w:val="30"/>
          <w:szCs w:val="30"/>
          <w:highlight w:val="none"/>
        </w:rPr>
      </w:pPr>
      <w:r>
        <w:rPr>
          <w:rFonts w:hint="eastAsia" w:hAnsi="宋体" w:cs="宋体"/>
          <w:b/>
          <w:color w:val="auto"/>
          <w:kern w:val="2"/>
          <w:sz w:val="30"/>
          <w:szCs w:val="30"/>
          <w:highlight w:val="none"/>
        </w:rPr>
        <w:t>中小企业声明函及残疾人福利性单位声明函</w:t>
      </w:r>
    </w:p>
    <w:p w14:paraId="7EAD404E">
      <w:pPr>
        <w:spacing w:line="360" w:lineRule="auto"/>
        <w:ind w:firstLine="2200" w:firstLineChars="5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中小企业声明函（工程）</w:t>
      </w:r>
    </w:p>
    <w:p w14:paraId="54E4A021">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rPr>
        <w:t>（单位名称）</w:t>
      </w:r>
      <w:r>
        <w:rPr>
          <w:rFonts w:hint="eastAsia" w:ascii="宋体" w:hAnsi="宋体" w:cs="宋体"/>
          <w:color w:val="auto"/>
          <w:sz w:val="24"/>
          <w:highlight w:val="none"/>
          <w:shd w:val="clear" w:color="auto" w:fill="FFFFFF"/>
        </w:rPr>
        <w:t>的</w:t>
      </w:r>
      <w:r>
        <w:rPr>
          <w:rFonts w:hint="eastAsia" w:ascii="宋体" w:hAnsi="宋体" w:cs="宋体"/>
          <w:color w:val="auto"/>
          <w:sz w:val="24"/>
          <w:highlight w:val="none"/>
          <w:u w:val="single"/>
          <w:shd w:val="clear" w:color="auto" w:fill="FFFFFF"/>
        </w:rPr>
        <w:t>（项目名称）</w:t>
      </w:r>
      <w:r>
        <w:rPr>
          <w:rFonts w:hint="eastAsia" w:ascii="宋体" w:hAnsi="宋体" w:cs="宋体"/>
          <w:color w:val="auto"/>
          <w:sz w:val="24"/>
          <w:highlight w:val="none"/>
          <w:shd w:val="clear" w:color="auto" w:fill="FFFFFF"/>
        </w:rPr>
        <w:t>采购活动，工程的施工单位全部为符合政策要求的中小企业承接。相关企业（含联合体中的中小企业、签订分包意向协议的中小企业）的具体情况如下：</w:t>
      </w:r>
    </w:p>
    <w:p w14:paraId="200A775D">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48D855D5">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，从业人员_____人，营业收入为_____万元，资产总额为_____万元，属于（中型企业、小型企业、微型企业）；</w:t>
      </w:r>
    </w:p>
    <w:p w14:paraId="540BEBE9">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p>
    <w:p w14:paraId="2877BDDD">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以上企业，不属于大企业的分支机构，不存在控股股东为大企业的情形，也不存在与大企业的负责人为同一人的情形。</w:t>
      </w:r>
    </w:p>
    <w:p w14:paraId="0BAEA927">
      <w:pPr>
        <w:widowControl/>
        <w:shd w:val="clear" w:color="auto" w:fill="FFFFFF"/>
        <w:spacing w:line="360" w:lineRule="auto"/>
        <w:ind w:firstLine="48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本企业对上述声明内容的真实性负责。如有虚假，将依法承担相应责任。</w:t>
      </w:r>
    </w:p>
    <w:p w14:paraId="3C515CC9">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AF25341">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A78CC57">
      <w:pPr>
        <w:pStyle w:val="25"/>
        <w:spacing w:line="360" w:lineRule="auto"/>
        <w:ind w:firstLine="5678" w:firstLineChars="2366"/>
        <w:rPr>
          <w:rFonts w:hint="eastAsia" w:hAnsi="宋体" w:cs="宋体"/>
          <w:color w:val="auto"/>
          <w:sz w:val="24"/>
          <w:highlight w:val="none"/>
          <w:lang w:val="zh-CN"/>
        </w:rPr>
      </w:pPr>
      <w:r>
        <w:rPr>
          <w:rFonts w:hint="eastAsia" w:hAnsi="宋体" w:cs="宋体"/>
          <w:color w:val="auto"/>
          <w:sz w:val="24"/>
          <w:highlight w:val="none"/>
          <w:lang w:val="zh-CN"/>
        </w:rPr>
        <w:t>日期：  年  月   日</w:t>
      </w:r>
    </w:p>
    <w:p w14:paraId="626E8868">
      <w:pPr>
        <w:pStyle w:val="18"/>
        <w:spacing w:after="0" w:line="360" w:lineRule="auto"/>
        <w:ind w:left="3960" w:right="1808"/>
        <w:contextualSpacing/>
        <w:rPr>
          <w:rFonts w:hint="eastAsia" w:ascii="宋体" w:hAnsi="宋体" w:cs="宋体"/>
          <w:color w:val="auto"/>
          <w:highlight w:val="none"/>
        </w:rPr>
      </w:pPr>
    </w:p>
    <w:p w14:paraId="2D9A62F5">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5DF45A8">
      <w:pPr>
        <w:snapToGrid w:val="0"/>
        <w:spacing w:before="120" w:beforeLines="50" w:after="50" w:line="360" w:lineRule="auto"/>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03149789">
      <w:pPr>
        <w:spacing w:line="360" w:lineRule="auto"/>
        <w:rPr>
          <w:rFonts w:hint="eastAsia" w:ascii="宋体" w:hAnsi="宋体" w:cs="宋体"/>
          <w:color w:val="auto"/>
          <w:sz w:val="24"/>
          <w:highlight w:val="none"/>
        </w:rPr>
      </w:pPr>
    </w:p>
    <w:p w14:paraId="091FBFBB">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36059ED0">
      <w:pPr>
        <w:spacing w:line="360" w:lineRule="auto"/>
        <w:rPr>
          <w:rFonts w:hint="eastAsia" w:ascii="宋体" w:hAnsi="宋体" w:cs="宋体"/>
          <w:color w:val="auto"/>
          <w:sz w:val="32"/>
          <w:szCs w:val="32"/>
          <w:highlight w:val="none"/>
        </w:rPr>
      </w:pPr>
    </w:p>
    <w:p w14:paraId="1135940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7F6F6E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9C795BC">
      <w:pPr>
        <w:spacing w:line="360" w:lineRule="auto"/>
        <w:contextualSpacing/>
        <w:rPr>
          <w:rFonts w:hint="eastAsia" w:ascii="宋体" w:hAnsi="宋体" w:cs="宋体"/>
          <w:color w:val="auto"/>
          <w:sz w:val="24"/>
          <w:highlight w:val="none"/>
        </w:rPr>
      </w:pPr>
    </w:p>
    <w:p w14:paraId="6933A36D">
      <w:pPr>
        <w:spacing w:line="360" w:lineRule="auto"/>
        <w:contextualSpacing/>
        <w:rPr>
          <w:rFonts w:hint="eastAsia" w:ascii="宋体" w:hAnsi="宋体" w:cs="宋体"/>
          <w:color w:val="auto"/>
          <w:sz w:val="24"/>
          <w:highlight w:val="none"/>
        </w:rPr>
      </w:pPr>
    </w:p>
    <w:p w14:paraId="31EDAEDB">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190D594F">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22A04823">
      <w:pPr>
        <w:spacing w:line="360" w:lineRule="auto"/>
        <w:contextualSpacing/>
        <w:rPr>
          <w:rFonts w:hint="eastAsia" w:ascii="宋体" w:hAnsi="宋体" w:cs="宋体"/>
          <w:color w:val="auto"/>
          <w:sz w:val="24"/>
          <w:highlight w:val="none"/>
        </w:rPr>
      </w:pPr>
    </w:p>
    <w:p w14:paraId="1A14F325">
      <w:pPr>
        <w:spacing w:line="360" w:lineRule="auto"/>
        <w:contextualSpacing/>
        <w:rPr>
          <w:rFonts w:hint="eastAsia" w:ascii="宋体" w:hAnsi="宋体" w:cs="宋体"/>
          <w:color w:val="auto"/>
          <w:sz w:val="24"/>
          <w:highlight w:val="none"/>
        </w:rPr>
      </w:pPr>
    </w:p>
    <w:p w14:paraId="0A6346FC">
      <w:pPr>
        <w:spacing w:line="360" w:lineRule="auto"/>
        <w:contextualSpacing/>
        <w:rPr>
          <w:rFonts w:hint="eastAsia" w:ascii="宋体" w:hAnsi="宋体" w:cs="宋体"/>
          <w:color w:val="auto"/>
          <w:sz w:val="24"/>
          <w:highlight w:val="none"/>
        </w:rPr>
      </w:pPr>
    </w:p>
    <w:p w14:paraId="11B4034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9C2B9BD">
      <w:pPr>
        <w:spacing w:line="360" w:lineRule="auto"/>
        <w:jc w:val="center"/>
        <w:rPr>
          <w:rFonts w:hint="eastAsia" w:ascii="宋体" w:hAnsi="宋体" w:cs="宋体"/>
          <w:color w:val="auto"/>
          <w:sz w:val="24"/>
          <w:highlight w:val="none"/>
        </w:rPr>
      </w:pPr>
    </w:p>
    <w:p w14:paraId="1F0CAE81">
      <w:pPr>
        <w:spacing w:line="360" w:lineRule="auto"/>
        <w:jc w:val="center"/>
        <w:rPr>
          <w:rFonts w:hint="eastAsia" w:ascii="宋体" w:hAnsi="宋体" w:cs="宋体"/>
          <w:color w:val="auto"/>
          <w:sz w:val="24"/>
          <w:highlight w:val="none"/>
        </w:rPr>
      </w:pPr>
    </w:p>
    <w:p w14:paraId="76703835">
      <w:pPr>
        <w:spacing w:line="360" w:lineRule="auto"/>
        <w:jc w:val="center"/>
        <w:rPr>
          <w:rFonts w:hint="eastAsia" w:ascii="宋体" w:hAnsi="宋体" w:cs="宋体"/>
          <w:color w:val="auto"/>
          <w:sz w:val="24"/>
          <w:highlight w:val="none"/>
        </w:rPr>
      </w:pPr>
    </w:p>
    <w:p w14:paraId="4184E816">
      <w:pPr>
        <w:spacing w:line="360" w:lineRule="auto"/>
        <w:jc w:val="center"/>
        <w:rPr>
          <w:rFonts w:hint="eastAsia" w:ascii="宋体" w:hAnsi="宋体" w:cs="宋体"/>
          <w:color w:val="auto"/>
          <w:sz w:val="24"/>
          <w:highlight w:val="none"/>
        </w:rPr>
      </w:pPr>
    </w:p>
    <w:p w14:paraId="5AAB3E02">
      <w:pPr>
        <w:spacing w:line="360" w:lineRule="auto"/>
        <w:jc w:val="center"/>
        <w:rPr>
          <w:rFonts w:hint="eastAsia" w:ascii="宋体" w:hAnsi="宋体" w:cs="宋体"/>
          <w:color w:val="auto"/>
          <w:sz w:val="24"/>
          <w:highlight w:val="none"/>
        </w:rPr>
      </w:pPr>
    </w:p>
    <w:p w14:paraId="26C60B21">
      <w:pPr>
        <w:spacing w:line="360" w:lineRule="auto"/>
        <w:jc w:val="center"/>
        <w:rPr>
          <w:rFonts w:hint="eastAsia" w:ascii="宋体" w:hAnsi="宋体" w:cs="宋体"/>
          <w:color w:val="auto"/>
          <w:sz w:val="24"/>
          <w:highlight w:val="none"/>
        </w:rPr>
      </w:pPr>
    </w:p>
    <w:p w14:paraId="07F67143">
      <w:pPr>
        <w:spacing w:line="360" w:lineRule="auto"/>
        <w:jc w:val="center"/>
        <w:rPr>
          <w:rFonts w:hint="eastAsia" w:ascii="宋体" w:hAnsi="宋体" w:cs="宋体"/>
          <w:color w:val="auto"/>
          <w:sz w:val="24"/>
          <w:highlight w:val="none"/>
        </w:rPr>
      </w:pPr>
    </w:p>
    <w:p w14:paraId="081A817E">
      <w:pPr>
        <w:spacing w:line="360" w:lineRule="auto"/>
        <w:jc w:val="center"/>
        <w:rPr>
          <w:rFonts w:hint="eastAsia" w:ascii="宋体" w:hAnsi="宋体" w:cs="宋体"/>
          <w:color w:val="auto"/>
          <w:sz w:val="24"/>
          <w:highlight w:val="none"/>
        </w:rPr>
      </w:pPr>
    </w:p>
    <w:p w14:paraId="7174D083">
      <w:pPr>
        <w:spacing w:line="360" w:lineRule="auto"/>
        <w:jc w:val="center"/>
        <w:rPr>
          <w:rFonts w:hint="eastAsia" w:ascii="宋体" w:hAnsi="宋体" w:cs="宋体"/>
          <w:color w:val="auto"/>
          <w:sz w:val="24"/>
          <w:highlight w:val="none"/>
        </w:rPr>
      </w:pPr>
    </w:p>
    <w:p w14:paraId="77C0708E">
      <w:pPr>
        <w:autoSpaceDE w:val="0"/>
        <w:autoSpaceDN w:val="0"/>
        <w:spacing w:line="360" w:lineRule="auto"/>
        <w:ind w:firstLine="6120" w:firstLineChars="2550"/>
        <w:rPr>
          <w:rFonts w:hint="eastAsia" w:ascii="宋体" w:hAnsi="宋体" w:cs="宋体"/>
          <w:color w:val="auto"/>
          <w:kern w:val="0"/>
          <w:sz w:val="24"/>
          <w:highlight w:val="none"/>
          <w:lang w:val="zh-CN"/>
        </w:rPr>
      </w:pPr>
    </w:p>
    <w:p w14:paraId="422CBF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419C2A18">
      <w:pPr>
        <w:pStyle w:val="7"/>
        <w:numPr>
          <w:ilvl w:val="0"/>
          <w:numId w:val="5"/>
        </w:numPr>
        <w:overflowPunct w:val="0"/>
        <w:spacing w:line="360" w:lineRule="auto"/>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特定资格要求的资格证明材料</w:t>
      </w:r>
    </w:p>
    <w:p w14:paraId="74E151C8">
      <w:pPr>
        <w:snapToGrid w:val="0"/>
        <w:spacing w:line="360" w:lineRule="auto"/>
        <w:ind w:firstLine="602" w:firstLineChars="200"/>
        <w:rPr>
          <w:rFonts w:hint="eastAsia" w:ascii="宋体" w:hAnsi="宋体" w:cs="宋体"/>
          <w:b/>
          <w:color w:val="auto"/>
          <w:sz w:val="30"/>
          <w:szCs w:val="30"/>
          <w:highlight w:val="none"/>
        </w:rPr>
      </w:pPr>
    </w:p>
    <w:p w14:paraId="11F5DA7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8DF74EA">
      <w:pPr>
        <w:autoSpaceDE w:val="0"/>
        <w:autoSpaceDN w:val="0"/>
        <w:spacing w:line="360" w:lineRule="auto"/>
        <w:ind w:firstLine="5678" w:firstLineChars="236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B32FAD6">
      <w:pPr>
        <w:pStyle w:val="18"/>
        <w:rPr>
          <w:rFonts w:hint="eastAsia" w:ascii="宋体" w:hAnsi="宋体" w:cs="宋体"/>
          <w:color w:val="auto"/>
          <w:kern w:val="0"/>
          <w:sz w:val="24"/>
          <w:highlight w:val="none"/>
          <w:lang w:val="zh-CN"/>
        </w:rPr>
      </w:pPr>
    </w:p>
    <w:p w14:paraId="33A85FE5">
      <w:pPr>
        <w:rPr>
          <w:rFonts w:hint="eastAsia" w:ascii="宋体" w:hAnsi="宋体" w:cs="宋体"/>
          <w:color w:val="auto"/>
          <w:kern w:val="0"/>
          <w:sz w:val="24"/>
          <w:highlight w:val="none"/>
          <w:lang w:val="zh-CN"/>
        </w:rPr>
      </w:pPr>
    </w:p>
    <w:p w14:paraId="4258877E">
      <w:pPr>
        <w:pStyle w:val="18"/>
        <w:numPr>
          <w:ilvl w:val="0"/>
          <w:numId w:val="5"/>
        </w:numPr>
        <w:rPr>
          <w:rFonts w:hint="eastAsia" w:ascii="宋体" w:hAnsi="宋体" w:cs="宋体"/>
          <w:b/>
          <w:color w:val="auto"/>
          <w:sz w:val="30"/>
          <w:szCs w:val="30"/>
          <w:highlight w:val="none"/>
        </w:rPr>
      </w:pPr>
      <w:r>
        <w:rPr>
          <w:rFonts w:hint="eastAsia" w:ascii="宋体" w:hAnsi="宋体" w:cs="宋体"/>
          <w:b/>
          <w:color w:val="auto"/>
          <w:sz w:val="30"/>
          <w:szCs w:val="30"/>
          <w:highlight w:val="none"/>
        </w:rPr>
        <w:t>拟投入本项目的项目经理无在建承诺书（格式自拟）</w:t>
      </w:r>
    </w:p>
    <w:p w14:paraId="7894E6C3">
      <w:pPr>
        <w:rPr>
          <w:rFonts w:hint="eastAsia" w:ascii="宋体" w:hAnsi="宋体" w:cs="宋体"/>
          <w:b/>
          <w:color w:val="auto"/>
          <w:sz w:val="30"/>
          <w:szCs w:val="30"/>
          <w:highlight w:val="none"/>
        </w:rPr>
      </w:pPr>
    </w:p>
    <w:p w14:paraId="433DED1C">
      <w:pPr>
        <w:pStyle w:val="18"/>
        <w:rPr>
          <w:rFonts w:hint="eastAsia" w:ascii="宋体" w:hAnsi="宋体" w:cs="宋体"/>
          <w:b/>
          <w:color w:val="auto"/>
          <w:sz w:val="30"/>
          <w:szCs w:val="30"/>
          <w:highlight w:val="none"/>
        </w:rPr>
      </w:pPr>
    </w:p>
    <w:p w14:paraId="6C860FB1">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F01633">
      <w:pPr>
        <w:autoSpaceDE w:val="0"/>
        <w:autoSpaceDN w:val="0"/>
        <w:spacing w:line="360" w:lineRule="auto"/>
        <w:ind w:firstLine="5678" w:firstLineChars="236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828C0D4">
      <w:pPr>
        <w:rPr>
          <w:rFonts w:hint="eastAsia" w:ascii="宋体" w:hAnsi="宋体" w:cs="宋体"/>
          <w:b/>
          <w:color w:val="auto"/>
          <w:sz w:val="30"/>
          <w:szCs w:val="30"/>
          <w:highlight w:val="none"/>
        </w:rPr>
      </w:pPr>
    </w:p>
    <w:p w14:paraId="7C218E61">
      <w:pPr>
        <w:pStyle w:val="18"/>
        <w:rPr>
          <w:rFonts w:hint="eastAsia" w:ascii="宋体" w:hAnsi="宋体" w:cs="宋体"/>
          <w:b/>
          <w:color w:val="auto"/>
          <w:sz w:val="30"/>
          <w:szCs w:val="30"/>
          <w:highlight w:val="none"/>
        </w:rPr>
      </w:pPr>
    </w:p>
    <w:p w14:paraId="0CF4D72A">
      <w:pPr>
        <w:rPr>
          <w:rFonts w:hint="eastAsia"/>
          <w:color w:val="auto"/>
          <w:highlight w:val="none"/>
          <w:lang w:val="zh-CN"/>
        </w:rPr>
      </w:pPr>
    </w:p>
    <w:p w14:paraId="7421F98E">
      <w:pPr>
        <w:pStyle w:val="18"/>
        <w:numPr>
          <w:ilvl w:val="0"/>
          <w:numId w:val="5"/>
        </w:numPr>
        <w:rPr>
          <w:rFonts w:hint="eastAsia" w:ascii="宋体" w:hAnsi="宋体" w:cs="宋体"/>
          <w:color w:val="auto"/>
          <w:kern w:val="0"/>
          <w:sz w:val="24"/>
          <w:highlight w:val="none"/>
          <w:lang w:val="zh-CN"/>
        </w:rPr>
      </w:pPr>
      <w:r>
        <w:rPr>
          <w:rFonts w:hint="eastAsia" w:ascii="宋体" w:hAnsi="宋体" w:cs="宋体"/>
          <w:b/>
          <w:color w:val="auto"/>
          <w:sz w:val="30"/>
          <w:szCs w:val="30"/>
          <w:highlight w:val="none"/>
        </w:rPr>
        <w:t>除磋商文件规定必须提供以外，供应商认为需要提供的其他证明材料。</w:t>
      </w:r>
    </w:p>
    <w:p w14:paraId="35C70394">
      <w:pPr>
        <w:rPr>
          <w:rFonts w:hint="eastAsia" w:ascii="宋体" w:hAnsi="宋体" w:cs="宋体"/>
          <w:color w:val="auto"/>
          <w:kern w:val="0"/>
          <w:sz w:val="24"/>
          <w:highlight w:val="none"/>
          <w:lang w:val="zh-CN"/>
        </w:rPr>
      </w:pPr>
    </w:p>
    <w:p w14:paraId="73DFC64D">
      <w:pPr>
        <w:pStyle w:val="18"/>
        <w:rPr>
          <w:rFonts w:hint="eastAsia"/>
          <w:color w:val="auto"/>
          <w:highlight w:val="none"/>
          <w:lang w:val="zh-CN"/>
        </w:rPr>
      </w:pPr>
    </w:p>
    <w:p w14:paraId="1FD696F7">
      <w:pPr>
        <w:rPr>
          <w:rFonts w:hint="eastAsia"/>
          <w:color w:val="auto"/>
          <w:highlight w:val="none"/>
          <w:lang w:val="zh-CN"/>
        </w:rPr>
      </w:pPr>
    </w:p>
    <w:p w14:paraId="4FFC7F9E">
      <w:pPr>
        <w:pStyle w:val="18"/>
        <w:rPr>
          <w:rFonts w:hint="eastAsia"/>
          <w:color w:val="auto"/>
          <w:highlight w:val="none"/>
          <w:lang w:val="zh-CN"/>
        </w:rPr>
      </w:pPr>
    </w:p>
    <w:p w14:paraId="58878E3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BE232A8">
      <w:pPr>
        <w:autoSpaceDE w:val="0"/>
        <w:autoSpaceDN w:val="0"/>
        <w:spacing w:line="360" w:lineRule="auto"/>
        <w:ind w:firstLine="5678" w:firstLineChars="236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E87744B">
      <w:pPr>
        <w:pStyle w:val="3"/>
        <w:spacing w:line="360" w:lineRule="auto"/>
        <w:jc w:val="center"/>
        <w:rPr>
          <w:rFonts w:hint="eastAsia" w:ascii="宋体" w:hAnsi="宋体" w:cs="宋体"/>
          <w:b w:val="0"/>
          <w:color w:val="auto"/>
          <w:highlight w:val="none"/>
        </w:rPr>
      </w:pPr>
      <w:bookmarkStart w:id="196" w:name="_Toc24675"/>
      <w:bookmarkStart w:id="197" w:name="_Toc80205940"/>
      <w:bookmarkStart w:id="198" w:name="_Toc22872"/>
      <w:bookmarkStart w:id="199" w:name="_Toc8220"/>
      <w:r>
        <w:rPr>
          <w:rFonts w:hint="eastAsia" w:ascii="宋体" w:hAnsi="宋体" w:cs="宋体"/>
          <w:b w:val="0"/>
          <w:bCs w:val="0"/>
          <w:color w:val="auto"/>
          <w:highlight w:val="none"/>
        </w:rPr>
        <w:br w:type="page"/>
      </w:r>
      <w:bookmarkStart w:id="200" w:name="_Toc3306"/>
      <w:bookmarkStart w:id="201" w:name="_Toc476"/>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196"/>
      <w:bookmarkEnd w:id="197"/>
      <w:bookmarkEnd w:id="198"/>
      <w:bookmarkEnd w:id="199"/>
      <w:bookmarkEnd w:id="200"/>
      <w:bookmarkEnd w:id="201"/>
    </w:p>
    <w:p w14:paraId="63D12612">
      <w:pPr>
        <w:snapToGrid w:val="0"/>
        <w:spacing w:before="120" w:beforeLines="50" w:after="50" w:line="360" w:lineRule="auto"/>
        <w:jc w:val="center"/>
        <w:rPr>
          <w:rFonts w:hint="eastAsia" w:ascii="宋体" w:hAnsi="宋体" w:cs="宋体"/>
          <w:bCs/>
          <w:color w:val="auto"/>
          <w:highlight w:val="none"/>
        </w:rPr>
      </w:pPr>
    </w:p>
    <w:p w14:paraId="7DA891D3">
      <w:pPr>
        <w:snapToGrid w:val="0"/>
        <w:spacing w:before="120" w:beforeLines="50" w:after="50" w:line="360" w:lineRule="auto"/>
        <w:jc w:val="center"/>
        <w:rPr>
          <w:rFonts w:hint="eastAsia" w:ascii="宋体" w:hAnsi="宋体" w:cs="宋体"/>
          <w:bCs/>
          <w:color w:val="auto"/>
          <w:highlight w:val="none"/>
        </w:rPr>
      </w:pPr>
    </w:p>
    <w:p w14:paraId="30EB6D97">
      <w:pPr>
        <w:snapToGrid w:val="0"/>
        <w:spacing w:before="120" w:beforeLines="50" w:after="50" w:line="360" w:lineRule="auto"/>
        <w:jc w:val="center"/>
        <w:rPr>
          <w:rFonts w:hint="eastAsia" w:ascii="宋体" w:hAnsi="宋体" w:cs="宋体"/>
          <w:color w:val="auto"/>
          <w:sz w:val="40"/>
          <w:szCs w:val="28"/>
          <w:highlight w:val="none"/>
        </w:rPr>
      </w:pPr>
      <w:r>
        <w:rPr>
          <w:rFonts w:hint="eastAsia" w:ascii="宋体" w:hAnsi="宋体" w:cs="宋体"/>
          <w:bCs/>
          <w:color w:val="auto"/>
          <w:sz w:val="32"/>
          <w:szCs w:val="40"/>
          <w:highlight w:val="none"/>
        </w:rPr>
        <w:t>全流程电子文件</w:t>
      </w:r>
    </w:p>
    <w:p w14:paraId="0521D894">
      <w:pPr>
        <w:snapToGrid w:val="0"/>
        <w:spacing w:before="120" w:beforeLines="50" w:after="50" w:line="360" w:lineRule="auto"/>
        <w:rPr>
          <w:rFonts w:hint="eastAsia" w:ascii="宋体" w:hAnsi="宋体" w:cs="宋体"/>
          <w:color w:val="auto"/>
          <w:sz w:val="24"/>
          <w:szCs w:val="20"/>
          <w:highlight w:val="none"/>
        </w:rPr>
      </w:pPr>
    </w:p>
    <w:p w14:paraId="762104E3">
      <w:pPr>
        <w:snapToGrid w:val="0"/>
        <w:spacing w:before="120" w:beforeLines="50" w:after="50" w:line="360" w:lineRule="auto"/>
        <w:rPr>
          <w:rFonts w:hint="eastAsia" w:ascii="宋体" w:hAnsi="宋体" w:cs="宋体"/>
          <w:color w:val="auto"/>
          <w:sz w:val="24"/>
          <w:szCs w:val="20"/>
          <w:highlight w:val="none"/>
        </w:rPr>
      </w:pPr>
    </w:p>
    <w:p w14:paraId="585BC84A">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0CD4B00E">
      <w:pPr>
        <w:snapToGrid w:val="0"/>
        <w:spacing w:before="120" w:beforeLines="50" w:after="50" w:line="360" w:lineRule="auto"/>
        <w:rPr>
          <w:rFonts w:hint="eastAsia" w:ascii="宋体" w:hAnsi="宋体" w:cs="宋体"/>
          <w:bCs/>
          <w:color w:val="auto"/>
          <w:sz w:val="24"/>
          <w:szCs w:val="20"/>
          <w:highlight w:val="none"/>
        </w:rPr>
      </w:pPr>
    </w:p>
    <w:p w14:paraId="0E762959">
      <w:pPr>
        <w:snapToGrid w:val="0"/>
        <w:spacing w:before="120" w:beforeLines="50" w:after="50" w:line="360" w:lineRule="auto"/>
        <w:rPr>
          <w:rFonts w:hint="eastAsia" w:ascii="宋体" w:hAnsi="宋体" w:cs="宋体"/>
          <w:bCs/>
          <w:color w:val="auto"/>
          <w:sz w:val="24"/>
          <w:szCs w:val="20"/>
          <w:highlight w:val="none"/>
        </w:rPr>
      </w:pPr>
    </w:p>
    <w:p w14:paraId="249BA097">
      <w:pPr>
        <w:snapToGrid w:val="0"/>
        <w:spacing w:before="120" w:beforeLines="50" w:after="50" w:line="360" w:lineRule="auto"/>
        <w:rPr>
          <w:rFonts w:hint="eastAsia" w:ascii="宋体" w:hAnsi="宋体" w:cs="宋体"/>
          <w:bCs/>
          <w:color w:val="auto"/>
          <w:sz w:val="24"/>
          <w:szCs w:val="20"/>
          <w:highlight w:val="none"/>
        </w:rPr>
      </w:pPr>
    </w:p>
    <w:p w14:paraId="4E2B7F52">
      <w:pPr>
        <w:snapToGrid w:val="0"/>
        <w:spacing w:before="120" w:beforeLines="50" w:after="50" w:line="360" w:lineRule="auto"/>
        <w:rPr>
          <w:rFonts w:hint="eastAsia" w:ascii="宋体" w:hAnsi="宋体" w:cs="宋体"/>
          <w:bCs/>
          <w:color w:val="auto"/>
          <w:sz w:val="24"/>
          <w:szCs w:val="20"/>
          <w:highlight w:val="none"/>
        </w:rPr>
      </w:pPr>
    </w:p>
    <w:p w14:paraId="4E9A356E">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3C32FCA">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42DC330A">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2472517">
      <w:pPr>
        <w:snapToGrid w:val="0"/>
        <w:spacing w:before="120" w:beforeLines="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A2B47D9">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FDA811B">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1A5873E6">
      <w:pPr>
        <w:pStyle w:val="7"/>
        <w:snapToGrid w:val="0"/>
        <w:spacing w:before="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14485D">
      <w:pPr>
        <w:pStyle w:val="7"/>
        <w:snapToGrid w:val="0"/>
        <w:spacing w:before="50" w:after="50" w:line="360" w:lineRule="auto"/>
        <w:ind w:left="0" w:leftChars="0" w:firstLine="0" w:firstLineChars="0"/>
        <w:rPr>
          <w:rFonts w:hint="eastAsia" w:ascii="宋体" w:hAnsi="宋体" w:cs="宋体"/>
          <w:bCs/>
          <w:color w:val="auto"/>
          <w:sz w:val="32"/>
          <w:szCs w:val="32"/>
          <w:highlight w:val="none"/>
        </w:rPr>
      </w:pPr>
    </w:p>
    <w:p w14:paraId="6C256C26">
      <w:pPr>
        <w:snapToGrid w:val="0"/>
        <w:spacing w:before="120" w:beforeLines="50" w:after="50"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E4871B5">
      <w:pPr>
        <w:snapToGrid w:val="0"/>
        <w:spacing w:before="120" w:beforeLines="50" w:after="50" w:line="360" w:lineRule="auto"/>
        <w:ind w:left="142" w:firstLine="643" w:firstLineChars="200"/>
        <w:jc w:val="left"/>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1A23C2CB">
      <w:pPr>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24F17E42">
      <w:pPr>
        <w:spacing w:line="360" w:lineRule="auto"/>
        <w:jc w:val="center"/>
        <w:rPr>
          <w:rFonts w:hint="eastAsia" w:ascii="宋体" w:hAnsi="宋体" w:cs="宋体"/>
          <w:b/>
          <w:color w:val="auto"/>
          <w:kern w:val="0"/>
          <w:sz w:val="28"/>
          <w:szCs w:val="28"/>
          <w:highlight w:val="none"/>
        </w:rPr>
      </w:pPr>
    </w:p>
    <w:p w14:paraId="21948DEF">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04C6BCB">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4C95B037">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BB01257">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CEA2234">
      <w:pPr>
        <w:pStyle w:val="125"/>
        <w:spacing w:line="360" w:lineRule="auto"/>
        <w:rPr>
          <w:rFonts w:hint="eastAsia" w:ascii="宋体" w:hAnsi="宋体" w:eastAsia="宋体" w:cs="宋体"/>
          <w:color w:val="auto"/>
          <w:highlight w:val="none"/>
        </w:rPr>
      </w:pPr>
      <w:bookmarkStart w:id="202" w:name="OLE_LINK6"/>
      <w:bookmarkStart w:id="203" w:name="OLE_LINK7"/>
      <w:bookmarkStart w:id="204"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A90C3D1">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类似业绩一览表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1CC09E3">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w:t>
      </w:r>
      <w:r>
        <w:rPr>
          <w:rFonts w:hint="eastAsia" w:ascii="宋体" w:hAnsi="宋体" w:eastAsia="宋体" w:cs="宋体"/>
          <w:color w:val="auto"/>
          <w:szCs w:val="21"/>
          <w:highlight w:val="none"/>
        </w:rPr>
        <w:t>项目经理简历表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02"/>
      <w:bookmarkEnd w:id="203"/>
    </w:p>
    <w:bookmarkEnd w:id="204"/>
    <w:p w14:paraId="5978E812">
      <w:pPr>
        <w:pStyle w:val="125"/>
        <w:spacing w:line="360" w:lineRule="auto"/>
        <w:ind w:left="0"/>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8BCFE09">
      <w:pPr>
        <w:pStyle w:val="125"/>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5618EA13">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十、对应采购需求的技术需求、商务条款提供的其他文件资料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DB36F6C">
      <w:pPr>
        <w:pStyle w:val="12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080F7B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09EC5CEB">
      <w:pPr>
        <w:spacing w:line="360" w:lineRule="auto"/>
        <w:ind w:firstLine="880" w:firstLineChars="200"/>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A84C34F">
      <w:pPr>
        <w:spacing w:line="360" w:lineRule="auto"/>
        <w:jc w:val="center"/>
        <w:rPr>
          <w:rFonts w:hint="eastAsia" w:ascii="宋体" w:hAnsi="宋体" w:cs="宋体"/>
          <w:color w:val="auto"/>
          <w:sz w:val="44"/>
          <w:szCs w:val="44"/>
          <w:highlight w:val="none"/>
        </w:rPr>
      </w:pPr>
    </w:p>
    <w:p w14:paraId="2615FD5B">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72FDF886">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26262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48BAE9C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BA5EDE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2FCE38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65CEEA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3ACD91D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92B07B2">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D64B0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69EDABF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9C2450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A5001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E9EB7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4D55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3D8A6D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F26171E">
      <w:pPr>
        <w:spacing w:line="360" w:lineRule="auto"/>
        <w:ind w:firstLine="480" w:firstLineChars="200"/>
        <w:contextualSpacing/>
        <w:rPr>
          <w:rFonts w:hint="eastAsia" w:ascii="宋体" w:hAnsi="宋体" w:cs="宋体"/>
          <w:color w:val="auto"/>
          <w:sz w:val="24"/>
          <w:highlight w:val="none"/>
        </w:rPr>
      </w:pPr>
    </w:p>
    <w:p w14:paraId="029BFA52">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C30D28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3D14AFC">
      <w:pPr>
        <w:spacing w:line="360" w:lineRule="auto"/>
        <w:ind w:left="237" w:leftChars="113" w:firstLine="5860" w:firstLineChars="2442"/>
        <w:jc w:val="left"/>
        <w:rPr>
          <w:rFonts w:hint="eastAsia"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2455B6F5">
      <w:pPr>
        <w:spacing w:line="360" w:lineRule="auto"/>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7CA53B3">
      <w:pPr>
        <w:spacing w:line="360" w:lineRule="auto"/>
        <w:ind w:left="540"/>
        <w:contextualSpacing/>
        <w:rPr>
          <w:rFonts w:hint="eastAsia" w:ascii="宋体" w:hAnsi="宋体" w:cs="宋体"/>
          <w:color w:val="auto"/>
          <w:sz w:val="32"/>
          <w:szCs w:val="32"/>
          <w:highlight w:val="none"/>
        </w:rPr>
      </w:pPr>
    </w:p>
    <w:p w14:paraId="446F62B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D5B58C0">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097D02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78AA225">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C25318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17507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A3EF7F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232FCBB3">
      <w:pPr>
        <w:spacing w:line="360" w:lineRule="auto"/>
        <w:ind w:left="540"/>
        <w:contextualSpacing/>
        <w:rPr>
          <w:rFonts w:hint="eastAsia" w:ascii="宋体" w:hAnsi="宋体" w:cs="宋体"/>
          <w:color w:val="auto"/>
          <w:sz w:val="24"/>
          <w:highlight w:val="none"/>
        </w:rPr>
      </w:pPr>
    </w:p>
    <w:p w14:paraId="5F27DE83">
      <w:pPr>
        <w:spacing w:line="360" w:lineRule="auto"/>
        <w:ind w:left="540"/>
        <w:contextualSpacing/>
        <w:rPr>
          <w:rFonts w:hint="eastAsia" w:ascii="宋体" w:hAnsi="宋体" w:cs="宋体"/>
          <w:color w:val="auto"/>
          <w:sz w:val="24"/>
          <w:highlight w:val="none"/>
        </w:rPr>
      </w:pPr>
    </w:p>
    <w:p w14:paraId="160678F2">
      <w:pPr>
        <w:spacing w:line="360" w:lineRule="auto"/>
        <w:ind w:left="540"/>
        <w:contextualSpacing/>
        <w:rPr>
          <w:rFonts w:hint="eastAsia" w:ascii="宋体" w:hAnsi="宋体" w:cs="宋体"/>
          <w:color w:val="auto"/>
          <w:sz w:val="24"/>
          <w:highlight w:val="none"/>
        </w:rPr>
      </w:pPr>
    </w:p>
    <w:p w14:paraId="0B14C97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DE179A4">
      <w:pPr>
        <w:spacing w:line="360" w:lineRule="auto"/>
        <w:ind w:left="540"/>
        <w:contextualSpacing/>
        <w:rPr>
          <w:rFonts w:hint="eastAsia" w:ascii="宋体" w:hAnsi="宋体" w:cs="宋体"/>
          <w:color w:val="auto"/>
          <w:sz w:val="24"/>
          <w:highlight w:val="none"/>
        </w:rPr>
      </w:pPr>
    </w:p>
    <w:p w14:paraId="46B43C0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C795DF">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9E20FDB">
      <w:pPr>
        <w:spacing w:line="360" w:lineRule="auto"/>
        <w:contextualSpacing/>
        <w:jc w:val="left"/>
        <w:rPr>
          <w:rFonts w:hint="eastAsia" w:ascii="宋体" w:hAnsi="宋体" w:cs="宋体"/>
          <w:color w:val="auto"/>
          <w:sz w:val="24"/>
          <w:highlight w:val="none"/>
        </w:rPr>
      </w:pPr>
    </w:p>
    <w:p w14:paraId="5F60942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39A0AEBB">
      <w:pPr>
        <w:spacing w:line="360" w:lineRule="auto"/>
        <w:ind w:firstLine="480" w:firstLineChars="200"/>
        <w:contextualSpacing/>
        <w:jc w:val="left"/>
        <w:rPr>
          <w:rFonts w:hint="eastAsia" w:ascii="宋体" w:hAnsi="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4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C21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851EA61">
            <w:pPr>
              <w:spacing w:line="360" w:lineRule="auto"/>
              <w:rPr>
                <w:rFonts w:hint="eastAsia" w:ascii="宋体" w:hAnsi="宋体" w:cs="宋体"/>
                <w:b/>
                <w:color w:val="auto"/>
                <w:sz w:val="24"/>
                <w:highlight w:val="none"/>
              </w:rPr>
            </w:pPr>
          </w:p>
          <w:p w14:paraId="1F9E0F2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cs="宋体"/>
                <w:b/>
                <w:color w:val="auto"/>
                <w:sz w:val="24"/>
                <w:highlight w:val="none"/>
              </w:rPr>
              <w:t>身份证复印件粘贴处（正、反面）</w:t>
            </w:r>
          </w:p>
        </w:tc>
      </w:tr>
    </w:tbl>
    <w:p w14:paraId="23F712C3">
      <w:pPr>
        <w:spacing w:line="360" w:lineRule="auto"/>
        <w:ind w:firstLine="482" w:firstLineChars="200"/>
        <w:contextualSpacing/>
        <w:jc w:val="left"/>
        <w:rPr>
          <w:rFonts w:hint="eastAsia" w:ascii="宋体" w:hAnsi="宋体" w:cs="宋体"/>
          <w:b/>
          <w:color w:val="auto"/>
          <w:szCs w:val="21"/>
          <w:highlight w:val="none"/>
        </w:rPr>
      </w:pPr>
      <w:r>
        <w:rPr>
          <w:rFonts w:hint="eastAsia" w:ascii="宋体" w:hAnsi="宋体" w:cs="宋体"/>
          <w:b/>
          <w:color w:val="auto"/>
          <w:sz w:val="24"/>
          <w:highlight w:val="none"/>
        </w:rPr>
        <w:t>附件：</w:t>
      </w:r>
    </w:p>
    <w:p w14:paraId="1A8C4F5B">
      <w:pPr>
        <w:spacing w:line="360" w:lineRule="auto"/>
        <w:ind w:firstLine="880"/>
        <w:jc w:val="left"/>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49E7293E">
      <w:pPr>
        <w:spacing w:line="360" w:lineRule="auto"/>
        <w:jc w:val="center"/>
        <w:rPr>
          <w:rFonts w:hint="eastAsia" w:ascii="宋体" w:hAnsi="宋体" w:cs="宋体"/>
          <w:color w:val="auto"/>
          <w:sz w:val="44"/>
          <w:szCs w:val="44"/>
          <w:highlight w:val="none"/>
        </w:rPr>
      </w:pPr>
    </w:p>
    <w:p w14:paraId="040300F5">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5F892AF3">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49446B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053C9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28301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31B16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C72FF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55DB27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4ED21A7F">
      <w:pPr>
        <w:spacing w:line="360" w:lineRule="auto"/>
        <w:rPr>
          <w:rFonts w:hint="eastAsia" w:ascii="宋体" w:hAnsi="宋体" w:cs="宋体"/>
          <w:color w:val="auto"/>
          <w:sz w:val="24"/>
          <w:highlight w:val="none"/>
        </w:rPr>
      </w:pPr>
    </w:p>
    <w:p w14:paraId="587451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962471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4C4F0E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48A850A8">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BF63419">
      <w:pPr>
        <w:spacing w:line="360" w:lineRule="auto"/>
        <w:rPr>
          <w:rFonts w:hint="eastAsia" w:ascii="宋体" w:hAnsi="宋体" w:cs="宋体"/>
          <w:color w:val="auto"/>
          <w:sz w:val="24"/>
          <w:highlight w:val="none"/>
        </w:rPr>
      </w:pPr>
    </w:p>
    <w:p w14:paraId="5877D12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502FD4C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A56755">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918AC74">
      <w:pPr>
        <w:spacing w:line="360" w:lineRule="auto"/>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0E48C19B">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3BB90429">
      <w:pPr>
        <w:spacing w:line="360" w:lineRule="auto"/>
        <w:jc w:val="center"/>
        <w:rPr>
          <w:rFonts w:hint="eastAsia" w:ascii="宋体" w:hAnsi="宋体" w:cs="宋体"/>
          <w:color w:val="auto"/>
          <w:sz w:val="32"/>
          <w:szCs w:val="32"/>
          <w:highlight w:val="none"/>
        </w:rPr>
      </w:pPr>
    </w:p>
    <w:p w14:paraId="18D9E4F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8F08A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E128E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73DC3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49B87D0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74E2170">
      <w:pPr>
        <w:spacing w:line="360" w:lineRule="auto"/>
        <w:ind w:firstLine="1560" w:firstLineChars="650"/>
        <w:rPr>
          <w:rFonts w:hint="eastAsia" w:ascii="宋体" w:hAnsi="宋体" w:cs="宋体"/>
          <w:color w:val="auto"/>
          <w:sz w:val="24"/>
          <w:highlight w:val="none"/>
        </w:rPr>
      </w:pPr>
      <w:r>
        <w:rPr>
          <w:rFonts w:hint="eastAsia" w:ascii="宋体" w:hAnsi="宋体" w:cs="宋体"/>
          <w:color w:val="auto"/>
          <w:sz w:val="24"/>
          <w:highlight w:val="none"/>
        </w:rPr>
        <w:t>牵头人法定代表人（签字或盖章）：</w:t>
      </w:r>
    </w:p>
    <w:p w14:paraId="70645E2C">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牵头人（电子签章）：</w:t>
      </w:r>
    </w:p>
    <w:p w14:paraId="5019FE5E">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1EA975CC">
      <w:pPr>
        <w:spacing w:line="360" w:lineRule="auto"/>
        <w:rPr>
          <w:rFonts w:hint="eastAsia" w:ascii="宋体" w:hAnsi="宋体" w:cs="宋体"/>
          <w:color w:val="auto"/>
          <w:sz w:val="24"/>
          <w:highlight w:val="none"/>
        </w:rPr>
      </w:pPr>
    </w:p>
    <w:p w14:paraId="48CF730D">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被授权人（签字）：</w:t>
      </w:r>
    </w:p>
    <w:p w14:paraId="31BF9C38">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C37E490">
      <w:pPr>
        <w:spacing w:line="360" w:lineRule="auto"/>
        <w:rPr>
          <w:rFonts w:hint="eastAsia" w:ascii="宋体" w:hAnsi="宋体" w:cs="宋体"/>
          <w:color w:val="auto"/>
          <w:sz w:val="24"/>
          <w:highlight w:val="none"/>
        </w:rPr>
      </w:pPr>
    </w:p>
    <w:p w14:paraId="244CB9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B9EC70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0DE3D88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B69597">
      <w:pPr>
        <w:spacing w:line="360" w:lineRule="auto"/>
        <w:ind w:firstLine="480" w:firstLineChars="200"/>
        <w:jc w:val="left"/>
        <w:rPr>
          <w:rFonts w:hint="eastAsia" w:ascii="宋体" w:hAnsi="宋体" w:cs="宋体"/>
          <w:b/>
          <w:color w:val="auto"/>
          <w:sz w:val="30"/>
          <w:szCs w:val="30"/>
          <w:highlight w:val="none"/>
        </w:rPr>
      </w:pPr>
      <w:r>
        <w:rPr>
          <w:rFonts w:hint="eastAsia" w:ascii="宋体" w:hAnsi="宋体" w:cs="宋体"/>
          <w:color w:val="auto"/>
          <w:sz w:val="24"/>
          <w:highlight w:val="none"/>
        </w:rPr>
        <w:t>4.法人、其他组织竞标时“我方”是指“我单位”，自然人竞标时“我方”是指“本人”。</w:t>
      </w: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305DBE9F">
      <w:pPr>
        <w:spacing w:line="360" w:lineRule="auto"/>
        <w:ind w:firstLine="602" w:firstLineChars="200"/>
        <w:jc w:val="left"/>
        <w:rPr>
          <w:rFonts w:hint="eastAsia" w:ascii="宋体" w:hAnsi="宋体" w:cs="宋体"/>
          <w:b/>
          <w:color w:val="auto"/>
          <w:sz w:val="30"/>
          <w:szCs w:val="30"/>
          <w:highlight w:val="none"/>
        </w:rPr>
      </w:pPr>
    </w:p>
    <w:p w14:paraId="1F6722E3">
      <w:pPr>
        <w:spacing w:line="360" w:lineRule="auto"/>
        <w:jc w:val="center"/>
        <w:rPr>
          <w:rFonts w:hint="eastAsia" w:ascii="宋体" w:hAnsi="宋体" w:eastAsia="宋体" w:cs="宋体"/>
          <w:bCs/>
          <w:color w:val="auto"/>
          <w:sz w:val="44"/>
          <w:szCs w:val="44"/>
          <w:highlight w:val="none"/>
          <w:lang w:val="en-US" w:eastAsia="zh-CN"/>
        </w:rPr>
      </w:pPr>
      <w:r>
        <w:rPr>
          <w:rFonts w:hint="eastAsia" w:ascii="宋体" w:hAnsi="宋体" w:cs="宋体"/>
          <w:bCs/>
          <w:color w:val="auto"/>
          <w:sz w:val="44"/>
          <w:szCs w:val="44"/>
          <w:highlight w:val="none"/>
        </w:rPr>
        <w:t>商务条款偏离表</w:t>
      </w:r>
      <w:r>
        <w:rPr>
          <w:rFonts w:hint="eastAsia" w:ascii="宋体" w:hAnsi="宋体" w:cs="宋体"/>
          <w:bCs/>
          <w:color w:val="auto"/>
          <w:sz w:val="44"/>
          <w:szCs w:val="44"/>
          <w:highlight w:val="none"/>
          <w:lang w:val="en-US" w:eastAsia="zh-CN"/>
        </w:rPr>
        <w:t xml:space="preserve"> </w:t>
      </w:r>
    </w:p>
    <w:p w14:paraId="38175E7B">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502D792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1C208DC">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4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909"/>
        <w:gridCol w:w="3573"/>
        <w:gridCol w:w="1268"/>
      </w:tblGrid>
      <w:tr w14:paraId="2192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6C97BE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236E15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竞争性磋商文件的商务需求</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0BEE92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DCF00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FFE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688" w:type="dxa"/>
            <w:tcBorders>
              <w:top w:val="single" w:color="auto" w:sz="4" w:space="0"/>
              <w:left w:val="single" w:color="auto" w:sz="4" w:space="0"/>
              <w:bottom w:val="single" w:color="auto" w:sz="4" w:space="0"/>
              <w:right w:val="single" w:color="auto" w:sz="4" w:space="0"/>
            </w:tcBorders>
            <w:noWrap w:val="0"/>
            <w:vAlign w:val="top"/>
          </w:tcPr>
          <w:p w14:paraId="450DCF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09" w:type="dxa"/>
            <w:tcBorders>
              <w:top w:val="single" w:color="auto" w:sz="4" w:space="0"/>
              <w:left w:val="single" w:color="auto" w:sz="4" w:space="0"/>
              <w:bottom w:val="single" w:color="auto" w:sz="4" w:space="0"/>
              <w:right w:val="single" w:color="auto" w:sz="4" w:space="0"/>
            </w:tcBorders>
            <w:noWrap w:val="0"/>
            <w:vAlign w:val="top"/>
          </w:tcPr>
          <w:p w14:paraId="07CDFF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6BCC5F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A0B97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64CC59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573" w:type="dxa"/>
            <w:tcBorders>
              <w:top w:val="single" w:color="auto" w:sz="4" w:space="0"/>
              <w:left w:val="single" w:color="auto" w:sz="4" w:space="0"/>
              <w:bottom w:val="single" w:color="auto" w:sz="4" w:space="0"/>
              <w:right w:val="single" w:color="auto" w:sz="4" w:space="0"/>
            </w:tcBorders>
            <w:noWrap w:val="0"/>
            <w:vAlign w:val="top"/>
          </w:tcPr>
          <w:p w14:paraId="1C1444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2B7434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130AD0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3AF732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C058E6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正偏离（负偏离或无偏离）</w:t>
            </w:r>
          </w:p>
        </w:tc>
      </w:tr>
      <w:tr w14:paraId="0E2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688" w:type="dxa"/>
            <w:tcBorders>
              <w:top w:val="single" w:color="auto" w:sz="4" w:space="0"/>
              <w:left w:val="single" w:color="auto" w:sz="4" w:space="0"/>
              <w:bottom w:val="single" w:color="auto" w:sz="4" w:space="0"/>
              <w:right w:val="single" w:color="auto" w:sz="4" w:space="0"/>
            </w:tcBorders>
            <w:noWrap w:val="0"/>
            <w:vAlign w:val="top"/>
          </w:tcPr>
          <w:p w14:paraId="722C2E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09" w:type="dxa"/>
            <w:tcBorders>
              <w:top w:val="single" w:color="auto" w:sz="4" w:space="0"/>
              <w:left w:val="single" w:color="auto" w:sz="4" w:space="0"/>
              <w:bottom w:val="single" w:color="auto" w:sz="4" w:space="0"/>
              <w:right w:val="single" w:color="auto" w:sz="4" w:space="0"/>
            </w:tcBorders>
            <w:noWrap w:val="0"/>
            <w:vAlign w:val="top"/>
          </w:tcPr>
          <w:p w14:paraId="568A8E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5ED748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176336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248664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573" w:type="dxa"/>
            <w:tcBorders>
              <w:top w:val="single" w:color="auto" w:sz="4" w:space="0"/>
              <w:left w:val="single" w:color="auto" w:sz="4" w:space="0"/>
              <w:bottom w:val="single" w:color="auto" w:sz="4" w:space="0"/>
              <w:right w:val="single" w:color="auto" w:sz="4" w:space="0"/>
            </w:tcBorders>
            <w:noWrap w:val="0"/>
            <w:vAlign w:val="top"/>
          </w:tcPr>
          <w:p w14:paraId="312472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1B598F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F4C52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973BC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EFE4F0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正偏离（负偏离或无偏离）</w:t>
            </w:r>
          </w:p>
        </w:tc>
      </w:tr>
      <w:tr w14:paraId="47CC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688" w:type="dxa"/>
            <w:tcBorders>
              <w:top w:val="single" w:color="auto" w:sz="4" w:space="0"/>
              <w:left w:val="single" w:color="auto" w:sz="4" w:space="0"/>
              <w:bottom w:val="single" w:color="auto" w:sz="4" w:space="0"/>
              <w:right w:val="single" w:color="auto" w:sz="4" w:space="0"/>
            </w:tcBorders>
            <w:noWrap w:val="0"/>
            <w:vAlign w:val="top"/>
          </w:tcPr>
          <w:p w14:paraId="21187A7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909" w:type="dxa"/>
            <w:tcBorders>
              <w:top w:val="single" w:color="auto" w:sz="4" w:space="0"/>
              <w:left w:val="single" w:color="auto" w:sz="4" w:space="0"/>
              <w:bottom w:val="single" w:color="auto" w:sz="4" w:space="0"/>
              <w:right w:val="single" w:color="auto" w:sz="4" w:space="0"/>
            </w:tcBorders>
            <w:noWrap w:val="0"/>
            <w:vAlign w:val="top"/>
          </w:tcPr>
          <w:p w14:paraId="098541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0832D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5023D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549BB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573" w:type="dxa"/>
            <w:tcBorders>
              <w:top w:val="single" w:color="auto" w:sz="4" w:space="0"/>
              <w:left w:val="single" w:color="auto" w:sz="4" w:space="0"/>
              <w:bottom w:val="single" w:color="auto" w:sz="4" w:space="0"/>
              <w:right w:val="single" w:color="auto" w:sz="4" w:space="0"/>
            </w:tcBorders>
            <w:noWrap w:val="0"/>
            <w:vAlign w:val="top"/>
          </w:tcPr>
          <w:p w14:paraId="716B5B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4BE42A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71E207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E3EF9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1731167">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正偏离（负偏离或无偏离）</w:t>
            </w:r>
          </w:p>
        </w:tc>
      </w:tr>
    </w:tbl>
    <w:p w14:paraId="0F449C09">
      <w:pPr>
        <w:pStyle w:val="19"/>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456D187">
      <w:pPr>
        <w:pStyle w:val="25"/>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1.说明：应对照磋商文件“第二章 采购需求”中的商务条款逐条作出明确响应，并</w:t>
      </w:r>
      <w:r>
        <w:rPr>
          <w:rFonts w:hint="eastAsia" w:hAnsi="宋体" w:cs="宋体"/>
          <w:color w:val="auto"/>
          <w:sz w:val="24"/>
          <w:szCs w:val="24"/>
          <w:highlight w:val="none"/>
          <w:lang w:eastAsia="zh-CN"/>
        </w:rPr>
        <w:t>作出</w:t>
      </w:r>
      <w:r>
        <w:rPr>
          <w:rFonts w:hint="eastAsia" w:hAnsi="宋体" w:cs="宋体"/>
          <w:color w:val="auto"/>
          <w:sz w:val="24"/>
          <w:szCs w:val="24"/>
          <w:highlight w:val="none"/>
        </w:rPr>
        <w:t>偏离说明。</w:t>
      </w:r>
    </w:p>
    <w:p w14:paraId="7CA9AADC">
      <w:pPr>
        <w:pStyle w:val="25"/>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2.供应商应根据自身的承诺，对照磋商文件要求，在“偏离说明”中注明“正偏离”、“负偏离”或者“无偏离”。既不属于“正偏离”也不属于“负偏离”即为“无偏离”。</w:t>
      </w:r>
      <w:r>
        <w:rPr>
          <w:rFonts w:hint="eastAsia" w:hAnsi="宋体" w:cs="宋体"/>
          <w:b/>
          <w:bCs/>
          <w:color w:val="auto"/>
          <w:sz w:val="24"/>
          <w:szCs w:val="24"/>
          <w:highlight w:val="none"/>
        </w:rPr>
        <w:t>当响应文件的</w:t>
      </w:r>
      <w:r>
        <w:rPr>
          <w:rFonts w:hint="eastAsia" w:hAnsi="宋体" w:cs="宋体"/>
          <w:color w:val="auto"/>
          <w:sz w:val="24"/>
          <w:szCs w:val="24"/>
          <w:highlight w:val="none"/>
        </w:rPr>
        <w:t>商务内容低于竞争性磋商文件要求时，竞标人应当如实写明“负偏离”，否则视为虚假应标</w:t>
      </w:r>
    </w:p>
    <w:p w14:paraId="02F6E099">
      <w:pPr>
        <w:pStyle w:val="25"/>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3.表格内容均需按要求填写，不得留空，否则按竞标无效处理。</w:t>
      </w:r>
    </w:p>
    <w:p w14:paraId="5AA89EF8">
      <w:pPr>
        <w:pStyle w:val="25"/>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55A45F1">
      <w:pPr>
        <w:pStyle w:val="25"/>
        <w:spacing w:line="360" w:lineRule="auto"/>
        <w:contextualSpacing/>
        <w:rPr>
          <w:rFonts w:hint="eastAsia" w:hAnsi="宋体" w:cs="宋体"/>
          <w:color w:val="auto"/>
          <w:sz w:val="24"/>
          <w:highlight w:val="none"/>
        </w:rPr>
      </w:pPr>
    </w:p>
    <w:p w14:paraId="3B7940B8">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09137588">
      <w:pPr>
        <w:spacing w:line="360" w:lineRule="auto"/>
        <w:contextualSpacing/>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D83091B">
      <w:pPr>
        <w:spacing w:line="360" w:lineRule="auto"/>
        <w:contextualSpacing/>
        <w:jc w:val="center"/>
        <w:rPr>
          <w:rFonts w:hint="eastAsia" w:ascii="宋体" w:hAnsi="宋体" w:cs="宋体"/>
          <w:b/>
          <w:color w:val="auto"/>
          <w:sz w:val="24"/>
          <w:highlight w:val="none"/>
        </w:rPr>
      </w:pPr>
    </w:p>
    <w:p w14:paraId="306CD359">
      <w:pPr>
        <w:snapToGrid w:val="0"/>
        <w:spacing w:line="360" w:lineRule="auto"/>
        <w:ind w:firstLine="602" w:firstLineChars="200"/>
        <w:rPr>
          <w:rFonts w:hint="eastAsia" w:ascii="宋体" w:hAnsi="宋体" w:cs="宋体"/>
          <w:b/>
          <w:color w:val="auto"/>
          <w:sz w:val="30"/>
          <w:szCs w:val="30"/>
          <w:highlight w:val="none"/>
        </w:rPr>
      </w:pPr>
    </w:p>
    <w:p w14:paraId="53DED879">
      <w:pPr>
        <w:snapToGrid w:val="0"/>
        <w:spacing w:line="360" w:lineRule="auto"/>
        <w:ind w:firstLine="602" w:firstLineChars="200"/>
        <w:rPr>
          <w:rFonts w:hint="eastAsia" w:ascii="宋体" w:hAnsi="宋体" w:cs="宋体"/>
          <w:b/>
          <w:color w:val="auto"/>
          <w:sz w:val="30"/>
          <w:szCs w:val="30"/>
          <w:highlight w:val="none"/>
        </w:rPr>
      </w:pPr>
    </w:p>
    <w:p w14:paraId="139BE91D">
      <w:pPr>
        <w:snapToGrid w:val="0"/>
        <w:spacing w:line="360" w:lineRule="auto"/>
        <w:ind w:firstLine="602" w:firstLineChars="200"/>
        <w:rPr>
          <w:rFonts w:hint="eastAsia" w:ascii="宋体" w:hAnsi="宋体" w:cs="宋体"/>
          <w:b/>
          <w:color w:val="auto"/>
          <w:sz w:val="30"/>
          <w:szCs w:val="30"/>
          <w:highlight w:val="none"/>
        </w:rPr>
      </w:pPr>
    </w:p>
    <w:p w14:paraId="08869961">
      <w:pPr>
        <w:snapToGrid w:val="0"/>
        <w:spacing w:line="360" w:lineRule="auto"/>
        <w:ind w:firstLine="602" w:firstLineChars="200"/>
        <w:rPr>
          <w:rFonts w:hint="eastAsia" w:ascii="宋体" w:hAnsi="宋体" w:cs="宋体"/>
          <w:b/>
          <w:color w:val="auto"/>
          <w:sz w:val="30"/>
          <w:szCs w:val="30"/>
          <w:highlight w:val="none"/>
        </w:rPr>
      </w:pPr>
    </w:p>
    <w:p w14:paraId="004BF413">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五、竞标人情况介绍（格式自拟）</w:t>
      </w:r>
    </w:p>
    <w:p w14:paraId="2E7058CE">
      <w:pPr>
        <w:snapToGrid w:val="0"/>
        <w:spacing w:line="360" w:lineRule="auto"/>
        <w:ind w:firstLine="602" w:firstLineChars="200"/>
        <w:rPr>
          <w:rFonts w:hint="eastAsia" w:ascii="宋体" w:hAnsi="宋体" w:cs="宋体"/>
          <w:b/>
          <w:color w:val="auto"/>
          <w:sz w:val="30"/>
          <w:szCs w:val="30"/>
          <w:highlight w:val="none"/>
        </w:rPr>
      </w:pPr>
    </w:p>
    <w:p w14:paraId="625D40F0">
      <w:pPr>
        <w:pStyle w:val="18"/>
        <w:spacing w:line="360" w:lineRule="auto"/>
        <w:rPr>
          <w:rFonts w:hint="eastAsia" w:ascii="宋体" w:hAnsi="宋体" w:cs="宋体"/>
          <w:b/>
          <w:color w:val="auto"/>
          <w:sz w:val="30"/>
          <w:szCs w:val="30"/>
          <w:highlight w:val="none"/>
        </w:rPr>
      </w:pPr>
    </w:p>
    <w:p w14:paraId="78A5FC03">
      <w:pPr>
        <w:pStyle w:val="18"/>
        <w:spacing w:line="360" w:lineRule="auto"/>
        <w:rPr>
          <w:rFonts w:hint="eastAsia" w:ascii="宋体" w:hAnsi="宋体" w:cs="宋体"/>
          <w:b/>
          <w:color w:val="auto"/>
          <w:sz w:val="30"/>
          <w:szCs w:val="30"/>
          <w:highlight w:val="none"/>
        </w:rPr>
      </w:pPr>
    </w:p>
    <w:p w14:paraId="46646606">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EEFE885">
      <w:pPr>
        <w:spacing w:line="360" w:lineRule="auto"/>
        <w:ind w:firstLine="6098" w:firstLineChars="2541"/>
        <w:contextualSpacing/>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E9B6DC">
      <w:pPr>
        <w:snapToGrid w:val="0"/>
        <w:spacing w:before="120" w:beforeLines="50" w:after="50" w:line="360" w:lineRule="auto"/>
        <w:ind w:firstLine="602" w:firstLineChars="200"/>
        <w:rPr>
          <w:rFonts w:hint="eastAsia" w:ascii="宋体" w:hAnsi="宋体" w:cs="宋体"/>
          <w:b/>
          <w:color w:val="auto"/>
          <w:sz w:val="30"/>
          <w:szCs w:val="30"/>
          <w:highlight w:val="none"/>
        </w:rPr>
      </w:pPr>
    </w:p>
    <w:p w14:paraId="1BB36715">
      <w:pPr>
        <w:snapToGrid w:val="0"/>
        <w:spacing w:before="120" w:beforeLines="50" w:after="50" w:line="360" w:lineRule="auto"/>
        <w:ind w:firstLine="602" w:firstLineChars="200"/>
        <w:rPr>
          <w:rFonts w:hint="eastAsia" w:ascii="宋体" w:hAnsi="宋体" w:cs="宋体"/>
          <w:b/>
          <w:color w:val="auto"/>
          <w:sz w:val="30"/>
          <w:szCs w:val="30"/>
          <w:highlight w:val="none"/>
        </w:rPr>
        <w:sectPr>
          <w:pgSz w:w="11910" w:h="16840"/>
          <w:pgMar w:top="1440" w:right="1080" w:bottom="1440" w:left="1080" w:header="720" w:footer="720" w:gutter="0"/>
          <w:pgNumType w:fmt="decimal"/>
          <w:cols w:space="720" w:num="1"/>
        </w:sectPr>
      </w:pPr>
    </w:p>
    <w:p w14:paraId="2D696F0F">
      <w:pPr>
        <w:tabs>
          <w:tab w:val="left" w:pos="826"/>
        </w:tabs>
        <w:snapToGrid w:val="0"/>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六、类似业绩一览表</w:t>
      </w:r>
    </w:p>
    <w:p w14:paraId="40F8AD9D">
      <w:pPr>
        <w:pStyle w:val="18"/>
        <w:rPr>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30B5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3C7457B">
            <w:pPr>
              <w:jc w:val="center"/>
              <w:rPr>
                <w:rFonts w:ascii="宋体" w:hAnsi="宋体"/>
                <w:color w:val="auto"/>
                <w:szCs w:val="21"/>
                <w:highlight w:val="none"/>
              </w:rPr>
            </w:pPr>
            <w:r>
              <w:rPr>
                <w:rFonts w:hint="eastAsia" w:ascii="宋体" w:hAnsi="宋体" w:cs="宋体"/>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6386528">
            <w:pPr>
              <w:jc w:val="center"/>
              <w:rPr>
                <w:rFonts w:ascii="宋体" w:hAnsi="宋体"/>
                <w:color w:val="auto"/>
                <w:szCs w:val="21"/>
                <w:highlight w:val="none"/>
              </w:rPr>
            </w:pPr>
            <w:r>
              <w:rPr>
                <w:rFonts w:hint="eastAsia" w:ascii="宋体" w:hAnsi="宋体" w:cs="宋体"/>
                <w:color w:val="auto"/>
                <w:szCs w:val="21"/>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AB27C4">
            <w:pPr>
              <w:jc w:val="center"/>
              <w:rPr>
                <w:rFonts w:ascii="宋体" w:hAnsi="宋体"/>
                <w:color w:val="auto"/>
                <w:szCs w:val="21"/>
                <w:highlight w:val="none"/>
              </w:rPr>
            </w:pPr>
            <w:r>
              <w:rPr>
                <w:rFonts w:hint="eastAsia" w:ascii="宋体" w:hAnsi="宋体" w:cs="宋体"/>
                <w:color w:val="auto"/>
                <w:szCs w:val="21"/>
                <w:highlight w:val="none"/>
              </w:rPr>
              <w:t>工程名称</w:t>
            </w:r>
          </w:p>
          <w:p w14:paraId="289094F8">
            <w:pPr>
              <w:jc w:val="center"/>
              <w:rPr>
                <w:rFonts w:ascii="宋体" w:hAnsi="宋体"/>
                <w:color w:val="auto"/>
                <w:szCs w:val="21"/>
                <w:highlight w:val="none"/>
              </w:rPr>
            </w:pPr>
            <w:r>
              <w:rPr>
                <w:rFonts w:hint="eastAsia" w:ascii="宋体" w:hAnsi="宋体" w:cs="宋体"/>
                <w:color w:val="auto"/>
                <w:szCs w:val="21"/>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98F217A">
            <w:pPr>
              <w:jc w:val="center"/>
              <w:rPr>
                <w:rFonts w:ascii="宋体" w:hAnsi="宋体"/>
                <w:color w:val="auto"/>
                <w:szCs w:val="21"/>
                <w:highlight w:val="none"/>
              </w:rPr>
            </w:pPr>
            <w:r>
              <w:rPr>
                <w:rFonts w:hint="eastAsia" w:ascii="宋体" w:hAnsi="宋体" w:cs="宋体"/>
                <w:color w:val="auto"/>
                <w:szCs w:val="21"/>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49C977">
            <w:pPr>
              <w:jc w:val="center"/>
              <w:rPr>
                <w:rFonts w:ascii="宋体" w:hAnsi="宋体"/>
                <w:color w:val="auto"/>
                <w:szCs w:val="21"/>
                <w:highlight w:val="none"/>
              </w:rPr>
            </w:pPr>
            <w:r>
              <w:rPr>
                <w:rFonts w:hint="eastAsia" w:ascii="宋体" w:hAnsi="宋体" w:cs="宋体"/>
                <w:color w:val="auto"/>
                <w:szCs w:val="21"/>
                <w:highlight w:val="none"/>
              </w:rPr>
              <w:t>合同金额</w:t>
            </w:r>
          </w:p>
          <w:p w14:paraId="2FC3260E">
            <w:pPr>
              <w:jc w:val="center"/>
              <w:rPr>
                <w:rFonts w:ascii="宋体" w:hAnsi="宋体"/>
                <w:color w:val="auto"/>
                <w:szCs w:val="21"/>
                <w:highlight w:val="none"/>
              </w:rPr>
            </w:pPr>
            <w:r>
              <w:rPr>
                <w:rFonts w:hint="eastAsia" w:ascii="宋体" w:hAnsi="宋体" w:cs="宋体"/>
                <w:color w:val="auto"/>
                <w:szCs w:val="21"/>
                <w:highlight w:val="none"/>
              </w:rPr>
              <w:t>（万元）</w:t>
            </w:r>
          </w:p>
        </w:tc>
      </w:tr>
      <w:tr w14:paraId="42F7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3895FE6">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68A3FF7">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B1B39B">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BF57B89">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E9BAB">
            <w:pPr>
              <w:jc w:val="center"/>
              <w:rPr>
                <w:rFonts w:ascii="宋体" w:hAnsi="宋体"/>
                <w:color w:val="auto"/>
                <w:szCs w:val="21"/>
                <w:highlight w:val="none"/>
              </w:rPr>
            </w:pPr>
          </w:p>
        </w:tc>
      </w:tr>
      <w:tr w14:paraId="439B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82074CF">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C7F7CFF">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FF63EAD">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A080581">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623F53">
            <w:pPr>
              <w:jc w:val="center"/>
              <w:rPr>
                <w:rFonts w:ascii="宋体" w:hAnsi="宋体"/>
                <w:color w:val="auto"/>
                <w:szCs w:val="21"/>
                <w:highlight w:val="none"/>
              </w:rPr>
            </w:pPr>
          </w:p>
        </w:tc>
      </w:tr>
      <w:tr w14:paraId="3E32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2561C09">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BDC765B">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B5C3D46">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2C742B8">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395A1A">
            <w:pPr>
              <w:jc w:val="center"/>
              <w:rPr>
                <w:rFonts w:ascii="宋体" w:hAnsi="宋体"/>
                <w:color w:val="auto"/>
                <w:szCs w:val="21"/>
                <w:highlight w:val="none"/>
              </w:rPr>
            </w:pPr>
          </w:p>
        </w:tc>
      </w:tr>
      <w:tr w14:paraId="2CA0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A3BEF0F">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7700928">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CCB85D7">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C8452FC">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F6216A">
            <w:pPr>
              <w:jc w:val="center"/>
              <w:rPr>
                <w:rFonts w:ascii="宋体" w:hAnsi="宋体"/>
                <w:color w:val="auto"/>
                <w:szCs w:val="21"/>
                <w:highlight w:val="none"/>
              </w:rPr>
            </w:pPr>
          </w:p>
        </w:tc>
      </w:tr>
      <w:tr w14:paraId="0F37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FBEA959">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D198CA4">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A06AABA">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06F5D96">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CFCE84">
            <w:pPr>
              <w:jc w:val="center"/>
              <w:rPr>
                <w:rFonts w:ascii="宋体" w:hAnsi="宋体"/>
                <w:color w:val="auto"/>
                <w:szCs w:val="21"/>
                <w:highlight w:val="none"/>
              </w:rPr>
            </w:pPr>
          </w:p>
        </w:tc>
      </w:tr>
      <w:tr w14:paraId="4BAB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F9C1D83">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F4C1E1">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82A62D">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0B89D1C">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9ACEEE">
            <w:pPr>
              <w:jc w:val="center"/>
              <w:rPr>
                <w:rFonts w:ascii="宋体" w:hAnsi="宋体"/>
                <w:color w:val="auto"/>
                <w:szCs w:val="21"/>
                <w:highlight w:val="none"/>
              </w:rPr>
            </w:pPr>
          </w:p>
        </w:tc>
      </w:tr>
      <w:tr w14:paraId="2EEF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3656A3C">
            <w:pPr>
              <w:jc w:val="center"/>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52DECA">
            <w:pPr>
              <w:jc w:val="center"/>
              <w:rPr>
                <w:rFonts w:ascii="宋体" w:hAnsi="宋体"/>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047A393">
            <w:pPr>
              <w:jc w:val="center"/>
              <w:rPr>
                <w:rFonts w:ascii="宋体" w:hAnsi="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9A805CA">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63EEB">
            <w:pPr>
              <w:jc w:val="center"/>
              <w:rPr>
                <w:rFonts w:ascii="宋体" w:hAnsi="宋体"/>
                <w:color w:val="auto"/>
                <w:szCs w:val="21"/>
                <w:highlight w:val="none"/>
              </w:rPr>
            </w:pPr>
          </w:p>
        </w:tc>
      </w:tr>
    </w:tbl>
    <w:p w14:paraId="62C76D50">
      <w:pPr>
        <w:ind w:firstLine="420" w:firstLineChars="200"/>
        <w:rPr>
          <w:rFonts w:ascii="宋体" w:hAnsi="宋体"/>
          <w:color w:val="auto"/>
          <w:szCs w:val="21"/>
          <w:highlight w:val="none"/>
        </w:rPr>
      </w:pPr>
      <w:r>
        <w:rPr>
          <w:rFonts w:hint="eastAsia" w:ascii="宋体" w:hAnsi="宋体" w:cs="楷体_GB2312"/>
          <w:color w:val="auto"/>
          <w:szCs w:val="21"/>
          <w:highlight w:val="none"/>
        </w:rPr>
        <w:t>备注：</w:t>
      </w:r>
    </w:p>
    <w:p w14:paraId="1B52BF40">
      <w:pPr>
        <w:ind w:firstLine="630" w:firstLineChars="300"/>
        <w:rPr>
          <w:rFonts w:ascii="宋体" w:hAnsi="宋体"/>
          <w:color w:val="auto"/>
          <w:szCs w:val="21"/>
          <w:highlight w:val="none"/>
        </w:rPr>
      </w:pPr>
      <w:bookmarkStart w:id="205" w:name="OLE_LINK26"/>
      <w:r>
        <w:rPr>
          <w:rFonts w:ascii="宋体" w:hAnsi="宋体"/>
          <w:color w:val="auto"/>
          <w:szCs w:val="21"/>
          <w:highlight w:val="none"/>
        </w:rPr>
        <w:t>1</w:t>
      </w:r>
      <w:r>
        <w:rPr>
          <w:rFonts w:hint="eastAsia" w:ascii="宋体" w:hAnsi="宋体" w:cs="楷体_GB2312"/>
          <w:color w:val="auto"/>
          <w:szCs w:val="21"/>
          <w:highlight w:val="none"/>
        </w:rPr>
        <w:t>、附以上类似工程的成交/中标通知书（如有）或工程合同协议书。</w:t>
      </w:r>
    </w:p>
    <w:bookmarkEnd w:id="205"/>
    <w:p w14:paraId="06473AAB">
      <w:pPr>
        <w:jc w:val="center"/>
        <w:rPr>
          <w:rFonts w:ascii="宋体" w:hAnsi="宋体"/>
          <w:color w:val="auto"/>
          <w:szCs w:val="21"/>
          <w:highlight w:val="none"/>
        </w:rPr>
      </w:pPr>
    </w:p>
    <w:p w14:paraId="49C8C2EF">
      <w:pPr>
        <w:widowControl/>
        <w:tabs>
          <w:tab w:val="center" w:pos="4153"/>
          <w:tab w:val="right" w:pos="8306"/>
        </w:tabs>
        <w:snapToGrid w:val="0"/>
        <w:jc w:val="left"/>
        <w:rPr>
          <w:rFonts w:ascii="宋体" w:hAnsi="宋体"/>
          <w:color w:val="auto"/>
          <w:kern w:val="0"/>
          <w:szCs w:val="21"/>
          <w:highlight w:val="none"/>
        </w:rPr>
      </w:pPr>
    </w:p>
    <w:p w14:paraId="1D219876">
      <w:pPr>
        <w:widowControl/>
        <w:tabs>
          <w:tab w:val="center" w:pos="4153"/>
          <w:tab w:val="right" w:pos="8306"/>
        </w:tabs>
        <w:snapToGrid w:val="0"/>
        <w:jc w:val="left"/>
        <w:rPr>
          <w:rFonts w:ascii="宋体" w:hAnsi="宋体"/>
          <w:color w:val="auto"/>
          <w:kern w:val="0"/>
          <w:szCs w:val="21"/>
          <w:highlight w:val="none"/>
        </w:rPr>
      </w:pPr>
    </w:p>
    <w:p w14:paraId="01437495">
      <w:pPr>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4CF9FD2F">
      <w:pPr>
        <w:snapToGrid w:val="0"/>
        <w:spacing w:before="120" w:beforeLines="50" w:after="50" w:line="360" w:lineRule="auto"/>
        <w:ind w:firstLine="5880" w:firstLineChars="2800"/>
        <w:rPr>
          <w:rFonts w:hint="eastAsia" w:ascii="宋体" w:hAnsi="宋体" w:cs="宋体"/>
          <w:b/>
          <w:color w:val="auto"/>
          <w:sz w:val="30"/>
          <w:szCs w:val="30"/>
          <w:highlight w:val="none"/>
        </w:rPr>
      </w:pPr>
      <w:r>
        <w:rPr>
          <w:rFonts w:hint="eastAsia" w:ascii="宋体" w:hAnsi="宋体" w:cs="仿宋_GB2312"/>
          <w:color w:val="auto"/>
          <w:kern w:val="0"/>
          <w:szCs w:val="21"/>
          <w:highlight w:val="none"/>
          <w:lang w:val="zh-CN"/>
        </w:rPr>
        <w:t>日期：  年  月   日</w:t>
      </w:r>
    </w:p>
    <w:p w14:paraId="5FB20057">
      <w:pPr>
        <w:pStyle w:val="36"/>
        <w:snapToGrid w:val="0"/>
        <w:spacing w:line="360" w:lineRule="auto"/>
        <w:ind w:left="480" w:hanging="480"/>
        <w:rPr>
          <w:rFonts w:hint="eastAsia" w:ascii="宋体" w:hAnsi="宋体" w:cs="宋体"/>
          <w:color w:val="auto"/>
          <w:sz w:val="24"/>
          <w:highlight w:val="none"/>
        </w:rPr>
      </w:pPr>
    </w:p>
    <w:p w14:paraId="520FF085">
      <w:pPr>
        <w:jc w:val="center"/>
        <w:rPr>
          <w:rFonts w:ascii="宋体" w:hAnsi="宋体"/>
          <w:b/>
          <w:color w:val="auto"/>
          <w:sz w:val="30"/>
          <w:szCs w:val="30"/>
          <w:highlight w:val="none"/>
        </w:rPr>
      </w:pPr>
      <w:r>
        <w:rPr>
          <w:rFonts w:hint="eastAsia" w:ascii="宋体" w:hAnsi="宋体" w:cs="宋体"/>
          <w:b/>
          <w:color w:val="auto"/>
          <w:sz w:val="30"/>
          <w:szCs w:val="30"/>
          <w:highlight w:val="none"/>
        </w:rPr>
        <w:t>七、项目经理简历表</w:t>
      </w:r>
    </w:p>
    <w:p w14:paraId="31C03955">
      <w:pPr>
        <w:jc w:val="center"/>
        <w:rPr>
          <w:rFonts w:ascii="宋体" w:hAnsi="宋体"/>
          <w:color w:val="auto"/>
          <w:highlight w:val="none"/>
        </w:rPr>
      </w:pPr>
    </w:p>
    <w:tbl>
      <w:tblPr>
        <w:tblStyle w:val="49"/>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57B8170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5E2DB0">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D5DFE4">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25F63">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C301AD">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C97706">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85D810">
            <w:pPr>
              <w:jc w:val="center"/>
              <w:rPr>
                <w:rFonts w:ascii="宋体" w:hAnsi="宋体"/>
                <w:color w:val="auto"/>
                <w:szCs w:val="21"/>
                <w:highlight w:val="none"/>
              </w:rPr>
            </w:pPr>
          </w:p>
        </w:tc>
      </w:tr>
      <w:tr w14:paraId="49F42B8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3FFE51">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B4515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0FBF6">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E6B1A2">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FC7838">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10AFEA">
            <w:pPr>
              <w:jc w:val="center"/>
              <w:rPr>
                <w:rFonts w:ascii="宋体" w:hAnsi="宋体"/>
                <w:color w:val="auto"/>
                <w:szCs w:val="21"/>
                <w:highlight w:val="none"/>
              </w:rPr>
            </w:pPr>
          </w:p>
        </w:tc>
      </w:tr>
      <w:tr w14:paraId="63B146C6">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CEB3EA">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9B64E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C9AB46">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6A8C9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B01EB">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7989F5">
            <w:pPr>
              <w:jc w:val="center"/>
              <w:rPr>
                <w:rFonts w:ascii="宋体" w:hAnsi="宋体"/>
                <w:color w:val="auto"/>
                <w:szCs w:val="21"/>
                <w:highlight w:val="none"/>
              </w:rPr>
            </w:pPr>
          </w:p>
        </w:tc>
      </w:tr>
      <w:tr w14:paraId="462C4247">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FF7165">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6EB49A">
            <w:pPr>
              <w:jc w:val="center"/>
              <w:rPr>
                <w:rFonts w:ascii="宋体" w:hAnsi="宋体"/>
                <w:color w:val="auto"/>
                <w:szCs w:val="21"/>
                <w:highlight w:val="none"/>
              </w:rPr>
            </w:pPr>
          </w:p>
        </w:tc>
      </w:tr>
      <w:tr w14:paraId="70EF579C">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DF9F26">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48634F5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51E55B">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110CE4">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56A37E">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0CB533">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24C833">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3B24383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7218C6">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34F25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1D13F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F5195F">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E720A0">
            <w:pPr>
              <w:jc w:val="center"/>
              <w:rPr>
                <w:rFonts w:ascii="宋体" w:hAnsi="宋体"/>
                <w:color w:val="auto"/>
                <w:szCs w:val="21"/>
                <w:highlight w:val="none"/>
              </w:rPr>
            </w:pPr>
          </w:p>
        </w:tc>
      </w:tr>
      <w:tr w14:paraId="67A267D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36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5661B">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051BE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DC163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C67F63">
            <w:pPr>
              <w:jc w:val="center"/>
              <w:rPr>
                <w:rFonts w:ascii="宋体" w:hAnsi="宋体"/>
                <w:color w:val="auto"/>
                <w:szCs w:val="21"/>
                <w:highlight w:val="none"/>
              </w:rPr>
            </w:pPr>
          </w:p>
        </w:tc>
      </w:tr>
      <w:tr w14:paraId="5FA9352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F59AC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0C2EA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5D6B18">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40FC4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6FE17C">
            <w:pPr>
              <w:jc w:val="center"/>
              <w:rPr>
                <w:rFonts w:ascii="宋体" w:hAnsi="宋体"/>
                <w:color w:val="auto"/>
                <w:szCs w:val="21"/>
                <w:highlight w:val="none"/>
              </w:rPr>
            </w:pPr>
          </w:p>
        </w:tc>
      </w:tr>
      <w:tr w14:paraId="519E08F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A49D7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7B60A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04798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DC248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9A892A">
            <w:pPr>
              <w:jc w:val="center"/>
              <w:rPr>
                <w:rFonts w:ascii="宋体" w:hAnsi="宋体"/>
                <w:color w:val="auto"/>
                <w:szCs w:val="21"/>
                <w:highlight w:val="none"/>
              </w:rPr>
            </w:pPr>
          </w:p>
        </w:tc>
      </w:tr>
      <w:tr w14:paraId="6723109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A57AA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10DCA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9F00F6">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54876A">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2C1A53">
            <w:pPr>
              <w:jc w:val="center"/>
              <w:rPr>
                <w:rFonts w:ascii="宋体" w:hAnsi="宋体"/>
                <w:color w:val="auto"/>
                <w:szCs w:val="21"/>
                <w:highlight w:val="none"/>
              </w:rPr>
            </w:pPr>
          </w:p>
        </w:tc>
      </w:tr>
      <w:tr w14:paraId="6EE1D17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BE8C90">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308DF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761894">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905A3">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CC6881">
            <w:pPr>
              <w:jc w:val="center"/>
              <w:rPr>
                <w:rFonts w:ascii="宋体" w:hAnsi="宋体"/>
                <w:color w:val="auto"/>
                <w:szCs w:val="21"/>
                <w:highlight w:val="none"/>
              </w:rPr>
            </w:pPr>
          </w:p>
        </w:tc>
      </w:tr>
      <w:tr w14:paraId="3BB55C5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0BE4E0">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B10EB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4BEDE2">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488FFF">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7728DE">
            <w:pPr>
              <w:jc w:val="center"/>
              <w:rPr>
                <w:rFonts w:ascii="宋体" w:hAnsi="宋体"/>
                <w:color w:val="auto"/>
                <w:szCs w:val="21"/>
                <w:highlight w:val="none"/>
              </w:rPr>
            </w:pPr>
          </w:p>
        </w:tc>
      </w:tr>
      <w:tr w14:paraId="02EF8D1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8C6EE9">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94471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E117F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D900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FFEFFA">
            <w:pPr>
              <w:jc w:val="center"/>
              <w:rPr>
                <w:rFonts w:ascii="宋体" w:hAnsi="宋体"/>
                <w:color w:val="auto"/>
                <w:szCs w:val="21"/>
                <w:highlight w:val="none"/>
              </w:rPr>
            </w:pPr>
          </w:p>
        </w:tc>
      </w:tr>
      <w:tr w14:paraId="4173471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97FB4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275F3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D5C986">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66B098">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B6E2AE">
            <w:pPr>
              <w:jc w:val="center"/>
              <w:rPr>
                <w:rFonts w:ascii="宋体" w:hAnsi="宋体"/>
                <w:color w:val="auto"/>
                <w:szCs w:val="21"/>
                <w:highlight w:val="none"/>
              </w:rPr>
            </w:pPr>
          </w:p>
        </w:tc>
      </w:tr>
      <w:tr w14:paraId="490BCB0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B7C29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A829F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FE16B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66F9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3301CC">
            <w:pPr>
              <w:jc w:val="center"/>
              <w:rPr>
                <w:rFonts w:ascii="宋体" w:hAnsi="宋体"/>
                <w:color w:val="auto"/>
                <w:szCs w:val="21"/>
                <w:highlight w:val="none"/>
              </w:rPr>
            </w:pPr>
          </w:p>
        </w:tc>
      </w:tr>
      <w:tr w14:paraId="35A44F3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689B5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288744">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9DBFB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6738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1DB7DB">
            <w:pPr>
              <w:jc w:val="center"/>
              <w:rPr>
                <w:rFonts w:ascii="宋体" w:hAnsi="宋体"/>
                <w:color w:val="auto"/>
                <w:szCs w:val="21"/>
                <w:highlight w:val="none"/>
              </w:rPr>
            </w:pPr>
          </w:p>
        </w:tc>
      </w:tr>
      <w:tr w14:paraId="2DC68ED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5D5F2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73F224">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E24D7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8B32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186EBB">
            <w:pPr>
              <w:jc w:val="center"/>
              <w:rPr>
                <w:rFonts w:ascii="宋体" w:hAnsi="宋体"/>
                <w:color w:val="auto"/>
                <w:szCs w:val="21"/>
                <w:highlight w:val="none"/>
              </w:rPr>
            </w:pPr>
          </w:p>
        </w:tc>
      </w:tr>
    </w:tbl>
    <w:p w14:paraId="6186AFB4">
      <w:pPr>
        <w:rPr>
          <w:rFonts w:ascii="宋体" w:hAnsi="宋体"/>
          <w:color w:val="auto"/>
          <w:szCs w:val="21"/>
          <w:highlight w:val="none"/>
        </w:rPr>
      </w:pPr>
    </w:p>
    <w:p w14:paraId="4A57D0C2">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w:t>
      </w:r>
    </w:p>
    <w:p w14:paraId="751C28C9">
      <w:pPr>
        <w:rPr>
          <w:rFonts w:ascii="宋体" w:hAnsi="宋体"/>
          <w:b/>
          <w:color w:val="auto"/>
          <w:szCs w:val="21"/>
          <w:highlight w:val="none"/>
        </w:rPr>
      </w:pPr>
    </w:p>
    <w:p w14:paraId="6F9EA318">
      <w:pPr>
        <w:rPr>
          <w:rFonts w:ascii="宋体" w:hAnsi="宋体"/>
          <w:b/>
          <w:color w:val="auto"/>
          <w:szCs w:val="21"/>
          <w:highlight w:val="none"/>
        </w:rPr>
      </w:pPr>
    </w:p>
    <w:p w14:paraId="1CE6C8BF">
      <w:pPr>
        <w:rPr>
          <w:rFonts w:ascii="宋体" w:hAnsi="宋体"/>
          <w:b/>
          <w:color w:val="auto"/>
          <w:szCs w:val="21"/>
          <w:highlight w:val="none"/>
        </w:rPr>
      </w:pPr>
    </w:p>
    <w:p w14:paraId="3FAABCDE">
      <w:pPr>
        <w:rPr>
          <w:rFonts w:ascii="宋体" w:hAnsi="宋体"/>
          <w:b/>
          <w:color w:val="auto"/>
          <w:szCs w:val="21"/>
          <w:highlight w:val="none"/>
        </w:rPr>
      </w:pPr>
    </w:p>
    <w:p w14:paraId="52192366">
      <w:pPr>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21B7CF37">
      <w:pPr>
        <w:pStyle w:val="36"/>
        <w:snapToGrid w:val="0"/>
        <w:spacing w:line="360" w:lineRule="auto"/>
        <w:ind w:left="409" w:leftChars="195" w:firstLine="5460" w:firstLineChars="2600"/>
        <w:rPr>
          <w:rFonts w:hint="eastAsia" w:ascii="宋体" w:hAnsi="宋体" w:cs="宋体"/>
          <w:color w:val="auto"/>
          <w:sz w:val="24"/>
          <w:highlight w:val="none"/>
        </w:rPr>
      </w:pPr>
      <w:r>
        <w:rPr>
          <w:rFonts w:hint="eastAsia" w:ascii="宋体" w:hAnsi="宋体" w:cs="仿宋_GB2312"/>
          <w:color w:val="auto"/>
          <w:kern w:val="0"/>
          <w:szCs w:val="21"/>
          <w:highlight w:val="none"/>
          <w:lang w:val="zh-CN"/>
        </w:rPr>
        <w:t>日期：  年  月   日</w:t>
      </w:r>
    </w:p>
    <w:p w14:paraId="7DB86812">
      <w:pPr>
        <w:pStyle w:val="36"/>
        <w:snapToGrid w:val="0"/>
        <w:spacing w:line="360" w:lineRule="auto"/>
        <w:ind w:left="480" w:hanging="480"/>
        <w:rPr>
          <w:rFonts w:hint="eastAsia" w:ascii="宋体" w:hAnsi="宋体" w:cs="宋体"/>
          <w:color w:val="auto"/>
          <w:sz w:val="24"/>
          <w:highlight w:val="none"/>
        </w:rPr>
      </w:pPr>
    </w:p>
    <w:p w14:paraId="13481B2F">
      <w:pPr>
        <w:pStyle w:val="36"/>
        <w:snapToGrid w:val="0"/>
        <w:spacing w:line="360" w:lineRule="auto"/>
        <w:ind w:left="480" w:hanging="480"/>
        <w:rPr>
          <w:rFonts w:hint="eastAsia" w:ascii="宋体" w:hAnsi="宋体" w:cs="宋体"/>
          <w:color w:val="auto"/>
          <w:sz w:val="24"/>
          <w:highlight w:val="none"/>
        </w:rPr>
        <w:sectPr>
          <w:pgSz w:w="11910" w:h="16840"/>
          <w:pgMar w:top="1440" w:right="1080" w:bottom="1440" w:left="1080" w:header="720" w:footer="720" w:gutter="0"/>
          <w:pgNumType w:fmt="decimal"/>
          <w:cols w:space="720" w:num="1"/>
        </w:sectPr>
      </w:pPr>
    </w:p>
    <w:p w14:paraId="3D1B0862">
      <w:pPr>
        <w:snapToGrid w:val="0"/>
        <w:spacing w:line="360" w:lineRule="auto"/>
        <w:ind w:left="480"/>
        <w:jc w:val="center"/>
        <w:rPr>
          <w:rFonts w:hint="eastAsia" w:ascii="宋体" w:hAnsi="宋体" w:cs="宋体"/>
          <w:b/>
          <w:color w:val="auto"/>
          <w:sz w:val="30"/>
          <w:szCs w:val="30"/>
          <w:highlight w:val="none"/>
        </w:rPr>
      </w:pPr>
      <w:bookmarkStart w:id="206" w:name="_Toc2647"/>
      <w:r>
        <w:rPr>
          <w:rFonts w:hint="eastAsia" w:ascii="宋体" w:hAnsi="宋体" w:cs="宋体"/>
          <w:b/>
          <w:color w:val="auto"/>
          <w:sz w:val="28"/>
          <w:szCs w:val="28"/>
          <w:highlight w:val="none"/>
        </w:rPr>
        <w:t>八、项目管理机构配备情况表</w:t>
      </w:r>
      <w:bookmarkEnd w:id="206"/>
    </w:p>
    <w:p w14:paraId="2CCCD8FD">
      <w:pPr>
        <w:widowControl/>
        <w:rPr>
          <w:rFonts w:hint="eastAsia" w:ascii="宋体" w:hAnsi="宋体" w:cs="宋体"/>
          <w:color w:val="auto"/>
          <w:szCs w:val="21"/>
          <w:highlight w:val="none"/>
          <w:u w:val="single"/>
        </w:rPr>
      </w:pPr>
      <w:bookmarkStart w:id="207" w:name="_Toc251052185"/>
    </w:p>
    <w:p w14:paraId="6DB4622F">
      <w:pPr>
        <w:widowControl/>
        <w:ind w:firstLine="210" w:firstLineChars="100"/>
        <w:rPr>
          <w:rFonts w:ascii="宋体" w:hAnsi="宋体"/>
          <w:color w:val="auto"/>
          <w:szCs w:val="21"/>
          <w:highlight w:val="none"/>
        </w:rPr>
      </w:pPr>
      <w:r>
        <w:rPr>
          <w:rFonts w:hint="eastAsia" w:ascii="宋体" w:hAnsi="宋体" w:cs="宋体"/>
          <w:color w:val="auto"/>
          <w:szCs w:val="21"/>
          <w:highlight w:val="none"/>
        </w:rPr>
        <w:t>项目名称</w:t>
      </w:r>
      <w:bookmarkEnd w:id="207"/>
      <w:r>
        <w:rPr>
          <w:rFonts w:hint="eastAsia" w:ascii="宋体" w:hAnsi="宋体" w:cs="宋体"/>
          <w:color w:val="auto"/>
          <w:szCs w:val="21"/>
          <w:highlight w:val="none"/>
        </w:rPr>
        <w:t>：                                       项目编号：</w:t>
      </w:r>
    </w:p>
    <w:tbl>
      <w:tblPr>
        <w:tblStyle w:val="4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2791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4ED92251">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6CE0CFEC">
            <w:pPr>
              <w:ind w:left="223" w:hanging="222" w:hangingChars="106"/>
              <w:jc w:val="center"/>
              <w:rPr>
                <w:rFonts w:ascii="宋体" w:hAnsi="宋体"/>
                <w:color w:val="auto"/>
                <w:szCs w:val="21"/>
                <w:highlight w:val="none"/>
              </w:rPr>
            </w:pPr>
            <w:bookmarkStart w:id="208" w:name="_Toc251052187"/>
            <w:r>
              <w:rPr>
                <w:rFonts w:hint="eastAsia" w:ascii="宋体" w:hAnsi="宋体" w:cs="宋体"/>
                <w:color w:val="auto"/>
                <w:szCs w:val="21"/>
                <w:highlight w:val="none"/>
              </w:rPr>
              <w:t>姓名</w:t>
            </w:r>
            <w:bookmarkEnd w:id="208"/>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12C3D78">
            <w:pPr>
              <w:ind w:left="223" w:hanging="222" w:hangingChars="106"/>
              <w:jc w:val="center"/>
              <w:rPr>
                <w:rFonts w:ascii="宋体" w:hAnsi="宋体"/>
                <w:color w:val="auto"/>
                <w:szCs w:val="21"/>
                <w:highlight w:val="none"/>
              </w:rPr>
            </w:pPr>
            <w:bookmarkStart w:id="209" w:name="_Toc251052188"/>
            <w:r>
              <w:rPr>
                <w:rFonts w:hint="eastAsia" w:ascii="宋体" w:hAnsi="宋体" w:cs="宋体"/>
                <w:color w:val="auto"/>
                <w:szCs w:val="21"/>
                <w:highlight w:val="none"/>
              </w:rPr>
              <w:t>职称</w:t>
            </w:r>
            <w:bookmarkEnd w:id="209"/>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5E3C66D7">
            <w:pPr>
              <w:ind w:left="223" w:hanging="222" w:hangingChars="106"/>
              <w:jc w:val="center"/>
              <w:rPr>
                <w:rFonts w:ascii="宋体" w:hAnsi="宋体"/>
                <w:color w:val="auto"/>
                <w:szCs w:val="21"/>
                <w:highlight w:val="none"/>
              </w:rPr>
            </w:pPr>
            <w:bookmarkStart w:id="210" w:name="_Toc251052189"/>
            <w:r>
              <w:rPr>
                <w:rFonts w:hint="eastAsia" w:ascii="宋体" w:hAnsi="宋体" w:cs="宋体"/>
                <w:color w:val="auto"/>
                <w:szCs w:val="21"/>
                <w:highlight w:val="none"/>
              </w:rPr>
              <w:t>执业或职业资格证明</w:t>
            </w:r>
            <w:bookmarkEnd w:id="210"/>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AECDEB0">
            <w:pPr>
              <w:ind w:left="223" w:hanging="222" w:hangingChars="106"/>
              <w:jc w:val="center"/>
              <w:rPr>
                <w:rFonts w:ascii="宋体" w:hAnsi="宋体"/>
                <w:color w:val="auto"/>
                <w:szCs w:val="21"/>
                <w:highlight w:val="none"/>
              </w:rPr>
            </w:pPr>
            <w:bookmarkStart w:id="211" w:name="_Toc251052190"/>
            <w:r>
              <w:rPr>
                <w:rFonts w:hint="eastAsia" w:ascii="宋体" w:hAnsi="宋体" w:cs="宋体"/>
                <w:color w:val="auto"/>
                <w:szCs w:val="21"/>
                <w:highlight w:val="none"/>
              </w:rPr>
              <w:t>承担完工</w:t>
            </w:r>
            <w:bookmarkEnd w:id="211"/>
            <w:bookmarkStart w:id="212" w:name="_Toc251052191"/>
            <w:r>
              <w:rPr>
                <w:rFonts w:hint="eastAsia" w:ascii="宋体" w:hAnsi="宋体" w:cs="宋体"/>
                <w:color w:val="auto"/>
                <w:szCs w:val="21"/>
                <w:highlight w:val="none"/>
              </w:rPr>
              <w:t>工程情况</w:t>
            </w:r>
            <w:bookmarkEnd w:id="212"/>
          </w:p>
        </w:tc>
      </w:tr>
      <w:tr w14:paraId="229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0D77AAC">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29572D2E">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4B002417">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09A58F">
            <w:pPr>
              <w:ind w:left="223" w:hanging="222" w:hangingChars="106"/>
              <w:jc w:val="center"/>
              <w:rPr>
                <w:rFonts w:ascii="宋体" w:hAnsi="宋体"/>
                <w:color w:val="auto"/>
                <w:szCs w:val="21"/>
                <w:highlight w:val="none"/>
              </w:rPr>
            </w:pPr>
            <w:bookmarkStart w:id="213" w:name="_Toc251052192"/>
            <w:r>
              <w:rPr>
                <w:rFonts w:hint="eastAsia" w:ascii="宋体" w:hAnsi="宋体" w:cs="宋体"/>
                <w:color w:val="auto"/>
                <w:szCs w:val="21"/>
                <w:highlight w:val="none"/>
              </w:rPr>
              <w:t>证书名称</w:t>
            </w:r>
            <w:bookmarkEnd w:id="213"/>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0EBEC3">
            <w:pPr>
              <w:ind w:left="223" w:hanging="222" w:hangingChars="106"/>
              <w:jc w:val="center"/>
              <w:rPr>
                <w:rFonts w:ascii="宋体" w:hAnsi="宋体"/>
                <w:color w:val="auto"/>
                <w:szCs w:val="21"/>
                <w:highlight w:val="none"/>
              </w:rPr>
            </w:pPr>
            <w:bookmarkStart w:id="214" w:name="_Toc251052193"/>
            <w:r>
              <w:rPr>
                <w:rFonts w:hint="eastAsia" w:ascii="宋体" w:hAnsi="宋体" w:cs="宋体"/>
                <w:color w:val="auto"/>
                <w:szCs w:val="21"/>
                <w:highlight w:val="none"/>
              </w:rPr>
              <w:t>级别</w:t>
            </w:r>
            <w:bookmarkEnd w:id="214"/>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109E31">
            <w:pPr>
              <w:ind w:left="223" w:hanging="222" w:hangingChars="106"/>
              <w:jc w:val="center"/>
              <w:rPr>
                <w:rFonts w:ascii="宋体" w:hAnsi="宋体"/>
                <w:color w:val="auto"/>
                <w:szCs w:val="21"/>
                <w:highlight w:val="none"/>
              </w:rPr>
            </w:pPr>
            <w:bookmarkStart w:id="215" w:name="_Toc251052194"/>
            <w:r>
              <w:rPr>
                <w:rFonts w:hint="eastAsia" w:ascii="宋体" w:hAnsi="宋体" w:cs="宋体"/>
                <w:color w:val="auto"/>
                <w:szCs w:val="21"/>
                <w:highlight w:val="none"/>
              </w:rPr>
              <w:t>证号</w:t>
            </w:r>
            <w:bookmarkEnd w:id="215"/>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0717FA">
            <w:pPr>
              <w:ind w:left="223" w:hanging="222" w:hangingChars="106"/>
              <w:jc w:val="center"/>
              <w:rPr>
                <w:rFonts w:ascii="宋体" w:hAnsi="宋体"/>
                <w:color w:val="auto"/>
                <w:szCs w:val="21"/>
                <w:highlight w:val="none"/>
              </w:rPr>
            </w:pPr>
            <w:bookmarkStart w:id="216" w:name="_Toc251052195"/>
            <w:r>
              <w:rPr>
                <w:rFonts w:hint="eastAsia" w:ascii="宋体" w:hAnsi="宋体" w:cs="宋体"/>
                <w:color w:val="auto"/>
                <w:szCs w:val="21"/>
                <w:highlight w:val="none"/>
              </w:rPr>
              <w:t>专业</w:t>
            </w:r>
            <w:bookmarkEnd w:id="216"/>
          </w:p>
        </w:tc>
        <w:tc>
          <w:tcPr>
            <w:tcW w:w="850" w:type="dxa"/>
            <w:tcBorders>
              <w:top w:val="single" w:color="auto" w:sz="4" w:space="0"/>
              <w:left w:val="single" w:color="auto" w:sz="4" w:space="0"/>
              <w:bottom w:val="single" w:color="auto" w:sz="4" w:space="0"/>
              <w:right w:val="single" w:color="auto" w:sz="4" w:space="0"/>
            </w:tcBorders>
            <w:noWrap w:val="0"/>
            <w:vAlign w:val="center"/>
          </w:tcPr>
          <w:p w14:paraId="5C9F5A6B">
            <w:pPr>
              <w:ind w:left="223" w:hanging="222" w:hangingChars="106"/>
              <w:jc w:val="center"/>
              <w:rPr>
                <w:rFonts w:ascii="宋体" w:hAnsi="宋体"/>
                <w:color w:val="auto"/>
                <w:szCs w:val="21"/>
                <w:highlight w:val="none"/>
              </w:rPr>
            </w:pPr>
            <w:bookmarkStart w:id="217" w:name="_Toc251052197"/>
            <w:r>
              <w:rPr>
                <w:rFonts w:hint="eastAsia" w:ascii="宋体" w:hAnsi="宋体" w:cs="宋体"/>
                <w:color w:val="auto"/>
                <w:szCs w:val="21"/>
                <w:highlight w:val="none"/>
              </w:rPr>
              <w:t>项目数</w:t>
            </w:r>
            <w:bookmarkEnd w:id="217"/>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215B6F">
            <w:pPr>
              <w:ind w:left="223" w:hanging="222" w:hangingChars="106"/>
              <w:jc w:val="center"/>
              <w:rPr>
                <w:rFonts w:ascii="宋体" w:hAnsi="宋体"/>
                <w:color w:val="auto"/>
                <w:szCs w:val="21"/>
                <w:highlight w:val="none"/>
              </w:rPr>
            </w:pPr>
            <w:bookmarkStart w:id="218" w:name="_Toc251052198"/>
            <w:r>
              <w:rPr>
                <w:rFonts w:hint="eastAsia" w:ascii="宋体" w:hAnsi="宋体" w:cs="宋体"/>
                <w:color w:val="auto"/>
                <w:szCs w:val="21"/>
                <w:highlight w:val="none"/>
              </w:rPr>
              <w:t>主要项目</w:t>
            </w:r>
          </w:p>
          <w:p w14:paraId="1567646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bookmarkEnd w:id="218"/>
          </w:p>
        </w:tc>
      </w:tr>
      <w:tr w14:paraId="7A20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E37569D">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6E48BE1">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2369782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18F71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9BF2DE">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9A7E9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A43C81">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7FE0EB">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44FA89">
            <w:pPr>
              <w:ind w:left="223" w:hanging="222" w:hangingChars="106"/>
              <w:jc w:val="center"/>
              <w:rPr>
                <w:rFonts w:ascii="宋体" w:hAnsi="宋体"/>
                <w:color w:val="auto"/>
                <w:szCs w:val="21"/>
                <w:highlight w:val="none"/>
              </w:rPr>
            </w:pPr>
          </w:p>
        </w:tc>
      </w:tr>
      <w:tr w14:paraId="65F8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425DA5C">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43FC950">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2138373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9C453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C6A7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73D42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0A282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B57766">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8D0757C">
            <w:pPr>
              <w:ind w:left="223" w:hanging="222" w:hangingChars="106"/>
              <w:jc w:val="center"/>
              <w:rPr>
                <w:rFonts w:ascii="宋体" w:hAnsi="宋体"/>
                <w:color w:val="auto"/>
                <w:szCs w:val="21"/>
                <w:highlight w:val="none"/>
              </w:rPr>
            </w:pPr>
          </w:p>
        </w:tc>
      </w:tr>
      <w:tr w14:paraId="6E24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2D15DBF">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8E0965D">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2B2F083E">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C7BA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2212D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95F13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69FFCE">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64C260">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FD00F7">
            <w:pPr>
              <w:ind w:left="223" w:hanging="222" w:hangingChars="106"/>
              <w:jc w:val="center"/>
              <w:rPr>
                <w:rFonts w:ascii="宋体" w:hAnsi="宋体"/>
                <w:color w:val="auto"/>
                <w:szCs w:val="21"/>
                <w:highlight w:val="none"/>
              </w:rPr>
            </w:pPr>
          </w:p>
        </w:tc>
      </w:tr>
      <w:tr w14:paraId="3C1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36F86A66">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4209E4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E3CD77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B7AE7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FB81FA">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04965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D3CD11">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4A904F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8AE6F0">
            <w:pPr>
              <w:ind w:left="223" w:hanging="222" w:hangingChars="106"/>
              <w:jc w:val="center"/>
              <w:rPr>
                <w:rFonts w:ascii="宋体" w:hAnsi="宋体"/>
                <w:color w:val="auto"/>
                <w:szCs w:val="21"/>
                <w:highlight w:val="none"/>
              </w:rPr>
            </w:pPr>
          </w:p>
        </w:tc>
      </w:tr>
    </w:tbl>
    <w:p w14:paraId="0C6E7E33">
      <w:pPr>
        <w:jc w:val="center"/>
        <w:rPr>
          <w:rFonts w:ascii="宋体" w:hAnsi="宋体"/>
          <w:b/>
          <w:color w:val="auto"/>
          <w:szCs w:val="21"/>
          <w:highlight w:val="none"/>
        </w:rPr>
      </w:pPr>
    </w:p>
    <w:p w14:paraId="3278A28B">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w:t>
      </w:r>
      <w:r>
        <w:rPr>
          <w:rFonts w:hint="eastAsia"/>
          <w:color w:val="auto"/>
          <w:highlight w:val="none"/>
          <w:lang w:val="en-US" w:eastAsia="zh-CN"/>
        </w:rPr>
        <w:t>身份证、职称证（如有）、社保证明</w:t>
      </w:r>
      <w:r>
        <w:rPr>
          <w:rFonts w:hint="eastAsia" w:ascii="宋体" w:hAnsi="宋体" w:cs="楷体_GB2312"/>
          <w:color w:val="auto"/>
          <w:szCs w:val="21"/>
          <w:highlight w:val="none"/>
          <w:lang w:val="en-US" w:eastAsia="zh-CN"/>
        </w:rPr>
        <w:t>材料</w:t>
      </w:r>
      <w:r>
        <w:rPr>
          <w:rFonts w:hint="eastAsia" w:ascii="宋体" w:hAnsi="宋体" w:cs="楷体_GB2312"/>
          <w:color w:val="auto"/>
          <w:szCs w:val="21"/>
          <w:highlight w:val="none"/>
        </w:rPr>
        <w:t>。】</w:t>
      </w:r>
    </w:p>
    <w:p w14:paraId="0505D81E">
      <w:pPr>
        <w:spacing w:line="440" w:lineRule="exact"/>
        <w:jc w:val="center"/>
        <w:rPr>
          <w:rFonts w:ascii="宋体" w:hAnsi="宋体"/>
          <w:b/>
          <w:color w:val="auto"/>
          <w:szCs w:val="21"/>
          <w:highlight w:val="none"/>
        </w:rPr>
      </w:pPr>
    </w:p>
    <w:p w14:paraId="7FF6A0EA">
      <w:pPr>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2CB4B1BB">
      <w:pPr>
        <w:pStyle w:val="18"/>
        <w:snapToGrid w:val="0"/>
        <w:spacing w:line="360" w:lineRule="auto"/>
        <w:ind w:left="480" w:firstLine="6090" w:firstLineChars="2900"/>
        <w:rPr>
          <w:rFonts w:hint="eastAsia" w:ascii="宋体" w:hAnsi="宋体" w:cs="宋体"/>
          <w:b/>
          <w:color w:val="auto"/>
          <w:sz w:val="30"/>
          <w:szCs w:val="30"/>
          <w:highlight w:val="none"/>
        </w:rPr>
      </w:pPr>
      <w:r>
        <w:rPr>
          <w:rFonts w:hint="eastAsia" w:ascii="宋体" w:hAnsi="宋体" w:cs="仿宋_GB2312"/>
          <w:color w:val="auto"/>
          <w:kern w:val="0"/>
          <w:szCs w:val="21"/>
          <w:highlight w:val="none"/>
          <w:lang w:val="zh-CN"/>
        </w:rPr>
        <w:t>日期：  年  月   日</w:t>
      </w:r>
    </w:p>
    <w:p w14:paraId="66EF751B">
      <w:pPr>
        <w:snapToGrid w:val="0"/>
        <w:spacing w:line="360" w:lineRule="auto"/>
        <w:ind w:left="480" w:hanging="480"/>
        <w:rPr>
          <w:rFonts w:hint="eastAsia"/>
          <w:color w:val="auto"/>
          <w:highlight w:val="none"/>
        </w:rPr>
        <w:sectPr>
          <w:pgSz w:w="11910" w:h="16840"/>
          <w:pgMar w:top="1440" w:right="1080" w:bottom="1440" w:left="1080" w:header="720" w:footer="720" w:gutter="0"/>
          <w:pgNumType w:fmt="decimal"/>
          <w:cols w:space="720" w:num="1"/>
        </w:sectPr>
      </w:pPr>
    </w:p>
    <w:p w14:paraId="1310D223">
      <w:pPr>
        <w:rPr>
          <w:rFonts w:hint="eastAsia"/>
          <w:color w:val="auto"/>
          <w:highlight w:val="none"/>
          <w:lang w:val="zh-CN"/>
        </w:rPr>
      </w:pPr>
    </w:p>
    <w:p w14:paraId="02331EF9">
      <w:pPr>
        <w:rPr>
          <w:rFonts w:hint="eastAsia"/>
          <w:color w:val="auto"/>
          <w:highlight w:val="none"/>
          <w:lang w:val="zh-CN"/>
        </w:rPr>
      </w:pPr>
    </w:p>
    <w:p w14:paraId="1E7EFADB">
      <w:pPr>
        <w:snapToGrid w:val="0"/>
        <w:spacing w:line="360" w:lineRule="auto"/>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九、</w:t>
      </w:r>
      <w:r>
        <w:rPr>
          <w:rFonts w:hint="eastAsia" w:ascii="宋体" w:hAnsi="宋体" w:cs="宋体"/>
          <w:b/>
          <w:color w:val="auto"/>
          <w:sz w:val="30"/>
          <w:szCs w:val="30"/>
          <w:highlight w:val="none"/>
          <w:lang w:val="en-US" w:eastAsia="zh-CN"/>
        </w:rPr>
        <w:t>施工组织设计</w:t>
      </w:r>
    </w:p>
    <w:p w14:paraId="196F24DD">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B437F00">
      <w:pPr>
        <w:pStyle w:val="18"/>
        <w:spacing w:line="360" w:lineRule="auto"/>
        <w:rPr>
          <w:rFonts w:hint="eastAsia" w:ascii="宋体" w:hAnsi="宋体" w:cs="宋体"/>
          <w:color w:val="auto"/>
          <w:highlight w:val="none"/>
        </w:rPr>
      </w:pPr>
    </w:p>
    <w:p w14:paraId="5210DE7F">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0423667">
      <w:pPr>
        <w:spacing w:line="360" w:lineRule="auto"/>
        <w:ind w:firstLine="6098" w:firstLineChars="2541"/>
        <w:contextualSpacing/>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381CDB0">
      <w:pPr>
        <w:rPr>
          <w:rFonts w:hint="eastAsia"/>
          <w:color w:val="auto"/>
          <w:highlight w:val="none"/>
          <w:lang w:val="zh-CN"/>
        </w:rPr>
      </w:pPr>
    </w:p>
    <w:p w14:paraId="702591A6">
      <w:pPr>
        <w:pStyle w:val="18"/>
        <w:rPr>
          <w:rFonts w:hint="eastAsia" w:ascii="宋体" w:hAnsi="宋体" w:eastAsia="宋体" w:cs="宋体"/>
          <w:color w:val="auto"/>
          <w:kern w:val="0"/>
          <w:sz w:val="24"/>
          <w:highlight w:val="none"/>
          <w:lang w:val="en-US" w:eastAsia="zh-CN"/>
        </w:rPr>
      </w:pPr>
    </w:p>
    <w:p w14:paraId="33BF6D76">
      <w:pPr>
        <w:rPr>
          <w:rFonts w:hint="eastAsia"/>
          <w:color w:val="auto"/>
          <w:highlight w:val="none"/>
          <w:lang w:val="en-US" w:eastAsia="zh-CN"/>
        </w:rPr>
      </w:pPr>
    </w:p>
    <w:p w14:paraId="24222577">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十、对应采购需求的技术需求、商务条款提供的其他文件资料</w:t>
      </w:r>
    </w:p>
    <w:p w14:paraId="447D3061">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7CBC96A8">
      <w:pPr>
        <w:pStyle w:val="18"/>
        <w:spacing w:line="360" w:lineRule="auto"/>
        <w:rPr>
          <w:rFonts w:hint="eastAsia" w:ascii="宋体" w:hAnsi="宋体" w:cs="宋体"/>
          <w:color w:val="auto"/>
          <w:highlight w:val="none"/>
        </w:rPr>
      </w:pPr>
    </w:p>
    <w:p w14:paraId="2C25748C">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821A6A9">
      <w:pPr>
        <w:pStyle w:val="27"/>
        <w:ind w:left="52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DA9104B">
      <w:pPr>
        <w:rPr>
          <w:rFonts w:hint="eastAsia" w:ascii="宋体" w:hAnsi="宋体" w:cs="宋体"/>
          <w:color w:val="auto"/>
          <w:kern w:val="0"/>
          <w:sz w:val="24"/>
          <w:highlight w:val="none"/>
          <w:lang w:val="zh-CN"/>
        </w:rPr>
      </w:pPr>
    </w:p>
    <w:p w14:paraId="7C1DDEA9">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十</w:t>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、供应商认为需要提供的其他有关资料。</w:t>
      </w:r>
    </w:p>
    <w:p w14:paraId="1E2724DB">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53F43925">
      <w:pPr>
        <w:pStyle w:val="18"/>
        <w:spacing w:line="360" w:lineRule="auto"/>
        <w:rPr>
          <w:rFonts w:hint="eastAsia" w:ascii="宋体" w:hAnsi="宋体" w:cs="宋体"/>
          <w:color w:val="auto"/>
          <w:highlight w:val="none"/>
        </w:rPr>
      </w:pPr>
    </w:p>
    <w:p w14:paraId="49B347E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271801">
      <w:pPr>
        <w:pStyle w:val="18"/>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1675099A">
      <w:pPr>
        <w:pStyle w:val="27"/>
        <w:ind w:left="5250"/>
        <w:rPr>
          <w:rFonts w:hint="eastAsia" w:ascii="宋体" w:hAnsi="宋体" w:cs="宋体"/>
          <w:color w:val="auto"/>
          <w:kern w:val="0"/>
          <w:sz w:val="24"/>
          <w:highlight w:val="none"/>
          <w:lang w:val="zh-CN"/>
        </w:rPr>
      </w:pPr>
    </w:p>
    <w:p w14:paraId="6E9AE0D2">
      <w:pPr>
        <w:rPr>
          <w:rFonts w:hint="eastAsia"/>
          <w:color w:val="auto"/>
          <w:highlight w:val="none"/>
        </w:rPr>
        <w:sectPr>
          <w:pgSz w:w="11910" w:h="16840"/>
          <w:pgMar w:top="1440" w:right="1080" w:bottom="1440" w:left="1080" w:header="720" w:footer="720" w:gutter="0"/>
          <w:pgNumType w:fmt="decimal"/>
          <w:cols w:space="720" w:num="1"/>
        </w:sectPr>
      </w:pPr>
    </w:p>
    <w:p w14:paraId="207D5AC4">
      <w:pPr>
        <w:autoSpaceDE w:val="0"/>
        <w:autoSpaceDN w:val="0"/>
        <w:spacing w:line="360" w:lineRule="auto"/>
        <w:ind w:firstLine="6505" w:firstLineChars="2700"/>
        <w:rPr>
          <w:rFonts w:hint="eastAsia" w:ascii="宋体" w:hAnsi="宋体" w:cs="宋体"/>
          <w:b/>
          <w:bCs/>
          <w:color w:val="auto"/>
          <w:sz w:val="24"/>
          <w:highlight w:val="none"/>
        </w:rPr>
      </w:pPr>
    </w:p>
    <w:p w14:paraId="02B72732">
      <w:pPr>
        <w:pStyle w:val="3"/>
        <w:spacing w:line="360" w:lineRule="auto"/>
        <w:jc w:val="center"/>
        <w:rPr>
          <w:rFonts w:hint="eastAsia" w:ascii="宋体" w:hAnsi="宋体" w:cs="宋体"/>
          <w:color w:val="auto"/>
          <w:highlight w:val="none"/>
        </w:rPr>
      </w:pPr>
      <w:bookmarkStart w:id="219" w:name="_Toc9412"/>
      <w:bookmarkStart w:id="220" w:name="_Toc7838"/>
      <w:bookmarkStart w:id="221" w:name="_Toc9136"/>
      <w:bookmarkStart w:id="222" w:name="_Toc80205941"/>
      <w:bookmarkStart w:id="223" w:name="_Toc14497"/>
      <w:bookmarkStart w:id="224" w:name="_Toc10289"/>
      <w:r>
        <w:rPr>
          <w:rFonts w:hint="eastAsia" w:ascii="宋体" w:hAnsi="宋体" w:cs="宋体"/>
          <w:color w:val="auto"/>
          <w:highlight w:val="none"/>
        </w:rPr>
        <w:t>第四节 报价文件格式</w:t>
      </w:r>
      <w:bookmarkEnd w:id="219"/>
      <w:bookmarkEnd w:id="220"/>
      <w:bookmarkEnd w:id="221"/>
      <w:bookmarkEnd w:id="222"/>
      <w:bookmarkEnd w:id="223"/>
      <w:bookmarkEnd w:id="224"/>
    </w:p>
    <w:p w14:paraId="0160725A">
      <w:pPr>
        <w:snapToGrid w:val="0"/>
        <w:spacing w:before="120" w:beforeLines="50" w:after="50" w:line="360" w:lineRule="auto"/>
        <w:jc w:val="center"/>
        <w:rPr>
          <w:rFonts w:hint="eastAsia" w:ascii="宋体" w:hAnsi="宋体" w:eastAsia="宋体" w:cs="宋体"/>
          <w:bCs/>
          <w:color w:val="auto"/>
          <w:sz w:val="32"/>
          <w:szCs w:val="40"/>
          <w:highlight w:val="none"/>
        </w:rPr>
      </w:pPr>
    </w:p>
    <w:p w14:paraId="21A8588C">
      <w:pPr>
        <w:snapToGrid w:val="0"/>
        <w:spacing w:before="120" w:beforeLines="50" w:after="50" w:line="360" w:lineRule="auto"/>
        <w:jc w:val="center"/>
        <w:rPr>
          <w:rFonts w:hint="eastAsia" w:ascii="宋体" w:hAnsi="宋体" w:cs="宋体"/>
          <w:bCs/>
          <w:color w:val="auto"/>
          <w:sz w:val="32"/>
          <w:szCs w:val="20"/>
          <w:highlight w:val="none"/>
        </w:rPr>
      </w:pPr>
      <w:r>
        <w:rPr>
          <w:rFonts w:hint="eastAsia" w:ascii="宋体" w:hAnsi="宋体" w:eastAsia="宋体" w:cs="宋体"/>
          <w:bCs/>
          <w:color w:val="auto"/>
          <w:sz w:val="32"/>
          <w:szCs w:val="40"/>
          <w:highlight w:val="none"/>
        </w:rPr>
        <w:t>全流程电子文件</w:t>
      </w:r>
    </w:p>
    <w:p w14:paraId="43E6F204">
      <w:pPr>
        <w:snapToGrid w:val="0"/>
        <w:spacing w:before="120" w:beforeLines="50" w:after="50" w:line="360" w:lineRule="auto"/>
        <w:rPr>
          <w:rFonts w:hint="eastAsia" w:ascii="宋体" w:hAnsi="宋体" w:cs="宋体"/>
          <w:color w:val="auto"/>
          <w:sz w:val="24"/>
          <w:szCs w:val="20"/>
          <w:highlight w:val="none"/>
        </w:rPr>
      </w:pPr>
    </w:p>
    <w:p w14:paraId="03A92FBA">
      <w:pPr>
        <w:snapToGrid w:val="0"/>
        <w:spacing w:before="120" w:beforeLines="50" w:after="50" w:line="360" w:lineRule="auto"/>
        <w:rPr>
          <w:rFonts w:hint="eastAsia" w:ascii="宋体" w:hAnsi="宋体" w:cs="宋体"/>
          <w:color w:val="auto"/>
          <w:sz w:val="24"/>
          <w:szCs w:val="20"/>
          <w:highlight w:val="none"/>
        </w:rPr>
      </w:pPr>
    </w:p>
    <w:p w14:paraId="6F312465">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E54F064">
      <w:pPr>
        <w:snapToGrid w:val="0"/>
        <w:spacing w:before="120" w:beforeLines="50" w:after="50" w:line="360" w:lineRule="auto"/>
        <w:rPr>
          <w:rFonts w:hint="eastAsia" w:ascii="宋体" w:hAnsi="宋体" w:cs="宋体"/>
          <w:bCs/>
          <w:color w:val="auto"/>
          <w:sz w:val="24"/>
          <w:szCs w:val="20"/>
          <w:highlight w:val="none"/>
        </w:rPr>
      </w:pPr>
    </w:p>
    <w:p w14:paraId="48EF8D30">
      <w:pPr>
        <w:snapToGrid w:val="0"/>
        <w:spacing w:before="120" w:beforeLines="50" w:after="50" w:line="360" w:lineRule="auto"/>
        <w:rPr>
          <w:rFonts w:hint="eastAsia" w:ascii="宋体" w:hAnsi="宋体" w:cs="宋体"/>
          <w:bCs/>
          <w:color w:val="auto"/>
          <w:sz w:val="24"/>
          <w:szCs w:val="20"/>
          <w:highlight w:val="none"/>
        </w:rPr>
      </w:pPr>
    </w:p>
    <w:p w14:paraId="2F3DCB6C">
      <w:pPr>
        <w:snapToGrid w:val="0"/>
        <w:spacing w:before="120" w:beforeLines="50" w:after="50" w:line="360" w:lineRule="auto"/>
        <w:rPr>
          <w:rFonts w:hint="eastAsia" w:ascii="宋体" w:hAnsi="宋体" w:cs="宋体"/>
          <w:bCs/>
          <w:color w:val="auto"/>
          <w:sz w:val="24"/>
          <w:szCs w:val="20"/>
          <w:highlight w:val="none"/>
        </w:rPr>
      </w:pPr>
    </w:p>
    <w:p w14:paraId="3B3872FF">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3AFB456">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7EE3AEE0">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1006892">
      <w:pPr>
        <w:snapToGrid w:val="0"/>
        <w:spacing w:before="120" w:beforeLines="50" w:after="50" w:line="360" w:lineRule="auto"/>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A3D490C">
      <w:pPr>
        <w:snapToGrid w:val="0"/>
        <w:spacing w:before="120" w:beforeLines="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176C051">
      <w:pPr>
        <w:snapToGrid w:val="0"/>
        <w:spacing w:before="120" w:beforeLines="50" w:after="50" w:line="360" w:lineRule="auto"/>
        <w:ind w:firstLine="720" w:firstLineChars="225"/>
        <w:rPr>
          <w:rFonts w:hint="eastAsia" w:ascii="宋体" w:hAnsi="宋体" w:cs="宋体"/>
          <w:bCs/>
          <w:color w:val="auto"/>
          <w:sz w:val="32"/>
          <w:szCs w:val="32"/>
          <w:highlight w:val="none"/>
        </w:rPr>
      </w:pPr>
    </w:p>
    <w:p w14:paraId="5A18B083">
      <w:pPr>
        <w:pStyle w:val="7"/>
        <w:snapToGrid w:val="0"/>
        <w:spacing w:before="50" w:after="50"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F9390C5">
      <w:pPr>
        <w:pStyle w:val="7"/>
        <w:snapToGrid w:val="0"/>
        <w:spacing w:before="50" w:after="50" w:line="360" w:lineRule="auto"/>
        <w:ind w:left="0" w:leftChars="0" w:firstLine="0" w:firstLineChars="0"/>
        <w:rPr>
          <w:rFonts w:hint="eastAsia" w:ascii="宋体" w:hAnsi="宋体" w:cs="宋体"/>
          <w:bCs/>
          <w:color w:val="auto"/>
          <w:sz w:val="32"/>
          <w:szCs w:val="32"/>
          <w:highlight w:val="none"/>
        </w:rPr>
      </w:pPr>
    </w:p>
    <w:p w14:paraId="1DA9ED70">
      <w:pPr>
        <w:snapToGrid w:val="0"/>
        <w:spacing w:before="120" w:beforeLines="50" w:after="50"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5B7B588E">
      <w:pPr>
        <w:snapToGrid w:val="0"/>
        <w:spacing w:before="120" w:beforeLines="50" w:after="50" w:line="360" w:lineRule="auto"/>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22931974">
      <w:pPr>
        <w:spacing w:line="360" w:lineRule="auto"/>
        <w:rPr>
          <w:rFonts w:hint="eastAsia" w:ascii="宋体" w:hAnsi="宋体" w:cs="宋体"/>
          <w:color w:val="auto"/>
          <w:highlight w:val="none"/>
        </w:rPr>
      </w:pPr>
    </w:p>
    <w:p w14:paraId="1C89251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一、响应函………………………………………………………（页码）</w:t>
      </w:r>
    </w:p>
    <w:p w14:paraId="4A057A14">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D3B69C8">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7A7A38B1">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四、供应商认为需要提供的其他有关资料。…………………（页码）</w:t>
      </w:r>
    </w:p>
    <w:p w14:paraId="039589FC">
      <w:pPr>
        <w:snapToGrid w:val="0"/>
        <w:spacing w:before="120" w:beforeLines="50" w:after="50" w:line="360" w:lineRule="auto"/>
        <w:jc w:val="left"/>
        <w:rPr>
          <w:rFonts w:hint="eastAsia" w:ascii="宋体" w:hAnsi="宋体" w:cs="宋体"/>
          <w:color w:val="auto"/>
          <w:sz w:val="32"/>
          <w:szCs w:val="32"/>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0AE5AF">
      <w:pPr>
        <w:snapToGrid w:val="0"/>
        <w:spacing w:before="120" w:beforeLines="50" w:after="50" w:line="360" w:lineRule="auto"/>
        <w:ind w:left="142"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3DDF6341">
      <w:pPr>
        <w:pStyle w:val="25"/>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响应函</w:t>
      </w:r>
    </w:p>
    <w:p w14:paraId="03A549E3">
      <w:pPr>
        <w:pStyle w:val="25"/>
        <w:spacing w:line="360" w:lineRule="auto"/>
        <w:rPr>
          <w:rFonts w:hint="eastAsia" w:hAnsi="宋体" w:cs="宋体"/>
          <w:color w:val="auto"/>
          <w:sz w:val="32"/>
          <w:highlight w:val="none"/>
        </w:rPr>
      </w:pPr>
    </w:p>
    <w:p w14:paraId="09432484">
      <w:pPr>
        <w:pStyle w:val="25"/>
        <w:spacing w:line="360" w:lineRule="auto"/>
        <w:rPr>
          <w:rFonts w:hint="eastAsia" w:hAnsi="宋体" w:cs="宋体"/>
          <w:color w:val="auto"/>
          <w:sz w:val="21"/>
          <w:highlight w:val="none"/>
        </w:rPr>
      </w:pPr>
      <w:r>
        <w:rPr>
          <w:rFonts w:hint="eastAsia" w:hAnsi="宋体" w:cs="宋体"/>
          <w:color w:val="auto"/>
          <w:sz w:val="21"/>
          <w:highlight w:val="none"/>
        </w:rPr>
        <w:t>致：</w:t>
      </w:r>
      <w:r>
        <w:rPr>
          <w:rFonts w:hint="eastAsia" w:hAnsi="宋体" w:cs="宋体"/>
          <w:color w:val="auto"/>
          <w:sz w:val="21"/>
          <w:highlight w:val="none"/>
          <w:u w:val="single"/>
        </w:rPr>
        <w:t xml:space="preserve">                      </w:t>
      </w:r>
      <w:r>
        <w:rPr>
          <w:rFonts w:hint="eastAsia" w:hAnsi="宋体" w:cs="宋体"/>
          <w:color w:val="auto"/>
          <w:sz w:val="21"/>
          <w:highlight w:val="none"/>
        </w:rPr>
        <w:t>（采购代理机构名称）</w:t>
      </w:r>
    </w:p>
    <w:p w14:paraId="2B515459">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我方已仔细阅读了贵方组织的</w:t>
      </w:r>
      <w:r>
        <w:rPr>
          <w:rFonts w:hint="eastAsia" w:hAnsi="宋体" w:cs="宋体"/>
          <w:color w:val="auto"/>
          <w:sz w:val="21"/>
          <w:highlight w:val="none"/>
          <w:u w:val="single"/>
        </w:rPr>
        <w:t xml:space="preserve">                </w:t>
      </w:r>
      <w:r>
        <w:rPr>
          <w:rFonts w:hint="eastAsia" w:hAnsi="宋体" w:cs="宋体"/>
          <w:color w:val="auto"/>
          <w:sz w:val="21"/>
          <w:highlight w:val="none"/>
        </w:rPr>
        <w:t>项目（项目编号：</w:t>
      </w:r>
      <w:r>
        <w:rPr>
          <w:rFonts w:hint="eastAsia" w:hAnsi="宋体" w:cs="宋体"/>
          <w:color w:val="auto"/>
          <w:sz w:val="21"/>
          <w:highlight w:val="none"/>
          <w:u w:val="single"/>
        </w:rPr>
        <w:t xml:space="preserve">             </w:t>
      </w:r>
      <w:r>
        <w:rPr>
          <w:rFonts w:hint="eastAsia" w:hAnsi="宋体" w:cs="宋体"/>
          <w:color w:val="auto"/>
          <w:sz w:val="21"/>
          <w:highlight w:val="none"/>
        </w:rPr>
        <w:t xml:space="preserve">）的竞争性磋商文件的全部内容，现正式递交下述文件参加贵方组织的本次政府采购活动： </w:t>
      </w:r>
    </w:p>
    <w:p w14:paraId="6960685B">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一、首次报价文件电子版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w:t>
      </w:r>
    </w:p>
    <w:p w14:paraId="6E382A38">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二、商务技术文件电子版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w:t>
      </w:r>
    </w:p>
    <w:p w14:paraId="27CE6E77">
      <w:pPr>
        <w:spacing w:line="360" w:lineRule="auto"/>
        <w:ind w:firstLine="420" w:firstLineChars="200"/>
        <w:rPr>
          <w:rFonts w:hint="eastAsia" w:eastAsia="宋体"/>
          <w:color w:val="auto"/>
          <w:highlight w:val="none"/>
          <w:lang w:eastAsia="zh-CN"/>
        </w:rPr>
      </w:pPr>
      <w:r>
        <w:rPr>
          <w:rFonts w:hint="eastAsia"/>
          <w:color w:val="auto"/>
          <w:highlight w:val="none"/>
        </w:rPr>
        <w:t>三、资格证明文件电子版</w:t>
      </w:r>
      <w:r>
        <w:rPr>
          <w:rFonts w:hint="eastAsia"/>
          <w:color w:val="auto"/>
          <w:highlight w:val="none"/>
          <w:u w:val="single"/>
        </w:rPr>
        <w:t xml:space="preserve">   </w:t>
      </w:r>
      <w:r>
        <w:rPr>
          <w:rFonts w:hint="eastAsia"/>
          <w:color w:val="auto"/>
          <w:highlight w:val="none"/>
        </w:rPr>
        <w:t>份（包含按“第三章供应商须知”提交的全部文件）</w:t>
      </w:r>
      <w:r>
        <w:rPr>
          <w:rFonts w:hint="eastAsia"/>
          <w:color w:val="auto"/>
          <w:highlight w:val="none"/>
          <w:lang w:eastAsia="zh-CN"/>
        </w:rPr>
        <w:t>；</w:t>
      </w:r>
    </w:p>
    <w:p w14:paraId="6A32D7F0">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据此函，签字人兹宣布：</w:t>
      </w:r>
    </w:p>
    <w:p w14:paraId="1D967579">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 xml:space="preserve">1、我单位经考察现场和研究上述工程竞争性磋商文件的供应商须知、合同条件、技术规范、图纸和其他有关文件后，我方承接本项目 </w:t>
      </w:r>
      <w:r>
        <w:rPr>
          <w:rFonts w:hint="eastAsia" w:hAnsi="宋体" w:cs="宋体"/>
          <w:color w:val="auto"/>
          <w:sz w:val="21"/>
          <w:highlight w:val="none"/>
          <w:u w:val="single"/>
        </w:rPr>
        <w:t xml:space="preserve"> （项目名称）  </w:t>
      </w:r>
      <w:r>
        <w:rPr>
          <w:rFonts w:hint="eastAsia" w:hAnsi="宋体" w:cs="宋体"/>
          <w:color w:val="auto"/>
          <w:sz w:val="21"/>
          <w:highlight w:val="none"/>
        </w:rPr>
        <w:t>竞标总报价为人民币（大写）</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）。按上述合同条件、技术规范、图纸的条件承包本采购范围内全部工程的施工、竣工和保修。</w:t>
      </w:r>
    </w:p>
    <w:p w14:paraId="39241E28">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2、一旦我方成交，我方保证按合同书中规定的工期</w:t>
      </w:r>
      <w:r>
        <w:rPr>
          <w:rFonts w:hint="eastAsia" w:hAnsi="宋体" w:cs="宋体"/>
          <w:color w:val="auto"/>
          <w:sz w:val="21"/>
          <w:highlight w:val="none"/>
          <w:u w:val="single"/>
        </w:rPr>
        <w:t xml:space="preserve">            </w:t>
      </w:r>
      <w:r>
        <w:rPr>
          <w:rFonts w:hint="eastAsia" w:hAnsi="宋体" w:cs="宋体"/>
          <w:color w:val="auto"/>
          <w:sz w:val="21"/>
          <w:highlight w:val="none"/>
        </w:rPr>
        <w:t>日历天内完成并移交全部工程。并保证工程质量</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rPr>
        <w:tab/>
      </w:r>
    </w:p>
    <w:p w14:paraId="6853BB2D">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其中（有分标时填写）：</w:t>
      </w:r>
    </w:p>
    <w:p w14:paraId="2E899EB2">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元），工期：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0B4FF08A">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元），工期：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1706B66C">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w:t>
      </w:r>
    </w:p>
    <w:p w14:paraId="741B6D1B">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2、我方同意自本项目竞争性磋商文件采购公告规定的递交响应文件截止时间起遵循本响应函，并承诺在“第三章 供应商须知”规定的响应有效期内不修改、撤销响应文件。</w:t>
      </w:r>
    </w:p>
    <w:p w14:paraId="5A769EF0">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3、我方在此声明，所递交的响应文件及有关资料内容完整、真实和准确。</w:t>
      </w:r>
    </w:p>
    <w:p w14:paraId="7FC4AC35">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4、如本项目采购内容涉及须符合国家强制规定的，我方承诺我方本次竞标均符合国家有关强制规定。</w:t>
      </w:r>
    </w:p>
    <w:p w14:paraId="3D5A2706">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5D6D68C3">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具有独立承担民事责任的能力；</w:t>
      </w:r>
    </w:p>
    <w:p w14:paraId="08CF302F">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具有良好的商业信誉和健全的财务会计制度；</w:t>
      </w:r>
    </w:p>
    <w:p w14:paraId="6E5BCEAD">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具有履行合同所必需的设备和专业技术能力；</w:t>
      </w:r>
    </w:p>
    <w:p w14:paraId="4FA606A2">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有依法缴纳税收和社会保障资金的良好记录；</w:t>
      </w:r>
    </w:p>
    <w:p w14:paraId="4E4E1011">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参加政府采购活动前三年内，在经营活动中没有重大违法记录；</w:t>
      </w:r>
    </w:p>
    <w:p w14:paraId="5FE60E07">
      <w:pPr>
        <w:pStyle w:val="25"/>
        <w:numPr>
          <w:ilvl w:val="0"/>
          <w:numId w:val="6"/>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法律、行政法规规定的其他条件。</w:t>
      </w:r>
    </w:p>
    <w:p w14:paraId="6F39068C">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5D103F98">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7、我方已详细审核竞争性磋商文件，我方知道必须放弃提出含糊不清或误解问题的权利。</w:t>
      </w:r>
    </w:p>
    <w:p w14:paraId="61D5A093">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8、我方承诺满足竞争性磋商文件第六章“合同文本”的条款，承担完成合同的责任和义务。</w:t>
      </w:r>
    </w:p>
    <w:p w14:paraId="670768CD">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9、我方同意应贵方要求提供与</w:t>
      </w:r>
      <w:r>
        <w:rPr>
          <w:rFonts w:hint="eastAsia" w:hAnsi="宋体" w:cs="宋体"/>
          <w:color w:val="auto"/>
          <w:sz w:val="21"/>
          <w:highlight w:val="none"/>
          <w:lang w:eastAsia="zh-CN"/>
        </w:rPr>
        <w:t>本次</w:t>
      </w:r>
      <w:r>
        <w:rPr>
          <w:rFonts w:hint="eastAsia" w:hAnsi="宋体" w:cs="宋体"/>
          <w:color w:val="auto"/>
          <w:sz w:val="21"/>
          <w:highlight w:val="none"/>
        </w:rPr>
        <w:t>竞标有关的任何数据或资料。若贵方需要，我方愿意提供我方作出的一切承诺的证明材料。</w:t>
      </w:r>
    </w:p>
    <w:p w14:paraId="27F87070">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10、我方完全理解贵方不一定接受响应报价最低的竞标人为成交供应商的行为。</w:t>
      </w:r>
    </w:p>
    <w:p w14:paraId="34AEB877">
      <w:pPr>
        <w:pStyle w:val="25"/>
        <w:spacing w:line="360" w:lineRule="auto"/>
        <w:ind w:firstLine="482"/>
        <w:rPr>
          <w:rFonts w:hint="eastAsia" w:hAnsi="宋体" w:cs="宋体"/>
          <w:color w:val="auto"/>
          <w:sz w:val="21"/>
          <w:highlight w:val="none"/>
        </w:rPr>
      </w:pPr>
      <w:r>
        <w:rPr>
          <w:rFonts w:hint="eastAsia" w:hAnsi="宋体" w:cs="宋体"/>
          <w:color w:val="auto"/>
          <w:sz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C36296C">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提供虚假材料谋取中标、成交的；</w:t>
      </w:r>
    </w:p>
    <w:p w14:paraId="2131E3A3">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采取不正当手段诋毁、排挤其他供应商的；</w:t>
      </w:r>
    </w:p>
    <w:p w14:paraId="343B3871">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与采购人、其他供应商或者采购代理机构恶意串通的；</w:t>
      </w:r>
    </w:p>
    <w:p w14:paraId="52E54AB1">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向采购人、采购代理机构行贿或者提供其他不正当利益的；</w:t>
      </w:r>
    </w:p>
    <w:p w14:paraId="7E8192C2">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在采购过程中与采购人进行协商谈判的；</w:t>
      </w:r>
    </w:p>
    <w:p w14:paraId="45E05241">
      <w:pPr>
        <w:pStyle w:val="25"/>
        <w:numPr>
          <w:ilvl w:val="0"/>
          <w:numId w:val="7"/>
        </w:numPr>
        <w:tabs>
          <w:tab w:val="left" w:pos="945"/>
        </w:tabs>
        <w:spacing w:line="360" w:lineRule="auto"/>
        <w:rPr>
          <w:rFonts w:hint="eastAsia" w:hAnsi="宋体" w:cs="宋体"/>
          <w:color w:val="auto"/>
          <w:sz w:val="21"/>
          <w:highlight w:val="none"/>
        </w:rPr>
      </w:pPr>
      <w:r>
        <w:rPr>
          <w:rFonts w:hint="eastAsia" w:hAnsi="宋体" w:cs="宋体"/>
          <w:color w:val="auto"/>
          <w:sz w:val="21"/>
          <w:highlight w:val="none"/>
        </w:rPr>
        <w:t>拒绝有关部门监督检查或提供虚假情况的。</w:t>
      </w:r>
    </w:p>
    <w:p w14:paraId="57EBFFD2">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12.与本磋商有关的一切正式往来信函请寄：</w:t>
      </w:r>
    </w:p>
    <w:p w14:paraId="28B03A8A">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地址：</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07F023DA">
      <w:pPr>
        <w:pStyle w:val="25"/>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电话：</w:t>
      </w:r>
      <w:r>
        <w:rPr>
          <w:rFonts w:hint="eastAsia" w:hAnsi="宋体" w:cs="宋体"/>
          <w:color w:val="auto"/>
          <w:sz w:val="21"/>
          <w:highlight w:val="none"/>
          <w:u w:val="single"/>
        </w:rPr>
        <w:t xml:space="preserve">                                      　　　　　　　　　</w:t>
      </w:r>
    </w:p>
    <w:p w14:paraId="47DB222A">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传真：</w:t>
      </w:r>
      <w:r>
        <w:rPr>
          <w:rFonts w:hint="eastAsia" w:hAnsi="宋体" w:cs="宋体"/>
          <w:color w:val="auto"/>
          <w:sz w:val="21"/>
          <w:highlight w:val="none"/>
          <w:u w:val="single"/>
        </w:rPr>
        <w:t>　　　　　　　　　　　　　　　　　　　　　　　　　　　　</w:t>
      </w:r>
    </w:p>
    <w:p w14:paraId="1B9802AD">
      <w:pPr>
        <w:pStyle w:val="25"/>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邮政编码：</w:t>
      </w:r>
      <w:r>
        <w:rPr>
          <w:rFonts w:hint="eastAsia" w:hAnsi="宋体" w:cs="宋体"/>
          <w:color w:val="auto"/>
          <w:sz w:val="21"/>
          <w:highlight w:val="none"/>
          <w:u w:val="single"/>
        </w:rPr>
        <w:t xml:space="preserve">                                                    </w:t>
      </w:r>
    </w:p>
    <w:p w14:paraId="1A625628">
      <w:pPr>
        <w:pStyle w:val="25"/>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开户名称：</w:t>
      </w:r>
      <w:r>
        <w:rPr>
          <w:rFonts w:hint="eastAsia" w:hAnsi="宋体" w:cs="宋体"/>
          <w:color w:val="auto"/>
          <w:sz w:val="21"/>
          <w:highlight w:val="none"/>
          <w:u w:val="single"/>
        </w:rPr>
        <w:t xml:space="preserve">                                                    </w:t>
      </w:r>
    </w:p>
    <w:p w14:paraId="03101FFF">
      <w:pPr>
        <w:pStyle w:val="25"/>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开户银行：</w:t>
      </w:r>
      <w:r>
        <w:rPr>
          <w:rFonts w:hint="eastAsia" w:hAnsi="宋体" w:cs="宋体"/>
          <w:color w:val="auto"/>
          <w:sz w:val="21"/>
          <w:highlight w:val="none"/>
          <w:u w:val="single"/>
        </w:rPr>
        <w:t xml:space="preserve">                                                    </w:t>
      </w:r>
    </w:p>
    <w:p w14:paraId="283F269C">
      <w:pPr>
        <w:pStyle w:val="25"/>
        <w:spacing w:line="360" w:lineRule="auto"/>
        <w:ind w:firstLine="420"/>
        <w:rPr>
          <w:rFonts w:hint="eastAsia" w:hAnsi="宋体" w:cs="宋体"/>
          <w:color w:val="auto"/>
          <w:sz w:val="21"/>
          <w:highlight w:val="none"/>
          <w:u w:val="single"/>
        </w:rPr>
      </w:pPr>
      <w:r>
        <w:rPr>
          <w:rFonts w:hint="eastAsia" w:hAnsi="宋体" w:cs="宋体"/>
          <w:color w:val="auto"/>
          <w:sz w:val="21"/>
          <w:highlight w:val="none"/>
        </w:rPr>
        <w:t>银行账号：</w:t>
      </w:r>
      <w:r>
        <w:rPr>
          <w:rFonts w:hint="eastAsia" w:hAnsi="宋体" w:cs="宋体"/>
          <w:color w:val="auto"/>
          <w:sz w:val="21"/>
          <w:highlight w:val="none"/>
          <w:u w:val="single"/>
        </w:rPr>
        <w:t xml:space="preserve">                                                    </w:t>
      </w:r>
    </w:p>
    <w:p w14:paraId="755B7738">
      <w:pPr>
        <w:pStyle w:val="20"/>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5B7144BF">
      <w:pPr>
        <w:spacing w:line="360" w:lineRule="auto"/>
        <w:contextualSpacing/>
        <w:jc w:val="left"/>
        <w:rPr>
          <w:rFonts w:hint="eastAsia" w:ascii="宋体" w:hAnsi="宋体" w:cs="宋体"/>
          <w:color w:val="auto"/>
          <w:szCs w:val="21"/>
          <w:highlight w:val="none"/>
        </w:rPr>
      </w:pPr>
    </w:p>
    <w:p w14:paraId="39A8F1F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3F9FC5">
      <w:pPr>
        <w:autoSpaceDE w:val="0"/>
        <w:autoSpaceDN w:val="0"/>
        <w:spacing w:line="360" w:lineRule="auto"/>
        <w:ind w:firstLine="5880" w:firstLineChars="24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1C58D7">
      <w:pPr>
        <w:spacing w:line="360" w:lineRule="auto"/>
        <w:ind w:firstLine="420" w:firstLineChars="200"/>
        <w:rPr>
          <w:rFonts w:hint="eastAsia" w:ascii="宋体" w:hAnsi="宋体" w:cs="宋体"/>
          <w:color w:val="auto"/>
          <w:highlight w:val="none"/>
        </w:rPr>
        <w:sectPr>
          <w:pgSz w:w="11910" w:h="16840"/>
          <w:pgMar w:top="1440" w:right="1080" w:bottom="1440" w:left="1080" w:header="720" w:footer="720" w:gutter="0"/>
          <w:pgNumType w:fmt="decimal"/>
          <w:cols w:space="720" w:num="1"/>
        </w:sectPr>
      </w:pPr>
    </w:p>
    <w:p w14:paraId="40E3336F">
      <w:pPr>
        <w:snapToGrid w:val="0"/>
        <w:spacing w:before="165" w:beforeLines="50" w:after="50" w:line="360" w:lineRule="auto"/>
        <w:ind w:left="142" w:firstLine="643" w:firstLineChars="200"/>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14CAD030">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bCs/>
          <w:color w:val="auto"/>
          <w:sz w:val="32"/>
          <w:szCs w:val="32"/>
          <w:highlight w:val="none"/>
        </w:rPr>
        <w:t>响应报价表</w:t>
      </w:r>
    </w:p>
    <w:p w14:paraId="1033F691">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分标（如有）：</w:t>
      </w:r>
      <w:r>
        <w:rPr>
          <w:rFonts w:hint="eastAsia" w:ascii="宋体" w:hAnsi="宋体" w:cs="宋体"/>
          <w:color w:val="auto"/>
          <w:sz w:val="24"/>
          <w:highlight w:val="none"/>
          <w:u w:val="single"/>
        </w:rPr>
        <w:t xml:space="preserve">           </w:t>
      </w:r>
    </w:p>
    <w:tbl>
      <w:tblPr>
        <w:tblStyle w:val="49"/>
        <w:tblW w:w="9720" w:type="dxa"/>
        <w:tblInd w:w="108" w:type="dxa"/>
        <w:tblLayout w:type="fixed"/>
        <w:tblCellMar>
          <w:top w:w="0" w:type="dxa"/>
          <w:left w:w="108" w:type="dxa"/>
          <w:bottom w:w="0" w:type="dxa"/>
          <w:right w:w="108" w:type="dxa"/>
        </w:tblCellMar>
      </w:tblPr>
      <w:tblGrid>
        <w:gridCol w:w="720"/>
        <w:gridCol w:w="2985"/>
        <w:gridCol w:w="4785"/>
        <w:gridCol w:w="1230"/>
      </w:tblGrid>
      <w:tr w14:paraId="246172BA">
        <w:tblPrEx>
          <w:tblCellMar>
            <w:top w:w="0" w:type="dxa"/>
            <w:left w:w="108" w:type="dxa"/>
            <w:bottom w:w="0" w:type="dxa"/>
            <w:right w:w="108" w:type="dxa"/>
          </w:tblCellMar>
        </w:tblPrEx>
        <w:trPr>
          <w:trHeight w:val="850"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829927E">
            <w:pPr>
              <w:widowControl/>
              <w:spacing w:line="360" w:lineRule="exact"/>
              <w:jc w:val="center"/>
              <w:rPr>
                <w:rFonts w:cs="宋体"/>
                <w:b/>
                <w:bCs/>
                <w:color w:val="auto"/>
                <w:kern w:val="0"/>
                <w:szCs w:val="21"/>
                <w:highlight w:val="none"/>
              </w:rPr>
            </w:pPr>
            <w:r>
              <w:rPr>
                <w:rFonts w:hint="eastAsia" w:cs="宋体"/>
                <w:b/>
                <w:bCs/>
                <w:color w:val="auto"/>
                <w:kern w:val="0"/>
                <w:szCs w:val="21"/>
                <w:highlight w:val="none"/>
              </w:rPr>
              <w:t>一</w:t>
            </w:r>
          </w:p>
        </w:tc>
        <w:tc>
          <w:tcPr>
            <w:tcW w:w="2985" w:type="dxa"/>
            <w:tcBorders>
              <w:top w:val="single" w:color="auto" w:sz="8" w:space="0"/>
              <w:left w:val="nil"/>
              <w:bottom w:val="single" w:color="auto" w:sz="4" w:space="0"/>
              <w:right w:val="single" w:color="000000" w:sz="4" w:space="0"/>
            </w:tcBorders>
            <w:noWrap w:val="0"/>
            <w:vAlign w:val="center"/>
          </w:tcPr>
          <w:p w14:paraId="35405BD0">
            <w:pPr>
              <w:widowControl/>
              <w:spacing w:line="360" w:lineRule="exact"/>
              <w:rPr>
                <w:rFonts w:cs="宋体"/>
                <w:b/>
                <w:bCs/>
                <w:color w:val="auto"/>
                <w:kern w:val="0"/>
                <w:szCs w:val="21"/>
                <w:highlight w:val="none"/>
              </w:rPr>
            </w:pPr>
            <w:r>
              <w:rPr>
                <w:rFonts w:hint="eastAsia" w:cs="宋体"/>
                <w:b/>
                <w:bCs/>
                <w:color w:val="auto"/>
                <w:kern w:val="0"/>
                <w:szCs w:val="21"/>
                <w:highlight w:val="none"/>
              </w:rPr>
              <w:t>工程总造价</w:t>
            </w:r>
          </w:p>
        </w:tc>
        <w:tc>
          <w:tcPr>
            <w:tcW w:w="4785" w:type="dxa"/>
            <w:tcBorders>
              <w:top w:val="single" w:color="auto" w:sz="8" w:space="0"/>
              <w:left w:val="nil"/>
              <w:bottom w:val="single" w:color="auto" w:sz="4" w:space="0"/>
              <w:right w:val="single" w:color="auto" w:sz="8" w:space="0"/>
            </w:tcBorders>
            <w:noWrap w:val="0"/>
            <w:vAlign w:val="center"/>
          </w:tcPr>
          <w:p w14:paraId="74D416D5">
            <w:pPr>
              <w:widowControl/>
              <w:spacing w:line="360" w:lineRule="exact"/>
              <w:rPr>
                <w:rFonts w:cs="宋体"/>
                <w:color w:val="auto"/>
                <w:kern w:val="0"/>
                <w:szCs w:val="21"/>
                <w:highlight w:val="none"/>
              </w:rPr>
            </w:pPr>
            <w:r>
              <w:rPr>
                <w:rFonts w:hint="eastAsia" w:cs="宋体"/>
                <w:color w:val="auto"/>
                <w:kern w:val="0"/>
                <w:szCs w:val="21"/>
                <w:highlight w:val="none"/>
                <w:u w:val="single"/>
              </w:rPr>
              <w:t xml:space="preserve">                    </w:t>
            </w:r>
            <w:r>
              <w:rPr>
                <w:rFonts w:hint="eastAsia" w:cs="宋体"/>
                <w:color w:val="auto"/>
                <w:kern w:val="0"/>
                <w:szCs w:val="21"/>
                <w:highlight w:val="none"/>
              </w:rPr>
              <w:t>（元）</w:t>
            </w:r>
          </w:p>
        </w:tc>
        <w:tc>
          <w:tcPr>
            <w:tcW w:w="1230" w:type="dxa"/>
            <w:tcBorders>
              <w:top w:val="single" w:color="auto" w:sz="8" w:space="0"/>
              <w:left w:val="nil"/>
              <w:bottom w:val="single" w:color="auto" w:sz="4" w:space="0"/>
              <w:right w:val="single" w:color="auto" w:sz="8" w:space="0"/>
            </w:tcBorders>
            <w:noWrap w:val="0"/>
            <w:vAlign w:val="center"/>
          </w:tcPr>
          <w:p w14:paraId="0EB9D9D1">
            <w:pPr>
              <w:widowControl/>
              <w:spacing w:line="360" w:lineRule="exact"/>
              <w:jc w:val="center"/>
              <w:rPr>
                <w:rFonts w:cs="宋体"/>
                <w:color w:val="auto"/>
                <w:kern w:val="0"/>
                <w:szCs w:val="21"/>
                <w:highlight w:val="none"/>
                <w:u w:val="single"/>
              </w:rPr>
            </w:pPr>
            <w:r>
              <w:rPr>
                <w:rFonts w:hint="eastAsia" w:cs="宋体"/>
                <w:color w:val="auto"/>
                <w:kern w:val="0"/>
                <w:szCs w:val="21"/>
                <w:highlight w:val="none"/>
              </w:rPr>
              <w:t>备注</w:t>
            </w:r>
          </w:p>
        </w:tc>
      </w:tr>
      <w:tr w14:paraId="38DCE222">
        <w:tblPrEx>
          <w:tblCellMar>
            <w:top w:w="0" w:type="dxa"/>
            <w:left w:w="108" w:type="dxa"/>
            <w:bottom w:w="0" w:type="dxa"/>
            <w:right w:w="108" w:type="dxa"/>
          </w:tblCellMar>
        </w:tblPrEx>
        <w:trPr>
          <w:trHeight w:val="850"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205C53EA">
            <w:pPr>
              <w:widowControl/>
              <w:spacing w:line="360" w:lineRule="exact"/>
              <w:jc w:val="center"/>
              <w:rPr>
                <w:rFonts w:cs="宋体"/>
                <w:b/>
                <w:bCs/>
                <w:color w:val="auto"/>
                <w:kern w:val="0"/>
                <w:szCs w:val="21"/>
                <w:highlight w:val="none"/>
              </w:rPr>
            </w:pPr>
            <w:r>
              <w:rPr>
                <w:rFonts w:hint="eastAsia" w:cs="宋体"/>
                <w:b/>
                <w:bCs/>
                <w:color w:val="auto"/>
                <w:kern w:val="0"/>
                <w:szCs w:val="21"/>
                <w:highlight w:val="none"/>
              </w:rPr>
              <w:t>二</w:t>
            </w:r>
          </w:p>
        </w:tc>
        <w:tc>
          <w:tcPr>
            <w:tcW w:w="2985" w:type="dxa"/>
            <w:tcBorders>
              <w:top w:val="single" w:color="auto" w:sz="8" w:space="0"/>
              <w:left w:val="nil"/>
              <w:bottom w:val="single" w:color="auto" w:sz="4" w:space="0"/>
              <w:right w:val="single" w:color="000000" w:sz="4" w:space="0"/>
            </w:tcBorders>
            <w:noWrap w:val="0"/>
            <w:vAlign w:val="center"/>
          </w:tcPr>
          <w:p w14:paraId="3ED21139">
            <w:pPr>
              <w:widowControl/>
              <w:spacing w:line="360" w:lineRule="exact"/>
              <w:rPr>
                <w:rFonts w:cs="宋体"/>
                <w:b/>
                <w:bCs/>
                <w:color w:val="auto"/>
                <w:kern w:val="0"/>
                <w:szCs w:val="21"/>
                <w:highlight w:val="none"/>
              </w:rPr>
            </w:pPr>
            <w:r>
              <w:rPr>
                <w:rFonts w:hint="eastAsia" w:cs="宋体"/>
                <w:b/>
                <w:bCs/>
                <w:color w:val="auto"/>
                <w:kern w:val="0"/>
                <w:szCs w:val="21"/>
                <w:highlight w:val="none"/>
              </w:rPr>
              <w:t>承诺工期</w:t>
            </w:r>
          </w:p>
        </w:tc>
        <w:tc>
          <w:tcPr>
            <w:tcW w:w="4785" w:type="dxa"/>
            <w:tcBorders>
              <w:top w:val="single" w:color="auto" w:sz="8" w:space="0"/>
              <w:left w:val="nil"/>
              <w:bottom w:val="single" w:color="auto" w:sz="4" w:space="0"/>
              <w:right w:val="single" w:color="auto" w:sz="8" w:space="0"/>
            </w:tcBorders>
            <w:noWrap w:val="0"/>
            <w:vAlign w:val="center"/>
          </w:tcPr>
          <w:p w14:paraId="2ECC9CC9">
            <w:pPr>
              <w:widowControl/>
              <w:spacing w:line="360" w:lineRule="exact"/>
              <w:rPr>
                <w:rFonts w:cs="宋体"/>
                <w:color w:val="auto"/>
                <w:kern w:val="0"/>
                <w:szCs w:val="21"/>
                <w:highlight w:val="none"/>
              </w:rPr>
            </w:pPr>
            <w:r>
              <w:rPr>
                <w:rFonts w:hint="eastAsia" w:cs="宋体"/>
                <w:color w:val="auto"/>
                <w:kern w:val="0"/>
                <w:szCs w:val="21"/>
                <w:highlight w:val="none"/>
                <w:u w:val="single"/>
              </w:rPr>
              <w:t xml:space="preserve">         </w:t>
            </w:r>
            <w:r>
              <w:rPr>
                <w:rFonts w:hint="eastAsia" w:cs="宋体"/>
                <w:color w:val="auto"/>
                <w:kern w:val="0"/>
                <w:szCs w:val="21"/>
                <w:highlight w:val="none"/>
              </w:rPr>
              <w:t>日历</w:t>
            </w:r>
            <w:r>
              <w:rPr>
                <w:rFonts w:hint="eastAsia" w:cs="宋体"/>
                <w:color w:val="auto"/>
                <w:kern w:val="0"/>
                <w:szCs w:val="21"/>
                <w:highlight w:val="none"/>
                <w:lang w:val="en-US" w:eastAsia="zh-CN"/>
              </w:rPr>
              <w:t>天</w:t>
            </w:r>
          </w:p>
        </w:tc>
        <w:tc>
          <w:tcPr>
            <w:tcW w:w="1230" w:type="dxa"/>
            <w:tcBorders>
              <w:top w:val="single" w:color="auto" w:sz="8" w:space="0"/>
              <w:left w:val="nil"/>
              <w:bottom w:val="single" w:color="auto" w:sz="4" w:space="0"/>
              <w:right w:val="single" w:color="auto" w:sz="8" w:space="0"/>
            </w:tcBorders>
            <w:noWrap w:val="0"/>
            <w:vAlign w:val="center"/>
          </w:tcPr>
          <w:p w14:paraId="33955BFD">
            <w:pPr>
              <w:widowControl/>
              <w:spacing w:line="360" w:lineRule="exact"/>
              <w:rPr>
                <w:rFonts w:cs="宋体"/>
                <w:color w:val="auto"/>
                <w:kern w:val="0"/>
                <w:szCs w:val="21"/>
                <w:highlight w:val="none"/>
                <w:u w:val="single"/>
              </w:rPr>
            </w:pPr>
          </w:p>
        </w:tc>
      </w:tr>
      <w:tr w14:paraId="3FDCC03D">
        <w:tblPrEx>
          <w:tblCellMar>
            <w:top w:w="0" w:type="dxa"/>
            <w:left w:w="108" w:type="dxa"/>
            <w:bottom w:w="0" w:type="dxa"/>
            <w:right w:w="108" w:type="dxa"/>
          </w:tblCellMar>
        </w:tblPrEx>
        <w:trPr>
          <w:trHeight w:val="850"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3F837FD8">
            <w:pPr>
              <w:widowControl/>
              <w:spacing w:line="360" w:lineRule="exact"/>
              <w:jc w:val="center"/>
              <w:rPr>
                <w:rFonts w:cs="宋体"/>
                <w:b/>
                <w:bCs/>
                <w:color w:val="auto"/>
                <w:kern w:val="0"/>
                <w:szCs w:val="21"/>
                <w:highlight w:val="none"/>
              </w:rPr>
            </w:pPr>
            <w:r>
              <w:rPr>
                <w:rFonts w:hint="eastAsia" w:cs="宋体"/>
                <w:b/>
                <w:bCs/>
                <w:color w:val="auto"/>
                <w:kern w:val="0"/>
                <w:szCs w:val="21"/>
                <w:highlight w:val="none"/>
              </w:rPr>
              <w:t>三</w:t>
            </w:r>
          </w:p>
        </w:tc>
        <w:tc>
          <w:tcPr>
            <w:tcW w:w="2985" w:type="dxa"/>
            <w:tcBorders>
              <w:top w:val="single" w:color="auto" w:sz="8" w:space="0"/>
              <w:left w:val="nil"/>
              <w:bottom w:val="single" w:color="auto" w:sz="4" w:space="0"/>
              <w:right w:val="single" w:color="000000" w:sz="4" w:space="0"/>
            </w:tcBorders>
            <w:noWrap w:val="0"/>
            <w:vAlign w:val="center"/>
          </w:tcPr>
          <w:p w14:paraId="10299A26">
            <w:pPr>
              <w:widowControl/>
              <w:spacing w:line="360" w:lineRule="exact"/>
              <w:rPr>
                <w:rFonts w:cs="宋体"/>
                <w:b/>
                <w:bCs/>
                <w:color w:val="auto"/>
                <w:kern w:val="0"/>
                <w:szCs w:val="21"/>
                <w:highlight w:val="none"/>
              </w:rPr>
            </w:pPr>
            <w:r>
              <w:rPr>
                <w:rFonts w:hint="eastAsia" w:cs="宋体"/>
                <w:b/>
                <w:bCs/>
                <w:color w:val="auto"/>
                <w:kern w:val="0"/>
                <w:szCs w:val="21"/>
                <w:highlight w:val="none"/>
              </w:rPr>
              <w:t>承诺质量等级</w:t>
            </w:r>
          </w:p>
        </w:tc>
        <w:tc>
          <w:tcPr>
            <w:tcW w:w="4785" w:type="dxa"/>
            <w:tcBorders>
              <w:top w:val="single" w:color="auto" w:sz="8" w:space="0"/>
              <w:left w:val="nil"/>
              <w:bottom w:val="single" w:color="auto" w:sz="4" w:space="0"/>
              <w:right w:val="single" w:color="auto" w:sz="8" w:space="0"/>
            </w:tcBorders>
            <w:noWrap w:val="0"/>
            <w:vAlign w:val="center"/>
          </w:tcPr>
          <w:p w14:paraId="2F2F041B">
            <w:pPr>
              <w:widowControl/>
              <w:spacing w:line="360" w:lineRule="exact"/>
              <w:rPr>
                <w:rFonts w:cs="宋体"/>
                <w:color w:val="auto"/>
                <w:kern w:val="0"/>
                <w:szCs w:val="21"/>
                <w:highlight w:val="none"/>
              </w:rPr>
            </w:pPr>
            <w:r>
              <w:rPr>
                <w:rFonts w:hint="eastAsia" w:ascii="宋体" w:hAnsi="宋体" w:cs="宋体"/>
                <w:color w:val="auto"/>
                <w:spacing w:val="-6"/>
                <w:highlight w:val="none"/>
              </w:rPr>
              <w:t>我方保证工程质量达到</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标准</w:t>
            </w:r>
          </w:p>
        </w:tc>
        <w:tc>
          <w:tcPr>
            <w:tcW w:w="1230" w:type="dxa"/>
            <w:tcBorders>
              <w:top w:val="single" w:color="auto" w:sz="8" w:space="0"/>
              <w:left w:val="nil"/>
              <w:bottom w:val="single" w:color="auto" w:sz="4" w:space="0"/>
              <w:right w:val="single" w:color="auto" w:sz="8" w:space="0"/>
            </w:tcBorders>
            <w:noWrap w:val="0"/>
            <w:vAlign w:val="center"/>
          </w:tcPr>
          <w:p w14:paraId="1BCB55A3">
            <w:pPr>
              <w:widowControl/>
              <w:spacing w:line="360" w:lineRule="exact"/>
              <w:rPr>
                <w:rFonts w:ascii="宋体" w:hAnsi="宋体" w:cs="宋体"/>
                <w:color w:val="auto"/>
                <w:spacing w:val="-6"/>
                <w:highlight w:val="none"/>
              </w:rPr>
            </w:pPr>
          </w:p>
        </w:tc>
      </w:tr>
    </w:tbl>
    <w:p w14:paraId="32D7203B">
      <w:pPr>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0DAA0CB">
      <w:pPr>
        <w:snapToGrid w:val="0"/>
        <w:spacing w:before="50" w:after="50" w:line="360" w:lineRule="auto"/>
        <w:ind w:firstLine="482" w:firstLineChars="200"/>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1、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w:t>
      </w:r>
      <w:r>
        <w:rPr>
          <w:rFonts w:hint="eastAsia" w:ascii="宋体" w:hAnsi="宋体" w:cs="宋体"/>
          <w:b/>
          <w:bCs/>
          <w:color w:val="auto"/>
          <w:kern w:val="0"/>
          <w:sz w:val="24"/>
          <w:highlight w:val="none"/>
          <w:lang w:eastAsia="zh-CN"/>
        </w:rPr>
        <w:t>果由</w:t>
      </w:r>
      <w:r>
        <w:rPr>
          <w:rFonts w:hint="eastAsia" w:ascii="宋体" w:hAnsi="宋体" w:cs="宋体"/>
          <w:b/>
          <w:bCs/>
          <w:color w:val="auto"/>
          <w:kern w:val="0"/>
          <w:sz w:val="24"/>
          <w:highlight w:val="none"/>
        </w:rPr>
        <w:t>供应商自行承担。</w:t>
      </w:r>
    </w:p>
    <w:p w14:paraId="404940CD">
      <w:pPr>
        <w:snapToGrid w:val="0"/>
        <w:spacing w:before="50" w:after="50"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0FA61424">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67BD3476">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94E49B6">
      <w:pPr>
        <w:pStyle w:val="25"/>
        <w:spacing w:line="360" w:lineRule="auto"/>
        <w:ind w:firstLine="5678" w:firstLineChars="2366"/>
        <w:rPr>
          <w:rFonts w:hint="eastAsia" w:hAnsi="宋体" w:cs="宋体"/>
          <w:color w:val="auto"/>
          <w:sz w:val="24"/>
          <w:highlight w:val="none"/>
          <w:lang w:val="zh-CN"/>
        </w:rPr>
      </w:pPr>
      <w:r>
        <w:rPr>
          <w:rFonts w:hint="eastAsia" w:hAnsi="宋体" w:cs="宋体"/>
          <w:color w:val="auto"/>
          <w:sz w:val="24"/>
          <w:highlight w:val="none"/>
          <w:lang w:val="zh-CN"/>
        </w:rPr>
        <w:t>日期：  年  月   日</w:t>
      </w:r>
    </w:p>
    <w:p w14:paraId="04EBA755">
      <w:pPr>
        <w:rPr>
          <w:rFonts w:hint="eastAsia" w:hAnsi="宋体" w:cs="宋体"/>
          <w:color w:val="auto"/>
          <w:sz w:val="24"/>
          <w:highlight w:val="none"/>
          <w:lang w:val="zh-CN"/>
        </w:rPr>
      </w:pPr>
    </w:p>
    <w:p w14:paraId="52D54680">
      <w:pPr>
        <w:rPr>
          <w:rFonts w:hint="eastAsia"/>
          <w:color w:val="auto"/>
          <w:highlight w:val="none"/>
          <w:lang w:val="zh-CN"/>
        </w:rPr>
      </w:pPr>
    </w:p>
    <w:p w14:paraId="714A7A9C">
      <w:pPr>
        <w:snapToGrid w:val="0"/>
        <w:spacing w:line="360" w:lineRule="auto"/>
        <w:ind w:firstLine="602" w:firstLineChars="200"/>
        <w:rPr>
          <w:rFonts w:hint="eastAsia" w:ascii="宋体" w:hAnsi="宋体" w:cs="仿宋_GB2312"/>
          <w:b/>
          <w:color w:val="auto"/>
          <w:sz w:val="30"/>
          <w:szCs w:val="30"/>
          <w:highlight w:val="none"/>
        </w:rPr>
      </w:pPr>
      <w:r>
        <w:rPr>
          <w:rFonts w:hint="eastAsia" w:ascii="宋体" w:hAnsi="宋体" w:cs="仿宋_GB2312"/>
          <w:b/>
          <w:color w:val="auto"/>
          <w:sz w:val="30"/>
          <w:szCs w:val="30"/>
          <w:highlight w:val="none"/>
        </w:rPr>
        <w:br w:type="page"/>
      </w:r>
      <w:r>
        <w:rPr>
          <w:rFonts w:hint="eastAsia" w:ascii="宋体" w:hAnsi="宋体" w:cs="仿宋_GB2312"/>
          <w:b/>
          <w:color w:val="auto"/>
          <w:sz w:val="30"/>
          <w:szCs w:val="30"/>
          <w:highlight w:val="none"/>
        </w:rPr>
        <w:t>三、已标价工程量清单</w:t>
      </w:r>
    </w:p>
    <w:p w14:paraId="599C015F">
      <w:pPr>
        <w:snapToGrid w:val="0"/>
        <w:spacing w:line="360" w:lineRule="auto"/>
        <w:ind w:firstLine="482" w:firstLineChars="200"/>
        <w:rPr>
          <w:rFonts w:hint="eastAsia" w:ascii="宋体" w:hAnsi="宋体" w:cs="仿宋_GB2312"/>
          <w:b/>
          <w:color w:val="auto"/>
          <w:sz w:val="24"/>
          <w:highlight w:val="none"/>
        </w:rPr>
      </w:pPr>
    </w:p>
    <w:p w14:paraId="0C68C09B">
      <w:pPr>
        <w:snapToGrid w:val="0"/>
        <w:spacing w:line="360" w:lineRule="auto"/>
        <w:ind w:firstLine="482" w:firstLineChars="200"/>
        <w:rPr>
          <w:rFonts w:hint="eastAsia" w:ascii="宋体" w:hAnsi="宋体" w:cs="宋体"/>
          <w:b/>
          <w:color w:val="auto"/>
          <w:sz w:val="30"/>
          <w:szCs w:val="30"/>
          <w:highlight w:val="none"/>
        </w:rPr>
      </w:pPr>
      <w:r>
        <w:rPr>
          <w:rFonts w:hint="eastAsia" w:ascii="宋体" w:hAnsi="宋体" w:cs="仿宋_GB2312"/>
          <w:b/>
          <w:color w:val="auto"/>
          <w:sz w:val="24"/>
          <w:highlight w:val="none"/>
        </w:rPr>
        <w:t>说明：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w:t>
      </w:r>
      <w:r>
        <w:rPr>
          <w:rFonts w:hint="eastAsia" w:ascii="宋体" w:hAnsi="宋体" w:cs="仿宋_GB2312"/>
          <w:b/>
          <w:color w:val="auto"/>
          <w:sz w:val="24"/>
          <w:highlight w:val="none"/>
          <w:lang w:eastAsia="zh-CN"/>
        </w:rPr>
        <w:t>果由</w:t>
      </w:r>
      <w:r>
        <w:rPr>
          <w:rFonts w:hint="eastAsia" w:ascii="宋体" w:hAnsi="宋体" w:cs="仿宋_GB2312"/>
          <w:b/>
          <w:color w:val="auto"/>
          <w:sz w:val="24"/>
          <w:highlight w:val="none"/>
        </w:rPr>
        <w:t>供应商自行承担。</w:t>
      </w:r>
    </w:p>
    <w:p w14:paraId="25CF6CCB">
      <w:pPr>
        <w:snapToGrid w:val="0"/>
        <w:spacing w:line="360" w:lineRule="auto"/>
        <w:ind w:firstLine="602" w:firstLineChars="200"/>
        <w:rPr>
          <w:rFonts w:hint="eastAsia" w:ascii="宋体" w:hAnsi="宋体" w:cs="宋体"/>
          <w:b/>
          <w:color w:val="auto"/>
          <w:sz w:val="30"/>
          <w:szCs w:val="30"/>
          <w:highlight w:val="none"/>
        </w:rPr>
      </w:pPr>
    </w:p>
    <w:p w14:paraId="24136684">
      <w:pPr>
        <w:pStyle w:val="18"/>
        <w:jc w:val="center"/>
        <w:rPr>
          <w:rFonts w:hint="eastAsia" w:ascii="宋体" w:hAnsi="宋体" w:cs="宋体"/>
          <w:b/>
          <w:color w:val="auto"/>
          <w:sz w:val="24"/>
          <w:highlight w:val="none"/>
        </w:rPr>
      </w:pPr>
    </w:p>
    <w:p w14:paraId="4BF09F7D">
      <w:pPr>
        <w:pStyle w:val="18"/>
        <w:jc w:val="center"/>
        <w:rPr>
          <w:rFonts w:hint="eastAsia" w:ascii="宋体" w:hAnsi="宋体" w:cs="宋体"/>
          <w:b/>
          <w:color w:val="auto"/>
          <w:sz w:val="24"/>
          <w:highlight w:val="none"/>
        </w:rPr>
      </w:pPr>
    </w:p>
    <w:p w14:paraId="525D7658">
      <w:pPr>
        <w:pStyle w:val="18"/>
        <w:ind w:firstLine="630" w:firstLineChars="300"/>
        <w:rPr>
          <w:rFonts w:hint="eastAsia"/>
          <w:color w:val="auto"/>
          <w:highlight w:val="none"/>
        </w:rPr>
      </w:pPr>
    </w:p>
    <w:p w14:paraId="28AE0763">
      <w:pPr>
        <w:snapToGrid w:val="0"/>
        <w:spacing w:line="360" w:lineRule="auto"/>
        <w:ind w:firstLine="602" w:firstLineChars="200"/>
        <w:rPr>
          <w:rFonts w:hint="eastAsia" w:ascii="宋体" w:hAnsi="宋体" w:cs="宋体"/>
          <w:b/>
          <w:color w:val="auto"/>
          <w:sz w:val="30"/>
          <w:szCs w:val="30"/>
          <w:highlight w:val="none"/>
        </w:rPr>
      </w:pPr>
    </w:p>
    <w:p w14:paraId="3B0634D1">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四、供应商认为需要提供的其他有关资料</w:t>
      </w:r>
    </w:p>
    <w:p w14:paraId="48D409FC">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460C3F81">
      <w:pPr>
        <w:pStyle w:val="18"/>
        <w:spacing w:line="360" w:lineRule="auto"/>
        <w:rPr>
          <w:rFonts w:hint="eastAsia" w:ascii="宋体" w:hAnsi="宋体" w:cs="宋体"/>
          <w:color w:val="auto"/>
          <w:highlight w:val="none"/>
        </w:rPr>
      </w:pPr>
    </w:p>
    <w:p w14:paraId="200B2142">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7C08353">
      <w:pPr>
        <w:ind w:firstLine="2160" w:firstLineChars="900"/>
        <w:rPr>
          <w:rFonts w:hint="eastAsia"/>
          <w:color w:val="auto"/>
          <w:highlight w:val="none"/>
          <w:lang w:val="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744522E">
      <w:pPr>
        <w:rPr>
          <w:rFonts w:hint="eastAsia"/>
          <w:color w:val="auto"/>
          <w:highlight w:val="none"/>
          <w:lang w:val="zh-CN"/>
        </w:rPr>
      </w:pPr>
    </w:p>
    <w:p w14:paraId="6F36A9B1">
      <w:pPr>
        <w:pStyle w:val="25"/>
        <w:spacing w:line="360" w:lineRule="auto"/>
        <w:ind w:firstLine="602" w:firstLineChars="200"/>
        <w:rPr>
          <w:rFonts w:hint="eastAsia" w:hAnsi="宋体" w:cs="宋体"/>
          <w:b/>
          <w:color w:val="auto"/>
          <w:kern w:val="2"/>
          <w:sz w:val="30"/>
          <w:szCs w:val="30"/>
          <w:highlight w:val="none"/>
        </w:rPr>
      </w:pPr>
    </w:p>
    <w:p w14:paraId="4D828666">
      <w:pPr>
        <w:spacing w:line="360" w:lineRule="auto"/>
        <w:jc w:val="center"/>
        <w:rPr>
          <w:rFonts w:hint="eastAsia" w:ascii="宋体" w:hAnsi="宋体" w:cs="宋体"/>
          <w:color w:val="auto"/>
          <w:sz w:val="24"/>
          <w:highlight w:val="none"/>
        </w:rPr>
      </w:pPr>
    </w:p>
    <w:p w14:paraId="2038F67D">
      <w:pPr>
        <w:spacing w:line="360" w:lineRule="auto"/>
        <w:jc w:val="center"/>
        <w:rPr>
          <w:rFonts w:hint="eastAsia" w:ascii="宋体" w:hAnsi="宋体" w:cs="宋体"/>
          <w:color w:val="auto"/>
          <w:sz w:val="24"/>
          <w:highlight w:val="none"/>
        </w:rPr>
      </w:pPr>
    </w:p>
    <w:p w14:paraId="7FB59680">
      <w:pPr>
        <w:spacing w:line="360" w:lineRule="auto"/>
        <w:jc w:val="center"/>
        <w:rPr>
          <w:rFonts w:hint="eastAsia" w:ascii="宋体" w:hAnsi="宋体" w:cs="宋体"/>
          <w:color w:val="auto"/>
          <w:sz w:val="24"/>
          <w:highlight w:val="none"/>
        </w:rPr>
      </w:pPr>
    </w:p>
    <w:p w14:paraId="78CC903A">
      <w:pPr>
        <w:spacing w:line="360" w:lineRule="auto"/>
        <w:jc w:val="center"/>
        <w:rPr>
          <w:rFonts w:hint="eastAsia" w:ascii="宋体" w:hAnsi="宋体" w:cs="宋体"/>
          <w:color w:val="auto"/>
          <w:sz w:val="24"/>
          <w:highlight w:val="none"/>
        </w:rPr>
      </w:pPr>
    </w:p>
    <w:p w14:paraId="351139F2">
      <w:pPr>
        <w:spacing w:line="360" w:lineRule="auto"/>
        <w:jc w:val="center"/>
        <w:rPr>
          <w:rFonts w:hint="eastAsia" w:ascii="宋体" w:hAnsi="宋体" w:cs="宋体"/>
          <w:color w:val="auto"/>
          <w:sz w:val="24"/>
          <w:highlight w:val="none"/>
        </w:rPr>
      </w:pPr>
    </w:p>
    <w:p w14:paraId="79DB2E5A">
      <w:pPr>
        <w:spacing w:line="360" w:lineRule="auto"/>
        <w:rPr>
          <w:rFonts w:hint="eastAsia" w:ascii="宋体" w:hAnsi="宋体" w:cs="宋体"/>
          <w:color w:val="auto"/>
          <w:sz w:val="24"/>
          <w:highlight w:val="none"/>
        </w:rPr>
      </w:pPr>
    </w:p>
    <w:p w14:paraId="1692B737">
      <w:pPr>
        <w:spacing w:line="360" w:lineRule="auto"/>
        <w:jc w:val="center"/>
        <w:rPr>
          <w:rFonts w:hint="eastAsia" w:ascii="宋体" w:hAnsi="宋体" w:cs="宋体"/>
          <w:color w:val="auto"/>
          <w:sz w:val="24"/>
          <w:highlight w:val="none"/>
        </w:rPr>
      </w:pPr>
    </w:p>
    <w:p w14:paraId="22231F5F">
      <w:pPr>
        <w:spacing w:line="360" w:lineRule="auto"/>
        <w:jc w:val="center"/>
        <w:rPr>
          <w:rFonts w:hint="eastAsia" w:ascii="宋体" w:hAnsi="宋体" w:cs="宋体"/>
          <w:color w:val="auto"/>
          <w:sz w:val="24"/>
          <w:highlight w:val="none"/>
        </w:rPr>
      </w:pPr>
    </w:p>
    <w:p w14:paraId="10383027">
      <w:pPr>
        <w:spacing w:line="360" w:lineRule="auto"/>
        <w:jc w:val="center"/>
        <w:rPr>
          <w:rFonts w:hint="eastAsia" w:ascii="宋体" w:hAnsi="宋体" w:cs="宋体"/>
          <w:color w:val="auto"/>
          <w:sz w:val="24"/>
          <w:highlight w:val="none"/>
        </w:rPr>
      </w:pPr>
    </w:p>
    <w:p w14:paraId="59E09D00">
      <w:pPr>
        <w:pStyle w:val="2"/>
        <w:jc w:val="center"/>
        <w:rPr>
          <w:rFonts w:hint="eastAsia" w:ascii="宋体" w:hAnsi="宋体" w:eastAsia="宋体" w:cs="宋体"/>
          <w:b/>
          <w:bCs/>
          <w:color w:val="auto"/>
          <w:highlight w:val="none"/>
        </w:rPr>
      </w:pPr>
      <w:bookmarkStart w:id="225" w:name="_Toc17272"/>
      <w:bookmarkStart w:id="226" w:name="_Toc30751"/>
      <w:bookmarkStart w:id="227" w:name="_Toc26628"/>
      <w:bookmarkStart w:id="228" w:name="_Toc24304"/>
      <w:bookmarkStart w:id="229" w:name="_Toc14897"/>
      <w:bookmarkStart w:id="230" w:name="_Toc2104"/>
      <w:bookmarkStart w:id="231" w:name="_Toc26806"/>
      <w:bookmarkStart w:id="232" w:name="_Toc25466"/>
      <w:bookmarkStart w:id="233" w:name="_Toc20485"/>
      <w:r>
        <w:rPr>
          <w:rFonts w:hint="eastAsia" w:ascii="宋体" w:hAnsi="宋体" w:eastAsia="宋体" w:cs="宋体"/>
          <w:b/>
          <w:bCs/>
          <w:color w:val="auto"/>
          <w:highlight w:val="none"/>
        </w:rPr>
        <w:t>第六章  合同文本</w:t>
      </w:r>
      <w:bookmarkEnd w:id="225"/>
      <w:bookmarkEnd w:id="226"/>
    </w:p>
    <w:p w14:paraId="31B47715">
      <w:pPr>
        <w:spacing w:line="360" w:lineRule="auto"/>
        <w:jc w:val="center"/>
        <w:outlineLvl w:val="9"/>
        <w:rPr>
          <w:rFonts w:hint="eastAsia" w:ascii="宋体" w:hAnsi="宋体" w:eastAsia="宋体" w:cs="宋体"/>
          <w:color w:val="auto"/>
          <w:sz w:val="44"/>
          <w:szCs w:val="44"/>
          <w:highlight w:val="none"/>
          <w:u w:val="none"/>
          <w:lang w:val="en-US" w:eastAsia="zh-CN"/>
        </w:rPr>
        <w:sectPr>
          <w:footerReference r:id="rId10" w:type="default"/>
          <w:pgSz w:w="11750" w:h="16930"/>
          <w:pgMar w:top="1417" w:right="1417" w:bottom="1417" w:left="1417" w:header="0" w:footer="0" w:gutter="0"/>
          <w:pgNumType w:fmt="decimal"/>
          <w:cols w:space="720" w:num="1"/>
        </w:sectPr>
      </w:pPr>
    </w:p>
    <w:p w14:paraId="687E1A18">
      <w:pPr>
        <w:spacing w:line="360" w:lineRule="auto"/>
        <w:jc w:val="center"/>
        <w:outlineLvl w:val="9"/>
        <w:rPr>
          <w:rFonts w:hint="eastAsia" w:ascii="宋体" w:hAnsi="宋体" w:eastAsia="宋体" w:cs="宋体"/>
          <w:color w:val="auto"/>
          <w:sz w:val="44"/>
          <w:szCs w:val="44"/>
          <w:highlight w:val="none"/>
          <w:u w:val="none"/>
          <w:lang w:val="en-US" w:eastAsia="zh-CN"/>
        </w:rPr>
      </w:pPr>
      <w:r>
        <w:rPr>
          <w:rFonts w:hint="eastAsia" w:ascii="宋体" w:hAnsi="宋体" w:eastAsia="宋体" w:cs="宋体"/>
          <w:color w:val="auto"/>
          <w:sz w:val="44"/>
          <w:szCs w:val="44"/>
          <w:highlight w:val="none"/>
          <w:u w:val="none"/>
          <w:lang w:val="en-US" w:eastAsia="zh-CN"/>
        </w:rPr>
        <w:t>横州市2025年公益性资产管护（修缮）项目</w:t>
      </w:r>
    </w:p>
    <w:p w14:paraId="06F84016">
      <w:pPr>
        <w:spacing w:line="360" w:lineRule="auto"/>
        <w:jc w:val="center"/>
        <w:rPr>
          <w:rFonts w:ascii="宋体"/>
          <w:b/>
          <w:bCs/>
          <w:color w:val="auto"/>
          <w:spacing w:val="80"/>
          <w:sz w:val="24"/>
          <w:highlight w:val="none"/>
        </w:rPr>
      </w:pPr>
    </w:p>
    <w:p w14:paraId="4D9EEF25">
      <w:pPr>
        <w:spacing w:line="360" w:lineRule="auto"/>
        <w:jc w:val="center"/>
        <w:rPr>
          <w:rFonts w:ascii="宋体"/>
          <w:b/>
          <w:bCs/>
          <w:color w:val="auto"/>
          <w:spacing w:val="80"/>
          <w:sz w:val="24"/>
          <w:highlight w:val="none"/>
        </w:rPr>
      </w:pPr>
    </w:p>
    <w:p w14:paraId="21B584F6">
      <w:pPr>
        <w:tabs>
          <w:tab w:val="center" w:pos="4517"/>
          <w:tab w:val="right" w:pos="8916"/>
        </w:tabs>
        <w:jc w:val="left"/>
        <w:rPr>
          <w:rFonts w:hint="eastAsia" w:ascii="宋体" w:hAnsi="Calibri" w:eastAsia="宋体"/>
          <w:b/>
          <w:bCs/>
          <w:color w:val="auto"/>
          <w:spacing w:val="80"/>
          <w:sz w:val="72"/>
          <w:highlight w:val="none"/>
          <w:lang w:eastAsia="zh-CN"/>
        </w:rPr>
      </w:pPr>
      <w:r>
        <w:rPr>
          <w:rFonts w:hint="eastAsia" w:ascii="宋体" w:hAnsi="Calibri"/>
          <w:b/>
          <w:bCs/>
          <w:color w:val="auto"/>
          <w:spacing w:val="80"/>
          <w:sz w:val="72"/>
          <w:highlight w:val="none"/>
          <w:lang w:eastAsia="zh-CN"/>
        </w:rPr>
        <w:tab/>
      </w:r>
      <w:r>
        <w:rPr>
          <w:rFonts w:hint="eastAsia" w:ascii="宋体" w:hAnsi="Calibri"/>
          <w:b/>
          <w:bCs/>
          <w:color w:val="auto"/>
          <w:spacing w:val="80"/>
          <w:sz w:val="72"/>
          <w:highlight w:val="none"/>
        </w:rPr>
        <w:t>建设工程施工合同</w:t>
      </w:r>
      <w:r>
        <w:rPr>
          <w:rFonts w:hint="eastAsia" w:ascii="宋体" w:hAnsi="Calibri"/>
          <w:b/>
          <w:bCs/>
          <w:color w:val="auto"/>
          <w:spacing w:val="80"/>
          <w:sz w:val="72"/>
          <w:highlight w:val="none"/>
          <w:lang w:eastAsia="zh-CN"/>
        </w:rPr>
        <w:tab/>
      </w:r>
    </w:p>
    <w:p w14:paraId="5D41CC44">
      <w:pPr>
        <w:spacing w:line="360" w:lineRule="auto"/>
        <w:jc w:val="center"/>
        <w:rPr>
          <w:rFonts w:ascii="黑体" w:eastAsia="黑体"/>
          <w:b/>
          <w:bCs/>
          <w:color w:val="auto"/>
          <w:sz w:val="24"/>
          <w:highlight w:val="none"/>
        </w:rPr>
      </w:pPr>
    </w:p>
    <w:p w14:paraId="1337ECB7">
      <w:pPr>
        <w:spacing w:line="360" w:lineRule="auto"/>
        <w:jc w:val="center"/>
        <w:rPr>
          <w:rFonts w:ascii="黑体" w:eastAsia="黑体"/>
          <w:b/>
          <w:bCs/>
          <w:color w:val="auto"/>
          <w:sz w:val="24"/>
          <w:highlight w:val="none"/>
        </w:rPr>
      </w:pPr>
    </w:p>
    <w:p w14:paraId="0758171F">
      <w:pPr>
        <w:jc w:val="center"/>
        <w:rPr>
          <w:rFonts w:hint="eastAsia" w:ascii="黑体" w:hAnsi="Calibri" w:eastAsia="黑体"/>
          <w:b/>
          <w:bCs/>
          <w:color w:val="auto"/>
          <w:sz w:val="52"/>
          <w:highlight w:val="none"/>
        </w:rPr>
      </w:pPr>
      <w:r>
        <w:rPr>
          <w:rFonts w:hint="eastAsia" w:ascii="黑体" w:hAnsi="Calibri" w:eastAsia="黑体"/>
          <w:b/>
          <w:bCs/>
          <w:color w:val="auto"/>
          <w:sz w:val="52"/>
          <w:highlight w:val="none"/>
        </w:rPr>
        <w:t>【正本】</w:t>
      </w:r>
    </w:p>
    <w:p w14:paraId="46F12D3F">
      <w:pPr>
        <w:spacing w:line="360" w:lineRule="auto"/>
        <w:ind w:right="1760"/>
        <w:jc w:val="center"/>
        <w:rPr>
          <w:color w:val="auto"/>
          <w:sz w:val="24"/>
          <w:highlight w:val="none"/>
        </w:rPr>
      </w:pPr>
    </w:p>
    <w:p w14:paraId="3A642F5A">
      <w:pPr>
        <w:spacing w:line="360" w:lineRule="auto"/>
        <w:rPr>
          <w:rFonts w:ascii="宋体"/>
          <w:b/>
          <w:bCs/>
          <w:color w:val="auto"/>
          <w:sz w:val="24"/>
          <w:highlight w:val="none"/>
        </w:rPr>
      </w:pPr>
    </w:p>
    <w:p w14:paraId="447053AC">
      <w:pPr>
        <w:spacing w:line="360" w:lineRule="auto"/>
        <w:rPr>
          <w:rFonts w:ascii="宋体"/>
          <w:b/>
          <w:bCs/>
          <w:color w:val="auto"/>
          <w:sz w:val="24"/>
          <w:highlight w:val="none"/>
        </w:rPr>
      </w:pPr>
    </w:p>
    <w:p w14:paraId="453CAAF5">
      <w:pPr>
        <w:spacing w:line="360" w:lineRule="auto"/>
        <w:rPr>
          <w:rFonts w:ascii="宋体"/>
          <w:b/>
          <w:bCs/>
          <w:color w:val="auto"/>
          <w:sz w:val="24"/>
          <w:highlight w:val="none"/>
        </w:rPr>
      </w:pPr>
    </w:p>
    <w:p w14:paraId="264B4543">
      <w:pPr>
        <w:spacing w:line="360" w:lineRule="auto"/>
        <w:rPr>
          <w:rFonts w:ascii="宋体"/>
          <w:b/>
          <w:bCs/>
          <w:color w:val="auto"/>
          <w:sz w:val="24"/>
          <w:highlight w:val="none"/>
        </w:rPr>
      </w:pPr>
    </w:p>
    <w:p w14:paraId="005A8FAE">
      <w:pPr>
        <w:spacing w:line="360" w:lineRule="auto"/>
        <w:jc w:val="center"/>
        <w:rPr>
          <w:rFonts w:ascii="黑体" w:eastAsia="黑体"/>
          <w:b/>
          <w:bCs/>
          <w:color w:val="auto"/>
          <w:sz w:val="24"/>
          <w:highlight w:val="none"/>
        </w:rPr>
      </w:pPr>
    </w:p>
    <w:p w14:paraId="459DB375">
      <w:pPr>
        <w:spacing w:line="360" w:lineRule="auto"/>
        <w:jc w:val="center"/>
        <w:rPr>
          <w:rFonts w:ascii="黑体" w:eastAsia="黑体"/>
          <w:b/>
          <w:bCs/>
          <w:color w:val="auto"/>
          <w:sz w:val="24"/>
          <w:highlight w:val="none"/>
        </w:rPr>
      </w:pPr>
    </w:p>
    <w:p w14:paraId="0472CC5C">
      <w:pPr>
        <w:spacing w:line="360" w:lineRule="auto"/>
        <w:jc w:val="center"/>
        <w:rPr>
          <w:rFonts w:ascii="黑体" w:eastAsia="黑体"/>
          <w:b/>
          <w:bCs/>
          <w:color w:val="auto"/>
          <w:sz w:val="24"/>
          <w:highlight w:val="none"/>
        </w:rPr>
      </w:pPr>
    </w:p>
    <w:p w14:paraId="7E814984">
      <w:pPr>
        <w:spacing w:line="360" w:lineRule="auto"/>
        <w:rPr>
          <w:rFonts w:ascii="宋体"/>
          <w:b/>
          <w:bCs/>
          <w:color w:val="auto"/>
          <w:spacing w:val="48"/>
          <w:sz w:val="24"/>
          <w:highlight w:val="none"/>
        </w:rPr>
      </w:pPr>
    </w:p>
    <w:p w14:paraId="22B7008D">
      <w:pPr>
        <w:ind w:firstLine="960"/>
        <w:rPr>
          <w:rFonts w:hint="eastAsia" w:ascii="宋体" w:hAnsi="Calibri"/>
          <w:b/>
          <w:bCs/>
          <w:color w:val="auto"/>
          <w:spacing w:val="48"/>
          <w:sz w:val="32"/>
          <w:szCs w:val="22"/>
          <w:highlight w:val="none"/>
        </w:rPr>
      </w:pPr>
      <w:r>
        <w:rPr>
          <w:rFonts w:hint="eastAsia" w:ascii="宋体" w:hAnsi="Calibri"/>
          <w:b/>
          <w:bCs/>
          <w:color w:val="auto"/>
          <w:spacing w:val="48"/>
          <w:sz w:val="32"/>
          <w:szCs w:val="22"/>
          <w:highlight w:val="none"/>
        </w:rPr>
        <mc:AlternateContent>
          <mc:Choice Requires="wps">
            <w:drawing>
              <wp:anchor distT="0" distB="0" distL="114300" distR="114300" simplePos="0" relativeHeight="251659264" behindDoc="0" locked="0" layoutInCell="1" allowOverlap="1">
                <wp:simplePos x="0" y="0"/>
                <wp:positionH relativeFrom="column">
                  <wp:posOffset>12573000</wp:posOffset>
                </wp:positionH>
                <wp:positionV relativeFrom="paragraph">
                  <wp:posOffset>276860</wp:posOffset>
                </wp:positionV>
                <wp:extent cx="647700" cy="419100"/>
                <wp:effectExtent l="0" t="0" r="0" b="0"/>
                <wp:wrapNone/>
                <wp:docPr id="1" name="Text Box 2"/>
                <wp:cNvGraphicFramePr/>
                <a:graphic xmlns:a="http://schemas.openxmlformats.org/drawingml/2006/main">
                  <a:graphicData uri="http://schemas.microsoft.com/office/word/2010/wordprocessingShape">
                    <wps:wsp>
                      <wps:cNvSpPr txBox="1"/>
                      <wps:spPr>
                        <a:xfrm>
                          <a:off x="0" y="0"/>
                          <a:ext cx="647700" cy="419100"/>
                        </a:xfrm>
                        <a:prstGeom prst="rect">
                          <a:avLst/>
                        </a:prstGeom>
                        <a:solidFill>
                          <a:srgbClr val="FFFFFF"/>
                        </a:solidFill>
                        <a:ln>
                          <a:noFill/>
                        </a:ln>
                      </wps:spPr>
                      <wps:txbx>
                        <w:txbxContent>
                          <w:p w14:paraId="3B4917B8">
                            <w:pPr>
                              <w:rPr>
                                <w:rFonts w:hint="eastAsia" w:ascii="宋体"/>
                                <w:b/>
                                <w:bCs/>
                                <w:sz w:val="36"/>
                              </w:rPr>
                            </w:pPr>
                          </w:p>
                          <w:p w14:paraId="1D114FC5">
                            <w:pPr>
                              <w:rPr>
                                <w:rFonts w:hint="eastAsia" w:ascii="宋体"/>
                                <w:b/>
                                <w:bCs/>
                                <w:sz w:val="36"/>
                              </w:rPr>
                            </w:pPr>
                          </w:p>
                          <w:p w14:paraId="028EBD7C">
                            <w:pPr>
                              <w:rPr>
                                <w:rFonts w:hint="eastAsia" w:ascii="宋体"/>
                                <w:b/>
                                <w:bCs/>
                                <w:sz w:val="36"/>
                              </w:rPr>
                            </w:pPr>
                          </w:p>
                          <w:p w14:paraId="01C94A3E">
                            <w:pPr>
                              <w:rPr>
                                <w:rFonts w:ascii="宋体"/>
                              </w:rPr>
                            </w:pPr>
                            <w:r>
                              <w:rPr>
                                <w:rFonts w:hint="eastAsia" w:ascii="宋体"/>
                                <w:b/>
                                <w:bCs/>
                                <w:sz w:val="36"/>
                              </w:rPr>
                              <w:t>制定</w:t>
                            </w:r>
                          </w:p>
                        </w:txbxContent>
                      </wps:txbx>
                      <wps:bodyPr wrap="square" upright="1"/>
                    </wps:wsp>
                  </a:graphicData>
                </a:graphic>
              </wp:anchor>
            </w:drawing>
          </mc:Choice>
          <mc:Fallback>
            <w:pict>
              <v:shape id="Text Box 2" o:spid="_x0000_s1026" o:spt="202" type="#_x0000_t202" style="position:absolute;left:0pt;margin-left:990pt;margin-top:21.8pt;height:33pt;width:51pt;z-index:251659264;mso-width-relative:page;mso-height-relative:page;" fillcolor="#FFFFFF" filled="t" stroked="f" coordsize="21600,21600" o:gfxdata="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5viYV2AAAAAwBAAAPAAAAAAAAAAEAIAAAACIAAABkcnMvZG93bnJldi54bWxQSwECFAAU&#10;AAAACACHTuJAbMu8FLgBAACDAwAADgAAAAAAAAABACAAAAAnAQAAZHJzL2Uyb0RvYy54bWxQSwUG&#10;AAAAAAYABgBZAQAAUQUAAAAA&#10;">
                <v:fill on="t" focussize="0,0"/>
                <v:stroke on="f"/>
                <v:imagedata o:title=""/>
                <o:lock v:ext="edit" aspectratio="f"/>
                <v:textbox>
                  <w:txbxContent>
                    <w:p w14:paraId="3B4917B8">
                      <w:pPr>
                        <w:rPr>
                          <w:rFonts w:hint="eastAsia" w:ascii="宋体"/>
                          <w:b/>
                          <w:bCs/>
                          <w:sz w:val="36"/>
                        </w:rPr>
                      </w:pPr>
                    </w:p>
                    <w:p w14:paraId="1D114FC5">
                      <w:pPr>
                        <w:rPr>
                          <w:rFonts w:hint="eastAsia" w:ascii="宋体"/>
                          <w:b/>
                          <w:bCs/>
                          <w:sz w:val="36"/>
                        </w:rPr>
                      </w:pPr>
                    </w:p>
                    <w:p w14:paraId="028EBD7C">
                      <w:pPr>
                        <w:rPr>
                          <w:rFonts w:hint="eastAsia" w:ascii="宋体"/>
                          <w:b/>
                          <w:bCs/>
                          <w:sz w:val="36"/>
                        </w:rPr>
                      </w:pPr>
                    </w:p>
                    <w:p w14:paraId="01C94A3E">
                      <w:pPr>
                        <w:rPr>
                          <w:rFonts w:ascii="宋体"/>
                        </w:rPr>
                      </w:pPr>
                      <w:r>
                        <w:rPr>
                          <w:rFonts w:hint="eastAsia" w:ascii="宋体"/>
                          <w:b/>
                          <w:bCs/>
                          <w:sz w:val="36"/>
                        </w:rPr>
                        <w:t>制定</w:t>
                      </w:r>
                    </w:p>
                  </w:txbxContent>
                </v:textbox>
              </v:shape>
            </w:pict>
          </mc:Fallback>
        </mc:AlternateContent>
      </w:r>
      <w:r>
        <w:rPr>
          <w:rFonts w:hint="eastAsia" w:ascii="宋体" w:hAnsi="Calibri"/>
          <w:b/>
          <w:bCs/>
          <w:color w:val="auto"/>
          <w:spacing w:val="48"/>
          <w:sz w:val="32"/>
          <w:szCs w:val="22"/>
          <w:highlight w:val="none"/>
        </w:rPr>
        <w:t>建设单位：横州市乡村振兴局</w:t>
      </w:r>
    </w:p>
    <w:p w14:paraId="438240B8">
      <w:pPr>
        <w:ind w:firstLine="960"/>
        <w:rPr>
          <w:rFonts w:hint="eastAsia" w:ascii="宋体" w:hAnsi="Calibri"/>
          <w:b/>
          <w:bCs/>
          <w:color w:val="auto"/>
          <w:spacing w:val="48"/>
          <w:sz w:val="32"/>
          <w:szCs w:val="22"/>
          <w:highlight w:val="none"/>
        </w:rPr>
      </w:pPr>
      <w:r>
        <w:rPr>
          <w:rFonts w:hint="eastAsia" w:ascii="宋体" w:hAnsi="Calibri"/>
          <w:b/>
          <w:bCs/>
          <w:color w:val="auto"/>
          <w:spacing w:val="48"/>
          <w:sz w:val="32"/>
          <w:szCs w:val="22"/>
          <w:highlight w:val="none"/>
        </w:rPr>
        <w:t>施工单位：广西</w:t>
      </w:r>
      <w:r>
        <w:rPr>
          <w:rFonts w:hint="eastAsia" w:ascii="宋体" w:hAnsi="Calibri"/>
          <w:b/>
          <w:bCs/>
          <w:color w:val="auto"/>
          <w:spacing w:val="48"/>
          <w:sz w:val="32"/>
          <w:szCs w:val="22"/>
          <w:highlight w:val="none"/>
          <w:lang w:val="en-US" w:eastAsia="zh-CN"/>
        </w:rPr>
        <w:t>xxx有限</w:t>
      </w:r>
      <w:r>
        <w:rPr>
          <w:rFonts w:hint="eastAsia" w:ascii="宋体" w:hAnsi="Calibri"/>
          <w:b/>
          <w:bCs/>
          <w:color w:val="auto"/>
          <w:spacing w:val="48"/>
          <w:sz w:val="32"/>
          <w:szCs w:val="22"/>
          <w:highlight w:val="none"/>
        </w:rPr>
        <w:t>公司</w:t>
      </w:r>
    </w:p>
    <w:p w14:paraId="33928315">
      <w:pPr>
        <w:ind w:firstLine="960"/>
        <w:rPr>
          <w:rFonts w:hint="eastAsia" w:ascii="宋体" w:hAnsi="Calibri"/>
          <w:b/>
          <w:bCs/>
          <w:color w:val="auto"/>
          <w:spacing w:val="48"/>
          <w:sz w:val="32"/>
          <w:szCs w:val="22"/>
          <w:highlight w:val="none"/>
        </w:rPr>
      </w:pPr>
    </w:p>
    <w:p w14:paraId="2FEAFDD1">
      <w:pPr>
        <w:ind w:firstLine="960"/>
        <w:rPr>
          <w:rFonts w:hint="eastAsia" w:ascii="宋体" w:hAnsi="Calibri"/>
          <w:b/>
          <w:bCs/>
          <w:color w:val="auto"/>
          <w:spacing w:val="48"/>
          <w:sz w:val="32"/>
          <w:szCs w:val="22"/>
          <w:highlight w:val="none"/>
        </w:rPr>
      </w:pPr>
    </w:p>
    <w:p w14:paraId="507B5D5E">
      <w:pPr>
        <w:ind w:firstLine="960"/>
        <w:rPr>
          <w:rFonts w:hint="eastAsia" w:ascii="宋体" w:hAnsi="Calibri"/>
          <w:b/>
          <w:bCs/>
          <w:color w:val="auto"/>
          <w:spacing w:val="48"/>
          <w:sz w:val="32"/>
          <w:szCs w:val="22"/>
          <w:highlight w:val="none"/>
        </w:rPr>
      </w:pPr>
    </w:p>
    <w:p w14:paraId="76C9EC76">
      <w:pPr>
        <w:ind w:firstLine="960"/>
        <w:rPr>
          <w:rFonts w:hint="eastAsia" w:ascii="宋体" w:hAnsi="Calibri"/>
          <w:b/>
          <w:bCs/>
          <w:color w:val="auto"/>
          <w:spacing w:val="48"/>
          <w:sz w:val="32"/>
          <w:szCs w:val="22"/>
          <w:highlight w:val="none"/>
        </w:rPr>
      </w:pPr>
    </w:p>
    <w:p w14:paraId="0F94DFBB">
      <w:pPr>
        <w:ind w:firstLine="960"/>
        <w:rPr>
          <w:rFonts w:hint="eastAsia" w:ascii="宋体" w:hAnsi="Calibri"/>
          <w:b/>
          <w:bCs/>
          <w:color w:val="auto"/>
          <w:spacing w:val="48"/>
          <w:sz w:val="32"/>
          <w:szCs w:val="22"/>
          <w:highlight w:val="none"/>
        </w:rPr>
      </w:pPr>
    </w:p>
    <w:p w14:paraId="1C9CD49F">
      <w:pPr>
        <w:ind w:firstLine="960"/>
        <w:rPr>
          <w:rFonts w:hint="eastAsia" w:ascii="宋体" w:hAnsi="Calibri"/>
          <w:b/>
          <w:bCs/>
          <w:color w:val="auto"/>
          <w:spacing w:val="48"/>
          <w:sz w:val="32"/>
          <w:szCs w:val="22"/>
          <w:highlight w:val="none"/>
        </w:rPr>
      </w:pPr>
    </w:p>
    <w:p w14:paraId="4B4362C5">
      <w:pPr>
        <w:ind w:firstLine="960"/>
        <w:rPr>
          <w:rFonts w:hint="eastAsia" w:ascii="宋体" w:hAnsi="Calibri"/>
          <w:b/>
          <w:bCs/>
          <w:color w:val="auto"/>
          <w:spacing w:val="48"/>
          <w:sz w:val="32"/>
          <w:szCs w:val="22"/>
          <w:highlight w:val="none"/>
        </w:rPr>
      </w:pPr>
    </w:p>
    <w:p w14:paraId="598AD366">
      <w:pPr>
        <w:ind w:firstLine="960"/>
        <w:rPr>
          <w:rFonts w:hint="eastAsia" w:ascii="宋体" w:hAnsi="Calibri"/>
          <w:b/>
          <w:bCs/>
          <w:color w:val="auto"/>
          <w:spacing w:val="48"/>
          <w:sz w:val="32"/>
          <w:szCs w:val="22"/>
          <w:highlight w:val="none"/>
        </w:rPr>
      </w:pPr>
    </w:p>
    <w:p w14:paraId="35F5F7E4">
      <w:pPr>
        <w:pStyle w:val="33"/>
        <w:tabs>
          <w:tab w:val="right" w:leader="dot" w:pos="8916"/>
          <w:tab w:val="clear" w:pos="5880"/>
        </w:tabs>
        <w:rPr>
          <w:rFonts w:hint="eastAsia" w:ascii="宋体" w:hAnsi="宋体" w:eastAsia="宋体" w:cs="宋体"/>
          <w:color w:val="auto"/>
          <w:kern w:val="0"/>
          <w:highlight w:val="none"/>
          <w:u w:val="single"/>
        </w:rPr>
      </w:pPr>
    </w:p>
    <w:p w14:paraId="5D245F9B">
      <w:pPr>
        <w:pStyle w:val="33"/>
        <w:tabs>
          <w:tab w:val="right" w:leader="dot" w:pos="8916"/>
          <w:tab w:val="clear" w:pos="5880"/>
        </w:tabs>
        <w:rPr>
          <w:rFonts w:hint="eastAsia" w:ascii="宋体" w:hAnsi="宋体" w:eastAsia="宋体" w:cs="宋体"/>
          <w:color w:val="auto"/>
          <w:kern w:val="0"/>
          <w:highlight w:val="none"/>
          <w:u w:val="single"/>
        </w:rPr>
      </w:pPr>
    </w:p>
    <w:p w14:paraId="2E557D51">
      <w:pPr>
        <w:pStyle w:val="33"/>
        <w:tabs>
          <w:tab w:val="right" w:leader="dot" w:pos="8916"/>
          <w:tab w:val="clear" w:pos="5880"/>
        </w:tabs>
        <w:jc w:val="center"/>
        <w:rPr>
          <w:rFonts w:hint="eastAsia" w:ascii="宋体" w:hAnsi="宋体" w:eastAsia="宋体" w:cs="宋体"/>
          <w:b/>
          <w:bCs/>
          <w:color w:val="auto"/>
          <w:kern w:val="0"/>
          <w:sz w:val="36"/>
          <w:szCs w:val="44"/>
          <w:highlight w:val="none"/>
          <w:u w:val="none"/>
          <w:lang w:eastAsia="zh-CN"/>
        </w:rPr>
      </w:pPr>
    </w:p>
    <w:p w14:paraId="24C0C52E">
      <w:pPr>
        <w:pStyle w:val="33"/>
        <w:tabs>
          <w:tab w:val="right" w:leader="dot" w:pos="8916"/>
          <w:tab w:val="clear" w:pos="5880"/>
        </w:tabs>
        <w:jc w:val="center"/>
        <w:rPr>
          <w:rFonts w:hint="eastAsia" w:ascii="宋体" w:hAnsi="宋体" w:eastAsia="宋体" w:cs="宋体"/>
          <w:b/>
          <w:bCs/>
          <w:color w:val="auto"/>
          <w:kern w:val="0"/>
          <w:sz w:val="36"/>
          <w:szCs w:val="44"/>
          <w:highlight w:val="none"/>
          <w:u w:val="none"/>
          <w:lang w:eastAsia="zh-CN"/>
        </w:rPr>
        <w:sectPr>
          <w:footerReference r:id="rId11" w:type="default"/>
          <w:pgSz w:w="11750" w:h="16930"/>
          <w:pgMar w:top="1417" w:right="1417" w:bottom="1417" w:left="1417" w:header="0" w:footer="0" w:gutter="0"/>
          <w:pgNumType w:fmt="decimal"/>
          <w:cols w:space="720" w:num="1"/>
        </w:sectPr>
      </w:pPr>
    </w:p>
    <w:p w14:paraId="55E6BE5C">
      <w:pPr>
        <w:spacing w:before="0" w:beforeLines="0" w:after="0" w:afterLines="0" w:line="360" w:lineRule="auto"/>
        <w:ind w:left="0" w:leftChars="0" w:right="0" w:rightChars="0" w:firstLine="0" w:firstLineChars="0"/>
        <w:jc w:val="center"/>
        <w:rPr>
          <w:rFonts w:hint="default" w:ascii="宋体" w:hAnsi="宋体" w:eastAsia="宋体" w:cs="宋体"/>
          <w:b/>
          <w:bCs/>
          <w:color w:val="auto"/>
          <w:kern w:val="0"/>
          <w:sz w:val="40"/>
          <w:szCs w:val="40"/>
          <w:highlight w:val="none"/>
          <w:u w:val="none"/>
          <w:lang w:val="en-US" w:eastAsia="zh-CN"/>
        </w:rPr>
      </w:pPr>
      <w:r>
        <w:rPr>
          <w:rFonts w:hint="eastAsia" w:ascii="宋体" w:hAnsi="宋体" w:cs="宋体"/>
          <w:b/>
          <w:bCs/>
          <w:color w:val="auto"/>
          <w:kern w:val="0"/>
          <w:sz w:val="40"/>
          <w:szCs w:val="40"/>
          <w:highlight w:val="none"/>
          <w:u w:val="none"/>
          <w:lang w:val="en-US" w:eastAsia="zh-CN"/>
        </w:rPr>
        <w:t>目录</w:t>
      </w:r>
    </w:p>
    <w:p w14:paraId="4F3D3145">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lang w:eastAsia="zh-CN"/>
        </w:rPr>
      </w:pPr>
      <w:r>
        <w:rPr>
          <w:rFonts w:hint="eastAsia" w:ascii="宋体" w:hAnsi="宋体" w:eastAsia="宋体" w:cs="宋体"/>
          <w:color w:val="auto"/>
          <w:kern w:val="0"/>
          <w:sz w:val="24"/>
          <w:highlight w:val="none"/>
          <w:u w:val="none"/>
        </w:rPr>
        <w:t>一、</w:t>
      </w:r>
      <w:r>
        <w:rPr>
          <w:rFonts w:hint="eastAsia" w:ascii="宋体" w:hAnsi="宋体" w:cs="宋体"/>
          <w:color w:val="auto"/>
          <w:kern w:val="0"/>
          <w:sz w:val="24"/>
          <w:highlight w:val="none"/>
          <w:u w:val="none"/>
          <w:lang w:val="en-US" w:eastAsia="zh-CN"/>
        </w:rPr>
        <w:t>成交通</w:t>
      </w:r>
      <w:r>
        <w:rPr>
          <w:rFonts w:hint="eastAsia" w:ascii="宋体" w:hAnsi="宋体" w:eastAsia="宋体" w:cs="宋体"/>
          <w:color w:val="auto"/>
          <w:kern w:val="0"/>
          <w:sz w:val="24"/>
          <w:highlight w:val="none"/>
          <w:u w:val="none"/>
        </w:rPr>
        <w:t>知书.....................................................</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7DAE3C92">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二、合同协议书.....................................................</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6B5AD544">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三、农民工工资保证金承诺书..........................................</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4DDC2CF7">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四、廉政合同........................................................</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65D76208">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五、安全生产合同....................................................</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0562E2BE">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六、项目经理、项目工地代表委任书....................................</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00EC3824">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七、通用合同条款.....................................................</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66F5C2ED">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八、项目专用合同条款................................................</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79DC603F">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九、标价的工程量清单................................................</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59DBA811">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十、拟投入本项目的主要管理人员汇总表及简历...........................</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175B99DA">
      <w:pPr>
        <w:spacing w:before="0" w:beforeLines="0" w:after="0" w:afterLines="0" w:line="360" w:lineRule="auto"/>
        <w:ind w:left="0" w:leftChars="0" w:right="0" w:rightChars="0" w:firstLine="0" w:firstLineChars="0"/>
        <w:jc w:val="both"/>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十一、横州市2025年公益性资产管护（修缮）项目计划表..................</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lang w:val="en-US" w:eastAsia="zh-CN"/>
        </w:rPr>
        <w:t>页码</w:t>
      </w:r>
      <w:r>
        <w:rPr>
          <w:rFonts w:hint="eastAsia" w:ascii="宋体" w:hAnsi="宋体" w:cs="宋体"/>
          <w:color w:val="auto"/>
          <w:kern w:val="0"/>
          <w:sz w:val="24"/>
          <w:highlight w:val="none"/>
          <w:u w:val="none"/>
          <w:lang w:eastAsia="zh-CN"/>
        </w:rPr>
        <w:t>）</w:t>
      </w:r>
    </w:p>
    <w:p w14:paraId="0960108C">
      <w:pPr>
        <w:bidi w:val="0"/>
        <w:rPr>
          <w:rFonts w:hint="eastAsia" w:ascii="宋体" w:hAnsi="宋体" w:eastAsia="宋体" w:cs="宋体"/>
          <w:color w:val="auto"/>
          <w:kern w:val="2"/>
          <w:sz w:val="21"/>
          <w:szCs w:val="24"/>
          <w:highlight w:val="none"/>
          <w:lang w:val="en-US" w:eastAsia="zh-CN" w:bidi="ar-SA"/>
        </w:rPr>
      </w:pPr>
    </w:p>
    <w:p w14:paraId="6506791F">
      <w:pPr>
        <w:bidi w:val="0"/>
        <w:rPr>
          <w:rFonts w:hint="eastAsia" w:ascii="宋体" w:hAnsi="宋体" w:eastAsia="宋体" w:cs="宋体"/>
          <w:color w:val="auto"/>
          <w:highlight w:val="none"/>
          <w:lang w:val="en-US" w:eastAsia="zh-CN"/>
        </w:rPr>
      </w:pPr>
    </w:p>
    <w:p w14:paraId="21EDDEC1">
      <w:pPr>
        <w:bidi w:val="0"/>
        <w:rPr>
          <w:rFonts w:hint="eastAsia" w:ascii="宋体" w:hAnsi="宋体" w:eastAsia="宋体" w:cs="宋体"/>
          <w:color w:val="auto"/>
          <w:highlight w:val="none"/>
          <w:lang w:val="en-US" w:eastAsia="zh-CN"/>
        </w:rPr>
      </w:pPr>
    </w:p>
    <w:p w14:paraId="7EFEB86D">
      <w:pPr>
        <w:bidi w:val="0"/>
        <w:rPr>
          <w:rFonts w:hint="eastAsia" w:ascii="宋体" w:hAnsi="宋体" w:eastAsia="宋体" w:cs="宋体"/>
          <w:color w:val="auto"/>
          <w:highlight w:val="none"/>
          <w:lang w:val="en-US" w:eastAsia="zh-CN"/>
        </w:rPr>
      </w:pPr>
    </w:p>
    <w:p w14:paraId="500B76D4">
      <w:pPr>
        <w:bidi w:val="0"/>
        <w:rPr>
          <w:rFonts w:hint="eastAsia" w:ascii="宋体" w:hAnsi="宋体" w:eastAsia="宋体" w:cs="宋体"/>
          <w:color w:val="auto"/>
          <w:highlight w:val="none"/>
          <w:lang w:val="en-US" w:eastAsia="zh-CN"/>
        </w:rPr>
      </w:pPr>
    </w:p>
    <w:p w14:paraId="6017256A">
      <w:pPr>
        <w:bidi w:val="0"/>
        <w:rPr>
          <w:rFonts w:hint="eastAsia" w:ascii="宋体" w:hAnsi="宋体" w:eastAsia="宋体" w:cs="宋体"/>
          <w:color w:val="auto"/>
          <w:highlight w:val="none"/>
          <w:lang w:val="en-US" w:eastAsia="zh-CN"/>
        </w:rPr>
      </w:pPr>
    </w:p>
    <w:p w14:paraId="65EC7491">
      <w:pPr>
        <w:bidi w:val="0"/>
        <w:rPr>
          <w:rFonts w:hint="eastAsia" w:ascii="宋体" w:hAnsi="宋体" w:eastAsia="宋体" w:cs="宋体"/>
          <w:color w:val="auto"/>
          <w:highlight w:val="none"/>
          <w:lang w:val="en-US" w:eastAsia="zh-CN"/>
        </w:rPr>
      </w:pPr>
    </w:p>
    <w:p w14:paraId="6EB54395">
      <w:pPr>
        <w:bidi w:val="0"/>
        <w:rPr>
          <w:rFonts w:hint="eastAsia" w:ascii="宋体" w:hAnsi="宋体" w:eastAsia="宋体" w:cs="宋体"/>
          <w:color w:val="auto"/>
          <w:highlight w:val="none"/>
          <w:lang w:val="en-US" w:eastAsia="zh-CN"/>
        </w:rPr>
      </w:pPr>
    </w:p>
    <w:p w14:paraId="01A998D6">
      <w:pPr>
        <w:bidi w:val="0"/>
        <w:rPr>
          <w:rFonts w:hint="eastAsia" w:ascii="宋体" w:hAnsi="宋体" w:eastAsia="宋体" w:cs="宋体"/>
          <w:color w:val="auto"/>
          <w:highlight w:val="none"/>
          <w:lang w:val="en-US" w:eastAsia="zh-CN"/>
        </w:rPr>
      </w:pPr>
    </w:p>
    <w:p w14:paraId="564941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pacing w:val="-4"/>
          <w:sz w:val="32"/>
          <w:szCs w:val="32"/>
          <w:highlight w:val="none"/>
          <w:lang w:eastAsia="zh-CN"/>
        </w:rPr>
        <w:sectPr>
          <w:footerReference r:id="rId12" w:type="default"/>
          <w:pgSz w:w="11750" w:h="16930"/>
          <w:pgMar w:top="1417" w:right="1417" w:bottom="1417" w:left="1417" w:header="0" w:footer="0" w:gutter="0"/>
          <w:pgNumType w:fmt="decimal"/>
          <w:cols w:space="720" w:num="1"/>
        </w:sectPr>
      </w:pPr>
      <w:bookmarkStart w:id="234" w:name="_Toc151"/>
      <w:bookmarkStart w:id="235" w:name="_Toc27479"/>
      <w:bookmarkStart w:id="236" w:name="_Toc25829"/>
      <w:bookmarkStart w:id="237" w:name="_Toc31996"/>
      <w:bookmarkStart w:id="238" w:name="_Toc32584"/>
      <w:bookmarkStart w:id="239" w:name="_Toc4127"/>
      <w:bookmarkStart w:id="240" w:name="_Toc14794"/>
      <w:bookmarkStart w:id="241" w:name="_Toc19289"/>
      <w:bookmarkStart w:id="242" w:name="_Toc16563"/>
      <w:bookmarkStart w:id="243" w:name="_Toc12886"/>
      <w:bookmarkStart w:id="244" w:name="_Toc18351"/>
    </w:p>
    <w:p w14:paraId="3E0A47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color w:val="auto"/>
          <w:spacing w:val="-4"/>
          <w:sz w:val="32"/>
          <w:szCs w:val="32"/>
          <w:highlight w:val="none"/>
          <w:lang w:val="en-US" w:eastAsia="zh-CN"/>
        </w:rPr>
      </w:pPr>
      <w:bookmarkStart w:id="245" w:name="_Toc18883"/>
      <w:r>
        <w:rPr>
          <w:rFonts w:hint="eastAsia" w:ascii="宋体" w:hAnsi="宋体" w:eastAsia="宋体" w:cs="宋体"/>
          <w:b/>
          <w:bCs/>
          <w:color w:val="auto"/>
          <w:spacing w:val="-4"/>
          <w:sz w:val="32"/>
          <w:szCs w:val="32"/>
          <w:highlight w:val="none"/>
          <w:lang w:eastAsia="zh-CN"/>
        </w:rPr>
        <w:t>一、</w:t>
      </w:r>
      <w:bookmarkEnd w:id="234"/>
      <w:bookmarkEnd w:id="235"/>
      <w:bookmarkEnd w:id="236"/>
      <w:bookmarkEnd w:id="237"/>
      <w:bookmarkEnd w:id="238"/>
      <w:bookmarkEnd w:id="239"/>
      <w:bookmarkEnd w:id="240"/>
      <w:bookmarkEnd w:id="245"/>
      <w:r>
        <w:rPr>
          <w:rFonts w:hint="eastAsia" w:ascii="宋体" w:hAnsi="宋体" w:cs="宋体"/>
          <w:b/>
          <w:bCs/>
          <w:color w:val="auto"/>
          <w:spacing w:val="-4"/>
          <w:sz w:val="32"/>
          <w:szCs w:val="32"/>
          <w:highlight w:val="none"/>
          <w:lang w:val="en-US" w:eastAsia="zh-CN"/>
        </w:rPr>
        <w:t>成交通</w:t>
      </w:r>
      <w:r>
        <w:rPr>
          <w:rFonts w:hint="eastAsia" w:ascii="宋体" w:hAnsi="宋体" w:eastAsia="宋体" w:cs="宋体"/>
          <w:b/>
          <w:bCs/>
          <w:color w:val="auto"/>
          <w:spacing w:val="-4"/>
          <w:sz w:val="32"/>
          <w:szCs w:val="32"/>
          <w:highlight w:val="none"/>
          <w:lang w:eastAsia="zh-CN"/>
        </w:rPr>
        <w:t>知书</w:t>
      </w:r>
      <w:r>
        <w:rPr>
          <w:rFonts w:hint="eastAsia" w:ascii="宋体" w:hAnsi="宋体" w:cs="宋体"/>
          <w:b/>
          <w:bCs/>
          <w:color w:val="auto"/>
          <w:spacing w:val="-4"/>
          <w:sz w:val="32"/>
          <w:szCs w:val="32"/>
          <w:highlight w:val="none"/>
          <w:lang w:val="en-US" w:eastAsia="zh-CN"/>
        </w:rPr>
        <w:t xml:space="preserve"> </w:t>
      </w:r>
    </w:p>
    <w:p w14:paraId="19461C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p>
    <w:p w14:paraId="6192009A">
      <w:pPr>
        <w:bidi w:val="0"/>
        <w:jc w:val="center"/>
        <w:outlineLvl w:val="9"/>
        <w:rPr>
          <w:rFonts w:hint="default" w:ascii="宋体" w:hAnsi="宋体" w:eastAsia="宋体" w:cs="宋体"/>
          <w:color w:val="auto"/>
          <w:sz w:val="44"/>
          <w:szCs w:val="44"/>
          <w:highlight w:val="none"/>
          <w:lang w:val="en-US" w:eastAsia="zh-CN"/>
        </w:rPr>
      </w:pPr>
    </w:p>
    <w:p w14:paraId="69716FDB">
      <w:pPr>
        <w:spacing w:line="473" w:lineRule="auto"/>
        <w:rPr>
          <w:rFonts w:hint="eastAsia" w:ascii="宋体" w:hAnsi="宋体" w:eastAsia="宋体" w:cs="宋体"/>
          <w:color w:val="auto"/>
          <w:highlight w:val="none"/>
        </w:rPr>
      </w:pPr>
    </w:p>
    <w:p w14:paraId="7204E7E1">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52730FB8">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3301FA5D">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481D02B5">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34BED096">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44F2F30D">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76B0C820">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6B36E286">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07CF7210">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5A45EE6D">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2D869D0B">
      <w:pPr>
        <w:keepNext w:val="0"/>
        <w:keepLines w:val="0"/>
        <w:pageBreakBefore w:val="0"/>
        <w:widowControl w:val="0"/>
        <w:kinsoku/>
        <w:wordWrap/>
        <w:overflowPunct/>
        <w:topLinePunct w:val="0"/>
        <w:autoSpaceDE/>
        <w:autoSpaceDN/>
        <w:bidi w:val="0"/>
        <w:adjustRightInd/>
        <w:snapToGrid/>
        <w:spacing w:line="560" w:lineRule="exact"/>
        <w:ind w:right="0" w:firstLine="548" w:firstLineChars="200"/>
        <w:textAlignment w:val="auto"/>
        <w:rPr>
          <w:rFonts w:hint="eastAsia" w:ascii="宋体" w:hAnsi="宋体" w:eastAsia="宋体" w:cs="宋体"/>
          <w:color w:val="auto"/>
          <w:spacing w:val="-3"/>
          <w:sz w:val="28"/>
          <w:szCs w:val="28"/>
          <w:highlight w:val="none"/>
        </w:rPr>
      </w:pPr>
    </w:p>
    <w:p w14:paraId="4D4A8D27">
      <w:pPr>
        <w:rPr>
          <w:rFonts w:hint="default" w:ascii="宋体" w:hAnsi="宋体" w:eastAsia="宋体" w:cs="宋体"/>
          <w:color w:val="auto"/>
          <w:highlight w:val="none"/>
          <w:lang w:val="en-US" w:eastAsia="zh-CN"/>
        </w:rPr>
        <w:sectPr>
          <w:footerReference r:id="rId13" w:type="default"/>
          <w:pgSz w:w="11750" w:h="16930"/>
          <w:pgMar w:top="1417" w:right="1417" w:bottom="1417" w:left="1417" w:header="0" w:footer="0" w:gutter="0"/>
          <w:pgNumType w:fmt="decimal"/>
          <w:cols w:space="720" w:num="1"/>
        </w:sectPr>
      </w:pPr>
    </w:p>
    <w:p w14:paraId="3DAA6011">
      <w:pPr>
        <w:jc w:val="center"/>
        <w:outlineLvl w:val="1"/>
        <w:rPr>
          <w:rFonts w:hint="eastAsia"/>
          <w:b/>
          <w:bCs/>
          <w:color w:val="auto"/>
          <w:sz w:val="36"/>
          <w:szCs w:val="44"/>
          <w:highlight w:val="none"/>
        </w:rPr>
      </w:pPr>
      <w:bookmarkStart w:id="246" w:name="_Toc15719"/>
      <w:bookmarkStart w:id="247" w:name="_Toc18046"/>
      <w:bookmarkStart w:id="248" w:name="_Toc17131"/>
      <w:bookmarkStart w:id="249" w:name="_Toc21160"/>
      <w:bookmarkStart w:id="250" w:name="_Toc4128"/>
      <w:bookmarkStart w:id="251" w:name="_Toc15210"/>
      <w:bookmarkStart w:id="252" w:name="_Toc5642"/>
      <w:bookmarkStart w:id="253" w:name="_Toc5794"/>
      <w:bookmarkStart w:id="254" w:name="_Toc837"/>
      <w:bookmarkStart w:id="255" w:name="_Toc27202"/>
      <w:bookmarkStart w:id="256" w:name="_Toc18438"/>
      <w:bookmarkStart w:id="257" w:name="_Toc25600"/>
      <w:r>
        <w:rPr>
          <w:rFonts w:hint="eastAsia"/>
          <w:b/>
          <w:bCs/>
          <w:color w:val="auto"/>
          <w:sz w:val="36"/>
          <w:szCs w:val="44"/>
          <w:highlight w:val="none"/>
        </w:rPr>
        <w:t>二、合同协议书</w:t>
      </w:r>
      <w:bookmarkEnd w:id="241"/>
      <w:bookmarkEnd w:id="242"/>
      <w:bookmarkEnd w:id="243"/>
      <w:bookmarkEnd w:id="244"/>
      <w:bookmarkEnd w:id="246"/>
      <w:bookmarkEnd w:id="247"/>
      <w:bookmarkEnd w:id="248"/>
      <w:bookmarkEnd w:id="249"/>
      <w:bookmarkEnd w:id="250"/>
      <w:bookmarkEnd w:id="251"/>
      <w:bookmarkEnd w:id="252"/>
      <w:bookmarkEnd w:id="253"/>
      <w:bookmarkEnd w:id="254"/>
      <w:bookmarkEnd w:id="255"/>
      <w:bookmarkEnd w:id="256"/>
      <w:bookmarkEnd w:id="257"/>
    </w:p>
    <w:p w14:paraId="11D05C5A">
      <w:pPr>
        <w:widowControl/>
        <w:spacing w:line="360" w:lineRule="auto"/>
        <w:ind w:firstLine="480" w:firstLineChars="200"/>
        <w:rPr>
          <w:rFonts w:hint="eastAsia" w:ascii="宋体" w:hAnsi="宋体" w:eastAsia="宋体" w:cs="宋体"/>
          <w:color w:val="auto"/>
          <w:kern w:val="0"/>
          <w:sz w:val="24"/>
          <w:highlight w:val="none"/>
        </w:rPr>
      </w:pPr>
    </w:p>
    <w:p w14:paraId="0D005965">
      <w:pPr>
        <w:widowControl/>
        <w:spacing w:line="360" w:lineRule="auto"/>
        <w:ind w:firstLine="480" w:firstLineChars="200"/>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color w:val="auto"/>
          <w:kern w:val="0"/>
          <w:sz w:val="24"/>
          <w:highlight w:val="none"/>
        </w:rPr>
        <w:t>发包方</w:t>
      </w:r>
      <w:r>
        <w:rPr>
          <w:rFonts w:hint="eastAsia" w:ascii="宋体" w:hAnsi="宋体" w:eastAsia="宋体" w:cs="宋体"/>
          <w:color w:val="auto"/>
          <w:sz w:val="24"/>
          <w:highlight w:val="none"/>
        </w:rPr>
        <w:t>甲方</w:t>
      </w:r>
      <w:r>
        <w:rPr>
          <w:rFonts w:hint="eastAsia" w:ascii="宋体" w:hAnsi="宋体" w:eastAsia="宋体" w:cs="宋体"/>
          <w:color w:val="auto"/>
          <w:kern w:val="0"/>
          <w:sz w:val="24"/>
          <w:highlight w:val="none"/>
        </w:rPr>
        <w:t>（全称）：</w:t>
      </w:r>
      <w:r>
        <w:rPr>
          <w:rFonts w:hint="eastAsia" w:ascii="宋体" w:hAnsi="宋体" w:eastAsia="宋体" w:cs="宋体"/>
          <w:bCs/>
          <w:color w:val="auto"/>
          <w:sz w:val="24"/>
          <w:highlight w:val="none"/>
          <w:shd w:val="clear" w:color="auto" w:fill="FFFFFF"/>
          <w:lang w:eastAsia="zh-CN"/>
        </w:rPr>
        <w:t>横州市乡村振兴局</w:t>
      </w:r>
    </w:p>
    <w:p w14:paraId="37A3F73F">
      <w:pPr>
        <w:widowControl/>
        <w:spacing w:line="360" w:lineRule="auto"/>
        <w:ind w:firstLine="480" w:firstLineChars="200"/>
        <w:outlineLvl w:val="9"/>
        <w:rPr>
          <w:rFonts w:hint="eastAsia" w:ascii="宋体" w:hAnsi="宋体" w:eastAsia="宋体" w:cs="宋体"/>
          <w:color w:val="auto"/>
          <w:kern w:val="0"/>
          <w:sz w:val="24"/>
          <w:highlight w:val="none"/>
          <w:u w:val="single"/>
        </w:rPr>
      </w:pPr>
      <w:bookmarkStart w:id="258" w:name="_Toc6930"/>
      <w:bookmarkStart w:id="259" w:name="_Toc25841"/>
      <w:bookmarkStart w:id="260" w:name="_Toc6756"/>
      <w:bookmarkStart w:id="261" w:name="_Toc28956"/>
      <w:bookmarkStart w:id="262" w:name="_Toc7826"/>
      <w:bookmarkStart w:id="263" w:name="_Toc20590"/>
      <w:r>
        <w:rPr>
          <w:rFonts w:hint="eastAsia" w:ascii="宋体" w:hAnsi="宋体" w:eastAsia="宋体" w:cs="宋体"/>
          <w:color w:val="auto"/>
          <w:kern w:val="0"/>
          <w:sz w:val="24"/>
          <w:highlight w:val="none"/>
        </w:rPr>
        <w:t>承包方</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（全称）</w:t>
      </w:r>
      <w:r>
        <w:rPr>
          <w:rFonts w:hint="eastAsia" w:ascii="宋体" w:hAnsi="宋体" w:eastAsia="宋体" w:cs="宋体"/>
          <w:color w:val="auto"/>
          <w:kern w:val="0"/>
          <w:sz w:val="24"/>
          <w:highlight w:val="none"/>
          <w:u w:val="none"/>
        </w:rPr>
        <w:t>：</w:t>
      </w:r>
      <w:r>
        <w:rPr>
          <w:rFonts w:hint="eastAsia" w:ascii="宋体" w:hAnsi="宋体" w:eastAsia="宋体" w:cs="宋体"/>
          <w:bCs/>
          <w:color w:val="auto"/>
          <w:sz w:val="24"/>
          <w:highlight w:val="none"/>
          <w:shd w:val="clear" w:color="auto" w:fill="FFFFFF"/>
          <w:lang w:val="en-US" w:eastAsia="zh-CN"/>
        </w:rPr>
        <w:t>XXXXXXXX</w:t>
      </w:r>
      <w:r>
        <w:rPr>
          <w:rFonts w:hint="eastAsia" w:ascii="宋体" w:hAnsi="宋体" w:eastAsia="宋体" w:cs="宋体"/>
          <w:bCs/>
          <w:color w:val="auto"/>
          <w:sz w:val="24"/>
          <w:highlight w:val="none"/>
          <w:shd w:val="clear" w:color="auto" w:fill="FFFFFF"/>
          <w:lang w:eastAsia="zh-CN"/>
        </w:rPr>
        <w:t>有限公司</w:t>
      </w:r>
      <w:bookmarkEnd w:id="258"/>
      <w:bookmarkEnd w:id="259"/>
      <w:bookmarkEnd w:id="260"/>
      <w:bookmarkEnd w:id="261"/>
      <w:bookmarkEnd w:id="262"/>
      <w:bookmarkEnd w:id="263"/>
    </w:p>
    <w:p w14:paraId="15D792E9">
      <w:pPr>
        <w:widowControl/>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根据《中华人民共和国民法典》及有关法律、法规规定，遵循平等、自愿、公平和诚实信用原则，双方就</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横州市2025年公益性资产管护（修缮）项目</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sz w:val="24"/>
          <w:highlight w:val="none"/>
        </w:rPr>
        <w:t>施工及有关事项协商一致，共同达成如下协议：</w:t>
      </w:r>
    </w:p>
    <w:p w14:paraId="1CFE68EF">
      <w:pPr>
        <w:widowControl/>
        <w:spacing w:line="360" w:lineRule="auto"/>
        <w:ind w:firstLine="482" w:firstLineChars="200"/>
        <w:outlineLvl w:val="2"/>
        <w:rPr>
          <w:rFonts w:hint="eastAsia" w:ascii="宋体" w:hAnsi="宋体" w:eastAsia="宋体" w:cs="宋体"/>
          <w:b/>
          <w:bCs/>
          <w:color w:val="auto"/>
          <w:kern w:val="0"/>
          <w:sz w:val="24"/>
          <w:highlight w:val="none"/>
        </w:rPr>
      </w:pPr>
      <w:bookmarkStart w:id="264" w:name="_Toc26307"/>
      <w:bookmarkStart w:id="265" w:name="_Toc28665"/>
      <w:bookmarkStart w:id="266" w:name="_Toc27618"/>
      <w:bookmarkStart w:id="267" w:name="_Toc4390"/>
      <w:bookmarkStart w:id="268" w:name="_Toc12601"/>
      <w:r>
        <w:rPr>
          <w:rFonts w:hint="eastAsia" w:ascii="宋体" w:hAnsi="宋体" w:eastAsia="宋体" w:cs="宋体"/>
          <w:b/>
          <w:bCs/>
          <w:color w:val="auto"/>
          <w:kern w:val="0"/>
          <w:sz w:val="24"/>
          <w:highlight w:val="none"/>
        </w:rPr>
        <w:t>一、工程概况</w:t>
      </w:r>
      <w:bookmarkEnd w:id="264"/>
      <w:bookmarkEnd w:id="265"/>
      <w:bookmarkEnd w:id="266"/>
      <w:bookmarkEnd w:id="267"/>
      <w:bookmarkEnd w:id="268"/>
    </w:p>
    <w:p w14:paraId="6D213635">
      <w:pPr>
        <w:widowControl/>
        <w:spacing w:line="360" w:lineRule="auto"/>
        <w:ind w:firstLine="480" w:firstLineChars="20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1、工程名称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highlight w:val="none"/>
        </w:rPr>
        <w:t>。</w:t>
      </w:r>
    </w:p>
    <w:p w14:paraId="221AE4B3">
      <w:pPr>
        <w:widowControl/>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2、工程地点：</w:t>
      </w:r>
      <w:r>
        <w:rPr>
          <w:rFonts w:hint="eastAsia" w:ascii="宋体" w:hAnsi="宋体" w:eastAsia="宋体" w:cs="宋体"/>
          <w:color w:val="auto"/>
          <w:highlight w:val="none"/>
          <w:u w:val="single"/>
          <w:lang w:eastAsia="zh-CN"/>
        </w:rPr>
        <w:t>位于横州</w:t>
      </w:r>
      <w:r>
        <w:rPr>
          <w:rFonts w:hint="eastAsia" w:ascii="宋体" w:hAnsi="宋体" w:cs="宋体"/>
          <w:color w:val="auto"/>
          <w:highlight w:val="none"/>
          <w:u w:val="single"/>
          <w:lang w:eastAsia="zh-CN"/>
        </w:rPr>
        <w:t>市</w:t>
      </w:r>
      <w:r>
        <w:rPr>
          <w:rFonts w:hint="eastAsia" w:ascii="宋体" w:hAnsi="宋体" w:eastAsia="宋体" w:cs="宋体"/>
          <w:color w:val="auto"/>
          <w:highlight w:val="none"/>
        </w:rPr>
        <w:t>。</w:t>
      </w:r>
    </w:p>
    <w:p w14:paraId="6C3560BB">
      <w:pPr>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3、工程立项批准文号：</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w:t>
      </w:r>
    </w:p>
    <w:p w14:paraId="52890F17">
      <w:pPr>
        <w:widowControl/>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4、资金来源：</w:t>
      </w:r>
      <w:r>
        <w:rPr>
          <w:rFonts w:hint="eastAsia" w:ascii="宋体" w:hAnsi="宋体" w:eastAsia="宋体" w:cs="宋体"/>
          <w:color w:val="auto"/>
          <w:kern w:val="0"/>
          <w:sz w:val="24"/>
          <w:highlight w:val="none"/>
          <w:lang w:eastAsia="zh-CN"/>
        </w:rPr>
        <w:t>从</w:t>
      </w:r>
      <w:r>
        <w:rPr>
          <w:rFonts w:hint="eastAsia" w:ascii="宋体" w:hAnsi="宋体" w:eastAsia="宋体" w:cs="宋体"/>
          <w:color w:val="auto"/>
          <w:kern w:val="0"/>
          <w:sz w:val="24"/>
          <w:highlight w:val="none"/>
          <w:lang w:val="en-US" w:eastAsia="zh-CN"/>
        </w:rPr>
        <w:t>2025年度横州市本级财政衔接推进乡村振兴补助资金1976万元中解决。</w:t>
      </w:r>
    </w:p>
    <w:p w14:paraId="5C1964B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5、预付款拨付、抵扣方式、抵扣比例和抵扣时间安排：</w:t>
      </w:r>
    </w:p>
    <w:p w14:paraId="58DCD7D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乙方进场施工后，可申请不超过合同价30%的预付款（申请预付款的前提是乙方必须已经进场开始施工；工程预付款在项目报账时抵扣），按项目进度拨付工程款</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工程预付款从拨付的进度款中扣回，抵扣的金额不低于预付款的10%，支付至工程进度款的90%时，抵扣完所有工程预付款。</w:t>
      </w:r>
    </w:p>
    <w:p w14:paraId="78C731F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6、按项目进度拨付工程款</w:t>
      </w:r>
      <w:r>
        <w:rPr>
          <w:rFonts w:hint="eastAsia" w:ascii="宋体" w:hAnsi="宋体" w:eastAsia="宋体" w:cs="宋体"/>
          <w:color w:val="auto"/>
          <w:kern w:val="0"/>
          <w:sz w:val="24"/>
          <w:highlight w:val="none"/>
          <w:lang w:eastAsia="zh-CN"/>
        </w:rPr>
        <w:t>，可根据实际进度申请不超过</w:t>
      </w:r>
      <w:r>
        <w:rPr>
          <w:rFonts w:hint="eastAsia" w:ascii="宋体" w:hAnsi="宋体" w:eastAsia="宋体" w:cs="宋体"/>
          <w:color w:val="auto"/>
          <w:kern w:val="0"/>
          <w:sz w:val="24"/>
          <w:highlight w:val="none"/>
          <w:lang w:val="en-US" w:eastAsia="zh-CN"/>
        </w:rPr>
        <w:t>90%的进度款，</w:t>
      </w:r>
      <w:r>
        <w:rPr>
          <w:rFonts w:hint="eastAsia" w:ascii="宋体" w:hAnsi="宋体" w:eastAsia="宋体" w:cs="宋体"/>
          <w:color w:val="auto"/>
          <w:kern w:val="0"/>
          <w:sz w:val="24"/>
          <w:highlight w:val="none"/>
        </w:rPr>
        <w:t>工程项目竣工后，可拨付至项目监理部门审定完成投资 90%的工程款。工程竣工并通过</w:t>
      </w:r>
      <w:r>
        <w:rPr>
          <w:rFonts w:hint="eastAsia" w:ascii="宋体" w:hAnsi="宋体" w:eastAsia="宋体" w:cs="宋体"/>
          <w:color w:val="auto"/>
          <w:kern w:val="0"/>
          <w:sz w:val="24"/>
          <w:highlight w:val="none"/>
          <w:lang w:eastAsia="zh-CN"/>
        </w:rPr>
        <w:t>建设单位</w:t>
      </w:r>
      <w:r>
        <w:rPr>
          <w:rFonts w:hint="eastAsia" w:ascii="宋体" w:hAnsi="宋体" w:eastAsia="宋体" w:cs="宋体"/>
          <w:color w:val="auto"/>
          <w:kern w:val="0"/>
          <w:sz w:val="24"/>
          <w:highlight w:val="none"/>
        </w:rPr>
        <w:t>验收合格,并经横州市财政投资项目评审中心或第三方咨询公司审核并出具审核结算报告后，可以拨付至合同价款97%的工程款，留存工程合同价的3%的工程款作为工程质量保证金，经第三方对路面强度进行钻芯检测达标，承包方在工程竣工验收合格1年后，经实地检验工程无质量缺陷，向发包方申请工程质量保证金（项目总价款最终以审核结算价为准）。</w:t>
      </w:r>
    </w:p>
    <w:p w14:paraId="2589EE4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7、基础设施道路项目建设技术标准依据《广西壮族自治区</w:t>
      </w:r>
      <w:r>
        <w:rPr>
          <w:rFonts w:hint="eastAsia" w:ascii="宋体" w:hAnsi="宋体" w:eastAsia="宋体" w:cs="宋体"/>
          <w:color w:val="auto"/>
          <w:sz w:val="24"/>
          <w:highlight w:val="none"/>
        </w:rPr>
        <w:t>人民政府办公厅关于进一步调整完善脱贫攻坚有关政策的通知》(桂政办发</w:t>
      </w:r>
      <w:r>
        <w:rPr>
          <w:rFonts w:hint="eastAsia" w:ascii="宋体" w:hAnsi="宋体" w:eastAsia="宋体" w:cs="宋体"/>
          <w:color w:val="auto"/>
          <w:kern w:val="0"/>
          <w:sz w:val="24"/>
          <w:highlight w:val="none"/>
        </w:rPr>
        <w:t>﹝2018﹞</w:t>
      </w:r>
      <w:r>
        <w:rPr>
          <w:rFonts w:hint="eastAsia" w:ascii="宋体" w:hAnsi="宋体" w:eastAsia="宋体" w:cs="宋体"/>
          <w:color w:val="auto"/>
          <w:sz w:val="24"/>
          <w:highlight w:val="none"/>
        </w:rPr>
        <w:t>75号》文件要求。</w:t>
      </w:r>
    </w:p>
    <w:p w14:paraId="393EAD4F">
      <w:pPr>
        <w:spacing w:line="5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8、工程内容：</w:t>
      </w:r>
      <w:r>
        <w:rPr>
          <w:rFonts w:hint="eastAsia" w:ascii="宋体" w:hAnsi="宋体" w:eastAsia="宋体" w:cs="宋体"/>
          <w:color w:val="auto"/>
          <w:kern w:val="0"/>
          <w:sz w:val="24"/>
          <w:highlight w:val="none"/>
          <w:lang w:eastAsia="zh-CN"/>
        </w:rPr>
        <w:t>对修缮项目进行</w:t>
      </w:r>
      <w:r>
        <w:rPr>
          <w:rFonts w:hint="eastAsia" w:ascii="宋体" w:hAnsi="宋体" w:eastAsia="宋体" w:cs="宋体"/>
          <w:color w:val="auto"/>
          <w:kern w:val="0"/>
          <w:sz w:val="24"/>
          <w:highlight w:val="none"/>
        </w:rPr>
        <w:t>路面</w:t>
      </w:r>
      <w:r>
        <w:rPr>
          <w:rFonts w:hint="eastAsia" w:ascii="宋体" w:hAnsi="宋体" w:eastAsia="宋体" w:cs="宋体"/>
          <w:color w:val="auto"/>
          <w:kern w:val="0"/>
          <w:sz w:val="24"/>
          <w:highlight w:val="none"/>
          <w:lang w:eastAsia="zh-CN"/>
        </w:rPr>
        <w:t>修复、修筑</w:t>
      </w:r>
      <w:r>
        <w:rPr>
          <w:rFonts w:hint="eastAsia" w:ascii="宋体" w:hAnsi="宋体" w:eastAsia="宋体" w:cs="宋体"/>
          <w:color w:val="auto"/>
          <w:kern w:val="0"/>
          <w:sz w:val="24"/>
          <w:highlight w:val="none"/>
        </w:rPr>
        <w:t>护坡</w:t>
      </w:r>
      <w:r>
        <w:rPr>
          <w:rFonts w:hint="eastAsia" w:ascii="宋体" w:hAnsi="宋体" w:eastAsia="宋体" w:cs="宋体"/>
          <w:color w:val="auto"/>
          <w:kern w:val="0"/>
          <w:sz w:val="24"/>
          <w:highlight w:val="none"/>
          <w:lang w:eastAsia="zh-CN"/>
        </w:rPr>
        <w:t>及挡</w:t>
      </w:r>
      <w:r>
        <w:rPr>
          <w:rFonts w:hint="eastAsia" w:ascii="宋体" w:hAnsi="宋体" w:eastAsia="宋体" w:cs="宋体"/>
          <w:color w:val="auto"/>
          <w:kern w:val="0"/>
          <w:sz w:val="24"/>
          <w:highlight w:val="none"/>
        </w:rPr>
        <w:t>土墙、</w:t>
      </w:r>
      <w:r>
        <w:rPr>
          <w:rFonts w:hint="eastAsia" w:ascii="宋体" w:hAnsi="宋体" w:eastAsia="宋体" w:cs="宋体"/>
          <w:color w:val="auto"/>
          <w:kern w:val="0"/>
          <w:sz w:val="24"/>
          <w:highlight w:val="none"/>
          <w:lang w:eastAsia="zh-CN"/>
        </w:rPr>
        <w:t>增设</w:t>
      </w:r>
      <w:r>
        <w:rPr>
          <w:rFonts w:hint="eastAsia" w:ascii="宋体" w:hAnsi="宋体" w:eastAsia="宋体" w:cs="宋体"/>
          <w:color w:val="auto"/>
          <w:kern w:val="0"/>
          <w:sz w:val="24"/>
          <w:highlight w:val="none"/>
        </w:rPr>
        <w:t>涵管等</w:t>
      </w:r>
      <w:r>
        <w:rPr>
          <w:rFonts w:hint="eastAsia" w:ascii="宋体" w:hAnsi="宋体" w:eastAsia="宋体" w:cs="宋体"/>
          <w:color w:val="auto"/>
          <w:kern w:val="0"/>
          <w:sz w:val="24"/>
          <w:highlight w:val="none"/>
          <w:lang w:eastAsia="zh-CN"/>
        </w:rPr>
        <w:t>内容，实际施工内容以</w:t>
      </w:r>
      <w:r>
        <w:rPr>
          <w:rFonts w:hint="eastAsia" w:ascii="宋体" w:hAnsi="宋体" w:eastAsia="宋体" w:cs="宋体"/>
          <w:color w:val="auto"/>
          <w:kern w:val="0"/>
          <w:sz w:val="24"/>
          <w:highlight w:val="none"/>
        </w:rPr>
        <w:t>工程量清单及施工图纸</w:t>
      </w:r>
      <w:r>
        <w:rPr>
          <w:rFonts w:hint="eastAsia" w:ascii="宋体" w:hAnsi="宋体" w:eastAsia="宋体" w:cs="宋体"/>
          <w:color w:val="auto"/>
          <w:kern w:val="0"/>
          <w:sz w:val="24"/>
          <w:highlight w:val="none"/>
          <w:lang w:eastAsia="zh-CN"/>
        </w:rPr>
        <w:t>的全部内容为准</w:t>
      </w:r>
      <w:r>
        <w:rPr>
          <w:rFonts w:hint="eastAsia" w:ascii="宋体" w:hAnsi="宋体" w:eastAsia="宋体" w:cs="宋体"/>
          <w:color w:val="auto"/>
          <w:kern w:val="0"/>
          <w:sz w:val="24"/>
          <w:highlight w:val="none"/>
        </w:rPr>
        <w:t>，混凝土标号采用C</w:t>
      </w:r>
      <w:r>
        <w:rPr>
          <w:rFonts w:hint="eastAsia" w:ascii="宋体" w:hAnsi="宋体" w:eastAsia="宋体" w:cs="宋体"/>
          <w:color w:val="auto"/>
          <w:kern w:val="0"/>
          <w:sz w:val="24"/>
          <w:highlight w:val="none"/>
          <w:lang w:val="en-US" w:eastAsia="zh-CN"/>
        </w:rPr>
        <w:t>25，原则上采用商品混凝土，修缮项目所在地临崖、临水、急弯等危险路段，运载商品混凝土车辆无法通行进入的可采用自拌混凝土进行施工，结算以审核结算为准。</w:t>
      </w:r>
      <w:r>
        <w:rPr>
          <w:rFonts w:hint="eastAsia" w:ascii="宋体" w:hAnsi="宋体" w:eastAsia="宋体" w:cs="宋体"/>
          <w:color w:val="auto"/>
          <w:kern w:val="0"/>
          <w:sz w:val="24"/>
          <w:highlight w:val="none"/>
        </w:rPr>
        <w:t>竣工设立永久性标志</w:t>
      </w:r>
      <w:r>
        <w:rPr>
          <w:rFonts w:hint="eastAsia" w:ascii="宋体" w:hAnsi="宋体" w:eastAsia="宋体" w:cs="宋体"/>
          <w:color w:val="auto"/>
          <w:kern w:val="0"/>
          <w:sz w:val="24"/>
          <w:highlight w:val="none"/>
          <w:lang w:eastAsia="zh-CN"/>
        </w:rPr>
        <w:t>。如设计方案或图纸有变更，施工单位应在合同有效期内提出申请，由监理单位审核并盖章，由建设单位作最终批复</w:t>
      </w:r>
      <w:r>
        <w:rPr>
          <w:rFonts w:hint="eastAsia" w:ascii="宋体" w:hAnsi="宋体" w:eastAsia="宋体" w:cs="宋体"/>
          <w:color w:val="auto"/>
          <w:kern w:val="0"/>
          <w:sz w:val="24"/>
          <w:highlight w:val="none"/>
        </w:rPr>
        <w:t>。</w:t>
      </w:r>
    </w:p>
    <w:p w14:paraId="52843502">
      <w:pPr>
        <w:widowControl/>
        <w:spacing w:line="360" w:lineRule="auto"/>
        <w:ind w:firstLine="480" w:firstLineChars="200"/>
        <w:outlineLvl w:val="9"/>
        <w:rPr>
          <w:rFonts w:hint="eastAsia" w:ascii="宋体" w:hAnsi="宋体" w:eastAsia="宋体" w:cs="宋体"/>
          <w:color w:val="auto"/>
          <w:kern w:val="0"/>
          <w:sz w:val="24"/>
          <w:highlight w:val="none"/>
        </w:rPr>
      </w:pPr>
      <w:bookmarkStart w:id="269" w:name="_Toc11573"/>
      <w:r>
        <w:rPr>
          <w:rFonts w:hint="eastAsia" w:ascii="宋体" w:hAnsi="宋体" w:eastAsia="宋体" w:cs="宋体"/>
          <w:color w:val="auto"/>
          <w:kern w:val="0"/>
          <w:sz w:val="24"/>
          <w:highlight w:val="none"/>
        </w:rPr>
        <w:t>9、承包方式：包工包料。</w:t>
      </w:r>
      <w:bookmarkEnd w:id="269"/>
    </w:p>
    <w:p w14:paraId="27CA96E0">
      <w:pPr>
        <w:spacing w:line="560" w:lineRule="exact"/>
        <w:ind w:firstLine="482" w:firstLineChars="200"/>
        <w:outlineLvl w:val="2"/>
        <w:rPr>
          <w:rFonts w:hint="eastAsia" w:ascii="宋体" w:hAnsi="宋体" w:eastAsia="宋体" w:cs="宋体"/>
          <w:b/>
          <w:bCs/>
          <w:color w:val="auto"/>
          <w:kern w:val="0"/>
          <w:sz w:val="24"/>
          <w:highlight w:val="none"/>
        </w:rPr>
      </w:pPr>
      <w:bookmarkStart w:id="270" w:name="_Toc30969"/>
      <w:bookmarkStart w:id="271" w:name="_Toc15246"/>
      <w:bookmarkStart w:id="272" w:name="_Toc10301"/>
      <w:bookmarkStart w:id="273" w:name="_Toc17342"/>
      <w:bookmarkStart w:id="274" w:name="_Toc25905"/>
      <w:r>
        <w:rPr>
          <w:rFonts w:hint="eastAsia" w:ascii="宋体" w:hAnsi="宋体" w:eastAsia="宋体" w:cs="宋体"/>
          <w:b/>
          <w:bCs/>
          <w:color w:val="auto"/>
          <w:kern w:val="0"/>
          <w:sz w:val="24"/>
          <w:highlight w:val="none"/>
        </w:rPr>
        <w:t>二、合同工期</w:t>
      </w:r>
      <w:bookmarkEnd w:id="270"/>
      <w:bookmarkEnd w:id="271"/>
      <w:bookmarkEnd w:id="272"/>
      <w:bookmarkEnd w:id="273"/>
      <w:bookmarkEnd w:id="274"/>
    </w:p>
    <w:p w14:paraId="1B96CCF7">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计划开工日期：</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r>
        <w:rPr>
          <w:rFonts w:hint="eastAsia" w:ascii="宋体" w:hAnsi="宋体" w:eastAsia="宋体" w:cs="宋体"/>
          <w:color w:val="auto"/>
          <w:kern w:val="0"/>
          <w:sz w:val="24"/>
          <w:highlight w:val="none"/>
        </w:rPr>
        <w:t>承包方开工前须向发包方作开工申请，开工令审批通过后方能入场施工。</w:t>
      </w:r>
    </w:p>
    <w:p w14:paraId="302DB6E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计划竣工日期：</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逾期完工的，发包方对承包方处以</w:t>
      </w:r>
      <w:r>
        <w:rPr>
          <w:rFonts w:hint="eastAsia" w:ascii="宋体" w:hAnsi="宋体" w:eastAsia="宋体" w:cs="宋体"/>
          <w:color w:val="auto"/>
          <w:sz w:val="24"/>
          <w:highlight w:val="none"/>
          <w:u w:val="single"/>
        </w:rPr>
        <w:t xml:space="preserve">500 </w:t>
      </w:r>
      <w:r>
        <w:rPr>
          <w:rFonts w:hint="eastAsia" w:ascii="宋体" w:hAnsi="宋体" w:eastAsia="宋体" w:cs="宋体"/>
          <w:color w:val="auto"/>
          <w:sz w:val="24"/>
          <w:highlight w:val="none"/>
        </w:rPr>
        <w:t>元/天的违约金，违约金不超过合同金额的5%，违约金从工程款扣除。因不可抗力原因及发包方的原因造成工期延误的，承包方须于七日内书面向发包方说明理由，取得发包方的书面认可，施工工期可在发包方认可的期限内顺延。</w:t>
      </w:r>
    </w:p>
    <w:p w14:paraId="5B3F8C1C">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承包方按照监理指示开工，工期总日历天数：</w:t>
      </w:r>
      <w:r>
        <w:rPr>
          <w:rFonts w:hint="eastAsia" w:ascii="宋体" w:hAnsi="宋体" w:eastAsia="宋体" w:cs="宋体"/>
          <w:color w:val="auto"/>
          <w:kern w:val="0"/>
          <w:sz w:val="24"/>
          <w:highlight w:val="none"/>
          <w:lang w:val="en-US" w:eastAsia="zh-CN"/>
        </w:rPr>
        <w:t>45</w:t>
      </w:r>
      <w:r>
        <w:rPr>
          <w:rFonts w:hint="eastAsia" w:ascii="宋体" w:hAnsi="宋体" w:eastAsia="宋体" w:cs="宋体"/>
          <w:color w:val="auto"/>
          <w:kern w:val="0"/>
          <w:sz w:val="24"/>
          <w:highlight w:val="none"/>
        </w:rPr>
        <w:t>天，工期总日历天数与根据前述计划开竣工日期计算的工期天数不一致的，以工期日历天数为准。</w:t>
      </w:r>
    </w:p>
    <w:p w14:paraId="622D38E0">
      <w:pPr>
        <w:widowControl/>
        <w:spacing w:line="360" w:lineRule="auto"/>
        <w:ind w:firstLine="482" w:firstLineChars="200"/>
        <w:outlineLvl w:val="2"/>
        <w:rPr>
          <w:rFonts w:hint="eastAsia" w:ascii="宋体" w:hAnsi="宋体" w:eastAsia="宋体" w:cs="宋体"/>
          <w:b/>
          <w:bCs/>
          <w:color w:val="auto"/>
          <w:kern w:val="0"/>
          <w:sz w:val="24"/>
          <w:highlight w:val="none"/>
        </w:rPr>
      </w:pPr>
      <w:bookmarkStart w:id="275" w:name="_Toc28663"/>
      <w:bookmarkStart w:id="276" w:name="_Toc31792"/>
      <w:bookmarkStart w:id="277" w:name="_Toc19361"/>
      <w:bookmarkStart w:id="278" w:name="_Toc16508"/>
      <w:bookmarkStart w:id="279" w:name="_Toc18775"/>
      <w:r>
        <w:rPr>
          <w:rFonts w:hint="eastAsia" w:ascii="宋体" w:hAnsi="宋体" w:eastAsia="宋体" w:cs="宋体"/>
          <w:b/>
          <w:bCs/>
          <w:color w:val="auto"/>
          <w:kern w:val="0"/>
          <w:sz w:val="24"/>
          <w:highlight w:val="none"/>
        </w:rPr>
        <w:t>三、质量标准</w:t>
      </w:r>
      <w:bookmarkEnd w:id="275"/>
      <w:bookmarkEnd w:id="276"/>
      <w:bookmarkEnd w:id="277"/>
      <w:bookmarkEnd w:id="278"/>
      <w:bookmarkEnd w:id="279"/>
    </w:p>
    <w:p w14:paraId="55D9B477">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1、承包方必须按照工程设计图纸和施工技术标准施工，不得偷工减料；必须按照工程设计要求、施工技术标准，对建筑材料、建筑构配件和设备进行检验，不合格的不得使用。</w:t>
      </w:r>
    </w:p>
    <w:p w14:paraId="6DC22E2C">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严格施工管理。发包方、承包方、监理公司三方现场做好隐蔽工程的质量检查和记录。隐蔽工程在施工前，承包方应当通知发包方和监理公司到现场测量并确认后，方可进行下一步施工。未经三方确认的工程量，发包方有权拒绝支付工程款。</w:t>
      </w:r>
    </w:p>
    <w:p w14:paraId="4CBC16D6">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对施工中出现质量问题的建设工程或者竣工验收不合格的建设工程，承包方应当负责返修。工程因返修支出的费用由承包方自行承担。如承包方未按设计要求及技术标准完成施工，发包方可拒绝支付相应工程量的工程款。</w:t>
      </w:r>
    </w:p>
    <w:p w14:paraId="53541B5F">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4、工程进度要满足工程进度计划要求，符合总体控制计划及阶段性目标的规定。</w:t>
      </w:r>
    </w:p>
    <w:p w14:paraId="79150706">
      <w:pPr>
        <w:widowControl/>
        <w:spacing w:line="360" w:lineRule="auto"/>
        <w:ind w:firstLine="482" w:firstLineChars="200"/>
        <w:outlineLvl w:val="2"/>
        <w:rPr>
          <w:rFonts w:hint="eastAsia" w:ascii="宋体" w:hAnsi="宋体" w:eastAsia="宋体" w:cs="宋体"/>
          <w:b/>
          <w:bCs/>
          <w:color w:val="auto"/>
          <w:kern w:val="0"/>
          <w:sz w:val="24"/>
          <w:highlight w:val="none"/>
        </w:rPr>
      </w:pPr>
      <w:bookmarkStart w:id="280" w:name="_Toc21658"/>
      <w:bookmarkStart w:id="281" w:name="_Toc17085"/>
      <w:bookmarkStart w:id="282" w:name="_Toc28626"/>
      <w:bookmarkStart w:id="283" w:name="_Toc26209"/>
      <w:bookmarkStart w:id="284" w:name="_Toc3974"/>
      <w:r>
        <w:rPr>
          <w:rFonts w:hint="eastAsia" w:ascii="宋体" w:hAnsi="宋体" w:eastAsia="宋体" w:cs="宋体"/>
          <w:b/>
          <w:bCs/>
          <w:color w:val="auto"/>
          <w:kern w:val="0"/>
          <w:sz w:val="24"/>
          <w:highlight w:val="none"/>
        </w:rPr>
        <w:t>四、签约合同价</w:t>
      </w:r>
      <w:bookmarkEnd w:id="280"/>
      <w:bookmarkEnd w:id="281"/>
      <w:bookmarkEnd w:id="282"/>
      <w:bookmarkEnd w:id="283"/>
      <w:bookmarkEnd w:id="284"/>
    </w:p>
    <w:p w14:paraId="23B835AE">
      <w:pPr>
        <w:widowControl/>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项目签约合同价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（人民币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其中：XXXX镇XXX村XXXX修缮项目，签约合同价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元。</w:t>
      </w:r>
    </w:p>
    <w:p w14:paraId="73CFB9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2、工程质量保证金预留比例上限不得高于工程价款结算总额的3%，结算审计低于已拨付工程款的，承包方于5个工作日内把超出的工程款退回发包方。</w:t>
      </w:r>
    </w:p>
    <w:p w14:paraId="40C8B65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项目竣工后承包方结算报审金额如最终核减率超过8%，根据《横州市人民政府办公室关于印发进一步规范政府投资建设项目预算评审和结算审核工作的通知》（横政办函〔2022〕19号）的要求，发包方只支付核减送审金额8%以内（含8%）的中介审核服务费，核减金额超过送审金额8%的审核费由承包方支付给中介机构后，才出具结算审核报告。</w:t>
      </w:r>
    </w:p>
    <w:p w14:paraId="63562B1E">
      <w:pPr>
        <w:widowControl/>
        <w:spacing w:line="360" w:lineRule="auto"/>
        <w:ind w:firstLine="482" w:firstLineChars="200"/>
        <w:outlineLvl w:val="2"/>
        <w:rPr>
          <w:rFonts w:hint="eastAsia" w:ascii="宋体" w:hAnsi="宋体" w:eastAsia="宋体" w:cs="宋体"/>
          <w:b/>
          <w:bCs/>
          <w:color w:val="auto"/>
          <w:kern w:val="0"/>
          <w:sz w:val="24"/>
          <w:highlight w:val="none"/>
        </w:rPr>
      </w:pPr>
      <w:bookmarkStart w:id="285" w:name="_Toc9907"/>
      <w:bookmarkStart w:id="286" w:name="_Toc11973"/>
      <w:bookmarkStart w:id="287" w:name="_Toc29253"/>
      <w:bookmarkStart w:id="288" w:name="_Toc2788"/>
      <w:bookmarkStart w:id="289" w:name="_Toc555"/>
      <w:r>
        <w:rPr>
          <w:rFonts w:hint="eastAsia" w:ascii="宋体" w:hAnsi="宋体" w:eastAsia="宋体" w:cs="宋体"/>
          <w:b/>
          <w:bCs/>
          <w:color w:val="auto"/>
          <w:kern w:val="0"/>
          <w:sz w:val="24"/>
          <w:highlight w:val="none"/>
        </w:rPr>
        <w:t>五、项目经理</w:t>
      </w:r>
      <w:bookmarkEnd w:id="285"/>
      <w:bookmarkEnd w:id="286"/>
      <w:bookmarkEnd w:id="287"/>
      <w:bookmarkEnd w:id="288"/>
      <w:bookmarkEnd w:id="289"/>
    </w:p>
    <w:p w14:paraId="574F7A4E">
      <w:pPr>
        <w:widowControl/>
        <w:spacing w:line="360" w:lineRule="auto"/>
        <w:ind w:left="2299" w:leftChars="352" w:hanging="1560" w:hangingChars="650"/>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承包项目经理：</w:t>
      </w:r>
      <w:r>
        <w:rPr>
          <w:rFonts w:hint="eastAsia" w:ascii="宋体" w:hAnsi="宋体" w:eastAsia="宋体" w:cs="宋体"/>
          <w:color w:val="auto"/>
          <w:sz w:val="24"/>
          <w:szCs w:val="24"/>
          <w:highlight w:val="none"/>
          <w:u w:val="single"/>
          <w:lang w:val="en-US" w:eastAsia="zh-CN"/>
        </w:rPr>
        <w:t>XXX</w:t>
      </w:r>
    </w:p>
    <w:p w14:paraId="496ED3A5">
      <w:pPr>
        <w:widowControl/>
        <w:spacing w:line="360" w:lineRule="auto"/>
        <w:ind w:left="2299" w:leftChars="352" w:hanging="1560" w:hangingChars="650"/>
        <w:rPr>
          <w:rFonts w:hint="default" w:ascii="宋体" w:hAnsi="宋体" w:eastAsia="宋体" w:cs="宋体"/>
          <w:color w:val="auto"/>
          <w:sz w:val="24"/>
          <w:highlight w:val="none"/>
          <w:u w:val="single"/>
          <w:lang w:val="en-US"/>
        </w:rPr>
      </w:pPr>
      <w:r>
        <w:rPr>
          <w:rFonts w:hint="eastAsia" w:ascii="宋体" w:hAnsi="宋体" w:eastAsia="宋体" w:cs="宋体"/>
          <w:color w:val="auto"/>
          <w:kern w:val="0"/>
          <w:sz w:val="24"/>
          <w:highlight w:val="none"/>
        </w:rPr>
        <w:t>项目工地代表：</w:t>
      </w:r>
      <w:r>
        <w:rPr>
          <w:rFonts w:hint="eastAsia" w:ascii="宋体" w:hAnsi="宋体" w:eastAsia="宋体" w:cs="宋体"/>
          <w:color w:val="auto"/>
          <w:sz w:val="24"/>
          <w:highlight w:val="none"/>
          <w:u w:val="single"/>
          <w:lang w:val="en-US" w:eastAsia="zh-CN"/>
        </w:rPr>
        <w:t>XXX</w:t>
      </w:r>
    </w:p>
    <w:p w14:paraId="2A08636B">
      <w:pPr>
        <w:widowControl/>
        <w:spacing w:line="360" w:lineRule="auto"/>
        <w:ind w:left="2299" w:leftChars="352" w:hanging="1560" w:hangingChars="650"/>
        <w:rPr>
          <w:rFonts w:hint="default" w:ascii="宋体" w:hAnsi="宋体" w:eastAsia="宋体" w:cs="宋体"/>
          <w:color w:val="auto"/>
          <w:sz w:val="24"/>
          <w:highlight w:val="none"/>
          <w:u w:val="single"/>
          <w:lang w:val="en-US"/>
        </w:rPr>
      </w:pP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szCs w:val="24"/>
          <w:highlight w:val="none"/>
          <w:u w:val="single"/>
          <w:lang w:val="en-US" w:eastAsia="zh-CN"/>
        </w:rPr>
        <w:t>452XXXXXXXXXXX</w:t>
      </w:r>
    </w:p>
    <w:p w14:paraId="29AC0B19">
      <w:pPr>
        <w:widowControl/>
        <w:spacing w:line="360" w:lineRule="auto"/>
        <w:ind w:left="2299" w:leftChars="352" w:hanging="1560" w:hangingChars="6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szCs w:val="24"/>
          <w:highlight w:val="none"/>
          <w:u w:val="single"/>
          <w:lang w:val="en-US" w:eastAsia="zh-CN"/>
        </w:rPr>
        <w:t>XXXXXXXX</w:t>
      </w:r>
      <w:r>
        <w:rPr>
          <w:rFonts w:hint="eastAsia" w:ascii="宋体" w:hAnsi="宋体" w:eastAsia="宋体" w:cs="宋体"/>
          <w:color w:val="auto"/>
          <w:kern w:val="0"/>
          <w:sz w:val="24"/>
          <w:highlight w:val="none"/>
        </w:rPr>
        <w:t>。</w:t>
      </w:r>
    </w:p>
    <w:p w14:paraId="2C564433">
      <w:pPr>
        <w:spacing w:line="360" w:lineRule="auto"/>
        <w:ind w:firstLine="482" w:firstLineChars="200"/>
        <w:outlineLvl w:val="2"/>
        <w:rPr>
          <w:rFonts w:hint="eastAsia" w:ascii="宋体" w:hAnsi="宋体" w:eastAsia="宋体" w:cs="宋体"/>
          <w:b/>
          <w:bCs/>
          <w:color w:val="auto"/>
          <w:sz w:val="24"/>
          <w:highlight w:val="none"/>
        </w:rPr>
      </w:pPr>
      <w:bookmarkStart w:id="290" w:name="_Toc31738"/>
      <w:bookmarkStart w:id="291" w:name="_Toc28647"/>
      <w:bookmarkStart w:id="292" w:name="_Toc32258"/>
      <w:bookmarkStart w:id="293" w:name="_Toc17046"/>
      <w:bookmarkStart w:id="294" w:name="_Toc15298"/>
      <w:r>
        <w:rPr>
          <w:rFonts w:hint="eastAsia" w:ascii="宋体" w:hAnsi="宋体" w:eastAsia="宋体" w:cs="宋体"/>
          <w:b/>
          <w:bCs/>
          <w:color w:val="auto"/>
          <w:sz w:val="24"/>
          <w:highlight w:val="none"/>
        </w:rPr>
        <w:t>六、合同文件构成</w:t>
      </w:r>
      <w:bookmarkEnd w:id="290"/>
      <w:bookmarkEnd w:id="291"/>
      <w:bookmarkEnd w:id="292"/>
      <w:bookmarkEnd w:id="293"/>
      <w:bookmarkEnd w:id="294"/>
    </w:p>
    <w:p w14:paraId="554BBF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1、本协议书及各种合同附件；</w:t>
      </w:r>
    </w:p>
    <w:p w14:paraId="6C7522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2、选定结果告知书；</w:t>
      </w:r>
    </w:p>
    <w:p w14:paraId="636A10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3、项目专用合同条款；</w:t>
      </w:r>
    </w:p>
    <w:p w14:paraId="31A189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4、公路工程专用合同条款；</w:t>
      </w:r>
    </w:p>
    <w:p w14:paraId="32020C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5、通用合同条款；</w:t>
      </w:r>
    </w:p>
    <w:p w14:paraId="26AFC4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6、技术规范；</w:t>
      </w:r>
    </w:p>
    <w:p w14:paraId="4641CB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7、图纸；</w:t>
      </w:r>
    </w:p>
    <w:p w14:paraId="251DE3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8、已标价工程量清单；</w:t>
      </w:r>
    </w:p>
    <w:p w14:paraId="6A9CAC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9、承包方有关人员、设备投入的承诺及投标文件中的施工组织设计；</w:t>
      </w:r>
    </w:p>
    <w:p w14:paraId="34DE6B4A">
      <w:pPr>
        <w:spacing w:line="360" w:lineRule="auto"/>
        <w:ind w:firstLine="480" w:firstLineChars="200"/>
        <w:outlineLvl w:val="9"/>
        <w:rPr>
          <w:rFonts w:hint="eastAsia" w:ascii="宋体" w:hAnsi="宋体" w:eastAsia="宋体" w:cs="宋体"/>
          <w:color w:val="auto"/>
          <w:sz w:val="24"/>
          <w:highlight w:val="none"/>
        </w:rPr>
      </w:pPr>
      <w:bookmarkStart w:id="295" w:name="_Toc22322"/>
      <w:r>
        <w:rPr>
          <w:rFonts w:hint="eastAsia" w:ascii="宋体" w:hAnsi="宋体" w:eastAsia="宋体" w:cs="宋体"/>
          <w:color w:val="auto"/>
          <w:sz w:val="24"/>
          <w:highlight w:val="none"/>
        </w:rPr>
        <w:t>10、其他合同文件。</w:t>
      </w:r>
      <w:bookmarkEnd w:id="295"/>
    </w:p>
    <w:p w14:paraId="71BACE72">
      <w:pPr>
        <w:spacing w:line="360" w:lineRule="auto"/>
        <w:ind w:firstLine="482" w:firstLineChars="200"/>
        <w:outlineLvl w:val="2"/>
        <w:rPr>
          <w:rFonts w:hint="eastAsia" w:ascii="宋体" w:hAnsi="宋体" w:eastAsia="宋体" w:cs="宋体"/>
          <w:b/>
          <w:bCs/>
          <w:color w:val="auto"/>
          <w:sz w:val="24"/>
          <w:highlight w:val="none"/>
        </w:rPr>
      </w:pPr>
      <w:bookmarkStart w:id="296" w:name="_Toc1507"/>
      <w:bookmarkStart w:id="297" w:name="_Toc2059"/>
      <w:bookmarkStart w:id="298" w:name="_Toc12138"/>
      <w:bookmarkStart w:id="299" w:name="_Toc24234"/>
      <w:bookmarkStart w:id="300" w:name="_Toc29515"/>
      <w:r>
        <w:rPr>
          <w:rFonts w:hint="eastAsia" w:ascii="宋体" w:hAnsi="宋体" w:eastAsia="宋体" w:cs="宋体"/>
          <w:b/>
          <w:bCs/>
          <w:color w:val="auto"/>
          <w:sz w:val="24"/>
          <w:highlight w:val="none"/>
        </w:rPr>
        <w:t>七、协议效力</w:t>
      </w:r>
      <w:bookmarkEnd w:id="296"/>
      <w:bookmarkEnd w:id="297"/>
      <w:bookmarkEnd w:id="298"/>
      <w:bookmarkEnd w:id="299"/>
      <w:bookmarkEnd w:id="300"/>
    </w:p>
    <w:p w14:paraId="35EA34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在承包人提供履约担保后，由双方法定代表人或其委托代理人签字并加盖单位章后生效。全部工程完工后经竣工验收合格、缺陷责任期（自竣工验收合格起，1年期）满签发缺陷责任终止证书后履行终止。</w:t>
      </w:r>
    </w:p>
    <w:p w14:paraId="574D40A6">
      <w:pPr>
        <w:spacing w:line="360" w:lineRule="auto"/>
        <w:ind w:firstLine="482" w:firstLineChars="200"/>
        <w:outlineLvl w:val="2"/>
        <w:rPr>
          <w:rFonts w:hint="eastAsia" w:ascii="宋体" w:hAnsi="宋体" w:eastAsia="宋体" w:cs="宋体"/>
          <w:b/>
          <w:bCs/>
          <w:color w:val="auto"/>
          <w:sz w:val="24"/>
          <w:highlight w:val="none"/>
        </w:rPr>
      </w:pPr>
      <w:bookmarkStart w:id="301" w:name="_Toc256"/>
      <w:bookmarkStart w:id="302" w:name="_Toc16203"/>
      <w:bookmarkStart w:id="303" w:name="_Toc31070"/>
      <w:bookmarkStart w:id="304" w:name="_Toc22003"/>
      <w:bookmarkStart w:id="305" w:name="_Toc6399"/>
      <w:r>
        <w:rPr>
          <w:rFonts w:hint="eastAsia" w:ascii="宋体" w:hAnsi="宋体" w:eastAsia="宋体" w:cs="宋体"/>
          <w:b/>
          <w:bCs/>
          <w:color w:val="auto"/>
          <w:sz w:val="24"/>
          <w:highlight w:val="none"/>
        </w:rPr>
        <w:t>八、双方的权利与义务</w:t>
      </w:r>
      <w:bookmarkEnd w:id="301"/>
      <w:bookmarkEnd w:id="302"/>
      <w:bookmarkEnd w:id="303"/>
      <w:bookmarkEnd w:id="304"/>
      <w:bookmarkEnd w:id="305"/>
    </w:p>
    <w:p w14:paraId="5162548F">
      <w:pPr>
        <w:spacing w:line="360" w:lineRule="auto"/>
        <w:ind w:firstLine="482" w:firstLineChars="200"/>
        <w:outlineLvl w:val="9"/>
        <w:rPr>
          <w:rFonts w:hint="eastAsia" w:ascii="宋体" w:hAnsi="宋体" w:eastAsia="宋体" w:cs="宋体"/>
          <w:b/>
          <w:bCs/>
          <w:color w:val="auto"/>
          <w:sz w:val="24"/>
          <w:highlight w:val="none"/>
        </w:rPr>
      </w:pPr>
      <w:bookmarkStart w:id="306" w:name="_Toc10777"/>
      <w:r>
        <w:rPr>
          <w:rFonts w:hint="eastAsia" w:ascii="宋体" w:hAnsi="宋体" w:eastAsia="宋体" w:cs="宋体"/>
          <w:b/>
          <w:bCs/>
          <w:color w:val="auto"/>
          <w:sz w:val="24"/>
          <w:highlight w:val="none"/>
        </w:rPr>
        <w:t>（一）发包方的权利与义务</w:t>
      </w:r>
      <w:bookmarkEnd w:id="306"/>
    </w:p>
    <w:p w14:paraId="012D1D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1、发包方应及时引导、督促承包方进入施工地；发包方协助施工用电、用水及解决材料堆放场地，协助项目所在地村屯提供必要的办公和职工居住场所，所产生的费用由承包方承担。</w:t>
      </w:r>
    </w:p>
    <w:p w14:paraId="5642F1AC">
      <w:pPr>
        <w:spacing w:line="360" w:lineRule="auto"/>
        <w:ind w:firstLine="480" w:firstLineChars="200"/>
        <w:outlineLvl w:val="9"/>
        <w:rPr>
          <w:rFonts w:hint="eastAsia" w:ascii="宋体" w:hAnsi="宋体" w:eastAsia="宋体" w:cs="宋体"/>
          <w:color w:val="auto"/>
          <w:sz w:val="24"/>
          <w:highlight w:val="none"/>
        </w:rPr>
      </w:pPr>
      <w:bookmarkStart w:id="307" w:name="_Toc24474"/>
      <w:r>
        <w:rPr>
          <w:rFonts w:hint="eastAsia" w:ascii="宋体" w:hAnsi="宋体" w:eastAsia="宋体" w:cs="宋体"/>
          <w:color w:val="auto"/>
          <w:sz w:val="24"/>
          <w:highlight w:val="none"/>
        </w:rPr>
        <w:t>2、工程以承包方实际完成的工程进度按规定支付工程款。</w:t>
      </w:r>
      <w:bookmarkEnd w:id="307"/>
    </w:p>
    <w:p w14:paraId="239F7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3、履行合同规定的义务，行使合同约定的权利。对承包方进行监督检查和管理。</w:t>
      </w:r>
    </w:p>
    <w:p w14:paraId="252B826D">
      <w:pPr>
        <w:spacing w:line="360" w:lineRule="auto"/>
        <w:ind w:firstLine="480" w:firstLineChars="200"/>
        <w:outlineLvl w:val="9"/>
        <w:rPr>
          <w:rFonts w:hint="eastAsia" w:ascii="宋体" w:hAnsi="宋体" w:eastAsia="宋体" w:cs="宋体"/>
          <w:color w:val="auto"/>
          <w:sz w:val="24"/>
          <w:highlight w:val="none"/>
        </w:rPr>
      </w:pPr>
      <w:bookmarkStart w:id="308" w:name="_Toc30295"/>
      <w:r>
        <w:rPr>
          <w:rFonts w:hint="eastAsia" w:ascii="宋体" w:hAnsi="宋体" w:eastAsia="宋体" w:cs="宋体"/>
          <w:color w:val="auto"/>
          <w:sz w:val="24"/>
          <w:highlight w:val="none"/>
        </w:rPr>
        <w:t>4、负责协调与当地政府和群众的关系，共同营造良好的施工环境。</w:t>
      </w:r>
      <w:bookmarkEnd w:id="308"/>
    </w:p>
    <w:p w14:paraId="1328A89E">
      <w:pPr>
        <w:spacing w:line="360" w:lineRule="auto"/>
        <w:ind w:firstLine="482" w:firstLineChars="200"/>
        <w:outlineLvl w:val="9"/>
        <w:rPr>
          <w:rFonts w:hint="eastAsia" w:ascii="宋体" w:hAnsi="宋体" w:eastAsia="宋体" w:cs="宋体"/>
          <w:b/>
          <w:bCs/>
          <w:color w:val="auto"/>
          <w:sz w:val="24"/>
          <w:highlight w:val="none"/>
        </w:rPr>
      </w:pPr>
      <w:bookmarkStart w:id="309" w:name="_Toc30550"/>
      <w:r>
        <w:rPr>
          <w:rFonts w:hint="eastAsia" w:ascii="宋体" w:hAnsi="宋体" w:eastAsia="宋体" w:cs="宋体"/>
          <w:b/>
          <w:bCs/>
          <w:color w:val="auto"/>
          <w:sz w:val="24"/>
          <w:highlight w:val="none"/>
        </w:rPr>
        <w:t>（二）承包方的权利与义务</w:t>
      </w:r>
      <w:bookmarkEnd w:id="309"/>
    </w:p>
    <w:p w14:paraId="74A2E6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1、遵守本合同有关规定，承担相应义务与责任（指本合同涉及的部分），服从发包方的统一管理。</w:t>
      </w:r>
    </w:p>
    <w:p w14:paraId="25B43A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2、合同执行期间，承包方应接受和执行发包方、监理单位发出的一切书面通知、意见、指示、决策等，其同样具有法律效力，不得扣压、拖延。</w:t>
      </w:r>
    </w:p>
    <w:p w14:paraId="1FEF92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处理本合同工程施工过程中与相关单位或部门或组织或个人发生的一切债权、债务，承担相应的法律责任。对工程引发的经济纠纷或诉讼，承包方应主动处理，因此给发包方造成的费用损失的，承包方应予以赔偿。</w:t>
      </w:r>
    </w:p>
    <w:p w14:paraId="66BAE84C">
      <w:pPr>
        <w:spacing w:line="360" w:lineRule="auto"/>
        <w:ind w:firstLine="482" w:firstLineChars="200"/>
        <w:outlineLvl w:val="2"/>
        <w:rPr>
          <w:rFonts w:hint="eastAsia" w:ascii="宋体" w:hAnsi="宋体" w:eastAsia="宋体" w:cs="宋体"/>
          <w:b/>
          <w:bCs/>
          <w:color w:val="auto"/>
          <w:sz w:val="24"/>
          <w:highlight w:val="none"/>
        </w:rPr>
      </w:pPr>
      <w:bookmarkStart w:id="310" w:name="_Toc11008"/>
      <w:bookmarkStart w:id="311" w:name="_Toc3686"/>
      <w:bookmarkStart w:id="312" w:name="_Toc29724"/>
      <w:bookmarkStart w:id="313" w:name="_Toc14881"/>
      <w:bookmarkStart w:id="314" w:name="_Toc9190"/>
      <w:r>
        <w:rPr>
          <w:rFonts w:hint="eastAsia" w:ascii="宋体" w:hAnsi="宋体" w:eastAsia="宋体" w:cs="宋体"/>
          <w:b/>
          <w:bCs/>
          <w:color w:val="auto"/>
          <w:sz w:val="24"/>
          <w:highlight w:val="none"/>
        </w:rPr>
        <w:t>九、违约责任</w:t>
      </w:r>
      <w:bookmarkEnd w:id="310"/>
      <w:bookmarkEnd w:id="311"/>
      <w:bookmarkEnd w:id="312"/>
      <w:bookmarkEnd w:id="313"/>
      <w:bookmarkEnd w:id="314"/>
    </w:p>
    <w:p w14:paraId="660660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方不得将工程再次分包或转包，否则发包方有权单方终止合同，并另行安排施工单位。因承包方分包、转包的行为，给发包方造成损失的，发包方可通过扣付工程款、法律等方式，从承包方得到相应的赔偿，同时上报有关工程建设诚信系统。</w:t>
      </w:r>
    </w:p>
    <w:p w14:paraId="4F4464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2、双方应严格遵守本合同相关条款的规定，任何一方无正当理由不得单方终止合同，单方终止合同方要赔偿给对方造成的经济损失。</w:t>
      </w:r>
    </w:p>
    <w:p w14:paraId="6DBC131C">
      <w:pPr>
        <w:spacing w:line="360" w:lineRule="auto"/>
        <w:ind w:firstLine="482" w:firstLineChars="200"/>
        <w:outlineLvl w:val="2"/>
        <w:rPr>
          <w:rFonts w:hint="eastAsia" w:ascii="宋体" w:hAnsi="宋体" w:eastAsia="宋体" w:cs="宋体"/>
          <w:b/>
          <w:bCs/>
          <w:color w:val="auto"/>
          <w:sz w:val="24"/>
          <w:highlight w:val="none"/>
        </w:rPr>
      </w:pPr>
      <w:bookmarkStart w:id="315" w:name="_Toc12633"/>
      <w:bookmarkStart w:id="316" w:name="_Toc22371"/>
      <w:bookmarkStart w:id="317" w:name="_Toc22421"/>
      <w:bookmarkStart w:id="318" w:name="_Toc31368"/>
      <w:bookmarkStart w:id="319" w:name="_Toc20990"/>
      <w:r>
        <w:rPr>
          <w:rFonts w:hint="eastAsia" w:ascii="宋体" w:hAnsi="宋体" w:eastAsia="宋体" w:cs="宋体"/>
          <w:b/>
          <w:bCs/>
          <w:color w:val="auto"/>
          <w:sz w:val="24"/>
          <w:highlight w:val="none"/>
        </w:rPr>
        <w:t>十一、签订时间地点</w:t>
      </w:r>
      <w:bookmarkEnd w:id="315"/>
      <w:bookmarkEnd w:id="316"/>
      <w:bookmarkEnd w:id="317"/>
      <w:bookmarkEnd w:id="318"/>
      <w:bookmarkEnd w:id="319"/>
    </w:p>
    <w:p w14:paraId="4CEADD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本合同于</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XX</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XX</w:t>
      </w:r>
      <w:r>
        <w:rPr>
          <w:rFonts w:hint="eastAsia" w:ascii="宋体" w:hAnsi="宋体" w:eastAsia="宋体" w:cs="宋体"/>
          <w:color w:val="auto"/>
          <w:sz w:val="24"/>
          <w:highlight w:val="none"/>
        </w:rPr>
        <w:t>日在</w:t>
      </w:r>
      <w:r>
        <w:rPr>
          <w:rFonts w:hint="eastAsia" w:ascii="宋体" w:hAnsi="宋体" w:eastAsia="宋体" w:cs="宋体"/>
          <w:color w:val="auto"/>
          <w:sz w:val="24"/>
          <w:highlight w:val="none"/>
          <w:lang w:eastAsia="zh-CN"/>
        </w:rPr>
        <w:t>横州市乡村振兴局</w:t>
      </w:r>
      <w:r>
        <w:rPr>
          <w:rFonts w:hint="eastAsia" w:ascii="宋体" w:hAnsi="宋体" w:eastAsia="宋体" w:cs="宋体"/>
          <w:color w:val="auto"/>
          <w:sz w:val="24"/>
          <w:highlight w:val="none"/>
        </w:rPr>
        <w:t>签订。</w:t>
      </w:r>
    </w:p>
    <w:p w14:paraId="54556447">
      <w:pPr>
        <w:spacing w:line="360" w:lineRule="auto"/>
        <w:ind w:firstLine="482" w:firstLineChars="200"/>
        <w:outlineLvl w:val="2"/>
        <w:rPr>
          <w:rFonts w:hint="eastAsia" w:ascii="宋体" w:hAnsi="宋体" w:eastAsia="宋体" w:cs="宋体"/>
          <w:b/>
          <w:bCs/>
          <w:color w:val="auto"/>
          <w:sz w:val="24"/>
          <w:highlight w:val="none"/>
        </w:rPr>
      </w:pPr>
      <w:bookmarkStart w:id="320" w:name="_Toc30745"/>
      <w:bookmarkStart w:id="321" w:name="_Toc25001"/>
      <w:bookmarkStart w:id="322" w:name="_Toc9491"/>
      <w:bookmarkStart w:id="323" w:name="_Toc102"/>
      <w:bookmarkStart w:id="324" w:name="_Toc31213"/>
      <w:r>
        <w:rPr>
          <w:rFonts w:hint="eastAsia" w:ascii="宋体" w:hAnsi="宋体" w:eastAsia="宋体" w:cs="宋体"/>
          <w:b/>
          <w:bCs/>
          <w:color w:val="auto"/>
          <w:sz w:val="24"/>
          <w:highlight w:val="none"/>
        </w:rPr>
        <w:t>十二、协议份数</w:t>
      </w:r>
      <w:bookmarkEnd w:id="320"/>
      <w:bookmarkEnd w:id="321"/>
      <w:bookmarkEnd w:id="322"/>
      <w:bookmarkEnd w:id="323"/>
      <w:bookmarkEnd w:id="324"/>
    </w:p>
    <w:p w14:paraId="0B8AE4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本协议书正本二份、副本四份，正本与副本内容不一致的，以正本为准。</w:t>
      </w:r>
    </w:p>
    <w:p w14:paraId="4BA7B6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合同未尽事宜，双方另行签订补充协议。</w:t>
      </w:r>
    </w:p>
    <w:p w14:paraId="2CB68088">
      <w:pPr>
        <w:spacing w:line="360" w:lineRule="auto"/>
        <w:rPr>
          <w:rFonts w:hint="eastAsia" w:ascii="宋体" w:hAnsi="宋体" w:eastAsia="宋体" w:cs="宋体"/>
          <w:color w:val="auto"/>
          <w:sz w:val="24"/>
          <w:highlight w:val="none"/>
        </w:rPr>
      </w:pPr>
    </w:p>
    <w:p w14:paraId="76F4941E">
      <w:pPr>
        <w:spacing w:line="360" w:lineRule="auto"/>
        <w:ind w:left="5280" w:hanging="5280" w:hangingChars="2200"/>
        <w:rPr>
          <w:rFonts w:hint="eastAsia" w:ascii="宋体" w:hAnsi="宋体" w:eastAsia="宋体" w:cs="宋体"/>
          <w:color w:val="auto"/>
          <w:sz w:val="24"/>
          <w:szCs w:val="24"/>
          <w:highlight w:val="none"/>
        </w:rPr>
      </w:pPr>
      <w:bookmarkStart w:id="325" w:name="_Toc23831"/>
      <w:bookmarkStart w:id="326" w:name="_Toc31576"/>
      <w:bookmarkStart w:id="327" w:name="_Toc7173"/>
      <w:bookmarkStart w:id="328" w:name="_Toc1037"/>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横州市乡村振兴局</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val="en-US" w:eastAsia="zh-CN"/>
        </w:rPr>
        <w:t>XXXXXXX</w:t>
      </w:r>
      <w:r>
        <w:rPr>
          <w:rFonts w:hint="eastAsia" w:ascii="宋体" w:hAnsi="宋体" w:eastAsia="宋体" w:cs="宋体"/>
          <w:color w:val="auto"/>
          <w:sz w:val="24"/>
          <w:szCs w:val="24"/>
          <w:highlight w:val="none"/>
        </w:rPr>
        <w:t>有限公司</w:t>
      </w:r>
    </w:p>
    <w:p w14:paraId="5D46C849">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                      （盖单位章）</w:t>
      </w:r>
    </w:p>
    <w:p w14:paraId="70CE1D83">
      <w:pPr>
        <w:spacing w:line="360" w:lineRule="auto"/>
        <w:ind w:left="5400" w:hanging="5400" w:hangingChars="2250"/>
        <w:rPr>
          <w:rFonts w:hint="eastAsia" w:ascii="宋体" w:hAnsi="宋体" w:eastAsia="宋体" w:cs="宋体"/>
          <w:color w:val="auto"/>
          <w:sz w:val="24"/>
          <w:szCs w:val="24"/>
          <w:highlight w:val="none"/>
        </w:rPr>
      </w:pPr>
    </w:p>
    <w:p w14:paraId="166A94EA">
      <w:pPr>
        <w:adjustRightInd w:val="0"/>
        <w:snapToGrid w:val="0"/>
        <w:spacing w:line="360" w:lineRule="auto"/>
        <w:ind w:left="5400" w:hanging="5400" w:hangingChars="2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BFD52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lang w:val="en-US" w:eastAsia="zh-CN"/>
        </w:rPr>
        <w:t>11450127MB16196575</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2E975F">
      <w:pPr>
        <w:spacing w:line="360" w:lineRule="auto"/>
        <w:ind w:left="5040" w:hanging="5040" w:hangingChars="2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横州市横州镇茉莉花大道21号</w:t>
      </w: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lang w:val="en-US" w:eastAsia="zh-CN"/>
        </w:rPr>
        <w:t xml:space="preserve">             （必填）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7A631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530300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0281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0771-7082567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7653E9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0771-7222614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color w:val="auto"/>
          <w:sz w:val="24"/>
          <w:szCs w:val="24"/>
          <w:highlight w:val="none"/>
          <w:u w:val="single"/>
        </w:rPr>
        <w:t xml:space="preserve">   </w:t>
      </w:r>
    </w:p>
    <w:p w14:paraId="58B0DA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hxjtfp@163.com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5D7686">
      <w:pPr>
        <w:spacing w:line="360" w:lineRule="auto"/>
        <w:ind w:left="5760" w:leftChars="0" w:hanging="5760" w:hanging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（必填）</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3B62199">
      <w:pPr>
        <w:spacing w:line="360" w:lineRule="auto"/>
        <w:rPr>
          <w:rFonts w:hint="eastAsia" w:ascii="宋体" w:hAnsi="宋体" w:eastAsia="宋体" w:cs="宋体"/>
          <w:bCs/>
          <w:color w:val="auto"/>
          <w:kern w:val="0"/>
          <w:sz w:val="24"/>
          <w:szCs w:val="24"/>
          <w:highlight w:val="none"/>
          <w:u w:val="singl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（必填）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Cs/>
          <w:color w:val="auto"/>
          <w:kern w:val="0"/>
          <w:sz w:val="24"/>
          <w:szCs w:val="24"/>
          <w:highlight w:val="none"/>
          <w:u w:val="single"/>
        </w:rPr>
        <w:t xml:space="preserve">    </w:t>
      </w:r>
      <w:bookmarkEnd w:id="325"/>
      <w:bookmarkEnd w:id="326"/>
      <w:bookmarkEnd w:id="327"/>
      <w:bookmarkEnd w:id="328"/>
    </w:p>
    <w:p w14:paraId="1366B968">
      <w:pPr>
        <w:spacing w:line="360" w:lineRule="auto"/>
        <w:rPr>
          <w:rFonts w:hint="eastAsia" w:ascii="宋体" w:hAnsi="宋体" w:eastAsia="宋体" w:cs="宋体"/>
          <w:bCs/>
          <w:color w:val="auto"/>
          <w:kern w:val="0"/>
          <w:sz w:val="24"/>
          <w:szCs w:val="24"/>
          <w:highlight w:val="none"/>
          <w:u w:val="single"/>
        </w:rPr>
      </w:pPr>
    </w:p>
    <w:p w14:paraId="3143F817">
      <w:pPr>
        <w:spacing w:line="360" w:lineRule="auto"/>
        <w:rPr>
          <w:rFonts w:hint="eastAsia" w:ascii="宋体" w:hAnsi="宋体" w:eastAsia="宋体" w:cs="宋体"/>
          <w:bCs/>
          <w:color w:val="auto"/>
          <w:kern w:val="0"/>
          <w:sz w:val="24"/>
          <w:szCs w:val="24"/>
          <w:highlight w:val="none"/>
          <w:u w:val="single"/>
        </w:rPr>
      </w:pPr>
    </w:p>
    <w:p w14:paraId="09ED35D1">
      <w:pPr>
        <w:spacing w:line="360" w:lineRule="auto"/>
        <w:rPr>
          <w:rFonts w:hint="eastAsia" w:ascii="宋体" w:hAnsi="宋体" w:eastAsia="宋体" w:cs="宋体"/>
          <w:bCs/>
          <w:color w:val="auto"/>
          <w:kern w:val="0"/>
          <w:sz w:val="24"/>
          <w:szCs w:val="24"/>
          <w:highlight w:val="none"/>
          <w:u w:val="single"/>
        </w:rPr>
      </w:pPr>
    </w:p>
    <w:p w14:paraId="1F923616">
      <w:pPr>
        <w:spacing w:line="360" w:lineRule="auto"/>
        <w:rPr>
          <w:rFonts w:hint="eastAsia" w:ascii="宋体" w:hAnsi="宋体" w:eastAsia="宋体" w:cs="宋体"/>
          <w:bCs/>
          <w:color w:val="auto"/>
          <w:kern w:val="0"/>
          <w:sz w:val="24"/>
          <w:szCs w:val="24"/>
          <w:highlight w:val="none"/>
          <w:u w:val="single"/>
        </w:rPr>
      </w:pPr>
    </w:p>
    <w:p w14:paraId="499356C0">
      <w:pPr>
        <w:spacing w:line="360" w:lineRule="auto"/>
        <w:rPr>
          <w:rFonts w:hint="eastAsia" w:ascii="宋体" w:hAnsi="宋体" w:eastAsia="宋体" w:cs="宋体"/>
          <w:bCs/>
          <w:color w:val="auto"/>
          <w:kern w:val="0"/>
          <w:sz w:val="24"/>
          <w:szCs w:val="24"/>
          <w:highlight w:val="none"/>
          <w:u w:val="single"/>
        </w:rPr>
      </w:pPr>
    </w:p>
    <w:p w14:paraId="22C37455">
      <w:pPr>
        <w:spacing w:line="360" w:lineRule="auto"/>
        <w:rPr>
          <w:rFonts w:hint="eastAsia" w:ascii="宋体" w:hAnsi="宋体" w:eastAsia="宋体" w:cs="宋体"/>
          <w:bCs/>
          <w:color w:val="auto"/>
          <w:kern w:val="0"/>
          <w:sz w:val="24"/>
          <w:szCs w:val="24"/>
          <w:highlight w:val="none"/>
          <w:u w:val="single"/>
        </w:rPr>
      </w:pPr>
    </w:p>
    <w:p w14:paraId="09905D6F">
      <w:pPr>
        <w:spacing w:line="360" w:lineRule="auto"/>
        <w:rPr>
          <w:rFonts w:hint="eastAsia" w:ascii="宋体" w:hAnsi="宋体" w:eastAsia="宋体" w:cs="宋体"/>
          <w:bCs/>
          <w:color w:val="auto"/>
          <w:kern w:val="0"/>
          <w:sz w:val="24"/>
          <w:szCs w:val="24"/>
          <w:highlight w:val="none"/>
          <w:u w:val="single"/>
        </w:rPr>
      </w:pPr>
    </w:p>
    <w:p w14:paraId="55D16BE8">
      <w:pPr>
        <w:spacing w:line="360" w:lineRule="auto"/>
        <w:rPr>
          <w:rFonts w:hint="eastAsia" w:ascii="宋体" w:hAnsi="宋体" w:eastAsia="宋体" w:cs="宋体"/>
          <w:bCs/>
          <w:color w:val="auto"/>
          <w:kern w:val="0"/>
          <w:sz w:val="24"/>
          <w:szCs w:val="24"/>
          <w:highlight w:val="none"/>
          <w:u w:val="single"/>
        </w:rPr>
      </w:pPr>
    </w:p>
    <w:p w14:paraId="2FFAB234">
      <w:pPr>
        <w:spacing w:line="360" w:lineRule="auto"/>
        <w:rPr>
          <w:rFonts w:hint="eastAsia" w:ascii="宋体" w:hAnsi="宋体" w:eastAsia="宋体" w:cs="宋体"/>
          <w:bCs/>
          <w:color w:val="auto"/>
          <w:kern w:val="0"/>
          <w:sz w:val="24"/>
          <w:szCs w:val="24"/>
          <w:highlight w:val="none"/>
          <w:u w:val="single"/>
        </w:rPr>
      </w:pPr>
    </w:p>
    <w:p w14:paraId="5A64DBB2">
      <w:pPr>
        <w:spacing w:line="360" w:lineRule="auto"/>
        <w:rPr>
          <w:rFonts w:hint="eastAsia" w:ascii="宋体" w:hAnsi="宋体" w:eastAsia="宋体" w:cs="宋体"/>
          <w:bCs/>
          <w:color w:val="auto"/>
          <w:kern w:val="0"/>
          <w:sz w:val="24"/>
          <w:szCs w:val="24"/>
          <w:highlight w:val="none"/>
          <w:u w:val="single"/>
        </w:rPr>
      </w:pPr>
    </w:p>
    <w:p w14:paraId="31D475AF">
      <w:pPr>
        <w:spacing w:line="360" w:lineRule="auto"/>
        <w:rPr>
          <w:rFonts w:hint="eastAsia" w:ascii="宋体" w:hAnsi="宋体" w:eastAsia="宋体" w:cs="宋体"/>
          <w:bCs/>
          <w:color w:val="auto"/>
          <w:kern w:val="0"/>
          <w:sz w:val="24"/>
          <w:szCs w:val="24"/>
          <w:highlight w:val="none"/>
          <w:u w:val="single"/>
          <w:lang w:eastAsia="zh-CN"/>
        </w:rPr>
      </w:pPr>
    </w:p>
    <w:p w14:paraId="4B926DFE">
      <w:pPr>
        <w:rPr>
          <w:rFonts w:hint="eastAsia" w:ascii="宋体" w:hAnsi="宋体" w:eastAsia="宋体" w:cs="宋体"/>
          <w:b/>
          <w:bCs w:val="0"/>
          <w:color w:val="auto"/>
          <w:sz w:val="32"/>
          <w:szCs w:val="32"/>
          <w:highlight w:val="none"/>
          <w:lang w:eastAsia="zh-CN"/>
        </w:rPr>
      </w:pPr>
      <w:bookmarkStart w:id="329" w:name="_Toc6030"/>
      <w:bookmarkStart w:id="330" w:name="_Toc27053"/>
      <w:bookmarkStart w:id="331" w:name="_Toc24901"/>
      <w:bookmarkStart w:id="332" w:name="_Toc8540"/>
      <w:r>
        <w:rPr>
          <w:rFonts w:hint="eastAsia" w:ascii="宋体" w:hAnsi="宋体" w:eastAsia="宋体" w:cs="宋体"/>
          <w:b/>
          <w:bCs w:val="0"/>
          <w:color w:val="auto"/>
          <w:sz w:val="32"/>
          <w:szCs w:val="32"/>
          <w:highlight w:val="none"/>
          <w:lang w:eastAsia="zh-CN"/>
        </w:rPr>
        <w:br w:type="page"/>
      </w:r>
    </w:p>
    <w:p w14:paraId="57F6CFC7">
      <w:pPr>
        <w:pStyle w:val="233"/>
        <w:spacing w:line="360" w:lineRule="auto"/>
        <w:outlineLvl w:val="1"/>
        <w:rPr>
          <w:rFonts w:hint="eastAsia" w:ascii="宋体" w:hAnsi="宋体" w:eastAsia="宋体" w:cs="宋体"/>
          <w:b/>
          <w:bCs w:val="0"/>
          <w:color w:val="auto"/>
          <w:sz w:val="32"/>
          <w:szCs w:val="32"/>
          <w:highlight w:val="none"/>
          <w:lang w:eastAsia="zh-CN"/>
        </w:rPr>
      </w:pPr>
      <w:bookmarkStart w:id="333" w:name="_Toc26271"/>
      <w:r>
        <w:rPr>
          <w:rFonts w:hint="eastAsia" w:ascii="宋体" w:hAnsi="宋体" w:eastAsia="宋体" w:cs="宋体"/>
          <w:b/>
          <w:bCs w:val="0"/>
          <w:color w:val="auto"/>
          <w:sz w:val="32"/>
          <w:szCs w:val="32"/>
          <w:highlight w:val="none"/>
          <w:lang w:eastAsia="zh-CN"/>
        </w:rPr>
        <w:t>三、</w:t>
      </w:r>
      <w:r>
        <w:rPr>
          <w:rFonts w:hint="eastAsia" w:ascii="宋体" w:hAnsi="宋体" w:eastAsia="宋体" w:cs="宋体"/>
          <w:b/>
          <w:bCs w:val="0"/>
          <w:color w:val="auto"/>
          <w:sz w:val="32"/>
          <w:szCs w:val="32"/>
          <w:highlight w:val="none"/>
        </w:rPr>
        <w:t>农民工工资保证金承诺书</w:t>
      </w:r>
      <w:bookmarkEnd w:id="329"/>
      <w:bookmarkEnd w:id="330"/>
      <w:bookmarkEnd w:id="331"/>
      <w:bookmarkEnd w:id="332"/>
      <w:bookmarkEnd w:id="333"/>
    </w:p>
    <w:p w14:paraId="39D79C2C">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横州市乡村振兴局：</w:t>
      </w:r>
    </w:p>
    <w:p w14:paraId="7FDE288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根据《关于建立交通行业农民工工资保证金制度的通知》（桂劳社发〔2007〕147号），在</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sz w:val="24"/>
          <w:highlight w:val="none"/>
        </w:rPr>
        <w:t>施工中，我单位对农民工工资的支付作出以下郑重承诺：</w:t>
      </w:r>
    </w:p>
    <w:p w14:paraId="65A54D5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（一）我单位在本项目递交</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文件截止时间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日</w:t>
      </w:r>
      <w:r>
        <w:rPr>
          <w:rFonts w:hint="eastAsia" w:ascii="宋体" w:hAnsi="宋体" w:eastAsia="宋体" w:cs="宋体"/>
          <w:color w:val="auto"/>
          <w:sz w:val="24"/>
          <w:highlight w:val="none"/>
        </w:rPr>
        <w:t>前所承建的工程项目，不存在拖欠或克扣农民工工资的行为。</w:t>
      </w:r>
    </w:p>
    <w:p w14:paraId="04F42E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选定为施工单位</w:t>
      </w:r>
      <w:r>
        <w:rPr>
          <w:rFonts w:hint="eastAsia" w:ascii="宋体" w:hAnsi="宋体" w:eastAsia="宋体" w:cs="宋体"/>
          <w:color w:val="auto"/>
          <w:sz w:val="24"/>
          <w:highlight w:val="none"/>
        </w:rPr>
        <w:t>后，我单位同意履行工程建设项目保障农民工工资支付工作的有关约定，按相关流程进行办理。</w:t>
      </w:r>
    </w:p>
    <w:p w14:paraId="2A59E5D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（三）在项目实施过程中，若出现</w:t>
      </w:r>
      <w:r>
        <w:rPr>
          <w:rFonts w:hint="eastAsia" w:ascii="宋体" w:hAnsi="宋体" w:eastAsia="宋体" w:cs="宋体"/>
          <w:color w:val="auto"/>
          <w:sz w:val="24"/>
          <w:highlight w:val="none"/>
          <w:lang w:eastAsia="zh-CN"/>
        </w:rPr>
        <w:t>签约合同价</w:t>
      </w:r>
      <w:r>
        <w:rPr>
          <w:rFonts w:hint="eastAsia" w:ascii="宋体" w:hAnsi="宋体" w:eastAsia="宋体" w:cs="宋体"/>
          <w:color w:val="auto"/>
          <w:sz w:val="24"/>
          <w:highlight w:val="none"/>
        </w:rPr>
        <w:t>与结算价不一致时，以实际结算金额</w:t>
      </w:r>
      <w:r>
        <w:rPr>
          <w:rFonts w:hint="eastAsia" w:ascii="宋体" w:hAnsi="宋体" w:eastAsia="宋体" w:cs="宋体"/>
          <w:color w:val="auto"/>
          <w:sz w:val="24"/>
          <w:highlight w:val="none"/>
          <w:lang w:eastAsia="zh-CN"/>
        </w:rPr>
        <w:t>按</w:t>
      </w:r>
      <w:r>
        <w:rPr>
          <w:rFonts w:hint="eastAsia" w:ascii="宋体" w:hAnsi="宋体" w:eastAsia="宋体" w:cs="宋体"/>
          <w:color w:val="auto"/>
          <w:sz w:val="24"/>
          <w:highlight w:val="none"/>
        </w:rPr>
        <w:t>规定的计算额度存入农民工工资保证金。</w:t>
      </w:r>
    </w:p>
    <w:p w14:paraId="15033DAF">
      <w:pPr>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（四）我单位向建设单位承诺依法足额支付农民工工资，一旦我单位（包含我单位的分包商）承建的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kern w:val="0"/>
          <w:sz w:val="24"/>
          <w:highlight w:val="none"/>
          <w:u w:val="none"/>
          <w:lang w:val="en-US" w:eastAsia="zh-CN"/>
        </w:rPr>
        <w:t>中</w:t>
      </w:r>
      <w:r>
        <w:rPr>
          <w:rFonts w:hint="eastAsia" w:ascii="宋体" w:hAnsi="宋体" w:eastAsia="宋体" w:cs="宋体"/>
          <w:color w:val="auto"/>
          <w:sz w:val="24"/>
          <w:highlight w:val="none"/>
        </w:rPr>
        <w:t>出现拖欠农民工工资情况的，可由劳动保障、交通主管部门（或授权机构）及建设单位根据相关规定从其农民工工资保证金中先予支取。</w:t>
      </w:r>
      <w:r>
        <w:rPr>
          <w:rFonts w:hint="eastAsia" w:ascii="宋体" w:hAnsi="宋体" w:eastAsia="宋体" w:cs="宋体"/>
          <w:color w:val="auto"/>
          <w:sz w:val="24"/>
          <w:highlight w:val="none"/>
          <w:lang w:val="en-US" w:eastAsia="zh-CN"/>
        </w:rPr>
        <w:t xml:space="preserve"> </w:t>
      </w:r>
    </w:p>
    <w:p w14:paraId="455ED0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（五）其他未尽事宜按《关于建立交通行业农民工工资保证金制度的通知》（桂劳社发〔2007〕147号）的有关规定执行。</w:t>
      </w:r>
    </w:p>
    <w:p w14:paraId="6A258ADD">
      <w:pPr>
        <w:snapToGrid w:val="0"/>
        <w:spacing w:line="360" w:lineRule="auto"/>
        <w:rPr>
          <w:rFonts w:hint="eastAsia" w:ascii="宋体" w:hAnsi="宋体" w:eastAsia="宋体" w:cs="宋体"/>
          <w:color w:val="auto"/>
          <w:sz w:val="24"/>
          <w:highlight w:val="none"/>
        </w:rPr>
      </w:pPr>
    </w:p>
    <w:p w14:paraId="7D7BDC6D">
      <w:pPr>
        <w:snapToGrid w:val="0"/>
        <w:spacing w:line="360" w:lineRule="auto"/>
        <w:rPr>
          <w:rFonts w:hint="eastAsia" w:ascii="宋体" w:hAnsi="宋体" w:eastAsia="宋体" w:cs="宋体"/>
          <w:color w:val="auto"/>
          <w:sz w:val="24"/>
          <w:highlight w:val="none"/>
        </w:rPr>
      </w:pPr>
    </w:p>
    <w:p w14:paraId="56BA3F93">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承诺人：</w:t>
      </w:r>
      <w:r>
        <w:rPr>
          <w:rFonts w:hint="eastAsia" w:ascii="宋体" w:hAnsi="宋体" w:eastAsia="宋体" w:cs="宋体"/>
          <w:color w:val="auto"/>
          <w:sz w:val="24"/>
          <w:highlight w:val="none"/>
          <w:lang w:val="en-US" w:eastAsia="zh-CN"/>
        </w:rPr>
        <w:t>XXXXXXXX</w:t>
      </w:r>
      <w:r>
        <w:rPr>
          <w:rFonts w:hint="eastAsia" w:ascii="宋体" w:hAnsi="宋体" w:eastAsia="宋体" w:cs="宋体"/>
          <w:color w:val="auto"/>
          <w:sz w:val="24"/>
          <w:highlight w:val="none"/>
        </w:rPr>
        <w:t>有限公司</w:t>
      </w:r>
    </w:p>
    <w:p w14:paraId="2A206379">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（盖单位公章）</w:t>
      </w:r>
    </w:p>
    <w:p w14:paraId="6BBB5C4A">
      <w:pPr>
        <w:snapToGrid w:val="0"/>
        <w:spacing w:line="360" w:lineRule="auto"/>
        <w:ind w:firstLine="4320" w:firstLineChars="18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 xml:space="preserve">       </w:t>
      </w:r>
    </w:p>
    <w:p w14:paraId="73BB4C32">
      <w:pPr>
        <w:snapToGrid w:val="0"/>
        <w:spacing w:line="360" w:lineRule="auto"/>
        <w:ind w:firstLine="4320" w:firstLineChars="1800"/>
        <w:rPr>
          <w:rFonts w:hint="eastAsia" w:ascii="宋体" w:hAnsi="宋体" w:eastAsia="宋体" w:cs="宋体"/>
          <w:color w:val="auto"/>
          <w:sz w:val="24"/>
          <w:highlight w:val="none"/>
        </w:rPr>
      </w:pPr>
    </w:p>
    <w:p w14:paraId="67354EEE">
      <w:pPr>
        <w:snapToGrid w:val="0"/>
        <w:spacing w:line="360" w:lineRule="auto"/>
        <w:ind w:firstLine="4320" w:firstLineChars="1800"/>
        <w:rPr>
          <w:rFonts w:hint="eastAsia" w:ascii="宋体" w:hAnsi="宋体" w:eastAsia="宋体" w:cs="宋体"/>
          <w:color w:val="auto"/>
          <w:sz w:val="24"/>
          <w:highlight w:val="none"/>
        </w:rPr>
      </w:pPr>
    </w:p>
    <w:p w14:paraId="287F8987">
      <w:pPr>
        <w:snapToGrid w:val="0"/>
        <w:spacing w:line="360" w:lineRule="auto"/>
        <w:ind w:firstLine="4320" w:firstLineChars="1800"/>
        <w:rPr>
          <w:rFonts w:hint="eastAsia" w:ascii="宋体" w:hAnsi="宋体" w:eastAsia="宋体" w:cs="宋体"/>
          <w:color w:val="auto"/>
          <w:sz w:val="24"/>
          <w:highlight w:val="none"/>
        </w:rPr>
      </w:pPr>
    </w:p>
    <w:p w14:paraId="4B87A1A9">
      <w:pPr>
        <w:snapToGrid w:val="0"/>
        <w:spacing w:line="360" w:lineRule="auto"/>
        <w:rPr>
          <w:rFonts w:hint="eastAsia" w:ascii="宋体" w:hAnsi="宋体" w:eastAsia="宋体" w:cs="宋体"/>
          <w:color w:val="auto"/>
          <w:sz w:val="24"/>
          <w:highlight w:val="none"/>
        </w:rPr>
      </w:pPr>
    </w:p>
    <w:p w14:paraId="1AA7CC41">
      <w:pPr>
        <w:rPr>
          <w:rFonts w:hint="eastAsia" w:ascii="宋体" w:hAnsi="宋体" w:eastAsia="宋体" w:cs="宋体"/>
          <w:color w:val="auto"/>
          <w:highlight w:val="none"/>
          <w:lang w:eastAsia="zh-CN"/>
        </w:rPr>
      </w:pPr>
      <w:bookmarkStart w:id="334" w:name="_Toc19440"/>
      <w:bookmarkStart w:id="335" w:name="_Toc13123"/>
      <w:bookmarkStart w:id="336" w:name="_Toc30605"/>
      <w:bookmarkStart w:id="337" w:name="_Toc13154"/>
      <w:bookmarkStart w:id="338" w:name="_Toc10904"/>
      <w:bookmarkStart w:id="339" w:name="_Toc12121"/>
      <w:bookmarkStart w:id="340" w:name="_Toc8321"/>
      <w:bookmarkStart w:id="341" w:name="_Toc29028"/>
      <w:bookmarkStart w:id="342" w:name="_Toc23242"/>
      <w:r>
        <w:rPr>
          <w:rFonts w:hint="eastAsia" w:ascii="宋体" w:hAnsi="宋体" w:eastAsia="宋体" w:cs="宋体"/>
          <w:color w:val="auto"/>
          <w:highlight w:val="none"/>
          <w:lang w:eastAsia="zh-CN"/>
        </w:rPr>
        <w:br w:type="page"/>
      </w:r>
    </w:p>
    <w:p w14:paraId="70C86382">
      <w:pPr>
        <w:pStyle w:val="233"/>
        <w:bidi w:val="0"/>
        <w:outlineLvl w:val="1"/>
        <w:rPr>
          <w:rFonts w:hint="eastAsia" w:ascii="宋体" w:hAnsi="宋体" w:eastAsia="宋体" w:cs="宋体"/>
          <w:color w:val="auto"/>
          <w:highlight w:val="none"/>
        </w:rPr>
      </w:pPr>
      <w:bookmarkStart w:id="343" w:name="_Toc14152"/>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廉政合同</w:t>
      </w:r>
      <w:bookmarkEnd w:id="334"/>
      <w:bookmarkEnd w:id="335"/>
      <w:bookmarkEnd w:id="336"/>
      <w:bookmarkEnd w:id="337"/>
      <w:bookmarkEnd w:id="338"/>
      <w:bookmarkEnd w:id="339"/>
      <w:bookmarkEnd w:id="340"/>
      <w:bookmarkEnd w:id="341"/>
      <w:bookmarkEnd w:id="342"/>
      <w:bookmarkEnd w:id="343"/>
    </w:p>
    <w:p w14:paraId="358DD263">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根据《关于在交通基础设施建设中加强廉政建设的若干意见》以及有关工程建设、</w:t>
      </w:r>
    </w:p>
    <w:p w14:paraId="49CDB963">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廉政建设的规定，为做好工程建设中的党风廉政建设，保证工程建设高效优质，保证建设资金的安全和有效使用以及投资效益，项目法人</w:t>
      </w:r>
      <w:r>
        <w:rPr>
          <w:rFonts w:hint="eastAsia" w:ascii="宋体" w:hAnsi="宋体" w:eastAsia="宋体" w:cs="宋体"/>
          <w:bCs/>
          <w:color w:val="auto"/>
          <w:sz w:val="24"/>
          <w:highlight w:val="none"/>
          <w:shd w:val="clear" w:color="auto" w:fill="FFFFFF"/>
        </w:rPr>
        <w:t>横州市乡村振兴局</w:t>
      </w:r>
      <w:r>
        <w:rPr>
          <w:rFonts w:hint="eastAsia" w:ascii="宋体" w:hAnsi="宋体" w:eastAsia="宋体" w:cs="宋体"/>
          <w:color w:val="auto"/>
          <w:sz w:val="24"/>
          <w:highlight w:val="none"/>
        </w:rPr>
        <w:t>（以下简称“发包人”）与施工单位</w:t>
      </w:r>
      <w:r>
        <w:rPr>
          <w:rFonts w:hint="eastAsia" w:ascii="宋体" w:hAnsi="宋体" w:eastAsia="宋体" w:cs="宋体"/>
          <w:color w:val="auto"/>
          <w:sz w:val="24"/>
          <w:highlight w:val="none"/>
          <w:lang w:val="en-US" w:eastAsia="zh-CN"/>
        </w:rPr>
        <w:t>XXXXXXXX</w:t>
      </w:r>
      <w:r>
        <w:rPr>
          <w:rFonts w:hint="eastAsia" w:ascii="宋体" w:hAnsi="宋体" w:eastAsia="宋体" w:cs="宋体"/>
          <w:color w:val="auto"/>
          <w:sz w:val="24"/>
          <w:highlight w:val="none"/>
        </w:rPr>
        <w:t>有限公司</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以下简称“承包人”），特订立如下合同。</w:t>
      </w:r>
    </w:p>
    <w:p w14:paraId="7A1939A1">
      <w:pPr>
        <w:spacing w:line="336" w:lineRule="auto"/>
        <w:ind w:firstLine="482" w:firstLineChars="200"/>
        <w:outlineLvl w:val="9"/>
        <w:rPr>
          <w:rFonts w:hint="eastAsia" w:ascii="宋体" w:hAnsi="宋体" w:eastAsia="宋体" w:cs="宋体"/>
          <w:b/>
          <w:bCs/>
          <w:color w:val="auto"/>
          <w:sz w:val="24"/>
          <w:highlight w:val="none"/>
        </w:rPr>
      </w:pPr>
      <w:bookmarkStart w:id="344" w:name="_Toc29581"/>
      <w:bookmarkStart w:id="345" w:name="_Toc2249"/>
      <w:r>
        <w:rPr>
          <w:rFonts w:hint="eastAsia" w:ascii="宋体" w:hAnsi="宋体" w:eastAsia="宋体" w:cs="宋体"/>
          <w:b/>
          <w:bCs/>
          <w:color w:val="auto"/>
          <w:sz w:val="24"/>
          <w:highlight w:val="none"/>
        </w:rPr>
        <w:t>1、发包人和承包人双方的权利和义务</w:t>
      </w:r>
      <w:bookmarkEnd w:id="344"/>
      <w:bookmarkEnd w:id="345"/>
    </w:p>
    <w:p w14:paraId="48322B3B">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（1）严格遵守党的政策规定和国家有关法律法规及交通运输部的有关规定。</w:t>
      </w:r>
    </w:p>
    <w:p w14:paraId="04CAE408">
      <w:pPr>
        <w:widowControl/>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（2）严格执行</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sz w:val="24"/>
          <w:highlight w:val="none"/>
        </w:rPr>
        <w:t>施工合同文件，自觉按合同办事。</w:t>
      </w:r>
    </w:p>
    <w:p w14:paraId="65BD0DE6">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（3）双方的业务活动坚持公开、公正、诚信、透明的原则（法律认定的商业秘密和合同文件另有规定除外），不得损害国家和集体利益，不得违反工程建设管理规章制度。</w:t>
      </w:r>
    </w:p>
    <w:p w14:paraId="395AB2DC">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（4）建立健全廉政制度，开展廉政教育，设立廉政告示牌，公布举报电话，监督并认真查处违法违纪行为。</w:t>
      </w:r>
    </w:p>
    <w:p w14:paraId="3709AC4A">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（5）发现对方在业务活动中有违反廉政规定的行为，有及时提醒对方纠正的权利和义务。</w:t>
      </w:r>
    </w:p>
    <w:p w14:paraId="00F58F6A">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（6）发现对方严重违反本合同义务条款的行为，有向其上级有关部门举报、建议给予处理并要求告知处理结果的权利。</w:t>
      </w:r>
    </w:p>
    <w:p w14:paraId="14B89D51">
      <w:pPr>
        <w:spacing w:line="336" w:lineRule="auto"/>
        <w:ind w:firstLine="482" w:firstLineChars="200"/>
        <w:outlineLvl w:val="9"/>
        <w:rPr>
          <w:rFonts w:hint="eastAsia" w:ascii="宋体" w:hAnsi="宋体" w:eastAsia="宋体" w:cs="宋体"/>
          <w:b/>
          <w:bCs/>
          <w:color w:val="auto"/>
          <w:sz w:val="24"/>
          <w:highlight w:val="none"/>
        </w:rPr>
      </w:pPr>
      <w:bookmarkStart w:id="346" w:name="_Toc24563"/>
      <w:bookmarkStart w:id="347" w:name="_Toc17280"/>
      <w:r>
        <w:rPr>
          <w:rFonts w:hint="eastAsia" w:ascii="宋体" w:hAnsi="宋体" w:eastAsia="宋体" w:cs="宋体"/>
          <w:b/>
          <w:bCs/>
          <w:color w:val="auto"/>
          <w:sz w:val="24"/>
          <w:highlight w:val="none"/>
        </w:rPr>
        <w:t>2、发包人的义务</w:t>
      </w:r>
      <w:bookmarkEnd w:id="346"/>
      <w:bookmarkEnd w:id="347"/>
    </w:p>
    <w:p w14:paraId="52B63304">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（1）发包人及其工作人员不得索要或接受承包人的礼金、有价证券和贵重物品，不得让承包人报销任何应由发包人或发包人工作人员个人支付的费用等。</w:t>
      </w:r>
    </w:p>
    <w:p w14:paraId="7A17282D">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（2）发包人及</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工作人员不得参加承包人安排的超标准宴请和娱乐活动；不得接受承包人提供的通讯工具、交通工具和高档办公用品等。</w:t>
      </w:r>
    </w:p>
    <w:p w14:paraId="43D9318A">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（3）发包人及其工作人员不</w:t>
      </w:r>
      <w:r>
        <w:rPr>
          <w:rFonts w:hint="eastAsia" w:ascii="宋体" w:hAnsi="宋体" w:eastAsia="宋体" w:cs="宋体"/>
          <w:color w:val="auto"/>
          <w:sz w:val="24"/>
          <w:highlight w:val="none"/>
          <w:lang w:eastAsia="zh-CN"/>
        </w:rPr>
        <w:t>得</w:t>
      </w:r>
      <w:r>
        <w:rPr>
          <w:rFonts w:hint="eastAsia" w:ascii="宋体" w:hAnsi="宋体" w:eastAsia="宋体" w:cs="宋体"/>
          <w:color w:val="auto"/>
          <w:sz w:val="24"/>
          <w:highlight w:val="none"/>
        </w:rPr>
        <w:t>要求或者接受承包人为其住房装修、婚丧嫁娶活动、配偶子女的工作安排以及出国出境、旅游等提供方便等。</w:t>
      </w:r>
    </w:p>
    <w:p w14:paraId="0D65B67E">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工作人员及其配偶、子女不得从事与发包人工作有关的材料设备供应、工程分包、劳务等经济活动等。</w:t>
      </w:r>
    </w:p>
    <w:p w14:paraId="35EDC7AA">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（5）发包人及</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工作人员不得以任何理由向承包人推荐分包单位或推销材料，不得要求承包人购买合同规定外的材料和设备。</w:t>
      </w:r>
    </w:p>
    <w:p w14:paraId="017AC669">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（6）发包人工作人员要秉公办事，不准营私舞弊，不准利用职权从事各种个人有偿中介活动和安排个人施工队伍。</w:t>
      </w:r>
    </w:p>
    <w:p w14:paraId="0A7D61C2">
      <w:pPr>
        <w:spacing w:line="336" w:lineRule="auto"/>
        <w:ind w:firstLine="482" w:firstLineChars="200"/>
        <w:outlineLvl w:val="9"/>
        <w:rPr>
          <w:rFonts w:hint="eastAsia" w:ascii="宋体" w:hAnsi="宋体" w:eastAsia="宋体" w:cs="宋体"/>
          <w:b/>
          <w:bCs/>
          <w:color w:val="auto"/>
          <w:sz w:val="24"/>
          <w:highlight w:val="none"/>
        </w:rPr>
      </w:pPr>
      <w:bookmarkStart w:id="348" w:name="_Toc10576"/>
      <w:bookmarkStart w:id="349" w:name="_Toc30422"/>
      <w:r>
        <w:rPr>
          <w:rFonts w:hint="eastAsia" w:ascii="宋体" w:hAnsi="宋体" w:eastAsia="宋体" w:cs="宋体"/>
          <w:b/>
          <w:bCs/>
          <w:color w:val="auto"/>
          <w:sz w:val="24"/>
          <w:highlight w:val="none"/>
        </w:rPr>
        <w:t>3、承包人的义务</w:t>
      </w:r>
      <w:bookmarkEnd w:id="348"/>
      <w:bookmarkEnd w:id="349"/>
    </w:p>
    <w:p w14:paraId="30E50626">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（1）承包人不得以任何理由向发包人及其工作人员行贿或馈赠礼金、有价证券、贵重礼品。</w:t>
      </w:r>
    </w:p>
    <w:p w14:paraId="59DE03B2">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（2）承包人不得以任何名义为发包人及其工作人员报销应由发包人单位或个人支付的任何费用。</w:t>
      </w:r>
    </w:p>
    <w:p w14:paraId="1DF4ACB8">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（3）承包人不得以任何理由安排发包人及</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工作人员参加超标准宴请及娱乐活动。</w:t>
      </w:r>
    </w:p>
    <w:p w14:paraId="0D13A097">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（4）承包人不得为发包人单位和个人购置或提供通讯工具、交通工具和高档办公用品等。</w:t>
      </w:r>
    </w:p>
    <w:p w14:paraId="4DA5783F">
      <w:pPr>
        <w:spacing w:line="336" w:lineRule="auto"/>
        <w:ind w:firstLine="482" w:firstLineChars="200"/>
        <w:outlineLvl w:val="9"/>
        <w:rPr>
          <w:rFonts w:hint="eastAsia" w:ascii="宋体" w:hAnsi="宋体" w:eastAsia="宋体" w:cs="宋体"/>
          <w:b/>
          <w:bCs/>
          <w:color w:val="auto"/>
          <w:sz w:val="24"/>
          <w:highlight w:val="none"/>
        </w:rPr>
      </w:pPr>
      <w:bookmarkStart w:id="350" w:name="_Toc9237"/>
      <w:bookmarkStart w:id="351" w:name="_Toc27893"/>
      <w:r>
        <w:rPr>
          <w:rFonts w:hint="eastAsia" w:ascii="宋体" w:hAnsi="宋体" w:eastAsia="宋体" w:cs="宋体"/>
          <w:b/>
          <w:bCs/>
          <w:color w:val="auto"/>
          <w:sz w:val="24"/>
          <w:highlight w:val="none"/>
        </w:rPr>
        <w:t>4、违约责任</w:t>
      </w:r>
      <w:bookmarkEnd w:id="350"/>
      <w:bookmarkEnd w:id="351"/>
    </w:p>
    <w:p w14:paraId="0BEDC87E">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3A96EB93">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6A2BF7FA">
      <w:pPr>
        <w:spacing w:line="336" w:lineRule="auto"/>
        <w:ind w:firstLine="482" w:firstLineChars="200"/>
        <w:outlineLvl w:val="9"/>
        <w:rPr>
          <w:rFonts w:hint="eastAsia" w:ascii="宋体" w:hAnsi="宋体" w:eastAsia="宋体" w:cs="宋体"/>
          <w:color w:val="auto"/>
          <w:sz w:val="24"/>
          <w:highlight w:val="none"/>
        </w:rPr>
      </w:pPr>
      <w:bookmarkStart w:id="352" w:name="_Toc26523"/>
      <w:bookmarkStart w:id="353" w:name="_Toc27254"/>
      <w:r>
        <w:rPr>
          <w:rFonts w:hint="eastAsia" w:ascii="宋体" w:hAnsi="宋体" w:eastAsia="宋体" w:cs="宋体"/>
          <w:b/>
          <w:bCs/>
          <w:color w:val="auto"/>
          <w:sz w:val="24"/>
          <w:highlight w:val="none"/>
        </w:rPr>
        <w:t>5、双方约定</w:t>
      </w:r>
      <w:bookmarkEnd w:id="352"/>
      <w:bookmarkEnd w:id="353"/>
    </w:p>
    <w:p w14:paraId="05F48868">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8F67D49">
      <w:pPr>
        <w:spacing w:line="336"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color w:val="auto"/>
          <w:sz w:val="24"/>
          <w:highlight w:val="none"/>
        </w:rPr>
        <w:t>本合同有效期为发包人和承包人签署之日起至该工程项目竣工验收后止。</w:t>
      </w:r>
    </w:p>
    <w:p w14:paraId="3551701E">
      <w:pPr>
        <w:widowControl/>
        <w:spacing w:line="336"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7、</w:t>
      </w:r>
      <w:r>
        <w:rPr>
          <w:rFonts w:hint="eastAsia" w:ascii="宋体" w:hAnsi="宋体" w:eastAsia="宋体" w:cs="宋体"/>
          <w:color w:val="auto"/>
          <w:sz w:val="24"/>
          <w:highlight w:val="none"/>
        </w:rPr>
        <w:t>本合同作为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sz w:val="24"/>
          <w:highlight w:val="none"/>
        </w:rPr>
        <w:t>施工合同的附件，与工程施工合同具有同等的法律效力，经合同双方签署后立即生效。</w:t>
      </w:r>
    </w:p>
    <w:p w14:paraId="49D0599C">
      <w:pP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8．本合同书正本二份、副本四份，当正本与副本的内容不一致时，以正本为准。</w:t>
      </w:r>
    </w:p>
    <w:p w14:paraId="553556F3">
      <w:pPr>
        <w:spacing w:line="336" w:lineRule="auto"/>
        <w:rPr>
          <w:rFonts w:hint="eastAsia" w:ascii="宋体" w:hAnsi="宋体" w:eastAsia="宋体" w:cs="宋体"/>
          <w:color w:val="auto"/>
          <w:sz w:val="24"/>
          <w:highlight w:val="none"/>
        </w:rPr>
      </w:pPr>
    </w:p>
    <w:p w14:paraId="4642FA1E">
      <w:pPr>
        <w:spacing w:line="336" w:lineRule="auto"/>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发包人：</w:t>
      </w:r>
      <w:r>
        <w:rPr>
          <w:rFonts w:hint="eastAsia" w:ascii="宋体" w:hAnsi="宋体" w:eastAsia="宋体" w:cs="宋体"/>
          <w:b/>
          <w:color w:val="auto"/>
          <w:sz w:val="24"/>
          <w:highlight w:val="none"/>
          <w:u w:val="single"/>
          <w:shd w:val="clear" w:color="auto" w:fill="FFFFFF"/>
        </w:rPr>
        <w:t xml:space="preserve"> </w:t>
      </w:r>
      <w:r>
        <w:rPr>
          <w:rFonts w:hint="eastAsia" w:ascii="宋体" w:hAnsi="宋体" w:eastAsia="宋体" w:cs="宋体"/>
          <w:b/>
          <w:color w:val="auto"/>
          <w:sz w:val="24"/>
          <w:highlight w:val="none"/>
          <w:u w:val="single"/>
          <w:shd w:val="clear" w:color="auto" w:fill="FFFFFF"/>
          <w:lang w:eastAsia="zh-CN"/>
        </w:rPr>
        <w:t>横州市乡村振兴局</w:t>
      </w:r>
      <w:r>
        <w:rPr>
          <w:rFonts w:hint="eastAsia" w:ascii="宋体" w:hAnsi="宋体" w:eastAsia="宋体" w:cs="宋体"/>
          <w:b/>
          <w:color w:val="auto"/>
          <w:sz w:val="24"/>
          <w:highlight w:val="none"/>
          <w:u w:val="single"/>
          <w:shd w:val="clear" w:color="auto" w:fill="FFFFFF"/>
        </w:rPr>
        <w:t xml:space="preserve"> </w:t>
      </w:r>
      <w:r>
        <w:rPr>
          <w:rFonts w:hint="eastAsia" w:ascii="宋体" w:hAnsi="宋体" w:eastAsia="宋体" w:cs="宋体"/>
          <w:b/>
          <w:color w:val="auto"/>
          <w:sz w:val="24"/>
          <w:highlight w:val="none"/>
          <w:shd w:val="clear" w:color="auto" w:fill="FFFFFF"/>
        </w:rPr>
        <w:t xml:space="preserve">         </w:t>
      </w:r>
      <w:r>
        <w:rPr>
          <w:rFonts w:hint="eastAsia" w:ascii="宋体" w:hAnsi="宋体" w:eastAsia="宋体" w:cs="宋体"/>
          <w:color w:val="auto"/>
          <w:sz w:val="24"/>
          <w:highlight w:val="none"/>
        </w:rPr>
        <w:t>承包人：</w:t>
      </w:r>
      <w:r>
        <w:rPr>
          <w:rFonts w:hint="eastAsia" w:ascii="宋体" w:hAnsi="宋体" w:eastAsia="宋体" w:cs="宋体"/>
          <w:b/>
          <w:bCs/>
          <w:color w:val="auto"/>
          <w:sz w:val="24"/>
          <w:highlight w:val="none"/>
          <w:u w:val="single"/>
          <w:lang w:val="en-US" w:eastAsia="zh-CN"/>
        </w:rPr>
        <w:t>XXXXXXXX</w:t>
      </w:r>
      <w:r>
        <w:rPr>
          <w:rFonts w:hint="eastAsia" w:ascii="宋体" w:hAnsi="宋体" w:eastAsia="宋体" w:cs="宋体"/>
          <w:b/>
          <w:bCs/>
          <w:color w:val="auto"/>
          <w:sz w:val="24"/>
          <w:highlight w:val="none"/>
          <w:u w:val="single"/>
        </w:rPr>
        <w:t>有限公司</w:t>
      </w:r>
    </w:p>
    <w:p w14:paraId="23A5B3BE">
      <w:pPr>
        <w:spacing w:line="336"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（盖单位章）                    （盖单位章）                    </w:t>
      </w:r>
    </w:p>
    <w:p w14:paraId="5D2BB830">
      <w:pPr>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3FC35122">
      <w:pPr>
        <w:spacing w:line="336"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bookmarkStart w:id="354" w:name="_Toc12867"/>
      <w:bookmarkStart w:id="355" w:name="_Toc4157"/>
      <w:bookmarkStart w:id="356" w:name="_Toc4777"/>
      <w:bookmarkStart w:id="357" w:name="_Toc7748"/>
      <w:bookmarkStart w:id="358" w:name="_Toc18073"/>
      <w:bookmarkStart w:id="359" w:name="_Toc31607"/>
      <w:bookmarkStart w:id="360" w:name="_Toc10485"/>
    </w:p>
    <w:p w14:paraId="7FBEC284">
      <w:pPr>
        <w:spacing w:line="336" w:lineRule="auto"/>
        <w:ind w:right="420"/>
        <w:rPr>
          <w:rFonts w:hint="eastAsia" w:ascii="宋体" w:hAnsi="宋体" w:eastAsia="宋体" w:cs="宋体"/>
          <w:color w:val="auto"/>
          <w:sz w:val="24"/>
          <w:highlight w:val="none"/>
          <w:lang w:eastAsia="zh-CN"/>
        </w:rPr>
      </w:pPr>
    </w:p>
    <w:p w14:paraId="762B3811">
      <w:pPr>
        <w:rPr>
          <w:rFonts w:hint="eastAsia" w:ascii="宋体" w:hAnsi="宋体" w:eastAsia="宋体" w:cs="宋体"/>
          <w:b/>
          <w:bCs w:val="0"/>
          <w:color w:val="auto"/>
          <w:highlight w:val="none"/>
          <w:lang w:eastAsia="zh-CN"/>
        </w:rPr>
      </w:pPr>
      <w:bookmarkStart w:id="361" w:name="_Toc12629"/>
      <w:bookmarkStart w:id="362" w:name="_Toc320"/>
      <w:bookmarkStart w:id="363" w:name="_Toc12884"/>
      <w:bookmarkStart w:id="364" w:name="_Toc2764"/>
      <w:bookmarkStart w:id="365" w:name="_Toc6199"/>
      <w:r>
        <w:rPr>
          <w:rFonts w:hint="eastAsia" w:ascii="宋体" w:hAnsi="宋体" w:eastAsia="宋体" w:cs="宋体"/>
          <w:b/>
          <w:bCs w:val="0"/>
          <w:color w:val="auto"/>
          <w:highlight w:val="none"/>
          <w:lang w:eastAsia="zh-CN"/>
        </w:rPr>
        <w:br w:type="page"/>
      </w:r>
    </w:p>
    <w:p w14:paraId="35105CF6">
      <w:pPr>
        <w:pStyle w:val="233"/>
        <w:bidi w:val="0"/>
        <w:outlineLvl w:val="1"/>
        <w:rPr>
          <w:rFonts w:hint="eastAsia" w:ascii="宋体" w:hAnsi="宋体" w:eastAsia="宋体" w:cs="宋体"/>
          <w:b/>
          <w:bCs w:val="0"/>
          <w:color w:val="auto"/>
          <w:highlight w:val="none"/>
        </w:rPr>
      </w:pPr>
      <w:bookmarkStart w:id="366" w:name="_Toc25036"/>
      <w:r>
        <w:rPr>
          <w:rFonts w:hint="eastAsia" w:ascii="宋体" w:hAnsi="宋体" w:eastAsia="宋体" w:cs="宋体"/>
          <w:b/>
          <w:bCs w:val="0"/>
          <w:color w:val="auto"/>
          <w:highlight w:val="none"/>
          <w:lang w:eastAsia="zh-CN"/>
        </w:rPr>
        <w:t>五、</w:t>
      </w:r>
      <w:r>
        <w:rPr>
          <w:rFonts w:hint="eastAsia" w:ascii="宋体" w:hAnsi="宋体" w:eastAsia="宋体" w:cs="宋体"/>
          <w:b/>
          <w:bCs w:val="0"/>
          <w:color w:val="auto"/>
          <w:highlight w:val="none"/>
        </w:rPr>
        <w:t>安全生产合同</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2986404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w:t>
      </w:r>
      <w:r>
        <w:rPr>
          <w:rFonts w:hint="eastAsia" w:ascii="宋体" w:hAnsi="宋体" w:eastAsia="宋体" w:cs="宋体"/>
          <w:color w:val="auto"/>
          <w:highlight w:val="none"/>
          <w:u w:val="single"/>
          <w:lang w:eastAsia="zh-CN"/>
        </w:rPr>
        <w:t>横州市2025年公益性资产管护（修缮）项目</w:t>
      </w:r>
      <w:r>
        <w:rPr>
          <w:rFonts w:hint="eastAsia" w:ascii="宋体" w:hAnsi="宋体" w:eastAsia="宋体" w:cs="宋体"/>
          <w:color w:val="auto"/>
          <w:sz w:val="24"/>
          <w:highlight w:val="none"/>
        </w:rPr>
        <w:t>在施工合同的实施过程中创造安全、高效的施工环境，切实搞好本项目的安全管理工作，本项目发包人</w:t>
      </w:r>
      <w:r>
        <w:rPr>
          <w:rFonts w:hint="eastAsia" w:ascii="宋体" w:hAnsi="宋体" w:eastAsia="宋体" w:cs="宋体"/>
          <w:bCs/>
          <w:color w:val="auto"/>
          <w:sz w:val="24"/>
          <w:highlight w:val="none"/>
          <w:shd w:val="clear" w:color="auto" w:fill="FFFFFF"/>
        </w:rPr>
        <w:t>横州市乡村振兴局</w:t>
      </w:r>
      <w:r>
        <w:rPr>
          <w:rFonts w:hint="eastAsia" w:ascii="宋体" w:hAnsi="宋体" w:eastAsia="宋体" w:cs="宋体"/>
          <w:bCs/>
          <w:color w:val="auto"/>
          <w:sz w:val="24"/>
          <w:highlight w:val="none"/>
        </w:rPr>
        <w:t>（以下简称“发包人”）与承包人</w:t>
      </w:r>
      <w:r>
        <w:rPr>
          <w:rFonts w:hint="eastAsia" w:ascii="宋体" w:hAnsi="宋体" w:eastAsia="宋体" w:cs="宋体"/>
          <w:bCs/>
          <w:color w:val="auto"/>
          <w:sz w:val="24"/>
          <w:highlight w:val="none"/>
          <w:lang w:val="en-US" w:eastAsia="zh-CN"/>
        </w:rPr>
        <w:t>XXXXXXX</w:t>
      </w:r>
      <w:r>
        <w:rPr>
          <w:rFonts w:hint="eastAsia" w:ascii="宋体" w:hAnsi="宋体" w:eastAsia="宋体" w:cs="宋体"/>
          <w:bCs/>
          <w:color w:val="auto"/>
          <w:sz w:val="24"/>
          <w:highlight w:val="none"/>
        </w:rPr>
        <w:t>有限公司（以下简称“承包人”）特此签订安全生产合同：</w:t>
      </w:r>
    </w:p>
    <w:p w14:paraId="16F69CE3">
      <w:pPr>
        <w:spacing w:line="360" w:lineRule="auto"/>
        <w:ind w:firstLine="482" w:firstLineChars="200"/>
        <w:outlineLvl w:val="9"/>
        <w:rPr>
          <w:rFonts w:hint="eastAsia" w:ascii="宋体" w:hAnsi="宋体" w:eastAsia="宋体" w:cs="宋体"/>
          <w:b/>
          <w:bCs/>
          <w:color w:val="auto"/>
          <w:sz w:val="24"/>
          <w:highlight w:val="none"/>
        </w:rPr>
      </w:pPr>
      <w:bookmarkStart w:id="367" w:name="_Toc15856"/>
      <w:bookmarkStart w:id="368" w:name="_Toc4297"/>
      <w:r>
        <w:rPr>
          <w:rFonts w:hint="eastAsia" w:ascii="宋体" w:hAnsi="宋体" w:eastAsia="宋体" w:cs="宋体"/>
          <w:b/>
          <w:bCs/>
          <w:color w:val="auto"/>
          <w:sz w:val="24"/>
          <w:highlight w:val="none"/>
        </w:rPr>
        <w:t>1、发包人职责</w:t>
      </w:r>
      <w:bookmarkEnd w:id="367"/>
      <w:bookmarkEnd w:id="368"/>
    </w:p>
    <w:p w14:paraId="0855E9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（1）严格遵守国家有关安全生产的法律法规，认真执行工程承包合同中的有关安全要求。</w:t>
      </w:r>
    </w:p>
    <w:p w14:paraId="00A4D4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（2）按照“安全第一、预防为主”和坚持“管生产必须管安全”的原则进行安全生产管理，做到生产与安全工作同时计划、布置、检查、总结和评比。</w:t>
      </w:r>
    </w:p>
    <w:p w14:paraId="08A06A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（3）重要的安全设施必须坚持与主体工程“三同时”的原则，即：同时设计、审批，同时施工，同时验收，投入使用。</w:t>
      </w:r>
    </w:p>
    <w:p w14:paraId="4D8144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（4）定期召开安全生产调度会，及时传达中央及地方有关安全生产的精神。</w:t>
      </w:r>
    </w:p>
    <w:p w14:paraId="662B65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（5）组织对承包人施工现场安全生产检查，监督承包人及时处理发现的各种安全隐患。</w:t>
      </w:r>
    </w:p>
    <w:p w14:paraId="7024BAD9">
      <w:pPr>
        <w:spacing w:line="360" w:lineRule="auto"/>
        <w:ind w:firstLine="482" w:firstLineChars="200"/>
        <w:outlineLvl w:val="9"/>
        <w:rPr>
          <w:rFonts w:hint="eastAsia" w:ascii="宋体" w:hAnsi="宋体" w:eastAsia="宋体" w:cs="宋体"/>
          <w:b/>
          <w:bCs/>
          <w:color w:val="auto"/>
          <w:sz w:val="24"/>
          <w:highlight w:val="none"/>
        </w:rPr>
      </w:pPr>
      <w:bookmarkStart w:id="369" w:name="_Toc28161"/>
      <w:bookmarkStart w:id="370" w:name="_Toc21524"/>
      <w:r>
        <w:rPr>
          <w:rFonts w:hint="eastAsia" w:ascii="宋体" w:hAnsi="宋体" w:eastAsia="宋体" w:cs="宋体"/>
          <w:b/>
          <w:bCs/>
          <w:color w:val="auto"/>
          <w:sz w:val="24"/>
          <w:highlight w:val="none"/>
        </w:rPr>
        <w:t>2、承包人职责</w:t>
      </w:r>
      <w:bookmarkEnd w:id="369"/>
      <w:bookmarkEnd w:id="370"/>
    </w:p>
    <w:p w14:paraId="020651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3F8193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17A48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372E5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（4）承包人在任何时候都应采取各种合理的预防措施，防止其员工发生任何违法、违禁、暴力或妨碍治安的行为。</w:t>
      </w:r>
    </w:p>
    <w:p w14:paraId="30E48C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承包人必须具有劳动安全管理部门颁发的安全生产考核合格证书及年度安全培训教育记录，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52F6A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CE230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（7）操作人员上岗，必须按规定穿戴防护用品。施工负责人和安全检查员应随时检查劳动防护用品的穿戴情况，不按规定穿戴防护用品的人员不得上岗。</w:t>
      </w:r>
    </w:p>
    <w:p w14:paraId="6A9AD5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（8）所有施工机具设备和高空作业的设备均应定期检查，并有安全员的签字记录，保证其经常处于完好状态；不合格的机具、设备和劳动保护用品严禁使用：</w:t>
      </w:r>
    </w:p>
    <w:p w14:paraId="792E4A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（9）施工中采用新技术、新工艺、新设备、新材料时，必须制定相应的安全技术措施，施工现场必须具有相关的安全标志牌。</w:t>
      </w:r>
    </w:p>
    <w:p w14:paraId="6957A0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7AC61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（11）安全生产费用按照《公路水运工程安全生产监督管理办法》的相关规定使用和管理。</w:t>
      </w:r>
    </w:p>
    <w:p w14:paraId="525929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（12）严格按照中央、自治区、市、县安排部署，全面做好疫情防控各项工作，做好口罩、消毒液等防控用品的配备工作，每天对施工人员进行体温监测，加强管理，确保疫情防控工作全覆盖无盲区和不出问题。</w:t>
      </w:r>
    </w:p>
    <w:p w14:paraId="62314FAA">
      <w:pPr>
        <w:spacing w:line="360" w:lineRule="auto"/>
        <w:ind w:firstLine="482" w:firstLineChars="200"/>
        <w:outlineLvl w:val="9"/>
        <w:rPr>
          <w:rFonts w:hint="eastAsia" w:ascii="宋体" w:hAnsi="宋体" w:eastAsia="宋体" w:cs="宋体"/>
          <w:b/>
          <w:bCs/>
          <w:color w:val="auto"/>
          <w:sz w:val="24"/>
          <w:highlight w:val="none"/>
        </w:rPr>
      </w:pPr>
      <w:bookmarkStart w:id="371" w:name="_Toc24226"/>
      <w:bookmarkStart w:id="372" w:name="_Toc12162"/>
      <w:r>
        <w:rPr>
          <w:rFonts w:hint="eastAsia" w:ascii="宋体" w:hAnsi="宋体" w:eastAsia="宋体" w:cs="宋体"/>
          <w:b/>
          <w:bCs/>
          <w:color w:val="auto"/>
          <w:sz w:val="24"/>
          <w:highlight w:val="none"/>
        </w:rPr>
        <w:t>3、违约责任</w:t>
      </w:r>
      <w:bookmarkEnd w:id="371"/>
      <w:bookmarkEnd w:id="372"/>
    </w:p>
    <w:p w14:paraId="6B880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如因发包人或承包人违约造成安全事故，将依法追究责任。</w:t>
      </w:r>
    </w:p>
    <w:p w14:paraId="347DE26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color w:val="auto"/>
          <w:sz w:val="24"/>
          <w:highlight w:val="none"/>
        </w:rPr>
        <w:t>本合同由双方法定代表人或其授权的代理人签署并加盖单位章后生效，全部工程竣工验收后失效。</w:t>
      </w:r>
    </w:p>
    <w:p w14:paraId="34986A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本合同书正本二份、副本四份，当正本与副本的内容不一致时，以正本为准。</w:t>
      </w:r>
    </w:p>
    <w:p w14:paraId="182ADF1B">
      <w:pPr>
        <w:spacing w:line="360" w:lineRule="auto"/>
        <w:rPr>
          <w:rFonts w:hint="eastAsia" w:ascii="宋体" w:hAnsi="宋体" w:eastAsia="宋体" w:cs="宋体"/>
          <w:color w:val="auto"/>
          <w:sz w:val="24"/>
          <w:highlight w:val="none"/>
        </w:rPr>
      </w:pPr>
    </w:p>
    <w:p w14:paraId="43E109C2">
      <w:pPr>
        <w:spacing w:line="360" w:lineRule="auto"/>
        <w:ind w:left="5400" w:hanging="5400" w:hangingChars="2250"/>
        <w:rPr>
          <w:rFonts w:hint="eastAsia" w:ascii="宋体" w:hAnsi="宋体" w:eastAsia="宋体" w:cs="宋体"/>
          <w:bCs/>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bCs/>
          <w:color w:val="auto"/>
          <w:sz w:val="24"/>
          <w:highlight w:val="none"/>
          <w:shd w:val="clear" w:color="auto" w:fill="FFFFFF"/>
          <w:lang w:eastAsia="zh-CN"/>
        </w:rPr>
        <w:t>横州</w:t>
      </w:r>
      <w:r>
        <w:rPr>
          <w:rFonts w:hint="eastAsia" w:ascii="宋体" w:hAnsi="宋体" w:eastAsia="宋体" w:cs="宋体"/>
          <w:bCs/>
          <w:color w:val="auto"/>
          <w:sz w:val="24"/>
          <w:highlight w:val="none"/>
          <w:shd w:val="clear" w:color="auto" w:fill="FFFFFF"/>
          <w:lang w:val="en-US" w:eastAsia="zh-CN"/>
        </w:rPr>
        <w:t>市</w:t>
      </w:r>
      <w:r>
        <w:rPr>
          <w:rFonts w:hint="eastAsia" w:ascii="宋体" w:hAnsi="宋体" w:eastAsia="宋体" w:cs="宋体"/>
          <w:bCs/>
          <w:color w:val="auto"/>
          <w:sz w:val="24"/>
          <w:highlight w:val="none"/>
          <w:shd w:val="clear" w:color="auto" w:fill="FFFFFF"/>
          <w:lang w:eastAsia="zh-CN"/>
        </w:rPr>
        <w:t>乡村振兴局</w:t>
      </w:r>
      <w:r>
        <w:rPr>
          <w:rFonts w:hint="eastAsia" w:ascii="宋体" w:hAnsi="宋体" w:eastAsia="宋体" w:cs="宋体"/>
          <w:bCs/>
          <w:color w:val="auto"/>
          <w:sz w:val="24"/>
          <w:highlight w:val="none"/>
          <w:shd w:val="clear" w:color="auto" w:fill="FFFFFF"/>
        </w:rPr>
        <w:t xml:space="preserve"> </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承包人：</w:t>
      </w:r>
      <w:r>
        <w:rPr>
          <w:rFonts w:hint="eastAsia" w:ascii="宋体" w:hAnsi="宋体" w:eastAsia="宋体" w:cs="宋体"/>
          <w:bCs/>
          <w:color w:val="auto"/>
          <w:sz w:val="24"/>
          <w:highlight w:val="none"/>
          <w:lang w:val="en-US" w:eastAsia="zh-CN"/>
        </w:rPr>
        <w:t>XXXXXXXXX</w:t>
      </w:r>
      <w:r>
        <w:rPr>
          <w:rFonts w:hint="eastAsia" w:ascii="宋体" w:hAnsi="宋体" w:eastAsia="宋体" w:cs="宋体"/>
          <w:bCs/>
          <w:color w:val="auto"/>
          <w:sz w:val="24"/>
          <w:highlight w:val="none"/>
        </w:rPr>
        <w:t>有限公司</w:t>
      </w:r>
    </w:p>
    <w:p w14:paraId="28B3B411">
      <w:pPr>
        <w:spacing w:line="360" w:lineRule="auto"/>
        <w:rPr>
          <w:rFonts w:hint="eastAsia" w:ascii="宋体" w:hAnsi="宋体" w:eastAsia="宋体" w:cs="宋体"/>
          <w:bCs/>
          <w:color w:val="auto"/>
          <w:sz w:val="24"/>
          <w:highlight w:val="none"/>
        </w:rPr>
      </w:pPr>
    </w:p>
    <w:p w14:paraId="037A310B">
      <w:pPr>
        <w:spacing w:line="360" w:lineRule="auto"/>
        <w:ind w:firstLine="960" w:firstLineChars="4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（盖单位章）　　　　　　　　　　　　　（盖单位章）</w:t>
      </w:r>
    </w:p>
    <w:p w14:paraId="0223EFD4">
      <w:pPr>
        <w:spacing w:line="360" w:lineRule="auto"/>
        <w:rPr>
          <w:rFonts w:hint="eastAsia" w:ascii="宋体" w:hAnsi="宋体" w:eastAsia="宋体" w:cs="宋体"/>
          <w:color w:val="auto"/>
          <w:sz w:val="24"/>
          <w:highlight w:val="none"/>
        </w:rPr>
      </w:pPr>
    </w:p>
    <w:p w14:paraId="7AE0877F">
      <w:pPr>
        <w:spacing w:line="360" w:lineRule="auto"/>
        <w:ind w:left="5400" w:hanging="5400" w:hanging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38223909">
      <w:pPr>
        <w:spacing w:line="360" w:lineRule="auto"/>
        <w:ind w:firstLine="120" w:firstLineChars="50"/>
        <w:rPr>
          <w:rFonts w:hint="eastAsia" w:ascii="宋体" w:hAnsi="宋体" w:eastAsia="宋体" w:cs="宋体"/>
          <w:color w:val="auto"/>
          <w:sz w:val="24"/>
          <w:highlight w:val="none"/>
        </w:rPr>
      </w:pPr>
    </w:p>
    <w:p w14:paraId="7AAC0B80">
      <w:pPr>
        <w:spacing w:line="360" w:lineRule="auto"/>
        <w:ind w:firstLine="120" w:firstLineChars="50"/>
        <w:rPr>
          <w:rFonts w:hint="eastAsia" w:ascii="宋体" w:hAnsi="宋体" w:eastAsia="宋体" w:cs="宋体"/>
          <w:color w:val="auto"/>
          <w:sz w:val="24"/>
          <w:highlight w:val="none"/>
        </w:rPr>
      </w:pPr>
    </w:p>
    <w:p w14:paraId="534E4B92">
      <w:pPr>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XXX</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XX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XX</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XXX</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XX</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XX</w:t>
      </w:r>
      <w:r>
        <w:rPr>
          <w:rFonts w:hint="eastAsia" w:ascii="宋体" w:hAnsi="宋体" w:eastAsia="宋体" w:cs="宋体"/>
          <w:color w:val="auto"/>
          <w:sz w:val="24"/>
          <w:highlight w:val="none"/>
        </w:rPr>
        <w:t>日</w:t>
      </w:r>
    </w:p>
    <w:p w14:paraId="4DD72F63">
      <w:pPr>
        <w:spacing w:line="360" w:lineRule="auto"/>
        <w:ind w:firstLine="120" w:firstLineChars="50"/>
        <w:rPr>
          <w:rFonts w:hint="eastAsia" w:ascii="宋体" w:hAnsi="宋体" w:eastAsia="宋体" w:cs="宋体"/>
          <w:color w:val="auto"/>
          <w:sz w:val="24"/>
          <w:highlight w:val="none"/>
        </w:rPr>
      </w:pPr>
    </w:p>
    <w:p w14:paraId="6C153D30">
      <w:pPr>
        <w:spacing w:line="360" w:lineRule="auto"/>
        <w:ind w:firstLine="120" w:firstLineChars="50"/>
        <w:rPr>
          <w:rFonts w:hint="eastAsia" w:ascii="宋体" w:hAnsi="宋体" w:eastAsia="宋体" w:cs="宋体"/>
          <w:color w:val="auto"/>
          <w:sz w:val="24"/>
          <w:highlight w:val="none"/>
        </w:rPr>
      </w:pPr>
    </w:p>
    <w:p w14:paraId="5588F401">
      <w:pPr>
        <w:spacing w:line="360" w:lineRule="auto"/>
        <w:ind w:firstLine="120" w:firstLineChars="50"/>
        <w:rPr>
          <w:rFonts w:hint="eastAsia" w:ascii="宋体" w:hAnsi="宋体" w:eastAsia="宋体" w:cs="宋体"/>
          <w:color w:val="auto"/>
          <w:sz w:val="24"/>
          <w:highlight w:val="none"/>
        </w:rPr>
      </w:pPr>
    </w:p>
    <w:p w14:paraId="669EF7F1">
      <w:pPr>
        <w:rPr>
          <w:rFonts w:hint="eastAsia" w:ascii="宋体" w:hAnsi="宋体" w:eastAsia="宋体" w:cs="宋体"/>
          <w:b/>
          <w:bCs/>
          <w:color w:val="auto"/>
          <w:sz w:val="32"/>
          <w:szCs w:val="32"/>
          <w:highlight w:val="none"/>
        </w:rPr>
      </w:pPr>
      <w:bookmarkStart w:id="373" w:name="_Toc16609"/>
      <w:bookmarkStart w:id="374" w:name="_Toc1053"/>
      <w:bookmarkStart w:id="375" w:name="_Toc29795"/>
      <w:bookmarkStart w:id="376" w:name="_Toc14163"/>
      <w:bookmarkStart w:id="377" w:name="_Toc25347"/>
      <w:bookmarkStart w:id="378" w:name="_Toc18439"/>
      <w:r>
        <w:rPr>
          <w:rFonts w:hint="eastAsia" w:ascii="宋体" w:hAnsi="宋体" w:eastAsia="宋体" w:cs="宋体"/>
          <w:b/>
          <w:bCs/>
          <w:color w:val="auto"/>
          <w:sz w:val="32"/>
          <w:szCs w:val="32"/>
          <w:highlight w:val="none"/>
          <w:lang w:eastAsia="zh-CN"/>
        </w:rPr>
        <w:br w:type="page"/>
      </w:r>
    </w:p>
    <w:p w14:paraId="746470F2">
      <w:pPr>
        <w:numPr>
          <w:ilvl w:val="0"/>
          <w:numId w:val="8"/>
        </w:numPr>
        <w:spacing w:line="360" w:lineRule="auto"/>
        <w:jc w:val="center"/>
        <w:outlineLvl w:val="1"/>
        <w:rPr>
          <w:rFonts w:hint="eastAsia" w:ascii="宋体" w:hAnsi="宋体" w:eastAsia="宋体" w:cs="宋体"/>
          <w:b/>
          <w:bCs/>
          <w:color w:val="auto"/>
          <w:sz w:val="32"/>
          <w:szCs w:val="32"/>
          <w:highlight w:val="none"/>
        </w:rPr>
      </w:pPr>
      <w:bookmarkStart w:id="379" w:name="_Toc22607"/>
      <w:r>
        <w:rPr>
          <w:rFonts w:hint="eastAsia" w:ascii="宋体" w:hAnsi="宋体" w:eastAsia="宋体" w:cs="宋体"/>
          <w:b/>
          <w:bCs/>
          <w:color w:val="auto"/>
          <w:sz w:val="32"/>
          <w:szCs w:val="32"/>
          <w:highlight w:val="none"/>
          <w:lang w:eastAsia="zh-CN"/>
        </w:rPr>
        <w:t>横州市2025年公益性资产管护（修缮）项目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工程项目经理、项目工地代表委任书</w:t>
      </w:r>
      <w:bookmarkEnd w:id="373"/>
      <w:bookmarkEnd w:id="374"/>
      <w:bookmarkEnd w:id="375"/>
      <w:bookmarkEnd w:id="376"/>
      <w:bookmarkEnd w:id="377"/>
      <w:bookmarkEnd w:id="378"/>
      <w:bookmarkEnd w:id="379"/>
    </w:p>
    <w:p w14:paraId="65437100">
      <w:pPr>
        <w:spacing w:line="360" w:lineRule="auto"/>
        <w:jc w:val="center"/>
        <w:rPr>
          <w:rFonts w:hint="eastAsia" w:ascii="宋体" w:hAnsi="宋体" w:eastAsia="宋体" w:cs="宋体"/>
          <w:b/>
          <w:bCs/>
          <w:color w:val="auto"/>
          <w:sz w:val="24"/>
          <w:highlight w:val="none"/>
        </w:rPr>
      </w:pPr>
    </w:p>
    <w:p w14:paraId="5E3710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横州市乡村振兴局:</w:t>
      </w:r>
    </w:p>
    <w:p w14:paraId="1BACC67F">
      <w:pPr>
        <w:spacing w:line="360" w:lineRule="auto"/>
        <w:ind w:right="-168" w:rightChars="-8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lang w:val="en-US" w:eastAsia="zh-CN"/>
        </w:rPr>
        <w:t>XXXX</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u w:val="single"/>
          <w:lang w:val="en-US" w:eastAsia="zh-CN"/>
        </w:rPr>
        <w:t>XXXXXXXX</w:t>
      </w:r>
      <w:r>
        <w:rPr>
          <w:rFonts w:hint="eastAsia" w:ascii="宋体" w:hAnsi="宋体" w:eastAsia="宋体" w:cs="宋体"/>
          <w:color w:val="auto"/>
          <w:sz w:val="24"/>
          <w:highlight w:val="none"/>
          <w:u w:val="single"/>
          <w:lang w:eastAsia="zh-CN"/>
        </w:rPr>
        <w:t>有限</w:t>
      </w:r>
      <w:r>
        <w:rPr>
          <w:rFonts w:hint="eastAsia" w:ascii="宋体" w:hAnsi="宋体" w:eastAsia="宋体" w:cs="宋体"/>
          <w:color w:val="auto"/>
          <w:sz w:val="24"/>
          <w:highlight w:val="none"/>
          <w:u w:val="single"/>
        </w:rPr>
        <w:t>公司</w:t>
      </w:r>
      <w:r>
        <w:rPr>
          <w:rFonts w:hint="eastAsia" w:ascii="宋体" w:hAnsi="宋体" w:eastAsia="宋体" w:cs="宋体"/>
          <w:color w:val="auto"/>
          <w:sz w:val="24"/>
          <w:highlight w:val="none"/>
        </w:rPr>
        <w:t>的法定代表人,现代表本公司委任：1、</w:t>
      </w:r>
      <w:r>
        <w:rPr>
          <w:rFonts w:hint="eastAsia" w:ascii="宋体" w:hAnsi="宋体" w:eastAsia="宋体" w:cs="宋体"/>
          <w:color w:val="auto"/>
          <w:sz w:val="24"/>
          <w:highlight w:val="none"/>
          <w:u w:val="single"/>
          <w:lang w:val="en-US" w:eastAsia="zh-CN"/>
        </w:rPr>
        <w:t>XXXX</w:t>
      </w:r>
      <w:r>
        <w:rPr>
          <w:rFonts w:hint="eastAsia" w:ascii="宋体" w:hAnsi="宋体" w:eastAsia="宋体" w:cs="宋体"/>
          <w:color w:val="auto"/>
          <w:sz w:val="24"/>
          <w:highlight w:val="none"/>
        </w:rPr>
        <w:t>为横州市2025年公益性资产管护（修缮）项目  的项目经理，全面负责本合同执行中的有关技术、工程进度跟踪、现场管理、工程质量、结算与支付等方面工作。2、</w:t>
      </w:r>
      <w:r>
        <w:rPr>
          <w:rFonts w:hint="eastAsia" w:ascii="宋体" w:hAnsi="宋体" w:eastAsia="宋体" w:cs="宋体"/>
          <w:color w:val="auto"/>
          <w:sz w:val="24"/>
          <w:highlight w:val="none"/>
          <w:u w:val="single"/>
          <w:lang w:val="en-US" w:eastAsia="zh-CN"/>
        </w:rPr>
        <w:t>XXXX</w:t>
      </w:r>
      <w:r>
        <w:rPr>
          <w:rFonts w:hint="eastAsia" w:ascii="宋体" w:hAnsi="宋体" w:eastAsia="宋体" w:cs="宋体"/>
          <w:color w:val="auto"/>
          <w:kern w:val="0"/>
          <w:sz w:val="24"/>
          <w:highlight w:val="none"/>
        </w:rPr>
        <w:t>为项目工地代表，具体负责</w:t>
      </w:r>
      <w:r>
        <w:rPr>
          <w:rFonts w:hint="eastAsia" w:ascii="宋体" w:hAnsi="宋体" w:eastAsia="宋体" w:cs="宋体"/>
          <w:color w:val="auto"/>
          <w:sz w:val="24"/>
          <w:highlight w:val="none"/>
        </w:rPr>
        <w:t>工程进度、现场检查及监督管理、工程质量、竣工验收、资金申请、资料收集整理等工作，</w:t>
      </w: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szCs w:val="24"/>
          <w:highlight w:val="none"/>
          <w:u w:val="single"/>
          <w:lang w:val="en-US" w:eastAsia="zh-CN"/>
        </w:rPr>
        <w:t>452XXXXXXXXXXXX</w:t>
      </w: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szCs w:val="24"/>
          <w:highlight w:val="none"/>
          <w:u w:val="single"/>
          <w:lang w:val="en-US" w:eastAsia="zh-CN"/>
        </w:rPr>
        <w:t>XXXXXXXXXXX</w:t>
      </w:r>
      <w:r>
        <w:rPr>
          <w:rFonts w:hint="eastAsia" w:ascii="宋体" w:hAnsi="宋体" w:eastAsia="宋体" w:cs="宋体"/>
          <w:color w:val="auto"/>
          <w:kern w:val="0"/>
          <w:sz w:val="24"/>
          <w:highlight w:val="none"/>
        </w:rPr>
        <w:t>。</w:t>
      </w:r>
    </w:p>
    <w:p w14:paraId="0739911F">
      <w:pPr>
        <w:spacing w:line="360" w:lineRule="auto"/>
        <w:rPr>
          <w:rFonts w:hint="eastAsia" w:ascii="宋体" w:hAnsi="宋体" w:eastAsia="宋体" w:cs="宋体"/>
          <w:color w:val="auto"/>
          <w:sz w:val="24"/>
          <w:highlight w:val="none"/>
        </w:rPr>
      </w:pPr>
    </w:p>
    <w:p w14:paraId="6A1FA86B">
      <w:pPr>
        <w:spacing w:line="360" w:lineRule="auto"/>
        <w:rPr>
          <w:rFonts w:hint="eastAsia" w:ascii="宋体" w:hAnsi="宋体" w:eastAsia="宋体" w:cs="宋体"/>
          <w:color w:val="auto"/>
          <w:sz w:val="24"/>
          <w:highlight w:val="none"/>
        </w:rPr>
      </w:pPr>
    </w:p>
    <w:p w14:paraId="5FBBA3C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lang w:val="en-US" w:eastAsia="zh-CN"/>
        </w:rPr>
        <w:t>XXXXXXXXXXXX</w:t>
      </w:r>
      <w:r>
        <w:rPr>
          <w:rFonts w:hint="eastAsia" w:ascii="宋体" w:hAnsi="宋体" w:eastAsia="宋体" w:cs="宋体"/>
          <w:color w:val="auto"/>
          <w:sz w:val="24"/>
          <w:highlight w:val="none"/>
        </w:rPr>
        <w:t>有限公司（盖单位章）</w:t>
      </w:r>
    </w:p>
    <w:p w14:paraId="62EFF915">
      <w:pPr>
        <w:spacing w:line="360" w:lineRule="auto"/>
        <w:ind w:left="5280" w:hanging="5280" w:hanging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　　　　　　　　　　　　　 　　             法定代表人：</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（签字）</w:t>
      </w:r>
    </w:p>
    <w:p w14:paraId="6CC3B643">
      <w:pPr>
        <w:spacing w:line="360" w:lineRule="auto"/>
        <w:ind w:firstLine="6240" w:firstLineChars="26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XXXX</w:t>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XX</w:t>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XX</w:t>
      </w:r>
      <w:r>
        <w:rPr>
          <w:rFonts w:hint="eastAsia" w:ascii="宋体" w:hAnsi="宋体" w:eastAsia="宋体" w:cs="宋体"/>
          <w:color w:val="auto"/>
          <w:sz w:val="24"/>
          <w:highlight w:val="none"/>
        </w:rPr>
        <w:t>日</w:t>
      </w:r>
    </w:p>
    <w:p w14:paraId="4E84CD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抄送：监理单位</w:t>
      </w:r>
    </w:p>
    <w:p w14:paraId="20FE6E03">
      <w:pPr>
        <w:spacing w:line="360" w:lineRule="auto"/>
        <w:rPr>
          <w:rFonts w:hint="eastAsia" w:ascii="宋体" w:hAnsi="宋体" w:eastAsia="宋体" w:cs="宋体"/>
          <w:color w:val="auto"/>
          <w:sz w:val="24"/>
          <w:highlight w:val="none"/>
        </w:rPr>
      </w:pPr>
    </w:p>
    <w:p w14:paraId="4099DE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附工地代表身份证复印件（正反面）</w:t>
      </w:r>
    </w:p>
    <w:p w14:paraId="33631F8B">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4465306C">
      <w:pPr>
        <w:spacing w:line="360" w:lineRule="auto"/>
        <w:rPr>
          <w:rFonts w:hint="eastAsia" w:ascii="宋体" w:hAnsi="宋体" w:eastAsia="宋体" w:cs="宋体"/>
          <w:color w:val="auto"/>
          <w:highlight w:val="none"/>
          <w:lang w:val="en-US" w:eastAsia="zh-CN"/>
        </w:rPr>
      </w:pPr>
    </w:p>
    <w:p w14:paraId="5A4FD026">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p>
    <w:p w14:paraId="04DA859E">
      <w:pPr>
        <w:spacing w:line="360" w:lineRule="auto"/>
        <w:jc w:val="center"/>
        <w:rPr>
          <w:rFonts w:hint="eastAsia" w:ascii="宋体" w:hAnsi="宋体" w:eastAsia="宋体" w:cs="宋体"/>
          <w:color w:val="auto"/>
          <w:highlight w:val="none"/>
        </w:rPr>
      </w:pPr>
    </w:p>
    <w:p w14:paraId="1F89733A">
      <w:pPr>
        <w:spacing w:line="360" w:lineRule="auto"/>
        <w:jc w:val="center"/>
        <w:rPr>
          <w:rFonts w:hint="eastAsia" w:ascii="宋体" w:hAnsi="宋体" w:eastAsia="宋体" w:cs="宋体"/>
          <w:color w:val="auto"/>
          <w:sz w:val="24"/>
          <w:highlight w:val="none"/>
        </w:rPr>
        <w:sectPr>
          <w:footerReference r:id="rId14" w:type="default"/>
          <w:pgSz w:w="11906" w:h="16838"/>
          <w:pgMar w:top="1440" w:right="1418" w:bottom="1440" w:left="1418" w:header="851" w:footer="992" w:gutter="0"/>
          <w:pgNumType w:fmt="decimal"/>
          <w:cols w:space="720" w:num="1"/>
          <w:rtlGutter w:val="1"/>
          <w:docGrid w:type="lines" w:linePitch="312" w:charSpace="0"/>
        </w:sectPr>
      </w:pPr>
    </w:p>
    <w:p w14:paraId="3AF0FE62">
      <w:pPr>
        <w:spacing w:line="360" w:lineRule="auto"/>
        <w:jc w:val="center"/>
        <w:outlineLvl w:val="1"/>
        <w:rPr>
          <w:rFonts w:hint="eastAsia" w:ascii="宋体" w:hAnsi="宋体" w:eastAsia="宋体" w:cs="宋体"/>
          <w:b/>
          <w:bCs/>
          <w:color w:val="auto"/>
          <w:sz w:val="32"/>
          <w:szCs w:val="32"/>
          <w:highlight w:val="none"/>
        </w:rPr>
      </w:pPr>
      <w:bookmarkStart w:id="380" w:name="_Toc6458"/>
      <w:bookmarkStart w:id="381" w:name="_Toc12748"/>
      <w:bookmarkStart w:id="382" w:name="_Toc11947"/>
      <w:bookmarkStart w:id="383" w:name="_Toc16154"/>
      <w:bookmarkStart w:id="384" w:name="_Toc25568"/>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通用合同条款</w:t>
      </w:r>
      <w:bookmarkEnd w:id="380"/>
      <w:bookmarkEnd w:id="381"/>
      <w:bookmarkEnd w:id="382"/>
      <w:bookmarkEnd w:id="383"/>
      <w:bookmarkEnd w:id="384"/>
    </w:p>
    <w:p w14:paraId="47E970F3">
      <w:pPr>
        <w:spacing w:line="360" w:lineRule="auto"/>
        <w:jc w:val="center"/>
        <w:rPr>
          <w:rFonts w:hint="eastAsia" w:ascii="宋体" w:hAnsi="宋体" w:eastAsia="宋体" w:cs="宋体"/>
          <w:b/>
          <w:bCs/>
          <w:color w:val="auto"/>
          <w:sz w:val="24"/>
          <w:highlight w:val="none"/>
        </w:rPr>
      </w:pPr>
    </w:p>
    <w:p w14:paraId="750348A3">
      <w:pPr>
        <w:spacing w:line="360" w:lineRule="auto"/>
        <w:jc w:val="center"/>
        <w:rPr>
          <w:rFonts w:hint="eastAsia" w:ascii="宋体" w:hAnsi="宋体" w:eastAsia="宋体" w:cs="宋体"/>
          <w:b/>
          <w:bCs/>
          <w:color w:val="auto"/>
          <w:sz w:val="24"/>
          <w:highlight w:val="none"/>
        </w:rPr>
      </w:pPr>
    </w:p>
    <w:p w14:paraId="5BD79C6C">
      <w:pPr>
        <w:spacing w:line="360" w:lineRule="auto"/>
        <w:ind w:firstLine="638" w:firstLineChars="266"/>
        <w:rPr>
          <w:rFonts w:hint="eastAsia" w:ascii="宋体" w:hAnsi="宋体" w:eastAsia="宋体" w:cs="宋体"/>
          <w:color w:val="auto"/>
          <w:sz w:val="24"/>
          <w:highlight w:val="none"/>
        </w:rPr>
      </w:pPr>
      <w:r>
        <w:rPr>
          <w:rFonts w:hint="eastAsia" w:ascii="宋体" w:hAnsi="宋体" w:eastAsia="宋体" w:cs="宋体"/>
          <w:color w:val="auto"/>
          <w:sz w:val="24"/>
          <w:highlight w:val="none"/>
        </w:rPr>
        <w:t>通用合同条款见《标准施工招标文件》（中华人民共和国2009年版）除项目专用合同条款另有约定外，通用合同条款与专用合同条款相抵触，以专用条款为准。</w:t>
      </w:r>
    </w:p>
    <w:p w14:paraId="052C1EEF">
      <w:pPr>
        <w:pStyle w:val="233"/>
        <w:spacing w:line="360" w:lineRule="auto"/>
        <w:jc w:val="center"/>
        <w:outlineLvl w:val="9"/>
        <w:rPr>
          <w:rFonts w:hint="eastAsia" w:ascii="宋体" w:hAnsi="宋体" w:eastAsia="宋体" w:cs="宋体"/>
          <w:color w:val="auto"/>
          <w:sz w:val="24"/>
          <w:szCs w:val="24"/>
          <w:highlight w:val="none"/>
          <w:lang w:eastAsia="zh-CN"/>
        </w:rPr>
      </w:pPr>
      <w:bookmarkStart w:id="385" w:name="_Toc24719"/>
      <w:bookmarkStart w:id="386" w:name="_Toc517"/>
      <w:bookmarkStart w:id="387" w:name="_Toc12863"/>
      <w:bookmarkStart w:id="388" w:name="_Toc32230"/>
      <w:bookmarkStart w:id="389" w:name="_Toc18811"/>
      <w:bookmarkStart w:id="390" w:name="_Toc19587"/>
      <w:bookmarkStart w:id="391" w:name="_Toc8119"/>
    </w:p>
    <w:p w14:paraId="2A535DE3">
      <w:pPr>
        <w:pStyle w:val="233"/>
        <w:spacing w:line="360" w:lineRule="auto"/>
        <w:jc w:val="center"/>
        <w:outlineLvl w:val="9"/>
        <w:rPr>
          <w:rFonts w:hint="eastAsia" w:ascii="宋体" w:hAnsi="宋体" w:eastAsia="宋体" w:cs="宋体"/>
          <w:color w:val="auto"/>
          <w:sz w:val="24"/>
          <w:szCs w:val="24"/>
          <w:highlight w:val="none"/>
          <w:lang w:eastAsia="zh-CN"/>
        </w:rPr>
      </w:pPr>
    </w:p>
    <w:p w14:paraId="65D4CC85">
      <w:pPr>
        <w:pStyle w:val="233"/>
        <w:spacing w:line="360" w:lineRule="auto"/>
        <w:jc w:val="center"/>
        <w:outlineLvl w:val="1"/>
        <w:rPr>
          <w:rFonts w:hint="eastAsia" w:ascii="宋体" w:hAnsi="宋体" w:eastAsia="宋体" w:cs="宋体"/>
          <w:color w:val="auto"/>
          <w:sz w:val="32"/>
          <w:szCs w:val="32"/>
          <w:highlight w:val="none"/>
        </w:rPr>
      </w:pPr>
      <w:bookmarkStart w:id="392" w:name="_Toc13450"/>
      <w:bookmarkStart w:id="393" w:name="_Toc13959"/>
      <w:bookmarkStart w:id="394" w:name="_Toc31359"/>
      <w:bookmarkStart w:id="395" w:name="_Toc12089"/>
      <w:bookmarkStart w:id="396" w:name="_Toc6827"/>
      <w:bookmarkStart w:id="397" w:name="_Toc5149"/>
      <w:r>
        <w:rPr>
          <w:rFonts w:hint="eastAsia" w:ascii="宋体" w:hAnsi="宋体" w:eastAsia="宋体" w:cs="宋体"/>
          <w:color w:val="auto"/>
          <w:sz w:val="32"/>
          <w:szCs w:val="32"/>
          <w:highlight w:val="none"/>
          <w:lang w:eastAsia="zh-CN"/>
        </w:rPr>
        <w:t>八、</w:t>
      </w:r>
      <w:r>
        <w:rPr>
          <w:rFonts w:hint="eastAsia" w:ascii="宋体" w:hAnsi="宋体" w:eastAsia="宋体" w:cs="宋体"/>
          <w:color w:val="auto"/>
          <w:sz w:val="32"/>
          <w:szCs w:val="32"/>
          <w:highlight w:val="none"/>
        </w:rPr>
        <w:t>项目专用合同条款</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61D6EA98">
      <w:pPr>
        <w:pStyle w:val="4"/>
        <w:jc w:val="center"/>
        <w:outlineLvl w:val="2"/>
        <w:rPr>
          <w:rFonts w:hint="eastAsia" w:ascii="宋体" w:hAnsi="宋体" w:eastAsia="宋体" w:cs="宋体"/>
          <w:color w:val="auto"/>
          <w:highlight w:val="none"/>
        </w:rPr>
      </w:pPr>
      <w:bookmarkStart w:id="398" w:name="_Toc18884"/>
      <w:bookmarkStart w:id="399" w:name="_Toc31891"/>
      <w:bookmarkStart w:id="400" w:name="_Toc23887"/>
      <w:bookmarkStart w:id="401" w:name="_Toc219"/>
      <w:bookmarkStart w:id="402" w:name="_Toc8216"/>
      <w:bookmarkStart w:id="403" w:name="_Toc6489"/>
      <w:bookmarkStart w:id="404" w:name="_Toc19343"/>
      <w:r>
        <w:rPr>
          <w:rFonts w:hint="eastAsia" w:ascii="宋体" w:hAnsi="宋体" w:eastAsia="宋体" w:cs="宋体"/>
          <w:color w:val="auto"/>
          <w:highlight w:val="none"/>
        </w:rPr>
        <w:t>A公路工程专用合同条款</w:t>
      </w:r>
      <w:bookmarkEnd w:id="398"/>
      <w:bookmarkEnd w:id="399"/>
      <w:bookmarkEnd w:id="400"/>
      <w:bookmarkEnd w:id="401"/>
      <w:bookmarkEnd w:id="402"/>
      <w:bookmarkEnd w:id="403"/>
      <w:bookmarkEnd w:id="404"/>
    </w:p>
    <w:p w14:paraId="114F6AD6">
      <w:pPr>
        <w:keepNext/>
        <w:keepLines/>
        <w:autoSpaceDE w:val="0"/>
        <w:autoSpaceDN w:val="0"/>
        <w:adjustRightInd w:val="0"/>
        <w:spacing w:before="100" w:line="360" w:lineRule="auto"/>
        <w:outlineLvl w:val="3"/>
        <w:rPr>
          <w:rFonts w:hint="eastAsia" w:ascii="宋体" w:hAnsi="宋体" w:eastAsia="宋体" w:cs="宋体"/>
          <w:b/>
          <w:color w:val="auto"/>
          <w:sz w:val="24"/>
          <w:highlight w:val="none"/>
        </w:rPr>
      </w:pPr>
      <w:bookmarkStart w:id="405" w:name="_Toc14214"/>
      <w:bookmarkStart w:id="406" w:name="_Toc3503"/>
      <w:r>
        <w:rPr>
          <w:rFonts w:hint="eastAsia" w:ascii="宋体" w:hAnsi="宋体" w:eastAsia="宋体" w:cs="宋体"/>
          <w:b/>
          <w:color w:val="auto"/>
          <w:sz w:val="24"/>
          <w:highlight w:val="none"/>
        </w:rPr>
        <w:t xml:space="preserve">1. </w:t>
      </w:r>
      <w:r>
        <w:rPr>
          <w:rFonts w:hint="eastAsia" w:ascii="宋体" w:hAnsi="宋体" w:eastAsia="宋体" w:cs="宋体"/>
          <w:b/>
          <w:color w:val="auto"/>
          <w:sz w:val="24"/>
          <w:highlight w:val="none"/>
          <w:lang w:val="zh-CN"/>
        </w:rPr>
        <w:t>一般约定</w:t>
      </w:r>
      <w:bookmarkEnd w:id="405"/>
      <w:bookmarkEnd w:id="406"/>
    </w:p>
    <w:p w14:paraId="732ECC15">
      <w:pPr>
        <w:keepNext/>
        <w:keepLines/>
        <w:autoSpaceDE w:val="0"/>
        <w:autoSpaceDN w:val="0"/>
        <w:adjustRightInd w:val="0"/>
        <w:spacing w:line="360" w:lineRule="auto"/>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 </w:t>
      </w:r>
      <w:r>
        <w:rPr>
          <w:rFonts w:hint="eastAsia" w:ascii="宋体" w:hAnsi="宋体" w:eastAsia="宋体" w:cs="宋体"/>
          <w:color w:val="auto"/>
          <w:sz w:val="24"/>
          <w:highlight w:val="none"/>
          <w:lang w:val="zh-CN"/>
        </w:rPr>
        <w:t>词语定义</w:t>
      </w:r>
    </w:p>
    <w:p w14:paraId="100B8B6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通用合同条款、专用合同条款中的下列词语应具有本款所赋予的含义。</w:t>
      </w:r>
    </w:p>
    <w:p w14:paraId="0E83C635">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 </w:t>
      </w:r>
      <w:r>
        <w:rPr>
          <w:rFonts w:hint="eastAsia" w:ascii="宋体" w:hAnsi="宋体" w:eastAsia="宋体" w:cs="宋体"/>
          <w:color w:val="auto"/>
          <w:sz w:val="24"/>
          <w:highlight w:val="none"/>
          <w:lang w:val="zh-CN"/>
        </w:rPr>
        <w:t>合同</w:t>
      </w:r>
    </w:p>
    <w:p w14:paraId="2F9E2544">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1.1.1.1 </w:t>
      </w:r>
      <w:r>
        <w:rPr>
          <w:rFonts w:hint="eastAsia" w:ascii="宋体" w:hAnsi="宋体" w:eastAsia="宋体" w:cs="宋体"/>
          <w:color w:val="auto"/>
          <w:sz w:val="24"/>
          <w:highlight w:val="none"/>
          <w:lang w:val="zh-CN"/>
        </w:rPr>
        <w:t>合同文件（或称合同）：指合同协议书、</w:t>
      </w:r>
      <w:r>
        <w:rPr>
          <w:rFonts w:hint="eastAsia" w:ascii="宋体" w:hAnsi="宋体" w:eastAsia="宋体" w:cs="宋体"/>
          <w:color w:val="auto"/>
          <w:sz w:val="24"/>
          <w:highlight w:val="none"/>
        </w:rPr>
        <w:t>选定结果</w:t>
      </w:r>
      <w:r>
        <w:rPr>
          <w:rFonts w:hint="eastAsia" w:ascii="宋体" w:hAnsi="宋体" w:eastAsia="宋体" w:cs="宋体"/>
          <w:color w:val="auto"/>
          <w:sz w:val="24"/>
          <w:highlight w:val="none"/>
          <w:lang w:val="zh-CN"/>
        </w:rPr>
        <w:t>、专用合同条款、通用合同条款、技术标准和要求、图纸、已标价工程量清单，以及其他合同文件。</w:t>
      </w:r>
    </w:p>
    <w:p w14:paraId="51D8E017">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1.1.1.2 </w:t>
      </w:r>
      <w:r>
        <w:rPr>
          <w:rFonts w:hint="eastAsia" w:ascii="宋体" w:hAnsi="宋体" w:eastAsia="宋体" w:cs="宋体"/>
          <w:color w:val="auto"/>
          <w:sz w:val="24"/>
          <w:highlight w:val="none"/>
          <w:lang w:val="zh-CN"/>
        </w:rPr>
        <w:t>合同协议书：指第</w:t>
      </w: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val="zh-CN"/>
        </w:rPr>
        <w:t>款所指的合同协议书。</w:t>
      </w:r>
    </w:p>
    <w:p w14:paraId="413CEB62">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1.1.1.3 选定结果</w:t>
      </w:r>
      <w:r>
        <w:rPr>
          <w:rFonts w:hint="eastAsia" w:ascii="宋体" w:hAnsi="宋体" w:eastAsia="宋体" w:cs="宋体"/>
          <w:color w:val="auto"/>
          <w:sz w:val="24"/>
          <w:highlight w:val="none"/>
          <w:lang w:val="zh-CN"/>
        </w:rPr>
        <w:t>：指发包人通知承包人介绍性的文件。</w:t>
      </w:r>
    </w:p>
    <w:p w14:paraId="12F1A344">
      <w:pPr>
        <w:autoSpaceDE w:val="0"/>
        <w:autoSpaceDN w:val="0"/>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1.1.1.4 </w:t>
      </w:r>
      <w:r>
        <w:rPr>
          <w:rFonts w:hint="eastAsia" w:ascii="宋体" w:hAnsi="宋体" w:eastAsia="宋体" w:cs="宋体"/>
          <w:color w:val="auto"/>
          <w:sz w:val="24"/>
          <w:highlight w:val="none"/>
          <w:lang w:val="zh-CN"/>
        </w:rPr>
        <w:t>技术标准和要求</w:t>
      </w:r>
    </w:p>
    <w:p w14:paraId="18FD82B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技术规范：指本合同所约定的技术标准和要求，是合同文件的组成部分。通用合同条款中“技术标准和要求”一词具有相同含义。</w:t>
      </w:r>
    </w:p>
    <w:p w14:paraId="61A9A8D2">
      <w:pPr>
        <w:autoSpaceDE w:val="0"/>
        <w:autoSpaceDN w:val="0"/>
        <w:adjustRightInd w:val="0"/>
        <w:spacing w:line="360" w:lineRule="auto"/>
        <w:ind w:firstLine="720" w:firstLineChars="30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1.1.1.5 </w:t>
      </w:r>
      <w:r>
        <w:rPr>
          <w:rFonts w:hint="eastAsia" w:ascii="宋体" w:hAnsi="宋体" w:eastAsia="宋体" w:cs="宋体"/>
          <w:color w:val="auto"/>
          <w:sz w:val="24"/>
          <w:highlight w:val="none"/>
          <w:lang w:val="zh-CN"/>
        </w:rPr>
        <w:t>已标价工程量清单</w:t>
      </w:r>
    </w:p>
    <w:p w14:paraId="4E66874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w:t>
      </w:r>
      <w:r>
        <w:rPr>
          <w:rFonts w:hint="eastAsia" w:ascii="宋体" w:hAnsi="宋体" w:eastAsia="宋体" w:cs="宋体"/>
          <w:color w:val="auto"/>
          <w:sz w:val="24"/>
          <w:highlight w:val="none"/>
        </w:rPr>
        <w:t>5.1</w:t>
      </w:r>
      <w:r>
        <w:rPr>
          <w:rFonts w:hint="eastAsia" w:ascii="宋体" w:hAnsi="宋体" w:eastAsia="宋体" w:cs="宋体"/>
          <w:color w:val="auto"/>
          <w:sz w:val="24"/>
          <w:highlight w:val="none"/>
          <w:lang w:val="zh-CN"/>
        </w:rPr>
        <w:t>～表</w:t>
      </w:r>
      <w:r>
        <w:rPr>
          <w:rFonts w:hint="eastAsia" w:ascii="宋体" w:hAnsi="宋体" w:eastAsia="宋体" w:cs="宋体"/>
          <w:color w:val="auto"/>
          <w:sz w:val="24"/>
          <w:highlight w:val="none"/>
        </w:rPr>
        <w:t>5.5</w:t>
      </w:r>
      <w:r>
        <w:rPr>
          <w:rFonts w:hint="eastAsia" w:ascii="宋体" w:hAnsi="宋体" w:eastAsia="宋体" w:cs="宋体"/>
          <w:color w:val="auto"/>
          <w:sz w:val="24"/>
          <w:highlight w:val="none"/>
          <w:lang w:val="zh-CN"/>
        </w:rPr>
        <w:t>）。</w:t>
      </w:r>
    </w:p>
    <w:p w14:paraId="75FEBFC0">
      <w:pPr>
        <w:autoSpaceDE w:val="0"/>
        <w:autoSpaceDN w:val="0"/>
        <w:adjustRightInd w:val="0"/>
        <w:spacing w:line="360" w:lineRule="auto"/>
        <w:ind w:firstLine="878" w:firstLineChars="366"/>
        <w:rPr>
          <w:rFonts w:hint="eastAsia" w:ascii="宋体" w:hAnsi="宋体" w:eastAsia="宋体" w:cs="宋体"/>
          <w:color w:val="auto"/>
          <w:sz w:val="24"/>
          <w:highlight w:val="none"/>
        </w:rPr>
      </w:pPr>
      <w:r>
        <w:rPr>
          <w:rFonts w:hint="eastAsia" w:ascii="宋体" w:hAnsi="宋体" w:eastAsia="宋体" w:cs="宋体"/>
          <w:color w:val="auto"/>
          <w:sz w:val="24"/>
          <w:highlight w:val="none"/>
        </w:rPr>
        <w:t>1.1.1.6</w:t>
      </w:r>
      <w:r>
        <w:rPr>
          <w:rFonts w:hint="eastAsia" w:ascii="宋体" w:hAnsi="宋体" w:eastAsia="宋体" w:cs="宋体"/>
          <w:color w:val="auto"/>
          <w:sz w:val="24"/>
          <w:highlight w:val="none"/>
          <w:lang w:val="zh-CN"/>
        </w:rPr>
        <w:t>补遗书：指发出招标文件之后由招标人向已取得招标文件的投标人发出的、编号的对招标文件所作的澄清、修改书。</w:t>
      </w:r>
    </w:p>
    <w:p w14:paraId="6033E598">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zh-CN"/>
        </w:rPr>
        <w:t>合同当事人和人员</w:t>
      </w:r>
    </w:p>
    <w:p w14:paraId="23842541">
      <w:pPr>
        <w:autoSpaceDE w:val="0"/>
        <w:autoSpaceDN w:val="0"/>
        <w:adjustRightInd w:val="0"/>
        <w:spacing w:line="360" w:lineRule="auto"/>
        <w:ind w:firstLine="718"/>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1.1.2.1 </w:t>
      </w:r>
      <w:r>
        <w:rPr>
          <w:rFonts w:hint="eastAsia" w:ascii="宋体" w:hAnsi="宋体" w:eastAsia="宋体" w:cs="宋体"/>
          <w:color w:val="auto"/>
          <w:sz w:val="24"/>
          <w:highlight w:val="none"/>
          <w:lang w:val="zh-CN"/>
        </w:rPr>
        <w:t>合同当事人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指发包人和（或）承包人。</w:t>
      </w:r>
    </w:p>
    <w:p w14:paraId="1EAA8571">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1.1.2.2 </w:t>
      </w:r>
      <w:r>
        <w:rPr>
          <w:rFonts w:hint="eastAsia" w:ascii="宋体" w:hAnsi="宋体" w:eastAsia="宋体" w:cs="宋体"/>
          <w:color w:val="auto"/>
          <w:spacing w:val="-6"/>
          <w:sz w:val="24"/>
          <w:highlight w:val="none"/>
          <w:lang w:val="zh-CN"/>
        </w:rPr>
        <w:t>发包人：指专用合同条款中指明并与承包人在合同协议书中签字的当事人。</w:t>
      </w:r>
    </w:p>
    <w:p w14:paraId="4994F92B">
      <w:pPr>
        <w:autoSpaceDE w:val="0"/>
        <w:autoSpaceDN w:val="0"/>
        <w:adjustRightInd w:val="0"/>
        <w:spacing w:line="360" w:lineRule="auto"/>
        <w:ind w:firstLine="718"/>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1.1.2.3 </w:t>
      </w:r>
      <w:r>
        <w:rPr>
          <w:rFonts w:hint="eastAsia" w:ascii="宋体" w:hAnsi="宋体" w:eastAsia="宋体" w:cs="宋体"/>
          <w:color w:val="auto"/>
          <w:sz w:val="24"/>
          <w:highlight w:val="none"/>
          <w:lang w:val="zh-CN"/>
        </w:rPr>
        <w:t>承包人：指与发包人签订合同协议书的当事人。</w:t>
      </w:r>
    </w:p>
    <w:p w14:paraId="2BAE088E">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1.1.2.4 </w:t>
      </w:r>
      <w:r>
        <w:rPr>
          <w:rFonts w:hint="eastAsia" w:ascii="宋体" w:hAnsi="宋体" w:eastAsia="宋体" w:cs="宋体"/>
          <w:color w:val="auto"/>
          <w:sz w:val="24"/>
          <w:highlight w:val="none"/>
          <w:lang w:val="zh-CN"/>
        </w:rPr>
        <w:t>承包人项目经理：指承包人派驻施工场地的全权负责人。</w:t>
      </w:r>
    </w:p>
    <w:p w14:paraId="06C2B93B">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1.1.2.5 </w:t>
      </w:r>
      <w:r>
        <w:rPr>
          <w:rFonts w:hint="eastAsia" w:ascii="宋体" w:hAnsi="宋体" w:eastAsia="宋体" w:cs="宋体"/>
          <w:color w:val="auto"/>
          <w:sz w:val="24"/>
          <w:highlight w:val="none"/>
          <w:lang w:val="zh-CN"/>
        </w:rPr>
        <w:t>分包人：指从承包人处分包合同中某一部分工程，并与其签订分包合同的分包人。</w:t>
      </w:r>
    </w:p>
    <w:p w14:paraId="1DA39CD8">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1.1.2.6 </w:t>
      </w:r>
      <w:r>
        <w:rPr>
          <w:rFonts w:hint="eastAsia" w:ascii="宋体" w:hAnsi="宋体" w:eastAsia="宋体" w:cs="宋体"/>
          <w:color w:val="auto"/>
          <w:sz w:val="24"/>
          <w:highlight w:val="none"/>
          <w:lang w:val="zh-CN"/>
        </w:rPr>
        <w:t>监理人：指在专用合同条款中指明的，受发包人委托对合同履行实施管理的法人或其他组织。</w:t>
      </w:r>
    </w:p>
    <w:p w14:paraId="5CFA677A">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1.1.2.7 </w:t>
      </w:r>
      <w:r>
        <w:rPr>
          <w:rFonts w:hint="eastAsia" w:ascii="宋体" w:hAnsi="宋体" w:eastAsia="宋体" w:cs="宋体"/>
          <w:color w:val="auto"/>
          <w:sz w:val="24"/>
          <w:highlight w:val="none"/>
          <w:lang w:val="zh-CN"/>
        </w:rPr>
        <w:t>总监理工程师（总监）：指由监理人委派常驻施工场地对合同履行实施管理的全权负责人。</w:t>
      </w:r>
    </w:p>
    <w:p w14:paraId="6EB9D7BE">
      <w:pPr>
        <w:autoSpaceDE w:val="0"/>
        <w:autoSpaceDN w:val="0"/>
        <w:adjustRightInd w:val="0"/>
        <w:spacing w:line="360" w:lineRule="auto"/>
        <w:ind w:firstLine="679" w:firstLineChars="283"/>
        <w:rPr>
          <w:rFonts w:hint="eastAsia" w:ascii="宋体" w:hAnsi="宋体" w:eastAsia="宋体" w:cs="宋体"/>
          <w:color w:val="auto"/>
          <w:sz w:val="24"/>
          <w:highlight w:val="none"/>
        </w:rPr>
      </w:pPr>
      <w:r>
        <w:rPr>
          <w:rFonts w:hint="eastAsia" w:ascii="宋体" w:hAnsi="宋体" w:eastAsia="宋体" w:cs="宋体"/>
          <w:color w:val="auto"/>
          <w:sz w:val="24"/>
          <w:highlight w:val="none"/>
        </w:rPr>
        <w:t>1.1.2.8</w:t>
      </w:r>
      <w:r>
        <w:rPr>
          <w:rFonts w:hint="eastAsia" w:ascii="宋体" w:hAnsi="宋体" w:eastAsia="宋体" w:cs="宋体"/>
          <w:color w:val="auto"/>
          <w:sz w:val="24"/>
          <w:highlight w:val="none"/>
          <w:lang w:val="zh-CN"/>
        </w:rPr>
        <w:t>承包人项目总工：指由承包人书面委派常驻现场负责管理本合同工程的总工程师或技术总负责人。</w:t>
      </w:r>
    </w:p>
    <w:p w14:paraId="0E631AA0">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zh-CN"/>
        </w:rPr>
        <w:t>工程和设备</w:t>
      </w:r>
    </w:p>
    <w:p w14:paraId="4C5C6244">
      <w:pPr>
        <w:autoSpaceDE w:val="0"/>
        <w:autoSpaceDN w:val="0"/>
        <w:adjustRightInd w:val="0"/>
        <w:spacing w:line="360" w:lineRule="auto"/>
        <w:ind w:firstLine="718"/>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1.1.3.1 </w:t>
      </w:r>
      <w:r>
        <w:rPr>
          <w:rFonts w:hint="eastAsia" w:ascii="宋体" w:hAnsi="宋体" w:eastAsia="宋体" w:cs="宋体"/>
          <w:color w:val="auto"/>
          <w:sz w:val="24"/>
          <w:highlight w:val="none"/>
          <w:lang w:val="zh-CN"/>
        </w:rPr>
        <w:t>工程：指永久工程和（或）临时工程。</w:t>
      </w:r>
    </w:p>
    <w:p w14:paraId="443B6CD4">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1.1.3.2 </w:t>
      </w:r>
      <w:r>
        <w:rPr>
          <w:rFonts w:hint="eastAsia" w:ascii="宋体" w:hAnsi="宋体" w:eastAsia="宋体" w:cs="宋体"/>
          <w:color w:val="auto"/>
          <w:sz w:val="24"/>
          <w:highlight w:val="none"/>
          <w:lang w:val="zh-CN"/>
        </w:rPr>
        <w:t>永久工程：指按合同约定建造并移交给发包人的工程，包括工程设备。</w:t>
      </w:r>
    </w:p>
    <w:p w14:paraId="6B4C4F6E">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1.1.3.3 </w:t>
      </w:r>
      <w:r>
        <w:rPr>
          <w:rFonts w:hint="eastAsia" w:ascii="宋体" w:hAnsi="宋体" w:eastAsia="宋体" w:cs="宋体"/>
          <w:color w:val="auto"/>
          <w:sz w:val="24"/>
          <w:highlight w:val="none"/>
          <w:lang w:val="zh-CN"/>
        </w:rPr>
        <w:t>临时工程：指为完成合同约定的永久工程所修建的各类临时性工程，不包括施工设备。</w:t>
      </w:r>
    </w:p>
    <w:p w14:paraId="41C87A5B">
      <w:pPr>
        <w:autoSpaceDE w:val="0"/>
        <w:autoSpaceDN w:val="0"/>
        <w:adjustRightInd w:val="0"/>
        <w:spacing w:line="360" w:lineRule="auto"/>
        <w:ind w:firstLine="718"/>
        <w:rPr>
          <w:rFonts w:hint="eastAsia" w:ascii="宋体" w:hAnsi="宋体" w:eastAsia="宋体" w:cs="宋体"/>
          <w:color w:val="auto"/>
          <w:spacing w:val="-6"/>
          <w:sz w:val="24"/>
          <w:highlight w:val="none"/>
          <w:lang w:val="zh-CN"/>
        </w:rPr>
      </w:pPr>
      <w:r>
        <w:rPr>
          <w:rFonts w:hint="eastAsia" w:ascii="宋体" w:hAnsi="宋体" w:eastAsia="宋体" w:cs="宋体"/>
          <w:color w:val="auto"/>
          <w:spacing w:val="-6"/>
          <w:sz w:val="24"/>
          <w:highlight w:val="none"/>
          <w:lang w:val="zh-CN"/>
        </w:rPr>
        <w:t>1.1.3.4 单位工程：指在建设项目中，根据签订的合同，具有独立施工条件的工程。</w:t>
      </w:r>
    </w:p>
    <w:p w14:paraId="167E3870">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1.1.3.5 </w:t>
      </w:r>
      <w:r>
        <w:rPr>
          <w:rFonts w:hint="eastAsia" w:ascii="宋体" w:hAnsi="宋体" w:eastAsia="宋体" w:cs="宋体"/>
          <w:color w:val="auto"/>
          <w:sz w:val="24"/>
          <w:highlight w:val="none"/>
          <w:lang w:val="zh-CN"/>
        </w:rPr>
        <w:t>工程设备：指构成或计划构成永久工程一部分的机电设备、金属结构设备、仪器装置及其他类似的设备和装置。</w:t>
      </w:r>
    </w:p>
    <w:p w14:paraId="642EC963">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1.1.3.6 </w:t>
      </w:r>
      <w:r>
        <w:rPr>
          <w:rFonts w:hint="eastAsia" w:ascii="宋体" w:hAnsi="宋体" w:eastAsia="宋体" w:cs="宋体"/>
          <w:color w:val="auto"/>
          <w:sz w:val="24"/>
          <w:highlight w:val="none"/>
          <w:lang w:val="zh-CN"/>
        </w:rPr>
        <w:t>施工设备：指为完成合同约定的各项工作所需的设备、器具和其他物品，不包括临时工程和材料。</w:t>
      </w:r>
    </w:p>
    <w:p w14:paraId="7733740B">
      <w:pPr>
        <w:autoSpaceDE w:val="0"/>
        <w:autoSpaceDN w:val="0"/>
        <w:adjustRightInd w:val="0"/>
        <w:spacing w:line="360" w:lineRule="auto"/>
        <w:ind w:firstLine="718"/>
        <w:rPr>
          <w:rFonts w:hint="eastAsia" w:ascii="宋体" w:hAnsi="宋体" w:eastAsia="宋体" w:cs="宋体"/>
          <w:color w:val="auto"/>
          <w:spacing w:val="-6"/>
          <w:sz w:val="24"/>
          <w:highlight w:val="none"/>
          <w:lang w:val="zh-CN"/>
        </w:rPr>
      </w:pPr>
      <w:r>
        <w:rPr>
          <w:rFonts w:hint="eastAsia" w:ascii="宋体" w:hAnsi="宋体" w:eastAsia="宋体" w:cs="宋体"/>
          <w:color w:val="auto"/>
          <w:spacing w:val="-6"/>
          <w:sz w:val="24"/>
          <w:highlight w:val="none"/>
          <w:lang w:val="zh-CN"/>
        </w:rPr>
        <w:t>1.1.3.7 临时设施：指为完成合同约定的各项工作所服务的临时性生产和生活设施。</w:t>
      </w:r>
    </w:p>
    <w:p w14:paraId="11285681">
      <w:pPr>
        <w:autoSpaceDE w:val="0"/>
        <w:autoSpaceDN w:val="0"/>
        <w:adjustRightInd w:val="0"/>
        <w:spacing w:line="360" w:lineRule="auto"/>
        <w:ind w:firstLine="718"/>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1.1.3.8 </w:t>
      </w:r>
      <w:r>
        <w:rPr>
          <w:rFonts w:hint="eastAsia" w:ascii="宋体" w:hAnsi="宋体" w:eastAsia="宋体" w:cs="宋体"/>
          <w:color w:val="auto"/>
          <w:sz w:val="24"/>
          <w:highlight w:val="none"/>
          <w:lang w:val="zh-CN"/>
        </w:rPr>
        <w:t>承包人设备：指承包人自带的施工设备。</w:t>
      </w:r>
    </w:p>
    <w:p w14:paraId="585D0B76">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1.1.3.9 </w:t>
      </w:r>
      <w:r>
        <w:rPr>
          <w:rFonts w:hint="eastAsia" w:ascii="宋体" w:hAnsi="宋体" w:eastAsia="宋体" w:cs="宋体"/>
          <w:color w:val="auto"/>
          <w:sz w:val="24"/>
          <w:highlight w:val="none"/>
          <w:lang w:val="zh-CN"/>
        </w:rPr>
        <w:t>施工场地（或称工地、现场）：指用于合同工程施工的场所，以及在合同中指定作为施工场地组成部分的其他场所，包括永久占地和临时占地。</w:t>
      </w:r>
    </w:p>
    <w:p w14:paraId="12E00170">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1.1.3.10 </w:t>
      </w:r>
      <w:r>
        <w:rPr>
          <w:rFonts w:hint="eastAsia" w:ascii="宋体" w:hAnsi="宋体" w:eastAsia="宋体" w:cs="宋体"/>
          <w:color w:val="auto"/>
          <w:sz w:val="24"/>
          <w:highlight w:val="none"/>
          <w:lang w:val="zh-CN"/>
        </w:rPr>
        <w:t>永久占地：指为实施本合同工程而需要的一切永久占用的土地，包括公路两侧路权范围内的用地。</w:t>
      </w:r>
    </w:p>
    <w:p w14:paraId="63DE0CC0">
      <w:pPr>
        <w:autoSpaceDE w:val="0"/>
        <w:autoSpaceDN w:val="0"/>
        <w:adjustRightInd w:val="0"/>
        <w:spacing w:line="360" w:lineRule="auto"/>
        <w:ind w:firstLine="660" w:firstLineChars="2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1.1.3.11 </w:t>
      </w:r>
      <w:r>
        <w:rPr>
          <w:rFonts w:hint="eastAsia" w:ascii="宋体" w:hAnsi="宋体" w:eastAsia="宋体" w:cs="宋体"/>
          <w:color w:val="auto"/>
          <w:sz w:val="24"/>
          <w:highlight w:val="none"/>
          <w:lang w:val="zh-CN"/>
        </w:rPr>
        <w:t>临时占地：指为实施本合同工程而需要的一切临时占用的土地，包括施工所用的临时支线、便道、便桥和现场的临时出入通道，以及生产（办公）、生活等临时设施用地等。</w:t>
      </w:r>
    </w:p>
    <w:p w14:paraId="287E115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1.1.3.12</w:t>
      </w:r>
      <w:r>
        <w:rPr>
          <w:rFonts w:hint="eastAsia" w:ascii="宋体" w:hAnsi="宋体" w:eastAsia="宋体" w:cs="宋体"/>
          <w:color w:val="auto"/>
          <w:sz w:val="24"/>
          <w:highlight w:val="none"/>
          <w:lang w:val="zh-CN"/>
        </w:rPr>
        <w:t>分部工程：指在单位工程中，按结构部位、路段长度及施工特点或施工任务划分的若干个工程。</w:t>
      </w:r>
    </w:p>
    <w:p w14:paraId="59C94E7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1.1.3.13</w:t>
      </w:r>
      <w:r>
        <w:rPr>
          <w:rFonts w:hint="eastAsia" w:ascii="宋体" w:hAnsi="宋体" w:eastAsia="宋体" w:cs="宋体"/>
          <w:color w:val="auto"/>
          <w:sz w:val="24"/>
          <w:highlight w:val="none"/>
          <w:lang w:val="zh-CN"/>
        </w:rPr>
        <w:t>分项工程：指在分部工程中，按不同的施工方法、材料、工序及路段长度等划分的若干个工程。</w:t>
      </w:r>
    </w:p>
    <w:p w14:paraId="435DB836">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z w:val="24"/>
          <w:highlight w:val="none"/>
          <w:lang w:val="zh-CN"/>
        </w:rPr>
        <w:t>其他</w:t>
      </w:r>
    </w:p>
    <w:p w14:paraId="7758DD20">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1.1.6.1 </w:t>
      </w:r>
      <w:r>
        <w:rPr>
          <w:rFonts w:hint="eastAsia" w:ascii="宋体" w:hAnsi="宋体" w:eastAsia="宋体" w:cs="宋体"/>
          <w:color w:val="auto"/>
          <w:sz w:val="24"/>
          <w:highlight w:val="none"/>
          <w:lang w:val="zh-CN"/>
        </w:rPr>
        <w:t>书面形式：指合同文件、信函、电报、传真等可以有形地表现所载内容的形式。</w:t>
      </w:r>
    </w:p>
    <w:p w14:paraId="20BB9B8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1.1.6.2</w:t>
      </w:r>
      <w:r>
        <w:rPr>
          <w:rFonts w:hint="eastAsia" w:ascii="宋体" w:hAnsi="宋体" w:eastAsia="宋体" w:cs="宋体"/>
          <w:color w:val="auto"/>
          <w:sz w:val="24"/>
          <w:highlight w:val="none"/>
          <w:lang w:val="zh-CN"/>
        </w:rPr>
        <w:t>竣工验收：指《公路工程竣（交）工验收办法》中的竣工验收。通用合同条款中“国家验收”一词具有相同含义。</w:t>
      </w:r>
    </w:p>
    <w:p w14:paraId="3C22651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1.1.6.3</w:t>
      </w:r>
      <w:r>
        <w:rPr>
          <w:rFonts w:hint="eastAsia" w:ascii="宋体" w:hAnsi="宋体" w:eastAsia="宋体" w:cs="宋体"/>
          <w:color w:val="auto"/>
          <w:sz w:val="24"/>
          <w:highlight w:val="none"/>
          <w:lang w:val="zh-CN"/>
        </w:rPr>
        <w:t>交工：指《公路工程竣（交）工验收办法》中的交工。通用合同条款中“竣工”一词具有相同含义。</w:t>
      </w:r>
    </w:p>
    <w:p w14:paraId="79BD09F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1.1.6.3</w:t>
      </w:r>
      <w:r>
        <w:rPr>
          <w:rFonts w:hint="eastAsia" w:ascii="宋体" w:hAnsi="宋体" w:eastAsia="宋体" w:cs="宋体"/>
          <w:color w:val="auto"/>
          <w:sz w:val="24"/>
          <w:highlight w:val="none"/>
          <w:lang w:val="zh-CN"/>
        </w:rPr>
        <w:t>交工验收：指《公路工程竣（交）工验收办法》中的交工验收。通用合同条款中“竣工验收”一词具有相同含义。</w:t>
      </w:r>
    </w:p>
    <w:p w14:paraId="294EAF8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1.1.6.4</w:t>
      </w:r>
      <w:r>
        <w:rPr>
          <w:rFonts w:hint="eastAsia" w:ascii="宋体" w:hAnsi="宋体" w:eastAsia="宋体" w:cs="宋体"/>
          <w:color w:val="auto"/>
          <w:sz w:val="24"/>
          <w:highlight w:val="none"/>
          <w:lang w:val="zh-CN"/>
        </w:rPr>
        <w:t>交工验收证书：指《公路工程竣（交）工验收办法》中的交工验收证书。通用合同条款中“工程接收证书”一词具有相同含义。</w:t>
      </w:r>
    </w:p>
    <w:p w14:paraId="0063569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1.1.6.5</w:t>
      </w:r>
      <w:r>
        <w:rPr>
          <w:rFonts w:hint="eastAsia" w:ascii="宋体" w:hAnsi="宋体" w:eastAsia="宋体" w:cs="宋体"/>
          <w:color w:val="auto"/>
          <w:sz w:val="24"/>
          <w:highlight w:val="none"/>
          <w:lang w:val="zh-CN"/>
        </w:rPr>
        <w:t>转包：指承包人违反法律和不履行合同规定的责任和义务，将中标工程全部委托或以专业分包的名义将中标工程肢解后全部委托给其他施工企业施工的行为。</w:t>
      </w:r>
    </w:p>
    <w:p w14:paraId="513D667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1.1.6.6</w:t>
      </w:r>
      <w:r>
        <w:rPr>
          <w:rFonts w:hint="eastAsia" w:ascii="宋体" w:hAnsi="宋体" w:eastAsia="宋体" w:cs="宋体"/>
          <w:color w:val="auto"/>
          <w:sz w:val="24"/>
          <w:highlight w:val="none"/>
          <w:lang w:val="zh-CN"/>
        </w:rPr>
        <w:t>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60B6050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1.1.6.7</w:t>
      </w:r>
      <w:r>
        <w:rPr>
          <w:rFonts w:hint="eastAsia" w:ascii="宋体" w:hAnsi="宋体" w:eastAsia="宋体" w:cs="宋体"/>
          <w:color w:val="auto"/>
          <w:sz w:val="24"/>
          <w:highlight w:val="none"/>
          <w:lang w:val="zh-CN"/>
        </w:rPr>
        <w:t>劳务分包：指承包人与具有劳务分包资质的劳务企业签订劳务分包合同，由劳务企业提供劳务人员及机具，由承包人统一组织施工，统一控制工程质量、施工进度、材料采购、生产安全的施工行为。</w:t>
      </w:r>
    </w:p>
    <w:p w14:paraId="07A40E6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1.1.6.8</w:t>
      </w:r>
      <w:r>
        <w:rPr>
          <w:rFonts w:hint="eastAsia" w:ascii="宋体" w:hAnsi="宋体" w:eastAsia="宋体" w:cs="宋体"/>
          <w:color w:val="auto"/>
          <w:sz w:val="24"/>
          <w:highlight w:val="none"/>
          <w:lang w:val="zh-CN"/>
        </w:rPr>
        <w:t>雇佣民工：指承包人与具有相应劳动能力的自然人签订劳动合同，由承包人统一组织管理，从事分项工程施工或配套工程施工的行为。</w:t>
      </w:r>
    </w:p>
    <w:p w14:paraId="12DD2C97">
      <w:pPr>
        <w:autoSpaceDE w:val="0"/>
        <w:autoSpaceDN w:val="0"/>
        <w:adjustRightInd w:val="0"/>
        <w:spacing w:line="360" w:lineRule="auto"/>
        <w:ind w:firstLine="560"/>
        <w:outlineLvl w:val="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w:t>
      </w:r>
      <w:r>
        <w:rPr>
          <w:rFonts w:hint="eastAsia" w:ascii="宋体" w:hAnsi="宋体" w:eastAsia="宋体" w:cs="宋体"/>
          <w:b/>
          <w:color w:val="auto"/>
          <w:sz w:val="24"/>
          <w:highlight w:val="none"/>
          <w:lang w:val="zh-CN"/>
        </w:rPr>
        <w:t>合同文件的优先顺序</w:t>
      </w:r>
    </w:p>
    <w:p w14:paraId="4B32FFE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本款约定为：</w:t>
      </w:r>
    </w:p>
    <w:p w14:paraId="5B7AA79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组成合同的各项文件应互相解释，互为说明。除项目专用合同条款另有约定外，解释合同文件的优先顺序如下：</w:t>
      </w:r>
    </w:p>
    <w:p w14:paraId="6A7F991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）合同协议书及各种合同附件（含评标期间和合同谈判过程中的澄清文件和补充资料）；</w:t>
      </w:r>
    </w:p>
    <w:p w14:paraId="6ED56265">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选定结果</w:t>
      </w:r>
      <w:r>
        <w:rPr>
          <w:rFonts w:hint="eastAsia" w:ascii="宋体" w:hAnsi="宋体" w:eastAsia="宋体" w:cs="宋体"/>
          <w:color w:val="auto"/>
          <w:sz w:val="24"/>
          <w:highlight w:val="none"/>
          <w:lang w:val="zh-CN"/>
        </w:rPr>
        <w:t>；</w:t>
      </w:r>
    </w:p>
    <w:p w14:paraId="0871C23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）项目专用合同条款；</w:t>
      </w:r>
    </w:p>
    <w:p w14:paraId="3F2E812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）公路工程专用合同条款；</w:t>
      </w:r>
    </w:p>
    <w:p w14:paraId="1F9C963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）通用合同条款；</w:t>
      </w:r>
    </w:p>
    <w:p w14:paraId="539210A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）技术规范；</w:t>
      </w:r>
    </w:p>
    <w:p w14:paraId="27F4E91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）图纸；</w:t>
      </w:r>
    </w:p>
    <w:p w14:paraId="22C5646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）已标价工程量清单；</w:t>
      </w:r>
    </w:p>
    <w:p w14:paraId="45A0032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zh-CN"/>
        </w:rPr>
        <w:t>）承包人有关人员、设备投入的承诺及投标文件中的施工组织设计；</w:t>
      </w:r>
    </w:p>
    <w:p w14:paraId="67194E6C">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）其他合同文件。</w:t>
      </w:r>
    </w:p>
    <w:p w14:paraId="3BAC0D5E">
      <w:pPr>
        <w:autoSpaceDE w:val="0"/>
        <w:autoSpaceDN w:val="0"/>
        <w:adjustRightInd w:val="0"/>
        <w:spacing w:line="360" w:lineRule="auto"/>
        <w:ind w:firstLine="560"/>
        <w:outlineLvl w:val="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r>
        <w:rPr>
          <w:rFonts w:hint="eastAsia" w:ascii="宋体" w:hAnsi="宋体" w:eastAsia="宋体" w:cs="宋体"/>
          <w:b/>
          <w:color w:val="auto"/>
          <w:sz w:val="24"/>
          <w:highlight w:val="none"/>
          <w:lang w:val="zh-CN"/>
        </w:rPr>
        <w:t>合同协议书</w:t>
      </w:r>
    </w:p>
    <w:p w14:paraId="5728A0E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承包人按中标通知书规定的时间与发包人签订合同协议书。除法律另有规定或合同另有约定外，发包人和承包人的法定代表人或其委托代理人在合同协议书上签字并盖单位章后，合同生效。</w:t>
      </w:r>
    </w:p>
    <w:p w14:paraId="2A00470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制备本合同文件的费用由发包人承担。在合同协议书签订并生效之前，</w:t>
      </w:r>
      <w:r>
        <w:rPr>
          <w:rFonts w:hint="eastAsia" w:ascii="宋体" w:hAnsi="宋体" w:eastAsia="宋体" w:cs="宋体"/>
          <w:color w:val="auto"/>
          <w:sz w:val="24"/>
          <w:highlight w:val="none"/>
        </w:rPr>
        <w:t>会议纪要</w:t>
      </w:r>
      <w:r>
        <w:rPr>
          <w:rFonts w:hint="eastAsia" w:ascii="宋体" w:hAnsi="宋体" w:eastAsia="宋体" w:cs="宋体"/>
          <w:color w:val="auto"/>
          <w:sz w:val="24"/>
          <w:highlight w:val="none"/>
          <w:lang w:val="zh-CN"/>
        </w:rPr>
        <w:t>将对双方具有约束力。</w:t>
      </w:r>
    </w:p>
    <w:p w14:paraId="4D9B5304">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w:t>
      </w:r>
      <w:r>
        <w:rPr>
          <w:rFonts w:hint="eastAsia" w:ascii="宋体" w:hAnsi="宋体" w:eastAsia="宋体" w:cs="宋体"/>
          <w:b/>
          <w:bCs/>
          <w:color w:val="auto"/>
          <w:sz w:val="24"/>
          <w:highlight w:val="none"/>
          <w:lang w:val="zh-CN"/>
        </w:rPr>
        <w:t>图纸和承包人文件</w:t>
      </w:r>
    </w:p>
    <w:p w14:paraId="4C9D40E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zh-CN"/>
        </w:rPr>
        <w:t>图纸的提供</w:t>
      </w:r>
    </w:p>
    <w:p w14:paraId="19C00B47">
      <w:pPr>
        <w:autoSpaceDE w:val="0"/>
        <w:autoSpaceDN w:val="0"/>
        <w:adjustRightIn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lang w:val="zh-CN"/>
        </w:rPr>
        <w:t>图纸的提供</w:t>
      </w:r>
    </w:p>
    <w:p w14:paraId="111DE5C2">
      <w:pPr>
        <w:autoSpaceDE w:val="0"/>
        <w:autoSpaceDN w:val="0"/>
        <w:adjustRightIn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监理人和承包人均应在施工场地各保存一套完整的包含第</w:t>
      </w: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zh-CN"/>
        </w:rPr>
        <w:t>项、第</w:t>
      </w:r>
      <w:r>
        <w:rPr>
          <w:rFonts w:hint="eastAsia" w:ascii="宋体" w:hAnsi="宋体" w:eastAsia="宋体" w:cs="宋体"/>
          <w:color w:val="auto"/>
          <w:sz w:val="24"/>
          <w:highlight w:val="none"/>
        </w:rPr>
        <w:t>1.6.2</w:t>
      </w:r>
      <w:r>
        <w:rPr>
          <w:rFonts w:hint="eastAsia" w:ascii="宋体" w:hAnsi="宋体" w:eastAsia="宋体" w:cs="宋体"/>
          <w:color w:val="auto"/>
          <w:sz w:val="24"/>
          <w:highlight w:val="none"/>
          <w:lang w:val="zh-CN"/>
        </w:rPr>
        <w:t>项、第</w:t>
      </w:r>
      <w:r>
        <w:rPr>
          <w:rFonts w:hint="eastAsia" w:ascii="宋体" w:hAnsi="宋体" w:eastAsia="宋体" w:cs="宋体"/>
          <w:color w:val="auto"/>
          <w:sz w:val="24"/>
          <w:highlight w:val="none"/>
        </w:rPr>
        <w:t>1.6.3</w:t>
      </w:r>
      <w:r>
        <w:rPr>
          <w:rFonts w:hint="eastAsia" w:ascii="宋体" w:hAnsi="宋体" w:eastAsia="宋体" w:cs="宋体"/>
          <w:color w:val="auto"/>
          <w:sz w:val="24"/>
          <w:highlight w:val="none"/>
          <w:lang w:val="zh-CN"/>
        </w:rPr>
        <w:t>项约定内容的图纸和承包人文件。</w:t>
      </w:r>
    </w:p>
    <w:p w14:paraId="4AAE333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监理人应在发出中标通知书之后</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zh-CN"/>
        </w:rPr>
        <w:t>天内，向承包人免费提供由发包人或其委托的设计单位设计的施工图纸、技术规范和其他技术资料</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份，并向承包人进行技术交底。</w:t>
      </w:r>
    </w:p>
    <w:p w14:paraId="221BE38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发包人应提交两套图纸给承包人，如承包人需要更多份数时，应自费复制。由于发包人未按时提供图纸造成工期延误的，按第</w:t>
      </w: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zh-CN"/>
        </w:rPr>
        <w:t>款的约定办理。</w:t>
      </w:r>
    </w:p>
    <w:p w14:paraId="04DBC743">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lang w:val="zh-CN"/>
        </w:rPr>
        <w:t>承包人提供的文件</w:t>
      </w:r>
    </w:p>
    <w:p w14:paraId="2C117639">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　　按专用合同条款约定由承包人提供的文件，包括部分工程的大样图、加工图等，承包人应按约定的数量和期限报送监理人。监理人应在专用合同条款约定的期限内批复。</w:t>
      </w:r>
    </w:p>
    <w:p w14:paraId="329CDF3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有下列情形之一的，承包人应免费向监理人提交相关部分工程的施工图纸</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份，并附必要的计算书、技术资料，或施工工艺图、设备安装图及安装设备的使用和维护手册各</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份供监理人批准。</w:t>
      </w:r>
    </w:p>
    <w:p w14:paraId="5ED1F97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）为使第</w:t>
      </w: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zh-CN"/>
        </w:rPr>
        <w:t>项所述的施工图纸适合于经施工测量后的纵、横断面；</w:t>
      </w:r>
    </w:p>
    <w:p w14:paraId="65007354">
      <w:pPr>
        <w:autoSpaceDE w:val="0"/>
        <w:autoSpaceDN w:val="0"/>
        <w:adjustRightInd w:val="0"/>
        <w:spacing w:line="360" w:lineRule="auto"/>
        <w:ind w:firstLine="56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）为使第</w:t>
      </w: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zh-CN"/>
        </w:rPr>
        <w:t>项所述的施工图纸适合于现场具体地形；</w:t>
      </w:r>
    </w:p>
    <w:p w14:paraId="599F217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）为使第</w:t>
      </w: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zh-CN"/>
        </w:rPr>
        <w:t>项所述的施工图纸适合于因尺寸与位置变化而引起局部变更；</w:t>
      </w:r>
    </w:p>
    <w:p w14:paraId="6CB38A91">
      <w:pPr>
        <w:autoSpaceDE w:val="0"/>
        <w:autoSpaceDN w:val="0"/>
        <w:adjustRightInd w:val="0"/>
        <w:spacing w:line="360" w:lineRule="auto"/>
        <w:ind w:firstLine="56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由于合同要求与施工需要。</w:t>
      </w:r>
    </w:p>
    <w:p w14:paraId="6F9A000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此类图纸应按监理人规定的格式和图幅绘制。监理人在收到由承包人绘制的上述工程、工艺图纸、计算书和有关技术资料后</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天内应予批准或提出修改要求，承包人应按监理人提出的要求做出修改，重新向监理人提交，监理人应在</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天内批准或提出进一步的修改意见。</w:t>
      </w:r>
    </w:p>
    <w:p w14:paraId="0FE7231D">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highlight w:val="none"/>
          <w:lang w:val="zh-CN"/>
        </w:rPr>
        <w:t>图纸的错误</w:t>
      </w:r>
    </w:p>
    <w:p w14:paraId="567DC88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39FB4847">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1.9严禁贿赂</w:t>
      </w:r>
    </w:p>
    <w:p w14:paraId="054145F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合同双方当事人不得以贿赂或变相贿赂的方式，谋取不当利益或损害对方权益。因贿赂造成对方损失的，行为人应赔偿损失，并承担相应的法律责任。</w:t>
      </w:r>
    </w:p>
    <w:p w14:paraId="516279E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379C02BE">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07" w:name="_Toc25403"/>
      <w:bookmarkStart w:id="408" w:name="_Toc24706"/>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zh-CN"/>
        </w:rPr>
        <w:t>发包人义务</w:t>
      </w:r>
      <w:bookmarkEnd w:id="407"/>
      <w:bookmarkEnd w:id="408"/>
    </w:p>
    <w:p w14:paraId="626975B9">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zh-CN"/>
        </w:rPr>
        <w:t>提供施工场地</w:t>
      </w:r>
    </w:p>
    <w:p w14:paraId="28B9523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发包人负责办理永久占地的征用及与之有关的拆迁赔偿手续并承担相关费用。承包人在按第</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条规定提交施工进度计划的同时，应向监理人提交一份按施工先后次序所需的永久占地计划。监理人应在收到此计划后的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32F2D9F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29264E83">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09" w:name="_Toc28703"/>
      <w:bookmarkStart w:id="410" w:name="_Toc2035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zh-CN"/>
        </w:rPr>
        <w:t>监理人</w:t>
      </w:r>
      <w:bookmarkEnd w:id="409"/>
      <w:bookmarkEnd w:id="410"/>
    </w:p>
    <w:p w14:paraId="6D228F55">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  </w:t>
      </w:r>
      <w:r>
        <w:rPr>
          <w:rFonts w:hint="eastAsia" w:ascii="宋体" w:hAnsi="宋体" w:eastAsia="宋体" w:cs="宋体"/>
          <w:color w:val="auto"/>
          <w:sz w:val="24"/>
          <w:highlight w:val="none"/>
          <w:lang w:val="zh-CN"/>
        </w:rPr>
        <w:t>监理人的职责和权力</w:t>
      </w:r>
    </w:p>
    <w:p w14:paraId="325F545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3.1.1 </w:t>
      </w:r>
      <w:r>
        <w:rPr>
          <w:rFonts w:hint="eastAsia" w:ascii="宋体" w:hAnsi="宋体" w:eastAsia="宋体" w:cs="宋体"/>
          <w:color w:val="auto"/>
          <w:sz w:val="24"/>
          <w:highlight w:val="none"/>
          <w:lang w:val="zh-CN"/>
        </w:rPr>
        <w:t>监理人受发包人委托，享有合同约定的权力。监理人在行使某项权力前需要经发包人事先批准而通用合同条款没有指明的，应在专用合同条款中指明。</w:t>
      </w:r>
    </w:p>
    <w:p w14:paraId="41BCDCA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监理人在行使下列权力前需要经发包人事先批准：</w:t>
      </w:r>
    </w:p>
    <w:p w14:paraId="0FF6BD2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）根据第</w:t>
      </w:r>
      <w:r>
        <w:rPr>
          <w:rFonts w:hint="eastAsia" w:ascii="宋体" w:hAnsi="宋体" w:eastAsia="宋体" w:cs="宋体"/>
          <w:color w:val="auto"/>
          <w:sz w:val="24"/>
          <w:highlight w:val="none"/>
        </w:rPr>
        <w:t>4.3</w:t>
      </w:r>
      <w:r>
        <w:rPr>
          <w:rFonts w:hint="eastAsia" w:ascii="宋体" w:hAnsi="宋体" w:eastAsia="宋体" w:cs="宋体"/>
          <w:color w:val="auto"/>
          <w:sz w:val="24"/>
          <w:highlight w:val="none"/>
          <w:lang w:val="zh-CN"/>
        </w:rPr>
        <w:t>款，同意分包本工程的某些非主体和非关键性工作；</w:t>
      </w:r>
    </w:p>
    <w:p w14:paraId="235EC53B">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）确定第</w:t>
      </w:r>
      <w:r>
        <w:rPr>
          <w:rFonts w:hint="eastAsia" w:ascii="宋体" w:hAnsi="宋体" w:eastAsia="宋体" w:cs="宋体"/>
          <w:color w:val="auto"/>
          <w:sz w:val="24"/>
          <w:highlight w:val="none"/>
        </w:rPr>
        <w:t>4.11</w:t>
      </w:r>
      <w:r>
        <w:rPr>
          <w:rFonts w:hint="eastAsia" w:ascii="宋体" w:hAnsi="宋体" w:eastAsia="宋体" w:cs="宋体"/>
          <w:color w:val="auto"/>
          <w:sz w:val="24"/>
          <w:highlight w:val="none"/>
          <w:lang w:val="zh-CN"/>
        </w:rPr>
        <w:t>款下产生的费用增加额；</w:t>
      </w:r>
    </w:p>
    <w:p w14:paraId="6681315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）根据第</w:t>
      </w:r>
      <w:r>
        <w:rPr>
          <w:rFonts w:hint="eastAsia" w:ascii="宋体" w:hAnsi="宋体" w:eastAsia="宋体" w:cs="宋体"/>
          <w:color w:val="auto"/>
          <w:sz w:val="24"/>
          <w:highlight w:val="none"/>
        </w:rPr>
        <w:t>11.1</w:t>
      </w:r>
      <w:r>
        <w:rPr>
          <w:rFonts w:hint="eastAsia" w:ascii="宋体" w:hAnsi="宋体" w:eastAsia="宋体" w:cs="宋体"/>
          <w:color w:val="auto"/>
          <w:sz w:val="24"/>
          <w:highlight w:val="none"/>
          <w:lang w:val="zh-CN"/>
        </w:rPr>
        <w:t>款、第</w:t>
      </w:r>
      <w:r>
        <w:rPr>
          <w:rFonts w:hint="eastAsia" w:ascii="宋体" w:hAnsi="宋体" w:eastAsia="宋体" w:cs="宋体"/>
          <w:color w:val="auto"/>
          <w:sz w:val="24"/>
          <w:highlight w:val="none"/>
        </w:rPr>
        <w:t>12.3</w:t>
      </w:r>
      <w:r>
        <w:rPr>
          <w:rFonts w:hint="eastAsia" w:ascii="宋体" w:hAnsi="宋体" w:eastAsia="宋体" w:cs="宋体"/>
          <w:color w:val="auto"/>
          <w:sz w:val="24"/>
          <w:highlight w:val="none"/>
          <w:lang w:val="zh-CN"/>
        </w:rPr>
        <w:t>款、第</w:t>
      </w:r>
      <w:r>
        <w:rPr>
          <w:rFonts w:hint="eastAsia" w:ascii="宋体" w:hAnsi="宋体" w:eastAsia="宋体" w:cs="宋体"/>
          <w:color w:val="auto"/>
          <w:sz w:val="24"/>
          <w:highlight w:val="none"/>
        </w:rPr>
        <w:t>12.4</w:t>
      </w:r>
      <w:r>
        <w:rPr>
          <w:rFonts w:hint="eastAsia" w:ascii="宋体" w:hAnsi="宋体" w:eastAsia="宋体" w:cs="宋体"/>
          <w:color w:val="auto"/>
          <w:sz w:val="24"/>
          <w:highlight w:val="none"/>
          <w:lang w:val="zh-CN"/>
        </w:rPr>
        <w:t>款发布开工通知、暂停施工指示或复工通知；</w:t>
      </w:r>
    </w:p>
    <w:p w14:paraId="4721002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）决定第</w:t>
      </w: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zh-CN"/>
        </w:rPr>
        <w:t>款、第</w:t>
      </w:r>
      <w:r>
        <w:rPr>
          <w:rFonts w:hint="eastAsia" w:ascii="宋体" w:hAnsi="宋体" w:eastAsia="宋体" w:cs="宋体"/>
          <w:color w:val="auto"/>
          <w:sz w:val="24"/>
          <w:highlight w:val="none"/>
        </w:rPr>
        <w:t>11.4</w:t>
      </w:r>
      <w:r>
        <w:rPr>
          <w:rFonts w:hint="eastAsia" w:ascii="宋体" w:hAnsi="宋体" w:eastAsia="宋体" w:cs="宋体"/>
          <w:color w:val="auto"/>
          <w:sz w:val="24"/>
          <w:highlight w:val="none"/>
          <w:lang w:val="zh-CN"/>
        </w:rPr>
        <w:t>款下的工期延长；</w:t>
      </w:r>
    </w:p>
    <w:p w14:paraId="08B25C9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）审查批准技术规范或设计的变更；</w:t>
      </w:r>
    </w:p>
    <w:p w14:paraId="2BED6C4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）根据第</w:t>
      </w:r>
      <w:r>
        <w:rPr>
          <w:rFonts w:hint="eastAsia" w:ascii="宋体" w:hAnsi="宋体" w:eastAsia="宋体" w:cs="宋体"/>
          <w:color w:val="auto"/>
          <w:sz w:val="24"/>
          <w:highlight w:val="none"/>
        </w:rPr>
        <w:t>15.3</w:t>
      </w:r>
      <w:r>
        <w:rPr>
          <w:rFonts w:hint="eastAsia" w:ascii="宋体" w:hAnsi="宋体" w:eastAsia="宋体" w:cs="宋体"/>
          <w:color w:val="auto"/>
          <w:sz w:val="24"/>
          <w:highlight w:val="none"/>
          <w:lang w:val="zh-CN"/>
        </w:rPr>
        <w:t>款发出的变更指示，其单项工程变更或累计变更涉及的金额超过了项目专用合同条款数据表中规定的金额；</w:t>
      </w:r>
    </w:p>
    <w:p w14:paraId="12E2823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）确定第</w:t>
      </w:r>
      <w:r>
        <w:rPr>
          <w:rFonts w:hint="eastAsia" w:ascii="宋体" w:hAnsi="宋体" w:eastAsia="宋体" w:cs="宋体"/>
          <w:color w:val="auto"/>
          <w:sz w:val="24"/>
          <w:highlight w:val="none"/>
        </w:rPr>
        <w:t>15.4</w:t>
      </w:r>
      <w:r>
        <w:rPr>
          <w:rFonts w:hint="eastAsia" w:ascii="宋体" w:hAnsi="宋体" w:eastAsia="宋体" w:cs="宋体"/>
          <w:color w:val="auto"/>
          <w:sz w:val="24"/>
          <w:highlight w:val="none"/>
          <w:lang w:val="zh-CN"/>
        </w:rPr>
        <w:t>款下变更工作的单价；</w:t>
      </w:r>
    </w:p>
    <w:p w14:paraId="0F715C7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）按照第</w:t>
      </w:r>
      <w:r>
        <w:rPr>
          <w:rFonts w:hint="eastAsia" w:ascii="宋体" w:hAnsi="宋体" w:eastAsia="宋体" w:cs="宋体"/>
          <w:color w:val="auto"/>
          <w:sz w:val="24"/>
          <w:highlight w:val="none"/>
        </w:rPr>
        <w:t>15.6</w:t>
      </w:r>
      <w:r>
        <w:rPr>
          <w:rFonts w:hint="eastAsia" w:ascii="宋体" w:hAnsi="宋体" w:eastAsia="宋体" w:cs="宋体"/>
          <w:color w:val="auto"/>
          <w:sz w:val="24"/>
          <w:highlight w:val="none"/>
          <w:lang w:val="zh-CN"/>
        </w:rPr>
        <w:t>款决定有关暂列金额的使用；</w:t>
      </w:r>
    </w:p>
    <w:p w14:paraId="405D2E2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zh-CN"/>
        </w:rPr>
        <w:t>）确定第</w:t>
      </w:r>
      <w:r>
        <w:rPr>
          <w:rFonts w:hint="eastAsia" w:ascii="宋体" w:hAnsi="宋体" w:eastAsia="宋体" w:cs="宋体"/>
          <w:color w:val="auto"/>
          <w:sz w:val="24"/>
          <w:highlight w:val="none"/>
        </w:rPr>
        <w:t>15.8</w:t>
      </w:r>
      <w:r>
        <w:rPr>
          <w:rFonts w:hint="eastAsia" w:ascii="宋体" w:hAnsi="宋体" w:eastAsia="宋体" w:cs="宋体"/>
          <w:color w:val="auto"/>
          <w:sz w:val="24"/>
          <w:highlight w:val="none"/>
          <w:lang w:val="zh-CN"/>
        </w:rPr>
        <w:t>款项下的暂估价金额；</w:t>
      </w:r>
    </w:p>
    <w:p w14:paraId="7B7F283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）确定第</w:t>
      </w: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val="zh-CN"/>
        </w:rPr>
        <w:t>款项下的索赔额。</w:t>
      </w:r>
    </w:p>
    <w:p w14:paraId="6AC60DA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w:t>
      </w:r>
    </w:p>
    <w:p w14:paraId="18CFDA12">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商定或确定</w:t>
      </w:r>
    </w:p>
    <w:p w14:paraId="04255C9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3.5.1</w:t>
      </w:r>
      <w:r>
        <w:rPr>
          <w:rFonts w:hint="eastAsia" w:ascii="宋体" w:hAnsi="宋体" w:eastAsia="宋体" w:cs="宋体"/>
          <w:color w:val="auto"/>
          <w:sz w:val="24"/>
          <w:highlight w:val="none"/>
          <w:lang w:val="zh-CN"/>
        </w:rPr>
        <w:t>合同约定总监理工程师应按照本款对任何事项进行商定或确定时，总监理工程师应与合同当事人协商，尽量达成一致。不能达成一致的，总监理工程师应认真研究后审慎确定。</w:t>
      </w:r>
    </w:p>
    <w:p w14:paraId="79D638BA">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如果这项商定或确定导致费用增加和（或）工期延长，或者涉及确定变更工程的价格，则总监理工程师在发出通知前，应征得发包人的同意。</w:t>
      </w:r>
    </w:p>
    <w:p w14:paraId="4754D10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3.5.2 </w:t>
      </w:r>
      <w:r>
        <w:rPr>
          <w:rFonts w:hint="eastAsia" w:ascii="宋体" w:hAnsi="宋体" w:eastAsia="宋体" w:cs="宋体"/>
          <w:color w:val="auto"/>
          <w:sz w:val="24"/>
          <w:highlight w:val="none"/>
          <w:lang w:val="zh-CN"/>
        </w:rPr>
        <w:t>总监理工程师应将商定或确定的事项通知合同当事人，并附详细依据。对总监理工程师的确定有异议的，构成争议，按照第</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zh-CN"/>
        </w:rPr>
        <w:t>条的约定处理。在争议解决前，双方应暂按总监理工程师的确定执行，按照第</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zh-CN"/>
        </w:rPr>
        <w:t>条的约定对总监理工程师的确定作出修改的，按修改后的结果执行。</w:t>
      </w:r>
    </w:p>
    <w:p w14:paraId="06034832">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11" w:name="_Toc3212"/>
      <w:bookmarkStart w:id="412" w:name="_Toc4578"/>
      <w:r>
        <w:rPr>
          <w:rFonts w:hint="eastAsia" w:ascii="宋体" w:hAnsi="宋体" w:eastAsia="宋体" w:cs="宋体"/>
          <w:b/>
          <w:color w:val="auto"/>
          <w:sz w:val="24"/>
          <w:highlight w:val="none"/>
        </w:rPr>
        <w:t xml:space="preserve">4. </w:t>
      </w:r>
      <w:r>
        <w:rPr>
          <w:rFonts w:hint="eastAsia" w:ascii="宋体" w:hAnsi="宋体" w:eastAsia="宋体" w:cs="宋体"/>
          <w:b/>
          <w:color w:val="auto"/>
          <w:sz w:val="24"/>
          <w:highlight w:val="none"/>
          <w:lang w:val="zh-CN"/>
        </w:rPr>
        <w:t>承包人</w:t>
      </w:r>
      <w:bookmarkEnd w:id="411"/>
      <w:bookmarkEnd w:id="412"/>
    </w:p>
    <w:p w14:paraId="4A63FE7F">
      <w:pPr>
        <w:keepNext/>
        <w:keepLines/>
        <w:autoSpaceDE w:val="0"/>
        <w:autoSpaceDN w:val="0"/>
        <w:adjustRightInd w:val="0"/>
        <w:spacing w:line="360" w:lineRule="auto"/>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 </w:t>
      </w:r>
      <w:r>
        <w:rPr>
          <w:rFonts w:hint="eastAsia" w:ascii="宋体" w:hAnsi="宋体" w:eastAsia="宋体" w:cs="宋体"/>
          <w:color w:val="auto"/>
          <w:sz w:val="24"/>
          <w:highlight w:val="none"/>
          <w:lang w:val="zh-CN"/>
        </w:rPr>
        <w:t>承包人的一般义务</w:t>
      </w:r>
    </w:p>
    <w:p w14:paraId="35735C17">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z w:val="24"/>
          <w:highlight w:val="none"/>
          <w:lang w:val="zh-CN"/>
        </w:rPr>
        <w:t>遵守法律</w:t>
      </w:r>
    </w:p>
    <w:p w14:paraId="7839E38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承包人在履行合同过程中应遵守法律，并保证发包人免于承担因承包人违反法律而引起的任何责任。</w:t>
      </w:r>
    </w:p>
    <w:p w14:paraId="6E91A019">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4.1.2 </w:t>
      </w:r>
      <w:r>
        <w:rPr>
          <w:rFonts w:hint="eastAsia" w:ascii="宋体" w:hAnsi="宋体" w:eastAsia="宋体" w:cs="宋体"/>
          <w:color w:val="auto"/>
          <w:sz w:val="24"/>
          <w:highlight w:val="none"/>
          <w:lang w:val="zh-CN"/>
        </w:rPr>
        <w:t>依法纳税</w:t>
      </w:r>
    </w:p>
    <w:p w14:paraId="745BA6E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承包人应按有关法律规定纳税，应缴纳的税金包括在合同价格内。</w:t>
      </w:r>
    </w:p>
    <w:p w14:paraId="23BD7A36">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4.1.3 </w:t>
      </w:r>
      <w:r>
        <w:rPr>
          <w:rFonts w:hint="eastAsia" w:ascii="宋体" w:hAnsi="宋体" w:eastAsia="宋体" w:cs="宋体"/>
          <w:color w:val="auto"/>
          <w:sz w:val="24"/>
          <w:highlight w:val="none"/>
          <w:lang w:val="zh-CN"/>
        </w:rPr>
        <w:t>完成各项承包工作</w:t>
      </w:r>
    </w:p>
    <w:p w14:paraId="37CBFB5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承包人应按合同约定以及监理人根据第</w:t>
      </w: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zh-CN"/>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6E054DC">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4.1.4 </w:t>
      </w:r>
      <w:r>
        <w:rPr>
          <w:rFonts w:hint="eastAsia" w:ascii="宋体" w:hAnsi="宋体" w:eastAsia="宋体" w:cs="宋体"/>
          <w:color w:val="auto"/>
          <w:sz w:val="24"/>
          <w:highlight w:val="none"/>
          <w:lang w:val="zh-CN"/>
        </w:rPr>
        <w:t>对施工作业和施工方法的完备性负责</w:t>
      </w:r>
    </w:p>
    <w:p w14:paraId="116460E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承包人应按合同约定的工作内容和施工进度要求，编制施工组织设计和施工措施计划，并对所有施工作业和施工方法的完备性和安全可靠性负责。</w:t>
      </w:r>
    </w:p>
    <w:p w14:paraId="7A54C8B5">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4.1.5 </w:t>
      </w:r>
      <w:r>
        <w:rPr>
          <w:rFonts w:hint="eastAsia" w:ascii="宋体" w:hAnsi="宋体" w:eastAsia="宋体" w:cs="宋体"/>
          <w:color w:val="auto"/>
          <w:sz w:val="24"/>
          <w:highlight w:val="none"/>
          <w:lang w:val="zh-CN"/>
        </w:rPr>
        <w:t>保证工程施工和人员的安全</w:t>
      </w:r>
    </w:p>
    <w:p w14:paraId="38C4CF4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承包人应按第</w:t>
      </w:r>
      <w:r>
        <w:rPr>
          <w:rFonts w:hint="eastAsia" w:ascii="宋体" w:hAnsi="宋体" w:eastAsia="宋体" w:cs="宋体"/>
          <w:color w:val="auto"/>
          <w:sz w:val="24"/>
          <w:highlight w:val="none"/>
        </w:rPr>
        <w:t>9.2</w:t>
      </w:r>
      <w:r>
        <w:rPr>
          <w:rFonts w:hint="eastAsia" w:ascii="宋体" w:hAnsi="宋体" w:eastAsia="宋体" w:cs="宋体"/>
          <w:color w:val="auto"/>
          <w:sz w:val="24"/>
          <w:highlight w:val="none"/>
          <w:lang w:val="zh-CN"/>
        </w:rPr>
        <w:t>款约定采取施工安全措施，确保工程及其人员、材料、设备和设施的安全，防止因工程施工造成的人身伤害和财产损失。</w:t>
      </w:r>
    </w:p>
    <w:p w14:paraId="2213151F">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4.1.6 </w:t>
      </w:r>
      <w:r>
        <w:rPr>
          <w:rFonts w:hint="eastAsia" w:ascii="宋体" w:hAnsi="宋体" w:eastAsia="宋体" w:cs="宋体"/>
          <w:color w:val="auto"/>
          <w:sz w:val="24"/>
          <w:highlight w:val="none"/>
          <w:lang w:val="zh-CN"/>
        </w:rPr>
        <w:t>负责施工场地及其周边环境与生态的保护工作</w:t>
      </w:r>
    </w:p>
    <w:p w14:paraId="5DF6014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承包人应按照第</w:t>
      </w:r>
      <w:r>
        <w:rPr>
          <w:rFonts w:hint="eastAsia" w:ascii="宋体" w:hAnsi="宋体" w:eastAsia="宋体" w:cs="宋体"/>
          <w:color w:val="auto"/>
          <w:sz w:val="24"/>
          <w:highlight w:val="none"/>
        </w:rPr>
        <w:t>9.4</w:t>
      </w:r>
      <w:r>
        <w:rPr>
          <w:rFonts w:hint="eastAsia" w:ascii="宋体" w:hAnsi="宋体" w:eastAsia="宋体" w:cs="宋体"/>
          <w:color w:val="auto"/>
          <w:sz w:val="24"/>
          <w:highlight w:val="none"/>
          <w:lang w:val="zh-CN"/>
        </w:rPr>
        <w:t>款约定负责施工场地及其周边环境与生态的保护工作。</w:t>
      </w:r>
    </w:p>
    <w:p w14:paraId="29A7266F">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4.1.7 </w:t>
      </w:r>
      <w:r>
        <w:rPr>
          <w:rFonts w:hint="eastAsia" w:ascii="宋体" w:hAnsi="宋体" w:eastAsia="宋体" w:cs="宋体"/>
          <w:color w:val="auto"/>
          <w:sz w:val="24"/>
          <w:highlight w:val="none"/>
          <w:lang w:val="zh-CN"/>
        </w:rPr>
        <w:t>避免施工对公众与他人的利益造成损害</w:t>
      </w:r>
    </w:p>
    <w:p w14:paraId="42332B7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2389338">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4.1.8 </w:t>
      </w:r>
      <w:r>
        <w:rPr>
          <w:rFonts w:hint="eastAsia" w:ascii="宋体" w:hAnsi="宋体" w:eastAsia="宋体" w:cs="宋体"/>
          <w:color w:val="auto"/>
          <w:sz w:val="24"/>
          <w:highlight w:val="none"/>
          <w:lang w:val="zh-CN"/>
        </w:rPr>
        <w:t>为他人提供方便</w:t>
      </w:r>
    </w:p>
    <w:p w14:paraId="22C81B6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承包人应按监理人的指示为他人在施工场地或附近实施与工程有关的其他各项工作提供可能的条件。除合同另有约定外，提供有关条件的内容和可能发生的费用，由监理人按第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w:t>
      </w:r>
    </w:p>
    <w:p w14:paraId="46753898">
      <w:pPr>
        <w:autoSpaceDE w:val="0"/>
        <w:autoSpaceDN w:val="0"/>
        <w:adjustRightInd w:val="0"/>
        <w:spacing w:line="360" w:lineRule="auto"/>
        <w:ind w:firstLine="42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4.1.9 </w:t>
      </w:r>
      <w:r>
        <w:rPr>
          <w:rFonts w:hint="eastAsia" w:ascii="宋体" w:hAnsi="宋体" w:eastAsia="宋体" w:cs="宋体"/>
          <w:color w:val="auto"/>
          <w:sz w:val="24"/>
          <w:highlight w:val="none"/>
          <w:lang w:val="zh-CN"/>
        </w:rPr>
        <w:t>工程的维护和照管</w:t>
      </w:r>
    </w:p>
    <w:p w14:paraId="7512EE2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工程接收证书颁发前，承包人应负责照管和维护工程。工程接收证书颁发时尚有部分未竣工工程的，承包人还应负责该未竣工工程的照管和维护工作，直至竣工后移交给发包人为止．</w:t>
      </w:r>
    </w:p>
    <w:p w14:paraId="3923BEE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13877E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）在承包人负责照管与维护期间，如果本工程或材料、设备等发生损失或损害，除不可抗力原因之外，承包人均应自费弥补，并达到合同要求。承包人还应对按第</w:t>
      </w: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zh-CN"/>
        </w:rPr>
        <w:t>条规定而实施作业的过程中由承包人造成的对工程的任何损失或损害负责。</w:t>
      </w:r>
    </w:p>
    <w:p w14:paraId="5A846C28">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4.1.10</w:t>
      </w:r>
      <w:r>
        <w:rPr>
          <w:rFonts w:hint="eastAsia" w:ascii="宋体" w:hAnsi="宋体" w:eastAsia="宋体" w:cs="宋体"/>
          <w:color w:val="auto"/>
          <w:sz w:val="24"/>
          <w:highlight w:val="none"/>
          <w:lang w:val="zh-CN"/>
        </w:rPr>
        <w:t>其他义务</w:t>
      </w:r>
    </w:p>
    <w:p w14:paraId="33BE142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）临时占地由承包人向当地政府土地管理部门申请，并办理租用手续，承包人按有关规定直接支付其费用，发包人对此将予以协调。</w:t>
      </w:r>
    </w:p>
    <w:p w14:paraId="75DE900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人工程量清单</w:t>
      </w:r>
      <w:r>
        <w:rPr>
          <w:rFonts w:hint="eastAsia" w:ascii="宋体" w:hAnsi="宋体" w:eastAsia="宋体" w:cs="宋体"/>
          <w:color w:val="auto"/>
          <w:sz w:val="24"/>
          <w:highlight w:val="none"/>
        </w:rPr>
        <w:t>100</w:t>
      </w:r>
      <w:r>
        <w:rPr>
          <w:rFonts w:hint="eastAsia" w:ascii="宋体" w:hAnsi="宋体" w:eastAsia="宋体" w:cs="宋体"/>
          <w:color w:val="auto"/>
          <w:sz w:val="24"/>
          <w:highlight w:val="none"/>
          <w:lang w:val="zh-CN"/>
        </w:rPr>
        <w:t>章中由承包人按总额报价。</w:t>
      </w:r>
    </w:p>
    <w:p w14:paraId="3D0438E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9EA0DF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7FD891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45AA508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0CA1EA2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工资支付表应如实记录支付单位、支付时间、支付对象、支付数额、支付对象的身份证号和签字等信息。民工花名册和工资支付表应报监理人备查。</w:t>
      </w:r>
    </w:p>
    <w:p w14:paraId="0C08DA8B">
      <w:pPr>
        <w:autoSpaceDE w:val="0"/>
        <w:autoSpaceDN w:val="0"/>
        <w:adjustRightInd w:val="0"/>
        <w:spacing w:line="360" w:lineRule="auto"/>
        <w:ind w:firstLine="56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）承包人应履行项目专用合同条款约定的其他义务。</w:t>
      </w:r>
    </w:p>
    <w:p w14:paraId="05179234">
      <w:pPr>
        <w:autoSpaceDE w:val="0"/>
        <w:autoSpaceDN w:val="0"/>
        <w:adjustRightInd w:val="0"/>
        <w:spacing w:line="360" w:lineRule="auto"/>
        <w:ind w:firstLine="560"/>
        <w:outlineLvl w:val="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4.3</w:t>
      </w:r>
      <w:r>
        <w:rPr>
          <w:rFonts w:hint="eastAsia" w:ascii="宋体" w:hAnsi="宋体" w:eastAsia="宋体" w:cs="宋体"/>
          <w:b/>
          <w:color w:val="auto"/>
          <w:sz w:val="24"/>
          <w:highlight w:val="none"/>
          <w:lang w:val="zh-CN"/>
        </w:rPr>
        <w:t>分包</w:t>
      </w:r>
    </w:p>
    <w:p w14:paraId="1EDB4C5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4.3.1 </w:t>
      </w:r>
      <w:r>
        <w:rPr>
          <w:rFonts w:hint="eastAsia" w:ascii="宋体" w:hAnsi="宋体" w:eastAsia="宋体" w:cs="宋体"/>
          <w:color w:val="auto"/>
          <w:sz w:val="24"/>
          <w:highlight w:val="none"/>
          <w:lang w:val="zh-CN"/>
        </w:rPr>
        <w:t>承包人不得将其承包的全部工程转包给第三人，或将其承包的全部工程肢解后以分包的名义转包给第三人。</w:t>
      </w:r>
    </w:p>
    <w:p w14:paraId="1B0136A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zh-CN"/>
        </w:rPr>
        <w:t>承包人不得将工程主体、关键性工作分包给第三人。经发包人同意，承包人可将工程的其他部分或工作分包给第三人。分包包括专业分包和劳务分包。</w:t>
      </w:r>
    </w:p>
    <w:p w14:paraId="3A2E9731">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4.3.3</w:t>
      </w:r>
      <w:r>
        <w:rPr>
          <w:rFonts w:hint="eastAsia" w:ascii="宋体" w:hAnsi="宋体" w:eastAsia="宋体" w:cs="宋体"/>
          <w:color w:val="auto"/>
          <w:sz w:val="24"/>
          <w:highlight w:val="none"/>
          <w:lang w:val="zh-CN"/>
        </w:rPr>
        <w:t>专业分包</w:t>
      </w:r>
    </w:p>
    <w:p w14:paraId="25FAF6A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在工程施工过程中，承包人进行专业分包必须遵守以下规定：</w:t>
      </w:r>
    </w:p>
    <w:p w14:paraId="7A8C761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）允许专业分包的工程范围仅限于分部工程或分项工程、适合专业化队伍施工的工程，专业分包的工程量累计不得超过总工程量的</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zh-CN"/>
        </w:rPr>
        <w:t>％。</w:t>
      </w:r>
    </w:p>
    <w:p w14:paraId="18D3846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）专业分包人的资格能力（含安全生产能力）应与其分包工程的标准和规模相适应，具备相应的专业承包资质。</w:t>
      </w:r>
    </w:p>
    <w:p w14:paraId="2FD81784">
      <w:pPr>
        <w:autoSpaceDE w:val="0"/>
        <w:autoSpaceDN w:val="0"/>
        <w:adjustRightInd w:val="0"/>
        <w:spacing w:line="360" w:lineRule="auto"/>
        <w:ind w:firstLine="56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）专业分包工程不得再次分包。</w:t>
      </w:r>
    </w:p>
    <w:p w14:paraId="08B3A693">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）承包人和专业分包人应当依法签订专业分包合同，并按照合同履行约定的义务。专业分包合同必须明确约定工程款支付条款、结算方式以及保证按期支付的相应措施，确保工程款的支付。</w:t>
      </w:r>
    </w:p>
    <w:p w14:paraId="0CC644A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24C35C8B">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）所有专业分包计划和专业分包合同须报监理人审批，并报发包人核备。监理人审批专业分包并不解除合同规定的承包人的任何责任或义务。</w:t>
      </w:r>
    </w:p>
    <w:p w14:paraId="4900AF3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违反上述规定之一者属违规分包</w:t>
      </w:r>
    </w:p>
    <w:p w14:paraId="05876F92">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z w:val="24"/>
          <w:highlight w:val="none"/>
          <w:lang w:val="zh-CN"/>
        </w:rPr>
        <w:t>劳务分包</w:t>
      </w:r>
    </w:p>
    <w:p w14:paraId="26679D9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在工程施工过程中，承包人进行劳务分包必须遵守以下规定：</w:t>
      </w:r>
    </w:p>
    <w:p w14:paraId="6A41268C">
      <w:pPr>
        <w:autoSpaceDE w:val="0"/>
        <w:autoSpaceDN w:val="0"/>
        <w:adjustRightInd w:val="0"/>
        <w:spacing w:line="360" w:lineRule="auto"/>
        <w:ind w:firstLine="360" w:firstLineChars="150"/>
        <w:outlineLvl w:val="6"/>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）劳务分包人应具有劳务分包资质。</w:t>
      </w:r>
    </w:p>
    <w:p w14:paraId="1E0B5C9B">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8A4BBD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）承包人雇用的劳务作业应加入到承包人的施工班组统一管理。有关施工质量、施工安全、施工进度、环境保护、技术方案、试验检测、材料保管与供应、机械设备等都必须由承包人管理与调配，不得以包代管。</w:t>
      </w:r>
    </w:p>
    <w:p w14:paraId="203B95A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）承包人应当对劳务分包人员进行安全培训和管理，劳务分包人不得将其分包的劳务作业再次分包。</w:t>
      </w:r>
    </w:p>
    <w:p w14:paraId="2D615DB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违反上述规定之一者属违规分包。</w:t>
      </w:r>
    </w:p>
    <w:p w14:paraId="132ABC7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本款补充第</w:t>
      </w:r>
      <w:r>
        <w:rPr>
          <w:rFonts w:hint="eastAsia" w:ascii="宋体" w:hAnsi="宋体" w:eastAsia="宋体" w:cs="宋体"/>
          <w:color w:val="auto"/>
          <w:sz w:val="24"/>
          <w:highlight w:val="none"/>
        </w:rPr>
        <w:t>4.3.6</w:t>
      </w:r>
      <w:r>
        <w:rPr>
          <w:rFonts w:hint="eastAsia" w:ascii="宋体" w:hAnsi="宋体" w:eastAsia="宋体" w:cs="宋体"/>
          <w:color w:val="auto"/>
          <w:sz w:val="24"/>
          <w:highlight w:val="none"/>
          <w:lang w:val="zh-CN"/>
        </w:rPr>
        <w:t>项：</w:t>
      </w:r>
    </w:p>
    <w:p w14:paraId="3A182B4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4.3.6</w:t>
      </w:r>
      <w:r>
        <w:rPr>
          <w:rFonts w:hint="eastAsia" w:ascii="宋体" w:hAnsi="宋体" w:eastAsia="宋体" w:cs="宋体"/>
          <w:color w:val="auto"/>
          <w:sz w:val="24"/>
          <w:highlight w:val="none"/>
          <w:lang w:val="zh-CN"/>
        </w:rPr>
        <w:t>发包人对承包人与分包人之间的法律与经济纠纷不承担任何责任和义务。</w:t>
      </w:r>
    </w:p>
    <w:p w14:paraId="3F9B7D46">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w:t>
      </w:r>
      <w:r>
        <w:rPr>
          <w:rFonts w:hint="eastAsia" w:ascii="宋体" w:hAnsi="宋体" w:eastAsia="宋体" w:cs="宋体"/>
          <w:b/>
          <w:bCs/>
          <w:color w:val="auto"/>
          <w:sz w:val="24"/>
          <w:highlight w:val="none"/>
          <w:lang w:val="zh-CN"/>
        </w:rPr>
        <w:t>承包人人员的管理</w:t>
      </w:r>
    </w:p>
    <w:p w14:paraId="16B7247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B174DD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4.6.5</w:t>
      </w:r>
      <w:r>
        <w:rPr>
          <w:rFonts w:hint="eastAsia" w:ascii="宋体" w:hAnsi="宋体" w:eastAsia="宋体" w:cs="宋体"/>
          <w:color w:val="auto"/>
          <w:sz w:val="24"/>
          <w:highlight w:val="none"/>
          <w:lang w:val="zh-CN"/>
        </w:rPr>
        <w:t>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1CB5BE5">
      <w:pPr>
        <w:autoSpaceDE w:val="0"/>
        <w:autoSpaceDN w:val="0"/>
        <w:adjustRightInd w:val="0"/>
        <w:spacing w:line="360" w:lineRule="auto"/>
        <w:ind w:firstLine="560"/>
        <w:outlineLvl w:val="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4.7</w:t>
      </w:r>
      <w:r>
        <w:rPr>
          <w:rFonts w:hint="eastAsia" w:ascii="宋体" w:hAnsi="宋体" w:eastAsia="宋体" w:cs="宋体"/>
          <w:b/>
          <w:color w:val="auto"/>
          <w:sz w:val="24"/>
          <w:highlight w:val="none"/>
          <w:lang w:val="zh-CN"/>
        </w:rPr>
        <w:t>撤换承包人项目经理和其他人员</w:t>
      </w:r>
    </w:p>
    <w:p w14:paraId="4F985BC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752987B">
      <w:pPr>
        <w:autoSpaceDE w:val="0"/>
        <w:autoSpaceDN w:val="0"/>
        <w:adjustRightInd w:val="0"/>
        <w:spacing w:line="360" w:lineRule="auto"/>
        <w:ind w:firstLine="560"/>
        <w:outlineLvl w:val="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4.9</w:t>
      </w:r>
      <w:r>
        <w:rPr>
          <w:rFonts w:hint="eastAsia" w:ascii="宋体" w:hAnsi="宋体" w:eastAsia="宋体" w:cs="宋体"/>
          <w:b/>
          <w:color w:val="auto"/>
          <w:sz w:val="24"/>
          <w:highlight w:val="none"/>
          <w:lang w:val="zh-CN"/>
        </w:rPr>
        <w:t>工程价款应专款专用</w:t>
      </w:r>
    </w:p>
    <w:p w14:paraId="0F5F6D9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30ECC25">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4.10</w:t>
      </w:r>
      <w:r>
        <w:rPr>
          <w:rFonts w:hint="eastAsia" w:ascii="宋体" w:hAnsi="宋体" w:eastAsia="宋体" w:cs="宋体"/>
          <w:b/>
          <w:bCs/>
          <w:color w:val="auto"/>
          <w:sz w:val="24"/>
          <w:highlight w:val="none"/>
          <w:lang w:val="zh-CN"/>
        </w:rPr>
        <w:t>承包人现场查勘</w:t>
      </w:r>
    </w:p>
    <w:p w14:paraId="3D0085E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6A493655">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4.11</w:t>
      </w:r>
      <w:r>
        <w:rPr>
          <w:rFonts w:hint="eastAsia" w:ascii="宋体" w:hAnsi="宋体" w:eastAsia="宋体" w:cs="宋体"/>
          <w:b/>
          <w:bCs/>
          <w:color w:val="auto"/>
          <w:sz w:val="24"/>
          <w:highlight w:val="none"/>
          <w:lang w:val="zh-CN"/>
        </w:rPr>
        <w:t>不利物质条件</w:t>
      </w:r>
    </w:p>
    <w:p w14:paraId="4B90F139">
      <w:pPr>
        <w:autoSpaceDE w:val="0"/>
        <w:autoSpaceDN w:val="0"/>
        <w:adjustRightInd w:val="0"/>
        <w:spacing w:line="360" w:lineRule="auto"/>
        <w:ind w:firstLine="660" w:firstLineChars="2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4.11.1 </w:t>
      </w:r>
      <w:r>
        <w:rPr>
          <w:rFonts w:hint="eastAsia" w:ascii="宋体" w:hAnsi="宋体" w:eastAsia="宋体" w:cs="宋体"/>
          <w:color w:val="auto"/>
          <w:sz w:val="24"/>
          <w:highlight w:val="none"/>
          <w:lang w:val="zh-CN"/>
        </w:rPr>
        <w:t>不利物质条件，除专用合同条款另有约定外，是指承包人在施工场地遇到的不可预见的自然物质条件、非自然的物质障碍和污染物，包括地下和水文条件，但不包括气候条件。</w:t>
      </w:r>
    </w:p>
    <w:p w14:paraId="5BAD9CE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4.11.2</w:t>
      </w:r>
      <w:r>
        <w:rPr>
          <w:rFonts w:hint="eastAsia" w:ascii="宋体" w:hAnsi="宋体" w:eastAsia="宋体" w:cs="宋体"/>
          <w:color w:val="auto"/>
          <w:sz w:val="24"/>
          <w:highlight w:val="none"/>
          <w:lang w:val="zh-CN"/>
        </w:rPr>
        <w:t>承包人遇到不可预见的不利物质条件时，应采取适应不利物质条件的合理措施继续施工，并及时通知监理人。监理人应当及时发出指示，指示构成变更的，按第</w:t>
      </w: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val="zh-CN"/>
        </w:rPr>
        <w:t>条约定办理。监理人没有发出指示的，承包人因采取合理措施而增加的费用和（或）工期延误，由发包人承担。</w:t>
      </w:r>
    </w:p>
    <w:p w14:paraId="680174B0">
      <w:pPr>
        <w:autoSpaceDE w:val="0"/>
        <w:autoSpaceDN w:val="0"/>
        <w:adjustRightInd w:val="0"/>
        <w:spacing w:line="360" w:lineRule="auto"/>
        <w:ind w:firstLine="56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4.11.3</w:t>
      </w:r>
      <w:r>
        <w:rPr>
          <w:rFonts w:hint="eastAsia" w:ascii="宋体" w:hAnsi="宋体" w:eastAsia="宋体" w:cs="宋体"/>
          <w:color w:val="auto"/>
          <w:sz w:val="24"/>
          <w:highlight w:val="none"/>
          <w:lang w:val="zh-CN"/>
        </w:rPr>
        <w:t>可预见的不利物质条件</w:t>
      </w:r>
    </w:p>
    <w:p w14:paraId="6EACA749">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）对于项目专用合同条款中已经明确指出的不利物质条件无论承包人是否有其经历和经验均视为承包人在接受合同时已预见其影响，并已在签约合同价中计人因其影响而可能发生的一切费用。</w:t>
      </w:r>
    </w:p>
    <w:p w14:paraId="34355218">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）对于项目专用合同条款未明确指出，但是在不利物质条件发生之前，监理人已经指示承包人有可能发生，但承包人未能及时采取有效措施，而导致的损失和后果均由承包人承担。</w:t>
      </w:r>
    </w:p>
    <w:p w14:paraId="3D6C806F">
      <w:pPr>
        <w:autoSpaceDE w:val="0"/>
        <w:autoSpaceDN w:val="0"/>
        <w:adjustRightInd w:val="0"/>
        <w:spacing w:line="360" w:lineRule="auto"/>
        <w:ind w:firstLine="560"/>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4.12</w:t>
      </w:r>
      <w:r>
        <w:rPr>
          <w:rFonts w:hint="eastAsia" w:ascii="宋体" w:hAnsi="宋体" w:eastAsia="宋体" w:cs="宋体"/>
          <w:b/>
          <w:bCs/>
          <w:color w:val="auto"/>
          <w:sz w:val="24"/>
          <w:highlight w:val="none"/>
          <w:lang w:val="zh-CN"/>
        </w:rPr>
        <w:t>投标文件的完备性</w:t>
      </w:r>
    </w:p>
    <w:p w14:paraId="7B8E8FB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65383A26">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13" w:name="_Toc29980"/>
      <w:bookmarkStart w:id="414" w:name="_Toc27367"/>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zh-CN"/>
        </w:rPr>
        <w:t>材料和工程设备</w:t>
      </w:r>
      <w:bookmarkEnd w:id="413"/>
      <w:bookmarkEnd w:id="414"/>
    </w:p>
    <w:p w14:paraId="3906EFDD">
      <w:pPr>
        <w:keepNext/>
        <w:keepLines/>
        <w:autoSpaceDE w:val="0"/>
        <w:autoSpaceDN w:val="0"/>
        <w:adjustRightInd w:val="0"/>
        <w:spacing w:line="360" w:lineRule="auto"/>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 </w:t>
      </w:r>
      <w:r>
        <w:rPr>
          <w:rFonts w:hint="eastAsia" w:ascii="宋体" w:hAnsi="宋体" w:eastAsia="宋体" w:cs="宋体"/>
          <w:color w:val="auto"/>
          <w:sz w:val="24"/>
          <w:highlight w:val="none"/>
          <w:lang w:val="zh-CN"/>
        </w:rPr>
        <w:t>承包人提供的材料和工程设备</w:t>
      </w:r>
    </w:p>
    <w:p w14:paraId="6147FE7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5.1.1 </w:t>
      </w:r>
      <w:r>
        <w:rPr>
          <w:rFonts w:hint="eastAsia" w:ascii="宋体" w:hAnsi="宋体" w:eastAsia="宋体" w:cs="宋体"/>
          <w:color w:val="auto"/>
          <w:sz w:val="24"/>
          <w:highlight w:val="none"/>
          <w:lang w:val="zh-CN"/>
        </w:rPr>
        <w:t>除专用合同条款另有约定外，承包人提供的材料和工程设备均由承包人负责采购、运输和保管。承包人应对其采购的材料和工程设备负责。</w:t>
      </w:r>
    </w:p>
    <w:p w14:paraId="0DCC44C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5.1.2 </w:t>
      </w:r>
      <w:r>
        <w:rPr>
          <w:rFonts w:hint="eastAsia" w:ascii="宋体" w:hAnsi="宋体" w:eastAsia="宋体" w:cs="宋体"/>
          <w:color w:val="auto"/>
          <w:sz w:val="24"/>
          <w:highlight w:val="none"/>
          <w:lang w:val="zh-CN"/>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CD9EF2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5.1.3</w:t>
      </w:r>
      <w:r>
        <w:rPr>
          <w:rFonts w:hint="eastAsia" w:ascii="宋体" w:hAnsi="宋体" w:eastAsia="宋体" w:cs="宋体"/>
          <w:color w:val="auto"/>
          <w:sz w:val="24"/>
          <w:highlight w:val="none"/>
          <w:lang w:val="zh-CN"/>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03A66C1">
      <w:pPr>
        <w:keepNext/>
        <w:keepLines/>
        <w:autoSpaceDE w:val="0"/>
        <w:autoSpaceDN w:val="0"/>
        <w:adjustRightInd w:val="0"/>
        <w:spacing w:line="360" w:lineRule="auto"/>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 </w:t>
      </w:r>
      <w:r>
        <w:rPr>
          <w:rFonts w:hint="eastAsia" w:ascii="宋体" w:hAnsi="宋体" w:eastAsia="宋体" w:cs="宋体"/>
          <w:color w:val="auto"/>
          <w:sz w:val="24"/>
          <w:highlight w:val="none"/>
          <w:lang w:val="zh-CN"/>
        </w:rPr>
        <w:t>发包人提供的材料和工程设备</w:t>
      </w:r>
    </w:p>
    <w:p w14:paraId="6900BD2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5.2.1 </w:t>
      </w:r>
      <w:r>
        <w:rPr>
          <w:rFonts w:hint="eastAsia" w:ascii="宋体" w:hAnsi="宋体" w:eastAsia="宋体" w:cs="宋体"/>
          <w:color w:val="auto"/>
          <w:sz w:val="24"/>
          <w:highlight w:val="none"/>
          <w:lang w:val="zh-CN"/>
        </w:rPr>
        <w:t>发包人提供的材料和工程设备，应在专用合同条款中写明材料和工程设备的名称、规格、数量、价格、交货方式、交货地点和计划交货日期等。</w:t>
      </w:r>
    </w:p>
    <w:p w14:paraId="421F64E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5.2.2 </w:t>
      </w:r>
      <w:r>
        <w:rPr>
          <w:rFonts w:hint="eastAsia" w:ascii="宋体" w:hAnsi="宋体" w:eastAsia="宋体" w:cs="宋体"/>
          <w:color w:val="auto"/>
          <w:sz w:val="24"/>
          <w:highlight w:val="none"/>
          <w:lang w:val="zh-CN"/>
        </w:rPr>
        <w:t>承包人应根据合同进度计划的安排，向监理人报送要求发包人交货的日期计划。发包人应按照监理人与合同双方当事人商定的交货日期，向承包人提交材料和工程设备。</w:t>
      </w:r>
    </w:p>
    <w:p w14:paraId="208BD04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5.2.3</w:t>
      </w:r>
      <w:r>
        <w:rPr>
          <w:rFonts w:hint="eastAsia" w:ascii="宋体" w:hAnsi="宋体" w:eastAsia="宋体" w:cs="宋体"/>
          <w:color w:val="auto"/>
          <w:sz w:val="24"/>
          <w:highlight w:val="none"/>
          <w:lang w:val="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4B17D09">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5.2.4 </w:t>
      </w:r>
      <w:r>
        <w:rPr>
          <w:rFonts w:hint="eastAsia" w:ascii="宋体" w:hAnsi="宋体" w:eastAsia="宋体" w:cs="宋体"/>
          <w:color w:val="auto"/>
          <w:sz w:val="24"/>
          <w:highlight w:val="none"/>
          <w:lang w:val="zh-CN"/>
        </w:rPr>
        <w:t>发包人要求向承包人提前交货的，承包人不得拒绝，但发包人应承担承包人由此增加的费用。</w:t>
      </w:r>
    </w:p>
    <w:p w14:paraId="48ED5E0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5.2.5 </w:t>
      </w:r>
      <w:r>
        <w:rPr>
          <w:rFonts w:hint="eastAsia" w:ascii="宋体" w:hAnsi="宋体" w:eastAsia="宋体" w:cs="宋体"/>
          <w:color w:val="auto"/>
          <w:sz w:val="24"/>
          <w:highlight w:val="none"/>
          <w:lang w:val="zh-CN"/>
        </w:rPr>
        <w:t>承包人要求更改交货日期或地点的，应事先报请监理人批准。由于承包人要求更改交货时间或地点所增加的费用和（或）工期延误由承包人承担。</w:t>
      </w:r>
    </w:p>
    <w:p w14:paraId="1E2E686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5.2.6 </w:t>
      </w:r>
      <w:r>
        <w:rPr>
          <w:rFonts w:hint="eastAsia" w:ascii="宋体" w:hAnsi="宋体" w:eastAsia="宋体" w:cs="宋体"/>
          <w:color w:val="auto"/>
          <w:sz w:val="24"/>
          <w:highlight w:val="none"/>
          <w:lang w:val="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72D06BF9">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15" w:name="_Toc32292"/>
      <w:bookmarkStart w:id="416" w:name="_Toc772"/>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zh-CN"/>
        </w:rPr>
        <w:t>施工设备和临时设施</w:t>
      </w:r>
      <w:bookmarkEnd w:id="415"/>
      <w:bookmarkEnd w:id="416"/>
    </w:p>
    <w:p w14:paraId="5EC6FC71">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  </w:t>
      </w:r>
      <w:r>
        <w:rPr>
          <w:rFonts w:hint="eastAsia" w:ascii="宋体" w:hAnsi="宋体" w:eastAsia="宋体" w:cs="宋体"/>
          <w:color w:val="auto"/>
          <w:sz w:val="24"/>
          <w:highlight w:val="none"/>
          <w:lang w:val="zh-CN"/>
        </w:rPr>
        <w:t>承包人提供的施工设备和临时设施</w:t>
      </w:r>
    </w:p>
    <w:p w14:paraId="10B62130">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17" w:name="_Toc7666"/>
      <w:bookmarkStart w:id="418" w:name="_Toc26329"/>
      <w:bookmarkStart w:id="419" w:name="_Toc6338"/>
      <w:bookmarkStart w:id="420" w:name="_Toc19095"/>
      <w:bookmarkStart w:id="421" w:name="_Toc4447"/>
      <w:bookmarkStart w:id="422" w:name="_Toc16425"/>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6.1.2</w:t>
      </w:r>
      <w:r>
        <w:rPr>
          <w:rFonts w:hint="eastAsia" w:ascii="宋体" w:hAnsi="宋体" w:eastAsia="宋体" w:cs="宋体"/>
          <w:color w:val="auto"/>
          <w:sz w:val="24"/>
          <w:highlight w:val="none"/>
          <w:lang w:val="zh-CN"/>
        </w:rPr>
        <w:t>项约定为：</w:t>
      </w:r>
      <w:bookmarkEnd w:id="417"/>
      <w:bookmarkEnd w:id="418"/>
      <w:bookmarkEnd w:id="419"/>
      <w:bookmarkEnd w:id="420"/>
      <w:bookmarkEnd w:id="421"/>
      <w:bookmarkEnd w:id="422"/>
    </w:p>
    <w:p w14:paraId="3BDF041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承包人应自行承担修建临时设施的费用，需要临时占地的，应由承包人按第</w:t>
      </w:r>
      <w:r>
        <w:rPr>
          <w:rFonts w:hint="eastAsia" w:ascii="宋体" w:hAnsi="宋体" w:eastAsia="宋体" w:cs="宋体"/>
          <w:color w:val="auto"/>
          <w:sz w:val="24"/>
          <w:highlight w:val="none"/>
        </w:rPr>
        <w:t>4.1.10</w:t>
      </w:r>
      <w:r>
        <w:rPr>
          <w:rFonts w:hint="eastAsia" w:ascii="宋体" w:hAnsi="宋体" w:eastAsia="宋体" w:cs="宋体"/>
          <w:color w:val="auto"/>
          <w:sz w:val="24"/>
          <w:highlight w:val="none"/>
          <w:lang w:val="zh-CN"/>
        </w:rPr>
        <w:t>项（</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）目的规定办理。</w:t>
      </w:r>
    </w:p>
    <w:p w14:paraId="6D640C35">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23" w:name="_Toc17577"/>
      <w:r>
        <w:rPr>
          <w:rFonts w:hint="eastAsia" w:ascii="宋体" w:hAnsi="宋体" w:eastAsia="宋体" w:cs="宋体"/>
          <w:color w:val="auto"/>
          <w:sz w:val="24"/>
          <w:highlight w:val="none"/>
        </w:rPr>
        <w:t>6.3</w:t>
      </w:r>
      <w:r>
        <w:rPr>
          <w:rFonts w:hint="eastAsia" w:ascii="宋体" w:hAnsi="宋体" w:eastAsia="宋体" w:cs="宋体"/>
          <w:color w:val="auto"/>
          <w:sz w:val="24"/>
          <w:highlight w:val="none"/>
          <w:lang w:val="zh-CN"/>
        </w:rPr>
        <w:t>要求承包人增加或更换施工设备</w:t>
      </w:r>
      <w:bookmarkEnd w:id="423"/>
    </w:p>
    <w:p w14:paraId="2C61DBBF">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6.1.1 </w:t>
      </w:r>
      <w:r>
        <w:rPr>
          <w:rFonts w:hint="eastAsia" w:ascii="宋体" w:hAnsi="宋体" w:eastAsia="宋体" w:cs="宋体"/>
          <w:color w:val="auto"/>
          <w:sz w:val="24"/>
          <w:highlight w:val="none"/>
          <w:lang w:val="zh-CN"/>
        </w:rPr>
        <w:t>承包人应按合同进度计划的要求，及时配置施工设备和修建临时设施。进入施工场地的承包人设备需经监理人核查后才能投入使用。承包人更换合同约定的承包人设备的，应报监理人批准。</w:t>
      </w:r>
    </w:p>
    <w:p w14:paraId="2228836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E87FE03">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24" w:name="_Toc17937"/>
      <w:bookmarkStart w:id="425" w:name="_Toc20089"/>
      <w:r>
        <w:rPr>
          <w:rFonts w:hint="eastAsia" w:ascii="宋体" w:hAnsi="宋体" w:eastAsia="宋体" w:cs="宋体"/>
          <w:b/>
          <w:color w:val="auto"/>
          <w:sz w:val="24"/>
          <w:highlight w:val="none"/>
        </w:rPr>
        <w:t>7.交通运输</w:t>
      </w:r>
      <w:bookmarkEnd w:id="424"/>
      <w:bookmarkEnd w:id="425"/>
    </w:p>
    <w:p w14:paraId="478DB528">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26" w:name="_Toc2402"/>
      <w:r>
        <w:rPr>
          <w:rFonts w:hint="eastAsia" w:ascii="宋体" w:hAnsi="宋体" w:eastAsia="宋体" w:cs="宋体"/>
          <w:color w:val="auto"/>
          <w:sz w:val="24"/>
          <w:highlight w:val="none"/>
        </w:rPr>
        <w:t>7.1</w:t>
      </w:r>
      <w:r>
        <w:rPr>
          <w:rFonts w:hint="eastAsia" w:ascii="宋体" w:hAnsi="宋体" w:eastAsia="宋体" w:cs="宋体"/>
          <w:color w:val="auto"/>
          <w:sz w:val="24"/>
          <w:highlight w:val="none"/>
          <w:lang w:val="zh-CN"/>
        </w:rPr>
        <w:t>道路通行权和场外设施</w:t>
      </w:r>
      <w:bookmarkEnd w:id="426"/>
    </w:p>
    <w:p w14:paraId="24D12C5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0476E1CE">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27" w:name="_Toc12351"/>
      <w:bookmarkStart w:id="428" w:name="_Toc30913"/>
      <w:r>
        <w:rPr>
          <w:rFonts w:hint="eastAsia" w:ascii="宋体" w:hAnsi="宋体" w:eastAsia="宋体" w:cs="宋体"/>
          <w:b/>
          <w:color w:val="auto"/>
          <w:sz w:val="24"/>
          <w:highlight w:val="none"/>
        </w:rPr>
        <w:t xml:space="preserve">8. </w:t>
      </w:r>
      <w:r>
        <w:rPr>
          <w:rFonts w:hint="eastAsia" w:ascii="宋体" w:hAnsi="宋体" w:eastAsia="宋体" w:cs="宋体"/>
          <w:b/>
          <w:color w:val="auto"/>
          <w:sz w:val="24"/>
          <w:highlight w:val="none"/>
          <w:lang w:val="zh-CN"/>
        </w:rPr>
        <w:t>测量放线</w:t>
      </w:r>
      <w:bookmarkEnd w:id="427"/>
      <w:bookmarkEnd w:id="428"/>
    </w:p>
    <w:p w14:paraId="3E5AF25C">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29" w:name="_Toc21229"/>
      <w:r>
        <w:rPr>
          <w:rFonts w:hint="eastAsia" w:ascii="宋体" w:hAnsi="宋体" w:eastAsia="宋体" w:cs="宋体"/>
          <w:color w:val="auto"/>
          <w:sz w:val="24"/>
          <w:highlight w:val="none"/>
        </w:rPr>
        <w:t xml:space="preserve">8.1 </w:t>
      </w:r>
      <w:r>
        <w:rPr>
          <w:rFonts w:hint="eastAsia" w:ascii="宋体" w:hAnsi="宋体" w:eastAsia="宋体" w:cs="宋体"/>
          <w:color w:val="auto"/>
          <w:sz w:val="24"/>
          <w:highlight w:val="none"/>
          <w:lang w:val="zh-CN"/>
        </w:rPr>
        <w:t>施工控制网</w:t>
      </w:r>
      <w:bookmarkEnd w:id="429"/>
    </w:p>
    <w:p w14:paraId="45DBF3B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8.1.1</w:t>
      </w:r>
      <w:r>
        <w:rPr>
          <w:rFonts w:hint="eastAsia" w:ascii="宋体" w:hAnsi="宋体" w:eastAsia="宋体" w:cs="宋体"/>
          <w:color w:val="auto"/>
          <w:sz w:val="24"/>
          <w:highlight w:val="none"/>
          <w:lang w:val="zh-CN"/>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B8A6B1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8.1.2</w:t>
      </w:r>
      <w:r>
        <w:rPr>
          <w:rFonts w:hint="eastAsia" w:ascii="宋体" w:hAnsi="宋体" w:eastAsia="宋体" w:cs="宋体"/>
          <w:color w:val="auto"/>
          <w:sz w:val="24"/>
          <w:highlight w:val="none"/>
          <w:lang w:val="zh-CN"/>
        </w:rPr>
        <w:t>承包人应负责管理施工控制网点。施工控制网点丢失或损坏的，承包人应及时修复。承包人应承担施工控制网点的管理与修复费用，并在工程竣工后将施工控制网点移交发包人。</w:t>
      </w:r>
    </w:p>
    <w:p w14:paraId="54FEC826">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30" w:name="_Toc10247"/>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val="zh-CN"/>
        </w:rPr>
        <w:t>施工测量</w:t>
      </w:r>
      <w:bookmarkEnd w:id="430"/>
    </w:p>
    <w:p w14:paraId="3BAFAC7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r>
        <w:rPr>
          <w:rFonts w:hint="eastAsia" w:ascii="宋体" w:hAnsi="宋体" w:eastAsia="宋体" w:cs="宋体"/>
          <w:color w:val="auto"/>
          <w:sz w:val="24"/>
          <w:highlight w:val="none"/>
          <w:lang w:val="zh-CN"/>
        </w:rPr>
        <w:t>承包人应负责施工过程中的全部施工测量放线工作，并配置合格的人员、仪器、设备和其他物品。</w:t>
      </w:r>
    </w:p>
    <w:p w14:paraId="5D15CC5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8.2.2</w:t>
      </w:r>
      <w:r>
        <w:rPr>
          <w:rFonts w:hint="eastAsia" w:ascii="宋体" w:hAnsi="宋体" w:eastAsia="宋体" w:cs="宋体"/>
          <w:color w:val="auto"/>
          <w:sz w:val="24"/>
          <w:highlight w:val="none"/>
          <w:lang w:val="zh-CN"/>
        </w:rPr>
        <w:t>监理人可以指示承包人进行抽样复测，当复测中发现错误或出现超过合同约定的误差时，承包人应按监理人指示进行修正或补测，并承担相应的复测费用。</w:t>
      </w:r>
    </w:p>
    <w:p w14:paraId="39FB8E7A">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31" w:name="_Toc10365"/>
      <w:r>
        <w:rPr>
          <w:rFonts w:hint="eastAsia" w:ascii="宋体" w:hAnsi="宋体" w:eastAsia="宋体" w:cs="宋体"/>
          <w:color w:val="auto"/>
          <w:sz w:val="24"/>
          <w:highlight w:val="none"/>
        </w:rPr>
        <w:t xml:space="preserve">8.3 </w:t>
      </w:r>
      <w:r>
        <w:rPr>
          <w:rFonts w:hint="eastAsia" w:ascii="宋体" w:hAnsi="宋体" w:eastAsia="宋体" w:cs="宋体"/>
          <w:color w:val="auto"/>
          <w:sz w:val="24"/>
          <w:highlight w:val="none"/>
          <w:lang w:val="zh-CN"/>
        </w:rPr>
        <w:t>基准资料错误的责任</w:t>
      </w:r>
      <w:bookmarkEnd w:id="431"/>
    </w:p>
    <w:p w14:paraId="5119389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A6825F5">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32" w:name="_Toc16960"/>
      <w:r>
        <w:rPr>
          <w:rFonts w:hint="eastAsia" w:ascii="宋体" w:hAnsi="宋体" w:eastAsia="宋体" w:cs="宋体"/>
          <w:color w:val="auto"/>
          <w:sz w:val="24"/>
          <w:highlight w:val="none"/>
        </w:rPr>
        <w:t xml:space="preserve">8.4 </w:t>
      </w:r>
      <w:r>
        <w:rPr>
          <w:rFonts w:hint="eastAsia" w:ascii="宋体" w:hAnsi="宋体" w:eastAsia="宋体" w:cs="宋体"/>
          <w:color w:val="auto"/>
          <w:sz w:val="24"/>
          <w:highlight w:val="none"/>
          <w:lang w:val="zh-CN"/>
        </w:rPr>
        <w:t>监理人使用施工控制网</w:t>
      </w:r>
      <w:bookmarkEnd w:id="432"/>
    </w:p>
    <w:p w14:paraId="64D03A3A">
      <w:pPr>
        <w:autoSpaceDE w:val="0"/>
        <w:autoSpaceDN w:val="0"/>
        <w:adjustRightInd w:val="0"/>
        <w:spacing w:line="360" w:lineRule="auto"/>
        <w:ind w:firstLine="42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zh-CN"/>
        </w:rPr>
        <w:t>监理人需要使用施工控制网的，承包人应提供必要的协助，发包人不再为此支付费用。</w:t>
      </w:r>
    </w:p>
    <w:p w14:paraId="363B8A1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经监理人批准，其他相关承包人也可免费使用施工控制网。</w:t>
      </w:r>
    </w:p>
    <w:p w14:paraId="07FEF567">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33" w:name="_Toc5177"/>
      <w:bookmarkStart w:id="434" w:name="_Toc20321"/>
      <w:r>
        <w:rPr>
          <w:rFonts w:hint="eastAsia" w:ascii="宋体" w:hAnsi="宋体" w:eastAsia="宋体" w:cs="宋体"/>
          <w:b/>
          <w:color w:val="auto"/>
          <w:sz w:val="24"/>
          <w:highlight w:val="none"/>
        </w:rPr>
        <w:t>9.</w:t>
      </w:r>
      <w:r>
        <w:rPr>
          <w:rFonts w:hint="eastAsia" w:ascii="宋体" w:hAnsi="宋体" w:eastAsia="宋体" w:cs="宋体"/>
          <w:b/>
          <w:color w:val="auto"/>
          <w:sz w:val="24"/>
          <w:highlight w:val="none"/>
          <w:lang w:val="zh-CN"/>
        </w:rPr>
        <w:t>施工安全、治安保卫和环境保护</w:t>
      </w:r>
      <w:bookmarkEnd w:id="433"/>
      <w:bookmarkEnd w:id="434"/>
    </w:p>
    <w:p w14:paraId="12BB3286">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35" w:name="_Toc11893"/>
      <w:r>
        <w:rPr>
          <w:rFonts w:hint="eastAsia" w:ascii="宋体" w:hAnsi="宋体" w:eastAsia="宋体" w:cs="宋体"/>
          <w:color w:val="auto"/>
          <w:sz w:val="24"/>
          <w:highlight w:val="none"/>
        </w:rPr>
        <w:t>9.2</w:t>
      </w:r>
      <w:r>
        <w:rPr>
          <w:rFonts w:hint="eastAsia" w:ascii="宋体" w:hAnsi="宋体" w:eastAsia="宋体" w:cs="宋体"/>
          <w:color w:val="auto"/>
          <w:sz w:val="24"/>
          <w:highlight w:val="none"/>
          <w:lang w:val="zh-CN"/>
        </w:rPr>
        <w:t>承包人的施工安全责任</w:t>
      </w:r>
      <w:bookmarkEnd w:id="435"/>
    </w:p>
    <w:p w14:paraId="6D3EB842">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9.1.1 </w:t>
      </w:r>
      <w:r>
        <w:rPr>
          <w:rFonts w:hint="eastAsia" w:ascii="宋体" w:hAnsi="宋体" w:eastAsia="宋体" w:cs="宋体"/>
          <w:color w:val="auto"/>
          <w:sz w:val="24"/>
          <w:highlight w:val="none"/>
          <w:lang w:val="zh-CN"/>
        </w:rPr>
        <w:t>发包人应按合同约定履行安全职责，授权监理人按合同约定的安全工作内容监督、检查承包人安全工作的实施，组织承包人和有关单位进行安全检查。</w:t>
      </w:r>
    </w:p>
    <w:p w14:paraId="685912F8">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9.2.1</w:t>
      </w:r>
      <w:r>
        <w:rPr>
          <w:rFonts w:hint="eastAsia" w:ascii="宋体" w:hAnsi="宋体" w:eastAsia="宋体" w:cs="宋体"/>
          <w:color w:val="auto"/>
          <w:sz w:val="24"/>
          <w:highlight w:val="none"/>
          <w:lang w:val="zh-CN"/>
        </w:rPr>
        <w:t>　承包人应按合同约定履行安全职责，严格执行国家、地方政府有关施工安全管理方面的法律、法规及规章制度，同时严格执行发包人制订的本项目安全生产管</w:t>
      </w:r>
      <w:r>
        <w:rPr>
          <w:rFonts w:hint="eastAsia" w:ascii="宋体" w:hAnsi="宋体" w:eastAsia="宋体" w:cs="宋体"/>
          <w:color w:val="auto"/>
          <w:spacing w:val="-6"/>
          <w:sz w:val="24"/>
          <w:highlight w:val="none"/>
          <w:lang w:val="zh-CN"/>
        </w:rPr>
        <w:t>理方面的规章制度、安全检查程序及施工安全管理要求，以及监理人有关安全工作的指示。</w:t>
      </w:r>
    </w:p>
    <w:p w14:paraId="78CF21F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承包人应根据本工程的实际安全施工要求，编制施工安全技术措施，并在签订合同协议书后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4B348AC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本项目需要编制专项施工方案的工程包括但不限于以下内容：</w:t>
      </w:r>
    </w:p>
    <w:p w14:paraId="0312C26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）不良地质条件下有潜在危险的土方、石方开挖；</w:t>
      </w:r>
    </w:p>
    <w:p w14:paraId="312077C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）滑坡和高边坡处理；</w:t>
      </w:r>
    </w:p>
    <w:p w14:paraId="5C30BD3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）桩基础、挡墙基础、深水基础及围堰工程；</w:t>
      </w:r>
    </w:p>
    <w:p w14:paraId="6F3BBFB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）桥梁工程中的梁、拱、柱等构件施工等；</w:t>
      </w:r>
    </w:p>
    <w:p w14:paraId="0761235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）隧道工程中的不良地质隧道、高瓦斯隧道等；</w:t>
      </w:r>
    </w:p>
    <w:p w14:paraId="1FEC2729">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pacing w:val="-6"/>
          <w:sz w:val="24"/>
          <w:highlight w:val="none"/>
          <w:lang w:val="zh-CN"/>
        </w:rPr>
        <w:t>（6）水上工程中的打桩船作业、施工船作业、外海孤岛作业、边通航边施工作业等；</w:t>
      </w:r>
    </w:p>
    <w:p w14:paraId="6CD3DDC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）水下工程中的水下焊接、混凝土浇筑、爆破工程等；</w:t>
      </w:r>
    </w:p>
    <w:p w14:paraId="77D27BE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）爆破工程；</w:t>
      </w:r>
    </w:p>
    <w:p w14:paraId="366298E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zh-CN"/>
        </w:rPr>
        <w:t>）大型临时工程中的大型支架、模板、便桥的架设与拆除；桥梁、码头的加固与拆除；</w:t>
      </w:r>
    </w:p>
    <w:p w14:paraId="605CBE77">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36" w:name="_Toc6345"/>
      <w:bookmarkStart w:id="437" w:name="_Toc9595"/>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）其他危险性较大的工程。</w:t>
      </w:r>
      <w:bookmarkEnd w:id="436"/>
      <w:bookmarkEnd w:id="437"/>
    </w:p>
    <w:p w14:paraId="002B2B0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监理人和发包人在检查中发现有安全问题或有违反安全管理规章制度的情况时，可视为承包人违约，应按第</w:t>
      </w:r>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val="zh-CN"/>
        </w:rPr>
        <w:t>款的规定办理。</w:t>
      </w:r>
    </w:p>
    <w:p w14:paraId="2850593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9.2.2 </w:t>
      </w:r>
      <w:r>
        <w:rPr>
          <w:rFonts w:hint="eastAsia" w:ascii="宋体" w:hAnsi="宋体" w:eastAsia="宋体" w:cs="宋体"/>
          <w:color w:val="auto"/>
          <w:sz w:val="24"/>
          <w:highlight w:val="none"/>
          <w:lang w:val="zh-CN"/>
        </w:rPr>
        <w:t>承包人应加强施工作业安全管理，特别应加强易燃、易爆材料、火工器材、有毒与腐蚀性材料和其他危险品的管理，以及对爆破作业和地下工程施工等危险作业的管理。</w:t>
      </w:r>
    </w:p>
    <w:p w14:paraId="34B4D5EB">
      <w:pPr>
        <w:autoSpaceDE w:val="0"/>
        <w:autoSpaceDN w:val="0"/>
        <w:adjustRightInd w:val="0"/>
        <w:spacing w:line="360" w:lineRule="auto"/>
        <w:ind w:firstLine="42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rPr>
        <w:t xml:space="preserve">9.2.3 </w:t>
      </w:r>
      <w:r>
        <w:rPr>
          <w:rFonts w:hint="eastAsia" w:ascii="宋体" w:hAnsi="宋体" w:eastAsia="宋体" w:cs="宋体"/>
          <w:color w:val="auto"/>
          <w:sz w:val="24"/>
          <w:highlight w:val="none"/>
          <w:lang w:val="zh-CN"/>
        </w:rPr>
        <w:t>承包人应严格按照国家安全标准制定施工安全操作规程，配备必要的安全生</w:t>
      </w:r>
      <w:r>
        <w:rPr>
          <w:rFonts w:hint="eastAsia" w:ascii="宋体" w:hAnsi="宋体" w:eastAsia="宋体" w:cs="宋体"/>
          <w:color w:val="auto"/>
          <w:spacing w:val="-6"/>
          <w:sz w:val="24"/>
          <w:highlight w:val="none"/>
          <w:lang w:val="zh-CN"/>
        </w:rPr>
        <w:t>产和劳动保护设施，加强对承包人人员的安全教育，并发放安全工作手册和劳动保护用具。</w:t>
      </w:r>
    </w:p>
    <w:p w14:paraId="789FF1B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9.2.4 </w:t>
      </w:r>
      <w:r>
        <w:rPr>
          <w:rFonts w:hint="eastAsia" w:ascii="宋体" w:hAnsi="宋体" w:eastAsia="宋体" w:cs="宋体"/>
          <w:color w:val="auto"/>
          <w:sz w:val="24"/>
          <w:highlight w:val="none"/>
          <w:lang w:val="zh-CN"/>
        </w:rPr>
        <w:t>承包人应按监理人的指示制定应对灾害的紧急预案，报送监理人审批。承包人还应按预案做好安全检查，配置必要的救助物资和器材，切实保护好有关人员的人身和财产安全。</w:t>
      </w:r>
    </w:p>
    <w:p w14:paraId="1E2339D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9.2.5</w:t>
      </w:r>
      <w:r>
        <w:rPr>
          <w:rFonts w:hint="eastAsia" w:ascii="宋体" w:hAnsi="宋体" w:eastAsia="宋体" w:cs="宋体"/>
          <w:color w:val="auto"/>
          <w:sz w:val="24"/>
          <w:highlight w:val="none"/>
          <w:lang w:val="zh-CN"/>
        </w:rPr>
        <w:t>除项目专用合同条款另有约定外，安全生产费用应为投标价（不含安全生产费及建筑工程一切险及第三者责任险的保险费）的</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％（若发包人公布了投标控制价上限时，按投标控制价上限的</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w:t>
      </w:r>
    </w:p>
    <w:p w14:paraId="3BCE374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9.2.6 </w:t>
      </w:r>
      <w:r>
        <w:rPr>
          <w:rFonts w:hint="eastAsia" w:ascii="宋体" w:hAnsi="宋体" w:eastAsia="宋体" w:cs="宋体"/>
          <w:color w:val="auto"/>
          <w:sz w:val="24"/>
          <w:highlight w:val="none"/>
          <w:lang w:val="zh-CN"/>
        </w:rPr>
        <w:t>承包人应对其履行合同所雇佣的全部人员，包括分包人人员的工伤事故承担责任，但由于发包人原因造成承包人人员工伤事故的，应由发包人承担责任。</w:t>
      </w:r>
    </w:p>
    <w:p w14:paraId="32DBA68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9.2.7 </w:t>
      </w:r>
      <w:r>
        <w:rPr>
          <w:rFonts w:hint="eastAsia" w:ascii="宋体" w:hAnsi="宋体" w:eastAsia="宋体" w:cs="宋体"/>
          <w:color w:val="auto"/>
          <w:sz w:val="24"/>
          <w:highlight w:val="none"/>
          <w:lang w:val="zh-CN"/>
        </w:rPr>
        <w:t>由于承包人原因在施工场地内及其毗邻地带造成的第三者人员伤亡和财产损失，由承包人负责赔偿。</w:t>
      </w:r>
    </w:p>
    <w:p w14:paraId="08FF4F2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9.2.8</w:t>
      </w:r>
      <w:r>
        <w:rPr>
          <w:rFonts w:hint="eastAsia" w:ascii="宋体" w:hAnsi="宋体" w:eastAsia="宋体" w:cs="宋体"/>
          <w:color w:val="auto"/>
          <w:sz w:val="24"/>
          <w:highlight w:val="none"/>
          <w:lang w:val="zh-CN"/>
        </w:rPr>
        <w:t>承包人应充分关注和保障所有在现场工作的人员的安全，采取以下有效措施，使现场和本合同工程的实施保持有条不紊，以免使上述人员的安全受到威胁。</w:t>
      </w:r>
    </w:p>
    <w:p w14:paraId="33B0735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）按《公路水运工程安全生产监督管理办法》规定的最低数量和资质条件配备专职安全生产管理人员；</w:t>
      </w:r>
    </w:p>
    <w:p w14:paraId="0356BC0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43C262B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）所有施工机具设备和高空作业设备均应定期检查，并有安全员的签字记录；</w:t>
      </w:r>
    </w:p>
    <w:p w14:paraId="1C10C94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）根据本合同各单位工程的施工特点，严格执行《公路水运工程安全生产监督管理办法》、《公路工程施工安全技术规程》与《公路筑养路机械操作规程》的具体规定。</w:t>
      </w:r>
    </w:p>
    <w:p w14:paraId="464EC44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9.2.9</w:t>
      </w:r>
      <w:r>
        <w:rPr>
          <w:rFonts w:hint="eastAsia" w:ascii="宋体" w:hAnsi="宋体" w:eastAsia="宋体" w:cs="宋体"/>
          <w:color w:val="auto"/>
          <w:sz w:val="24"/>
          <w:highlight w:val="none"/>
          <w:lang w:val="zh-CN"/>
        </w:rPr>
        <w:t>为了保护本合同工程免遭损坏，或为了现场附近和过往群众的安全与方便，在确有必要的时候和地方，或当监理人或有关主管部门要求时，承包人应自费提供照明、警卫、护栅、警告标志等安全防护设施。</w:t>
      </w:r>
    </w:p>
    <w:p w14:paraId="212CE36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9.2.10</w:t>
      </w:r>
      <w:r>
        <w:rPr>
          <w:rFonts w:hint="eastAsia" w:ascii="宋体" w:hAnsi="宋体" w:eastAsia="宋体" w:cs="宋体"/>
          <w:color w:val="auto"/>
          <w:sz w:val="24"/>
          <w:highlight w:val="none"/>
          <w:lang w:val="zh-CN"/>
        </w:rPr>
        <w:t>在通航水域施工时，承包人应与当地主管部门取得联系，设置必要的导航标志，及时发布航行通告，确保施工水域安全。</w:t>
      </w:r>
    </w:p>
    <w:p w14:paraId="37C964A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9.2.11</w:t>
      </w:r>
      <w:r>
        <w:rPr>
          <w:rFonts w:hint="eastAsia" w:ascii="宋体" w:hAnsi="宋体" w:eastAsia="宋体" w:cs="宋体"/>
          <w:color w:val="auto"/>
          <w:sz w:val="24"/>
          <w:highlight w:val="none"/>
          <w:lang w:val="zh-CN"/>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0CFA91A">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38" w:name="_Toc19630"/>
      <w:r>
        <w:rPr>
          <w:rFonts w:hint="eastAsia" w:ascii="宋体" w:hAnsi="宋体" w:eastAsia="宋体" w:cs="宋体"/>
          <w:color w:val="auto"/>
          <w:sz w:val="24"/>
          <w:highlight w:val="none"/>
        </w:rPr>
        <w:t>9.4</w:t>
      </w:r>
      <w:r>
        <w:rPr>
          <w:rFonts w:hint="eastAsia" w:ascii="宋体" w:hAnsi="宋体" w:eastAsia="宋体" w:cs="宋体"/>
          <w:color w:val="auto"/>
          <w:sz w:val="24"/>
          <w:highlight w:val="none"/>
          <w:lang w:val="zh-CN"/>
        </w:rPr>
        <w:t>环境保护</w:t>
      </w:r>
      <w:bookmarkEnd w:id="438"/>
    </w:p>
    <w:p w14:paraId="4586EB4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9.4.1 </w:t>
      </w:r>
      <w:r>
        <w:rPr>
          <w:rFonts w:hint="eastAsia" w:ascii="宋体" w:hAnsi="宋体" w:eastAsia="宋体" w:cs="宋体"/>
          <w:color w:val="auto"/>
          <w:sz w:val="24"/>
          <w:highlight w:val="none"/>
          <w:lang w:val="zh-CN"/>
        </w:rPr>
        <w:t>承包人在施工过程中，应遵守有关环境保护的法律，履行合同约定的环境保护义务，并对违反法律和合同约定义务所造成的环境破坏、人身伤害和财产损失负责。</w:t>
      </w:r>
    </w:p>
    <w:p w14:paraId="737B8CC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9.4.2 </w:t>
      </w:r>
      <w:r>
        <w:rPr>
          <w:rFonts w:hint="eastAsia" w:ascii="宋体" w:hAnsi="宋体" w:eastAsia="宋体" w:cs="宋体"/>
          <w:color w:val="auto"/>
          <w:sz w:val="24"/>
          <w:highlight w:val="none"/>
          <w:lang w:val="zh-CN"/>
        </w:rPr>
        <w:t>承包人应按合同约定的环保工作内容，编制施工环保措施计划，报送监理人审批。</w:t>
      </w:r>
    </w:p>
    <w:p w14:paraId="0A3B9FD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9.4.3 </w:t>
      </w:r>
      <w:r>
        <w:rPr>
          <w:rFonts w:hint="eastAsia" w:ascii="宋体" w:hAnsi="宋体" w:eastAsia="宋体" w:cs="宋体"/>
          <w:color w:val="auto"/>
          <w:sz w:val="24"/>
          <w:highlight w:val="none"/>
          <w:lang w:val="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958E06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9.4.4 </w:t>
      </w:r>
      <w:r>
        <w:rPr>
          <w:rFonts w:hint="eastAsia" w:ascii="宋体" w:hAnsi="宋体" w:eastAsia="宋体" w:cs="宋体"/>
          <w:color w:val="auto"/>
          <w:sz w:val="24"/>
          <w:highlight w:val="none"/>
          <w:lang w:val="zh-CN"/>
        </w:rPr>
        <w:t>承包人应按合同约定采取有效措施，对施工开挖的边坡及时进行支护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维护排水设施，并进行水土保护，避免因施工造成的地质灾害。</w:t>
      </w:r>
    </w:p>
    <w:p w14:paraId="4FF6E23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9.4.5 </w:t>
      </w:r>
      <w:r>
        <w:rPr>
          <w:rFonts w:hint="eastAsia" w:ascii="宋体" w:hAnsi="宋体" w:eastAsia="宋体" w:cs="宋体"/>
          <w:color w:val="auto"/>
          <w:sz w:val="24"/>
          <w:highlight w:val="none"/>
          <w:lang w:val="zh-CN"/>
        </w:rPr>
        <w:t>承包人应按国家饮用水管理标准定期对饮用水源进行监测，防止施工活动污染饮用水源。</w:t>
      </w:r>
    </w:p>
    <w:p w14:paraId="4817E1F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9.4.6 </w:t>
      </w:r>
      <w:r>
        <w:rPr>
          <w:rFonts w:hint="eastAsia" w:ascii="宋体" w:hAnsi="宋体" w:eastAsia="宋体" w:cs="宋体"/>
          <w:color w:val="auto"/>
          <w:sz w:val="24"/>
          <w:highlight w:val="none"/>
          <w:lang w:val="zh-CN"/>
        </w:rPr>
        <w:t>承包人应按合同约定，加强对噪声、粉尘、废气、废水和废油的控制，努力降低噪声，控制粉尘和废气浓度，做好废水和废油的治理和排放。</w:t>
      </w:r>
    </w:p>
    <w:p w14:paraId="68939B5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9.4.7</w:t>
      </w:r>
      <w:r>
        <w:rPr>
          <w:rFonts w:hint="eastAsia" w:ascii="宋体" w:hAnsi="宋体" w:eastAsia="宋体" w:cs="宋体"/>
          <w:color w:val="auto"/>
          <w:sz w:val="24"/>
          <w:highlight w:val="none"/>
          <w:lang w:val="zh-CN"/>
        </w:rPr>
        <w:t>承包人应切实执行技术规范中有关环境保护方面的条款和规定。</w:t>
      </w:r>
    </w:p>
    <w:p w14:paraId="4E3D2E0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w:t>
      </w:r>
      <w:r>
        <w:rPr>
          <w:rFonts w:hint="eastAsia" w:ascii="宋体" w:hAnsi="宋体" w:eastAsia="宋体" w:cs="宋体"/>
          <w:color w:val="auto"/>
          <w:sz w:val="24"/>
          <w:highlight w:val="none"/>
        </w:rPr>
        <w:t>150m</w:t>
      </w:r>
      <w:r>
        <w:rPr>
          <w:rFonts w:hint="eastAsia" w:ascii="宋体" w:hAnsi="宋体" w:eastAsia="宋体" w:cs="宋体"/>
          <w:color w:val="auto"/>
          <w:sz w:val="24"/>
          <w:highlight w:val="none"/>
          <w:lang w:val="zh-CN"/>
        </w:rPr>
        <w:t>以内的施工现场，施工时间应加以控制。</w:t>
      </w:r>
    </w:p>
    <w:p w14:paraId="59F00212">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pacing w:val="-6"/>
          <w:sz w:val="24"/>
          <w:highlight w:val="none"/>
          <w:lang w:val="zh-CN"/>
        </w:rPr>
        <w:t>（2）对于公路施工中粉尘污染的主要污染源——灰土拌和、施工车辆和筑路机械运行及运输产生的扬尘，应采取有效措施减轻其对施工现场的大气污染，保护人民健康，如：</w:t>
      </w:r>
    </w:p>
    <w:p w14:paraId="06289EC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lang w:val="zh-CN"/>
        </w:rPr>
        <w:t>拌和设备应有较好的密封，或有防尘设备。</w:t>
      </w:r>
    </w:p>
    <w:p w14:paraId="6CE0648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lang w:val="zh-CN"/>
        </w:rPr>
        <w:t>施工通道、沥青混凝土拌和站及灰土拌和站应经常进行洒水降尘。</w:t>
      </w:r>
    </w:p>
    <w:p w14:paraId="3CE09F0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lang w:val="zh-CN"/>
        </w:rPr>
        <w:t>路面施工应注意保持水分，以免扬尘。</w:t>
      </w:r>
    </w:p>
    <w:p w14:paraId="6A188C5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lang w:val="zh-CN"/>
        </w:rPr>
        <w:t>隧道出渣和桥梁钻孔灌注桩施工时排出的泥浆要进行妥善处理，严禁向河流或农田排放。</w:t>
      </w:r>
    </w:p>
    <w:p w14:paraId="2807BA1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）采取可靠措施保证原有交通的正常通行，维持沿线村镇的居民饮水、农田灌溉、生产生活用电及通信等管线的正常使用。</w:t>
      </w:r>
    </w:p>
    <w:p w14:paraId="5852ABB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9.4.8</w:t>
      </w:r>
      <w:r>
        <w:rPr>
          <w:rFonts w:hint="eastAsia" w:ascii="宋体" w:hAnsi="宋体" w:eastAsia="宋体" w:cs="宋体"/>
          <w:color w:val="auto"/>
          <w:sz w:val="24"/>
          <w:highlight w:val="none"/>
          <w:lang w:val="zh-CN"/>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F8D554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9.4.9</w:t>
      </w:r>
      <w:r>
        <w:rPr>
          <w:rFonts w:hint="eastAsia" w:ascii="宋体" w:hAnsi="宋体" w:eastAsia="宋体" w:cs="宋体"/>
          <w:color w:val="auto"/>
          <w:sz w:val="24"/>
          <w:highlight w:val="none"/>
          <w:lang w:val="zh-CN"/>
        </w:rPr>
        <w:t>在施工期间，承包人应随时保持现场整洁，施工设备和材料、工程设备应整齐妥善存放和储存，废料与垃圾及不再需要的临时设施应及时从现场清除、拆除并运走。</w:t>
      </w:r>
    </w:p>
    <w:p w14:paraId="24459A1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9.4.10</w:t>
      </w:r>
      <w:r>
        <w:rPr>
          <w:rFonts w:hint="eastAsia" w:ascii="宋体" w:hAnsi="宋体" w:eastAsia="宋体" w:cs="宋体"/>
          <w:color w:val="auto"/>
          <w:sz w:val="24"/>
          <w:highlight w:val="none"/>
          <w:lang w:val="zh-CN"/>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6962481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9.4.11  </w:t>
      </w:r>
      <w:r>
        <w:rPr>
          <w:rFonts w:hint="eastAsia" w:ascii="宋体" w:hAnsi="宋体" w:eastAsia="宋体" w:cs="宋体"/>
          <w:color w:val="auto"/>
          <w:sz w:val="24"/>
          <w:highlight w:val="none"/>
          <w:lang w:val="zh-CN"/>
        </w:rPr>
        <w:t>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B4AE058">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39" w:name="_Toc11175"/>
      <w:bookmarkStart w:id="440" w:name="_Toc23025"/>
      <w:r>
        <w:rPr>
          <w:rFonts w:hint="eastAsia" w:ascii="宋体" w:hAnsi="宋体" w:eastAsia="宋体" w:cs="宋体"/>
          <w:b/>
          <w:color w:val="auto"/>
          <w:sz w:val="24"/>
          <w:highlight w:val="none"/>
        </w:rPr>
        <w:t>10.</w:t>
      </w:r>
      <w:r>
        <w:rPr>
          <w:rFonts w:hint="eastAsia" w:ascii="宋体" w:hAnsi="宋体" w:eastAsia="宋体" w:cs="宋体"/>
          <w:b/>
          <w:color w:val="auto"/>
          <w:sz w:val="24"/>
          <w:highlight w:val="none"/>
          <w:lang w:val="zh-CN"/>
        </w:rPr>
        <w:t>进度计划</w:t>
      </w:r>
      <w:bookmarkEnd w:id="439"/>
      <w:bookmarkEnd w:id="440"/>
    </w:p>
    <w:p w14:paraId="002EFE62">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1" w:name="_Toc29314"/>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zh-CN"/>
        </w:rPr>
        <w:t>合同进度计划</w:t>
      </w:r>
      <w:bookmarkEnd w:id="441"/>
    </w:p>
    <w:p w14:paraId="6E4606BF">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8C9282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承包人编制施工方案说明的内容见项目专用合同条款。</w:t>
      </w:r>
    </w:p>
    <w:p w14:paraId="04924A6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承包人向监理人报送施工进度计划和施工方案说明的期限：签订合同协议书后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天之内。</w:t>
      </w:r>
    </w:p>
    <w:p w14:paraId="1E4368E0">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pacing w:val="-6"/>
          <w:sz w:val="24"/>
          <w:highlight w:val="none"/>
          <w:lang w:val="zh-CN"/>
        </w:rPr>
        <w:t>监理人应在14天内对承包人施工进度计划和施工方案说明予以批复或提出修改意见。</w:t>
      </w:r>
    </w:p>
    <w:p w14:paraId="0BBB0E3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合同进度计划应按照关键线路网络图和主要工作横道图两种形式分别编绘，并应包括每月预计完成的工作量和形象进度。</w:t>
      </w:r>
    </w:p>
    <w:p w14:paraId="15057CEC">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2" w:name="_Toc19704"/>
      <w:r>
        <w:rPr>
          <w:rFonts w:hint="eastAsia" w:ascii="宋体" w:hAnsi="宋体" w:eastAsia="宋体" w:cs="宋体"/>
          <w:color w:val="auto"/>
          <w:sz w:val="24"/>
          <w:highlight w:val="none"/>
        </w:rPr>
        <w:t>10.2</w:t>
      </w:r>
      <w:r>
        <w:rPr>
          <w:rFonts w:hint="eastAsia" w:ascii="宋体" w:hAnsi="宋体" w:eastAsia="宋体" w:cs="宋体"/>
          <w:color w:val="auto"/>
          <w:sz w:val="24"/>
          <w:highlight w:val="none"/>
          <w:lang w:val="zh-CN"/>
        </w:rPr>
        <w:t>合同进度计划的修订</w:t>
      </w:r>
      <w:bookmarkEnd w:id="442"/>
    </w:p>
    <w:p w14:paraId="7586A99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不论何种原因造成工程的实际进度与第</w:t>
      </w: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zh-CN"/>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15434BC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承包人提交合同进度计划修订申请报告，并附有关措施和相关资料的期限：实际进度发生滞后的当月</w:t>
      </w: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zh-CN"/>
        </w:rPr>
        <w:t>日前。</w:t>
      </w:r>
    </w:p>
    <w:p w14:paraId="440523D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监理人批复修订合同进度计划的期限：收到修订合同进度计划后</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w:t>
      </w:r>
    </w:p>
    <w:p w14:paraId="0FD7703F">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3" w:name="_Toc24968"/>
      <w:r>
        <w:rPr>
          <w:rFonts w:hint="eastAsia" w:ascii="宋体" w:hAnsi="宋体" w:eastAsia="宋体" w:cs="宋体"/>
          <w:color w:val="auto"/>
          <w:sz w:val="24"/>
          <w:highlight w:val="none"/>
        </w:rPr>
        <w:t>10.3</w:t>
      </w:r>
      <w:r>
        <w:rPr>
          <w:rFonts w:hint="eastAsia" w:ascii="宋体" w:hAnsi="宋体" w:eastAsia="宋体" w:cs="宋体"/>
          <w:color w:val="auto"/>
          <w:sz w:val="24"/>
          <w:highlight w:val="none"/>
          <w:lang w:val="zh-CN"/>
        </w:rPr>
        <w:t>年度施工计划</w:t>
      </w:r>
      <w:bookmarkEnd w:id="443"/>
    </w:p>
    <w:p w14:paraId="6B76BDD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承包人应在每年</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zh-CN"/>
        </w:rPr>
        <w:t>月底前，根据已同意的合同进度计划或其修订的计划，向监理人提交</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份格式和内容符合监理人合理规定的下一年度的施工计划，以供审查。该计划应包括本年度估计完成的和下一年度预计完成的分项工程数量和工作量，以及为实施此计划将采取的措施。</w:t>
      </w:r>
    </w:p>
    <w:p w14:paraId="34F51915">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4" w:name="_Toc18093"/>
      <w:r>
        <w:rPr>
          <w:rFonts w:hint="eastAsia" w:ascii="宋体" w:hAnsi="宋体" w:eastAsia="宋体" w:cs="宋体"/>
          <w:color w:val="auto"/>
          <w:sz w:val="24"/>
          <w:highlight w:val="none"/>
        </w:rPr>
        <w:t>10.4</w:t>
      </w:r>
      <w:r>
        <w:rPr>
          <w:rFonts w:hint="eastAsia" w:ascii="宋体" w:hAnsi="宋体" w:eastAsia="宋体" w:cs="宋体"/>
          <w:color w:val="auto"/>
          <w:sz w:val="24"/>
          <w:highlight w:val="none"/>
          <w:lang w:val="zh-CN"/>
        </w:rPr>
        <w:t>合同用款计划</w:t>
      </w:r>
      <w:bookmarkEnd w:id="444"/>
    </w:p>
    <w:p w14:paraId="0514A05D">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承包人应在签订本合同协议书后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天之内，按招标文件中规定的格式，向监理人提交</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份按合同规定承包人有权得到支付的详细的季度合同用款计划，以备监理人查阅。如果监理人提出要求，承包人还应按季度提交修订的合同用款计划。</w:t>
      </w:r>
    </w:p>
    <w:p w14:paraId="46081851">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45" w:name="_Toc17074"/>
      <w:bookmarkStart w:id="446" w:name="_Toc24830"/>
      <w:r>
        <w:rPr>
          <w:rFonts w:hint="eastAsia" w:ascii="宋体" w:hAnsi="宋体" w:eastAsia="宋体" w:cs="宋体"/>
          <w:b/>
          <w:color w:val="auto"/>
          <w:sz w:val="24"/>
          <w:highlight w:val="none"/>
        </w:rPr>
        <w:t>11.开工和交工</w:t>
      </w:r>
      <w:bookmarkEnd w:id="445"/>
      <w:bookmarkEnd w:id="446"/>
    </w:p>
    <w:p w14:paraId="7A9300E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11.1.1 </w:t>
      </w:r>
      <w:r>
        <w:rPr>
          <w:rFonts w:hint="eastAsia" w:ascii="宋体" w:hAnsi="宋体" w:eastAsia="宋体" w:cs="宋体"/>
          <w:color w:val="auto"/>
          <w:sz w:val="24"/>
          <w:highlight w:val="none"/>
          <w:lang w:val="zh-CN"/>
        </w:rPr>
        <w:t>监理人应在开工日期</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天前向承包人发出开工通知。监理人在发出开工通知前应获得发包人同意。工期自监理人发出的开工通知中载明的开工日期起计算。承包人应在开工日期后尽快施工。</w:t>
      </w:r>
    </w:p>
    <w:p w14:paraId="62013D79">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11.1.2 </w:t>
      </w:r>
      <w:r>
        <w:rPr>
          <w:rFonts w:hint="eastAsia" w:ascii="宋体" w:hAnsi="宋体" w:eastAsia="宋体" w:cs="宋体"/>
          <w:color w:val="auto"/>
          <w:sz w:val="24"/>
          <w:highlight w:val="none"/>
          <w:lang w:val="zh-CN"/>
        </w:rPr>
        <w:t>承包人应按第</w:t>
      </w: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zh-CN"/>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074A049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承包人应在分部工程开工前向监理人提交分部工程开工报审表，若承包人的开工准备、工作计划和质量控制方法是可接受的且已获得批准，则经监理人书面同意，分部工程才能开工。</w:t>
      </w:r>
    </w:p>
    <w:p w14:paraId="2DFD40A0">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7" w:name="_Toc20601"/>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zh-CN"/>
        </w:rPr>
        <w:t>发包人的工期延误</w:t>
      </w:r>
      <w:bookmarkEnd w:id="447"/>
    </w:p>
    <w:p w14:paraId="6C71B9D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sz w:val="24"/>
          <w:highlight w:val="none"/>
        </w:rPr>
        <w:t>10.2</w:t>
      </w:r>
      <w:r>
        <w:rPr>
          <w:rFonts w:hint="eastAsia" w:ascii="宋体" w:hAnsi="宋体" w:eastAsia="宋体" w:cs="宋体"/>
          <w:color w:val="auto"/>
          <w:sz w:val="24"/>
          <w:highlight w:val="none"/>
          <w:lang w:val="zh-CN"/>
        </w:rPr>
        <w:t>款的约定办理。</w:t>
      </w:r>
    </w:p>
    <w:p w14:paraId="63EE3A9C">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）增加合同工作内容；</w:t>
      </w:r>
    </w:p>
    <w:p w14:paraId="605FC744">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）改变合同中任何一项工作的质量要求或其他特性；</w:t>
      </w:r>
    </w:p>
    <w:p w14:paraId="0445D93A">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）发包人迟延提供材料、工程设备或变更交货地点的；</w:t>
      </w:r>
    </w:p>
    <w:p w14:paraId="6EE5B4F8">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）因发包人原因导致的暂停施工；</w:t>
      </w:r>
    </w:p>
    <w:p w14:paraId="17596B7C">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）提供图纸延误；</w:t>
      </w:r>
    </w:p>
    <w:p w14:paraId="2C728662">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）未按合同约定及时支付预付款、进度款；</w:t>
      </w:r>
    </w:p>
    <w:p w14:paraId="2ACBE74F">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）发包人造成工期延误的其他原因。</w:t>
      </w:r>
    </w:p>
    <w:p w14:paraId="1A6B291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即使由于上述原因造成工期延误，如果受影响的工程并非处在工程施工进度网络计划的关键线路上，则承包人无权要求延长总工期。</w:t>
      </w:r>
    </w:p>
    <w:p w14:paraId="6B578A82">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8" w:name="_Toc21777"/>
      <w:r>
        <w:rPr>
          <w:rFonts w:hint="eastAsia" w:ascii="宋体" w:hAnsi="宋体" w:eastAsia="宋体" w:cs="宋体"/>
          <w:color w:val="auto"/>
          <w:sz w:val="24"/>
          <w:highlight w:val="none"/>
        </w:rPr>
        <w:t>11.4</w:t>
      </w:r>
      <w:r>
        <w:rPr>
          <w:rFonts w:hint="eastAsia" w:ascii="宋体" w:hAnsi="宋体" w:eastAsia="宋体" w:cs="宋体"/>
          <w:color w:val="auto"/>
          <w:sz w:val="24"/>
          <w:highlight w:val="none"/>
          <w:lang w:val="zh-CN"/>
        </w:rPr>
        <w:t>异常恶劣的气候条件</w:t>
      </w:r>
      <w:bookmarkEnd w:id="448"/>
    </w:p>
    <w:p w14:paraId="047B3699">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由于出现专用合同条款规定的异常恶劣气候的条件导致工期延误的，承包人有权要求发包人延长工期。</w:t>
      </w:r>
    </w:p>
    <w:p w14:paraId="6E1396E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异常气候是指项目所在地</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zh-CN"/>
        </w:rPr>
        <w:t>年以上一遇的罕见气候现象（包括温度、降水、降雪、风等）。异常恶劣的气候条件在项目专用合同条款中作具体规定。</w:t>
      </w:r>
    </w:p>
    <w:p w14:paraId="5A2B5F43">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49" w:name="_Toc25393"/>
      <w:r>
        <w:rPr>
          <w:rFonts w:hint="eastAsia" w:ascii="宋体" w:hAnsi="宋体" w:eastAsia="宋体" w:cs="宋体"/>
          <w:color w:val="auto"/>
          <w:sz w:val="24"/>
          <w:highlight w:val="none"/>
        </w:rPr>
        <w:t>11.5</w:t>
      </w:r>
      <w:r>
        <w:rPr>
          <w:rFonts w:hint="eastAsia" w:ascii="宋体" w:hAnsi="宋体" w:eastAsia="宋体" w:cs="宋体"/>
          <w:color w:val="auto"/>
          <w:sz w:val="24"/>
          <w:highlight w:val="none"/>
          <w:lang w:val="zh-CN"/>
        </w:rPr>
        <w:t>承包人的工期延误</w:t>
      </w:r>
      <w:bookmarkEnd w:id="449"/>
    </w:p>
    <w:p w14:paraId="2CBD1BA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）承包人应严格执行监理人批准的合同进度计划，对工作量计划和形象进度计划分别控制。除第</w:t>
      </w: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zh-CN"/>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6A6233D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）如果承包人在接到监理人通知后的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天内，未能采取加快工程进度的措施，致使实际工程进度进一步滞后，或承包人虽采取了一些措施，仍无法按预计工期交工时，监理人应立即通知发包人。发包人在向承包人发出书面警告通知</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天后，发包人可按第</w:t>
      </w:r>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val="zh-CN"/>
        </w:rPr>
        <w:t>款终止对承包人的雇用，也可将本合同工程中的一部分工作交由其他承包人或其他分包人完成。在不解除本合同规定的承包人责任和义务的同时，承包人应承担因此所增加的一切费用。</w:t>
      </w:r>
    </w:p>
    <w:p w14:paraId="52E747E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7BCDA25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）承包人支付逾期交工违约金，不免除承包人完成工程及修补缺陷的义务。</w:t>
      </w:r>
    </w:p>
    <w:p w14:paraId="7732511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4D3B391C">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50" w:name="_Toc13322"/>
      <w:r>
        <w:rPr>
          <w:rFonts w:hint="eastAsia" w:ascii="宋体" w:hAnsi="宋体" w:eastAsia="宋体" w:cs="宋体"/>
          <w:color w:val="auto"/>
          <w:sz w:val="24"/>
          <w:highlight w:val="none"/>
        </w:rPr>
        <w:t>11.6</w:t>
      </w:r>
      <w:r>
        <w:rPr>
          <w:rFonts w:hint="eastAsia" w:ascii="宋体" w:hAnsi="宋体" w:eastAsia="宋体" w:cs="宋体"/>
          <w:color w:val="auto"/>
          <w:sz w:val="24"/>
          <w:highlight w:val="none"/>
          <w:lang w:val="zh-CN"/>
        </w:rPr>
        <w:t>工期提前</w:t>
      </w:r>
      <w:bookmarkEnd w:id="450"/>
    </w:p>
    <w:p w14:paraId="675D8C4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发包人不得随意要求承包人提前交工，承包人也不得随意提出提前交工的建议。如遇特殊情况，确需将工期提前的，发包人和承包人必须采取有效措施，确保工程质量。</w:t>
      </w:r>
    </w:p>
    <w:p w14:paraId="4E1BC23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1EAE1A8A">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51" w:name="_Toc8958"/>
      <w:r>
        <w:rPr>
          <w:rFonts w:hint="eastAsia" w:ascii="宋体" w:hAnsi="宋体" w:eastAsia="宋体" w:cs="宋体"/>
          <w:color w:val="auto"/>
          <w:sz w:val="24"/>
          <w:highlight w:val="none"/>
        </w:rPr>
        <w:t>11.7</w:t>
      </w:r>
      <w:r>
        <w:rPr>
          <w:rFonts w:hint="eastAsia" w:ascii="宋体" w:hAnsi="宋体" w:eastAsia="宋体" w:cs="宋体"/>
          <w:color w:val="auto"/>
          <w:sz w:val="24"/>
          <w:highlight w:val="none"/>
          <w:lang w:val="zh-CN"/>
        </w:rPr>
        <w:t>工作时间的限制</w:t>
      </w:r>
      <w:bookmarkEnd w:id="451"/>
    </w:p>
    <w:p w14:paraId="2D9FC19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承包人在夜间或国家规定的节假日进行永久工程的施工，应向监理人报告，以便监理人履行监理职责和义务。</w:t>
      </w:r>
    </w:p>
    <w:p w14:paraId="70AE270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但是，为了抢救生命或保护财产，或为了工程的安全、质量而不可避免地短暂作业，则不必事先向监理人报告。但承包人应在事后立即向监理人报告。</w:t>
      </w:r>
    </w:p>
    <w:p w14:paraId="2E820C0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本款规定不适用于习惯上或施工本身要求实行连续生产的作业。</w:t>
      </w:r>
    </w:p>
    <w:p w14:paraId="1E2BE2CD">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52" w:name="_Toc1428"/>
      <w:bookmarkStart w:id="453" w:name="_Toc30744"/>
      <w:r>
        <w:rPr>
          <w:rFonts w:hint="eastAsia" w:ascii="宋体" w:hAnsi="宋体" w:eastAsia="宋体" w:cs="宋体"/>
          <w:b/>
          <w:color w:val="auto"/>
          <w:sz w:val="24"/>
          <w:highlight w:val="none"/>
        </w:rPr>
        <w:t>12.暂停施工</w:t>
      </w:r>
      <w:bookmarkEnd w:id="452"/>
      <w:bookmarkEnd w:id="453"/>
    </w:p>
    <w:p w14:paraId="07EF44C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z w:val="24"/>
          <w:highlight w:val="none"/>
          <w:lang w:val="zh-CN"/>
        </w:rPr>
        <w:t>承包人暂停施工的责任</w:t>
      </w:r>
    </w:p>
    <w:p w14:paraId="0D2C3DC0">
      <w:pPr>
        <w:keepNext/>
        <w:keepLines/>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12.1 </w:t>
      </w:r>
      <w:r>
        <w:rPr>
          <w:rFonts w:hint="eastAsia" w:ascii="宋体" w:hAnsi="宋体" w:eastAsia="宋体" w:cs="宋体"/>
          <w:color w:val="auto"/>
          <w:sz w:val="24"/>
          <w:highlight w:val="none"/>
          <w:lang w:val="zh-CN"/>
        </w:rPr>
        <w:t>承包人暂停施工的责任</w:t>
      </w:r>
    </w:p>
    <w:p w14:paraId="0825A929">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因下列暂停施工增加的费用和（或）工期延误由承包人承担：</w:t>
      </w:r>
    </w:p>
    <w:p w14:paraId="2DA839C6">
      <w:pPr>
        <w:autoSpaceDE w:val="0"/>
        <w:autoSpaceDN w:val="0"/>
        <w:adjustRightInd w:val="0"/>
        <w:spacing w:line="360" w:lineRule="auto"/>
        <w:ind w:firstLine="359"/>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）承包人违约引起的暂停施工；</w:t>
      </w:r>
    </w:p>
    <w:p w14:paraId="20C0E4C5">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）由于承包人原因为工程合理施工和安全保障所必需的暂停施工；</w:t>
      </w:r>
    </w:p>
    <w:p w14:paraId="623D7125">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）承包人擅自暂停施工；</w:t>
      </w:r>
    </w:p>
    <w:p w14:paraId="6B45D573">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）承包人其他原因引起的暂停施工；</w:t>
      </w:r>
    </w:p>
    <w:p w14:paraId="593C6B27">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）现场气候条件导致的必要停工（第</w:t>
      </w:r>
      <w:r>
        <w:rPr>
          <w:rFonts w:hint="eastAsia" w:ascii="宋体" w:hAnsi="宋体" w:eastAsia="宋体" w:cs="宋体"/>
          <w:color w:val="auto"/>
          <w:sz w:val="24"/>
          <w:highlight w:val="none"/>
        </w:rPr>
        <w:t>11.4</w:t>
      </w:r>
      <w:r>
        <w:rPr>
          <w:rFonts w:hint="eastAsia" w:ascii="宋体" w:hAnsi="宋体" w:eastAsia="宋体" w:cs="宋体"/>
          <w:color w:val="auto"/>
          <w:sz w:val="24"/>
          <w:highlight w:val="none"/>
          <w:lang w:val="zh-CN"/>
        </w:rPr>
        <w:t>款规定的异常恶劣的气候条件除外）；</w:t>
      </w:r>
    </w:p>
    <w:p w14:paraId="32B9E573">
      <w:pPr>
        <w:autoSpaceDE w:val="0"/>
        <w:autoSpaceDN w:val="0"/>
        <w:adjustRightInd w:val="0"/>
        <w:spacing w:line="360" w:lineRule="auto"/>
        <w:ind w:firstLine="360" w:firstLineChars="15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）项目专用合同条款可能约定的由承包人承担的其他暂停施工。</w:t>
      </w:r>
    </w:p>
    <w:p w14:paraId="62CB2851">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454" w:name="_Toc210"/>
      <w:bookmarkStart w:id="455" w:name="_Toc32672"/>
      <w:r>
        <w:rPr>
          <w:rFonts w:hint="eastAsia" w:ascii="宋体" w:hAnsi="宋体" w:eastAsia="宋体" w:cs="宋体"/>
          <w:b/>
          <w:color w:val="auto"/>
          <w:sz w:val="24"/>
          <w:highlight w:val="none"/>
        </w:rPr>
        <w:t>13.</w:t>
      </w:r>
      <w:r>
        <w:rPr>
          <w:rFonts w:hint="eastAsia" w:ascii="宋体" w:hAnsi="宋体" w:eastAsia="宋体" w:cs="宋体"/>
          <w:b/>
          <w:color w:val="auto"/>
          <w:sz w:val="24"/>
          <w:highlight w:val="none"/>
          <w:lang w:val="zh-CN"/>
        </w:rPr>
        <w:t>工程质量</w:t>
      </w:r>
      <w:bookmarkEnd w:id="454"/>
      <w:bookmarkEnd w:id="455"/>
    </w:p>
    <w:p w14:paraId="6D722820">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56" w:name="_Toc20086"/>
      <w:r>
        <w:rPr>
          <w:rFonts w:hint="eastAsia" w:ascii="宋体" w:hAnsi="宋体" w:eastAsia="宋体" w:cs="宋体"/>
          <w:color w:val="auto"/>
          <w:sz w:val="24"/>
          <w:highlight w:val="none"/>
        </w:rPr>
        <w:t>13.1</w:t>
      </w:r>
      <w:r>
        <w:rPr>
          <w:rFonts w:hint="eastAsia" w:ascii="宋体" w:hAnsi="宋体" w:eastAsia="宋体" w:cs="宋体"/>
          <w:color w:val="auto"/>
          <w:sz w:val="24"/>
          <w:highlight w:val="none"/>
          <w:lang w:val="zh-CN"/>
        </w:rPr>
        <w:t>工程质量要求</w:t>
      </w:r>
      <w:bookmarkEnd w:id="456"/>
    </w:p>
    <w:p w14:paraId="36ED415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13.1.1</w:t>
      </w:r>
      <w:r>
        <w:rPr>
          <w:rFonts w:hint="eastAsia" w:ascii="宋体" w:hAnsi="宋体" w:eastAsia="宋体" w:cs="宋体"/>
          <w:color w:val="auto"/>
          <w:sz w:val="24"/>
          <w:highlight w:val="none"/>
          <w:lang w:val="zh-CN"/>
        </w:rPr>
        <w:t>工程质量验收按技术规范及《公路工程质量检验评定标准》执行。</w:t>
      </w:r>
    </w:p>
    <w:p w14:paraId="75EA8572">
      <w:pPr>
        <w:autoSpaceDE w:val="0"/>
        <w:autoSpaceDN w:val="0"/>
        <w:adjustRightInd w:val="0"/>
        <w:spacing w:line="360" w:lineRule="auto"/>
        <w:ind w:firstLine="780" w:firstLineChars="3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13.1.2 </w:t>
      </w:r>
      <w:r>
        <w:rPr>
          <w:rFonts w:hint="eastAsia" w:ascii="宋体" w:hAnsi="宋体" w:eastAsia="宋体" w:cs="宋体"/>
          <w:color w:val="auto"/>
          <w:sz w:val="24"/>
          <w:highlight w:val="none"/>
          <w:lang w:val="zh-CN"/>
        </w:rPr>
        <w:t>因承包人原因造成工程质量达不到合同约定验收标准的，监理人有权要求承包人返工直至符合合同要求为止，由此造成的费用增加和（或）工期延误由承包人承担。</w:t>
      </w:r>
    </w:p>
    <w:p w14:paraId="3AD5C03E">
      <w:pPr>
        <w:autoSpaceDE w:val="0"/>
        <w:autoSpaceDN w:val="0"/>
        <w:adjustRightInd w:val="0"/>
        <w:spacing w:line="360" w:lineRule="auto"/>
        <w:ind w:firstLine="660" w:firstLineChars="2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13.1.3 </w:t>
      </w:r>
      <w:r>
        <w:rPr>
          <w:rFonts w:hint="eastAsia" w:ascii="宋体" w:hAnsi="宋体" w:eastAsia="宋体" w:cs="宋体"/>
          <w:color w:val="auto"/>
          <w:sz w:val="24"/>
          <w:highlight w:val="none"/>
          <w:lang w:val="zh-CN"/>
        </w:rPr>
        <w:t>因发包人原因造成工程质量达不到合同约定验收标准的，发包人应承担由于承包人返工造成的费用增加和（或）工期延误，并支付承包人合理利润。</w:t>
      </w:r>
    </w:p>
    <w:p w14:paraId="1B0E8A3A">
      <w:pPr>
        <w:autoSpaceDE w:val="0"/>
        <w:autoSpaceDN w:val="0"/>
        <w:adjustRightInd w:val="0"/>
        <w:spacing w:line="360" w:lineRule="auto"/>
        <w:ind w:firstLine="679" w:firstLineChars="283"/>
        <w:rPr>
          <w:rFonts w:hint="eastAsia" w:ascii="宋体" w:hAnsi="宋体" w:eastAsia="宋体" w:cs="宋体"/>
          <w:color w:val="auto"/>
          <w:sz w:val="24"/>
          <w:highlight w:val="none"/>
        </w:rPr>
      </w:pPr>
      <w:r>
        <w:rPr>
          <w:rFonts w:hint="eastAsia" w:ascii="宋体" w:hAnsi="宋体" w:eastAsia="宋体" w:cs="宋体"/>
          <w:color w:val="auto"/>
          <w:sz w:val="24"/>
          <w:highlight w:val="none"/>
        </w:rPr>
        <w:t>13.1.4</w:t>
      </w:r>
      <w:r>
        <w:rPr>
          <w:rFonts w:hint="eastAsia" w:ascii="宋体" w:hAnsi="宋体" w:eastAsia="宋体" w:cs="宋体"/>
          <w:color w:val="auto"/>
          <w:sz w:val="24"/>
          <w:highlight w:val="none"/>
          <w:lang w:val="zh-CN"/>
        </w:rPr>
        <w:t>发包人和承包人应严格遵守《关于严格落实公路工程质量责任制的若干意见》的相关规定，认真执行工程质量责任登记制度并按要求填写工程质量责任登记表。</w:t>
      </w:r>
    </w:p>
    <w:p w14:paraId="70C4ED1F">
      <w:pPr>
        <w:autoSpaceDE w:val="0"/>
        <w:autoSpaceDN w:val="0"/>
        <w:adjustRightInd w:val="0"/>
        <w:spacing w:line="360" w:lineRule="auto"/>
        <w:ind w:firstLine="679" w:firstLineChars="283"/>
        <w:rPr>
          <w:rFonts w:hint="eastAsia" w:ascii="宋体" w:hAnsi="宋体" w:eastAsia="宋体" w:cs="宋体"/>
          <w:color w:val="auto"/>
          <w:sz w:val="24"/>
          <w:highlight w:val="none"/>
        </w:rPr>
      </w:pPr>
      <w:r>
        <w:rPr>
          <w:rFonts w:hint="eastAsia" w:ascii="宋体" w:hAnsi="宋体" w:eastAsia="宋体" w:cs="宋体"/>
          <w:color w:val="auto"/>
          <w:sz w:val="24"/>
          <w:highlight w:val="none"/>
        </w:rPr>
        <w:t>13.1.5</w:t>
      </w:r>
      <w:r>
        <w:rPr>
          <w:rFonts w:hint="eastAsia" w:ascii="宋体" w:hAnsi="宋体" w:eastAsia="宋体" w:cs="宋体"/>
          <w:color w:val="auto"/>
          <w:sz w:val="24"/>
          <w:highlight w:val="none"/>
          <w:lang w:val="zh-CN"/>
        </w:rPr>
        <w:t>本项目严格执行质量责任追究制度。质量事故处理实行“四不放过”原则：事故原因调查不清不放过；事故责任者没有受到教育不放过；没有防范措施不放过；相关责任人没受到处理不放过。</w:t>
      </w:r>
    </w:p>
    <w:p w14:paraId="3EC0114A">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57" w:name="_Toc982"/>
      <w:r>
        <w:rPr>
          <w:rFonts w:hint="eastAsia" w:ascii="宋体" w:hAnsi="宋体" w:eastAsia="宋体" w:cs="宋体"/>
          <w:color w:val="auto"/>
          <w:sz w:val="24"/>
          <w:highlight w:val="none"/>
        </w:rPr>
        <w:t>13.2</w:t>
      </w:r>
      <w:r>
        <w:rPr>
          <w:rFonts w:hint="eastAsia" w:ascii="宋体" w:hAnsi="宋体" w:eastAsia="宋体" w:cs="宋体"/>
          <w:color w:val="auto"/>
          <w:sz w:val="24"/>
          <w:highlight w:val="none"/>
          <w:lang w:val="zh-CN"/>
        </w:rPr>
        <w:t>承包人的质量管理</w:t>
      </w:r>
      <w:bookmarkEnd w:id="457"/>
    </w:p>
    <w:p w14:paraId="5F49D7A9">
      <w:pPr>
        <w:autoSpaceDE w:val="0"/>
        <w:autoSpaceDN w:val="0"/>
        <w:adjustRightInd w:val="0"/>
        <w:spacing w:line="360" w:lineRule="auto"/>
        <w:ind w:firstLine="42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rPr>
        <w:t xml:space="preserve">13.2.1 </w:t>
      </w:r>
      <w:r>
        <w:rPr>
          <w:rFonts w:hint="eastAsia" w:ascii="宋体" w:hAnsi="宋体" w:eastAsia="宋体" w:cs="宋体"/>
          <w:color w:val="auto"/>
          <w:sz w:val="24"/>
          <w:highlight w:val="none"/>
          <w:lang w:val="zh-CN"/>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w:t>
      </w:r>
      <w:r>
        <w:rPr>
          <w:rFonts w:hint="eastAsia" w:ascii="宋体" w:hAnsi="宋体" w:eastAsia="宋体" w:cs="宋体"/>
          <w:color w:val="auto"/>
          <w:spacing w:val="-6"/>
          <w:sz w:val="24"/>
          <w:highlight w:val="none"/>
          <w:lang w:val="zh-CN"/>
        </w:rPr>
        <w:t>报送监理人审批。承包人提交工程质量保证措施文件的期限：签订合同协议书后28天之内。</w:t>
      </w:r>
    </w:p>
    <w:p w14:paraId="45301F7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13.2.2 </w:t>
      </w:r>
      <w:r>
        <w:rPr>
          <w:rFonts w:hint="eastAsia" w:ascii="宋体" w:hAnsi="宋体" w:eastAsia="宋体" w:cs="宋体"/>
          <w:color w:val="auto"/>
          <w:sz w:val="24"/>
          <w:highlight w:val="none"/>
          <w:lang w:val="zh-CN"/>
        </w:rPr>
        <w:t>承包人应加强对施工人员的质量教育和技术培训，定期考核施工人员的劳动技能，严格执行规范和操作规程。</w:t>
      </w:r>
    </w:p>
    <w:p w14:paraId="5619DC6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13.2.3</w:t>
      </w:r>
      <w:r>
        <w:rPr>
          <w:rFonts w:hint="eastAsia" w:ascii="宋体" w:hAnsi="宋体" w:eastAsia="宋体" w:cs="宋体"/>
          <w:color w:val="auto"/>
          <w:sz w:val="24"/>
          <w:highlight w:val="none"/>
          <w:lang w:val="zh-CN"/>
        </w:rPr>
        <w:t>承包人必须遵守国家有关法律、法规和规章，严格执行公路工程强制性技术标准、各类技术规范及规程，全面履行工程合同义务，依法对公路工程质量负责。</w:t>
      </w:r>
    </w:p>
    <w:p w14:paraId="3CB624D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12.2.4</w:t>
      </w:r>
      <w:r>
        <w:rPr>
          <w:rFonts w:hint="eastAsia" w:ascii="宋体" w:hAnsi="宋体" w:eastAsia="宋体" w:cs="宋体"/>
          <w:color w:val="auto"/>
          <w:sz w:val="24"/>
          <w:highlight w:val="none"/>
          <w:lang w:val="zh-CN"/>
        </w:rPr>
        <w:t>承包人应加强质量监控，确保规范规定的检验、抽检频率，现场质检的原始资料必须真实、准确、可靠，不得追记，接受质量检查时必须出示原始资料。</w:t>
      </w:r>
    </w:p>
    <w:p w14:paraId="28D7A80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13.2.5</w:t>
      </w:r>
      <w:r>
        <w:rPr>
          <w:rFonts w:hint="eastAsia" w:ascii="宋体" w:hAnsi="宋体" w:eastAsia="宋体" w:cs="宋体"/>
          <w:color w:val="auto"/>
          <w:sz w:val="24"/>
          <w:highlight w:val="none"/>
          <w:lang w:val="zh-CN"/>
        </w:rPr>
        <w:t>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36E85BD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13.2.6</w:t>
      </w:r>
      <w:r>
        <w:rPr>
          <w:rFonts w:hint="eastAsia" w:ascii="宋体" w:hAnsi="宋体" w:eastAsia="宋体" w:cs="宋体"/>
          <w:color w:val="auto"/>
          <w:sz w:val="24"/>
          <w:highlight w:val="none"/>
          <w:lang w:val="zh-CN"/>
        </w:rPr>
        <w:t>承包人驻工程现场机构应在现场驻地和重要的分部、分项工程施工现场设置明显的工程质量责任登记表公示牌。</w:t>
      </w:r>
    </w:p>
    <w:p w14:paraId="0BCBD67B">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58" w:name="_Toc18299"/>
      <w:r>
        <w:rPr>
          <w:rFonts w:hint="eastAsia" w:ascii="宋体" w:hAnsi="宋体" w:eastAsia="宋体" w:cs="宋体"/>
          <w:color w:val="auto"/>
          <w:sz w:val="24"/>
          <w:highlight w:val="none"/>
        </w:rPr>
        <w:t>13.4</w:t>
      </w:r>
      <w:r>
        <w:rPr>
          <w:rFonts w:hint="eastAsia" w:ascii="宋体" w:hAnsi="宋体" w:eastAsia="宋体" w:cs="宋体"/>
          <w:color w:val="auto"/>
          <w:sz w:val="24"/>
          <w:highlight w:val="none"/>
          <w:lang w:val="zh-CN"/>
        </w:rPr>
        <w:t>监理人的质量检查</w:t>
      </w:r>
      <w:bookmarkEnd w:id="458"/>
    </w:p>
    <w:p w14:paraId="1631340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监理人及其委派的检验人员，应能进入工程现场，以及材料或工程设备的制造、加工或制配的车间和场所，包括不属于承包人的车间或场所进行检查，承包人应为此提供便利和协助。</w:t>
      </w:r>
    </w:p>
    <w:p w14:paraId="6C47223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监理人可以将材料或工程设备的检查和检验委托给一家独立的有质量检验认证资格的检验单位。该独立检验单位的检验结果应视为监理人完成的。监理人应将这种委托的通知书不少于</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天前交给承包人。</w:t>
      </w:r>
    </w:p>
    <w:p w14:paraId="0DDEF496">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59" w:name="_Toc13548"/>
      <w:r>
        <w:rPr>
          <w:rFonts w:hint="eastAsia" w:ascii="宋体" w:hAnsi="宋体" w:eastAsia="宋体" w:cs="宋体"/>
          <w:color w:val="auto"/>
          <w:sz w:val="24"/>
          <w:highlight w:val="none"/>
        </w:rPr>
        <w:t>13.5</w:t>
      </w:r>
      <w:r>
        <w:rPr>
          <w:rFonts w:hint="eastAsia" w:ascii="宋体" w:hAnsi="宋体" w:eastAsia="宋体" w:cs="宋体"/>
          <w:color w:val="auto"/>
          <w:sz w:val="24"/>
          <w:highlight w:val="none"/>
          <w:lang w:val="zh-CN"/>
        </w:rPr>
        <w:t>工程隐蔽部位覆盖前的检查</w:t>
      </w:r>
      <w:bookmarkEnd w:id="459"/>
    </w:p>
    <w:p w14:paraId="07CC41FF">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60" w:name="_Toc22633"/>
      <w:r>
        <w:rPr>
          <w:rFonts w:hint="eastAsia" w:ascii="宋体" w:hAnsi="宋体" w:eastAsia="宋体" w:cs="宋体"/>
          <w:color w:val="auto"/>
          <w:sz w:val="24"/>
          <w:highlight w:val="none"/>
        </w:rPr>
        <w:t xml:space="preserve">13.5.1 </w:t>
      </w:r>
      <w:r>
        <w:rPr>
          <w:rFonts w:hint="eastAsia" w:ascii="宋体" w:hAnsi="宋体" w:eastAsia="宋体" w:cs="宋体"/>
          <w:color w:val="auto"/>
          <w:sz w:val="24"/>
          <w:highlight w:val="none"/>
          <w:lang w:val="zh-CN"/>
        </w:rPr>
        <w:t>通知监理人检查</w:t>
      </w:r>
      <w:bookmarkEnd w:id="460"/>
    </w:p>
    <w:p w14:paraId="6E49919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当监理人有指令时，承包人应对重要隐蔽工程进行拍摄或照相并应保证监理人有充分的机会对将要覆盖或掩蔽的工程进行检查和量测，特别是在基础以上的任一部分工程修筑之前，对该基础进行检查。</w:t>
      </w:r>
    </w:p>
    <w:p w14:paraId="4C8F0D32">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61" w:name="_Toc11191"/>
      <w:r>
        <w:rPr>
          <w:rFonts w:hint="eastAsia" w:ascii="宋体" w:hAnsi="宋体" w:eastAsia="宋体" w:cs="宋体"/>
          <w:color w:val="auto"/>
          <w:sz w:val="24"/>
          <w:highlight w:val="none"/>
        </w:rPr>
        <w:t xml:space="preserve">13.5.2 </w:t>
      </w:r>
      <w:r>
        <w:rPr>
          <w:rFonts w:hint="eastAsia" w:ascii="宋体" w:hAnsi="宋体" w:eastAsia="宋体" w:cs="宋体"/>
          <w:color w:val="auto"/>
          <w:sz w:val="24"/>
          <w:highlight w:val="none"/>
          <w:lang w:val="zh-CN"/>
        </w:rPr>
        <w:t>监理人未到场检查</w:t>
      </w:r>
      <w:bookmarkEnd w:id="461"/>
    </w:p>
    <w:p w14:paraId="05F351F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监理人未按第</w:t>
      </w:r>
      <w:r>
        <w:rPr>
          <w:rFonts w:hint="eastAsia" w:ascii="宋体" w:hAnsi="宋体" w:eastAsia="宋体" w:cs="宋体"/>
          <w:color w:val="auto"/>
          <w:sz w:val="24"/>
          <w:highlight w:val="none"/>
        </w:rPr>
        <w:t>13.5.1</w:t>
      </w:r>
      <w:r>
        <w:rPr>
          <w:rFonts w:hint="eastAsia" w:ascii="宋体" w:hAnsi="宋体" w:eastAsia="宋体" w:cs="宋体"/>
          <w:color w:val="auto"/>
          <w:sz w:val="24"/>
          <w:highlight w:val="none"/>
          <w:lang w:val="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sz w:val="24"/>
          <w:highlight w:val="none"/>
        </w:rPr>
        <w:t>13.5.3</w:t>
      </w:r>
      <w:r>
        <w:rPr>
          <w:rFonts w:hint="eastAsia" w:ascii="宋体" w:hAnsi="宋体" w:eastAsia="宋体" w:cs="宋体"/>
          <w:color w:val="auto"/>
          <w:sz w:val="24"/>
          <w:highlight w:val="none"/>
          <w:lang w:val="zh-CN"/>
        </w:rPr>
        <w:t>项的约定重新检查。</w:t>
      </w:r>
    </w:p>
    <w:p w14:paraId="25B16115">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62" w:name="_Toc13550"/>
      <w:r>
        <w:rPr>
          <w:rFonts w:hint="eastAsia" w:ascii="宋体" w:hAnsi="宋体" w:eastAsia="宋体" w:cs="宋体"/>
          <w:color w:val="auto"/>
          <w:sz w:val="24"/>
          <w:highlight w:val="none"/>
        </w:rPr>
        <w:t xml:space="preserve">13.5.3 </w:t>
      </w:r>
      <w:r>
        <w:rPr>
          <w:rFonts w:hint="eastAsia" w:ascii="宋体" w:hAnsi="宋体" w:eastAsia="宋体" w:cs="宋体"/>
          <w:color w:val="auto"/>
          <w:sz w:val="24"/>
          <w:highlight w:val="none"/>
          <w:lang w:val="zh-CN"/>
        </w:rPr>
        <w:t>监理人重新检查</w:t>
      </w:r>
      <w:bookmarkEnd w:id="462"/>
    </w:p>
    <w:p w14:paraId="289EDC9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承包人按第</w:t>
      </w:r>
      <w:r>
        <w:rPr>
          <w:rFonts w:hint="eastAsia" w:ascii="宋体" w:hAnsi="宋体" w:eastAsia="宋体" w:cs="宋体"/>
          <w:color w:val="auto"/>
          <w:sz w:val="24"/>
          <w:highlight w:val="none"/>
        </w:rPr>
        <w:t>13.5.1</w:t>
      </w:r>
      <w:r>
        <w:rPr>
          <w:rFonts w:hint="eastAsia" w:ascii="宋体" w:hAnsi="宋体" w:eastAsia="宋体" w:cs="宋体"/>
          <w:color w:val="auto"/>
          <w:sz w:val="24"/>
          <w:highlight w:val="none"/>
          <w:lang w:val="zh-CN"/>
        </w:rPr>
        <w:t>项或第</w:t>
      </w:r>
      <w:r>
        <w:rPr>
          <w:rFonts w:hint="eastAsia" w:ascii="宋体" w:hAnsi="宋体" w:eastAsia="宋体" w:cs="宋体"/>
          <w:color w:val="auto"/>
          <w:sz w:val="24"/>
          <w:highlight w:val="none"/>
        </w:rPr>
        <w:t>13.5.2</w:t>
      </w:r>
      <w:r>
        <w:rPr>
          <w:rFonts w:hint="eastAsia" w:ascii="宋体" w:hAnsi="宋体" w:eastAsia="宋体" w:cs="宋体"/>
          <w:color w:val="auto"/>
          <w:sz w:val="24"/>
          <w:highlight w:val="none"/>
          <w:lang w:val="zh-CN"/>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0BA92F8">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63" w:name="_Toc6801"/>
      <w:r>
        <w:rPr>
          <w:rFonts w:hint="eastAsia" w:ascii="宋体" w:hAnsi="宋体" w:eastAsia="宋体" w:cs="宋体"/>
          <w:color w:val="auto"/>
          <w:sz w:val="24"/>
          <w:highlight w:val="none"/>
        </w:rPr>
        <w:t xml:space="preserve">13.5.4 </w:t>
      </w:r>
      <w:r>
        <w:rPr>
          <w:rFonts w:hint="eastAsia" w:ascii="宋体" w:hAnsi="宋体" w:eastAsia="宋体" w:cs="宋体"/>
          <w:color w:val="auto"/>
          <w:sz w:val="24"/>
          <w:highlight w:val="none"/>
          <w:lang w:val="zh-CN"/>
        </w:rPr>
        <w:t>承包人私自覆盖</w:t>
      </w:r>
      <w:bookmarkEnd w:id="463"/>
    </w:p>
    <w:p w14:paraId="6E74EF6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承包人未通知监理人到场检查，私自将工程隐蔽部位覆盖的，监理人有权指示承包人钻孔探测或揭开检查，由此增加的费用和（或）工期延误由承包人承担。</w:t>
      </w:r>
    </w:p>
    <w:p w14:paraId="7FD89D31">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64" w:name="_Toc1475"/>
      <w:r>
        <w:rPr>
          <w:rFonts w:hint="eastAsia" w:ascii="宋体" w:hAnsi="宋体" w:eastAsia="宋体" w:cs="宋体"/>
          <w:color w:val="auto"/>
          <w:sz w:val="24"/>
          <w:highlight w:val="none"/>
        </w:rPr>
        <w:t>13.6</w:t>
      </w:r>
      <w:r>
        <w:rPr>
          <w:rFonts w:hint="eastAsia" w:ascii="宋体" w:hAnsi="宋体" w:eastAsia="宋体" w:cs="宋体"/>
          <w:color w:val="auto"/>
          <w:sz w:val="24"/>
          <w:highlight w:val="none"/>
          <w:lang w:val="zh-CN"/>
        </w:rPr>
        <w:t>清除不合格工程</w:t>
      </w:r>
      <w:bookmarkEnd w:id="464"/>
    </w:p>
    <w:p w14:paraId="0B1BD18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13.6.1</w:t>
      </w:r>
      <w:r>
        <w:rPr>
          <w:rFonts w:hint="eastAsia" w:ascii="宋体" w:hAnsi="宋体" w:eastAsia="宋体" w:cs="宋体"/>
          <w:color w:val="auto"/>
          <w:sz w:val="24"/>
          <w:highlight w:val="none"/>
          <w:lang w:val="zh-CN"/>
        </w:rPr>
        <w:t>　（</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54804C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）如果承包人未在规定时间内执行监理人的指示，发包人有权雇用他人执行，由此增加的费用和（或）工期延误由承包人承担。</w:t>
      </w:r>
    </w:p>
    <w:p w14:paraId="448BD336">
      <w:pPr>
        <w:autoSpaceDE w:val="0"/>
        <w:autoSpaceDN w:val="0"/>
        <w:adjustRightInd w:val="0"/>
        <w:spacing w:line="360" w:lineRule="auto"/>
        <w:ind w:firstLine="42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rPr>
        <w:t xml:space="preserve">13.6.2 </w:t>
      </w:r>
      <w:r>
        <w:rPr>
          <w:rFonts w:hint="eastAsia" w:ascii="宋体" w:hAnsi="宋体" w:eastAsia="宋体" w:cs="宋体"/>
          <w:color w:val="auto"/>
          <w:sz w:val="24"/>
          <w:highlight w:val="none"/>
          <w:lang w:val="zh-CN"/>
        </w:rPr>
        <w:t>由于发包人提供的材料或工程设备不合格造成的工程不合格，需要承包人采</w:t>
      </w:r>
      <w:r>
        <w:rPr>
          <w:rFonts w:hint="eastAsia" w:ascii="宋体" w:hAnsi="宋体" w:eastAsia="宋体" w:cs="宋体"/>
          <w:color w:val="auto"/>
          <w:spacing w:val="-6"/>
          <w:sz w:val="24"/>
          <w:highlight w:val="none"/>
          <w:lang w:val="zh-CN"/>
        </w:rPr>
        <w:t>取措施补救的，发包人应承担由此增加的费用和（或）工期延误，并支付承包人合理利润。</w:t>
      </w:r>
    </w:p>
    <w:p w14:paraId="21F2ADCB">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65" w:name="_Toc20494"/>
      <w:bookmarkStart w:id="466" w:name="_Toc19537"/>
      <w:r>
        <w:rPr>
          <w:rFonts w:hint="eastAsia" w:ascii="宋体" w:hAnsi="宋体" w:eastAsia="宋体" w:cs="宋体"/>
          <w:b/>
          <w:color w:val="auto"/>
          <w:sz w:val="24"/>
          <w:highlight w:val="none"/>
          <w:lang w:val="zh-CN"/>
        </w:rPr>
        <w:t>14.试验和检验</w:t>
      </w:r>
      <w:bookmarkEnd w:id="465"/>
      <w:bookmarkEnd w:id="466"/>
    </w:p>
    <w:p w14:paraId="6E45754E">
      <w:pPr>
        <w:keepNext/>
        <w:keepLines/>
        <w:autoSpaceDE w:val="0"/>
        <w:autoSpaceDN w:val="0"/>
        <w:adjustRightInd w:val="0"/>
        <w:spacing w:line="360" w:lineRule="auto"/>
        <w:ind w:firstLine="480" w:firstLineChars="200"/>
        <w:outlineLvl w:val="4"/>
        <w:rPr>
          <w:rFonts w:hint="eastAsia" w:ascii="宋体" w:hAnsi="宋体" w:eastAsia="宋体" w:cs="宋体"/>
          <w:color w:val="auto"/>
          <w:sz w:val="24"/>
          <w:highlight w:val="none"/>
        </w:rPr>
      </w:pPr>
      <w:bookmarkStart w:id="467" w:name="_Toc27897"/>
      <w:r>
        <w:rPr>
          <w:rFonts w:hint="eastAsia" w:ascii="宋体" w:hAnsi="宋体" w:eastAsia="宋体" w:cs="宋体"/>
          <w:color w:val="auto"/>
          <w:sz w:val="24"/>
          <w:highlight w:val="none"/>
        </w:rPr>
        <w:t xml:space="preserve">14.1 </w:t>
      </w:r>
      <w:r>
        <w:rPr>
          <w:rFonts w:hint="eastAsia" w:ascii="宋体" w:hAnsi="宋体" w:eastAsia="宋体" w:cs="宋体"/>
          <w:color w:val="auto"/>
          <w:sz w:val="24"/>
          <w:highlight w:val="none"/>
          <w:lang w:val="zh-CN"/>
        </w:rPr>
        <w:t>材料、工程设备和工程的试验和检验</w:t>
      </w:r>
      <w:bookmarkEnd w:id="467"/>
    </w:p>
    <w:p w14:paraId="7E058F4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14.1.1 </w:t>
      </w:r>
      <w:r>
        <w:rPr>
          <w:rFonts w:hint="eastAsia" w:ascii="宋体" w:hAnsi="宋体" w:eastAsia="宋体" w:cs="宋体"/>
          <w:color w:val="auto"/>
          <w:sz w:val="24"/>
          <w:highlight w:val="none"/>
          <w:lang w:val="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A56CEB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14.1.2 </w:t>
      </w:r>
      <w:r>
        <w:rPr>
          <w:rFonts w:hint="eastAsia" w:ascii="宋体" w:hAnsi="宋体" w:eastAsia="宋体" w:cs="宋体"/>
          <w:color w:val="auto"/>
          <w:sz w:val="24"/>
          <w:highlight w:val="none"/>
          <w:lang w:val="zh-CN"/>
        </w:rPr>
        <w:t>监理人未按合同约定派员参加试验和检验的，除监理人另有指示外，承包人可自行试验和检验，并应立即将试验和检验结果报送监理人，监理人应签字确认。</w:t>
      </w:r>
    </w:p>
    <w:p w14:paraId="18B46CD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14.1.3 </w:t>
      </w:r>
      <w:r>
        <w:rPr>
          <w:rFonts w:hint="eastAsia" w:ascii="宋体" w:hAnsi="宋体" w:eastAsia="宋体" w:cs="宋体"/>
          <w:color w:val="auto"/>
          <w:sz w:val="24"/>
          <w:highlight w:val="none"/>
          <w:lang w:val="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0C667BE">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68" w:name="_Toc1155"/>
      <w:r>
        <w:rPr>
          <w:rFonts w:hint="eastAsia" w:ascii="宋体" w:hAnsi="宋体" w:eastAsia="宋体" w:cs="宋体"/>
          <w:color w:val="auto"/>
          <w:sz w:val="24"/>
          <w:highlight w:val="none"/>
        </w:rPr>
        <w:t xml:space="preserve">14.2 </w:t>
      </w:r>
      <w:r>
        <w:rPr>
          <w:rFonts w:hint="eastAsia" w:ascii="宋体" w:hAnsi="宋体" w:eastAsia="宋体" w:cs="宋体"/>
          <w:color w:val="auto"/>
          <w:sz w:val="24"/>
          <w:highlight w:val="none"/>
          <w:lang w:val="zh-CN"/>
        </w:rPr>
        <w:t>现场材料试验</w:t>
      </w:r>
      <w:bookmarkEnd w:id="468"/>
    </w:p>
    <w:p w14:paraId="3C24AC4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14.2.1 </w:t>
      </w:r>
      <w:r>
        <w:rPr>
          <w:rFonts w:hint="eastAsia" w:ascii="宋体" w:hAnsi="宋体" w:eastAsia="宋体" w:cs="宋体"/>
          <w:color w:val="auto"/>
          <w:sz w:val="24"/>
          <w:highlight w:val="none"/>
          <w:lang w:val="zh-CN"/>
        </w:rPr>
        <w:t>承包人根据合同约定或监理人指示进行的现场材料试验，应由承包人提供试验场所、试验人员、试验设备器材以及其他必要的试验条件。</w:t>
      </w:r>
    </w:p>
    <w:p w14:paraId="6341B49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14.2.2 </w:t>
      </w:r>
      <w:r>
        <w:rPr>
          <w:rFonts w:hint="eastAsia" w:ascii="宋体" w:hAnsi="宋体" w:eastAsia="宋体" w:cs="宋体"/>
          <w:color w:val="auto"/>
          <w:sz w:val="24"/>
          <w:highlight w:val="none"/>
          <w:lang w:val="zh-CN"/>
        </w:rPr>
        <w:t>监理人在必要时可以使用承包人的试验场所、试验设备器材以及其他试验条件，进行以工程质量检查为目的的复核性材料试验，承包人应予以协助。</w:t>
      </w:r>
    </w:p>
    <w:p w14:paraId="04B71482">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69" w:name="_Toc3575"/>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val="zh-CN"/>
        </w:rPr>
        <w:t>现场工艺试验</w:t>
      </w:r>
      <w:bookmarkEnd w:id="469"/>
    </w:p>
    <w:p w14:paraId="7356648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承包人应按合同约定或监理人指示进行现场工艺试验。对大型的现场工艺试验，监理人认为必要时，应由承包人根据监理人提出的工艺试验要求，编制工艺试验措施计划，报送监理人审批。</w:t>
      </w:r>
    </w:p>
    <w:p w14:paraId="210589DD">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70" w:name="_Toc28820"/>
      <w:r>
        <w:rPr>
          <w:rFonts w:hint="eastAsia" w:ascii="宋体" w:hAnsi="宋体" w:eastAsia="宋体" w:cs="宋体"/>
          <w:color w:val="auto"/>
          <w:sz w:val="24"/>
          <w:highlight w:val="none"/>
        </w:rPr>
        <w:t>14.4</w:t>
      </w:r>
      <w:r>
        <w:rPr>
          <w:rFonts w:hint="eastAsia" w:ascii="宋体" w:hAnsi="宋体" w:eastAsia="宋体" w:cs="宋体"/>
          <w:color w:val="auto"/>
          <w:sz w:val="24"/>
          <w:highlight w:val="none"/>
          <w:lang w:val="zh-CN"/>
        </w:rPr>
        <w:t>试验和检验费用</w:t>
      </w:r>
      <w:bookmarkEnd w:id="470"/>
    </w:p>
    <w:p w14:paraId="2B4002F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）承包人应负责提供合同和技术规范规定的试验和检验所需的全部样品，并承担其费用。</w:t>
      </w:r>
    </w:p>
    <w:p w14:paraId="3C0C511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）在合同中明确规定的试验和检验，包括无须在工程量清单中单独列项和已在工程量清单中单独列项的试验和检验，其试验和检验的费用由承包人负担。</w:t>
      </w:r>
    </w:p>
    <w:p w14:paraId="672F6E85">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6BE7B44C">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71" w:name="_Toc25954"/>
      <w:bookmarkStart w:id="472" w:name="_Toc15936"/>
      <w:r>
        <w:rPr>
          <w:rFonts w:hint="eastAsia" w:ascii="宋体" w:hAnsi="宋体" w:eastAsia="宋体" w:cs="宋体"/>
          <w:b/>
          <w:color w:val="auto"/>
          <w:sz w:val="24"/>
          <w:highlight w:val="none"/>
          <w:lang w:val="zh-CN"/>
        </w:rPr>
        <w:t>15.变更</w:t>
      </w:r>
      <w:bookmarkEnd w:id="471"/>
      <w:bookmarkEnd w:id="472"/>
    </w:p>
    <w:p w14:paraId="0C0F49F2">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73" w:name="_Toc23908"/>
      <w:r>
        <w:rPr>
          <w:rFonts w:hint="eastAsia" w:ascii="宋体" w:hAnsi="宋体" w:eastAsia="宋体" w:cs="宋体"/>
          <w:color w:val="auto"/>
          <w:sz w:val="24"/>
          <w:highlight w:val="none"/>
        </w:rPr>
        <w:t>15.1</w:t>
      </w:r>
      <w:r>
        <w:rPr>
          <w:rFonts w:hint="eastAsia" w:ascii="宋体" w:hAnsi="宋体" w:eastAsia="宋体" w:cs="宋体"/>
          <w:color w:val="auto"/>
          <w:sz w:val="24"/>
          <w:highlight w:val="none"/>
          <w:lang w:val="zh-CN"/>
        </w:rPr>
        <w:t>变更的范围和内容</w:t>
      </w:r>
      <w:bookmarkEnd w:id="473"/>
    </w:p>
    <w:p w14:paraId="3A0F604E">
      <w:pPr>
        <w:autoSpaceDE w:val="0"/>
        <w:autoSpaceDN w:val="0"/>
        <w:adjustRightInd w:val="0"/>
        <w:spacing w:line="360" w:lineRule="auto"/>
        <w:ind w:firstLine="47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）取消合同中任何一项工作，但被取消的工作不能转由发包人或其他人实施，由于承包人违约造成的情况除外；（</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）改变合同中任何一项工作的质量或其他特性；</w:t>
      </w:r>
    </w:p>
    <w:p w14:paraId="307F0EAB">
      <w:pPr>
        <w:autoSpaceDE w:val="0"/>
        <w:autoSpaceDN w:val="0"/>
        <w:adjustRightInd w:val="0"/>
        <w:spacing w:line="360" w:lineRule="auto"/>
        <w:ind w:firstLine="359"/>
        <w:outlineLvl w:val="3"/>
        <w:rPr>
          <w:rFonts w:hint="eastAsia" w:ascii="宋体" w:hAnsi="宋体" w:eastAsia="宋体" w:cs="宋体"/>
          <w:color w:val="auto"/>
          <w:sz w:val="24"/>
          <w:highlight w:val="none"/>
        </w:rPr>
      </w:pPr>
      <w:bookmarkStart w:id="474" w:name="_Toc28013"/>
      <w:bookmarkStart w:id="475" w:name="_Toc13105"/>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）改变合同工程的基线、标高、位置或尺寸；</w:t>
      </w:r>
      <w:bookmarkEnd w:id="474"/>
      <w:bookmarkEnd w:id="475"/>
    </w:p>
    <w:p w14:paraId="0F42C51F">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）改变合同中任何一项工作的施工时间或改变已批准的施工工艺或顺序；</w:t>
      </w:r>
    </w:p>
    <w:p w14:paraId="4120F14F">
      <w:pPr>
        <w:autoSpaceDE w:val="0"/>
        <w:autoSpaceDN w:val="0"/>
        <w:adjustRightInd w:val="0"/>
        <w:spacing w:line="360" w:lineRule="auto"/>
        <w:ind w:firstLine="359"/>
        <w:outlineLvl w:val="3"/>
        <w:rPr>
          <w:rFonts w:hint="eastAsia" w:ascii="宋体" w:hAnsi="宋体" w:eastAsia="宋体" w:cs="宋体"/>
          <w:color w:val="auto"/>
          <w:sz w:val="24"/>
          <w:highlight w:val="none"/>
        </w:rPr>
      </w:pPr>
      <w:bookmarkStart w:id="476" w:name="_Toc8994"/>
      <w:bookmarkStart w:id="477" w:name="_Toc7084"/>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）为完成工程需要追加的额外工作。</w:t>
      </w:r>
      <w:bookmarkEnd w:id="476"/>
      <w:bookmarkEnd w:id="477"/>
    </w:p>
    <w:p w14:paraId="25E81926">
      <w:pPr>
        <w:keepNext/>
        <w:keepLines/>
        <w:autoSpaceDE w:val="0"/>
        <w:autoSpaceDN w:val="0"/>
        <w:adjustRightInd w:val="0"/>
        <w:spacing w:line="360" w:lineRule="auto"/>
        <w:outlineLvl w:val="4"/>
        <w:rPr>
          <w:rFonts w:hint="eastAsia" w:ascii="宋体" w:hAnsi="宋体" w:eastAsia="宋体" w:cs="宋体"/>
          <w:color w:val="auto"/>
          <w:sz w:val="24"/>
          <w:highlight w:val="none"/>
        </w:rPr>
      </w:pPr>
      <w:bookmarkStart w:id="478" w:name="_Toc1543"/>
      <w:r>
        <w:rPr>
          <w:rFonts w:hint="eastAsia" w:ascii="宋体" w:hAnsi="宋体" w:eastAsia="宋体" w:cs="宋体"/>
          <w:color w:val="auto"/>
          <w:sz w:val="24"/>
          <w:highlight w:val="none"/>
        </w:rPr>
        <w:t xml:space="preserve">15.2 </w:t>
      </w:r>
      <w:r>
        <w:rPr>
          <w:rFonts w:hint="eastAsia" w:ascii="宋体" w:hAnsi="宋体" w:eastAsia="宋体" w:cs="宋体"/>
          <w:color w:val="auto"/>
          <w:sz w:val="24"/>
          <w:highlight w:val="none"/>
          <w:lang w:val="zh-CN"/>
        </w:rPr>
        <w:t>变更权</w:t>
      </w:r>
      <w:bookmarkEnd w:id="478"/>
    </w:p>
    <w:p w14:paraId="622419B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在履行合同过程中，经发包人同意，监理人可按第</w:t>
      </w:r>
      <w:r>
        <w:rPr>
          <w:rFonts w:hint="eastAsia" w:ascii="宋体" w:hAnsi="宋体" w:eastAsia="宋体" w:cs="宋体"/>
          <w:color w:val="auto"/>
          <w:sz w:val="24"/>
          <w:highlight w:val="none"/>
        </w:rPr>
        <w:t>15.3</w:t>
      </w:r>
      <w:r>
        <w:rPr>
          <w:rFonts w:hint="eastAsia" w:ascii="宋体" w:hAnsi="宋体" w:eastAsia="宋体" w:cs="宋体"/>
          <w:color w:val="auto"/>
          <w:sz w:val="24"/>
          <w:highlight w:val="none"/>
          <w:lang w:val="zh-CN"/>
        </w:rPr>
        <w:t>款约定的变更程序向承包人作出变更指示，承包人应遵照执行。没有监理人的变更指示，承包人不得擅自变更。</w:t>
      </w:r>
    </w:p>
    <w:p w14:paraId="1A45A23F">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79" w:name="_Toc28923"/>
      <w:r>
        <w:rPr>
          <w:rFonts w:hint="eastAsia" w:ascii="宋体" w:hAnsi="宋体" w:eastAsia="宋体" w:cs="宋体"/>
          <w:color w:val="auto"/>
          <w:sz w:val="24"/>
          <w:highlight w:val="none"/>
        </w:rPr>
        <w:t>15.3</w:t>
      </w:r>
      <w:r>
        <w:rPr>
          <w:rFonts w:hint="eastAsia" w:ascii="宋体" w:hAnsi="宋体" w:eastAsia="宋体" w:cs="宋体"/>
          <w:color w:val="auto"/>
          <w:sz w:val="24"/>
          <w:highlight w:val="none"/>
          <w:lang w:val="zh-CN"/>
        </w:rPr>
        <w:t>变更程序</w:t>
      </w:r>
      <w:bookmarkEnd w:id="479"/>
    </w:p>
    <w:p w14:paraId="73ABC06D">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80" w:name="_Toc22053"/>
      <w:r>
        <w:rPr>
          <w:rFonts w:hint="eastAsia" w:ascii="宋体" w:hAnsi="宋体" w:eastAsia="宋体" w:cs="宋体"/>
          <w:color w:val="auto"/>
          <w:sz w:val="24"/>
          <w:highlight w:val="none"/>
        </w:rPr>
        <w:t xml:space="preserve">15.3.1 </w:t>
      </w:r>
      <w:r>
        <w:rPr>
          <w:rFonts w:hint="eastAsia" w:ascii="宋体" w:hAnsi="宋体" w:eastAsia="宋体" w:cs="宋体"/>
          <w:color w:val="auto"/>
          <w:sz w:val="24"/>
          <w:highlight w:val="none"/>
          <w:lang w:val="zh-CN"/>
        </w:rPr>
        <w:t>变更的提出</w:t>
      </w:r>
      <w:bookmarkEnd w:id="480"/>
    </w:p>
    <w:p w14:paraId="4C7A531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）在合同履行过程中，可能发生第</w:t>
      </w:r>
      <w:r>
        <w:rPr>
          <w:rFonts w:hint="eastAsia" w:ascii="宋体" w:hAnsi="宋体" w:eastAsia="宋体" w:cs="宋体"/>
          <w:color w:val="auto"/>
          <w:sz w:val="24"/>
          <w:highlight w:val="none"/>
        </w:rPr>
        <w:t>15.1</w:t>
      </w:r>
      <w:r>
        <w:rPr>
          <w:rFonts w:hint="eastAsia" w:ascii="宋体" w:hAnsi="宋体" w:eastAsia="宋体" w:cs="宋体"/>
          <w:color w:val="auto"/>
          <w:sz w:val="24"/>
          <w:highlight w:val="none"/>
          <w:lang w:val="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color w:val="auto"/>
          <w:sz w:val="24"/>
          <w:highlight w:val="none"/>
        </w:rPr>
        <w:t>15.3.3</w:t>
      </w:r>
      <w:r>
        <w:rPr>
          <w:rFonts w:hint="eastAsia" w:ascii="宋体" w:hAnsi="宋体" w:eastAsia="宋体" w:cs="宋体"/>
          <w:color w:val="auto"/>
          <w:sz w:val="24"/>
          <w:highlight w:val="none"/>
          <w:lang w:val="zh-CN"/>
        </w:rPr>
        <w:t>项约定发出变更指示。</w:t>
      </w:r>
    </w:p>
    <w:p w14:paraId="1FE3EE8F">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）在合同履行过程中，发生第</w:t>
      </w:r>
      <w:r>
        <w:rPr>
          <w:rFonts w:hint="eastAsia" w:ascii="宋体" w:hAnsi="宋体" w:eastAsia="宋体" w:cs="宋体"/>
          <w:color w:val="auto"/>
          <w:sz w:val="24"/>
          <w:highlight w:val="none"/>
        </w:rPr>
        <w:t>15.1</w:t>
      </w:r>
      <w:r>
        <w:rPr>
          <w:rFonts w:hint="eastAsia" w:ascii="宋体" w:hAnsi="宋体" w:eastAsia="宋体" w:cs="宋体"/>
          <w:color w:val="auto"/>
          <w:sz w:val="24"/>
          <w:highlight w:val="none"/>
          <w:lang w:val="zh-CN"/>
        </w:rPr>
        <w:t>款约定情形的，监理人应按照第</w:t>
      </w:r>
      <w:r>
        <w:rPr>
          <w:rFonts w:hint="eastAsia" w:ascii="宋体" w:hAnsi="宋体" w:eastAsia="宋体" w:cs="宋体"/>
          <w:color w:val="auto"/>
          <w:sz w:val="24"/>
          <w:highlight w:val="none"/>
        </w:rPr>
        <w:t>15.3.3</w:t>
      </w:r>
      <w:r>
        <w:rPr>
          <w:rFonts w:hint="eastAsia" w:ascii="宋体" w:hAnsi="宋体" w:eastAsia="宋体" w:cs="宋体"/>
          <w:color w:val="auto"/>
          <w:sz w:val="24"/>
          <w:highlight w:val="none"/>
          <w:lang w:val="zh-CN"/>
        </w:rPr>
        <w:t>项约定向承包人发出变更指示。</w:t>
      </w:r>
    </w:p>
    <w:p w14:paraId="327148B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）承包人收到监理人按合同约定发出的图纸和文件，经检查认为其中存在第</w:t>
      </w:r>
      <w:r>
        <w:rPr>
          <w:rFonts w:hint="eastAsia" w:ascii="宋体" w:hAnsi="宋体" w:eastAsia="宋体" w:cs="宋体"/>
          <w:color w:val="auto"/>
          <w:sz w:val="24"/>
          <w:highlight w:val="none"/>
        </w:rPr>
        <w:t>15.1</w:t>
      </w:r>
      <w:r>
        <w:rPr>
          <w:rFonts w:hint="eastAsia" w:ascii="宋体" w:hAnsi="宋体" w:eastAsia="宋体" w:cs="宋体"/>
          <w:color w:val="auto"/>
          <w:sz w:val="24"/>
          <w:highlight w:val="none"/>
          <w:lang w:val="zh-CN"/>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天内作出变更指示。经研究后不同意作为变更的，应由监理人书面答复承包人。</w:t>
      </w:r>
    </w:p>
    <w:p w14:paraId="1733C23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）若承包人收到监理人的变更意向书后认为难以实施此项变更，应立即通知监理人，说明原因并附详细依据。监理人与承包人和发包人协商后确定撤销、改变或不改变原变更意向书。</w:t>
      </w:r>
    </w:p>
    <w:p w14:paraId="0AFF62A2">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81" w:name="_Toc20934"/>
      <w:r>
        <w:rPr>
          <w:rFonts w:hint="eastAsia" w:ascii="宋体" w:hAnsi="宋体" w:eastAsia="宋体" w:cs="宋体"/>
          <w:color w:val="auto"/>
          <w:sz w:val="24"/>
          <w:highlight w:val="none"/>
        </w:rPr>
        <w:t xml:space="preserve">15.3.2 </w:t>
      </w:r>
      <w:r>
        <w:rPr>
          <w:rFonts w:hint="eastAsia" w:ascii="宋体" w:hAnsi="宋体" w:eastAsia="宋体" w:cs="宋体"/>
          <w:color w:val="auto"/>
          <w:sz w:val="24"/>
          <w:highlight w:val="none"/>
          <w:lang w:val="zh-CN"/>
        </w:rPr>
        <w:t>变更估价</w:t>
      </w:r>
      <w:bookmarkEnd w:id="481"/>
    </w:p>
    <w:p w14:paraId="2BDB200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）除专用合同条款对期限另有约定外，承包人应在收到变更指示或变更意向书后的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天内，向监理人提交变更报价书，报价内容应根据第</w:t>
      </w:r>
      <w:r>
        <w:rPr>
          <w:rFonts w:hint="eastAsia" w:ascii="宋体" w:hAnsi="宋体" w:eastAsia="宋体" w:cs="宋体"/>
          <w:color w:val="auto"/>
          <w:sz w:val="24"/>
          <w:highlight w:val="none"/>
        </w:rPr>
        <w:t>15.4</w:t>
      </w:r>
      <w:r>
        <w:rPr>
          <w:rFonts w:hint="eastAsia" w:ascii="宋体" w:hAnsi="宋体" w:eastAsia="宋体" w:cs="宋体"/>
          <w:color w:val="auto"/>
          <w:sz w:val="24"/>
          <w:highlight w:val="none"/>
          <w:lang w:val="zh-CN"/>
        </w:rPr>
        <w:t>款约定的估价原则，详细开列变更工作的价格组成及其依据，并附必要的施工方法说明和有关图纸。</w:t>
      </w:r>
    </w:p>
    <w:p w14:paraId="7995EAE8">
      <w:pPr>
        <w:autoSpaceDE w:val="0"/>
        <w:autoSpaceDN w:val="0"/>
        <w:adjustRightInd w:val="0"/>
        <w:spacing w:line="360" w:lineRule="auto"/>
        <w:ind w:firstLine="42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）变更工作影响工期的，承包人应提出调整工期的具体细节。监理人认为有必要</w:t>
      </w:r>
      <w:r>
        <w:rPr>
          <w:rFonts w:hint="eastAsia" w:ascii="宋体" w:hAnsi="宋体" w:eastAsia="宋体" w:cs="宋体"/>
          <w:color w:val="auto"/>
          <w:spacing w:val="-6"/>
          <w:sz w:val="24"/>
          <w:highlight w:val="none"/>
          <w:lang w:val="zh-CN"/>
        </w:rPr>
        <w:t>时，可要求承包人提交要求提前或延长工期的施工进度计划及相应施工措施等详细资料。</w:t>
      </w:r>
    </w:p>
    <w:p w14:paraId="60E8E44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）除专用合同条款对期限另有约定外，监理人收到承包人变更报价书后的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天内，根据第</w:t>
      </w:r>
      <w:r>
        <w:rPr>
          <w:rFonts w:hint="eastAsia" w:ascii="宋体" w:hAnsi="宋体" w:eastAsia="宋体" w:cs="宋体"/>
          <w:color w:val="auto"/>
          <w:sz w:val="24"/>
          <w:highlight w:val="none"/>
        </w:rPr>
        <w:t>15.4</w:t>
      </w:r>
      <w:r>
        <w:rPr>
          <w:rFonts w:hint="eastAsia" w:ascii="宋体" w:hAnsi="宋体" w:eastAsia="宋体" w:cs="宋体"/>
          <w:color w:val="auto"/>
          <w:sz w:val="24"/>
          <w:highlight w:val="none"/>
          <w:lang w:val="zh-CN"/>
        </w:rPr>
        <w:t>款约定的估价原则，按照第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款商定或确定变更价格。</w:t>
      </w:r>
    </w:p>
    <w:p w14:paraId="00144919">
      <w:pPr>
        <w:autoSpaceDE w:val="0"/>
        <w:autoSpaceDN w:val="0"/>
        <w:adjustRightInd w:val="0"/>
        <w:spacing w:line="360" w:lineRule="auto"/>
        <w:ind w:firstLine="420"/>
        <w:outlineLvl w:val="5"/>
        <w:rPr>
          <w:rFonts w:hint="eastAsia" w:ascii="宋体" w:hAnsi="宋体" w:eastAsia="宋体" w:cs="宋体"/>
          <w:color w:val="auto"/>
          <w:sz w:val="24"/>
          <w:highlight w:val="none"/>
        </w:rPr>
      </w:pPr>
      <w:bookmarkStart w:id="482" w:name="_Toc17909"/>
      <w:r>
        <w:rPr>
          <w:rFonts w:hint="eastAsia" w:ascii="宋体" w:hAnsi="宋体" w:eastAsia="宋体" w:cs="宋体"/>
          <w:color w:val="auto"/>
          <w:sz w:val="24"/>
          <w:highlight w:val="none"/>
        </w:rPr>
        <w:t xml:space="preserve">15.3.3 </w:t>
      </w:r>
      <w:r>
        <w:rPr>
          <w:rFonts w:hint="eastAsia" w:ascii="宋体" w:hAnsi="宋体" w:eastAsia="宋体" w:cs="宋体"/>
          <w:color w:val="auto"/>
          <w:sz w:val="24"/>
          <w:highlight w:val="none"/>
          <w:lang w:val="zh-CN"/>
        </w:rPr>
        <w:t>变更指示</w:t>
      </w:r>
      <w:bookmarkEnd w:id="482"/>
    </w:p>
    <w:p w14:paraId="0B33FC3D">
      <w:pPr>
        <w:autoSpaceDE w:val="0"/>
        <w:autoSpaceDN w:val="0"/>
        <w:adjustRightInd w:val="0"/>
        <w:spacing w:line="360" w:lineRule="auto"/>
        <w:ind w:firstLine="42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）变更指示只能由监理人发出。</w:t>
      </w:r>
    </w:p>
    <w:p w14:paraId="14B06D4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）变更指示应说明变更的目的、范围、变更内容以及变更的工程量及其进度和技术要求，并附有关图纸和文件。承包人收到变更指示后，应按变更指示进行变更工作。</w:t>
      </w:r>
    </w:p>
    <w:p w14:paraId="6A4BD04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15.3.4</w:t>
      </w:r>
      <w:r>
        <w:rPr>
          <w:rFonts w:hint="eastAsia" w:ascii="宋体" w:hAnsi="宋体" w:eastAsia="宋体" w:cs="宋体"/>
          <w:color w:val="auto"/>
          <w:sz w:val="24"/>
          <w:highlight w:val="none"/>
          <w:lang w:val="zh-CN"/>
        </w:rPr>
        <w:t>设计变更程序应执行《公路工程设计变更管理办法》的相关规定。</w:t>
      </w:r>
    </w:p>
    <w:p w14:paraId="5934D779">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83" w:name="_Toc15074"/>
      <w:r>
        <w:rPr>
          <w:rFonts w:hint="eastAsia" w:ascii="宋体" w:hAnsi="宋体" w:eastAsia="宋体" w:cs="宋体"/>
          <w:color w:val="auto"/>
          <w:sz w:val="24"/>
          <w:highlight w:val="none"/>
        </w:rPr>
        <w:t>15.4</w:t>
      </w:r>
      <w:r>
        <w:rPr>
          <w:rFonts w:hint="eastAsia" w:ascii="宋体" w:hAnsi="宋体" w:eastAsia="宋体" w:cs="宋体"/>
          <w:color w:val="auto"/>
          <w:sz w:val="24"/>
          <w:highlight w:val="none"/>
          <w:lang w:val="zh-CN"/>
        </w:rPr>
        <w:t>变更的估价原则</w:t>
      </w:r>
      <w:bookmarkEnd w:id="483"/>
    </w:p>
    <w:p w14:paraId="2E54592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除项目专用合同条款另有约定外，因变更引起的价格调整按照本款约定处理。</w:t>
      </w:r>
    </w:p>
    <w:p w14:paraId="36C87E5C">
      <w:pPr>
        <w:autoSpaceDE w:val="0"/>
        <w:autoSpaceDN w:val="0"/>
        <w:adjustRightInd w:val="0"/>
        <w:spacing w:line="360" w:lineRule="auto"/>
        <w:ind w:firstLine="560"/>
        <w:outlineLvl w:val="5"/>
        <w:rPr>
          <w:rFonts w:hint="eastAsia" w:ascii="宋体" w:hAnsi="宋体" w:eastAsia="宋体" w:cs="宋体"/>
          <w:color w:val="auto"/>
          <w:sz w:val="24"/>
          <w:highlight w:val="none"/>
        </w:rPr>
      </w:pPr>
      <w:bookmarkStart w:id="484" w:name="_Toc5022"/>
      <w:r>
        <w:rPr>
          <w:rFonts w:hint="eastAsia" w:ascii="宋体" w:hAnsi="宋体" w:eastAsia="宋体" w:cs="宋体"/>
          <w:color w:val="auto"/>
          <w:sz w:val="24"/>
          <w:highlight w:val="none"/>
        </w:rPr>
        <w:t>15.4.1</w:t>
      </w:r>
      <w:r>
        <w:rPr>
          <w:rFonts w:hint="eastAsia" w:ascii="宋体" w:hAnsi="宋体" w:eastAsia="宋体" w:cs="宋体"/>
          <w:color w:val="auto"/>
          <w:sz w:val="24"/>
          <w:highlight w:val="none"/>
          <w:lang w:val="zh-CN"/>
        </w:rPr>
        <w:t>如果取消某项工作，则该项工作的总额价不予支付；</w:t>
      </w:r>
      <w:bookmarkEnd w:id="484"/>
    </w:p>
    <w:p w14:paraId="65A3D78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15.4.2  </w:t>
      </w:r>
      <w:r>
        <w:rPr>
          <w:rFonts w:hint="eastAsia" w:ascii="宋体" w:hAnsi="宋体" w:eastAsia="宋体" w:cs="宋体"/>
          <w:color w:val="auto"/>
          <w:sz w:val="24"/>
          <w:highlight w:val="none"/>
          <w:lang w:val="zh-CN"/>
        </w:rPr>
        <w:t>已标价工程量清单中有适用于变更工作的子目的，采用该子目的单价。</w:t>
      </w:r>
    </w:p>
    <w:p w14:paraId="5998C4B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15.4.3 </w:t>
      </w:r>
      <w:r>
        <w:rPr>
          <w:rFonts w:hint="eastAsia" w:ascii="宋体" w:hAnsi="宋体" w:eastAsia="宋体" w:cs="宋体"/>
          <w:color w:val="auto"/>
          <w:sz w:val="24"/>
          <w:highlight w:val="none"/>
          <w:lang w:val="zh-CN"/>
        </w:rPr>
        <w:t>已标价工程量清单中无适用于变更工作的子目，但有类似子目的，可在合理范围内参照类似子目的单价，由监理人按第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款商定或确定变更工作的单价。</w:t>
      </w:r>
    </w:p>
    <w:p w14:paraId="222214B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15.4.4 </w:t>
      </w:r>
      <w:r>
        <w:rPr>
          <w:rFonts w:hint="eastAsia" w:ascii="宋体" w:hAnsi="宋体" w:eastAsia="宋体" w:cs="宋体"/>
          <w:color w:val="auto"/>
          <w:sz w:val="24"/>
          <w:highlight w:val="none"/>
          <w:lang w:val="zh-CN"/>
        </w:rPr>
        <w:t>已标价工程量清单中无适用或类似子目的单价，可在综合考虑承包人在投标时所提供的单价分析表的基础上，由监理人按第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款商定或确定变更工作的单价。</w:t>
      </w:r>
    </w:p>
    <w:p w14:paraId="41BF2A6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15.4.5</w:t>
      </w:r>
      <w:r>
        <w:rPr>
          <w:rFonts w:hint="eastAsia" w:ascii="宋体" w:hAnsi="宋体" w:eastAsia="宋体" w:cs="宋体"/>
          <w:color w:val="auto"/>
          <w:sz w:val="24"/>
          <w:highlight w:val="none"/>
          <w:lang w:val="zh-CN"/>
        </w:rPr>
        <w:t>如果本工程的变更指示是因承包人过错、承包人违反合同或承包人责任造成的，则这种违约引起的任何额外费用应由承包人承担。</w:t>
      </w:r>
    </w:p>
    <w:p w14:paraId="281F4A41">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85" w:name="_Toc7958"/>
      <w:r>
        <w:rPr>
          <w:rFonts w:hint="eastAsia" w:ascii="宋体" w:hAnsi="宋体" w:eastAsia="宋体" w:cs="宋体"/>
          <w:color w:val="auto"/>
          <w:sz w:val="24"/>
          <w:highlight w:val="none"/>
        </w:rPr>
        <w:t>15.5</w:t>
      </w:r>
      <w:r>
        <w:rPr>
          <w:rFonts w:hint="eastAsia" w:ascii="宋体" w:hAnsi="宋体" w:eastAsia="宋体" w:cs="宋体"/>
          <w:color w:val="auto"/>
          <w:sz w:val="24"/>
          <w:highlight w:val="none"/>
          <w:lang w:val="zh-CN"/>
        </w:rPr>
        <w:t>承包人的合理化建议</w:t>
      </w:r>
      <w:bookmarkEnd w:id="485"/>
    </w:p>
    <w:p w14:paraId="3169597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15.5.1 </w:t>
      </w:r>
      <w:r>
        <w:rPr>
          <w:rFonts w:hint="eastAsia" w:ascii="宋体" w:hAnsi="宋体" w:eastAsia="宋体" w:cs="宋体"/>
          <w:color w:val="auto"/>
          <w:sz w:val="24"/>
          <w:highlight w:val="none"/>
          <w:lang w:val="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sz w:val="24"/>
          <w:highlight w:val="none"/>
        </w:rPr>
        <w:t>15.3.3</w:t>
      </w:r>
      <w:r>
        <w:rPr>
          <w:rFonts w:hint="eastAsia" w:ascii="宋体" w:hAnsi="宋体" w:eastAsia="宋体" w:cs="宋体"/>
          <w:color w:val="auto"/>
          <w:sz w:val="24"/>
          <w:highlight w:val="none"/>
          <w:lang w:val="zh-CN"/>
        </w:rPr>
        <w:t>项约定向承包人发出变更指示。</w:t>
      </w:r>
    </w:p>
    <w:p w14:paraId="35380E0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15.5.2</w:t>
      </w:r>
      <w:r>
        <w:rPr>
          <w:rFonts w:hint="eastAsia" w:ascii="宋体" w:hAnsi="宋体" w:eastAsia="宋体" w:cs="宋体"/>
          <w:color w:val="auto"/>
          <w:sz w:val="24"/>
          <w:highlight w:val="none"/>
          <w:lang w:val="zh-CN"/>
        </w:rPr>
        <w:t>项承包人提出的合理化建议缩短了工期，发包人按第</w:t>
      </w:r>
      <w:r>
        <w:rPr>
          <w:rFonts w:hint="eastAsia" w:ascii="宋体" w:hAnsi="宋体" w:eastAsia="宋体" w:cs="宋体"/>
          <w:color w:val="auto"/>
          <w:sz w:val="24"/>
          <w:highlight w:val="none"/>
        </w:rPr>
        <w:t>11.6</w:t>
      </w:r>
      <w:r>
        <w:rPr>
          <w:rFonts w:hint="eastAsia" w:ascii="宋体" w:hAnsi="宋体" w:eastAsia="宋体" w:cs="宋体"/>
          <w:color w:val="auto"/>
          <w:sz w:val="24"/>
          <w:highlight w:val="none"/>
          <w:lang w:val="zh-CN"/>
        </w:rPr>
        <w:t>款的规定给予奖励。</w:t>
      </w:r>
    </w:p>
    <w:p w14:paraId="2B891FB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承包人提出的合理化建议降低了合同价格或者提高了工程经济效益的，发包人按项目专用合同条款数据表中规定的金额给予奖励。</w:t>
      </w:r>
    </w:p>
    <w:p w14:paraId="3C590A96">
      <w:pPr>
        <w:autoSpaceDE w:val="0"/>
        <w:autoSpaceDN w:val="0"/>
        <w:adjustRightInd w:val="0"/>
        <w:spacing w:line="360" w:lineRule="auto"/>
        <w:ind w:firstLine="560"/>
        <w:outlineLvl w:val="4"/>
        <w:rPr>
          <w:rFonts w:hint="eastAsia" w:ascii="宋体" w:hAnsi="宋体" w:eastAsia="宋体" w:cs="宋体"/>
          <w:color w:val="auto"/>
          <w:sz w:val="24"/>
          <w:highlight w:val="none"/>
        </w:rPr>
      </w:pPr>
      <w:bookmarkStart w:id="486" w:name="_Toc18200"/>
      <w:r>
        <w:rPr>
          <w:rFonts w:hint="eastAsia" w:ascii="宋体" w:hAnsi="宋体" w:eastAsia="宋体" w:cs="宋体"/>
          <w:color w:val="auto"/>
          <w:sz w:val="24"/>
          <w:highlight w:val="none"/>
        </w:rPr>
        <w:t>15.6</w:t>
      </w:r>
      <w:r>
        <w:rPr>
          <w:rFonts w:hint="eastAsia" w:ascii="宋体" w:hAnsi="宋体" w:eastAsia="宋体" w:cs="宋体"/>
          <w:color w:val="auto"/>
          <w:sz w:val="24"/>
          <w:highlight w:val="none"/>
          <w:lang w:val="zh-CN"/>
        </w:rPr>
        <w:t>暂列金额</w:t>
      </w:r>
      <w:bookmarkEnd w:id="486"/>
    </w:p>
    <w:p w14:paraId="5D2A36E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15.6.1 </w:t>
      </w:r>
      <w:r>
        <w:rPr>
          <w:rFonts w:hint="eastAsia" w:ascii="宋体" w:hAnsi="宋体" w:eastAsia="宋体" w:cs="宋体"/>
          <w:color w:val="auto"/>
          <w:sz w:val="24"/>
          <w:highlight w:val="none"/>
          <w:lang w:val="zh-CN"/>
        </w:rPr>
        <w:t>暂列金额应由监理人报发包人批准后指令全部或部分地使用，或者根本不予动用。</w:t>
      </w:r>
    </w:p>
    <w:p w14:paraId="097F664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15.6.2</w:t>
      </w:r>
      <w:r>
        <w:rPr>
          <w:rFonts w:hint="eastAsia" w:ascii="宋体" w:hAnsi="宋体" w:eastAsia="宋体" w:cs="宋体"/>
          <w:color w:val="auto"/>
          <w:sz w:val="24"/>
          <w:highlight w:val="none"/>
          <w:lang w:val="zh-CN"/>
        </w:rPr>
        <w:t>对于经发包人批准的每一笔暂列金额，监理人有权向承包人发出实施工程或提供材料、工程设备或服务的指令。这些指令应由承包人完成，监理人应根据第</w:t>
      </w:r>
      <w:r>
        <w:rPr>
          <w:rFonts w:hint="eastAsia" w:ascii="宋体" w:hAnsi="宋体" w:eastAsia="宋体" w:cs="宋体"/>
          <w:color w:val="auto"/>
          <w:sz w:val="24"/>
          <w:highlight w:val="none"/>
        </w:rPr>
        <w:t>15.4</w:t>
      </w:r>
      <w:r>
        <w:rPr>
          <w:rFonts w:hint="eastAsia" w:ascii="宋体" w:hAnsi="宋体" w:eastAsia="宋体" w:cs="宋体"/>
          <w:color w:val="auto"/>
          <w:sz w:val="24"/>
          <w:highlight w:val="none"/>
          <w:lang w:val="zh-CN"/>
        </w:rPr>
        <w:t>款约定的变更估价原则和第</w:t>
      </w:r>
      <w:r>
        <w:rPr>
          <w:rFonts w:hint="eastAsia" w:ascii="宋体" w:hAnsi="宋体" w:eastAsia="宋体" w:cs="宋体"/>
          <w:color w:val="auto"/>
          <w:sz w:val="24"/>
          <w:highlight w:val="none"/>
        </w:rPr>
        <w:t>15.7</w:t>
      </w:r>
      <w:r>
        <w:rPr>
          <w:rFonts w:hint="eastAsia" w:ascii="宋体" w:hAnsi="宋体" w:eastAsia="宋体" w:cs="宋体"/>
          <w:color w:val="auto"/>
          <w:sz w:val="24"/>
          <w:highlight w:val="none"/>
          <w:lang w:val="zh-CN"/>
        </w:rPr>
        <w:t>款的规定，对合同价格进行相应调整。</w:t>
      </w:r>
    </w:p>
    <w:p w14:paraId="2C447AF1">
      <w:pPr>
        <w:autoSpaceDE w:val="0"/>
        <w:autoSpaceDN w:val="0"/>
        <w:adjustRightInd w:val="0"/>
        <w:spacing w:line="360" w:lineRule="auto"/>
        <w:ind w:firstLine="560"/>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 xml:space="preserve">15.6.3  </w:t>
      </w:r>
      <w:r>
        <w:rPr>
          <w:rFonts w:hint="eastAsia" w:ascii="宋体" w:hAnsi="宋体" w:eastAsia="宋体" w:cs="宋体"/>
          <w:color w:val="auto"/>
          <w:sz w:val="24"/>
          <w:highlight w:val="none"/>
          <w:lang w:val="zh-CN"/>
        </w:rPr>
        <w:t>当监理人提出要求时，承包人应提供有关暂列金额支出的所有报价单、发票、凭证和账单或收据，除非该工作是根据已标价工程量清单列明的单价或总额价进行的估价。</w:t>
      </w:r>
    </w:p>
    <w:p w14:paraId="1C7D6E94">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87" w:name="_Toc3454"/>
      <w:bookmarkStart w:id="488" w:name="_Toc21939"/>
      <w:r>
        <w:rPr>
          <w:rFonts w:hint="eastAsia" w:ascii="宋体" w:hAnsi="宋体" w:eastAsia="宋体" w:cs="宋体"/>
          <w:b/>
          <w:color w:val="auto"/>
          <w:sz w:val="24"/>
          <w:highlight w:val="none"/>
          <w:lang w:val="zh-CN"/>
        </w:rPr>
        <w:t>16.价格调整</w:t>
      </w:r>
      <w:bookmarkEnd w:id="487"/>
      <w:bookmarkEnd w:id="488"/>
    </w:p>
    <w:p w14:paraId="05F72F89">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在合同执行期间（包括工期拖延期间），由于人工、材料和设备价格的上涨而引起工程施工成本增加的风险由承包人自行承担，合同价格不会因此而调整。</w:t>
      </w:r>
    </w:p>
    <w:p w14:paraId="1B7AB89E">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89" w:name="_Toc20906"/>
      <w:bookmarkStart w:id="490" w:name="_Toc26102"/>
      <w:r>
        <w:rPr>
          <w:rFonts w:hint="eastAsia" w:ascii="宋体" w:hAnsi="宋体" w:eastAsia="宋体" w:cs="宋体"/>
          <w:b/>
          <w:color w:val="auto"/>
          <w:sz w:val="24"/>
          <w:highlight w:val="none"/>
          <w:lang w:val="zh-CN"/>
        </w:rPr>
        <w:t>17.计量与支付</w:t>
      </w:r>
      <w:bookmarkEnd w:id="489"/>
      <w:bookmarkEnd w:id="490"/>
    </w:p>
    <w:p w14:paraId="15FC245E">
      <w:pPr>
        <w:autoSpaceDE w:val="0"/>
        <w:autoSpaceDN w:val="0"/>
        <w:adjustRightInd w:val="0"/>
        <w:spacing w:line="360" w:lineRule="auto"/>
        <w:ind w:firstLine="42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17.1.1 </w:t>
      </w:r>
      <w:r>
        <w:rPr>
          <w:rFonts w:hint="eastAsia" w:ascii="宋体" w:hAnsi="宋体" w:eastAsia="宋体" w:cs="宋体"/>
          <w:color w:val="auto"/>
          <w:sz w:val="24"/>
          <w:highlight w:val="none"/>
          <w:lang w:val="zh-CN"/>
        </w:rPr>
        <w:t>计量单位</w:t>
      </w:r>
    </w:p>
    <w:p w14:paraId="27B53BA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计量采用国家法定的计量单位。</w:t>
      </w:r>
    </w:p>
    <w:p w14:paraId="6BB85103">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17.1.2</w:t>
      </w:r>
      <w:r>
        <w:rPr>
          <w:rFonts w:hint="eastAsia" w:ascii="宋体" w:hAnsi="宋体" w:eastAsia="宋体" w:cs="宋体"/>
          <w:color w:val="auto"/>
          <w:sz w:val="24"/>
          <w:highlight w:val="none"/>
          <w:lang w:val="zh-CN"/>
        </w:rPr>
        <w:t>计量方法</w:t>
      </w:r>
    </w:p>
    <w:p w14:paraId="642BE59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工程的计量应以净值为准，除非项目专用合同条款另有约定。工程量清单中各个子目的具体计量方法按本合同文件技术规范中的规定执行。</w:t>
      </w:r>
    </w:p>
    <w:p w14:paraId="771AF566">
      <w:pPr>
        <w:autoSpaceDE w:val="0"/>
        <w:autoSpaceDN w:val="0"/>
        <w:adjustRightInd w:val="0"/>
        <w:spacing w:line="360" w:lineRule="auto"/>
        <w:ind w:firstLine="540" w:firstLineChars="225"/>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17.1.3 </w:t>
      </w:r>
      <w:r>
        <w:rPr>
          <w:rFonts w:hint="eastAsia" w:ascii="宋体" w:hAnsi="宋体" w:eastAsia="宋体" w:cs="宋体"/>
          <w:color w:val="auto"/>
          <w:sz w:val="24"/>
          <w:highlight w:val="none"/>
          <w:lang w:val="zh-CN"/>
        </w:rPr>
        <w:t>计量周期</w:t>
      </w:r>
    </w:p>
    <w:p w14:paraId="056F650F">
      <w:pPr>
        <w:autoSpaceDE w:val="0"/>
        <w:autoSpaceDN w:val="0"/>
        <w:adjustRightIn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除专用合同条款另有约定外，单价子目已完成工程量按月计量，总价子目的计量周期按批准的支付分解报告确定。</w:t>
      </w:r>
    </w:p>
    <w:p w14:paraId="699C0EFE">
      <w:pPr>
        <w:autoSpaceDE w:val="0"/>
        <w:autoSpaceDN w:val="0"/>
        <w:adjustRightInd w:val="0"/>
        <w:spacing w:line="360" w:lineRule="auto"/>
        <w:ind w:firstLine="560"/>
        <w:outlineLvl w:val="4"/>
        <w:rPr>
          <w:rFonts w:hint="eastAsia" w:ascii="宋体" w:hAnsi="宋体" w:eastAsia="宋体" w:cs="宋体"/>
          <w:color w:val="auto"/>
          <w:sz w:val="24"/>
          <w:highlight w:val="none"/>
        </w:rPr>
      </w:pPr>
      <w:r>
        <w:rPr>
          <w:rFonts w:hint="eastAsia" w:ascii="宋体" w:hAnsi="宋体" w:eastAsia="宋体" w:cs="宋体"/>
          <w:color w:val="auto"/>
          <w:sz w:val="24"/>
          <w:highlight w:val="none"/>
        </w:rPr>
        <w:t>17.1.4</w:t>
      </w:r>
      <w:r>
        <w:rPr>
          <w:rFonts w:hint="eastAsia" w:ascii="宋体" w:hAnsi="宋体" w:eastAsia="宋体" w:cs="宋体"/>
          <w:color w:val="auto"/>
          <w:sz w:val="24"/>
          <w:highlight w:val="none"/>
          <w:lang w:val="zh-CN"/>
        </w:rPr>
        <w:t>单价子目的计量</w:t>
      </w:r>
    </w:p>
    <w:p w14:paraId="71A03D1E">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）已标价工程量清单中的单价子目工程量为估算工程量。结算工程量是承包人实际完成的，并按合同约定的计量方法进行计量的工程量。</w:t>
      </w:r>
    </w:p>
    <w:p w14:paraId="10F1C3AA">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）承包人对已完成的工程进行计量，向监理人提交进度付款申请单、已完成工程量报表和有关计量资料。</w:t>
      </w:r>
    </w:p>
    <w:p w14:paraId="6E839E86">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）监理人对承包人提交的工程量报表进行复核，以确定实际完成的工程量。对数量有异议的，可要求承包人按第</w:t>
      </w:r>
      <w:r>
        <w:rPr>
          <w:rFonts w:hint="eastAsia" w:ascii="宋体" w:hAnsi="宋体" w:eastAsia="宋体" w:cs="宋体"/>
          <w:color w:val="auto"/>
          <w:sz w:val="24"/>
          <w:highlight w:val="none"/>
        </w:rPr>
        <w:t>8.2</w:t>
      </w:r>
      <w:r>
        <w:rPr>
          <w:rFonts w:hint="eastAsia" w:ascii="宋体" w:hAnsi="宋体" w:eastAsia="宋体" w:cs="宋体"/>
          <w:color w:val="auto"/>
          <w:sz w:val="24"/>
          <w:highlight w:val="none"/>
          <w:lang w:val="zh-CN"/>
        </w:rPr>
        <w:t>款约定进行共同复核和抽样复测。承包人应协助监理人进行复核并按监理人要求提供补充计量资料。承包人未按监理人要求参加复核，监理人复核或修正的工程量视为承包人实际完成的工程量。</w:t>
      </w:r>
    </w:p>
    <w:p w14:paraId="685E186B">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）监理人认为有必要时，可通知承包人共同进行联合测量、计量，承包人应遵照执行。</w:t>
      </w:r>
    </w:p>
    <w:p w14:paraId="751B4709">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10D3EE1">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）监理人应在收到承包人提交的工程量报表后的</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天内进行复核，监理人未在约定时间内复核的，承包人提交的工程量报表中的工程量视为承包人实际完成的工程量，据此计算工程价款。</w:t>
      </w:r>
    </w:p>
    <w:p w14:paraId="11898B59">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）承包人未在已标价工程量清单中填人单价或总额价的工程子目，将被认为其已包含在本合同的其他子目的单价和总额价中，发包人将不另行支付。</w:t>
      </w:r>
    </w:p>
    <w:p w14:paraId="18DEC50E">
      <w:pPr>
        <w:autoSpaceDE w:val="0"/>
        <w:autoSpaceDN w:val="0"/>
        <w:adjustRightInd w:val="0"/>
        <w:spacing w:line="360" w:lineRule="auto"/>
        <w:ind w:firstLine="56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17.2.1工程</w:t>
      </w:r>
      <w:r>
        <w:rPr>
          <w:rFonts w:hint="eastAsia" w:ascii="宋体" w:hAnsi="宋体" w:eastAsia="宋体" w:cs="宋体"/>
          <w:color w:val="auto"/>
          <w:sz w:val="24"/>
          <w:highlight w:val="none"/>
          <w:lang w:val="zh-CN"/>
        </w:rPr>
        <w:t>进度款付款方式和支付时间：</w:t>
      </w:r>
    </w:p>
    <w:p w14:paraId="315886A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rPr>
        <w:t>严格执行《住房城乡建设部 财政部关于印发建设工程质量保证金管理办法的通知》（建质</w:t>
      </w:r>
      <w:r>
        <w:rPr>
          <w:rFonts w:hint="eastAsia" w:ascii="宋体" w:hAnsi="宋体" w:eastAsia="宋体" w:cs="宋体"/>
          <w:color w:val="auto"/>
          <w:sz w:val="24"/>
          <w:highlight w:val="none"/>
          <w:lang w:val="zh-CN"/>
        </w:rPr>
        <w:t>[201</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138号）要求，工程质量保证金预留比例上限不得高于工程价款结算总额的3%。</w:t>
      </w:r>
    </w:p>
    <w:p w14:paraId="2364E4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工程项目竣工验收后，项目实施单位应在5个工作日内向项目主管部门提出资金拨付申请；项目主管部门应当在接到项目实施单位申请后10个工作日内完成审核工作并向财政部门提交资金拨付函；对符合拨付款条件的，财政部门应当在5个工作日内完成资金拨付。</w:t>
      </w:r>
    </w:p>
    <w:p w14:paraId="1A577381">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91" w:name="_Toc25796"/>
      <w:r>
        <w:rPr>
          <w:rFonts w:hint="eastAsia" w:ascii="宋体" w:hAnsi="宋体" w:eastAsia="宋体" w:cs="宋体"/>
          <w:color w:val="auto"/>
          <w:sz w:val="24"/>
          <w:highlight w:val="none"/>
        </w:rPr>
        <w:t>17.3</w:t>
      </w:r>
      <w:r>
        <w:rPr>
          <w:rFonts w:hint="eastAsia" w:ascii="宋体" w:hAnsi="宋体" w:eastAsia="宋体" w:cs="宋体"/>
          <w:color w:val="auto"/>
          <w:sz w:val="24"/>
          <w:highlight w:val="none"/>
          <w:lang w:val="zh-CN"/>
        </w:rPr>
        <w:t>质量保证金</w:t>
      </w:r>
      <w:bookmarkEnd w:id="491"/>
    </w:p>
    <w:p w14:paraId="20768E04">
      <w:pPr>
        <w:autoSpaceDE w:val="0"/>
        <w:autoSpaceDN w:val="0"/>
        <w:adjustRightIn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17.3.1</w:t>
      </w:r>
      <w:r>
        <w:rPr>
          <w:rFonts w:hint="eastAsia" w:ascii="宋体" w:hAnsi="宋体" w:eastAsia="宋体" w:cs="宋体"/>
          <w:color w:val="auto"/>
          <w:sz w:val="24"/>
          <w:highlight w:val="none"/>
          <w:lang w:val="zh-CN"/>
        </w:rPr>
        <w:t>监理人应从第一个付款周期开始，在发包人的进度付款中，按项目专用合同条款数据表规定的百分比扣留质量保证金，直至扣留的质量保证金总额达到项目专用合同条款数据表规定的限额为止。质量保证金的计算额度不包括预付款的支付以及扣回的金额。</w:t>
      </w:r>
    </w:p>
    <w:p w14:paraId="5A8ADBEB">
      <w:pPr>
        <w:autoSpaceDE w:val="0"/>
        <w:autoSpaceDN w:val="0"/>
        <w:adjustRightIn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17.3.2 </w:t>
      </w:r>
      <w:r>
        <w:rPr>
          <w:rFonts w:hint="eastAsia" w:ascii="宋体" w:hAnsi="宋体" w:eastAsia="宋体" w:cs="宋体"/>
          <w:color w:val="auto"/>
          <w:sz w:val="24"/>
          <w:highlight w:val="none"/>
          <w:lang w:val="zh-CN"/>
        </w:rPr>
        <w:t>在第</w:t>
      </w:r>
      <w:r>
        <w:rPr>
          <w:rFonts w:hint="eastAsia" w:ascii="宋体" w:hAnsi="宋体" w:eastAsia="宋体" w:cs="宋体"/>
          <w:color w:val="auto"/>
          <w:sz w:val="24"/>
          <w:highlight w:val="none"/>
        </w:rPr>
        <w:t>1.1.4.5</w:t>
      </w:r>
      <w:r>
        <w:rPr>
          <w:rFonts w:hint="eastAsia" w:ascii="宋体" w:hAnsi="宋体" w:eastAsia="宋体" w:cs="宋体"/>
          <w:color w:val="auto"/>
          <w:sz w:val="24"/>
          <w:highlight w:val="none"/>
          <w:lang w:val="zh-CN"/>
        </w:rPr>
        <w:t>目约定的缺陷责任期满时，承包人向发包人申请到期应返还承包人剩余的质量保证金金额，发包人应在</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天内会同承包人按照合同约定的内容核实承包人是否完成缺陷责任。如无异议，发包人应当在核实后将剩余保证金返还承包人。</w:t>
      </w:r>
    </w:p>
    <w:p w14:paraId="38955958">
      <w:pPr>
        <w:autoSpaceDE w:val="0"/>
        <w:autoSpaceDN w:val="0"/>
        <w:adjustRightIn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17.3.3 </w:t>
      </w:r>
      <w:r>
        <w:rPr>
          <w:rFonts w:hint="eastAsia" w:ascii="宋体" w:hAnsi="宋体" w:eastAsia="宋体" w:cs="宋体"/>
          <w:color w:val="auto"/>
          <w:sz w:val="24"/>
          <w:highlight w:val="none"/>
          <w:lang w:val="zh-CN"/>
        </w:rPr>
        <w:t>在第</w:t>
      </w:r>
      <w:r>
        <w:rPr>
          <w:rFonts w:hint="eastAsia" w:ascii="宋体" w:hAnsi="宋体" w:eastAsia="宋体" w:cs="宋体"/>
          <w:color w:val="auto"/>
          <w:sz w:val="24"/>
          <w:highlight w:val="none"/>
        </w:rPr>
        <w:t>1.1.4.5</w:t>
      </w:r>
      <w:r>
        <w:rPr>
          <w:rFonts w:hint="eastAsia" w:ascii="宋体" w:hAnsi="宋体" w:eastAsia="宋体" w:cs="宋体"/>
          <w:color w:val="auto"/>
          <w:sz w:val="24"/>
          <w:highlight w:val="none"/>
          <w:lang w:val="zh-CN"/>
        </w:rPr>
        <w:t>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sz w:val="24"/>
          <w:highlight w:val="none"/>
        </w:rPr>
        <w:t>19.3</w:t>
      </w:r>
      <w:r>
        <w:rPr>
          <w:rFonts w:hint="eastAsia" w:ascii="宋体" w:hAnsi="宋体" w:eastAsia="宋体" w:cs="宋体"/>
          <w:color w:val="auto"/>
          <w:sz w:val="24"/>
          <w:highlight w:val="none"/>
          <w:lang w:val="zh-CN"/>
        </w:rPr>
        <w:t>款约定要求延长缺陷责任期，直至完成剩余工作为止。</w:t>
      </w:r>
    </w:p>
    <w:p w14:paraId="120BD9F1">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92" w:name="_Toc28202"/>
      <w:r>
        <w:rPr>
          <w:rFonts w:hint="eastAsia" w:ascii="宋体" w:hAnsi="宋体" w:eastAsia="宋体" w:cs="宋体"/>
          <w:color w:val="auto"/>
          <w:sz w:val="24"/>
          <w:highlight w:val="none"/>
        </w:rPr>
        <w:t>17.4</w:t>
      </w:r>
      <w:r>
        <w:rPr>
          <w:rFonts w:hint="eastAsia" w:ascii="宋体" w:hAnsi="宋体" w:eastAsia="宋体" w:cs="宋体"/>
          <w:color w:val="auto"/>
          <w:sz w:val="24"/>
          <w:highlight w:val="none"/>
          <w:lang w:val="zh-CN"/>
        </w:rPr>
        <w:t>交工结算</w:t>
      </w:r>
      <w:bookmarkEnd w:id="492"/>
    </w:p>
    <w:p w14:paraId="00C3718B">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93" w:name="_Toc9524"/>
      <w:r>
        <w:rPr>
          <w:rFonts w:hint="eastAsia" w:ascii="宋体" w:hAnsi="宋体" w:eastAsia="宋体" w:cs="宋体"/>
          <w:color w:val="auto"/>
          <w:sz w:val="24"/>
          <w:highlight w:val="none"/>
        </w:rPr>
        <w:t>17.4.1</w:t>
      </w:r>
      <w:r>
        <w:rPr>
          <w:rFonts w:hint="eastAsia" w:ascii="宋体" w:hAnsi="宋体" w:eastAsia="宋体" w:cs="宋体"/>
          <w:color w:val="auto"/>
          <w:sz w:val="24"/>
          <w:highlight w:val="none"/>
          <w:lang w:val="zh-CN"/>
        </w:rPr>
        <w:t>交工付款申请单</w:t>
      </w:r>
      <w:bookmarkEnd w:id="493"/>
    </w:p>
    <w:p w14:paraId="3302D565">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（1）承包人向监理人提交交工付款申请单（包括相关证明材料）；期限：交工验收证书签发后</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zh-CN"/>
        </w:rPr>
        <w:t>天内。</w:t>
      </w:r>
    </w:p>
    <w:p w14:paraId="166D6697">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）监理人对竣工付款申请单有异议的，有权要求承包人进行修正和提供补充资料。经监理人和承包人协商后，由承包人向监理人提交修正后的竣工付款申请单。</w:t>
      </w:r>
    </w:p>
    <w:p w14:paraId="6B6EF368">
      <w:pPr>
        <w:autoSpaceDE w:val="0"/>
        <w:autoSpaceDN w:val="0"/>
        <w:adjustRightInd w:val="0"/>
        <w:spacing w:line="360" w:lineRule="auto"/>
        <w:ind w:firstLine="540" w:firstLineChars="225"/>
        <w:outlineLvl w:val="9"/>
        <w:rPr>
          <w:rFonts w:hint="eastAsia" w:ascii="宋体" w:hAnsi="宋体" w:eastAsia="宋体" w:cs="宋体"/>
          <w:color w:val="auto"/>
          <w:sz w:val="24"/>
          <w:highlight w:val="none"/>
        </w:rPr>
      </w:pPr>
      <w:bookmarkStart w:id="494" w:name="_Toc6226"/>
      <w:r>
        <w:rPr>
          <w:rFonts w:hint="eastAsia" w:ascii="宋体" w:hAnsi="宋体" w:eastAsia="宋体" w:cs="宋体"/>
          <w:color w:val="auto"/>
          <w:sz w:val="24"/>
          <w:highlight w:val="none"/>
        </w:rPr>
        <w:t xml:space="preserve">17.4.2 </w:t>
      </w:r>
      <w:r>
        <w:rPr>
          <w:rFonts w:hint="eastAsia" w:ascii="宋体" w:hAnsi="宋体" w:eastAsia="宋体" w:cs="宋体"/>
          <w:color w:val="auto"/>
          <w:sz w:val="24"/>
          <w:highlight w:val="none"/>
          <w:lang w:val="zh-CN"/>
        </w:rPr>
        <w:t>竣工付款证书及支付时间</w:t>
      </w:r>
      <w:bookmarkEnd w:id="494"/>
    </w:p>
    <w:p w14:paraId="386B7A29">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）监理人在收到承包人提交的竣工付款申请单后的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天内完成核查，提出发包人到期应支付给承包人的价款送发包人审核并抄送承包人。发包人应在收到后</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335DB25">
      <w:pPr>
        <w:autoSpaceDE w:val="0"/>
        <w:autoSpaceDN w:val="0"/>
        <w:adjustRightInd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）发包人应在监理人出具竣工付款证书后的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天内，将应支付款支付给承包</w:t>
      </w:r>
      <w:r>
        <w:rPr>
          <w:rFonts w:hint="eastAsia" w:ascii="宋体" w:hAnsi="宋体" w:eastAsia="宋体" w:cs="宋体"/>
          <w:color w:val="auto"/>
          <w:spacing w:val="-6"/>
          <w:sz w:val="24"/>
          <w:highlight w:val="none"/>
          <w:lang w:val="zh-CN"/>
        </w:rPr>
        <w:t>人。发包人不按期支付的，按第</w:t>
      </w:r>
      <w:r>
        <w:rPr>
          <w:rFonts w:hint="eastAsia" w:ascii="宋体" w:hAnsi="宋体" w:eastAsia="宋体" w:cs="宋体"/>
          <w:color w:val="auto"/>
          <w:spacing w:val="-6"/>
          <w:sz w:val="24"/>
          <w:highlight w:val="none"/>
        </w:rPr>
        <w:t>17.3.3</w:t>
      </w:r>
      <w:r>
        <w:rPr>
          <w:rFonts w:hint="eastAsia" w:ascii="宋体" w:hAnsi="宋体" w:eastAsia="宋体" w:cs="宋体"/>
          <w:color w:val="auto"/>
          <w:spacing w:val="-6"/>
          <w:sz w:val="24"/>
          <w:highlight w:val="none"/>
          <w:lang w:val="zh-CN"/>
        </w:rPr>
        <w:t>（</w:t>
      </w: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zh-CN"/>
        </w:rPr>
        <w:t>）目的约定，将逾期付款违约金支付给承包人。</w:t>
      </w:r>
    </w:p>
    <w:p w14:paraId="7519341A">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）承包人对发包人签认的竣工付款证书有异议的，发包人可出具竣工付款申请单中承包人已同意部分的临时付款证书。存在争议的部分，按第</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zh-CN"/>
        </w:rPr>
        <w:t>条的约定办理。</w:t>
      </w:r>
    </w:p>
    <w:p w14:paraId="17BA7649">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）竣工付款涉及政府投资资金的，按第</w:t>
      </w:r>
      <w:r>
        <w:rPr>
          <w:rFonts w:hint="eastAsia" w:ascii="宋体" w:hAnsi="宋体" w:eastAsia="宋体" w:cs="宋体"/>
          <w:color w:val="auto"/>
          <w:sz w:val="24"/>
          <w:highlight w:val="none"/>
        </w:rPr>
        <w:t>17.3.3</w:t>
      </w:r>
      <w:r>
        <w:rPr>
          <w:rFonts w:hint="eastAsia" w:ascii="宋体" w:hAnsi="宋体" w:eastAsia="宋体" w:cs="宋体"/>
          <w:color w:val="auto"/>
          <w:sz w:val="24"/>
          <w:highlight w:val="none"/>
          <w:lang w:val="zh-CN"/>
        </w:rPr>
        <w:t>（４）目的约定办理。</w:t>
      </w:r>
    </w:p>
    <w:p w14:paraId="74E23F37">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95" w:name="_Toc115"/>
      <w:r>
        <w:rPr>
          <w:rFonts w:hint="eastAsia" w:ascii="宋体" w:hAnsi="宋体" w:eastAsia="宋体" w:cs="宋体"/>
          <w:color w:val="auto"/>
          <w:sz w:val="24"/>
          <w:highlight w:val="none"/>
        </w:rPr>
        <w:t xml:space="preserve">17.5 </w:t>
      </w:r>
      <w:r>
        <w:rPr>
          <w:rFonts w:hint="eastAsia" w:ascii="宋体" w:hAnsi="宋体" w:eastAsia="宋体" w:cs="宋体"/>
          <w:color w:val="auto"/>
          <w:sz w:val="24"/>
          <w:highlight w:val="none"/>
          <w:lang w:val="zh-CN"/>
        </w:rPr>
        <w:t>最终结清</w:t>
      </w:r>
      <w:bookmarkEnd w:id="495"/>
    </w:p>
    <w:p w14:paraId="26B83E33">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496" w:name="_Toc31706"/>
      <w:r>
        <w:rPr>
          <w:rFonts w:hint="eastAsia" w:ascii="宋体" w:hAnsi="宋体" w:eastAsia="宋体" w:cs="宋体"/>
          <w:color w:val="auto"/>
          <w:sz w:val="24"/>
          <w:highlight w:val="none"/>
        </w:rPr>
        <w:t>17.5.1</w:t>
      </w:r>
      <w:r>
        <w:rPr>
          <w:rFonts w:hint="eastAsia" w:ascii="宋体" w:hAnsi="宋体" w:eastAsia="宋体" w:cs="宋体"/>
          <w:color w:val="auto"/>
          <w:sz w:val="24"/>
          <w:highlight w:val="none"/>
          <w:lang w:val="zh-CN"/>
        </w:rPr>
        <w:t>最终结清申请单</w:t>
      </w:r>
      <w:bookmarkEnd w:id="496"/>
    </w:p>
    <w:p w14:paraId="15DF768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）承包人向监理人提交最终结清申请单（包括相关证明材料）</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份数；期限：缺陷责任期终止证书签发后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w:t>
      </w:r>
    </w:p>
    <w:p w14:paraId="095B65A1">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最终结清申请单中的总金额应认为是代表了根据合同规定应付给承包人的全部款项的最后结算。</w:t>
      </w:r>
    </w:p>
    <w:p w14:paraId="1E941563">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）发包人对最终结清申请单内容有异议的，有权要求承包人进行修正和提供补充资料，由承包人向监理人提交修正后的最终结清申请单。</w:t>
      </w:r>
    </w:p>
    <w:p w14:paraId="05C326D0">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497" w:name="_Toc22144"/>
      <w:r>
        <w:rPr>
          <w:rFonts w:hint="eastAsia" w:ascii="宋体" w:hAnsi="宋体" w:eastAsia="宋体" w:cs="宋体"/>
          <w:color w:val="auto"/>
          <w:sz w:val="24"/>
          <w:highlight w:val="none"/>
        </w:rPr>
        <w:t xml:space="preserve">17.5.2 </w:t>
      </w:r>
      <w:r>
        <w:rPr>
          <w:rFonts w:hint="eastAsia" w:ascii="宋体" w:hAnsi="宋体" w:eastAsia="宋体" w:cs="宋体"/>
          <w:color w:val="auto"/>
          <w:sz w:val="24"/>
          <w:highlight w:val="none"/>
          <w:lang w:val="zh-CN"/>
        </w:rPr>
        <w:t>最终结清证书和支付时间</w:t>
      </w:r>
      <w:bookmarkEnd w:id="497"/>
    </w:p>
    <w:p w14:paraId="67F4EB74">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）监理人收到承包人提交的最终结清申请单后的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天内，提出发包人应支付给承包人的价款送发包人审核并抄送承包人。发包人应在收到后</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0A9B85A">
      <w:pPr>
        <w:autoSpaceDE w:val="0"/>
        <w:autoSpaceDN w:val="0"/>
        <w:adjustRightInd w:val="0"/>
        <w:spacing w:line="360" w:lineRule="auto"/>
        <w:ind w:firstLine="360" w:firstLineChars="15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）发包人应在监理人出具最终结清证书后的</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天内，将应支付款支付给承包</w:t>
      </w:r>
      <w:r>
        <w:rPr>
          <w:rFonts w:hint="eastAsia" w:ascii="宋体" w:hAnsi="宋体" w:eastAsia="宋体" w:cs="宋体"/>
          <w:color w:val="auto"/>
          <w:spacing w:val="-6"/>
          <w:sz w:val="24"/>
          <w:highlight w:val="none"/>
          <w:lang w:val="zh-CN"/>
        </w:rPr>
        <w:t>人。发包人不按期支付的，按第</w:t>
      </w:r>
      <w:r>
        <w:rPr>
          <w:rFonts w:hint="eastAsia" w:ascii="宋体" w:hAnsi="宋体" w:eastAsia="宋体" w:cs="宋体"/>
          <w:color w:val="auto"/>
          <w:spacing w:val="-6"/>
          <w:sz w:val="24"/>
          <w:highlight w:val="none"/>
        </w:rPr>
        <w:t>17.3.3</w:t>
      </w:r>
      <w:r>
        <w:rPr>
          <w:rFonts w:hint="eastAsia" w:ascii="宋体" w:hAnsi="宋体" w:eastAsia="宋体" w:cs="宋体"/>
          <w:color w:val="auto"/>
          <w:spacing w:val="-6"/>
          <w:sz w:val="24"/>
          <w:highlight w:val="none"/>
          <w:lang w:val="zh-CN"/>
        </w:rPr>
        <w:t>（</w:t>
      </w: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zh-CN"/>
        </w:rPr>
        <w:t>）目的约定，将逾期付款违约金支付给承包人。</w:t>
      </w:r>
    </w:p>
    <w:p w14:paraId="4F31422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）承包人对发包人签认的最终结清证书有异议的，按第</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zh-CN"/>
        </w:rPr>
        <w:t>条的约定办理。</w:t>
      </w:r>
    </w:p>
    <w:p w14:paraId="395EF52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）最终结清付款涉及政府投资资金的，按第</w:t>
      </w:r>
      <w:r>
        <w:rPr>
          <w:rFonts w:hint="eastAsia" w:ascii="宋体" w:hAnsi="宋体" w:eastAsia="宋体" w:cs="宋体"/>
          <w:color w:val="auto"/>
          <w:sz w:val="24"/>
          <w:highlight w:val="none"/>
        </w:rPr>
        <w:t>17.3.3</w:t>
      </w:r>
      <w:r>
        <w:rPr>
          <w:rFonts w:hint="eastAsia" w:ascii="宋体" w:hAnsi="宋体" w:eastAsia="宋体" w:cs="宋体"/>
          <w:color w:val="auto"/>
          <w:sz w:val="24"/>
          <w:highlight w:val="none"/>
          <w:lang w:val="zh-CN"/>
        </w:rPr>
        <w:t>（4）目的约定办理。</w:t>
      </w:r>
    </w:p>
    <w:p w14:paraId="5319C083">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498" w:name="_Toc4687"/>
      <w:r>
        <w:rPr>
          <w:rFonts w:hint="eastAsia" w:ascii="宋体" w:hAnsi="宋体" w:eastAsia="宋体" w:cs="宋体"/>
          <w:b/>
          <w:color w:val="auto"/>
          <w:sz w:val="24"/>
          <w:highlight w:val="none"/>
          <w:lang w:val="zh-CN"/>
        </w:rPr>
        <w:t>18.交工验收</w:t>
      </w:r>
      <w:bookmarkEnd w:id="498"/>
    </w:p>
    <w:p w14:paraId="6A833A98">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499" w:name="_Toc25289"/>
      <w:r>
        <w:rPr>
          <w:rFonts w:hint="eastAsia" w:ascii="宋体" w:hAnsi="宋体" w:eastAsia="宋体" w:cs="宋体"/>
          <w:color w:val="auto"/>
          <w:sz w:val="24"/>
          <w:highlight w:val="none"/>
        </w:rPr>
        <w:t xml:space="preserve">18.1 </w:t>
      </w:r>
      <w:r>
        <w:rPr>
          <w:rFonts w:hint="eastAsia" w:ascii="宋体" w:hAnsi="宋体" w:eastAsia="宋体" w:cs="宋体"/>
          <w:color w:val="auto"/>
          <w:sz w:val="24"/>
          <w:highlight w:val="none"/>
          <w:lang w:val="zh-CN"/>
        </w:rPr>
        <w:t>竣工验收的含义</w:t>
      </w:r>
      <w:bookmarkEnd w:id="499"/>
    </w:p>
    <w:p w14:paraId="7C8E6E8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18.1.1 </w:t>
      </w:r>
      <w:r>
        <w:rPr>
          <w:rFonts w:hint="eastAsia" w:ascii="宋体" w:hAnsi="宋体" w:eastAsia="宋体" w:cs="宋体"/>
          <w:color w:val="auto"/>
          <w:sz w:val="24"/>
          <w:highlight w:val="none"/>
          <w:lang w:val="zh-CN"/>
        </w:rPr>
        <w:t>竣工验收指承包人完成了全部合同工作后，发包人按合同要求进行的验收。</w:t>
      </w:r>
    </w:p>
    <w:p w14:paraId="1137214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18.1.2</w:t>
      </w:r>
      <w:r>
        <w:rPr>
          <w:rFonts w:hint="eastAsia" w:ascii="宋体" w:hAnsi="宋体" w:eastAsia="宋体" w:cs="宋体"/>
          <w:color w:val="auto"/>
          <w:sz w:val="24"/>
          <w:highlight w:val="none"/>
          <w:lang w:val="zh-CN"/>
        </w:rPr>
        <w:t>竣工资料的内容：承包人应按照《公路工程竣（交）工验收办法》和相关规定编制竣工资料。竣工资料共4份</w:t>
      </w:r>
    </w:p>
    <w:p w14:paraId="55B9D6E7">
      <w:pPr>
        <w:autoSpaceDE w:val="0"/>
        <w:autoSpaceDN w:val="0"/>
        <w:adjustRightInd w:val="0"/>
        <w:spacing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18.1.3 </w:t>
      </w:r>
      <w:r>
        <w:rPr>
          <w:rFonts w:hint="eastAsia" w:ascii="宋体" w:hAnsi="宋体" w:eastAsia="宋体" w:cs="宋体"/>
          <w:color w:val="auto"/>
          <w:sz w:val="24"/>
          <w:highlight w:val="none"/>
          <w:lang w:val="zh-CN"/>
        </w:rPr>
        <w:t>需要进行国家验收的，竣工验收是国家验收的一部分。竣工验收所采用的各项验收和评定标准应符合国家验收标准。发包人和承包人为竣工验收提供的各项竣工验收资料应符合国家验收的要求。</w:t>
      </w:r>
    </w:p>
    <w:p w14:paraId="76FC057B">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zh-CN"/>
        </w:rPr>
        <w:t>交工验收申请报告</w:t>
      </w:r>
    </w:p>
    <w:p w14:paraId="1C218E9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18.3</w:t>
      </w:r>
      <w:r>
        <w:rPr>
          <w:rFonts w:hint="eastAsia" w:ascii="宋体" w:hAnsi="宋体" w:eastAsia="宋体" w:cs="宋体"/>
          <w:color w:val="auto"/>
          <w:sz w:val="24"/>
          <w:highlight w:val="none"/>
          <w:lang w:val="zh-CN"/>
        </w:rPr>
        <w:t>验收</w:t>
      </w:r>
    </w:p>
    <w:p w14:paraId="2724A8D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监理人收到承包人按第</w:t>
      </w: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zh-CN"/>
        </w:rPr>
        <w:t>款约定提交的竣工验收申请报告后，应审查申请报告的各项内容，并按以下不同情况进行处理。</w:t>
      </w:r>
    </w:p>
    <w:p w14:paraId="52D96245">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18.3.1 </w:t>
      </w:r>
      <w:r>
        <w:rPr>
          <w:rFonts w:hint="eastAsia" w:ascii="宋体" w:hAnsi="宋体" w:eastAsia="宋体" w:cs="宋体"/>
          <w:color w:val="auto"/>
          <w:sz w:val="24"/>
          <w:highlight w:val="none"/>
          <w:lang w:val="zh-CN"/>
        </w:rPr>
        <w:t>监理人审查后认为尚不具备竣工验收条件的，应在收到竣工验收申请报告后的</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天内通知承包人，指出在颁发接收证书前承包人还需进行的工作内容。承包人完成监理人通知的全部工作内容后，应再次提交竣工验收申请报告，直至监理人同意为止。</w:t>
      </w:r>
    </w:p>
    <w:p w14:paraId="3384C7E2">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18.3.2 </w:t>
      </w:r>
      <w:r>
        <w:rPr>
          <w:rFonts w:hint="eastAsia" w:ascii="宋体" w:hAnsi="宋体" w:eastAsia="宋体" w:cs="宋体"/>
          <w:color w:val="auto"/>
          <w:sz w:val="24"/>
          <w:highlight w:val="none"/>
          <w:lang w:val="zh-CN"/>
        </w:rPr>
        <w:t>监理人审查后认为已具备竣工验收条件的，应在收到竣工验收申请报告后的</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提请发包人进行工程验收。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756E9F6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18.3.3</w:t>
      </w:r>
      <w:r>
        <w:rPr>
          <w:rFonts w:hint="eastAsia" w:ascii="宋体" w:hAnsi="宋体" w:eastAsia="宋体" w:cs="宋体"/>
          <w:color w:val="auto"/>
          <w:sz w:val="24"/>
          <w:highlight w:val="none"/>
          <w:lang w:val="zh-CN"/>
        </w:rPr>
        <w:t>发包人经过验收后同意接受工程的，应在监理人收到竣工验收申请报告后的</w:t>
      </w:r>
      <w:r>
        <w:rPr>
          <w:rFonts w:hint="eastAsia" w:ascii="宋体" w:hAnsi="宋体" w:eastAsia="宋体" w:cs="宋体"/>
          <w:color w:val="auto"/>
          <w:sz w:val="24"/>
          <w:highlight w:val="none"/>
        </w:rPr>
        <w:t>56</w:t>
      </w:r>
      <w:r>
        <w:rPr>
          <w:rFonts w:hint="eastAsia" w:ascii="宋体" w:hAnsi="宋体" w:eastAsia="宋体" w:cs="宋体"/>
          <w:color w:val="auto"/>
          <w:sz w:val="24"/>
          <w:highlight w:val="none"/>
          <w:lang w:val="zh-CN"/>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566E9A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18.3.4 </w:t>
      </w:r>
      <w:r>
        <w:rPr>
          <w:rFonts w:hint="eastAsia" w:ascii="宋体" w:hAnsi="宋体" w:eastAsia="宋体" w:cs="宋体"/>
          <w:color w:val="auto"/>
          <w:sz w:val="24"/>
          <w:highlight w:val="none"/>
          <w:lang w:val="zh-CN"/>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hint="eastAsia" w:ascii="宋体" w:hAnsi="宋体" w:eastAsia="宋体" w:cs="宋体"/>
          <w:color w:val="auto"/>
          <w:sz w:val="24"/>
          <w:highlight w:val="none"/>
        </w:rPr>
        <w:t>18.3.1</w:t>
      </w:r>
      <w:r>
        <w:rPr>
          <w:rFonts w:hint="eastAsia" w:ascii="宋体" w:hAnsi="宋体" w:eastAsia="宋体" w:cs="宋体"/>
          <w:color w:val="auto"/>
          <w:sz w:val="24"/>
          <w:highlight w:val="none"/>
          <w:lang w:val="zh-CN"/>
        </w:rPr>
        <w:t>项、第</w:t>
      </w:r>
      <w:r>
        <w:rPr>
          <w:rFonts w:hint="eastAsia" w:ascii="宋体" w:hAnsi="宋体" w:eastAsia="宋体" w:cs="宋体"/>
          <w:color w:val="auto"/>
          <w:sz w:val="24"/>
          <w:highlight w:val="none"/>
        </w:rPr>
        <w:t>18.3.2</w:t>
      </w:r>
      <w:r>
        <w:rPr>
          <w:rFonts w:hint="eastAsia" w:ascii="宋体" w:hAnsi="宋体" w:eastAsia="宋体" w:cs="宋体"/>
          <w:color w:val="auto"/>
          <w:sz w:val="24"/>
          <w:highlight w:val="none"/>
          <w:lang w:val="zh-CN"/>
        </w:rPr>
        <w:t>项和第</w:t>
      </w:r>
      <w:r>
        <w:rPr>
          <w:rFonts w:hint="eastAsia" w:ascii="宋体" w:hAnsi="宋体" w:eastAsia="宋体" w:cs="宋体"/>
          <w:color w:val="auto"/>
          <w:sz w:val="24"/>
          <w:highlight w:val="none"/>
        </w:rPr>
        <w:t>18.3.3</w:t>
      </w:r>
      <w:r>
        <w:rPr>
          <w:rFonts w:hint="eastAsia" w:ascii="宋体" w:hAnsi="宋体" w:eastAsia="宋体" w:cs="宋体"/>
          <w:color w:val="auto"/>
          <w:sz w:val="24"/>
          <w:highlight w:val="none"/>
          <w:lang w:val="zh-CN"/>
        </w:rPr>
        <w:t>项的约定进行。</w:t>
      </w:r>
    </w:p>
    <w:p w14:paraId="33C1E09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18.3.5</w:t>
      </w:r>
      <w:r>
        <w:rPr>
          <w:rFonts w:hint="eastAsia" w:ascii="宋体" w:hAnsi="宋体" w:eastAsia="宋体" w:cs="宋体"/>
          <w:color w:val="auto"/>
          <w:sz w:val="24"/>
          <w:highlight w:val="none"/>
          <w:lang w:val="zh-CN"/>
        </w:rPr>
        <w:t>经验收合格工程的实际交工日期，以最终提交交工验收申请报告的日期为准，并在交工验收证书中写明。</w:t>
      </w:r>
    </w:p>
    <w:p w14:paraId="00DE0CDF">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18.3.6 </w:t>
      </w:r>
      <w:r>
        <w:rPr>
          <w:rFonts w:hint="eastAsia" w:ascii="宋体" w:hAnsi="宋体" w:eastAsia="宋体" w:cs="宋体"/>
          <w:color w:val="auto"/>
          <w:sz w:val="24"/>
          <w:highlight w:val="none"/>
          <w:lang w:val="zh-CN"/>
        </w:rPr>
        <w:t>发包人在收到承包人竣工验收申请报告</w:t>
      </w:r>
      <w:r>
        <w:rPr>
          <w:rFonts w:hint="eastAsia" w:ascii="宋体" w:hAnsi="宋体" w:eastAsia="宋体" w:cs="宋体"/>
          <w:color w:val="auto"/>
          <w:sz w:val="24"/>
          <w:highlight w:val="none"/>
        </w:rPr>
        <w:t>56</w:t>
      </w:r>
      <w:r>
        <w:rPr>
          <w:rFonts w:hint="eastAsia" w:ascii="宋体" w:hAnsi="宋体" w:eastAsia="宋体" w:cs="宋体"/>
          <w:color w:val="auto"/>
          <w:sz w:val="24"/>
          <w:highlight w:val="none"/>
          <w:lang w:val="zh-CN"/>
        </w:rPr>
        <w:t>天后未进行验收的，视为验收合格，实际竣工日期以提交竣工验收申请报告的日期为准，但发包人由于不可抗力不能进行验收的除外。</w:t>
      </w:r>
    </w:p>
    <w:p w14:paraId="40130062">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18.3.7</w:t>
      </w:r>
      <w:r>
        <w:rPr>
          <w:rFonts w:hint="eastAsia" w:ascii="宋体" w:hAnsi="宋体" w:eastAsia="宋体" w:cs="宋体"/>
          <w:color w:val="auto"/>
          <w:sz w:val="24"/>
          <w:highlight w:val="none"/>
          <w:lang w:val="zh-CN"/>
        </w:rPr>
        <w:t>组织办理交工验收和签发交工验收证书的费用由发包人承担。但按照第</w:t>
      </w:r>
      <w:r>
        <w:rPr>
          <w:rFonts w:hint="eastAsia" w:ascii="宋体" w:hAnsi="宋体" w:eastAsia="宋体" w:cs="宋体"/>
          <w:color w:val="auto"/>
          <w:sz w:val="24"/>
          <w:highlight w:val="none"/>
        </w:rPr>
        <w:t>18.3.4</w:t>
      </w:r>
      <w:r>
        <w:rPr>
          <w:rFonts w:hint="eastAsia" w:ascii="宋体" w:hAnsi="宋体" w:eastAsia="宋体" w:cs="宋体"/>
          <w:color w:val="auto"/>
          <w:sz w:val="24"/>
          <w:highlight w:val="none"/>
          <w:lang w:val="zh-CN"/>
        </w:rPr>
        <w:t>项规定达不到合格标准的交工验收费用由承包人承担。</w:t>
      </w:r>
    </w:p>
    <w:p w14:paraId="06BC30C3">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0" w:name="_Toc32174"/>
      <w:r>
        <w:rPr>
          <w:rFonts w:hint="eastAsia" w:ascii="宋体" w:hAnsi="宋体" w:eastAsia="宋体" w:cs="宋体"/>
          <w:color w:val="auto"/>
          <w:sz w:val="24"/>
          <w:highlight w:val="none"/>
        </w:rPr>
        <w:t xml:space="preserve">18.4 </w:t>
      </w:r>
      <w:r>
        <w:rPr>
          <w:rFonts w:hint="eastAsia" w:ascii="宋体" w:hAnsi="宋体" w:eastAsia="宋体" w:cs="宋体"/>
          <w:color w:val="auto"/>
          <w:sz w:val="24"/>
          <w:highlight w:val="none"/>
          <w:lang w:val="zh-CN"/>
        </w:rPr>
        <w:t>单位工程验收</w:t>
      </w:r>
      <w:bookmarkEnd w:id="500"/>
    </w:p>
    <w:p w14:paraId="7106E68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18.4.1 </w:t>
      </w:r>
      <w:r>
        <w:rPr>
          <w:rFonts w:hint="eastAsia" w:ascii="宋体" w:hAnsi="宋体" w:eastAsia="宋体" w:cs="宋体"/>
          <w:color w:val="auto"/>
          <w:sz w:val="24"/>
          <w:highlight w:val="none"/>
          <w:lang w:val="zh-CN"/>
        </w:rPr>
        <w:t>发包人根据合同进度计划安排，在全部工程竣工前需要使用已经竣工的单位工程时，或承包人提出经发包人同意时，可进行单位工程验收。验收的程序可参照第</w:t>
      </w: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zh-CN"/>
        </w:rPr>
        <w:t>款与第</w:t>
      </w:r>
      <w:r>
        <w:rPr>
          <w:rFonts w:hint="eastAsia" w:ascii="宋体" w:hAnsi="宋体" w:eastAsia="宋体" w:cs="宋体"/>
          <w:color w:val="auto"/>
          <w:sz w:val="24"/>
          <w:highlight w:val="none"/>
        </w:rPr>
        <w:t>18.3</w:t>
      </w:r>
      <w:r>
        <w:rPr>
          <w:rFonts w:hint="eastAsia" w:ascii="宋体" w:hAnsi="宋体" w:eastAsia="宋体" w:cs="宋体"/>
          <w:color w:val="auto"/>
          <w:sz w:val="24"/>
          <w:highlight w:val="none"/>
          <w:lang w:val="zh-CN"/>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6E5750A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18.4.2 </w:t>
      </w:r>
      <w:r>
        <w:rPr>
          <w:rFonts w:hint="eastAsia" w:ascii="宋体" w:hAnsi="宋体" w:eastAsia="宋体" w:cs="宋体"/>
          <w:color w:val="auto"/>
          <w:sz w:val="24"/>
          <w:highlight w:val="none"/>
          <w:lang w:val="zh-CN"/>
        </w:rPr>
        <w:t>发包人在全部工程竣工前，使用已接收的单位工程导致承包人费用增加的，发包人应承担由此增加的费用和（或）工期延误，并支付承包人合理利润。</w:t>
      </w:r>
    </w:p>
    <w:p w14:paraId="54D769BE">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1" w:name="_Toc28780"/>
      <w:r>
        <w:rPr>
          <w:rFonts w:hint="eastAsia" w:ascii="宋体" w:hAnsi="宋体" w:eastAsia="宋体" w:cs="宋体"/>
          <w:color w:val="auto"/>
          <w:sz w:val="24"/>
          <w:highlight w:val="none"/>
        </w:rPr>
        <w:t xml:space="preserve">18.5 </w:t>
      </w:r>
      <w:r>
        <w:rPr>
          <w:rFonts w:hint="eastAsia" w:ascii="宋体" w:hAnsi="宋体" w:eastAsia="宋体" w:cs="宋体"/>
          <w:color w:val="auto"/>
          <w:sz w:val="24"/>
          <w:highlight w:val="none"/>
          <w:lang w:val="zh-CN"/>
        </w:rPr>
        <w:t>施工期运行</w:t>
      </w:r>
      <w:bookmarkEnd w:id="501"/>
    </w:p>
    <w:p w14:paraId="5ADB715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18.5.1 </w:t>
      </w:r>
      <w:r>
        <w:rPr>
          <w:rFonts w:hint="eastAsia" w:ascii="宋体" w:hAnsi="宋体" w:eastAsia="宋体" w:cs="宋体"/>
          <w:color w:val="auto"/>
          <w:sz w:val="24"/>
          <w:highlight w:val="none"/>
          <w:lang w:val="zh-CN"/>
        </w:rPr>
        <w:t>施工期运行是指合同工程尚未全部竣工，其中某项或某几项单位工程或工程设备安装已竣工，根据专用合同条款约定，需要投入施工期运行的，经发包人按第</w:t>
      </w:r>
      <w:r>
        <w:rPr>
          <w:rFonts w:hint="eastAsia" w:ascii="宋体" w:hAnsi="宋体" w:eastAsia="宋体" w:cs="宋体"/>
          <w:color w:val="auto"/>
          <w:sz w:val="24"/>
          <w:highlight w:val="none"/>
        </w:rPr>
        <w:t>18.4</w:t>
      </w:r>
      <w:r>
        <w:rPr>
          <w:rFonts w:hint="eastAsia" w:ascii="宋体" w:hAnsi="宋体" w:eastAsia="宋体" w:cs="宋体"/>
          <w:color w:val="auto"/>
          <w:sz w:val="24"/>
          <w:highlight w:val="none"/>
          <w:lang w:val="zh-CN"/>
        </w:rPr>
        <w:t>款的约定验收合格，证明能确保安全后，才能在施工期投入运行。</w:t>
      </w:r>
    </w:p>
    <w:p w14:paraId="73E279D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18.5.2 </w:t>
      </w:r>
      <w:r>
        <w:rPr>
          <w:rFonts w:hint="eastAsia" w:ascii="宋体" w:hAnsi="宋体" w:eastAsia="宋体" w:cs="宋体"/>
          <w:color w:val="auto"/>
          <w:sz w:val="24"/>
          <w:highlight w:val="none"/>
          <w:lang w:val="zh-CN"/>
        </w:rPr>
        <w:t>在施工期运行中发现工程或工程设备损坏或存在缺陷的，由承包人按第</w:t>
      </w: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zh-CN"/>
        </w:rPr>
        <w:t>款约定进行修复。</w:t>
      </w:r>
    </w:p>
    <w:p w14:paraId="3AC8D492">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2" w:name="_Toc1499"/>
      <w:r>
        <w:rPr>
          <w:rFonts w:hint="eastAsia" w:ascii="宋体" w:hAnsi="宋体" w:eastAsia="宋体" w:cs="宋体"/>
          <w:color w:val="auto"/>
          <w:sz w:val="24"/>
          <w:highlight w:val="none"/>
        </w:rPr>
        <w:t xml:space="preserve">18.6 </w:t>
      </w:r>
      <w:r>
        <w:rPr>
          <w:rFonts w:hint="eastAsia" w:ascii="宋体" w:hAnsi="宋体" w:eastAsia="宋体" w:cs="宋体"/>
          <w:color w:val="auto"/>
          <w:sz w:val="24"/>
          <w:highlight w:val="none"/>
          <w:lang w:val="zh-CN"/>
        </w:rPr>
        <w:t>试运行</w:t>
      </w:r>
      <w:bookmarkEnd w:id="502"/>
    </w:p>
    <w:p w14:paraId="615BBDE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18.6.1 </w:t>
      </w:r>
      <w:r>
        <w:rPr>
          <w:rFonts w:hint="eastAsia" w:ascii="宋体" w:hAnsi="宋体" w:eastAsia="宋体" w:cs="宋体"/>
          <w:color w:val="auto"/>
          <w:sz w:val="24"/>
          <w:highlight w:val="none"/>
          <w:lang w:val="zh-CN"/>
        </w:rPr>
        <w:t>除专用合同条款另有约定外，承包人应按专用合同条款约定进行工程及工程设备试运行，负责提供试运行所需的人员、器材和必要的条件，并承担全部试运行费用。</w:t>
      </w:r>
    </w:p>
    <w:p w14:paraId="7191966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18.6.2 </w:t>
      </w:r>
      <w:r>
        <w:rPr>
          <w:rFonts w:hint="eastAsia" w:ascii="宋体" w:hAnsi="宋体" w:eastAsia="宋体" w:cs="宋体"/>
          <w:color w:val="auto"/>
          <w:sz w:val="24"/>
          <w:highlight w:val="none"/>
          <w:lang w:val="zh-CN"/>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CB1D74F">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3" w:name="_Toc5318"/>
      <w:r>
        <w:rPr>
          <w:rFonts w:hint="eastAsia" w:ascii="宋体" w:hAnsi="宋体" w:eastAsia="宋体" w:cs="宋体"/>
          <w:color w:val="auto"/>
          <w:sz w:val="24"/>
          <w:highlight w:val="none"/>
        </w:rPr>
        <w:t xml:space="preserve">18.7 </w:t>
      </w:r>
      <w:r>
        <w:rPr>
          <w:rFonts w:hint="eastAsia" w:ascii="宋体" w:hAnsi="宋体" w:eastAsia="宋体" w:cs="宋体"/>
          <w:color w:val="auto"/>
          <w:sz w:val="24"/>
          <w:highlight w:val="none"/>
          <w:lang w:val="zh-CN"/>
        </w:rPr>
        <w:t>竣工清场</w:t>
      </w:r>
      <w:bookmarkEnd w:id="503"/>
    </w:p>
    <w:p w14:paraId="4BB5ABF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18.7.1 </w:t>
      </w:r>
      <w:r>
        <w:rPr>
          <w:rFonts w:hint="eastAsia" w:ascii="宋体" w:hAnsi="宋体" w:eastAsia="宋体" w:cs="宋体"/>
          <w:color w:val="auto"/>
          <w:sz w:val="24"/>
          <w:highlight w:val="none"/>
          <w:lang w:val="zh-CN"/>
        </w:rPr>
        <w:t>除合同另有约定外，工程接收证书颁发后，承包人应按以下要求对施工场地进行清理，直至监理人检验合格为止。竣工清场费用由承包人承担。</w:t>
      </w:r>
    </w:p>
    <w:p w14:paraId="4498B369">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）施工场地内残留的垃圾已全部清除出场；</w:t>
      </w:r>
    </w:p>
    <w:p w14:paraId="218C44DE">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）临时工程已拆除，场地已按合同要求进行清理、平整或复原；</w:t>
      </w:r>
    </w:p>
    <w:p w14:paraId="27B31C28">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）按合同约定应撤离的承包人设备和剩余的材料，包括废弃的施工设备和材料，已按计划撤离施工场地；</w:t>
      </w:r>
    </w:p>
    <w:p w14:paraId="6B22BA2E">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）工程建筑物周边及其附近道路、河道的施工堆积物，已按监理人指示全部清理；</w:t>
      </w:r>
    </w:p>
    <w:p w14:paraId="02F2F6EE">
      <w:pPr>
        <w:autoSpaceDE w:val="0"/>
        <w:autoSpaceDN w:val="0"/>
        <w:adjustRightInd w:val="0"/>
        <w:spacing w:line="360" w:lineRule="auto"/>
        <w:ind w:firstLine="718"/>
        <w:outlineLvl w:val="9"/>
        <w:rPr>
          <w:rFonts w:hint="eastAsia" w:ascii="宋体" w:hAnsi="宋体" w:eastAsia="宋体" w:cs="宋体"/>
          <w:color w:val="auto"/>
          <w:sz w:val="24"/>
          <w:highlight w:val="none"/>
        </w:rPr>
      </w:pPr>
      <w:bookmarkStart w:id="504" w:name="_Toc29136"/>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）监理人指示的其他场地清理工作已全部完成。</w:t>
      </w:r>
      <w:bookmarkEnd w:id="504"/>
    </w:p>
    <w:p w14:paraId="5B59D72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18.7.2 </w:t>
      </w:r>
      <w:r>
        <w:rPr>
          <w:rFonts w:hint="eastAsia" w:ascii="宋体" w:hAnsi="宋体" w:eastAsia="宋体" w:cs="宋体"/>
          <w:color w:val="auto"/>
          <w:sz w:val="24"/>
          <w:highlight w:val="none"/>
          <w:lang w:val="zh-CN"/>
        </w:rPr>
        <w:t>承包人未按监理人的要求恢复临时占地，或者场地清理未达到合同约定的，发包人有权委托其他人恢复或清理，所发生的金额从拟支付给承包人的款项中扣除。</w:t>
      </w:r>
    </w:p>
    <w:p w14:paraId="020D810E">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5" w:name="_Toc5889"/>
      <w:r>
        <w:rPr>
          <w:rFonts w:hint="eastAsia" w:ascii="宋体" w:hAnsi="宋体" w:eastAsia="宋体" w:cs="宋体"/>
          <w:color w:val="auto"/>
          <w:sz w:val="24"/>
          <w:highlight w:val="none"/>
        </w:rPr>
        <w:t xml:space="preserve">18.8 </w:t>
      </w:r>
      <w:r>
        <w:rPr>
          <w:rFonts w:hint="eastAsia" w:ascii="宋体" w:hAnsi="宋体" w:eastAsia="宋体" w:cs="宋体"/>
          <w:color w:val="auto"/>
          <w:sz w:val="24"/>
          <w:highlight w:val="none"/>
          <w:lang w:val="zh-CN"/>
        </w:rPr>
        <w:t>施工队伍的撤离</w:t>
      </w:r>
      <w:bookmarkEnd w:id="505"/>
    </w:p>
    <w:p w14:paraId="3558BF6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工程接收证书颁发后的</w:t>
      </w:r>
      <w:r>
        <w:rPr>
          <w:rFonts w:hint="eastAsia" w:ascii="宋体" w:hAnsi="宋体" w:eastAsia="宋体" w:cs="宋体"/>
          <w:color w:val="auto"/>
          <w:sz w:val="24"/>
          <w:highlight w:val="none"/>
        </w:rPr>
        <w:t>56</w:t>
      </w:r>
      <w:r>
        <w:rPr>
          <w:rFonts w:hint="eastAsia" w:ascii="宋体" w:hAnsi="宋体" w:eastAsia="宋体" w:cs="宋体"/>
          <w:color w:val="auto"/>
          <w:sz w:val="24"/>
          <w:highlight w:val="none"/>
          <w:lang w:val="zh-CN"/>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1C7EC75B">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06" w:name="_Toc9583"/>
      <w:r>
        <w:rPr>
          <w:rFonts w:hint="eastAsia" w:ascii="宋体" w:hAnsi="宋体" w:eastAsia="宋体" w:cs="宋体"/>
          <w:color w:val="auto"/>
          <w:sz w:val="24"/>
          <w:highlight w:val="none"/>
        </w:rPr>
        <w:t>18.9</w:t>
      </w:r>
      <w:r>
        <w:rPr>
          <w:rFonts w:hint="eastAsia" w:ascii="宋体" w:hAnsi="宋体" w:eastAsia="宋体" w:cs="宋体"/>
          <w:color w:val="auto"/>
          <w:sz w:val="24"/>
          <w:highlight w:val="none"/>
          <w:lang w:val="zh-CN"/>
        </w:rPr>
        <w:t>竣工文件</w:t>
      </w:r>
      <w:bookmarkEnd w:id="506"/>
    </w:p>
    <w:p w14:paraId="43CFD446">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承包人应按照《公路工程竣（交）工验收办法》的相关规定，在缺陷责任期内为竣工验收补充竣工资料，并在签发缺陷责任期终止证书之前提交。</w:t>
      </w:r>
    </w:p>
    <w:p w14:paraId="6DACCFB7">
      <w:pPr>
        <w:autoSpaceDE w:val="0"/>
        <w:autoSpaceDN w:val="0"/>
        <w:adjustRightInd w:val="0"/>
        <w:spacing w:line="360" w:lineRule="auto"/>
        <w:ind w:firstLine="560"/>
        <w:rPr>
          <w:rFonts w:hint="eastAsia" w:ascii="宋体" w:hAnsi="宋体" w:eastAsia="宋体" w:cs="宋体"/>
          <w:color w:val="auto"/>
          <w:sz w:val="24"/>
          <w:highlight w:val="none"/>
        </w:rPr>
      </w:pPr>
    </w:p>
    <w:p w14:paraId="3A8C2D1E">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507" w:name="_Toc10068"/>
      <w:bookmarkStart w:id="508" w:name="_Toc23220"/>
      <w:r>
        <w:rPr>
          <w:rFonts w:hint="eastAsia" w:ascii="宋体" w:hAnsi="宋体" w:eastAsia="宋体" w:cs="宋体"/>
          <w:b/>
          <w:color w:val="auto"/>
          <w:sz w:val="24"/>
          <w:highlight w:val="none"/>
          <w:lang w:val="zh-CN"/>
        </w:rPr>
        <w:t>19.缺陷责任与保修责任</w:t>
      </w:r>
      <w:bookmarkEnd w:id="507"/>
      <w:bookmarkEnd w:id="508"/>
    </w:p>
    <w:p w14:paraId="71933AEB">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09" w:name="_Toc25735"/>
      <w:r>
        <w:rPr>
          <w:rFonts w:hint="eastAsia" w:ascii="宋体" w:hAnsi="宋体" w:eastAsia="宋体" w:cs="宋体"/>
          <w:color w:val="auto"/>
          <w:sz w:val="24"/>
          <w:highlight w:val="none"/>
        </w:rPr>
        <w:t xml:space="preserve">19.1 </w:t>
      </w:r>
      <w:r>
        <w:rPr>
          <w:rFonts w:hint="eastAsia" w:ascii="宋体" w:hAnsi="宋体" w:eastAsia="宋体" w:cs="宋体"/>
          <w:color w:val="auto"/>
          <w:sz w:val="24"/>
          <w:highlight w:val="none"/>
          <w:lang w:val="zh-CN"/>
        </w:rPr>
        <w:t>缺陷责任期的起算时间</w:t>
      </w:r>
      <w:bookmarkEnd w:id="509"/>
    </w:p>
    <w:p w14:paraId="45CF5546">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缺陷责任期自市级竣工验收合格通过之日起计算。在全部工程竣工验收前，已经发包人提前验收的单位工程，其缺陷责任期的起算日期相应提前。</w:t>
      </w:r>
    </w:p>
    <w:p w14:paraId="65206BC2">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0" w:name="_Toc17661"/>
      <w:r>
        <w:rPr>
          <w:rFonts w:hint="eastAsia" w:ascii="宋体" w:hAnsi="宋体" w:eastAsia="宋体" w:cs="宋体"/>
          <w:color w:val="auto"/>
          <w:sz w:val="24"/>
          <w:highlight w:val="none"/>
        </w:rPr>
        <w:t xml:space="preserve">19.2 </w:t>
      </w:r>
      <w:r>
        <w:rPr>
          <w:rFonts w:hint="eastAsia" w:ascii="宋体" w:hAnsi="宋体" w:eastAsia="宋体" w:cs="宋体"/>
          <w:color w:val="auto"/>
          <w:sz w:val="24"/>
          <w:highlight w:val="none"/>
          <w:lang w:val="zh-CN"/>
        </w:rPr>
        <w:t>缺陷责任</w:t>
      </w:r>
      <w:bookmarkEnd w:id="510"/>
    </w:p>
    <w:p w14:paraId="6BB9068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19.2.1 </w:t>
      </w:r>
      <w:r>
        <w:rPr>
          <w:rFonts w:hint="eastAsia" w:ascii="宋体" w:hAnsi="宋体" w:eastAsia="宋体" w:cs="宋体"/>
          <w:color w:val="auto"/>
          <w:sz w:val="24"/>
          <w:highlight w:val="none"/>
          <w:lang w:val="zh-CN"/>
        </w:rPr>
        <w:t>承包人应在缺陷责任期内对已交付使用的工程承担缺陷责任。</w:t>
      </w:r>
    </w:p>
    <w:p w14:paraId="642AB2F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19.2.2 </w:t>
      </w:r>
      <w:r>
        <w:rPr>
          <w:rFonts w:hint="eastAsia" w:ascii="宋体" w:hAnsi="宋体" w:eastAsia="宋体" w:cs="宋体"/>
          <w:color w:val="auto"/>
          <w:sz w:val="24"/>
          <w:highlight w:val="none"/>
          <w:lang w:val="zh-CN"/>
        </w:rPr>
        <w:t>缺陷责任期内，发包人对已接收使用的工程负责日常维护工作。发包人在使用过程中，发现已接收的工程存在新的缺陷或已修复的缺陷部位或部件又遭损坏的，承包人应负责修复，直至检验合格为止。在缺陷责任期内，承包人应尽快完成在交工验收证书中写明的未完成工作，并完成对本工程缺陷的修复或监理人指令的修补工作。</w:t>
      </w:r>
    </w:p>
    <w:p w14:paraId="5CB046B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19.2.3 </w:t>
      </w:r>
      <w:r>
        <w:rPr>
          <w:rFonts w:hint="eastAsia" w:ascii="宋体" w:hAnsi="宋体" w:eastAsia="宋体" w:cs="宋体"/>
          <w:color w:val="auto"/>
          <w:sz w:val="24"/>
          <w:highlight w:val="none"/>
          <w:lang w:val="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6987F3B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19.2.4 </w:t>
      </w:r>
      <w:r>
        <w:rPr>
          <w:rFonts w:hint="eastAsia" w:ascii="宋体" w:hAnsi="宋体" w:eastAsia="宋体" w:cs="宋体"/>
          <w:color w:val="auto"/>
          <w:sz w:val="24"/>
          <w:highlight w:val="none"/>
          <w:lang w:val="zh-CN"/>
        </w:rPr>
        <w:t>承包人不能在合理时间内修复缺陷的，发包人可自行修复或委托其他人修复，所需费用和利润的承担，按第</w:t>
      </w:r>
      <w:r>
        <w:rPr>
          <w:rFonts w:hint="eastAsia" w:ascii="宋体" w:hAnsi="宋体" w:eastAsia="宋体" w:cs="宋体"/>
          <w:color w:val="auto"/>
          <w:sz w:val="24"/>
          <w:highlight w:val="none"/>
        </w:rPr>
        <w:t>19.2.3</w:t>
      </w:r>
      <w:r>
        <w:rPr>
          <w:rFonts w:hint="eastAsia" w:ascii="宋体" w:hAnsi="宋体" w:eastAsia="宋体" w:cs="宋体"/>
          <w:color w:val="auto"/>
          <w:sz w:val="24"/>
          <w:highlight w:val="none"/>
          <w:lang w:val="zh-CN"/>
        </w:rPr>
        <w:t>项约定办理。</w:t>
      </w:r>
    </w:p>
    <w:p w14:paraId="5B507FE4">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1" w:name="_Toc16671"/>
      <w:r>
        <w:rPr>
          <w:rFonts w:hint="eastAsia" w:ascii="宋体" w:hAnsi="宋体" w:eastAsia="宋体" w:cs="宋体"/>
          <w:color w:val="auto"/>
          <w:sz w:val="24"/>
          <w:highlight w:val="none"/>
        </w:rPr>
        <w:t xml:space="preserve">19.3 </w:t>
      </w:r>
      <w:r>
        <w:rPr>
          <w:rFonts w:hint="eastAsia" w:ascii="宋体" w:hAnsi="宋体" w:eastAsia="宋体" w:cs="宋体"/>
          <w:color w:val="auto"/>
          <w:sz w:val="24"/>
          <w:highlight w:val="none"/>
          <w:lang w:val="zh-CN"/>
        </w:rPr>
        <w:t>缺陷责任期的延长</w:t>
      </w:r>
      <w:bookmarkEnd w:id="511"/>
    </w:p>
    <w:p w14:paraId="3856C09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由于承包人原因造成某项缺陷或损坏使某项工程或工程设备不能按原定目标使用而需要再次检查、检验和修复的，发包人有权要求承包人相应延长缺陷责任期，但缺陷责任期最长不超过</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年。</w:t>
      </w:r>
    </w:p>
    <w:p w14:paraId="0DA8BCEC">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2" w:name="_Toc18591"/>
      <w:r>
        <w:rPr>
          <w:rFonts w:hint="eastAsia" w:ascii="宋体" w:hAnsi="宋体" w:eastAsia="宋体" w:cs="宋体"/>
          <w:color w:val="auto"/>
          <w:sz w:val="24"/>
          <w:highlight w:val="none"/>
        </w:rPr>
        <w:t xml:space="preserve">19.4 </w:t>
      </w:r>
      <w:r>
        <w:rPr>
          <w:rFonts w:hint="eastAsia" w:ascii="宋体" w:hAnsi="宋体" w:eastAsia="宋体" w:cs="宋体"/>
          <w:color w:val="auto"/>
          <w:sz w:val="24"/>
          <w:highlight w:val="none"/>
          <w:lang w:val="zh-CN"/>
        </w:rPr>
        <w:t>进一步试验和试运行</w:t>
      </w:r>
      <w:bookmarkEnd w:id="512"/>
    </w:p>
    <w:p w14:paraId="0E67FAF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任何一项缺陷或损坏修复后，经检查证明其影响了工程或工程设备的使用性能，承包人应重新进行合同约定的试验和试运行，试验和试运行的全部费用应由责任方承担。</w:t>
      </w:r>
    </w:p>
    <w:p w14:paraId="03B0A8BC">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3" w:name="_Toc11655"/>
      <w:r>
        <w:rPr>
          <w:rFonts w:hint="eastAsia" w:ascii="宋体" w:hAnsi="宋体" w:eastAsia="宋体" w:cs="宋体"/>
          <w:color w:val="auto"/>
          <w:sz w:val="24"/>
          <w:highlight w:val="none"/>
        </w:rPr>
        <w:t xml:space="preserve">19.5 </w:t>
      </w:r>
      <w:r>
        <w:rPr>
          <w:rFonts w:hint="eastAsia" w:ascii="宋体" w:hAnsi="宋体" w:eastAsia="宋体" w:cs="宋体"/>
          <w:color w:val="auto"/>
          <w:sz w:val="24"/>
          <w:highlight w:val="none"/>
          <w:lang w:val="zh-CN"/>
        </w:rPr>
        <w:t>承包人的进入权</w:t>
      </w:r>
      <w:bookmarkEnd w:id="513"/>
    </w:p>
    <w:p w14:paraId="04EC3DC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缺陷责任期内承包人为缺陷修复工作需要，有权进入工程现场，但应遵守发包人的保安和保密规定。承包人在缺陷修复施工过程中，应服从管养单位的有关安全管理规定，由于承包人自身原因造成的人员伤亡、设备和材料的损毁及罚款等责任由承包人自负。</w:t>
      </w:r>
    </w:p>
    <w:p w14:paraId="2D66371B">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4" w:name="_Toc1411"/>
      <w:r>
        <w:rPr>
          <w:rFonts w:hint="eastAsia" w:ascii="宋体" w:hAnsi="宋体" w:eastAsia="宋体" w:cs="宋体"/>
          <w:color w:val="auto"/>
          <w:sz w:val="24"/>
          <w:highlight w:val="none"/>
        </w:rPr>
        <w:t xml:space="preserve">19.6 </w:t>
      </w:r>
      <w:r>
        <w:rPr>
          <w:rFonts w:hint="eastAsia" w:ascii="宋体" w:hAnsi="宋体" w:eastAsia="宋体" w:cs="宋体"/>
          <w:color w:val="auto"/>
          <w:sz w:val="24"/>
          <w:highlight w:val="none"/>
          <w:lang w:val="zh-CN"/>
        </w:rPr>
        <w:t>缺陷责任期终止证书</w:t>
      </w:r>
      <w:bookmarkEnd w:id="514"/>
    </w:p>
    <w:p w14:paraId="72B4D28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在第</w:t>
      </w:r>
      <w:r>
        <w:rPr>
          <w:rFonts w:hint="eastAsia" w:ascii="宋体" w:hAnsi="宋体" w:eastAsia="宋体" w:cs="宋体"/>
          <w:color w:val="auto"/>
          <w:sz w:val="24"/>
          <w:highlight w:val="none"/>
        </w:rPr>
        <w:t>1.1.4.5</w:t>
      </w:r>
      <w:r>
        <w:rPr>
          <w:rFonts w:hint="eastAsia" w:ascii="宋体" w:hAnsi="宋体" w:eastAsia="宋体" w:cs="宋体"/>
          <w:color w:val="auto"/>
          <w:sz w:val="24"/>
          <w:highlight w:val="none"/>
          <w:lang w:val="zh-CN"/>
        </w:rPr>
        <w:t>目约定的缺陷责任期，包括根据第</w:t>
      </w:r>
      <w:r>
        <w:rPr>
          <w:rFonts w:hint="eastAsia" w:ascii="宋体" w:hAnsi="宋体" w:eastAsia="宋体" w:cs="宋体"/>
          <w:color w:val="auto"/>
          <w:sz w:val="24"/>
          <w:highlight w:val="none"/>
        </w:rPr>
        <w:t>19.3</w:t>
      </w:r>
      <w:r>
        <w:rPr>
          <w:rFonts w:hint="eastAsia" w:ascii="宋体" w:hAnsi="宋体" w:eastAsia="宋体" w:cs="宋体"/>
          <w:color w:val="auto"/>
          <w:sz w:val="24"/>
          <w:highlight w:val="none"/>
          <w:lang w:val="zh-CN"/>
        </w:rPr>
        <w:t>款延长的期限终止后</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zh-CN"/>
        </w:rPr>
        <w:t>天内，由监理人向承包人出具经发包人签认的缺陷责任期终止证书，并退还剩余的质量保证金。</w:t>
      </w:r>
    </w:p>
    <w:p w14:paraId="39B34358">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19.7 </w:t>
      </w:r>
      <w:r>
        <w:rPr>
          <w:rFonts w:hint="eastAsia" w:ascii="宋体" w:hAnsi="宋体" w:eastAsia="宋体" w:cs="宋体"/>
          <w:color w:val="auto"/>
          <w:sz w:val="24"/>
          <w:highlight w:val="none"/>
          <w:lang w:val="zh-CN"/>
        </w:rPr>
        <w:t>保修责</w:t>
      </w:r>
    </w:p>
    <w:p w14:paraId="01A1822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19.7</w:t>
      </w:r>
      <w:r>
        <w:rPr>
          <w:rFonts w:hint="eastAsia" w:ascii="宋体" w:hAnsi="宋体" w:eastAsia="宋体" w:cs="宋体"/>
          <w:color w:val="auto"/>
          <w:sz w:val="24"/>
          <w:highlight w:val="none"/>
          <w:lang w:val="zh-CN"/>
        </w:rPr>
        <w:t>保修责任</w:t>
      </w:r>
    </w:p>
    <w:p w14:paraId="43D0368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）保修期</w:t>
      </w:r>
      <w:r>
        <w:rPr>
          <w:rFonts w:hint="eastAsia" w:ascii="宋体" w:hAnsi="宋体" w:eastAsia="宋体" w:cs="宋体"/>
          <w:color w:val="auto"/>
          <w:sz w:val="24"/>
          <w:highlight w:val="none"/>
        </w:rPr>
        <w:t>自项目运行期满后开始</w:t>
      </w:r>
      <w:r>
        <w:rPr>
          <w:rFonts w:hint="eastAsia" w:ascii="宋体" w:hAnsi="宋体" w:eastAsia="宋体" w:cs="宋体"/>
          <w:color w:val="auto"/>
          <w:sz w:val="24"/>
          <w:highlight w:val="none"/>
          <w:lang w:val="zh-CN"/>
        </w:rPr>
        <w:t>计算，具体期限在项目专用合同条款数据表中约定。</w:t>
      </w:r>
    </w:p>
    <w:p w14:paraId="5CDC109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2A4C7D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）在全部工程交工验收前，已经发包人提前验收的单位工程，其保修期的起算日期相应提前。</w:t>
      </w:r>
    </w:p>
    <w:p w14:paraId="229AE6BE">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15" w:name="_Toc16038"/>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）工程保修期终止后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天内，监理人签发保修期终止证书。</w:t>
      </w:r>
      <w:bookmarkEnd w:id="515"/>
    </w:p>
    <w:p w14:paraId="4DEA8A9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）若承包人不履行保修义务和责任，则承包人应承担由于违约造成的法律后果，并由发包人将其违约行为上报省级交通主管部门，作为不良记录纳入公路建设市场信用信息管理系统。</w:t>
      </w:r>
    </w:p>
    <w:p w14:paraId="7428AA5D">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516" w:name="_Toc10936"/>
      <w:r>
        <w:rPr>
          <w:rFonts w:hint="eastAsia" w:ascii="宋体" w:hAnsi="宋体" w:eastAsia="宋体" w:cs="宋体"/>
          <w:b/>
          <w:color w:val="auto"/>
          <w:sz w:val="24"/>
          <w:highlight w:val="none"/>
          <w:lang w:val="zh-CN"/>
        </w:rPr>
        <w:t>20.保险</w:t>
      </w:r>
      <w:bookmarkEnd w:id="516"/>
    </w:p>
    <w:p w14:paraId="1EF27B23">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17" w:name="_Toc4203"/>
      <w:r>
        <w:rPr>
          <w:rFonts w:hint="eastAsia" w:ascii="宋体" w:hAnsi="宋体" w:eastAsia="宋体" w:cs="宋体"/>
          <w:color w:val="auto"/>
          <w:sz w:val="24"/>
          <w:highlight w:val="none"/>
        </w:rPr>
        <w:t>20.1</w:t>
      </w:r>
      <w:r>
        <w:rPr>
          <w:rFonts w:hint="eastAsia" w:ascii="宋体" w:hAnsi="宋体" w:eastAsia="宋体" w:cs="宋体"/>
          <w:color w:val="auto"/>
          <w:sz w:val="24"/>
          <w:highlight w:val="none"/>
          <w:lang w:val="zh-CN"/>
        </w:rPr>
        <w:t>工程保险</w:t>
      </w:r>
      <w:bookmarkEnd w:id="517"/>
    </w:p>
    <w:p w14:paraId="442B0AF6">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建筑工程一切险的投保内容：为本合同工程的永久工程、临时工程和设备及已运至施工工地用于永久工程的材料和设备所投的保险。</w:t>
      </w:r>
    </w:p>
    <w:p w14:paraId="233A7B3C">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保险内容：工程量清单第</w:t>
      </w:r>
      <w:r>
        <w:rPr>
          <w:rFonts w:hint="eastAsia" w:ascii="宋体" w:hAnsi="宋体" w:eastAsia="宋体" w:cs="宋体"/>
          <w:color w:val="auto"/>
          <w:sz w:val="24"/>
          <w:highlight w:val="none"/>
        </w:rPr>
        <w:t>200</w:t>
      </w:r>
      <w:r>
        <w:rPr>
          <w:rFonts w:hint="eastAsia" w:ascii="宋体" w:hAnsi="宋体" w:eastAsia="宋体" w:cs="宋体"/>
          <w:color w:val="auto"/>
          <w:sz w:val="24"/>
          <w:highlight w:val="none"/>
          <w:lang w:val="zh-CN"/>
        </w:rPr>
        <w:t>章至</w:t>
      </w:r>
      <w:r>
        <w:rPr>
          <w:rFonts w:hint="eastAsia" w:ascii="宋体" w:hAnsi="宋体" w:eastAsia="宋体" w:cs="宋体"/>
          <w:color w:val="auto"/>
          <w:sz w:val="24"/>
          <w:highlight w:val="none"/>
        </w:rPr>
        <w:t>700</w:t>
      </w:r>
      <w:r>
        <w:rPr>
          <w:rFonts w:hint="eastAsia" w:ascii="宋体" w:hAnsi="宋体" w:eastAsia="宋体" w:cs="宋体"/>
          <w:color w:val="auto"/>
          <w:sz w:val="24"/>
          <w:highlight w:val="none"/>
          <w:lang w:val="zh-CN"/>
        </w:rPr>
        <w:t>章工程项目建筑工程一切险。</w:t>
      </w:r>
    </w:p>
    <w:p w14:paraId="4154D19D">
      <w:pPr>
        <w:autoSpaceDE w:val="0"/>
        <w:autoSpaceDN w:val="0"/>
        <w:adjustRightInd w:val="0"/>
        <w:spacing w:line="360" w:lineRule="auto"/>
        <w:ind w:firstLine="56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保险金额：以上述建筑工程一切为标的与保险公司协商保险金额。</w:t>
      </w:r>
    </w:p>
    <w:p w14:paraId="43AB1957">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保险费率：第</w:t>
      </w:r>
      <w:r>
        <w:rPr>
          <w:rFonts w:hint="eastAsia" w:ascii="宋体" w:hAnsi="宋体" w:eastAsia="宋体" w:cs="宋体"/>
          <w:color w:val="auto"/>
          <w:sz w:val="24"/>
          <w:highlight w:val="none"/>
        </w:rPr>
        <w:t>200</w:t>
      </w:r>
      <w:r>
        <w:rPr>
          <w:rFonts w:hint="eastAsia" w:ascii="宋体" w:hAnsi="宋体" w:eastAsia="宋体" w:cs="宋体"/>
          <w:color w:val="auto"/>
          <w:sz w:val="24"/>
          <w:highlight w:val="none"/>
          <w:lang w:val="zh-CN"/>
        </w:rPr>
        <w:t>章至</w:t>
      </w:r>
      <w:r>
        <w:rPr>
          <w:rFonts w:hint="eastAsia" w:ascii="宋体" w:hAnsi="宋体" w:eastAsia="宋体" w:cs="宋体"/>
          <w:color w:val="auto"/>
          <w:sz w:val="24"/>
          <w:highlight w:val="none"/>
        </w:rPr>
        <w:t>700</w:t>
      </w:r>
      <w:r>
        <w:rPr>
          <w:rFonts w:hint="eastAsia" w:ascii="宋体" w:hAnsi="宋体" w:eastAsia="宋体" w:cs="宋体"/>
          <w:color w:val="auto"/>
          <w:sz w:val="24"/>
          <w:highlight w:val="none"/>
          <w:lang w:val="zh-CN"/>
        </w:rPr>
        <w:t>章工程量清单合计金额的0.</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%,由承包人负责投保,报价时列入工程报价100章内。</w:t>
      </w:r>
    </w:p>
    <w:p w14:paraId="560A6FF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保险期限：开工日起直至本合同工程签发缺陷责任期终止证书止（即合同工期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缺陷责任期）。</w:t>
      </w:r>
    </w:p>
    <w:p w14:paraId="3414A9C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承包人应以发包人和承包人的共同名义投保建筑工程一切险。建筑工程一切险的保险费由承包人报价时列入工程量清单</w:t>
      </w:r>
      <w:r>
        <w:rPr>
          <w:rFonts w:hint="eastAsia" w:ascii="宋体" w:hAnsi="宋体" w:eastAsia="宋体" w:cs="宋体"/>
          <w:color w:val="auto"/>
          <w:sz w:val="24"/>
          <w:highlight w:val="none"/>
        </w:rPr>
        <w:t>100</w:t>
      </w:r>
      <w:r>
        <w:rPr>
          <w:rFonts w:hint="eastAsia" w:ascii="宋体" w:hAnsi="宋体" w:eastAsia="宋体" w:cs="宋体"/>
          <w:color w:val="auto"/>
          <w:sz w:val="24"/>
          <w:highlight w:val="none"/>
          <w:lang w:val="zh-CN"/>
        </w:rPr>
        <w:t>章内，由承包人与保险公司签订保险合同，发生保险责任由承包人向保险公司索赔保险金。</w:t>
      </w:r>
    </w:p>
    <w:p w14:paraId="641DA1C2">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18" w:name="_Toc8766"/>
      <w:r>
        <w:rPr>
          <w:rFonts w:hint="eastAsia" w:ascii="宋体" w:hAnsi="宋体" w:eastAsia="宋体" w:cs="宋体"/>
          <w:color w:val="auto"/>
          <w:sz w:val="24"/>
          <w:highlight w:val="none"/>
        </w:rPr>
        <w:t xml:space="preserve">20.2 </w:t>
      </w:r>
      <w:r>
        <w:rPr>
          <w:rFonts w:hint="eastAsia" w:ascii="宋体" w:hAnsi="宋体" w:eastAsia="宋体" w:cs="宋体"/>
          <w:color w:val="auto"/>
          <w:sz w:val="24"/>
          <w:highlight w:val="none"/>
          <w:lang w:val="zh-CN"/>
        </w:rPr>
        <w:t>人员工伤事故的保险</w:t>
      </w:r>
      <w:bookmarkEnd w:id="518"/>
    </w:p>
    <w:p w14:paraId="36E6175E">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19" w:name="_Toc6996"/>
      <w:r>
        <w:rPr>
          <w:rFonts w:hint="eastAsia" w:ascii="宋体" w:hAnsi="宋体" w:eastAsia="宋体" w:cs="宋体"/>
          <w:color w:val="auto"/>
          <w:sz w:val="24"/>
          <w:highlight w:val="none"/>
        </w:rPr>
        <w:t xml:space="preserve">20.2.1 </w:t>
      </w:r>
      <w:r>
        <w:rPr>
          <w:rFonts w:hint="eastAsia" w:ascii="宋体" w:hAnsi="宋体" w:eastAsia="宋体" w:cs="宋体"/>
          <w:color w:val="auto"/>
          <w:sz w:val="24"/>
          <w:highlight w:val="none"/>
          <w:lang w:val="zh-CN"/>
        </w:rPr>
        <w:t>承包人员工伤事故的保险</w:t>
      </w:r>
      <w:bookmarkEnd w:id="519"/>
    </w:p>
    <w:p w14:paraId="3D3DE51D">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承包人应依照有关法律规定参加工伤保险，为其履行合同所雇佣的全部人员，缴纳工伤保险费，并要求其分包人也进行此项保险。</w:t>
      </w:r>
    </w:p>
    <w:p w14:paraId="7F925E87">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0" w:name="_Toc6291"/>
      <w:r>
        <w:rPr>
          <w:rFonts w:hint="eastAsia" w:ascii="宋体" w:hAnsi="宋体" w:eastAsia="宋体" w:cs="宋体"/>
          <w:color w:val="auto"/>
          <w:sz w:val="24"/>
          <w:highlight w:val="none"/>
        </w:rPr>
        <w:t>20.2.2</w:t>
      </w:r>
      <w:r>
        <w:rPr>
          <w:rFonts w:hint="eastAsia" w:ascii="宋体" w:hAnsi="宋体" w:eastAsia="宋体" w:cs="宋体"/>
          <w:color w:val="auto"/>
          <w:sz w:val="24"/>
          <w:highlight w:val="none"/>
          <w:lang w:val="zh-CN"/>
        </w:rPr>
        <w:t>发包人员工伤事故的保险</w:t>
      </w:r>
      <w:bookmarkEnd w:id="520"/>
    </w:p>
    <w:p w14:paraId="43362C8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发包人应依照有关法律规定参加工伤保险，为其现场机构雇佣的全部人员，缴纳工伤保险费，并要求其监理人也进行此项保险。</w:t>
      </w:r>
    </w:p>
    <w:p w14:paraId="412F8F4B">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21" w:name="_Toc19138"/>
      <w:r>
        <w:rPr>
          <w:rFonts w:hint="eastAsia" w:ascii="宋体" w:hAnsi="宋体" w:eastAsia="宋体" w:cs="宋体"/>
          <w:color w:val="auto"/>
          <w:sz w:val="24"/>
          <w:highlight w:val="none"/>
        </w:rPr>
        <w:t xml:space="preserve">20.3 </w:t>
      </w:r>
      <w:r>
        <w:rPr>
          <w:rFonts w:hint="eastAsia" w:ascii="宋体" w:hAnsi="宋体" w:eastAsia="宋体" w:cs="宋体"/>
          <w:color w:val="auto"/>
          <w:sz w:val="24"/>
          <w:highlight w:val="none"/>
          <w:lang w:val="zh-CN"/>
        </w:rPr>
        <w:t>人身意外伤害险</w:t>
      </w:r>
      <w:bookmarkEnd w:id="521"/>
    </w:p>
    <w:p w14:paraId="32686DD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20.3.1 </w:t>
      </w:r>
      <w:r>
        <w:rPr>
          <w:rFonts w:hint="eastAsia" w:ascii="宋体" w:hAnsi="宋体" w:eastAsia="宋体" w:cs="宋体"/>
          <w:color w:val="auto"/>
          <w:sz w:val="24"/>
          <w:highlight w:val="none"/>
          <w:lang w:val="zh-CN"/>
        </w:rPr>
        <w:t>发包人应在整个施工期间为其现场机构雇用的全部人员，投保人身意外伤害险，缴纳保险费，并要求其监理人也进行此项保险。</w:t>
      </w:r>
    </w:p>
    <w:p w14:paraId="40349149">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20.3.2 </w:t>
      </w:r>
      <w:r>
        <w:rPr>
          <w:rFonts w:hint="eastAsia" w:ascii="宋体" w:hAnsi="宋体" w:eastAsia="宋体" w:cs="宋体"/>
          <w:color w:val="auto"/>
          <w:sz w:val="24"/>
          <w:highlight w:val="none"/>
          <w:lang w:val="zh-CN"/>
        </w:rPr>
        <w:t>承包人应在整个施工期间为其现场机构雇用的全部人员，投保人身意外伤害险，缴纳保险费，并要求其分包人也进行此项保险。</w:t>
      </w:r>
    </w:p>
    <w:p w14:paraId="6BD566D5">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22" w:name="_Toc19495"/>
      <w:r>
        <w:rPr>
          <w:rFonts w:hint="eastAsia" w:ascii="宋体" w:hAnsi="宋体" w:eastAsia="宋体" w:cs="宋体"/>
          <w:color w:val="auto"/>
          <w:sz w:val="24"/>
          <w:highlight w:val="none"/>
        </w:rPr>
        <w:t xml:space="preserve">20.4 </w:t>
      </w:r>
      <w:r>
        <w:rPr>
          <w:rFonts w:hint="eastAsia" w:ascii="宋体" w:hAnsi="宋体" w:eastAsia="宋体" w:cs="宋体"/>
          <w:color w:val="auto"/>
          <w:sz w:val="24"/>
          <w:highlight w:val="none"/>
          <w:lang w:val="zh-CN"/>
        </w:rPr>
        <w:t>第三者责任险</w:t>
      </w:r>
      <w:bookmarkEnd w:id="522"/>
    </w:p>
    <w:p w14:paraId="0CD0762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20.4.1 </w:t>
      </w:r>
      <w:r>
        <w:rPr>
          <w:rFonts w:hint="eastAsia" w:ascii="宋体" w:hAnsi="宋体" w:eastAsia="宋体" w:cs="宋体"/>
          <w:color w:val="auto"/>
          <w:sz w:val="24"/>
          <w:highlight w:val="none"/>
          <w:lang w:val="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E1C59EC">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20.4.2 </w:t>
      </w:r>
      <w:r>
        <w:rPr>
          <w:rFonts w:hint="eastAsia" w:ascii="宋体" w:hAnsi="宋体" w:eastAsia="宋体" w:cs="宋体"/>
          <w:color w:val="auto"/>
          <w:sz w:val="24"/>
          <w:highlight w:val="none"/>
          <w:lang w:val="zh-CN"/>
        </w:rPr>
        <w:t>在缺陷责任期终止证书颁发前，承包人应以承包人和发包人的共同名义，投保第</w:t>
      </w:r>
      <w:r>
        <w:rPr>
          <w:rFonts w:hint="eastAsia" w:ascii="宋体" w:hAnsi="宋体" w:eastAsia="宋体" w:cs="宋体"/>
          <w:color w:val="auto"/>
          <w:sz w:val="24"/>
          <w:highlight w:val="none"/>
        </w:rPr>
        <w:t>20.4.1</w:t>
      </w:r>
      <w:r>
        <w:rPr>
          <w:rFonts w:hint="eastAsia" w:ascii="宋体" w:hAnsi="宋体" w:eastAsia="宋体" w:cs="宋体"/>
          <w:color w:val="auto"/>
          <w:sz w:val="24"/>
          <w:highlight w:val="none"/>
          <w:lang w:val="zh-CN"/>
        </w:rPr>
        <w:t>项约定的第三者责任险，其保险费率、保险金额等有关内容在专用合同条款中约定．第三者责任险的保险费由承包人报价时列人工程量清单</w:t>
      </w:r>
      <w:r>
        <w:rPr>
          <w:rFonts w:hint="eastAsia" w:ascii="宋体" w:hAnsi="宋体" w:eastAsia="宋体" w:cs="宋体"/>
          <w:color w:val="auto"/>
          <w:sz w:val="24"/>
          <w:highlight w:val="none"/>
        </w:rPr>
        <w:t>100</w:t>
      </w:r>
      <w:r>
        <w:rPr>
          <w:rFonts w:hint="eastAsia" w:ascii="宋体" w:hAnsi="宋体" w:eastAsia="宋体" w:cs="宋体"/>
          <w:color w:val="auto"/>
          <w:sz w:val="24"/>
          <w:highlight w:val="none"/>
          <w:lang w:val="zh-CN"/>
        </w:rPr>
        <w:t>章内，由承包人与保险公司签订保险合同，发生保险责任由承包人向保险公司索赔保险金。</w:t>
      </w:r>
    </w:p>
    <w:p w14:paraId="25ABE6CE">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3" w:name="_Toc32525"/>
      <w:r>
        <w:rPr>
          <w:rFonts w:hint="eastAsia" w:ascii="宋体" w:hAnsi="宋体" w:eastAsia="宋体" w:cs="宋体"/>
          <w:color w:val="auto"/>
          <w:sz w:val="24"/>
          <w:highlight w:val="none"/>
        </w:rPr>
        <w:t>20.5</w:t>
      </w:r>
      <w:r>
        <w:rPr>
          <w:rFonts w:hint="eastAsia" w:ascii="宋体" w:hAnsi="宋体" w:eastAsia="宋体" w:cs="宋体"/>
          <w:color w:val="auto"/>
          <w:sz w:val="24"/>
          <w:highlight w:val="none"/>
          <w:lang w:val="zh-CN"/>
        </w:rPr>
        <w:t>其他保险</w:t>
      </w:r>
      <w:bookmarkEnd w:id="523"/>
    </w:p>
    <w:p w14:paraId="0181747F">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lang w:val="zh-CN"/>
        </w:rPr>
        <w:t>承包人应为其施工设备等办理保险，其投保金额应足以现场重置。办理本款保险</w:t>
      </w:r>
      <w:r>
        <w:rPr>
          <w:rFonts w:hint="eastAsia" w:ascii="宋体" w:hAnsi="宋体" w:eastAsia="宋体" w:cs="宋体"/>
          <w:color w:val="auto"/>
          <w:spacing w:val="-6"/>
          <w:sz w:val="24"/>
          <w:highlight w:val="none"/>
          <w:lang w:val="zh-CN"/>
        </w:rPr>
        <w:t>的一切费用均由承包人承担，并包括在工程量清单的单价及总额价中，发包人不单独支付。</w:t>
      </w:r>
    </w:p>
    <w:p w14:paraId="0508CA49">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24" w:name="_Toc1095"/>
      <w:r>
        <w:rPr>
          <w:rFonts w:hint="eastAsia" w:ascii="宋体" w:hAnsi="宋体" w:eastAsia="宋体" w:cs="宋体"/>
          <w:color w:val="auto"/>
          <w:sz w:val="24"/>
          <w:highlight w:val="none"/>
        </w:rPr>
        <w:t>20.6</w:t>
      </w:r>
      <w:r>
        <w:rPr>
          <w:rFonts w:hint="eastAsia" w:ascii="宋体" w:hAnsi="宋体" w:eastAsia="宋体" w:cs="宋体"/>
          <w:color w:val="auto"/>
          <w:sz w:val="24"/>
          <w:highlight w:val="none"/>
          <w:lang w:val="zh-CN"/>
        </w:rPr>
        <w:t>对各项保险的一般要求</w:t>
      </w:r>
      <w:bookmarkEnd w:id="524"/>
    </w:p>
    <w:p w14:paraId="3625058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20.6.1 </w:t>
      </w:r>
      <w:r>
        <w:rPr>
          <w:rFonts w:hint="eastAsia" w:ascii="宋体" w:hAnsi="宋体" w:eastAsia="宋体" w:cs="宋体"/>
          <w:color w:val="auto"/>
          <w:sz w:val="24"/>
          <w:highlight w:val="none"/>
          <w:lang w:val="zh-CN"/>
        </w:rPr>
        <w:t>保险凭证</w:t>
      </w:r>
    </w:p>
    <w:p w14:paraId="2E00F8DE">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20.6.1</w:t>
      </w:r>
      <w:r>
        <w:rPr>
          <w:rFonts w:hint="eastAsia" w:ascii="宋体" w:hAnsi="宋体" w:eastAsia="宋体" w:cs="宋体"/>
          <w:color w:val="auto"/>
          <w:sz w:val="24"/>
          <w:highlight w:val="none"/>
          <w:lang w:val="zh-CN"/>
        </w:rPr>
        <w:t>保险凭证</w:t>
      </w:r>
    </w:p>
    <w:p w14:paraId="5166060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承包人向发包人提交各项保险生效的证据和保险单副本的期限：开工后</w:t>
      </w:r>
      <w:r>
        <w:rPr>
          <w:rFonts w:hint="eastAsia" w:ascii="宋体" w:hAnsi="宋体" w:eastAsia="宋体" w:cs="宋体"/>
          <w:color w:val="auto"/>
          <w:sz w:val="24"/>
          <w:highlight w:val="none"/>
        </w:rPr>
        <w:t>56</w:t>
      </w:r>
      <w:r>
        <w:rPr>
          <w:rFonts w:hint="eastAsia" w:ascii="宋体" w:hAnsi="宋体" w:eastAsia="宋体" w:cs="宋体"/>
          <w:color w:val="auto"/>
          <w:sz w:val="24"/>
          <w:highlight w:val="none"/>
          <w:lang w:val="zh-CN"/>
        </w:rPr>
        <w:t>天内。</w:t>
      </w:r>
    </w:p>
    <w:p w14:paraId="63686C30">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5" w:name="_Toc4423"/>
      <w:r>
        <w:rPr>
          <w:rFonts w:hint="eastAsia" w:ascii="宋体" w:hAnsi="宋体" w:eastAsia="宋体" w:cs="宋体"/>
          <w:color w:val="auto"/>
          <w:sz w:val="24"/>
          <w:highlight w:val="none"/>
        </w:rPr>
        <w:t xml:space="preserve">20.6.2 </w:t>
      </w:r>
      <w:r>
        <w:rPr>
          <w:rFonts w:hint="eastAsia" w:ascii="宋体" w:hAnsi="宋体" w:eastAsia="宋体" w:cs="宋体"/>
          <w:color w:val="auto"/>
          <w:sz w:val="24"/>
          <w:highlight w:val="none"/>
          <w:lang w:val="zh-CN"/>
        </w:rPr>
        <w:t>保险合同条款的变动</w:t>
      </w:r>
      <w:bookmarkEnd w:id="525"/>
    </w:p>
    <w:p w14:paraId="711CED7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承包人需要变动保险合同条款时，应事先征得发包人同意，并通知监理人。保险人作出变动的，承包人应在收到保险人通知后立即通知发包人和监理人。</w:t>
      </w:r>
    </w:p>
    <w:p w14:paraId="0E5DE58C">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6" w:name="_Toc28906"/>
      <w:r>
        <w:rPr>
          <w:rFonts w:hint="eastAsia" w:ascii="宋体" w:hAnsi="宋体" w:eastAsia="宋体" w:cs="宋体"/>
          <w:color w:val="auto"/>
          <w:sz w:val="24"/>
          <w:highlight w:val="none"/>
        </w:rPr>
        <w:t xml:space="preserve">20.6.3 </w:t>
      </w:r>
      <w:r>
        <w:rPr>
          <w:rFonts w:hint="eastAsia" w:ascii="宋体" w:hAnsi="宋体" w:eastAsia="宋体" w:cs="宋体"/>
          <w:color w:val="auto"/>
          <w:sz w:val="24"/>
          <w:highlight w:val="none"/>
          <w:lang w:val="zh-CN"/>
        </w:rPr>
        <w:t>持续保险</w:t>
      </w:r>
      <w:bookmarkEnd w:id="526"/>
    </w:p>
    <w:p w14:paraId="30537B41">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承包人应与保险人保持联系，使保险人能够随时了解工程实施中的变动，并确保按保险合同条款要求持续保险。在整个合同期内，承包人应按合同条款规定保证足够的保险额。</w:t>
      </w:r>
    </w:p>
    <w:p w14:paraId="35443D1D">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7" w:name="_Toc26635"/>
      <w:r>
        <w:rPr>
          <w:rFonts w:hint="eastAsia" w:ascii="宋体" w:hAnsi="宋体" w:eastAsia="宋体" w:cs="宋体"/>
          <w:color w:val="auto"/>
          <w:sz w:val="24"/>
          <w:highlight w:val="none"/>
        </w:rPr>
        <w:t xml:space="preserve">20.6.4 </w:t>
      </w:r>
      <w:r>
        <w:rPr>
          <w:rFonts w:hint="eastAsia" w:ascii="宋体" w:hAnsi="宋体" w:eastAsia="宋体" w:cs="宋体"/>
          <w:color w:val="auto"/>
          <w:sz w:val="24"/>
          <w:highlight w:val="none"/>
          <w:lang w:val="zh-CN"/>
        </w:rPr>
        <w:t>保险金不足的补偿</w:t>
      </w:r>
      <w:bookmarkEnd w:id="527"/>
    </w:p>
    <w:p w14:paraId="08C9EAF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保险金不足以补偿损失的（包括免赔额和超过赔偿限额的部分），应由承包人和（或）发包人按合同约定负责补偿。</w:t>
      </w:r>
    </w:p>
    <w:p w14:paraId="21CE0413">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28" w:name="_Toc698"/>
      <w:r>
        <w:rPr>
          <w:rFonts w:hint="eastAsia" w:ascii="宋体" w:hAnsi="宋体" w:eastAsia="宋体" w:cs="宋体"/>
          <w:color w:val="auto"/>
          <w:sz w:val="24"/>
          <w:highlight w:val="none"/>
        </w:rPr>
        <w:t>20.6.5</w:t>
      </w:r>
      <w:r>
        <w:rPr>
          <w:rFonts w:hint="eastAsia" w:ascii="宋体" w:hAnsi="宋体" w:eastAsia="宋体" w:cs="宋体"/>
          <w:color w:val="auto"/>
          <w:sz w:val="24"/>
          <w:highlight w:val="none"/>
          <w:lang w:val="zh-CN"/>
        </w:rPr>
        <w:t>未按约定投保的补救</w:t>
      </w:r>
      <w:bookmarkEnd w:id="528"/>
    </w:p>
    <w:p w14:paraId="3D00F99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）由于负有投保义务的一方当事人未按合同约定办理保险，或未能使保险持续有效的，另一方当事人可代为办理，所需费用由对方当事人承担。</w:t>
      </w:r>
    </w:p>
    <w:p w14:paraId="6CC30560">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6B00E280">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29" w:name="_Toc11245"/>
      <w:r>
        <w:rPr>
          <w:rFonts w:hint="eastAsia" w:ascii="宋体" w:hAnsi="宋体" w:eastAsia="宋体" w:cs="宋体"/>
          <w:color w:val="auto"/>
          <w:sz w:val="24"/>
          <w:highlight w:val="none"/>
        </w:rPr>
        <w:t xml:space="preserve">20.6.6 </w:t>
      </w:r>
      <w:r>
        <w:rPr>
          <w:rFonts w:hint="eastAsia" w:ascii="宋体" w:hAnsi="宋体" w:eastAsia="宋体" w:cs="宋体"/>
          <w:color w:val="auto"/>
          <w:sz w:val="24"/>
          <w:highlight w:val="none"/>
          <w:lang w:val="zh-CN"/>
        </w:rPr>
        <w:t>报告义务</w:t>
      </w:r>
      <w:bookmarkEnd w:id="529"/>
    </w:p>
    <w:p w14:paraId="1D615760">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当保险事故发生时，投保人应按照保险单规定的条件和期限及时向保险人报告。</w:t>
      </w:r>
    </w:p>
    <w:p w14:paraId="06A70D8E">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530" w:name="_Toc9859"/>
      <w:r>
        <w:rPr>
          <w:rFonts w:hint="eastAsia" w:ascii="宋体" w:hAnsi="宋体" w:eastAsia="宋体" w:cs="宋体"/>
          <w:b/>
          <w:color w:val="auto"/>
          <w:sz w:val="24"/>
          <w:highlight w:val="none"/>
        </w:rPr>
        <w:t>21.</w:t>
      </w:r>
      <w:r>
        <w:rPr>
          <w:rFonts w:hint="eastAsia" w:ascii="宋体" w:hAnsi="宋体" w:eastAsia="宋体" w:cs="宋体"/>
          <w:b/>
          <w:color w:val="auto"/>
          <w:sz w:val="24"/>
          <w:highlight w:val="none"/>
          <w:lang w:val="zh-CN"/>
        </w:rPr>
        <w:t>不可抗力</w:t>
      </w:r>
      <w:bookmarkEnd w:id="530"/>
    </w:p>
    <w:p w14:paraId="01F71198">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31" w:name="_Toc6207"/>
      <w:r>
        <w:rPr>
          <w:rFonts w:hint="eastAsia" w:ascii="宋体" w:hAnsi="宋体" w:eastAsia="宋体" w:cs="宋体"/>
          <w:color w:val="auto"/>
          <w:sz w:val="24"/>
          <w:highlight w:val="none"/>
        </w:rPr>
        <w:t>21.1</w:t>
      </w:r>
      <w:r>
        <w:rPr>
          <w:rFonts w:hint="eastAsia" w:ascii="宋体" w:hAnsi="宋体" w:eastAsia="宋体" w:cs="宋体"/>
          <w:color w:val="auto"/>
          <w:sz w:val="24"/>
          <w:highlight w:val="none"/>
          <w:lang w:val="zh-CN"/>
        </w:rPr>
        <w:t>不可抗力的确认</w:t>
      </w:r>
      <w:bookmarkEnd w:id="531"/>
    </w:p>
    <w:p w14:paraId="524AABF4">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21.1.1</w:t>
      </w:r>
      <w:r>
        <w:rPr>
          <w:rFonts w:hint="eastAsia" w:ascii="宋体" w:hAnsi="宋体" w:eastAsia="宋体" w:cs="宋体"/>
          <w:color w:val="auto"/>
          <w:sz w:val="24"/>
          <w:highlight w:val="none"/>
          <w:lang w:val="zh-CN"/>
        </w:rPr>
        <w:t>不可抗力是指承包人和发包人在订立合同时不可预见，在工程施工过程中不可避免发生并不能克服的自然灾害和社会性突发事件。包括但不限于：</w:t>
      </w:r>
    </w:p>
    <w:p w14:paraId="53BD354C">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）地震、海啸、火山爆发、泥石流、暴雨（雪）、台风、龙卷风、水灾等自然灾害；</w:t>
      </w:r>
    </w:p>
    <w:p w14:paraId="6B975EF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）战争、骚乱、暴动，但纯属承包人或其分包人派遣与雇用的人员由于本合同工程施工原因引起者除外；</w:t>
      </w:r>
    </w:p>
    <w:p w14:paraId="46FE2E23">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32" w:name="_Toc24693"/>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）核反应、辐射或放射性污染；</w:t>
      </w:r>
      <w:bookmarkEnd w:id="532"/>
    </w:p>
    <w:p w14:paraId="124984D8">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）空中飞行物体坠落或非发包人或承包人责任造成的爆炸、火灾；</w:t>
      </w:r>
    </w:p>
    <w:p w14:paraId="6A2FB12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）瘟疫；</w:t>
      </w:r>
    </w:p>
    <w:p w14:paraId="6F34EC13">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）项目专用合同条款约定的其他情形。</w:t>
      </w:r>
    </w:p>
    <w:p w14:paraId="246FFC73">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21.1.2 </w:t>
      </w:r>
      <w:r>
        <w:rPr>
          <w:rFonts w:hint="eastAsia" w:ascii="宋体" w:hAnsi="宋体" w:eastAsia="宋体" w:cs="宋体"/>
          <w:color w:val="auto"/>
          <w:sz w:val="24"/>
          <w:highlight w:val="none"/>
          <w:lang w:val="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款商定或确定。发生争议时，按第</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zh-CN"/>
        </w:rPr>
        <w:t>条的约定办理。</w:t>
      </w:r>
    </w:p>
    <w:p w14:paraId="053A2B1F">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33" w:name="_Toc20866"/>
      <w:r>
        <w:rPr>
          <w:rFonts w:hint="eastAsia" w:ascii="宋体" w:hAnsi="宋体" w:eastAsia="宋体" w:cs="宋体"/>
          <w:color w:val="auto"/>
          <w:sz w:val="24"/>
          <w:highlight w:val="none"/>
        </w:rPr>
        <w:t>21.3</w:t>
      </w:r>
      <w:r>
        <w:rPr>
          <w:rFonts w:hint="eastAsia" w:ascii="宋体" w:hAnsi="宋体" w:eastAsia="宋体" w:cs="宋体"/>
          <w:color w:val="auto"/>
          <w:sz w:val="24"/>
          <w:highlight w:val="none"/>
          <w:lang w:val="zh-CN"/>
        </w:rPr>
        <w:t>不可抗力后果及其处理</w:t>
      </w:r>
      <w:bookmarkEnd w:id="533"/>
    </w:p>
    <w:p w14:paraId="2B94FD6A">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34" w:name="_Toc3515"/>
      <w:r>
        <w:rPr>
          <w:rFonts w:hint="eastAsia" w:ascii="宋体" w:hAnsi="宋体" w:eastAsia="宋体" w:cs="宋体"/>
          <w:color w:val="auto"/>
          <w:sz w:val="24"/>
          <w:highlight w:val="none"/>
        </w:rPr>
        <w:t xml:space="preserve">21.3.1 </w:t>
      </w:r>
      <w:r>
        <w:rPr>
          <w:rFonts w:hint="eastAsia" w:ascii="宋体" w:hAnsi="宋体" w:eastAsia="宋体" w:cs="宋体"/>
          <w:color w:val="auto"/>
          <w:sz w:val="24"/>
          <w:highlight w:val="none"/>
          <w:lang w:val="zh-CN"/>
        </w:rPr>
        <w:t>不可抗力造成损害的责任</w:t>
      </w:r>
      <w:bookmarkEnd w:id="534"/>
    </w:p>
    <w:p w14:paraId="5EAF6CCA">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除专用合同条款另有约定外，不可抗力导致的人员伤亡、财产损失、费用增加和（或）工期延误等后果，由合同双方按以下原则承担：</w:t>
      </w:r>
    </w:p>
    <w:p w14:paraId="7312D03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）永久工程，包括已运至施工场地的材料和工程设备的损害，以及因工程损害造成的第三者人员伤亡和财产损失由发包人承担；</w:t>
      </w:r>
    </w:p>
    <w:p w14:paraId="0B401B24">
      <w:pPr>
        <w:autoSpaceDE w:val="0"/>
        <w:autoSpaceDN w:val="0"/>
        <w:adjustRightInd w:val="0"/>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）承包人设备的损坏由承包人承担；</w:t>
      </w:r>
    </w:p>
    <w:p w14:paraId="74485967">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）发包人和承包人各自承担其人员伤亡和其他财产损失及其相关费用；</w:t>
      </w:r>
    </w:p>
    <w:p w14:paraId="6ACBC9C6">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）承包人的停工损失由承包人承担，但停工期间应监理人要求照管工程和清理、修复工程的金额由发包人承担；</w:t>
      </w:r>
    </w:p>
    <w:p w14:paraId="5E7144B6">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）不能按期竣工的，应合理延长工期，承包人不需支付逾期竣工违约金。发包人要求赶工的，承包人应采取赶工措施，赶工费用由发包人承担。</w:t>
      </w:r>
    </w:p>
    <w:p w14:paraId="1A422764">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35" w:name="_Toc9635"/>
      <w:r>
        <w:rPr>
          <w:rFonts w:hint="eastAsia" w:ascii="宋体" w:hAnsi="宋体" w:eastAsia="宋体" w:cs="宋体"/>
          <w:color w:val="auto"/>
          <w:sz w:val="24"/>
          <w:highlight w:val="none"/>
        </w:rPr>
        <w:t xml:space="preserve">21.3.2 </w:t>
      </w:r>
      <w:r>
        <w:rPr>
          <w:rFonts w:hint="eastAsia" w:ascii="宋体" w:hAnsi="宋体" w:eastAsia="宋体" w:cs="宋体"/>
          <w:color w:val="auto"/>
          <w:sz w:val="24"/>
          <w:highlight w:val="none"/>
          <w:lang w:val="zh-CN"/>
        </w:rPr>
        <w:t>延迟履行期间发生的不可抗力</w:t>
      </w:r>
      <w:bookmarkEnd w:id="535"/>
    </w:p>
    <w:p w14:paraId="7384263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合同一方当事人延迟履行，在延迟履行期间发生不可抗力的，不免除其责任。</w:t>
      </w:r>
    </w:p>
    <w:p w14:paraId="0E271B93">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36" w:name="_Toc18466"/>
      <w:r>
        <w:rPr>
          <w:rFonts w:hint="eastAsia" w:ascii="宋体" w:hAnsi="宋体" w:eastAsia="宋体" w:cs="宋体"/>
          <w:color w:val="auto"/>
          <w:sz w:val="24"/>
          <w:highlight w:val="none"/>
        </w:rPr>
        <w:t xml:space="preserve">21.3.3 </w:t>
      </w:r>
      <w:r>
        <w:rPr>
          <w:rFonts w:hint="eastAsia" w:ascii="宋体" w:hAnsi="宋体" w:eastAsia="宋体" w:cs="宋体"/>
          <w:color w:val="auto"/>
          <w:sz w:val="24"/>
          <w:highlight w:val="none"/>
          <w:lang w:val="zh-CN"/>
        </w:rPr>
        <w:t>避免和减少不可抗力损失</w:t>
      </w:r>
      <w:bookmarkEnd w:id="536"/>
    </w:p>
    <w:p w14:paraId="53857CB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不可抗力发生后，发包人和承包人均应采取措施尽量避免和减少损失的扩大，任何一方没有采取有效措施导致损失扩大的，应对扩大的损失承担责任。</w:t>
      </w:r>
    </w:p>
    <w:p w14:paraId="6C91E5A2">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37" w:name="_Toc29233"/>
      <w:r>
        <w:rPr>
          <w:rFonts w:hint="eastAsia" w:ascii="宋体" w:hAnsi="宋体" w:eastAsia="宋体" w:cs="宋体"/>
          <w:color w:val="auto"/>
          <w:sz w:val="24"/>
          <w:highlight w:val="none"/>
        </w:rPr>
        <w:t>21.3.4</w:t>
      </w:r>
      <w:r>
        <w:rPr>
          <w:rFonts w:hint="eastAsia" w:ascii="宋体" w:hAnsi="宋体" w:eastAsia="宋体" w:cs="宋体"/>
          <w:color w:val="auto"/>
          <w:sz w:val="24"/>
          <w:highlight w:val="none"/>
          <w:lang w:val="zh-CN"/>
        </w:rPr>
        <w:t>因不司抗力解除合同</w:t>
      </w:r>
      <w:bookmarkEnd w:id="537"/>
    </w:p>
    <w:p w14:paraId="39A74998">
      <w:pPr>
        <w:autoSpaceDE w:val="0"/>
        <w:autoSpaceDN w:val="0"/>
        <w:adjustRightInd w:val="0"/>
        <w:spacing w:line="360" w:lineRule="auto"/>
        <w:ind w:firstLine="560"/>
        <w:rPr>
          <w:rFonts w:hint="eastAsia" w:ascii="宋体" w:hAnsi="宋体" w:eastAsia="宋体" w:cs="宋体"/>
          <w:color w:val="auto"/>
          <w:spacing w:val="-6"/>
          <w:sz w:val="24"/>
          <w:highlight w:val="none"/>
          <w:lang w:val="zh-CN"/>
        </w:rPr>
      </w:pPr>
      <w:r>
        <w:rPr>
          <w:rFonts w:hint="eastAsia" w:ascii="宋体" w:hAnsi="宋体" w:eastAsia="宋体" w:cs="宋体"/>
          <w:color w:val="auto"/>
          <w:sz w:val="24"/>
          <w:highlight w:val="none"/>
          <w:lang w:val="zh-CN"/>
        </w:rPr>
        <w:t>合同一方当事人因不可抗力不能履行合同的，应当及时通知对方解除合同。合同解除后，承包人应按照第</w:t>
      </w:r>
      <w:r>
        <w:rPr>
          <w:rFonts w:hint="eastAsia" w:ascii="宋体" w:hAnsi="宋体" w:eastAsia="宋体" w:cs="宋体"/>
          <w:color w:val="auto"/>
          <w:sz w:val="24"/>
          <w:highlight w:val="none"/>
        </w:rPr>
        <w:t>22.2.5</w:t>
      </w:r>
      <w:r>
        <w:rPr>
          <w:rFonts w:hint="eastAsia" w:ascii="宋体" w:hAnsi="宋体" w:eastAsia="宋体" w:cs="宋体"/>
          <w:color w:val="auto"/>
          <w:sz w:val="24"/>
          <w:highlight w:val="none"/>
          <w:lang w:val="zh-CN"/>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hint="eastAsia" w:ascii="宋体" w:hAnsi="宋体" w:eastAsia="宋体" w:cs="宋体"/>
          <w:color w:val="auto"/>
          <w:sz w:val="24"/>
          <w:highlight w:val="none"/>
        </w:rPr>
        <w:t>22.2.4</w:t>
      </w:r>
      <w:r>
        <w:rPr>
          <w:rFonts w:hint="eastAsia" w:ascii="宋体" w:hAnsi="宋体" w:eastAsia="宋体" w:cs="宋体"/>
          <w:color w:val="auto"/>
          <w:spacing w:val="-6"/>
          <w:sz w:val="24"/>
          <w:highlight w:val="none"/>
          <w:lang w:val="zh-CN"/>
        </w:rPr>
        <w:t>项约定，由监理人按第3.5款商定或确定，但由于解除合同应赔偿的承包人损失不予考虑。</w:t>
      </w:r>
    </w:p>
    <w:p w14:paraId="7472575D">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538" w:name="_Toc31053"/>
      <w:r>
        <w:rPr>
          <w:rFonts w:hint="eastAsia" w:ascii="宋体" w:hAnsi="宋体" w:eastAsia="宋体" w:cs="宋体"/>
          <w:b/>
          <w:color w:val="auto"/>
          <w:sz w:val="24"/>
          <w:highlight w:val="none"/>
          <w:lang w:val="zh-CN"/>
        </w:rPr>
        <w:t>22.违约</w:t>
      </w:r>
      <w:bookmarkEnd w:id="538"/>
    </w:p>
    <w:p w14:paraId="5D65889F">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39" w:name="_Toc3789"/>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val="zh-CN"/>
        </w:rPr>
        <w:t>承包人违约</w:t>
      </w:r>
      <w:bookmarkEnd w:id="539"/>
    </w:p>
    <w:p w14:paraId="47E57DAA">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22.1.1</w:t>
      </w:r>
      <w:r>
        <w:rPr>
          <w:rFonts w:hint="eastAsia" w:ascii="宋体" w:hAnsi="宋体" w:eastAsia="宋体" w:cs="宋体"/>
          <w:color w:val="auto"/>
          <w:sz w:val="24"/>
          <w:highlight w:val="none"/>
          <w:lang w:val="zh-CN"/>
        </w:rPr>
        <w:t>承包人违约的情形</w:t>
      </w:r>
    </w:p>
    <w:p w14:paraId="2A2E68B8">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22.1.1</w:t>
      </w:r>
      <w:r>
        <w:rPr>
          <w:rFonts w:hint="eastAsia" w:ascii="宋体" w:hAnsi="宋体" w:eastAsia="宋体" w:cs="宋体"/>
          <w:color w:val="auto"/>
          <w:sz w:val="24"/>
          <w:highlight w:val="none"/>
          <w:lang w:val="zh-CN"/>
        </w:rPr>
        <w:t>承包人违约的情形</w:t>
      </w:r>
    </w:p>
    <w:p w14:paraId="1453622F">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在履行合同过程中发生的下列情况属承包人违约：</w:t>
      </w:r>
    </w:p>
    <w:p w14:paraId="6E6D3F81">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）承包人违反第</w:t>
      </w:r>
      <w:r>
        <w:rPr>
          <w:rFonts w:hint="eastAsia" w:ascii="宋体" w:hAnsi="宋体" w:eastAsia="宋体" w:cs="宋体"/>
          <w:color w:val="auto"/>
          <w:sz w:val="24"/>
          <w:highlight w:val="none"/>
        </w:rPr>
        <w:t>1.8</w:t>
      </w:r>
      <w:r>
        <w:rPr>
          <w:rFonts w:hint="eastAsia" w:ascii="宋体" w:hAnsi="宋体" w:eastAsia="宋体" w:cs="宋体"/>
          <w:color w:val="auto"/>
          <w:sz w:val="24"/>
          <w:highlight w:val="none"/>
          <w:lang w:val="zh-CN"/>
        </w:rPr>
        <w:t>款或第</w:t>
      </w:r>
      <w:r>
        <w:rPr>
          <w:rFonts w:hint="eastAsia" w:ascii="宋体" w:hAnsi="宋体" w:eastAsia="宋体" w:cs="宋体"/>
          <w:color w:val="auto"/>
          <w:sz w:val="24"/>
          <w:highlight w:val="none"/>
        </w:rPr>
        <w:t>4.3</w:t>
      </w:r>
      <w:r>
        <w:rPr>
          <w:rFonts w:hint="eastAsia" w:ascii="宋体" w:hAnsi="宋体" w:eastAsia="宋体" w:cs="宋体"/>
          <w:color w:val="auto"/>
          <w:sz w:val="24"/>
          <w:highlight w:val="none"/>
          <w:lang w:val="zh-CN"/>
        </w:rPr>
        <w:t>款的约定，私自将合同的全部或部分权利转让给其他人，或私自将合同的全部或部分义务转移给其他人；</w:t>
      </w:r>
    </w:p>
    <w:p w14:paraId="40B32537">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）承包人违反第</w:t>
      </w:r>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val="zh-CN"/>
        </w:rPr>
        <w:t>款或第</w:t>
      </w:r>
      <w:r>
        <w:rPr>
          <w:rFonts w:hint="eastAsia" w:ascii="宋体" w:hAnsi="宋体" w:eastAsia="宋体" w:cs="宋体"/>
          <w:color w:val="auto"/>
          <w:sz w:val="24"/>
          <w:highlight w:val="none"/>
        </w:rPr>
        <w:t>6.4</w:t>
      </w:r>
      <w:r>
        <w:rPr>
          <w:rFonts w:hint="eastAsia" w:ascii="宋体" w:hAnsi="宋体" w:eastAsia="宋体" w:cs="宋体"/>
          <w:color w:val="auto"/>
          <w:sz w:val="24"/>
          <w:highlight w:val="none"/>
          <w:lang w:val="zh-CN"/>
        </w:rPr>
        <w:t>款的约定，未经监理人批准，私自将已按合同约定进入施工场地的施工设备、临时设施、材料或工程设备撤离施工场地；</w:t>
      </w:r>
    </w:p>
    <w:p w14:paraId="1B704380">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）承包人违反第</w:t>
      </w:r>
      <w:r>
        <w:rPr>
          <w:rFonts w:hint="eastAsia" w:ascii="宋体" w:hAnsi="宋体" w:eastAsia="宋体" w:cs="宋体"/>
          <w:color w:val="auto"/>
          <w:sz w:val="24"/>
          <w:highlight w:val="none"/>
        </w:rPr>
        <w:t>5.4</w:t>
      </w:r>
      <w:r>
        <w:rPr>
          <w:rFonts w:hint="eastAsia" w:ascii="宋体" w:hAnsi="宋体" w:eastAsia="宋体" w:cs="宋体"/>
          <w:color w:val="auto"/>
          <w:sz w:val="24"/>
          <w:highlight w:val="none"/>
          <w:lang w:val="zh-CN"/>
        </w:rPr>
        <w:t>款的约定使用了不合格材料或工程设备，工程质量达不到标准要求，又拒绝清除不合格工程；</w:t>
      </w:r>
    </w:p>
    <w:p w14:paraId="038B1D2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）承包人未能按合同进度计划及时完成合同约定的工作，已造成或预期造成工期延误；</w:t>
      </w:r>
    </w:p>
    <w:p w14:paraId="5FC2D02B">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）承包人在缺陷责任期内，未能对工程接收证书所列的缺陷清单的内容或缺陷责任期内发生的缺陷进行修复，而又拒绝按监理人指示再进行修补；</w:t>
      </w:r>
    </w:p>
    <w:p w14:paraId="408635E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）承包人无法继续履行或明确表示不履行或实质上已停止履行合同；</w:t>
      </w:r>
    </w:p>
    <w:p w14:paraId="56368CF1">
      <w:pPr>
        <w:autoSpaceDE w:val="0"/>
        <w:autoSpaceDN w:val="0"/>
        <w:adjustRightInd w:val="0"/>
        <w:spacing w:line="360" w:lineRule="auto"/>
        <w:ind w:firstLine="360" w:firstLineChars="150"/>
        <w:outlineLvl w:val="9"/>
        <w:rPr>
          <w:rFonts w:hint="eastAsia" w:ascii="宋体" w:hAnsi="宋体" w:eastAsia="宋体" w:cs="宋体"/>
          <w:color w:val="auto"/>
          <w:sz w:val="24"/>
          <w:highlight w:val="none"/>
        </w:rPr>
      </w:pPr>
      <w:bookmarkStart w:id="540" w:name="_Toc14927"/>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）承包人未能按期开工．</w:t>
      </w:r>
      <w:bookmarkEnd w:id="540"/>
    </w:p>
    <w:p w14:paraId="66D13B42">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）承包人违反第</w:t>
      </w:r>
      <w:r>
        <w:rPr>
          <w:rFonts w:hint="eastAsia" w:ascii="宋体" w:hAnsi="宋体" w:eastAsia="宋体" w:cs="宋体"/>
          <w:color w:val="auto"/>
          <w:sz w:val="24"/>
          <w:highlight w:val="none"/>
        </w:rPr>
        <w:t>4.6</w:t>
      </w:r>
      <w:r>
        <w:rPr>
          <w:rFonts w:hint="eastAsia" w:ascii="宋体" w:hAnsi="宋体" w:eastAsia="宋体" w:cs="宋体"/>
          <w:color w:val="auto"/>
          <w:sz w:val="24"/>
          <w:highlight w:val="none"/>
          <w:lang w:val="zh-CN"/>
        </w:rPr>
        <w:t>款或</w:t>
      </w:r>
      <w:r>
        <w:rPr>
          <w:rFonts w:hint="eastAsia" w:ascii="宋体" w:hAnsi="宋体" w:eastAsia="宋体" w:cs="宋体"/>
          <w:color w:val="auto"/>
          <w:sz w:val="24"/>
          <w:highlight w:val="none"/>
        </w:rPr>
        <w:t>6.3</w:t>
      </w:r>
      <w:r>
        <w:rPr>
          <w:rFonts w:hint="eastAsia" w:ascii="宋体" w:hAnsi="宋体" w:eastAsia="宋体" w:cs="宋体"/>
          <w:color w:val="auto"/>
          <w:sz w:val="24"/>
          <w:highlight w:val="none"/>
          <w:lang w:val="zh-CN"/>
        </w:rPr>
        <w:t>款的规定，未按承诺或未按监理人的要求及时配备称职的主要管理人员、技术骨干或关键施工设备；</w:t>
      </w:r>
    </w:p>
    <w:p w14:paraId="2814827D">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zh-CN"/>
        </w:rPr>
        <w:t>）经监理人和发包人检查，发现承包人有安全问题或有违反安全管理规章制度的情况；</w:t>
      </w:r>
    </w:p>
    <w:p w14:paraId="75128AA8">
      <w:pPr>
        <w:autoSpaceDE w:val="0"/>
        <w:autoSpaceDN w:val="0"/>
        <w:adjustRightInd w:val="0"/>
        <w:spacing w:line="360" w:lineRule="auto"/>
        <w:ind w:firstLine="360" w:firstLineChars="150"/>
        <w:outlineLvl w:val="9"/>
        <w:rPr>
          <w:rFonts w:hint="eastAsia" w:ascii="宋体" w:hAnsi="宋体" w:eastAsia="宋体" w:cs="宋体"/>
          <w:color w:val="auto"/>
          <w:sz w:val="24"/>
          <w:highlight w:val="none"/>
        </w:rPr>
      </w:pPr>
      <w:bookmarkStart w:id="541" w:name="_Toc32439"/>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）承包人不按合同约定履行义务的其他情况。</w:t>
      </w:r>
      <w:bookmarkEnd w:id="541"/>
    </w:p>
    <w:p w14:paraId="63C0928E">
      <w:pPr>
        <w:autoSpaceDE w:val="0"/>
        <w:autoSpaceDN w:val="0"/>
        <w:adjustRightInd w:val="0"/>
        <w:spacing w:line="360" w:lineRule="auto"/>
        <w:ind w:firstLine="5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22.1.2</w:t>
      </w:r>
      <w:r>
        <w:rPr>
          <w:rFonts w:hint="eastAsia" w:ascii="宋体" w:hAnsi="宋体" w:eastAsia="宋体" w:cs="宋体"/>
          <w:color w:val="auto"/>
          <w:sz w:val="24"/>
          <w:highlight w:val="none"/>
          <w:lang w:val="zh-CN"/>
        </w:rPr>
        <w:t>对承包人违约的处理</w:t>
      </w:r>
    </w:p>
    <w:p w14:paraId="7940E054">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）承包人发生第</w:t>
      </w:r>
      <w:r>
        <w:rPr>
          <w:rFonts w:hint="eastAsia" w:ascii="宋体" w:hAnsi="宋体" w:eastAsia="宋体" w:cs="宋体"/>
          <w:color w:val="auto"/>
          <w:sz w:val="24"/>
          <w:highlight w:val="none"/>
        </w:rPr>
        <w:t>22.1.1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）目约定的违约情况时，发包人可通知承包人立即解除合同，并按有关法律处理。</w:t>
      </w:r>
    </w:p>
    <w:p w14:paraId="74C85C23">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）承包人发生除第</w:t>
      </w:r>
      <w:r>
        <w:rPr>
          <w:rFonts w:hint="eastAsia" w:ascii="宋体" w:hAnsi="宋体" w:eastAsia="宋体" w:cs="宋体"/>
          <w:color w:val="auto"/>
          <w:sz w:val="24"/>
          <w:highlight w:val="none"/>
        </w:rPr>
        <w:t>22.1.1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）目约定以外的其他违约情况时，监理人可向承包人发出整改通知，要求其在指定的期限内改正。承包人应承担其违约所引起的费用增加和（或）工期延误。</w:t>
      </w:r>
    </w:p>
    <w:p w14:paraId="17B0623E">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）经检查证明承包人已采取了有效措施纠正违约行为，具备复工条件的，可由监理人签发复工通知复工。</w:t>
      </w:r>
    </w:p>
    <w:p w14:paraId="33E6D4A9">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）承包人发生第</w:t>
      </w:r>
      <w:r>
        <w:rPr>
          <w:rFonts w:hint="eastAsia" w:ascii="宋体" w:hAnsi="宋体" w:eastAsia="宋体" w:cs="宋体"/>
          <w:color w:val="auto"/>
          <w:sz w:val="24"/>
          <w:highlight w:val="none"/>
        </w:rPr>
        <w:t>22.1.1</w:t>
      </w:r>
      <w:r>
        <w:rPr>
          <w:rFonts w:hint="eastAsia" w:ascii="宋体" w:hAnsi="宋体" w:eastAsia="宋体" w:cs="宋体"/>
          <w:color w:val="auto"/>
          <w:sz w:val="24"/>
          <w:highlight w:val="none"/>
          <w:lang w:val="zh-CN"/>
        </w:rPr>
        <w:t>项约定的违约情况时，无论发包人是否解除合同，发包人均有权向承包人扣以项目专用合同条款中规定的违约金，并由发包人将其违约行为上报省级交通主管部门，作为不良记录纳入公路建设市场信用信息管理系统。</w:t>
      </w:r>
    </w:p>
    <w:p w14:paraId="08C07900">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42" w:name="_Toc15332"/>
      <w:r>
        <w:rPr>
          <w:rFonts w:hint="eastAsia" w:ascii="宋体" w:hAnsi="宋体" w:eastAsia="宋体" w:cs="宋体"/>
          <w:color w:val="auto"/>
          <w:sz w:val="24"/>
          <w:highlight w:val="none"/>
        </w:rPr>
        <w:t xml:space="preserve">22.2 </w:t>
      </w:r>
      <w:r>
        <w:rPr>
          <w:rFonts w:hint="eastAsia" w:ascii="宋体" w:hAnsi="宋体" w:eastAsia="宋体" w:cs="宋体"/>
          <w:color w:val="auto"/>
          <w:sz w:val="24"/>
          <w:highlight w:val="none"/>
          <w:lang w:val="zh-CN"/>
        </w:rPr>
        <w:t>发包人违约</w:t>
      </w:r>
      <w:bookmarkEnd w:id="542"/>
    </w:p>
    <w:p w14:paraId="0627E55D">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43" w:name="_Toc1948"/>
      <w:r>
        <w:rPr>
          <w:rFonts w:hint="eastAsia" w:ascii="宋体" w:hAnsi="宋体" w:eastAsia="宋体" w:cs="宋体"/>
          <w:color w:val="auto"/>
          <w:sz w:val="24"/>
          <w:highlight w:val="none"/>
        </w:rPr>
        <w:t xml:space="preserve">22.2.1 </w:t>
      </w:r>
      <w:r>
        <w:rPr>
          <w:rFonts w:hint="eastAsia" w:ascii="宋体" w:hAnsi="宋体" w:eastAsia="宋体" w:cs="宋体"/>
          <w:color w:val="auto"/>
          <w:sz w:val="24"/>
          <w:highlight w:val="none"/>
          <w:lang w:val="zh-CN"/>
        </w:rPr>
        <w:t>发包人违约的情形</w:t>
      </w:r>
      <w:bookmarkEnd w:id="543"/>
    </w:p>
    <w:p w14:paraId="7C2A8194">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在履行合同过程中发生的下列情形，属发包人违约：</w:t>
      </w:r>
    </w:p>
    <w:p w14:paraId="60F5FDE5">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）发包人未能按合同约定支付预付款或合同价款，或拖延、拒绝批准付款申请和支付凭证，导致付款延误的；</w:t>
      </w:r>
    </w:p>
    <w:p w14:paraId="6FAE59C1">
      <w:pPr>
        <w:autoSpaceDE w:val="0"/>
        <w:autoSpaceDN w:val="0"/>
        <w:adjustRightInd w:val="0"/>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）发包人原因造成停工的；</w:t>
      </w:r>
    </w:p>
    <w:p w14:paraId="00FBB2A8">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（3）监理人无正当理由没有在约定期限内发出复工指示，导致承包人无法复工的；</w:t>
      </w:r>
    </w:p>
    <w:p w14:paraId="1C98D997">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）发包人无法继续履行或明确表示不履行或实质上已停止履行合同的；</w:t>
      </w:r>
    </w:p>
    <w:p w14:paraId="5DA9F7FB">
      <w:pPr>
        <w:autoSpaceDE w:val="0"/>
        <w:autoSpaceDN w:val="0"/>
        <w:adjustRightInd w:val="0"/>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）发包人不履行合同约定其他义务的。</w:t>
      </w:r>
    </w:p>
    <w:p w14:paraId="2295426B">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44" w:name="_Toc29546"/>
      <w:r>
        <w:rPr>
          <w:rFonts w:hint="eastAsia" w:ascii="宋体" w:hAnsi="宋体" w:eastAsia="宋体" w:cs="宋体"/>
          <w:color w:val="auto"/>
          <w:sz w:val="24"/>
          <w:highlight w:val="none"/>
        </w:rPr>
        <w:t>22.2.2</w:t>
      </w:r>
      <w:r>
        <w:rPr>
          <w:rFonts w:hint="eastAsia" w:ascii="宋体" w:hAnsi="宋体" w:eastAsia="宋体" w:cs="宋体"/>
          <w:color w:val="auto"/>
          <w:sz w:val="24"/>
          <w:highlight w:val="none"/>
          <w:lang w:val="zh-CN"/>
        </w:rPr>
        <w:t>承包人有权暂停施工</w:t>
      </w:r>
      <w:bookmarkEnd w:id="544"/>
    </w:p>
    <w:p w14:paraId="3BB71F0E">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发包人发生除第</w:t>
      </w:r>
      <w:r>
        <w:rPr>
          <w:rFonts w:hint="eastAsia" w:ascii="宋体" w:hAnsi="宋体" w:eastAsia="宋体" w:cs="宋体"/>
          <w:color w:val="auto"/>
          <w:sz w:val="24"/>
          <w:highlight w:val="none"/>
        </w:rPr>
        <w:t>22.2.1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）目以外的违约情况时，承包人可向发包人发出通知，要求发包人采取有效措施纠正违约行为。发包人收到承包人通知后的</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天内仍不履行合同义务，承包人有权暂停施工，并通知监理人，发包人应承担由此增加的费用和（或）工期延误，并支付承包人合理利润。</w:t>
      </w:r>
    </w:p>
    <w:p w14:paraId="48745E33">
      <w:pPr>
        <w:autoSpaceDE w:val="0"/>
        <w:autoSpaceDN w:val="0"/>
        <w:adjustRightInd w:val="0"/>
        <w:spacing w:line="360" w:lineRule="auto"/>
        <w:ind w:firstLine="420"/>
        <w:outlineLvl w:val="9"/>
        <w:rPr>
          <w:rFonts w:hint="eastAsia" w:ascii="宋体" w:hAnsi="宋体" w:eastAsia="宋体" w:cs="宋体"/>
          <w:color w:val="auto"/>
          <w:sz w:val="24"/>
          <w:highlight w:val="none"/>
        </w:rPr>
      </w:pPr>
      <w:bookmarkStart w:id="545" w:name="_Toc30992"/>
      <w:r>
        <w:rPr>
          <w:rFonts w:hint="eastAsia" w:ascii="宋体" w:hAnsi="宋体" w:eastAsia="宋体" w:cs="宋体"/>
          <w:color w:val="auto"/>
          <w:sz w:val="24"/>
          <w:highlight w:val="none"/>
        </w:rPr>
        <w:t>22.2.3</w:t>
      </w:r>
      <w:r>
        <w:rPr>
          <w:rFonts w:hint="eastAsia" w:ascii="宋体" w:hAnsi="宋体" w:eastAsia="宋体" w:cs="宋体"/>
          <w:color w:val="auto"/>
          <w:sz w:val="24"/>
          <w:highlight w:val="none"/>
          <w:lang w:val="zh-CN"/>
        </w:rPr>
        <w:t>发包人违约解除合同</w:t>
      </w:r>
      <w:bookmarkEnd w:id="545"/>
    </w:p>
    <w:p w14:paraId="41B62039">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）发生第</w:t>
      </w:r>
      <w:r>
        <w:rPr>
          <w:rFonts w:hint="eastAsia" w:ascii="宋体" w:hAnsi="宋体" w:eastAsia="宋体" w:cs="宋体"/>
          <w:color w:val="auto"/>
          <w:sz w:val="24"/>
          <w:highlight w:val="none"/>
        </w:rPr>
        <w:t>22.2.1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）目的违约情况时，承包人可书面通知发包人解除合同。</w:t>
      </w:r>
    </w:p>
    <w:p w14:paraId="0A1A8185">
      <w:pPr>
        <w:autoSpaceDE w:val="0"/>
        <w:autoSpaceDN w:val="0"/>
        <w:adjustRightInd w:val="0"/>
        <w:spacing w:line="360" w:lineRule="auto"/>
        <w:ind w:firstLine="718"/>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）承包人按</w:t>
      </w:r>
      <w:r>
        <w:rPr>
          <w:rFonts w:hint="eastAsia" w:ascii="宋体" w:hAnsi="宋体" w:eastAsia="宋体" w:cs="宋体"/>
          <w:color w:val="auto"/>
          <w:sz w:val="24"/>
          <w:highlight w:val="none"/>
        </w:rPr>
        <w:t>22.2.2</w:t>
      </w:r>
      <w:r>
        <w:rPr>
          <w:rFonts w:hint="eastAsia" w:ascii="宋体" w:hAnsi="宋体" w:eastAsia="宋体" w:cs="宋体"/>
          <w:color w:val="auto"/>
          <w:sz w:val="24"/>
          <w:highlight w:val="none"/>
          <w:lang w:val="zh-CN"/>
        </w:rPr>
        <w:t>项暂停施工</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天后，发包人仍不纠正违约行为的，承包人可向发包人发出解除合同通知。但承包人的这一行动不免除发包人承担的违约责任，也不影响承包人根据合同约定享有的索赔权利。</w:t>
      </w:r>
    </w:p>
    <w:p w14:paraId="1196635A">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46" w:name="_Toc11033"/>
      <w:r>
        <w:rPr>
          <w:rFonts w:hint="eastAsia" w:ascii="宋体" w:hAnsi="宋体" w:eastAsia="宋体" w:cs="宋体"/>
          <w:color w:val="auto"/>
          <w:sz w:val="24"/>
          <w:highlight w:val="none"/>
        </w:rPr>
        <w:t>22.2.4</w:t>
      </w:r>
      <w:r>
        <w:rPr>
          <w:rFonts w:hint="eastAsia" w:ascii="宋体" w:hAnsi="宋体" w:eastAsia="宋体" w:cs="宋体"/>
          <w:color w:val="auto"/>
          <w:sz w:val="24"/>
          <w:highlight w:val="none"/>
          <w:lang w:val="zh-CN"/>
        </w:rPr>
        <w:t>解除合同后的付款</w:t>
      </w:r>
      <w:bookmarkEnd w:id="546"/>
    </w:p>
    <w:p w14:paraId="18EC096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因发包人违约解除合同的，发包人应在解除合同后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天内向承包人支付下列金额，承包人应在此期限内及时向发包人提交要求支付下列金额的有关资料和凭证：</w:t>
      </w:r>
    </w:p>
    <w:p w14:paraId="1D0DF011">
      <w:pPr>
        <w:autoSpaceDE w:val="0"/>
        <w:autoSpaceDN w:val="0"/>
        <w:adjustRightIn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合同解除日以前所完成工作的价款</w:t>
      </w:r>
      <w:r>
        <w:rPr>
          <w:rFonts w:hint="eastAsia" w:ascii="宋体" w:hAnsi="宋体" w:eastAsia="宋体" w:cs="宋体"/>
          <w:color w:val="auto"/>
          <w:sz w:val="24"/>
          <w:highlight w:val="none"/>
        </w:rPr>
        <w:t>；</w:t>
      </w:r>
    </w:p>
    <w:p w14:paraId="0416AF2E">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）承包人为该工程施工订购并已付款的材料、工程设备和其他物品的金额。发包人付款后，该材料、工程设备和其他物品归发包人所有；</w:t>
      </w:r>
    </w:p>
    <w:p w14:paraId="2944A63C">
      <w:pPr>
        <w:autoSpaceDE w:val="0"/>
        <w:autoSpaceDN w:val="0"/>
        <w:adjustRightInd w:val="0"/>
        <w:spacing w:line="360" w:lineRule="auto"/>
        <w:ind w:firstLine="560"/>
        <w:outlineLvl w:val="3"/>
        <w:rPr>
          <w:rFonts w:hint="eastAsia" w:ascii="宋体" w:hAnsi="宋体" w:eastAsia="宋体" w:cs="宋体"/>
          <w:color w:val="auto"/>
          <w:sz w:val="24"/>
          <w:highlight w:val="none"/>
        </w:rPr>
      </w:pPr>
      <w:bookmarkStart w:id="547" w:name="_Toc20827"/>
      <w:r>
        <w:rPr>
          <w:rFonts w:hint="eastAsia" w:ascii="宋体" w:hAnsi="宋体" w:eastAsia="宋体" w:cs="宋体"/>
          <w:b/>
          <w:color w:val="auto"/>
          <w:sz w:val="24"/>
          <w:highlight w:val="none"/>
          <w:lang w:val="zh-CN"/>
        </w:rPr>
        <w:t>23.索赔</w:t>
      </w:r>
      <w:bookmarkEnd w:id="547"/>
    </w:p>
    <w:p w14:paraId="160B99DF">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val="zh-CN"/>
        </w:rPr>
        <w:t>承包人索赔的提出</w:t>
      </w:r>
    </w:p>
    <w:p w14:paraId="2D0A1AB1">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23.1 </w:t>
      </w:r>
      <w:r>
        <w:rPr>
          <w:rFonts w:hint="eastAsia" w:ascii="宋体" w:hAnsi="宋体" w:eastAsia="宋体" w:cs="宋体"/>
          <w:color w:val="auto"/>
          <w:sz w:val="24"/>
          <w:highlight w:val="none"/>
          <w:lang w:val="zh-CN"/>
        </w:rPr>
        <w:t>承包人索赔的提出</w:t>
      </w:r>
    </w:p>
    <w:p w14:paraId="40A9686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根据合同约定，承包人认为有权得到追加付款和（或）延长工期的，应按以下程序向发包人提出索赔：</w:t>
      </w:r>
    </w:p>
    <w:p w14:paraId="0CA31F7E">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）承包人应在知道或应当知道索赔事件发生后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天内，向监理人递交索赔意向通知书，并说明发生索赔事件的事由。承包人未在前述</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天内发出索赔意向通知书的，丧失要求追加付款和（或）延长工期的权利；</w:t>
      </w:r>
    </w:p>
    <w:p w14:paraId="002ACCDD">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）承包人应在发出索赔意向通知书后</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天内，向监理人正式递交索赔通知书。索赔通知书应详细说明索赔理由以及要求追加的付款金额和（或）延长的工期，并附必要的记录和证明材料；</w:t>
      </w:r>
    </w:p>
    <w:p w14:paraId="657E1E2C">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）索赔事件具有连续影响的，承包人应按合理时间间隔继续递交延续索赔通知，说明连续影响的实际情况和记录，列出累计的追加付款金额和（或）工期延长天数；</w:t>
      </w:r>
    </w:p>
    <w:p w14:paraId="3E9B94F7">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）在索赔事件影响结束后的</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天内，承包人应向监理人递交最终索赔通知书，说明最终要求索赔的追加付款金额和（或）延长的工期，并附必要的记录和证明材料。</w:t>
      </w:r>
    </w:p>
    <w:p w14:paraId="2F22102B">
      <w:pPr>
        <w:autoSpaceDE w:val="0"/>
        <w:autoSpaceDN w:val="0"/>
        <w:adjustRightInd w:val="0"/>
        <w:spacing w:line="360" w:lineRule="auto"/>
        <w:ind w:firstLine="560"/>
        <w:outlineLvl w:val="9"/>
        <w:rPr>
          <w:rFonts w:hint="eastAsia" w:ascii="宋体" w:hAnsi="宋体" w:eastAsia="宋体" w:cs="宋体"/>
          <w:color w:val="auto"/>
          <w:sz w:val="24"/>
          <w:highlight w:val="none"/>
        </w:rPr>
      </w:pPr>
      <w:bookmarkStart w:id="548" w:name="_Toc12671"/>
      <w:r>
        <w:rPr>
          <w:rFonts w:hint="eastAsia" w:ascii="宋体" w:hAnsi="宋体" w:eastAsia="宋体" w:cs="宋体"/>
          <w:color w:val="auto"/>
          <w:sz w:val="24"/>
          <w:highlight w:val="none"/>
        </w:rPr>
        <w:t>23.2</w:t>
      </w:r>
      <w:r>
        <w:rPr>
          <w:rFonts w:hint="eastAsia" w:ascii="宋体" w:hAnsi="宋体" w:eastAsia="宋体" w:cs="宋体"/>
          <w:color w:val="auto"/>
          <w:sz w:val="24"/>
          <w:highlight w:val="none"/>
          <w:lang w:val="zh-CN"/>
        </w:rPr>
        <w:t>承包人索赔处理程序</w:t>
      </w:r>
      <w:bookmarkEnd w:id="548"/>
    </w:p>
    <w:p w14:paraId="2BD14AA1">
      <w:pPr>
        <w:autoSpaceDE w:val="0"/>
        <w:autoSpaceDN w:val="0"/>
        <w:adjustRightInd w:val="0"/>
        <w:spacing w:line="360" w:lineRule="auto"/>
        <w:ind w:firstLine="35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）监理人收到承包人提交的索赔通知书后，应及时审查索赔通知书的内容、查验承包人的记录和证明材料，必要时监理人可要求承包人提交全部原始记录副本。</w:t>
      </w:r>
    </w:p>
    <w:p w14:paraId="03C9851D">
      <w:pPr>
        <w:autoSpaceDE w:val="0"/>
        <w:autoSpaceDN w:val="0"/>
        <w:adjustRightIn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）监理人应按第</w:t>
      </w: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zh-CN"/>
        </w:rPr>
        <w:t>款商定或确定追加的付款和（或）延长的工期，并在收到上述索赔通知书或有关索赔的进一步证明材料后的</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zh-CN"/>
        </w:rPr>
        <w:t>天内，将索赔处理结果报发包人批准后答复承包人。如果承包人提出的索赔要求未能遵守第</w:t>
      </w: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）项的规定，则承包人只限于索赔由监理人按当时记录予以核实的那部分款额和（或）工期延长天数。</w:t>
      </w:r>
    </w:p>
    <w:p w14:paraId="06B76745">
      <w:pPr>
        <w:autoSpaceDE w:val="0"/>
        <w:autoSpaceDN w:val="0"/>
        <w:adjustRightInd w:val="0"/>
        <w:spacing w:line="360" w:lineRule="auto"/>
        <w:ind w:firstLine="560"/>
        <w:outlineLvl w:val="3"/>
        <w:rPr>
          <w:rFonts w:hint="eastAsia" w:ascii="宋体" w:hAnsi="宋体" w:eastAsia="宋体" w:cs="宋体"/>
          <w:b/>
          <w:color w:val="auto"/>
          <w:sz w:val="24"/>
          <w:highlight w:val="none"/>
        </w:rPr>
      </w:pPr>
      <w:bookmarkStart w:id="549" w:name="_Toc12062"/>
      <w:bookmarkStart w:id="550" w:name="_Toc22654"/>
      <w:r>
        <w:rPr>
          <w:rFonts w:hint="eastAsia" w:ascii="宋体" w:hAnsi="宋体" w:eastAsia="宋体" w:cs="宋体"/>
          <w:b/>
          <w:color w:val="auto"/>
          <w:sz w:val="24"/>
          <w:highlight w:val="none"/>
        </w:rPr>
        <w:t>24.</w:t>
      </w:r>
      <w:r>
        <w:rPr>
          <w:rFonts w:hint="eastAsia" w:ascii="宋体" w:hAnsi="宋体" w:eastAsia="宋体" w:cs="宋体"/>
          <w:b/>
          <w:color w:val="auto"/>
          <w:sz w:val="24"/>
          <w:highlight w:val="none"/>
          <w:lang w:val="zh-CN"/>
        </w:rPr>
        <w:t>争议的解决</w:t>
      </w:r>
      <w:bookmarkEnd w:id="549"/>
      <w:bookmarkEnd w:id="550"/>
    </w:p>
    <w:p w14:paraId="1106656E">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51" w:name="_Toc17890"/>
      <w:r>
        <w:rPr>
          <w:rFonts w:hint="eastAsia" w:ascii="宋体" w:hAnsi="宋体" w:eastAsia="宋体" w:cs="宋体"/>
          <w:color w:val="auto"/>
          <w:sz w:val="24"/>
          <w:highlight w:val="none"/>
        </w:rPr>
        <w:t xml:space="preserve">24.1 </w:t>
      </w:r>
      <w:r>
        <w:rPr>
          <w:rFonts w:hint="eastAsia" w:ascii="宋体" w:hAnsi="宋体" w:eastAsia="宋体" w:cs="宋体"/>
          <w:color w:val="auto"/>
          <w:sz w:val="24"/>
          <w:highlight w:val="none"/>
          <w:lang w:val="zh-CN"/>
        </w:rPr>
        <w:t>争议的解决方式</w:t>
      </w:r>
      <w:bookmarkEnd w:id="551"/>
    </w:p>
    <w:p w14:paraId="5B148A4C">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发包人和承包人在履行合同中发生争议的，可以友好协商解决或者提请争议评审组评审。合同当事人友好协商解决不成、不愿提请争议评审或者不接受争议评审组意见的，可在专用合同条款中约定下列方式解决：向有管辖权的人民法院提起诉讼。</w:t>
      </w:r>
    </w:p>
    <w:p w14:paraId="7C9C3CE9">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52" w:name="_Toc25537"/>
      <w:r>
        <w:rPr>
          <w:rFonts w:hint="eastAsia" w:ascii="宋体" w:hAnsi="宋体" w:eastAsia="宋体" w:cs="宋体"/>
          <w:color w:val="auto"/>
          <w:sz w:val="24"/>
          <w:highlight w:val="none"/>
        </w:rPr>
        <w:t xml:space="preserve">24.2 </w:t>
      </w:r>
      <w:r>
        <w:rPr>
          <w:rFonts w:hint="eastAsia" w:ascii="宋体" w:hAnsi="宋体" w:eastAsia="宋体" w:cs="宋体"/>
          <w:color w:val="auto"/>
          <w:sz w:val="24"/>
          <w:highlight w:val="none"/>
          <w:lang w:val="zh-CN"/>
        </w:rPr>
        <w:t>友好解决</w:t>
      </w:r>
      <w:bookmarkEnd w:id="552"/>
    </w:p>
    <w:p w14:paraId="542F1747">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在提请争议评审、仲裁或者诉讼前，以及在争议评审、仲裁或诉讼过程中，发包人和承包人均可共同努力友好协商解决争议。</w:t>
      </w:r>
    </w:p>
    <w:p w14:paraId="6F3A6ABB">
      <w:pPr>
        <w:keepNext/>
        <w:keepLines/>
        <w:autoSpaceDE w:val="0"/>
        <w:autoSpaceDN w:val="0"/>
        <w:adjustRightInd w:val="0"/>
        <w:spacing w:line="360" w:lineRule="auto"/>
        <w:outlineLvl w:val="9"/>
        <w:rPr>
          <w:rFonts w:hint="eastAsia" w:ascii="宋体" w:hAnsi="宋体" w:eastAsia="宋体" w:cs="宋体"/>
          <w:color w:val="auto"/>
          <w:sz w:val="24"/>
          <w:highlight w:val="none"/>
        </w:rPr>
      </w:pPr>
      <w:bookmarkStart w:id="553" w:name="_Toc28785"/>
      <w:r>
        <w:rPr>
          <w:rFonts w:hint="eastAsia" w:ascii="宋体" w:hAnsi="宋体" w:eastAsia="宋体" w:cs="宋体"/>
          <w:color w:val="auto"/>
          <w:sz w:val="24"/>
          <w:highlight w:val="none"/>
        </w:rPr>
        <w:t xml:space="preserve">24.3 </w:t>
      </w:r>
      <w:r>
        <w:rPr>
          <w:rFonts w:hint="eastAsia" w:ascii="宋体" w:hAnsi="宋体" w:eastAsia="宋体" w:cs="宋体"/>
          <w:color w:val="auto"/>
          <w:sz w:val="24"/>
          <w:highlight w:val="none"/>
          <w:lang w:val="zh-CN"/>
        </w:rPr>
        <w:t>争议评审</w:t>
      </w:r>
      <w:bookmarkEnd w:id="553"/>
    </w:p>
    <w:p w14:paraId="51FE3F1B">
      <w:pPr>
        <w:autoSpaceDE w:val="0"/>
        <w:autoSpaceDN w:val="0"/>
        <w:adjustRightIn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24.3.1 </w:t>
      </w:r>
      <w:r>
        <w:rPr>
          <w:rFonts w:hint="eastAsia" w:ascii="宋体" w:hAnsi="宋体" w:eastAsia="宋体" w:cs="宋体"/>
          <w:color w:val="auto"/>
          <w:sz w:val="24"/>
          <w:highlight w:val="none"/>
          <w:lang w:val="zh-CN"/>
        </w:rPr>
        <w:t>采用争议评审的，发包人和承包人应在开工日后的</w:t>
      </w: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zh-CN"/>
        </w:rPr>
        <w:t>天内或在争议发生后，协商成立争议评审组。争议评审组由有合同管理和工程实践经验的专家组成。</w:t>
      </w:r>
    </w:p>
    <w:p w14:paraId="3B0D34EB">
      <w:pPr>
        <w:autoSpaceDE w:val="0"/>
        <w:autoSpaceDN w:val="0"/>
        <w:adjustRightInd w:val="0"/>
        <w:spacing w:line="360" w:lineRule="auto"/>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争议评审组由</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人或</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2DECC103">
      <w:pPr>
        <w:pStyle w:val="9"/>
        <w:jc w:val="center"/>
        <w:outlineLvl w:val="2"/>
        <w:rPr>
          <w:rFonts w:hint="eastAsia" w:ascii="宋体" w:hAnsi="宋体" w:eastAsia="宋体" w:cs="宋体"/>
          <w:color w:val="auto"/>
          <w:highlight w:val="none"/>
        </w:rPr>
      </w:pPr>
      <w:bookmarkStart w:id="554" w:name="_Toc3625"/>
      <w:bookmarkStart w:id="555" w:name="_Toc394045088"/>
      <w:bookmarkStart w:id="556" w:name="_Toc7808"/>
      <w:r>
        <w:rPr>
          <w:rFonts w:hint="eastAsia" w:ascii="宋体" w:hAnsi="宋体" w:eastAsia="宋体" w:cs="宋体"/>
          <w:color w:val="auto"/>
          <w:highlight w:val="none"/>
        </w:rPr>
        <w:t>B.项目专用合同条款</w:t>
      </w:r>
      <w:bookmarkEnd w:id="554"/>
      <w:bookmarkEnd w:id="555"/>
      <w:bookmarkEnd w:id="556"/>
    </w:p>
    <w:p w14:paraId="05250815">
      <w:pPr>
        <w:spacing w:line="360" w:lineRule="auto"/>
        <w:rPr>
          <w:rFonts w:hint="eastAsia" w:ascii="宋体" w:hAnsi="宋体" w:eastAsia="宋体" w:cs="宋体"/>
          <w:color w:val="auto"/>
          <w:sz w:val="24"/>
          <w:highlight w:val="none"/>
        </w:rPr>
      </w:pPr>
      <w:bookmarkStart w:id="557" w:name="_Toc398889633"/>
      <w:r>
        <w:rPr>
          <w:rFonts w:hint="eastAsia" w:ascii="宋体" w:hAnsi="宋体" w:eastAsia="宋体" w:cs="宋体"/>
          <w:color w:val="auto"/>
          <w:sz w:val="24"/>
          <w:highlight w:val="none"/>
        </w:rPr>
        <w:t>说明：</w:t>
      </w:r>
      <w:bookmarkEnd w:id="557"/>
    </w:p>
    <w:p w14:paraId="4E74C7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根据《公路工程标准施工招标文件》编制项目招标文件中的“项目专用合同条款”时，可根据本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54731C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2.项目专用合同条款的编号应与通用合同条款和公路工程专用合同条款一致。</w:t>
      </w:r>
    </w:p>
    <w:p w14:paraId="207C5363">
      <w:pPr>
        <w:spacing w:line="360" w:lineRule="auto"/>
        <w:ind w:firstLine="480" w:firstLineChars="200"/>
        <w:outlineLvl w:val="3"/>
        <w:rPr>
          <w:rFonts w:hint="eastAsia" w:ascii="宋体" w:hAnsi="宋体" w:eastAsia="宋体" w:cs="宋体"/>
          <w:color w:val="auto"/>
          <w:sz w:val="24"/>
          <w:highlight w:val="none"/>
        </w:rPr>
      </w:pPr>
      <w:bookmarkStart w:id="558" w:name="_Toc17822"/>
      <w:bookmarkStart w:id="559" w:name="_Toc18181"/>
      <w:r>
        <w:rPr>
          <w:rFonts w:hint="eastAsia" w:ascii="宋体" w:hAnsi="宋体" w:eastAsia="宋体" w:cs="宋体"/>
          <w:color w:val="auto"/>
          <w:sz w:val="24"/>
          <w:highlight w:val="none"/>
        </w:rPr>
        <w:t>3.项目专用合同条款可对下列内容进行补充和细化：</w:t>
      </w:r>
      <w:bookmarkEnd w:id="558"/>
      <w:bookmarkEnd w:id="559"/>
    </w:p>
    <w:p w14:paraId="265ABD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2930B3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5C9D52A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（3）其他需要补充、细化的内容。</w:t>
      </w:r>
    </w:p>
    <w:p w14:paraId="75FA953A">
      <w:pPr>
        <w:spacing w:line="360" w:lineRule="auto"/>
        <w:ind w:firstLine="480" w:firstLineChars="200"/>
        <w:rPr>
          <w:rFonts w:hint="eastAsia" w:ascii="宋体" w:hAnsi="宋体" w:eastAsia="宋体" w:cs="宋体"/>
          <w:color w:val="auto"/>
          <w:sz w:val="24"/>
          <w:highlight w:val="none"/>
        </w:rPr>
      </w:pPr>
    </w:p>
    <w:p w14:paraId="6F2B1C91">
      <w:pPr>
        <w:spacing w:line="360" w:lineRule="auto"/>
        <w:rPr>
          <w:rFonts w:hint="eastAsia" w:ascii="宋体" w:hAnsi="宋体" w:eastAsia="宋体" w:cs="宋体"/>
          <w:color w:val="auto"/>
          <w:sz w:val="24"/>
          <w:highlight w:val="none"/>
        </w:rPr>
        <w:sectPr>
          <w:footerReference r:id="rId17" w:type="first"/>
          <w:footerReference r:id="rId16" w:type="default"/>
          <w:headerReference r:id="rId15" w:type="even"/>
          <w:footnotePr>
            <w:numFmt w:val="decimalEnclosedCircleChinese"/>
            <w:numRestart w:val="eachPage"/>
          </w:footnotePr>
          <w:type w:val="continuous"/>
          <w:pgSz w:w="11907" w:h="16840"/>
          <w:pgMar w:top="1418" w:right="1418" w:bottom="1418" w:left="1418" w:header="851" w:footer="680" w:gutter="0"/>
          <w:pgNumType w:fmt="decimal"/>
          <w:cols w:space="720" w:num="1"/>
          <w:titlePg/>
          <w:rtlGutter w:val="1"/>
          <w:docGrid w:type="lines" w:linePitch="312" w:charSpace="0"/>
        </w:sectPr>
      </w:pPr>
    </w:p>
    <w:p w14:paraId="15B98FE1">
      <w:pPr>
        <w:spacing w:line="360" w:lineRule="auto"/>
        <w:jc w:val="center"/>
        <w:outlineLvl w:val="1"/>
        <w:rPr>
          <w:rFonts w:hint="eastAsia" w:ascii="宋体" w:hAnsi="宋体" w:eastAsia="宋体" w:cs="宋体"/>
          <w:b/>
          <w:color w:val="auto"/>
          <w:sz w:val="24"/>
          <w:highlight w:val="none"/>
        </w:rPr>
      </w:pPr>
      <w:bookmarkStart w:id="560" w:name="_Toc30565"/>
      <w:bookmarkStart w:id="561" w:name="_Toc6551"/>
      <w:r>
        <w:rPr>
          <w:rFonts w:hint="eastAsia" w:ascii="宋体" w:hAnsi="宋体" w:eastAsia="宋体" w:cs="宋体"/>
          <w:b/>
          <w:color w:val="auto"/>
          <w:kern w:val="44"/>
          <w:sz w:val="24"/>
          <w:highlight w:val="none"/>
        </w:rPr>
        <w:t>项目专用合同条款数据表</w:t>
      </w:r>
      <w:bookmarkEnd w:id="560"/>
      <w:bookmarkEnd w:id="561"/>
    </w:p>
    <w:p w14:paraId="202F57CA">
      <w:pPr>
        <w:spacing w:line="360" w:lineRule="auto"/>
        <w:rPr>
          <w:rFonts w:hint="eastAsia" w:ascii="宋体" w:hAnsi="宋体" w:eastAsia="宋体" w:cs="宋体"/>
          <w:color w:val="auto"/>
          <w:kern w:val="44"/>
          <w:sz w:val="24"/>
          <w:highlight w:val="none"/>
        </w:rPr>
      </w:pPr>
      <w:r>
        <w:rPr>
          <w:rFonts w:hint="eastAsia" w:ascii="宋体" w:hAnsi="宋体" w:eastAsia="宋体" w:cs="宋体"/>
          <w:color w:val="auto"/>
          <w:kern w:val="44"/>
          <w:sz w:val="24"/>
          <w:highlight w:val="none"/>
        </w:rPr>
        <w:t>说明：</w:t>
      </w:r>
      <w:r>
        <w:rPr>
          <w:rFonts w:hint="eastAsia" w:ascii="宋体" w:hAnsi="宋体" w:eastAsia="宋体" w:cs="宋体"/>
          <w:color w:val="auto"/>
          <w:sz w:val="24"/>
          <w:highlight w:val="none"/>
        </w:rPr>
        <w:t>本数据表是项目专用合同条款中适用于本项目的信息和数据的归纳与提示，是项目专用合同条款的组成部分</w:t>
      </w:r>
    </w:p>
    <w:tbl>
      <w:tblPr>
        <w:tblStyle w:val="49"/>
        <w:tblW w:w="0" w:type="auto"/>
        <w:tblInd w:w="-1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232"/>
        <w:gridCol w:w="7377"/>
      </w:tblGrid>
      <w:tr w14:paraId="2B751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84" w:type="dxa"/>
            <w:tcBorders>
              <w:top w:val="single" w:color="auto" w:sz="4" w:space="0"/>
              <w:bottom w:val="single" w:color="auto" w:sz="4" w:space="0"/>
              <w:right w:val="single" w:color="auto" w:sz="4" w:space="0"/>
            </w:tcBorders>
            <w:noWrap w:val="0"/>
            <w:vAlign w:val="center"/>
          </w:tcPr>
          <w:p w14:paraId="78BC3918">
            <w:pPr>
              <w:autoSpaceDE w:val="0"/>
              <w:autoSpaceDN w:val="0"/>
              <w:adjustRightInd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232" w:type="dxa"/>
            <w:tcBorders>
              <w:top w:val="single" w:color="auto" w:sz="4" w:space="0"/>
              <w:bottom w:val="single" w:color="auto" w:sz="4" w:space="0"/>
              <w:right w:val="single" w:color="auto" w:sz="4" w:space="0"/>
            </w:tcBorders>
            <w:noWrap w:val="0"/>
            <w:vAlign w:val="center"/>
          </w:tcPr>
          <w:p w14:paraId="719655C3">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条款号</w:t>
            </w:r>
          </w:p>
        </w:tc>
        <w:tc>
          <w:tcPr>
            <w:tcW w:w="7377" w:type="dxa"/>
            <w:tcBorders>
              <w:top w:val="single" w:color="auto" w:sz="4" w:space="0"/>
              <w:left w:val="single" w:color="auto" w:sz="4" w:space="0"/>
              <w:bottom w:val="single" w:color="auto" w:sz="4" w:space="0"/>
            </w:tcBorders>
            <w:noWrap w:val="0"/>
            <w:vAlign w:val="center"/>
          </w:tcPr>
          <w:p w14:paraId="606AF7D0">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信息或数据</w:t>
            </w:r>
          </w:p>
        </w:tc>
      </w:tr>
      <w:tr w14:paraId="73DD7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84" w:type="dxa"/>
            <w:tcBorders>
              <w:top w:val="single" w:color="auto" w:sz="4" w:space="0"/>
              <w:bottom w:val="single" w:color="auto" w:sz="4" w:space="0"/>
              <w:right w:val="single" w:color="auto" w:sz="4" w:space="0"/>
            </w:tcBorders>
            <w:noWrap w:val="0"/>
            <w:vAlign w:val="center"/>
          </w:tcPr>
          <w:p w14:paraId="4CA031A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232" w:type="dxa"/>
            <w:tcBorders>
              <w:top w:val="single" w:color="auto" w:sz="4" w:space="0"/>
              <w:bottom w:val="single" w:color="auto" w:sz="4" w:space="0"/>
              <w:right w:val="single" w:color="auto" w:sz="4" w:space="0"/>
            </w:tcBorders>
            <w:noWrap w:val="0"/>
            <w:vAlign w:val="center"/>
          </w:tcPr>
          <w:p w14:paraId="7E7C4BC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1.1.1.2</w:t>
            </w:r>
          </w:p>
        </w:tc>
        <w:tc>
          <w:tcPr>
            <w:tcW w:w="7377" w:type="dxa"/>
            <w:tcBorders>
              <w:top w:val="single" w:color="auto" w:sz="4" w:space="0"/>
              <w:left w:val="single" w:color="auto" w:sz="4" w:space="0"/>
              <w:bottom w:val="single" w:color="auto" w:sz="4" w:space="0"/>
            </w:tcBorders>
            <w:noWrap w:val="0"/>
            <w:vAlign w:val="center"/>
          </w:tcPr>
          <w:p w14:paraId="3D8B8A4F">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10"/>
                <w:sz w:val="24"/>
                <w:highlight w:val="none"/>
                <w:lang w:val="zh-CN"/>
              </w:rPr>
              <w:t>发包人：</w:t>
            </w:r>
            <w:r>
              <w:rPr>
                <w:rFonts w:hint="eastAsia" w:ascii="宋体" w:hAnsi="宋体" w:eastAsia="宋体" w:cs="宋体"/>
                <w:color w:val="auto"/>
                <w:sz w:val="24"/>
                <w:highlight w:val="none"/>
              </w:rPr>
              <w:t>横州市乡村振兴局</w:t>
            </w:r>
          </w:p>
          <w:p w14:paraId="57B5CC40">
            <w:pPr>
              <w:autoSpaceDE w:val="0"/>
              <w:autoSpaceDN w:val="0"/>
              <w:adjustRightInd w:val="0"/>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lang w:val="zh-CN"/>
              </w:rPr>
              <w:t>地址：横州市茉莉花大道</w:t>
            </w:r>
            <w:r>
              <w:rPr>
                <w:rFonts w:hint="eastAsia" w:ascii="宋体" w:hAnsi="宋体" w:eastAsia="宋体" w:cs="宋体"/>
                <w:color w:val="auto"/>
                <w:kern w:val="10"/>
                <w:sz w:val="24"/>
                <w:highlight w:val="none"/>
                <w:lang w:val="en-US" w:eastAsia="zh-CN"/>
              </w:rPr>
              <w:t>21号</w:t>
            </w:r>
            <w:r>
              <w:rPr>
                <w:rFonts w:hint="eastAsia" w:ascii="宋体" w:hAnsi="宋体" w:eastAsia="宋体" w:cs="宋体"/>
                <w:color w:val="auto"/>
                <w:kern w:val="10"/>
                <w:sz w:val="24"/>
                <w:highlight w:val="none"/>
                <w:lang w:val="zh-CN"/>
              </w:rPr>
              <w:t>农业</w:t>
            </w:r>
            <w:r>
              <w:rPr>
                <w:rFonts w:hint="eastAsia" w:ascii="宋体" w:hAnsi="宋体" w:eastAsia="宋体" w:cs="宋体"/>
                <w:color w:val="auto"/>
                <w:kern w:val="10"/>
                <w:sz w:val="24"/>
                <w:highlight w:val="none"/>
              </w:rPr>
              <w:t>农村</w:t>
            </w:r>
            <w:r>
              <w:rPr>
                <w:rFonts w:hint="eastAsia" w:ascii="宋体" w:hAnsi="宋体" w:eastAsia="宋体" w:cs="宋体"/>
                <w:color w:val="auto"/>
                <w:kern w:val="10"/>
                <w:sz w:val="24"/>
                <w:highlight w:val="none"/>
                <w:lang w:val="zh-CN"/>
              </w:rPr>
              <w:t>局三楼乡村振兴局</w:t>
            </w:r>
          </w:p>
          <w:p w14:paraId="55A1ECD6">
            <w:pPr>
              <w:autoSpaceDE w:val="0"/>
              <w:autoSpaceDN w:val="0"/>
              <w:adjustRightInd w:val="0"/>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lang w:val="zh-CN"/>
              </w:rPr>
              <w:t>邮政编码：</w:t>
            </w:r>
            <w:r>
              <w:rPr>
                <w:rFonts w:hint="eastAsia" w:ascii="宋体" w:hAnsi="宋体" w:eastAsia="宋体" w:cs="宋体"/>
                <w:color w:val="auto"/>
                <w:kern w:val="10"/>
                <w:sz w:val="24"/>
                <w:highlight w:val="none"/>
              </w:rPr>
              <w:t>530300</w:t>
            </w:r>
          </w:p>
        </w:tc>
      </w:tr>
      <w:tr w14:paraId="0F2EB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784" w:type="dxa"/>
            <w:tcBorders>
              <w:top w:val="single" w:color="auto" w:sz="4" w:space="0"/>
              <w:bottom w:val="single" w:color="auto" w:sz="4" w:space="0"/>
              <w:right w:val="single" w:color="auto" w:sz="4" w:space="0"/>
            </w:tcBorders>
            <w:noWrap w:val="0"/>
            <w:vAlign w:val="center"/>
          </w:tcPr>
          <w:p w14:paraId="2FA9C2D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1232" w:type="dxa"/>
            <w:tcBorders>
              <w:top w:val="single" w:color="auto" w:sz="4" w:space="0"/>
              <w:bottom w:val="single" w:color="auto" w:sz="4" w:space="0"/>
              <w:right w:val="single" w:color="auto" w:sz="4" w:space="0"/>
            </w:tcBorders>
            <w:noWrap w:val="0"/>
            <w:vAlign w:val="center"/>
          </w:tcPr>
          <w:p w14:paraId="74C765B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1.1.2．6</w:t>
            </w:r>
          </w:p>
        </w:tc>
        <w:tc>
          <w:tcPr>
            <w:tcW w:w="7377" w:type="dxa"/>
            <w:tcBorders>
              <w:top w:val="single" w:color="auto" w:sz="4" w:space="0"/>
              <w:left w:val="single" w:color="auto" w:sz="4" w:space="0"/>
              <w:bottom w:val="single" w:color="auto" w:sz="4" w:space="0"/>
            </w:tcBorders>
            <w:noWrap w:val="0"/>
            <w:vAlign w:val="center"/>
          </w:tcPr>
          <w:p w14:paraId="5751C4CD">
            <w:pPr>
              <w:autoSpaceDE w:val="0"/>
              <w:autoSpaceDN w:val="0"/>
              <w:adjustRightInd w:val="0"/>
              <w:spacing w:line="360" w:lineRule="auto"/>
              <w:rPr>
                <w:rFonts w:hint="eastAsia" w:ascii="宋体" w:hAnsi="宋体" w:eastAsia="宋体" w:cs="宋体"/>
                <w:color w:val="auto"/>
                <w:kern w:val="10"/>
                <w:sz w:val="24"/>
                <w:highlight w:val="none"/>
                <w:lang w:val="zh-CN"/>
              </w:rPr>
            </w:pPr>
            <w:r>
              <w:rPr>
                <w:rFonts w:hint="eastAsia" w:ascii="宋体" w:hAnsi="宋体" w:eastAsia="宋体" w:cs="宋体"/>
                <w:color w:val="auto"/>
                <w:kern w:val="10"/>
                <w:sz w:val="24"/>
                <w:highlight w:val="none"/>
                <w:lang w:val="zh-CN"/>
              </w:rPr>
              <w:t>监理人：</w:t>
            </w:r>
            <w:r>
              <w:rPr>
                <w:rFonts w:hint="eastAsia" w:ascii="宋体" w:hAnsi="宋体" w:eastAsia="宋体" w:cs="宋体"/>
                <w:color w:val="auto"/>
                <w:kern w:val="10"/>
                <w:sz w:val="24"/>
                <w:highlight w:val="none"/>
                <w:lang w:val="en-US" w:eastAsia="zh-CN"/>
              </w:rPr>
              <w:t>XXXXX</w:t>
            </w:r>
            <w:r>
              <w:rPr>
                <w:rFonts w:hint="eastAsia" w:ascii="宋体" w:hAnsi="宋体" w:eastAsia="宋体" w:cs="宋体"/>
                <w:color w:val="auto"/>
                <w:kern w:val="10"/>
                <w:sz w:val="24"/>
                <w:highlight w:val="none"/>
                <w:lang w:val="zh-CN"/>
              </w:rPr>
              <w:t xml:space="preserve">有限公司 </w:t>
            </w:r>
          </w:p>
          <w:p w14:paraId="0455C5E9">
            <w:pPr>
              <w:autoSpaceDE w:val="0"/>
              <w:autoSpaceDN w:val="0"/>
              <w:adjustRightInd w:val="0"/>
              <w:spacing w:line="360" w:lineRule="auto"/>
              <w:rPr>
                <w:rFonts w:hint="default"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zh-CN"/>
              </w:rPr>
              <w:t>地址：</w:t>
            </w:r>
            <w:r>
              <w:rPr>
                <w:rFonts w:hint="eastAsia" w:ascii="宋体" w:hAnsi="宋体" w:eastAsia="宋体" w:cs="宋体"/>
                <w:color w:val="auto"/>
                <w:kern w:val="10"/>
                <w:sz w:val="24"/>
                <w:highlight w:val="none"/>
                <w:lang w:val="en-US" w:eastAsia="zh-CN"/>
              </w:rPr>
              <w:t>XXXXXXX</w:t>
            </w:r>
          </w:p>
          <w:p w14:paraId="6E370AE1">
            <w:pPr>
              <w:autoSpaceDE w:val="0"/>
              <w:autoSpaceDN w:val="0"/>
              <w:adjustRightInd w:val="0"/>
              <w:spacing w:line="360" w:lineRule="auto"/>
              <w:rPr>
                <w:rFonts w:hint="default"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zh-CN"/>
              </w:rPr>
              <w:t>邮政编码：</w:t>
            </w:r>
            <w:r>
              <w:rPr>
                <w:rFonts w:hint="eastAsia" w:ascii="宋体" w:hAnsi="宋体" w:eastAsia="宋体" w:cs="宋体"/>
                <w:color w:val="auto"/>
                <w:kern w:val="10"/>
                <w:sz w:val="24"/>
                <w:highlight w:val="none"/>
                <w:lang w:val="en-US" w:eastAsia="zh-CN"/>
              </w:rPr>
              <w:t>XXXXX</w:t>
            </w:r>
          </w:p>
        </w:tc>
      </w:tr>
      <w:tr w14:paraId="55B2C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0E09704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1232" w:type="dxa"/>
            <w:tcBorders>
              <w:top w:val="single" w:color="auto" w:sz="4" w:space="0"/>
              <w:bottom w:val="single" w:color="auto" w:sz="4" w:space="0"/>
              <w:right w:val="single" w:color="auto" w:sz="4" w:space="0"/>
            </w:tcBorders>
            <w:noWrap w:val="0"/>
            <w:vAlign w:val="center"/>
          </w:tcPr>
          <w:p w14:paraId="4DBB8A87">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1.1.4.5</w:t>
            </w:r>
          </w:p>
        </w:tc>
        <w:tc>
          <w:tcPr>
            <w:tcW w:w="7377" w:type="dxa"/>
            <w:tcBorders>
              <w:top w:val="single" w:color="auto" w:sz="4" w:space="0"/>
              <w:left w:val="single" w:color="auto" w:sz="4" w:space="0"/>
              <w:bottom w:val="single" w:color="auto" w:sz="4" w:space="0"/>
            </w:tcBorders>
            <w:noWrap w:val="0"/>
            <w:vAlign w:val="center"/>
          </w:tcPr>
          <w:p w14:paraId="429AA07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缺陷责任期：</w:t>
            </w:r>
            <w:r>
              <w:rPr>
                <w:rFonts w:hint="eastAsia" w:ascii="宋体" w:hAnsi="宋体" w:eastAsia="宋体" w:cs="宋体"/>
                <w:color w:val="auto"/>
                <w:sz w:val="24"/>
                <w:highlight w:val="none"/>
              </w:rPr>
              <w:t>项目运行期1年，保修期自运行期满后3年。</w:t>
            </w:r>
          </w:p>
        </w:tc>
      </w:tr>
      <w:tr w14:paraId="6B5DD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6A1DA0B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p>
        </w:tc>
        <w:tc>
          <w:tcPr>
            <w:tcW w:w="1232" w:type="dxa"/>
            <w:tcBorders>
              <w:top w:val="single" w:color="auto" w:sz="4" w:space="0"/>
              <w:bottom w:val="single" w:color="auto" w:sz="4" w:space="0"/>
              <w:right w:val="single" w:color="auto" w:sz="4" w:space="0"/>
            </w:tcBorders>
            <w:noWrap w:val="0"/>
            <w:vAlign w:val="center"/>
          </w:tcPr>
          <w:p w14:paraId="40AFFEC2">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p>
        </w:tc>
        <w:tc>
          <w:tcPr>
            <w:tcW w:w="7377" w:type="dxa"/>
            <w:tcBorders>
              <w:top w:val="single" w:color="auto" w:sz="4" w:space="0"/>
              <w:left w:val="single" w:color="auto" w:sz="4" w:space="0"/>
              <w:bottom w:val="single" w:color="auto" w:sz="4" w:space="0"/>
            </w:tcBorders>
            <w:noWrap w:val="0"/>
            <w:vAlign w:val="center"/>
          </w:tcPr>
          <w:p w14:paraId="57423A3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图纸需要修改和补充的，应由监理人取得发包人同意后，在该项工程或工程相应部位施工前</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天签发图纸修改图给承包人</w:t>
            </w:r>
          </w:p>
        </w:tc>
      </w:tr>
      <w:tr w14:paraId="21E41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7E225E1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w:t>
            </w:r>
          </w:p>
        </w:tc>
        <w:tc>
          <w:tcPr>
            <w:tcW w:w="1232" w:type="dxa"/>
            <w:tcBorders>
              <w:top w:val="single" w:color="auto" w:sz="4" w:space="0"/>
              <w:bottom w:val="single" w:color="auto" w:sz="4" w:space="0"/>
              <w:right w:val="single" w:color="auto" w:sz="4" w:space="0"/>
            </w:tcBorders>
            <w:noWrap w:val="0"/>
            <w:vAlign w:val="center"/>
          </w:tcPr>
          <w:p w14:paraId="1D1754F7">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377" w:type="dxa"/>
            <w:tcBorders>
              <w:top w:val="single" w:color="auto" w:sz="4" w:space="0"/>
              <w:left w:val="single" w:color="auto" w:sz="4" w:space="0"/>
              <w:bottom w:val="single" w:color="auto" w:sz="4" w:space="0"/>
            </w:tcBorders>
            <w:noWrap w:val="0"/>
            <w:vAlign w:val="center"/>
          </w:tcPr>
          <w:p w14:paraId="011160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监理人在行使下列权利前需要经发包人事先批准：</w:t>
            </w:r>
          </w:p>
          <w:p w14:paraId="51BB05F8">
            <w:pPr>
              <w:tabs>
                <w:tab w:val="left" w:pos="6582"/>
              </w:tabs>
              <w:spacing w:line="360" w:lineRule="auto"/>
              <w:ind w:right="649" w:rightChars="309" w:firstLine="72" w:firstLineChars="3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根据第15.3款发出的变更指示，其单项工程变更涉及的金额超过了该单项工程签约时合同价的</w:t>
            </w:r>
            <w:r>
              <w:rPr>
                <w:rFonts w:hint="eastAsia" w:ascii="宋体" w:hAnsi="宋体" w:eastAsia="宋体" w:cs="宋体"/>
                <w:color w:val="auto"/>
                <w:sz w:val="24"/>
                <w:highlight w:val="none"/>
                <w:u w:val="single"/>
              </w:rPr>
              <w:t xml:space="preserve"> 0.5 </w:t>
            </w:r>
            <w:r>
              <w:rPr>
                <w:rFonts w:hint="eastAsia" w:ascii="宋体" w:hAnsi="宋体" w:eastAsia="宋体" w:cs="宋体"/>
                <w:color w:val="auto"/>
                <w:sz w:val="24"/>
                <w:highlight w:val="none"/>
              </w:rPr>
              <w:t>%或累计变更超过了签约合同价的</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w:t>
            </w:r>
          </w:p>
        </w:tc>
      </w:tr>
      <w:tr w14:paraId="79692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4BCD916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w:t>
            </w:r>
          </w:p>
        </w:tc>
        <w:tc>
          <w:tcPr>
            <w:tcW w:w="1232" w:type="dxa"/>
            <w:tcBorders>
              <w:top w:val="single" w:color="auto" w:sz="4" w:space="0"/>
              <w:bottom w:val="single" w:color="auto" w:sz="4" w:space="0"/>
              <w:right w:val="single" w:color="auto" w:sz="4" w:space="0"/>
            </w:tcBorders>
            <w:noWrap w:val="0"/>
            <w:vAlign w:val="center"/>
          </w:tcPr>
          <w:p w14:paraId="21698281">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p>
        </w:tc>
        <w:tc>
          <w:tcPr>
            <w:tcW w:w="7377" w:type="dxa"/>
            <w:tcBorders>
              <w:top w:val="single" w:color="auto" w:sz="4" w:space="0"/>
              <w:left w:val="single" w:color="auto" w:sz="4" w:space="0"/>
              <w:bottom w:val="single" w:color="auto" w:sz="4" w:space="0"/>
            </w:tcBorders>
            <w:noWrap w:val="0"/>
            <w:vAlign w:val="center"/>
          </w:tcPr>
          <w:p w14:paraId="479745A7">
            <w:pPr>
              <w:tabs>
                <w:tab w:val="left" w:pos="6582"/>
              </w:tabs>
              <w:spacing w:line="360" w:lineRule="auto"/>
              <w:ind w:right="649" w:rightChars="309" w:firstLine="72" w:firstLineChars="3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发包人是否提供材料或工程设备：</w:t>
            </w:r>
            <w:r>
              <w:rPr>
                <w:rFonts w:hint="eastAsia" w:ascii="宋体" w:hAnsi="宋体" w:eastAsia="宋体" w:cs="宋体"/>
                <w:color w:val="auto"/>
                <w:sz w:val="24"/>
                <w:highlight w:val="none"/>
                <w:u w:val="single"/>
                <w:lang w:val="zh-CN"/>
              </w:rPr>
              <w:t>否</w:t>
            </w:r>
          </w:p>
        </w:tc>
      </w:tr>
      <w:tr w14:paraId="245B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1E8D16C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w:t>
            </w:r>
          </w:p>
        </w:tc>
        <w:tc>
          <w:tcPr>
            <w:tcW w:w="1232" w:type="dxa"/>
            <w:tcBorders>
              <w:top w:val="single" w:color="auto" w:sz="4" w:space="0"/>
              <w:bottom w:val="single" w:color="auto" w:sz="4" w:space="0"/>
              <w:right w:val="single" w:color="auto" w:sz="4" w:space="0"/>
            </w:tcBorders>
            <w:noWrap w:val="0"/>
            <w:vAlign w:val="center"/>
          </w:tcPr>
          <w:p w14:paraId="4CF566BE">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p>
        </w:tc>
        <w:tc>
          <w:tcPr>
            <w:tcW w:w="7377" w:type="dxa"/>
            <w:tcBorders>
              <w:top w:val="single" w:color="auto" w:sz="4" w:space="0"/>
              <w:left w:val="single" w:color="auto" w:sz="4" w:space="0"/>
              <w:bottom w:val="single" w:color="auto" w:sz="4" w:space="0"/>
            </w:tcBorders>
            <w:noWrap w:val="0"/>
            <w:vAlign w:val="center"/>
          </w:tcPr>
          <w:p w14:paraId="54A3EFC7">
            <w:pPr>
              <w:tabs>
                <w:tab w:val="left" w:pos="6582"/>
              </w:tabs>
              <w:spacing w:line="360" w:lineRule="auto"/>
              <w:ind w:right="649" w:rightChars="309" w:firstLine="72" w:firstLineChars="3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发包人是否提供施工设备和临时设施：</w:t>
            </w:r>
            <w:r>
              <w:rPr>
                <w:rFonts w:hint="eastAsia" w:ascii="宋体" w:hAnsi="宋体" w:eastAsia="宋体" w:cs="宋体"/>
                <w:color w:val="auto"/>
                <w:sz w:val="24"/>
                <w:highlight w:val="none"/>
                <w:u w:val="single"/>
                <w:lang w:val="zh-CN"/>
              </w:rPr>
              <w:t>否</w:t>
            </w:r>
          </w:p>
        </w:tc>
      </w:tr>
      <w:tr w14:paraId="73F75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75899E0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w:t>
            </w:r>
          </w:p>
        </w:tc>
        <w:tc>
          <w:tcPr>
            <w:tcW w:w="1232" w:type="dxa"/>
            <w:tcBorders>
              <w:top w:val="single" w:color="auto" w:sz="4" w:space="0"/>
              <w:bottom w:val="single" w:color="auto" w:sz="4" w:space="0"/>
              <w:right w:val="single" w:color="auto" w:sz="4" w:space="0"/>
            </w:tcBorders>
            <w:noWrap w:val="0"/>
            <w:vAlign w:val="center"/>
          </w:tcPr>
          <w:p w14:paraId="09372404">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8.1 .1</w:t>
            </w:r>
          </w:p>
        </w:tc>
        <w:tc>
          <w:tcPr>
            <w:tcW w:w="7377" w:type="dxa"/>
            <w:tcBorders>
              <w:top w:val="single" w:color="auto" w:sz="4" w:space="0"/>
              <w:left w:val="single" w:color="auto" w:sz="4" w:space="0"/>
              <w:bottom w:val="single" w:color="auto" w:sz="4" w:space="0"/>
            </w:tcBorders>
            <w:noWrap w:val="0"/>
            <w:vAlign w:val="center"/>
          </w:tcPr>
          <w:p w14:paraId="2D1979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发包人提供测量基准点、基准线和水准点及其书面资料的期限：</w:t>
            </w:r>
            <w:r>
              <w:rPr>
                <w:rFonts w:hint="eastAsia" w:ascii="宋体" w:hAnsi="宋体" w:eastAsia="宋体" w:cs="宋体"/>
                <w:color w:val="auto"/>
                <w:sz w:val="24"/>
                <w:highlight w:val="none"/>
                <w:u w:val="single"/>
              </w:rPr>
              <w:t>开工后1周内</w:t>
            </w:r>
          </w:p>
          <w:p w14:paraId="6F0F3834">
            <w:pPr>
              <w:tabs>
                <w:tab w:val="left" w:pos="6582"/>
              </w:tabs>
              <w:spacing w:line="360" w:lineRule="auto"/>
              <w:ind w:right="649" w:rightChars="309" w:firstLine="72" w:firstLineChars="3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rPr>
              <w:t>承包人将施工控制网资料报送监理人审批的期限：</w:t>
            </w:r>
            <w:r>
              <w:rPr>
                <w:rFonts w:hint="eastAsia" w:ascii="宋体" w:hAnsi="宋体" w:eastAsia="宋体" w:cs="宋体"/>
                <w:color w:val="auto"/>
                <w:sz w:val="24"/>
                <w:highlight w:val="none"/>
                <w:u w:val="single"/>
              </w:rPr>
              <w:t>开工后3周内</w:t>
            </w:r>
          </w:p>
        </w:tc>
      </w:tr>
      <w:tr w14:paraId="277B9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84" w:type="dxa"/>
            <w:tcBorders>
              <w:top w:val="single" w:color="auto" w:sz="4" w:space="0"/>
              <w:bottom w:val="single" w:color="auto" w:sz="4" w:space="0"/>
              <w:right w:val="single" w:color="auto" w:sz="4" w:space="0"/>
            </w:tcBorders>
            <w:noWrap w:val="0"/>
            <w:vAlign w:val="center"/>
          </w:tcPr>
          <w:p w14:paraId="5ABEC14E">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w:t>
            </w:r>
          </w:p>
        </w:tc>
        <w:tc>
          <w:tcPr>
            <w:tcW w:w="1232" w:type="dxa"/>
            <w:tcBorders>
              <w:top w:val="single" w:color="auto" w:sz="4" w:space="0"/>
              <w:bottom w:val="single" w:color="auto" w:sz="4" w:space="0"/>
              <w:right w:val="single" w:color="auto" w:sz="4" w:space="0"/>
            </w:tcBorders>
            <w:noWrap w:val="0"/>
            <w:vAlign w:val="center"/>
          </w:tcPr>
          <w:p w14:paraId="0A71138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w:t>
            </w:r>
          </w:p>
        </w:tc>
        <w:tc>
          <w:tcPr>
            <w:tcW w:w="7377" w:type="dxa"/>
            <w:tcBorders>
              <w:top w:val="single" w:color="auto" w:sz="4" w:space="0"/>
              <w:left w:val="single" w:color="auto" w:sz="4" w:space="0"/>
              <w:bottom w:val="single" w:color="auto" w:sz="4" w:space="0"/>
            </w:tcBorders>
            <w:noWrap w:val="0"/>
            <w:vAlign w:val="center"/>
          </w:tcPr>
          <w:p w14:paraId="052F22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逾期交工违约金</w:t>
            </w:r>
            <w:r>
              <w:rPr>
                <w:rFonts w:hint="eastAsia" w:ascii="宋体" w:hAnsi="宋体" w:eastAsia="宋体" w:cs="宋体"/>
                <w:color w:val="auto"/>
                <w:sz w:val="24"/>
                <w:highlight w:val="none"/>
                <w:u w:val="single"/>
              </w:rPr>
              <w:t xml:space="preserve">500 </w:t>
            </w:r>
            <w:r>
              <w:rPr>
                <w:rFonts w:hint="eastAsia" w:ascii="宋体" w:hAnsi="宋体" w:eastAsia="宋体" w:cs="宋体"/>
                <w:color w:val="auto"/>
                <w:sz w:val="24"/>
                <w:highlight w:val="none"/>
              </w:rPr>
              <w:t>元/天，限额</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%内签约合同价</w:t>
            </w:r>
          </w:p>
        </w:tc>
      </w:tr>
      <w:tr w14:paraId="45EB7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84" w:type="dxa"/>
            <w:tcBorders>
              <w:top w:val="single" w:color="auto" w:sz="4" w:space="0"/>
              <w:bottom w:val="single" w:color="auto" w:sz="4" w:space="0"/>
              <w:right w:val="single" w:color="auto" w:sz="4" w:space="0"/>
            </w:tcBorders>
            <w:noWrap w:val="0"/>
            <w:vAlign w:val="center"/>
          </w:tcPr>
          <w:p w14:paraId="376BBA3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w:t>
            </w:r>
          </w:p>
        </w:tc>
        <w:tc>
          <w:tcPr>
            <w:tcW w:w="1232" w:type="dxa"/>
            <w:tcBorders>
              <w:top w:val="single" w:color="auto" w:sz="4" w:space="0"/>
              <w:bottom w:val="single" w:color="auto" w:sz="4" w:space="0"/>
              <w:right w:val="single" w:color="auto" w:sz="4" w:space="0"/>
            </w:tcBorders>
            <w:noWrap w:val="0"/>
            <w:vAlign w:val="center"/>
          </w:tcPr>
          <w:p w14:paraId="733180A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16．1</w:t>
            </w:r>
          </w:p>
        </w:tc>
        <w:tc>
          <w:tcPr>
            <w:tcW w:w="7377" w:type="dxa"/>
            <w:tcBorders>
              <w:top w:val="single" w:color="auto" w:sz="4" w:space="0"/>
              <w:left w:val="single" w:color="auto" w:sz="4" w:space="0"/>
              <w:bottom w:val="single" w:color="auto" w:sz="4" w:space="0"/>
            </w:tcBorders>
            <w:noWrap w:val="0"/>
            <w:vAlign w:val="center"/>
          </w:tcPr>
          <w:p w14:paraId="5F59AD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本合同价款采用固定单价合同方式确定，工程量按实结算。</w:t>
            </w:r>
            <w:r>
              <w:rPr>
                <w:rFonts w:hint="eastAsia" w:ascii="宋体" w:hAnsi="宋体" w:eastAsia="宋体" w:cs="宋体"/>
                <w:color w:val="auto"/>
                <w:sz w:val="24"/>
                <w:highlight w:val="none"/>
                <w:lang w:val="zh-CN"/>
              </w:rPr>
              <w:t>在合同执行期间（包括工期拖延期间），由于人工、材料和设备价格的上涨而引起工程施工成本增加的风险由承包人自行承担，合同价格不会因此而调整。采用固定单价合同，合同价款中包括的风险范围：除工程变更</w:t>
            </w:r>
            <w:r>
              <w:rPr>
                <w:rFonts w:hint="eastAsia" w:ascii="宋体" w:hAnsi="宋体" w:eastAsia="宋体" w:cs="宋体"/>
                <w:color w:val="auto"/>
                <w:sz w:val="24"/>
                <w:highlight w:val="none"/>
              </w:rPr>
              <w:t>外</w:t>
            </w:r>
            <w:r>
              <w:rPr>
                <w:rFonts w:hint="eastAsia" w:ascii="宋体" w:hAnsi="宋体" w:eastAsia="宋体" w:cs="宋体"/>
                <w:color w:val="auto"/>
                <w:sz w:val="24"/>
                <w:highlight w:val="none"/>
                <w:lang w:val="zh-CN"/>
              </w:rPr>
              <w:t>。</w:t>
            </w:r>
          </w:p>
          <w:p w14:paraId="4CBD66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范围以外合同价款调整方法：①因设计变更引起工程项目和工程量变化的，其增减部分的工程量经承、发包方、监理方及财政和审计部门签证后，按以下办法计算费用：a.与投标文件预算书中的工程子项目相同或相近时，按投标文件工程量清单的单价进行计算； b.与投标文件预算书中的工程子项目不同时，有定额套定额计算，其中材料价格有信息价的按信息价，无信息价或无定额可套的由发包人、承包人双方进行市场询价确定。</w:t>
            </w:r>
          </w:p>
        </w:tc>
      </w:tr>
      <w:tr w14:paraId="7E625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2BFCCC6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p>
        </w:tc>
        <w:tc>
          <w:tcPr>
            <w:tcW w:w="1232" w:type="dxa"/>
            <w:tcBorders>
              <w:top w:val="single" w:color="auto" w:sz="4" w:space="0"/>
              <w:bottom w:val="single" w:color="auto" w:sz="4" w:space="0"/>
              <w:right w:val="single" w:color="auto" w:sz="4" w:space="0"/>
            </w:tcBorders>
            <w:noWrap w:val="0"/>
            <w:vAlign w:val="center"/>
          </w:tcPr>
          <w:p w14:paraId="2F220134">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17.2.1</w:t>
            </w:r>
          </w:p>
        </w:tc>
        <w:tc>
          <w:tcPr>
            <w:tcW w:w="7377" w:type="dxa"/>
            <w:tcBorders>
              <w:top w:val="single" w:color="auto" w:sz="4" w:space="0"/>
              <w:left w:val="single" w:color="auto" w:sz="4" w:space="0"/>
              <w:bottom w:val="single" w:color="auto" w:sz="4" w:space="0"/>
            </w:tcBorders>
            <w:noWrap w:val="0"/>
            <w:vAlign w:val="center"/>
          </w:tcPr>
          <w:p w14:paraId="1E735BF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预付款：</w:t>
            </w:r>
          </w:p>
        </w:tc>
      </w:tr>
      <w:tr w14:paraId="14217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0B92004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w:t>
            </w:r>
          </w:p>
        </w:tc>
        <w:tc>
          <w:tcPr>
            <w:tcW w:w="1232" w:type="dxa"/>
            <w:tcBorders>
              <w:top w:val="single" w:color="auto" w:sz="4" w:space="0"/>
              <w:bottom w:val="single" w:color="auto" w:sz="4" w:space="0"/>
              <w:right w:val="single" w:color="auto" w:sz="4" w:space="0"/>
            </w:tcBorders>
            <w:noWrap w:val="0"/>
            <w:vAlign w:val="center"/>
          </w:tcPr>
          <w:p w14:paraId="747EEAEE">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17.2.1</w:t>
            </w:r>
          </w:p>
        </w:tc>
        <w:tc>
          <w:tcPr>
            <w:tcW w:w="7377" w:type="dxa"/>
            <w:tcBorders>
              <w:top w:val="single" w:color="auto" w:sz="4" w:space="0"/>
              <w:left w:val="single" w:color="auto" w:sz="4" w:space="0"/>
              <w:bottom w:val="single" w:color="auto" w:sz="4" w:space="0"/>
            </w:tcBorders>
            <w:noWrap w:val="0"/>
            <w:vAlign w:val="center"/>
          </w:tcPr>
          <w:p w14:paraId="16E20807">
            <w:pPr>
              <w:pStyle w:val="16"/>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材料、设备预付款比例：无</w:t>
            </w:r>
          </w:p>
        </w:tc>
      </w:tr>
      <w:tr w14:paraId="35309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2BD840A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w:t>
            </w:r>
          </w:p>
        </w:tc>
        <w:tc>
          <w:tcPr>
            <w:tcW w:w="1232" w:type="dxa"/>
            <w:tcBorders>
              <w:top w:val="single" w:color="auto" w:sz="4" w:space="0"/>
              <w:bottom w:val="single" w:color="auto" w:sz="4" w:space="0"/>
              <w:right w:val="single" w:color="auto" w:sz="4" w:space="0"/>
            </w:tcBorders>
            <w:noWrap w:val="0"/>
            <w:vAlign w:val="center"/>
          </w:tcPr>
          <w:p w14:paraId="22D7D05D">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17.3.1</w:t>
            </w:r>
          </w:p>
        </w:tc>
        <w:tc>
          <w:tcPr>
            <w:tcW w:w="7377" w:type="dxa"/>
            <w:tcBorders>
              <w:top w:val="single" w:color="auto" w:sz="4" w:space="0"/>
              <w:left w:val="single" w:color="auto" w:sz="4" w:space="0"/>
              <w:bottom w:val="single" w:color="auto" w:sz="4" w:space="0"/>
            </w:tcBorders>
            <w:noWrap w:val="0"/>
            <w:vAlign w:val="center"/>
          </w:tcPr>
          <w:p w14:paraId="35B5422C">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双方约定的工程款（进度款）的支付方式和时间：（</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严格执行《住房城乡建设部 财政部关于印发建设工程质量保证金管理办法的通知》（建质</w:t>
            </w:r>
            <w:r>
              <w:rPr>
                <w:rFonts w:hint="eastAsia" w:ascii="宋体" w:hAnsi="宋体" w:eastAsia="宋体" w:cs="宋体"/>
                <w:color w:val="auto"/>
                <w:sz w:val="24"/>
                <w:highlight w:val="none"/>
                <w:lang w:val="zh-CN"/>
              </w:rPr>
              <w:t>[201</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138号）要求，工程质量保证金预留比例上限不得高于工程价款结算总额的3%。</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各地要灵活选择预拨或按工程项目实施进度拨付等方式，及时拨付工程项目资金，提高资金使用效率。可以工程项目动工或验收为时间节点，分阶段拨付项目资金，工程项目动工即先拨付项目资金的30%，具体比例由各地根据本地实际确定，余款按照有关程序进款拨付。</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工程项目竣工验收后，项目实施单位应在5个工作日内向项目主管部门提出资金拨付申请；项目主管部门应当在接到项目实施单位申请后10个工作日内完成审核工作并向财政部门提交资金拨付函；对符合拨付款条件的，财政部门应当在5个工作日内完成资金拨付。承包人在每个付款周期末向监理人提交进度付款申请单的份数：</w:t>
            </w:r>
            <w:r>
              <w:rPr>
                <w:rFonts w:hint="eastAsia" w:ascii="宋体" w:hAnsi="宋体" w:eastAsia="宋体" w:cs="宋体"/>
                <w:color w:val="auto"/>
                <w:sz w:val="24"/>
                <w:highlight w:val="none"/>
                <w:u w:val="single"/>
              </w:rPr>
              <w:t xml:space="preserve"> 1 </w:t>
            </w:r>
            <w:r>
              <w:rPr>
                <w:rFonts w:hint="eastAsia" w:ascii="宋体" w:hAnsi="宋体" w:eastAsia="宋体" w:cs="宋体"/>
                <w:color w:val="auto"/>
                <w:sz w:val="24"/>
                <w:highlight w:val="none"/>
              </w:rPr>
              <w:t>份</w:t>
            </w:r>
          </w:p>
        </w:tc>
      </w:tr>
      <w:tr w14:paraId="744F8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30EFECB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14</w:t>
            </w:r>
          </w:p>
        </w:tc>
        <w:tc>
          <w:tcPr>
            <w:tcW w:w="1232" w:type="dxa"/>
            <w:tcBorders>
              <w:top w:val="single" w:color="auto" w:sz="4" w:space="0"/>
              <w:bottom w:val="single" w:color="auto" w:sz="4" w:space="0"/>
              <w:right w:val="single" w:color="auto" w:sz="4" w:space="0"/>
            </w:tcBorders>
            <w:noWrap w:val="0"/>
            <w:vAlign w:val="center"/>
          </w:tcPr>
          <w:p w14:paraId="18A591A0">
            <w:pPr>
              <w:autoSpaceDE w:val="0"/>
              <w:autoSpaceDN w:val="0"/>
              <w:adjustRightInd w:val="0"/>
              <w:spacing w:line="360" w:lineRule="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17.3.3（1）</w:t>
            </w:r>
          </w:p>
        </w:tc>
        <w:tc>
          <w:tcPr>
            <w:tcW w:w="7377" w:type="dxa"/>
            <w:tcBorders>
              <w:top w:val="single" w:color="auto" w:sz="4" w:space="0"/>
              <w:left w:val="single" w:color="auto" w:sz="4" w:space="0"/>
              <w:bottom w:val="single" w:color="auto" w:sz="4" w:space="0"/>
            </w:tcBorders>
            <w:noWrap w:val="0"/>
            <w:vAlign w:val="center"/>
          </w:tcPr>
          <w:p w14:paraId="5F37DF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进度付款证书最低限额：</w:t>
            </w:r>
            <w:r>
              <w:rPr>
                <w:rFonts w:hint="eastAsia"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%签约合同价</w:t>
            </w:r>
          </w:p>
        </w:tc>
      </w:tr>
      <w:tr w14:paraId="6B3A7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086DADD2">
            <w:pPr>
              <w:autoSpaceDE w:val="0"/>
              <w:autoSpaceDN w:val="0"/>
              <w:adjustRightInd w:val="0"/>
              <w:spacing w:line="360" w:lineRule="auto"/>
              <w:rPr>
                <w:rFonts w:hint="eastAsia" w:ascii="宋体" w:hAnsi="宋体" w:eastAsia="宋体" w:cs="宋体"/>
                <w:color w:val="auto"/>
                <w:sz w:val="24"/>
                <w:highlight w:val="none"/>
                <w:lang w:val="zh-CN"/>
              </w:rPr>
            </w:pPr>
          </w:p>
        </w:tc>
        <w:tc>
          <w:tcPr>
            <w:tcW w:w="1232" w:type="dxa"/>
            <w:tcBorders>
              <w:top w:val="single" w:color="auto" w:sz="4" w:space="0"/>
              <w:bottom w:val="single" w:color="auto" w:sz="4" w:space="0"/>
              <w:right w:val="single" w:color="auto" w:sz="4" w:space="0"/>
            </w:tcBorders>
            <w:noWrap w:val="0"/>
            <w:vAlign w:val="center"/>
          </w:tcPr>
          <w:p w14:paraId="25999EB8">
            <w:pPr>
              <w:autoSpaceDE w:val="0"/>
              <w:autoSpaceDN w:val="0"/>
              <w:adjustRightInd w:val="0"/>
              <w:spacing w:line="360" w:lineRule="auto"/>
              <w:ind w:right="-107" w:rightChars="-51"/>
              <w:rPr>
                <w:rFonts w:hint="eastAsia" w:ascii="宋体" w:hAnsi="宋体" w:eastAsia="宋体" w:cs="宋体"/>
                <w:color w:val="auto"/>
                <w:sz w:val="24"/>
                <w:highlight w:val="none"/>
              </w:rPr>
            </w:pPr>
            <w:r>
              <w:rPr>
                <w:rFonts w:hint="eastAsia" w:ascii="宋体" w:hAnsi="宋体" w:eastAsia="宋体" w:cs="宋体"/>
                <w:color w:val="auto"/>
                <w:sz w:val="24"/>
                <w:highlight w:val="none"/>
              </w:rPr>
              <w:t>17.3.3（2）</w:t>
            </w:r>
          </w:p>
        </w:tc>
        <w:tc>
          <w:tcPr>
            <w:tcW w:w="7377" w:type="dxa"/>
            <w:tcBorders>
              <w:top w:val="single" w:color="auto" w:sz="4" w:space="0"/>
              <w:left w:val="single" w:color="auto" w:sz="4" w:space="0"/>
              <w:bottom w:val="single" w:color="auto" w:sz="4" w:space="0"/>
            </w:tcBorders>
            <w:noWrap w:val="0"/>
            <w:vAlign w:val="center"/>
          </w:tcPr>
          <w:p w14:paraId="090D48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逾期付款违约金的利率：</w:t>
            </w:r>
            <w:r>
              <w:rPr>
                <w:rFonts w:hint="eastAsia" w:ascii="宋体" w:hAnsi="宋体" w:eastAsia="宋体" w:cs="宋体"/>
                <w:color w:val="auto"/>
                <w:sz w:val="24"/>
                <w:highlight w:val="none"/>
                <w:u w:val="single"/>
              </w:rPr>
              <w:t xml:space="preserve">  0.4  </w:t>
            </w:r>
            <w:r>
              <w:rPr>
                <w:rFonts w:hint="eastAsia" w:ascii="宋体" w:hAnsi="宋体" w:eastAsia="宋体" w:cs="宋体"/>
                <w:color w:val="auto"/>
                <w:sz w:val="24"/>
                <w:highlight w:val="none"/>
              </w:rPr>
              <w:t>‰/天</w:t>
            </w:r>
          </w:p>
        </w:tc>
      </w:tr>
      <w:tr w14:paraId="37A9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84" w:type="dxa"/>
            <w:tcBorders>
              <w:top w:val="single" w:color="auto" w:sz="4" w:space="0"/>
              <w:bottom w:val="single" w:color="auto" w:sz="4" w:space="0"/>
              <w:right w:val="single" w:color="auto" w:sz="4" w:space="0"/>
            </w:tcBorders>
            <w:noWrap w:val="0"/>
            <w:vAlign w:val="center"/>
          </w:tcPr>
          <w:p w14:paraId="30867E8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w:t>
            </w:r>
          </w:p>
        </w:tc>
        <w:tc>
          <w:tcPr>
            <w:tcW w:w="1232" w:type="dxa"/>
            <w:tcBorders>
              <w:top w:val="single" w:color="auto" w:sz="4" w:space="0"/>
              <w:bottom w:val="single" w:color="auto" w:sz="4" w:space="0"/>
              <w:right w:val="single" w:color="auto" w:sz="4" w:space="0"/>
            </w:tcBorders>
            <w:noWrap w:val="0"/>
            <w:vAlign w:val="center"/>
          </w:tcPr>
          <w:p w14:paraId="279D3C8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17．4．1</w:t>
            </w:r>
          </w:p>
        </w:tc>
        <w:tc>
          <w:tcPr>
            <w:tcW w:w="7377" w:type="dxa"/>
            <w:tcBorders>
              <w:top w:val="single" w:color="auto" w:sz="4" w:space="0"/>
              <w:left w:val="single" w:color="auto" w:sz="4" w:space="0"/>
              <w:bottom w:val="single" w:color="auto" w:sz="4" w:space="0"/>
            </w:tcBorders>
            <w:noWrap w:val="0"/>
            <w:vAlign w:val="center"/>
          </w:tcPr>
          <w:p w14:paraId="12AA2F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质量保证金限额</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%签约合同价格，若交工验收时承包人具备被项目所在地省级交通主管部门评定的最高信用等级，发包人给予1%合同价格质量保证金的优惠，并在交工验收时向承包人返还质量保证金优惠的金额。</w:t>
            </w:r>
          </w:p>
        </w:tc>
      </w:tr>
      <w:tr w14:paraId="6A10D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000A7C6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w:t>
            </w:r>
          </w:p>
        </w:tc>
        <w:tc>
          <w:tcPr>
            <w:tcW w:w="1232" w:type="dxa"/>
            <w:tcBorders>
              <w:top w:val="single" w:color="auto" w:sz="4" w:space="0"/>
              <w:bottom w:val="single" w:color="auto" w:sz="4" w:space="0"/>
              <w:right w:val="single" w:color="auto" w:sz="4" w:space="0"/>
            </w:tcBorders>
            <w:noWrap w:val="0"/>
            <w:vAlign w:val="center"/>
          </w:tcPr>
          <w:p w14:paraId="14463CBC">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17.5.1</w:t>
            </w:r>
          </w:p>
        </w:tc>
        <w:tc>
          <w:tcPr>
            <w:tcW w:w="7377" w:type="dxa"/>
            <w:tcBorders>
              <w:top w:val="single" w:color="auto" w:sz="4" w:space="0"/>
              <w:left w:val="single" w:color="auto" w:sz="4" w:space="0"/>
              <w:bottom w:val="single" w:color="auto" w:sz="4" w:space="0"/>
            </w:tcBorders>
            <w:noWrap w:val="0"/>
            <w:vAlign w:val="center"/>
          </w:tcPr>
          <w:p w14:paraId="1D18D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承包人向监理人提交交工付款申请单（包括相关证明材料）的份数：</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份</w:t>
            </w:r>
          </w:p>
        </w:tc>
      </w:tr>
      <w:tr w14:paraId="62694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33C6756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w:t>
            </w:r>
          </w:p>
        </w:tc>
        <w:tc>
          <w:tcPr>
            <w:tcW w:w="1232" w:type="dxa"/>
            <w:tcBorders>
              <w:top w:val="single" w:color="auto" w:sz="4" w:space="0"/>
              <w:bottom w:val="single" w:color="auto" w:sz="4" w:space="0"/>
              <w:right w:val="single" w:color="auto" w:sz="4" w:space="0"/>
            </w:tcBorders>
            <w:noWrap w:val="0"/>
            <w:vAlign w:val="center"/>
          </w:tcPr>
          <w:p w14:paraId="7CDF33B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17.6.1</w:t>
            </w:r>
          </w:p>
        </w:tc>
        <w:tc>
          <w:tcPr>
            <w:tcW w:w="7377" w:type="dxa"/>
            <w:tcBorders>
              <w:top w:val="single" w:color="auto" w:sz="4" w:space="0"/>
              <w:left w:val="single" w:color="auto" w:sz="4" w:space="0"/>
              <w:bottom w:val="single" w:color="auto" w:sz="4" w:space="0"/>
            </w:tcBorders>
            <w:noWrap w:val="0"/>
            <w:vAlign w:val="center"/>
          </w:tcPr>
          <w:p w14:paraId="47E691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承包人向监理人提交最终结清申请单（包括相关证明材料）的份数：</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份</w:t>
            </w:r>
          </w:p>
        </w:tc>
      </w:tr>
      <w:tr w14:paraId="7CD13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5042C1D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18</w:t>
            </w:r>
          </w:p>
        </w:tc>
        <w:tc>
          <w:tcPr>
            <w:tcW w:w="1232" w:type="dxa"/>
            <w:tcBorders>
              <w:top w:val="single" w:color="auto" w:sz="4" w:space="0"/>
              <w:bottom w:val="single" w:color="auto" w:sz="4" w:space="0"/>
              <w:right w:val="single" w:color="auto" w:sz="4" w:space="0"/>
            </w:tcBorders>
            <w:noWrap w:val="0"/>
            <w:vAlign w:val="center"/>
          </w:tcPr>
          <w:p w14:paraId="7D384267">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18.2</w:t>
            </w:r>
          </w:p>
        </w:tc>
        <w:tc>
          <w:tcPr>
            <w:tcW w:w="7377" w:type="dxa"/>
            <w:tcBorders>
              <w:top w:val="single" w:color="auto" w:sz="4" w:space="0"/>
              <w:left w:val="single" w:color="auto" w:sz="4" w:space="0"/>
              <w:bottom w:val="single" w:color="auto" w:sz="4" w:space="0"/>
            </w:tcBorders>
            <w:noWrap w:val="0"/>
            <w:vAlign w:val="center"/>
          </w:tcPr>
          <w:p w14:paraId="03EA41DD">
            <w:pPr>
              <w:autoSpaceDE w:val="0"/>
              <w:autoSpaceDN w:val="0"/>
              <w:adjustRightInd w:val="0"/>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lang w:val="zh-CN"/>
              </w:rPr>
              <w:t>竣工资料的份数：4份</w:t>
            </w:r>
          </w:p>
        </w:tc>
      </w:tr>
      <w:tr w14:paraId="6DD83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1C5E09D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19</w:t>
            </w:r>
          </w:p>
        </w:tc>
        <w:tc>
          <w:tcPr>
            <w:tcW w:w="1232" w:type="dxa"/>
            <w:tcBorders>
              <w:top w:val="single" w:color="auto" w:sz="4" w:space="0"/>
              <w:bottom w:val="single" w:color="auto" w:sz="4" w:space="0"/>
              <w:right w:val="single" w:color="auto" w:sz="4" w:space="0"/>
            </w:tcBorders>
            <w:noWrap w:val="0"/>
            <w:vAlign w:val="center"/>
          </w:tcPr>
          <w:p w14:paraId="01A2D8F4">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18.5.1</w:t>
            </w:r>
          </w:p>
        </w:tc>
        <w:tc>
          <w:tcPr>
            <w:tcW w:w="7377" w:type="dxa"/>
            <w:tcBorders>
              <w:top w:val="single" w:color="auto" w:sz="4" w:space="0"/>
              <w:left w:val="single" w:color="auto" w:sz="4" w:space="0"/>
              <w:bottom w:val="single" w:color="auto" w:sz="4" w:space="0"/>
            </w:tcBorders>
            <w:noWrap w:val="0"/>
            <w:vAlign w:val="center"/>
          </w:tcPr>
          <w:p w14:paraId="25AC41FB">
            <w:pPr>
              <w:autoSpaceDE w:val="0"/>
              <w:autoSpaceDN w:val="0"/>
              <w:adjustRightInd w:val="0"/>
              <w:spacing w:line="360" w:lineRule="auto"/>
              <w:rPr>
                <w:rFonts w:hint="eastAsia" w:ascii="宋体" w:hAnsi="宋体" w:eastAsia="宋体" w:cs="宋体"/>
                <w:color w:val="auto"/>
                <w:kern w:val="10"/>
                <w:sz w:val="24"/>
                <w:highlight w:val="none"/>
                <w:lang w:val="zh-CN"/>
              </w:rPr>
            </w:pPr>
            <w:r>
              <w:rPr>
                <w:rFonts w:hint="eastAsia" w:ascii="宋体" w:hAnsi="宋体" w:eastAsia="宋体" w:cs="宋体"/>
                <w:color w:val="auto"/>
                <w:kern w:val="10"/>
                <w:sz w:val="24"/>
                <w:highlight w:val="none"/>
                <w:lang w:val="zh-CN"/>
              </w:rPr>
              <w:t>单位工程或工程设备是否需投入施工期运行：是</w:t>
            </w:r>
          </w:p>
          <w:p w14:paraId="1E2D8333">
            <w:pPr>
              <w:autoSpaceDE w:val="0"/>
              <w:autoSpaceDN w:val="0"/>
              <w:adjustRightInd w:val="0"/>
              <w:spacing w:line="360" w:lineRule="auto"/>
              <w:rPr>
                <w:rFonts w:hint="eastAsia" w:ascii="宋体" w:hAnsi="宋体" w:eastAsia="宋体" w:cs="宋体"/>
                <w:color w:val="auto"/>
                <w:kern w:val="10"/>
                <w:sz w:val="24"/>
                <w:highlight w:val="none"/>
                <w:lang w:val="zh-CN"/>
              </w:rPr>
            </w:pPr>
            <w:r>
              <w:rPr>
                <w:rFonts w:hint="eastAsia" w:ascii="宋体" w:hAnsi="宋体" w:eastAsia="宋体" w:cs="宋体"/>
                <w:color w:val="auto"/>
                <w:kern w:val="10"/>
                <w:sz w:val="24"/>
                <w:highlight w:val="none"/>
                <w:lang w:val="zh-CN"/>
              </w:rPr>
              <w:t>本项目属于旧路改建，需要在施工期间维持交通畅通。</w:t>
            </w:r>
          </w:p>
        </w:tc>
      </w:tr>
      <w:tr w14:paraId="298F9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37D36B7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w:t>
            </w:r>
          </w:p>
        </w:tc>
        <w:tc>
          <w:tcPr>
            <w:tcW w:w="1232" w:type="dxa"/>
            <w:tcBorders>
              <w:top w:val="single" w:color="auto" w:sz="4" w:space="0"/>
              <w:bottom w:val="single" w:color="auto" w:sz="4" w:space="0"/>
              <w:right w:val="single" w:color="auto" w:sz="4" w:space="0"/>
            </w:tcBorders>
            <w:noWrap w:val="0"/>
            <w:vAlign w:val="center"/>
          </w:tcPr>
          <w:p w14:paraId="193ABB57">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18.6.1</w:t>
            </w:r>
          </w:p>
        </w:tc>
        <w:tc>
          <w:tcPr>
            <w:tcW w:w="7377" w:type="dxa"/>
            <w:tcBorders>
              <w:top w:val="single" w:color="auto" w:sz="4" w:space="0"/>
              <w:left w:val="single" w:color="auto" w:sz="4" w:space="0"/>
              <w:bottom w:val="single" w:color="auto" w:sz="4" w:space="0"/>
            </w:tcBorders>
            <w:noWrap w:val="0"/>
            <w:vAlign w:val="center"/>
          </w:tcPr>
          <w:p w14:paraId="6652AE1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本工程及工程设备是否进行试运行：</w:t>
            </w:r>
            <w:r>
              <w:rPr>
                <w:rFonts w:hint="eastAsia" w:ascii="宋体" w:hAnsi="宋体" w:eastAsia="宋体" w:cs="宋体"/>
                <w:color w:val="auto"/>
                <w:sz w:val="24"/>
                <w:highlight w:val="none"/>
                <w:u w:val="single"/>
              </w:rPr>
              <w:t>否</w:t>
            </w:r>
          </w:p>
        </w:tc>
      </w:tr>
      <w:tr w14:paraId="7EACC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6CDA09E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w:t>
            </w:r>
          </w:p>
        </w:tc>
        <w:tc>
          <w:tcPr>
            <w:tcW w:w="1232" w:type="dxa"/>
            <w:tcBorders>
              <w:top w:val="single" w:color="auto" w:sz="4" w:space="0"/>
              <w:bottom w:val="single" w:color="auto" w:sz="4" w:space="0"/>
              <w:right w:val="single" w:color="auto" w:sz="4" w:space="0"/>
            </w:tcBorders>
            <w:noWrap w:val="0"/>
            <w:vAlign w:val="center"/>
          </w:tcPr>
          <w:p w14:paraId="1573E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19.7</w:t>
            </w:r>
          </w:p>
        </w:tc>
        <w:tc>
          <w:tcPr>
            <w:tcW w:w="7377" w:type="dxa"/>
            <w:tcBorders>
              <w:top w:val="single" w:color="auto" w:sz="4" w:space="0"/>
              <w:left w:val="single" w:color="auto" w:sz="4" w:space="0"/>
              <w:bottom w:val="single" w:color="auto" w:sz="4" w:space="0"/>
            </w:tcBorders>
            <w:noWrap w:val="0"/>
            <w:vAlign w:val="center"/>
          </w:tcPr>
          <w:p w14:paraId="172477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保修期：项目运行期1年，保修期自项目运行期满后3年。</w:t>
            </w:r>
          </w:p>
        </w:tc>
      </w:tr>
      <w:tr w14:paraId="18A7E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84" w:type="dxa"/>
            <w:tcBorders>
              <w:top w:val="single" w:color="auto" w:sz="4" w:space="0"/>
              <w:bottom w:val="single" w:color="auto" w:sz="4" w:space="0"/>
              <w:right w:val="single" w:color="auto" w:sz="4" w:space="0"/>
            </w:tcBorders>
            <w:noWrap w:val="0"/>
            <w:vAlign w:val="center"/>
          </w:tcPr>
          <w:p w14:paraId="24B3A98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22</w:t>
            </w:r>
          </w:p>
        </w:tc>
        <w:tc>
          <w:tcPr>
            <w:tcW w:w="1232" w:type="dxa"/>
            <w:tcBorders>
              <w:top w:val="single" w:color="auto" w:sz="4" w:space="0"/>
              <w:bottom w:val="single" w:color="auto" w:sz="4" w:space="0"/>
              <w:right w:val="single" w:color="auto" w:sz="4" w:space="0"/>
            </w:tcBorders>
            <w:noWrap w:val="0"/>
            <w:vAlign w:val="center"/>
          </w:tcPr>
          <w:p w14:paraId="373BFDFE">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20.1</w:t>
            </w:r>
          </w:p>
        </w:tc>
        <w:tc>
          <w:tcPr>
            <w:tcW w:w="7377" w:type="dxa"/>
            <w:tcBorders>
              <w:top w:val="single" w:color="auto" w:sz="4" w:space="0"/>
              <w:left w:val="single" w:color="auto" w:sz="4" w:space="0"/>
              <w:bottom w:val="single" w:color="auto" w:sz="4" w:space="0"/>
            </w:tcBorders>
            <w:noWrap w:val="0"/>
            <w:vAlign w:val="center"/>
          </w:tcPr>
          <w:p w14:paraId="1338F01B">
            <w:pPr>
              <w:autoSpaceDE w:val="0"/>
              <w:autoSpaceDN w:val="0"/>
              <w:adjustRightInd w:val="0"/>
              <w:spacing w:line="360" w:lineRule="auto"/>
              <w:rPr>
                <w:rFonts w:hint="eastAsia" w:ascii="宋体" w:hAnsi="宋体" w:eastAsia="宋体" w:cs="宋体"/>
                <w:color w:val="auto"/>
                <w:kern w:val="10"/>
                <w:sz w:val="24"/>
                <w:highlight w:val="none"/>
                <w:lang w:val="zh-CN"/>
              </w:rPr>
            </w:pPr>
            <w:r>
              <w:rPr>
                <w:rFonts w:hint="eastAsia" w:ascii="宋体" w:hAnsi="宋体" w:eastAsia="宋体" w:cs="宋体"/>
                <w:color w:val="auto"/>
                <w:kern w:val="10"/>
                <w:sz w:val="24"/>
                <w:highlight w:val="none"/>
                <w:lang w:val="zh-CN"/>
              </w:rPr>
              <w:t>建筑工程一切险的保险费率：</w:t>
            </w:r>
            <w:r>
              <w:rPr>
                <w:rFonts w:hint="eastAsia" w:ascii="宋体" w:hAnsi="宋体" w:eastAsia="宋体" w:cs="宋体"/>
                <w:color w:val="auto"/>
                <w:kern w:val="10"/>
                <w:sz w:val="24"/>
                <w:highlight w:val="none"/>
              </w:rPr>
              <w:t>0.3%</w:t>
            </w:r>
          </w:p>
        </w:tc>
      </w:tr>
      <w:tr w14:paraId="67EF1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84" w:type="dxa"/>
            <w:tcBorders>
              <w:top w:val="single" w:color="auto" w:sz="4" w:space="0"/>
              <w:bottom w:val="single" w:color="auto" w:sz="4" w:space="0"/>
              <w:right w:val="single" w:color="auto" w:sz="4" w:space="0"/>
            </w:tcBorders>
            <w:noWrap w:val="0"/>
            <w:vAlign w:val="center"/>
          </w:tcPr>
          <w:p w14:paraId="4CB54E44">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23</w:t>
            </w:r>
          </w:p>
        </w:tc>
        <w:tc>
          <w:tcPr>
            <w:tcW w:w="1232" w:type="dxa"/>
            <w:tcBorders>
              <w:top w:val="single" w:color="auto" w:sz="4" w:space="0"/>
              <w:bottom w:val="single" w:color="auto" w:sz="4" w:space="0"/>
              <w:right w:val="single" w:color="auto" w:sz="4" w:space="0"/>
            </w:tcBorders>
            <w:noWrap w:val="0"/>
            <w:vAlign w:val="center"/>
          </w:tcPr>
          <w:p w14:paraId="2C88DD17">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20．4.2</w:t>
            </w:r>
          </w:p>
        </w:tc>
        <w:tc>
          <w:tcPr>
            <w:tcW w:w="7377" w:type="dxa"/>
            <w:tcBorders>
              <w:top w:val="single" w:color="auto" w:sz="4" w:space="0"/>
              <w:left w:val="single" w:color="auto" w:sz="4" w:space="0"/>
              <w:bottom w:val="single" w:color="auto" w:sz="4" w:space="0"/>
            </w:tcBorders>
            <w:noWrap w:val="0"/>
            <w:vAlign w:val="center"/>
          </w:tcPr>
          <w:p w14:paraId="4CE5D595">
            <w:pPr>
              <w:autoSpaceDE w:val="0"/>
              <w:autoSpaceDN w:val="0"/>
              <w:adjustRightInd w:val="0"/>
              <w:spacing w:line="360" w:lineRule="auto"/>
              <w:rPr>
                <w:rFonts w:hint="eastAsia" w:ascii="宋体" w:hAnsi="宋体" w:eastAsia="宋体" w:cs="宋体"/>
                <w:color w:val="auto"/>
                <w:kern w:val="10"/>
                <w:sz w:val="24"/>
                <w:highlight w:val="none"/>
                <w:lang w:val="zh-CN"/>
              </w:rPr>
            </w:pPr>
            <w:r>
              <w:rPr>
                <w:rFonts w:hint="eastAsia" w:ascii="宋体" w:hAnsi="宋体" w:eastAsia="宋体" w:cs="宋体"/>
                <w:color w:val="auto"/>
                <w:kern w:val="10"/>
                <w:sz w:val="24"/>
                <w:highlight w:val="none"/>
                <w:lang w:val="zh-CN"/>
              </w:rPr>
              <w:t>第三者责任险的保险费率：</w:t>
            </w:r>
            <w:r>
              <w:rPr>
                <w:rFonts w:hint="eastAsia" w:ascii="宋体" w:hAnsi="宋体" w:eastAsia="宋体" w:cs="宋体"/>
                <w:color w:val="auto"/>
                <w:kern w:val="10"/>
                <w:sz w:val="24"/>
                <w:highlight w:val="none"/>
              </w:rPr>
              <w:t>0.2%</w:t>
            </w:r>
          </w:p>
        </w:tc>
      </w:tr>
      <w:tr w14:paraId="54C9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84" w:type="dxa"/>
            <w:tcBorders>
              <w:top w:val="single" w:color="auto" w:sz="4" w:space="0"/>
              <w:bottom w:val="single" w:color="auto" w:sz="4" w:space="0"/>
              <w:right w:val="single" w:color="auto" w:sz="4" w:space="0"/>
            </w:tcBorders>
            <w:noWrap w:val="0"/>
            <w:vAlign w:val="center"/>
          </w:tcPr>
          <w:p w14:paraId="5F355F9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w:t>
            </w:r>
          </w:p>
        </w:tc>
        <w:tc>
          <w:tcPr>
            <w:tcW w:w="1232" w:type="dxa"/>
            <w:tcBorders>
              <w:top w:val="single" w:color="auto" w:sz="4" w:space="0"/>
              <w:bottom w:val="single" w:color="auto" w:sz="4" w:space="0"/>
              <w:right w:val="single" w:color="auto" w:sz="4" w:space="0"/>
            </w:tcBorders>
            <w:noWrap w:val="0"/>
            <w:vAlign w:val="center"/>
          </w:tcPr>
          <w:p w14:paraId="3A726258">
            <w:pPr>
              <w:keepNext/>
              <w:keepLines/>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24.1 </w:t>
            </w:r>
          </w:p>
        </w:tc>
        <w:tc>
          <w:tcPr>
            <w:tcW w:w="7377" w:type="dxa"/>
            <w:tcBorders>
              <w:top w:val="single" w:color="auto" w:sz="4" w:space="0"/>
              <w:left w:val="single" w:color="auto" w:sz="4" w:space="0"/>
              <w:bottom w:val="single" w:color="auto" w:sz="4" w:space="0"/>
            </w:tcBorders>
            <w:noWrap w:val="0"/>
            <w:vAlign w:val="center"/>
          </w:tcPr>
          <w:p w14:paraId="33B3F1B4">
            <w:pPr>
              <w:autoSpaceDE w:val="0"/>
              <w:autoSpaceDN w:val="0"/>
              <w:adjustRightInd w:val="0"/>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lang w:val="zh-CN"/>
              </w:rPr>
              <w:t>争议的最终解决方式：</w:t>
            </w:r>
            <w:r>
              <w:rPr>
                <w:rFonts w:hint="eastAsia" w:ascii="宋体" w:hAnsi="宋体" w:eastAsia="宋体" w:cs="宋体"/>
                <w:color w:val="auto"/>
                <w:kern w:val="10"/>
                <w:sz w:val="24"/>
                <w:highlight w:val="none"/>
                <w:u w:val="single"/>
                <w:lang w:val="zh-CN"/>
              </w:rPr>
              <w:t>向具有管辖权的人民法院提起诉讼</w:t>
            </w:r>
          </w:p>
        </w:tc>
      </w:tr>
    </w:tbl>
    <w:p w14:paraId="4E67B32C">
      <w:pPr>
        <w:spacing w:line="360" w:lineRule="auto"/>
        <w:rPr>
          <w:rFonts w:hint="eastAsia" w:ascii="宋体" w:hAnsi="宋体" w:eastAsia="宋体" w:cs="宋体"/>
          <w:bCs/>
          <w:color w:val="auto"/>
          <w:sz w:val="24"/>
          <w:highlight w:val="none"/>
        </w:rPr>
      </w:pPr>
    </w:p>
    <w:p w14:paraId="090061AA">
      <w:pPr>
        <w:tabs>
          <w:tab w:val="left" w:pos="1080"/>
        </w:tabs>
        <w:spacing w:line="360" w:lineRule="auto"/>
        <w:ind w:firstLine="480" w:firstLineChars="200"/>
        <w:rPr>
          <w:rFonts w:hint="eastAsia" w:ascii="宋体" w:hAnsi="宋体" w:eastAsia="宋体" w:cs="宋体"/>
          <w:color w:val="auto"/>
          <w:sz w:val="24"/>
          <w:highlight w:val="none"/>
        </w:rPr>
      </w:pPr>
    </w:p>
    <w:p w14:paraId="36FD5507">
      <w:pPr>
        <w:jc w:val="center"/>
        <w:outlineLvl w:val="9"/>
        <w:rPr>
          <w:rFonts w:hint="eastAsia" w:ascii="宋体" w:hAnsi="宋体" w:eastAsia="宋体" w:cs="宋体"/>
          <w:b/>
          <w:bCs/>
          <w:color w:val="auto"/>
          <w:highlight w:val="none"/>
          <w:lang w:eastAsia="zh-CN"/>
        </w:rPr>
      </w:pPr>
      <w:bookmarkStart w:id="562" w:name="_Toc32141"/>
      <w:bookmarkStart w:id="563" w:name="_Toc9125"/>
      <w:bookmarkStart w:id="564" w:name="_Toc17241"/>
      <w:bookmarkStart w:id="565" w:name="_Toc21922"/>
      <w:bookmarkStart w:id="566" w:name="_Toc24416"/>
      <w:bookmarkStart w:id="567" w:name="_Toc11198"/>
      <w:bookmarkStart w:id="568" w:name="_Toc5026"/>
      <w:bookmarkStart w:id="569" w:name="_Toc24262"/>
      <w:bookmarkStart w:id="570" w:name="_Toc29451"/>
      <w:bookmarkStart w:id="571" w:name="_Toc18258"/>
      <w:bookmarkStart w:id="572" w:name="_Toc3407"/>
      <w:bookmarkStart w:id="573" w:name="_Toc5868"/>
      <w:bookmarkStart w:id="574" w:name="_Toc18946"/>
      <w:r>
        <w:rPr>
          <w:rFonts w:hint="eastAsia" w:ascii="宋体" w:hAnsi="宋体" w:eastAsia="宋体" w:cs="宋体"/>
          <w:b/>
          <w:bCs/>
          <w:color w:val="auto"/>
          <w:highlight w:val="none"/>
          <w:lang w:eastAsia="zh-CN"/>
        </w:rPr>
        <w:br w:type="page"/>
      </w:r>
    </w:p>
    <w:p w14:paraId="7B7EB646">
      <w:pPr>
        <w:pStyle w:val="3"/>
        <w:numPr>
          <w:ilvl w:val="0"/>
          <w:numId w:val="0"/>
        </w:numPr>
        <w:jc w:val="center"/>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九、</w:t>
      </w:r>
      <w:r>
        <w:rPr>
          <w:rFonts w:hint="eastAsia" w:ascii="宋体" w:hAnsi="宋体" w:eastAsia="宋体" w:cs="宋体"/>
          <w:b/>
          <w:bCs/>
          <w:color w:val="auto"/>
          <w:highlight w:val="none"/>
        </w:rPr>
        <w:t>标价的工程量清单</w:t>
      </w:r>
      <w:bookmarkEnd w:id="562"/>
      <w:bookmarkEnd w:id="563"/>
      <w:bookmarkEnd w:id="564"/>
      <w:bookmarkEnd w:id="565"/>
      <w:bookmarkEnd w:id="566"/>
      <w:bookmarkEnd w:id="567"/>
      <w:bookmarkEnd w:id="568"/>
      <w:bookmarkEnd w:id="569"/>
      <w:bookmarkEnd w:id="570"/>
      <w:bookmarkEnd w:id="571"/>
      <w:bookmarkEnd w:id="572"/>
      <w:bookmarkEnd w:id="573"/>
      <w:bookmarkEnd w:id="574"/>
      <w:bookmarkStart w:id="575" w:name="_Toc20160"/>
      <w:bookmarkStart w:id="576" w:name="_Toc6581"/>
      <w:bookmarkStart w:id="577" w:name="_Toc23106"/>
      <w:bookmarkStart w:id="578" w:name="_Toc9627"/>
      <w:bookmarkStart w:id="579" w:name="_Toc16385"/>
      <w:bookmarkStart w:id="580" w:name="_Toc30220"/>
      <w:bookmarkStart w:id="581" w:name="_Toc28109"/>
      <w:bookmarkStart w:id="582" w:name="_Toc17132"/>
    </w:p>
    <w:p w14:paraId="3A290CAB">
      <w:pPr>
        <w:rPr>
          <w:rFonts w:hint="eastAsia" w:ascii="宋体" w:hAnsi="宋体" w:eastAsia="宋体" w:cs="宋体"/>
          <w:color w:val="auto"/>
          <w:sz w:val="24"/>
          <w:szCs w:val="24"/>
          <w:highlight w:val="none"/>
        </w:rPr>
      </w:pPr>
    </w:p>
    <w:p w14:paraId="158805ED">
      <w:pPr>
        <w:rPr>
          <w:rFonts w:hint="eastAsia" w:ascii="宋体" w:hAnsi="宋体" w:eastAsia="宋体" w:cs="宋体"/>
          <w:color w:val="auto"/>
          <w:sz w:val="24"/>
          <w:szCs w:val="24"/>
          <w:highlight w:val="none"/>
        </w:rPr>
      </w:pPr>
    </w:p>
    <w:p w14:paraId="759523E6">
      <w:pPr>
        <w:rPr>
          <w:rFonts w:hint="eastAsia" w:ascii="宋体" w:hAnsi="宋体" w:eastAsia="宋体" w:cs="宋体"/>
          <w:color w:val="auto"/>
          <w:sz w:val="24"/>
          <w:szCs w:val="24"/>
          <w:highlight w:val="none"/>
        </w:rPr>
      </w:pPr>
    </w:p>
    <w:p w14:paraId="3A208D9E">
      <w:pPr>
        <w:rPr>
          <w:rFonts w:hint="eastAsia" w:ascii="宋体" w:hAnsi="宋体" w:eastAsia="宋体" w:cs="宋体"/>
          <w:color w:val="auto"/>
          <w:sz w:val="24"/>
          <w:szCs w:val="24"/>
          <w:highlight w:val="none"/>
        </w:rPr>
      </w:pPr>
    </w:p>
    <w:p w14:paraId="46C869C9">
      <w:pPr>
        <w:rPr>
          <w:rFonts w:hint="eastAsia" w:ascii="宋体" w:hAnsi="宋体" w:eastAsia="宋体" w:cs="宋体"/>
          <w:color w:val="auto"/>
          <w:sz w:val="24"/>
          <w:szCs w:val="24"/>
          <w:highlight w:val="none"/>
        </w:rPr>
      </w:pPr>
    </w:p>
    <w:p w14:paraId="6BFE56DD">
      <w:pPr>
        <w:rPr>
          <w:rFonts w:hint="eastAsia" w:ascii="宋体" w:hAnsi="宋体" w:eastAsia="宋体" w:cs="宋体"/>
          <w:color w:val="auto"/>
          <w:sz w:val="24"/>
          <w:szCs w:val="24"/>
          <w:highlight w:val="none"/>
        </w:rPr>
      </w:pPr>
    </w:p>
    <w:p w14:paraId="0E5528B9">
      <w:pPr>
        <w:rPr>
          <w:rFonts w:hint="eastAsia" w:ascii="宋体" w:hAnsi="宋体" w:eastAsia="宋体" w:cs="宋体"/>
          <w:color w:val="auto"/>
          <w:sz w:val="24"/>
          <w:szCs w:val="24"/>
          <w:highlight w:val="none"/>
        </w:rPr>
      </w:pPr>
    </w:p>
    <w:p w14:paraId="771749A7">
      <w:pPr>
        <w:rPr>
          <w:rFonts w:hint="eastAsia" w:ascii="宋体" w:hAnsi="宋体" w:eastAsia="宋体" w:cs="宋体"/>
          <w:color w:val="auto"/>
          <w:sz w:val="24"/>
          <w:szCs w:val="24"/>
          <w:highlight w:val="none"/>
        </w:rPr>
      </w:pPr>
    </w:p>
    <w:p w14:paraId="367A38AF">
      <w:pPr>
        <w:rPr>
          <w:rFonts w:hint="eastAsia" w:ascii="宋体" w:hAnsi="宋体" w:eastAsia="宋体" w:cs="宋体"/>
          <w:color w:val="auto"/>
          <w:sz w:val="24"/>
          <w:szCs w:val="24"/>
          <w:highlight w:val="none"/>
        </w:rPr>
      </w:pPr>
    </w:p>
    <w:p w14:paraId="660F7B66">
      <w:pPr>
        <w:rPr>
          <w:rFonts w:hint="eastAsia" w:ascii="宋体" w:hAnsi="宋体" w:eastAsia="宋体" w:cs="宋体"/>
          <w:color w:val="auto"/>
          <w:sz w:val="24"/>
          <w:szCs w:val="24"/>
          <w:highlight w:val="none"/>
        </w:rPr>
      </w:pPr>
    </w:p>
    <w:p w14:paraId="724B92EE">
      <w:pPr>
        <w:rPr>
          <w:rFonts w:hint="eastAsia" w:ascii="宋体" w:hAnsi="宋体" w:eastAsia="宋体" w:cs="宋体"/>
          <w:color w:val="auto"/>
          <w:sz w:val="24"/>
          <w:szCs w:val="24"/>
          <w:highlight w:val="none"/>
        </w:rPr>
      </w:pPr>
    </w:p>
    <w:p w14:paraId="0910DE46">
      <w:pPr>
        <w:rPr>
          <w:rFonts w:hint="eastAsia" w:ascii="宋体" w:hAnsi="宋体" w:eastAsia="宋体" w:cs="宋体"/>
          <w:color w:val="auto"/>
          <w:sz w:val="24"/>
          <w:szCs w:val="24"/>
          <w:highlight w:val="none"/>
        </w:rPr>
      </w:pPr>
    </w:p>
    <w:p w14:paraId="33CEAF98">
      <w:pPr>
        <w:rPr>
          <w:rFonts w:hint="eastAsia" w:ascii="宋体" w:hAnsi="宋体" w:eastAsia="宋体" w:cs="宋体"/>
          <w:color w:val="auto"/>
          <w:sz w:val="24"/>
          <w:szCs w:val="24"/>
          <w:highlight w:val="none"/>
        </w:rPr>
      </w:pPr>
    </w:p>
    <w:p w14:paraId="3CC65EA2">
      <w:pPr>
        <w:rPr>
          <w:rFonts w:hint="eastAsia" w:ascii="宋体" w:hAnsi="宋体" w:eastAsia="宋体" w:cs="宋体"/>
          <w:color w:val="auto"/>
          <w:sz w:val="24"/>
          <w:szCs w:val="24"/>
          <w:highlight w:val="none"/>
        </w:rPr>
      </w:pPr>
    </w:p>
    <w:p w14:paraId="1E43DD98">
      <w:pPr>
        <w:rPr>
          <w:rFonts w:hint="eastAsia" w:ascii="宋体" w:hAnsi="宋体" w:eastAsia="宋体" w:cs="宋体"/>
          <w:color w:val="auto"/>
          <w:sz w:val="24"/>
          <w:szCs w:val="24"/>
          <w:highlight w:val="none"/>
        </w:rPr>
      </w:pPr>
    </w:p>
    <w:p w14:paraId="1AD27350">
      <w:pPr>
        <w:rPr>
          <w:rFonts w:hint="eastAsia" w:ascii="宋体" w:hAnsi="宋体" w:eastAsia="宋体" w:cs="宋体"/>
          <w:color w:val="auto"/>
          <w:sz w:val="24"/>
          <w:szCs w:val="24"/>
          <w:highlight w:val="none"/>
        </w:rPr>
      </w:pPr>
    </w:p>
    <w:p w14:paraId="65500E1D">
      <w:pPr>
        <w:rPr>
          <w:rFonts w:hint="eastAsia" w:ascii="宋体" w:hAnsi="宋体" w:eastAsia="宋体" w:cs="宋体"/>
          <w:color w:val="auto"/>
          <w:sz w:val="24"/>
          <w:szCs w:val="24"/>
          <w:highlight w:val="none"/>
        </w:rPr>
      </w:pPr>
    </w:p>
    <w:p w14:paraId="456CF72E">
      <w:pPr>
        <w:rPr>
          <w:rFonts w:hint="eastAsia" w:ascii="宋体" w:hAnsi="宋体" w:eastAsia="宋体" w:cs="宋体"/>
          <w:color w:val="auto"/>
          <w:sz w:val="24"/>
          <w:szCs w:val="24"/>
          <w:highlight w:val="none"/>
        </w:rPr>
      </w:pPr>
    </w:p>
    <w:p w14:paraId="3B13E0E5">
      <w:pPr>
        <w:rPr>
          <w:rFonts w:hint="eastAsia" w:ascii="宋体" w:hAnsi="宋体" w:eastAsia="宋体" w:cs="宋体"/>
          <w:color w:val="auto"/>
          <w:sz w:val="24"/>
          <w:szCs w:val="24"/>
          <w:highlight w:val="none"/>
        </w:rPr>
      </w:pPr>
    </w:p>
    <w:p w14:paraId="697FAF35">
      <w:pPr>
        <w:rPr>
          <w:rFonts w:hint="eastAsia" w:ascii="宋体" w:hAnsi="宋体" w:eastAsia="宋体" w:cs="宋体"/>
          <w:color w:val="auto"/>
          <w:sz w:val="24"/>
          <w:szCs w:val="24"/>
          <w:highlight w:val="none"/>
        </w:rPr>
      </w:pPr>
    </w:p>
    <w:p w14:paraId="15D6EBE2">
      <w:pPr>
        <w:rPr>
          <w:rFonts w:hint="eastAsia" w:ascii="宋体" w:hAnsi="宋体" w:eastAsia="宋体" w:cs="宋体"/>
          <w:color w:val="auto"/>
          <w:sz w:val="24"/>
          <w:szCs w:val="24"/>
          <w:highlight w:val="none"/>
        </w:rPr>
      </w:pPr>
    </w:p>
    <w:bookmarkEnd w:id="575"/>
    <w:bookmarkEnd w:id="576"/>
    <w:bookmarkEnd w:id="577"/>
    <w:bookmarkEnd w:id="578"/>
    <w:bookmarkEnd w:id="579"/>
    <w:bookmarkEnd w:id="580"/>
    <w:bookmarkEnd w:id="581"/>
    <w:bookmarkEnd w:id="582"/>
    <w:p w14:paraId="609903AB">
      <w:pPr>
        <w:widowControl/>
        <w:spacing w:beforeAutospacing="1" w:afterAutospacing="1" w:line="360" w:lineRule="auto"/>
        <w:rPr>
          <w:rFonts w:hint="eastAsia" w:ascii="宋体" w:hAnsi="宋体" w:eastAsia="宋体" w:cs="宋体"/>
          <w:color w:val="auto"/>
          <w:highlight w:val="none"/>
        </w:rPr>
        <w:sectPr>
          <w:footerReference r:id="rId18" w:type="default"/>
          <w:pgSz w:w="11907" w:h="16840"/>
          <w:pgMar w:top="1440" w:right="1361" w:bottom="1440" w:left="1361" w:header="720" w:footer="720" w:gutter="0"/>
          <w:pgNumType w:fmt="decimal"/>
          <w:cols w:space="720" w:num="1"/>
          <w:rtlGutter w:val="1"/>
          <w:docGrid w:type="lines" w:linePitch="286" w:charSpace="0"/>
        </w:sectPr>
      </w:pPr>
    </w:p>
    <w:p w14:paraId="1B301647">
      <w:pPr>
        <w:pStyle w:val="3"/>
        <w:jc w:val="center"/>
        <w:outlineLvl w:val="1"/>
        <w:rPr>
          <w:rFonts w:hint="eastAsia" w:ascii="宋体" w:hAnsi="宋体" w:eastAsia="宋体" w:cs="宋体"/>
          <w:color w:val="auto"/>
          <w:highlight w:val="none"/>
        </w:rPr>
      </w:pPr>
      <w:bookmarkStart w:id="583" w:name="_Toc27229"/>
      <w:bookmarkStart w:id="584" w:name="_Toc31050"/>
      <w:bookmarkStart w:id="585" w:name="_Toc26715"/>
      <w:bookmarkStart w:id="586" w:name="_Toc25837"/>
      <w:bookmarkStart w:id="587" w:name="_Toc29860"/>
      <w:bookmarkStart w:id="588" w:name="_Toc23443"/>
      <w:bookmarkStart w:id="589" w:name="_Toc19248"/>
      <w:bookmarkStart w:id="590" w:name="_Toc4013"/>
      <w:bookmarkStart w:id="591" w:name="_Toc969"/>
      <w:r>
        <w:rPr>
          <w:rFonts w:hint="eastAsia" w:ascii="宋体" w:hAnsi="宋体" w:eastAsia="宋体" w:cs="宋体"/>
          <w:color w:val="auto"/>
          <w:highlight w:val="none"/>
        </w:rPr>
        <w:t>十、拟投入本项目的主要管理人员汇总表及简历</w:t>
      </w:r>
      <w:bookmarkEnd w:id="583"/>
      <w:bookmarkEnd w:id="584"/>
      <w:bookmarkEnd w:id="585"/>
      <w:bookmarkEnd w:id="586"/>
      <w:bookmarkEnd w:id="587"/>
      <w:bookmarkEnd w:id="588"/>
      <w:bookmarkEnd w:id="589"/>
      <w:bookmarkEnd w:id="590"/>
      <w:bookmarkEnd w:id="591"/>
    </w:p>
    <w:p w14:paraId="426FA957">
      <w:pPr>
        <w:pStyle w:val="233"/>
        <w:spacing w:line="360" w:lineRule="auto"/>
        <w:jc w:val="both"/>
        <w:outlineLvl w:val="9"/>
        <w:rPr>
          <w:rFonts w:hint="eastAsia" w:ascii="宋体" w:hAnsi="宋体" w:eastAsia="宋体" w:cs="宋体"/>
          <w:color w:val="auto"/>
          <w:sz w:val="24"/>
          <w:szCs w:val="24"/>
          <w:highlight w:val="none"/>
        </w:rPr>
      </w:pPr>
    </w:p>
    <w:tbl>
      <w:tblPr>
        <w:tblStyle w:val="49"/>
        <w:tblW w:w="96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069"/>
        <w:gridCol w:w="971"/>
        <w:gridCol w:w="1262"/>
        <w:gridCol w:w="806"/>
        <w:gridCol w:w="1477"/>
        <w:gridCol w:w="1230"/>
        <w:gridCol w:w="840"/>
        <w:gridCol w:w="930"/>
      </w:tblGrid>
      <w:tr w14:paraId="2B1E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082" w:type="dxa"/>
            <w:vMerge w:val="restart"/>
            <w:noWrap w:val="0"/>
            <w:vAlign w:val="center"/>
          </w:tcPr>
          <w:p w14:paraId="2B0EDDB8">
            <w:pPr>
              <w:spacing w:line="360" w:lineRule="auto"/>
              <w:ind w:left="254" w:leftChars="0"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1069" w:type="dxa"/>
            <w:vMerge w:val="restart"/>
            <w:tcBorders>
              <w:left w:val="nil"/>
            </w:tcBorders>
            <w:noWrap w:val="0"/>
            <w:vAlign w:val="center"/>
          </w:tcPr>
          <w:p w14:paraId="6C3CB523">
            <w:pPr>
              <w:spacing w:line="360" w:lineRule="auto"/>
              <w:ind w:left="254" w:leftChars="0"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71" w:type="dxa"/>
            <w:vMerge w:val="restart"/>
            <w:tcBorders>
              <w:left w:val="nil"/>
            </w:tcBorders>
            <w:noWrap w:val="0"/>
            <w:vAlign w:val="center"/>
          </w:tcPr>
          <w:p w14:paraId="3EC4E044">
            <w:pPr>
              <w:spacing w:line="360" w:lineRule="auto"/>
              <w:ind w:left="254" w:leftChars="0"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775" w:type="dxa"/>
            <w:gridSpan w:val="4"/>
            <w:tcBorders>
              <w:left w:val="nil"/>
            </w:tcBorders>
            <w:noWrap w:val="0"/>
            <w:vAlign w:val="center"/>
          </w:tcPr>
          <w:p w14:paraId="1D560BE5">
            <w:pPr>
              <w:spacing w:line="360" w:lineRule="auto"/>
              <w:ind w:left="254" w:leftChars="0"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770" w:type="dxa"/>
            <w:gridSpan w:val="2"/>
            <w:tcBorders>
              <w:left w:val="nil"/>
            </w:tcBorders>
            <w:noWrap w:val="0"/>
            <w:vAlign w:val="center"/>
          </w:tcPr>
          <w:p w14:paraId="13871866">
            <w:pPr>
              <w:spacing w:line="360" w:lineRule="auto"/>
              <w:ind w:left="254"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承担完工</w:t>
            </w:r>
          </w:p>
          <w:p w14:paraId="69B0D9AB">
            <w:pPr>
              <w:spacing w:line="360" w:lineRule="auto"/>
              <w:ind w:left="254" w:leftChars="0" w:hanging="254" w:hangingChars="10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工程情况</w:t>
            </w:r>
          </w:p>
        </w:tc>
      </w:tr>
      <w:tr w14:paraId="55B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082" w:type="dxa"/>
            <w:vMerge w:val="continue"/>
            <w:noWrap w:val="0"/>
            <w:vAlign w:val="center"/>
          </w:tcPr>
          <w:p w14:paraId="3BBEF21D">
            <w:pPr>
              <w:widowControl/>
              <w:spacing w:line="360" w:lineRule="auto"/>
              <w:rPr>
                <w:rFonts w:hint="eastAsia" w:ascii="宋体" w:hAnsi="宋体" w:eastAsia="宋体" w:cs="宋体"/>
                <w:color w:val="auto"/>
                <w:sz w:val="24"/>
                <w:highlight w:val="none"/>
              </w:rPr>
            </w:pPr>
          </w:p>
        </w:tc>
        <w:tc>
          <w:tcPr>
            <w:tcW w:w="1069" w:type="dxa"/>
            <w:vMerge w:val="continue"/>
            <w:tcBorders>
              <w:left w:val="nil"/>
            </w:tcBorders>
            <w:noWrap w:val="0"/>
            <w:vAlign w:val="center"/>
          </w:tcPr>
          <w:p w14:paraId="77B8EE07">
            <w:pPr>
              <w:widowControl/>
              <w:spacing w:line="360" w:lineRule="auto"/>
              <w:rPr>
                <w:rFonts w:hint="eastAsia" w:ascii="宋体" w:hAnsi="宋体" w:eastAsia="宋体" w:cs="宋体"/>
                <w:color w:val="auto"/>
                <w:sz w:val="24"/>
                <w:highlight w:val="none"/>
              </w:rPr>
            </w:pPr>
          </w:p>
        </w:tc>
        <w:tc>
          <w:tcPr>
            <w:tcW w:w="971" w:type="dxa"/>
            <w:vMerge w:val="continue"/>
            <w:tcBorders>
              <w:left w:val="nil"/>
            </w:tcBorders>
            <w:noWrap w:val="0"/>
            <w:vAlign w:val="center"/>
          </w:tcPr>
          <w:p w14:paraId="32A1C3F5">
            <w:pPr>
              <w:widowControl/>
              <w:spacing w:line="360" w:lineRule="auto"/>
              <w:rPr>
                <w:rFonts w:hint="eastAsia" w:ascii="宋体" w:hAnsi="宋体" w:eastAsia="宋体" w:cs="宋体"/>
                <w:color w:val="auto"/>
                <w:sz w:val="24"/>
                <w:highlight w:val="none"/>
              </w:rPr>
            </w:pPr>
          </w:p>
        </w:tc>
        <w:tc>
          <w:tcPr>
            <w:tcW w:w="1262" w:type="dxa"/>
            <w:tcBorders>
              <w:left w:val="nil"/>
            </w:tcBorders>
            <w:noWrap w:val="0"/>
            <w:vAlign w:val="center"/>
          </w:tcPr>
          <w:p w14:paraId="3BA1BD57">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证书名称</w:t>
            </w:r>
          </w:p>
        </w:tc>
        <w:tc>
          <w:tcPr>
            <w:tcW w:w="806" w:type="dxa"/>
            <w:tcBorders>
              <w:left w:val="nil"/>
            </w:tcBorders>
            <w:noWrap w:val="0"/>
            <w:vAlign w:val="center"/>
          </w:tcPr>
          <w:p w14:paraId="3C551D3E">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级别</w:t>
            </w:r>
          </w:p>
        </w:tc>
        <w:tc>
          <w:tcPr>
            <w:tcW w:w="1477" w:type="dxa"/>
            <w:tcBorders>
              <w:left w:val="nil"/>
            </w:tcBorders>
            <w:noWrap w:val="0"/>
            <w:vAlign w:val="center"/>
          </w:tcPr>
          <w:p w14:paraId="653D9DB5">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证号</w:t>
            </w:r>
          </w:p>
        </w:tc>
        <w:tc>
          <w:tcPr>
            <w:tcW w:w="1230" w:type="dxa"/>
            <w:tcBorders>
              <w:left w:val="nil"/>
            </w:tcBorders>
            <w:noWrap w:val="0"/>
            <w:vAlign w:val="center"/>
          </w:tcPr>
          <w:p w14:paraId="2DB03C75">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专业</w:t>
            </w:r>
          </w:p>
        </w:tc>
        <w:tc>
          <w:tcPr>
            <w:tcW w:w="840" w:type="dxa"/>
            <w:tcBorders>
              <w:left w:val="nil"/>
            </w:tcBorders>
            <w:noWrap w:val="0"/>
            <w:vAlign w:val="center"/>
          </w:tcPr>
          <w:p w14:paraId="6A4CD432">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项目数</w:t>
            </w:r>
          </w:p>
        </w:tc>
        <w:tc>
          <w:tcPr>
            <w:tcW w:w="930" w:type="dxa"/>
            <w:tcBorders>
              <w:left w:val="nil"/>
            </w:tcBorders>
            <w:noWrap w:val="0"/>
            <w:vAlign w:val="center"/>
          </w:tcPr>
          <w:p w14:paraId="300D5348">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主要项</w:t>
            </w:r>
          </w:p>
          <w:p w14:paraId="02F1C7FA">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目名称</w:t>
            </w:r>
          </w:p>
        </w:tc>
      </w:tr>
      <w:tr w14:paraId="17F2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1082" w:type="dxa"/>
            <w:noWrap w:val="0"/>
            <w:vAlign w:val="center"/>
          </w:tcPr>
          <w:p w14:paraId="1E883CE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二级建造师</w:t>
            </w:r>
          </w:p>
        </w:tc>
        <w:tc>
          <w:tcPr>
            <w:tcW w:w="1069" w:type="dxa"/>
            <w:tcBorders>
              <w:left w:val="nil"/>
            </w:tcBorders>
            <w:noWrap w:val="0"/>
            <w:vAlign w:val="center"/>
          </w:tcPr>
          <w:p w14:paraId="4B0FBC28">
            <w:pPr>
              <w:spacing w:line="360" w:lineRule="auto"/>
              <w:jc w:val="center"/>
              <w:rPr>
                <w:rFonts w:hint="eastAsia" w:ascii="宋体" w:hAnsi="宋体" w:eastAsia="宋体" w:cs="宋体"/>
                <w:color w:val="auto"/>
                <w:sz w:val="24"/>
                <w:highlight w:val="none"/>
              </w:rPr>
            </w:pPr>
          </w:p>
        </w:tc>
        <w:tc>
          <w:tcPr>
            <w:tcW w:w="971" w:type="dxa"/>
            <w:tcBorders>
              <w:left w:val="nil"/>
            </w:tcBorders>
            <w:noWrap w:val="0"/>
            <w:vAlign w:val="center"/>
          </w:tcPr>
          <w:p w14:paraId="4EECF7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62" w:type="dxa"/>
            <w:tcBorders>
              <w:left w:val="nil"/>
            </w:tcBorders>
            <w:noWrap w:val="0"/>
            <w:vAlign w:val="center"/>
          </w:tcPr>
          <w:p w14:paraId="70A01D43">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二级建</w:t>
            </w:r>
          </w:p>
          <w:p w14:paraId="05948025">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造师</w:t>
            </w:r>
          </w:p>
        </w:tc>
        <w:tc>
          <w:tcPr>
            <w:tcW w:w="806" w:type="dxa"/>
            <w:tcBorders>
              <w:left w:val="nil"/>
            </w:tcBorders>
            <w:noWrap w:val="0"/>
            <w:vAlign w:val="center"/>
          </w:tcPr>
          <w:p w14:paraId="0A703481">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二级</w:t>
            </w:r>
          </w:p>
        </w:tc>
        <w:tc>
          <w:tcPr>
            <w:tcW w:w="1477" w:type="dxa"/>
            <w:tcBorders>
              <w:left w:val="nil"/>
            </w:tcBorders>
            <w:noWrap w:val="0"/>
            <w:vAlign w:val="center"/>
          </w:tcPr>
          <w:p w14:paraId="32B4B3F5">
            <w:pPr>
              <w:spacing w:line="360" w:lineRule="auto"/>
              <w:ind w:left="222" w:leftChars="0" w:hanging="222" w:hangingChars="106"/>
              <w:jc w:val="center"/>
              <w:rPr>
                <w:rFonts w:hint="eastAsia" w:ascii="宋体" w:hAnsi="宋体" w:eastAsia="宋体" w:cs="宋体"/>
                <w:color w:val="auto"/>
                <w:highlight w:val="none"/>
                <w:lang w:val="en-US" w:eastAsia="zh-CN"/>
              </w:rPr>
            </w:pPr>
          </w:p>
        </w:tc>
        <w:tc>
          <w:tcPr>
            <w:tcW w:w="1230" w:type="dxa"/>
            <w:tcBorders>
              <w:left w:val="nil"/>
            </w:tcBorders>
            <w:noWrap w:val="0"/>
            <w:vAlign w:val="center"/>
          </w:tcPr>
          <w:p w14:paraId="6E69BD91">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市政</w:t>
            </w:r>
          </w:p>
        </w:tc>
        <w:tc>
          <w:tcPr>
            <w:tcW w:w="840" w:type="dxa"/>
            <w:tcBorders>
              <w:left w:val="nil"/>
            </w:tcBorders>
            <w:noWrap w:val="0"/>
            <w:vAlign w:val="center"/>
          </w:tcPr>
          <w:p w14:paraId="4FEBF42B">
            <w:pPr>
              <w:spacing w:line="360" w:lineRule="auto"/>
              <w:jc w:val="center"/>
              <w:rPr>
                <w:rFonts w:hint="eastAsia" w:ascii="宋体" w:hAnsi="宋体" w:eastAsia="宋体" w:cs="宋体"/>
                <w:color w:val="auto"/>
                <w:sz w:val="24"/>
                <w:highlight w:val="none"/>
              </w:rPr>
            </w:pPr>
          </w:p>
        </w:tc>
        <w:tc>
          <w:tcPr>
            <w:tcW w:w="930" w:type="dxa"/>
            <w:tcBorders>
              <w:left w:val="nil"/>
            </w:tcBorders>
            <w:noWrap w:val="0"/>
            <w:vAlign w:val="center"/>
          </w:tcPr>
          <w:p w14:paraId="7B01366E">
            <w:pPr>
              <w:spacing w:line="360" w:lineRule="auto"/>
              <w:jc w:val="center"/>
              <w:rPr>
                <w:rFonts w:hint="eastAsia" w:ascii="宋体" w:hAnsi="宋体" w:eastAsia="宋体" w:cs="宋体"/>
                <w:color w:val="auto"/>
                <w:sz w:val="24"/>
                <w:highlight w:val="none"/>
              </w:rPr>
            </w:pPr>
          </w:p>
        </w:tc>
      </w:tr>
      <w:tr w14:paraId="12A0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1082" w:type="dxa"/>
            <w:noWrap w:val="0"/>
            <w:vAlign w:val="center"/>
          </w:tcPr>
          <w:p w14:paraId="666E8EDB">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技术负</w:t>
            </w:r>
          </w:p>
          <w:p w14:paraId="785BA3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责人</w:t>
            </w:r>
          </w:p>
        </w:tc>
        <w:tc>
          <w:tcPr>
            <w:tcW w:w="1069" w:type="dxa"/>
            <w:tcBorders>
              <w:left w:val="nil"/>
            </w:tcBorders>
            <w:noWrap w:val="0"/>
            <w:vAlign w:val="center"/>
          </w:tcPr>
          <w:p w14:paraId="1A71B410">
            <w:pPr>
              <w:spacing w:line="360" w:lineRule="auto"/>
              <w:jc w:val="center"/>
              <w:rPr>
                <w:rFonts w:hint="eastAsia" w:ascii="宋体" w:hAnsi="宋体" w:eastAsia="宋体" w:cs="宋体"/>
                <w:color w:val="auto"/>
                <w:sz w:val="24"/>
                <w:highlight w:val="none"/>
              </w:rPr>
            </w:pPr>
          </w:p>
        </w:tc>
        <w:tc>
          <w:tcPr>
            <w:tcW w:w="971" w:type="dxa"/>
            <w:tcBorders>
              <w:left w:val="nil"/>
            </w:tcBorders>
            <w:noWrap w:val="0"/>
            <w:vAlign w:val="center"/>
          </w:tcPr>
          <w:p w14:paraId="337811C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w:t>
            </w:r>
          </w:p>
        </w:tc>
        <w:tc>
          <w:tcPr>
            <w:tcW w:w="1262" w:type="dxa"/>
            <w:tcBorders>
              <w:left w:val="nil"/>
            </w:tcBorders>
            <w:noWrap w:val="0"/>
            <w:vAlign w:val="center"/>
          </w:tcPr>
          <w:p w14:paraId="086D8A4C">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职称证</w:t>
            </w:r>
          </w:p>
        </w:tc>
        <w:tc>
          <w:tcPr>
            <w:tcW w:w="806" w:type="dxa"/>
            <w:tcBorders>
              <w:left w:val="nil"/>
            </w:tcBorders>
            <w:noWrap w:val="0"/>
            <w:vAlign w:val="center"/>
          </w:tcPr>
          <w:p w14:paraId="3908547A">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中级</w:t>
            </w:r>
          </w:p>
        </w:tc>
        <w:tc>
          <w:tcPr>
            <w:tcW w:w="1477" w:type="dxa"/>
            <w:tcBorders>
              <w:left w:val="nil"/>
            </w:tcBorders>
            <w:noWrap w:val="0"/>
            <w:vAlign w:val="center"/>
          </w:tcPr>
          <w:p w14:paraId="29042FDB">
            <w:pPr>
              <w:spacing w:line="360" w:lineRule="auto"/>
              <w:ind w:left="222" w:leftChars="0" w:hanging="222" w:hangingChars="106"/>
              <w:jc w:val="center"/>
              <w:rPr>
                <w:rFonts w:hint="eastAsia" w:ascii="宋体" w:hAnsi="宋体" w:eastAsia="宋体" w:cs="宋体"/>
                <w:color w:val="auto"/>
                <w:highlight w:val="none"/>
                <w:lang w:val="en-US" w:eastAsia="zh-CN"/>
              </w:rPr>
            </w:pPr>
          </w:p>
        </w:tc>
        <w:tc>
          <w:tcPr>
            <w:tcW w:w="1230" w:type="dxa"/>
            <w:tcBorders>
              <w:left w:val="nil"/>
            </w:tcBorders>
            <w:noWrap w:val="0"/>
            <w:vAlign w:val="center"/>
          </w:tcPr>
          <w:p w14:paraId="317ADFA2">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公路桥梁</w:t>
            </w:r>
          </w:p>
        </w:tc>
        <w:tc>
          <w:tcPr>
            <w:tcW w:w="840" w:type="dxa"/>
            <w:tcBorders>
              <w:left w:val="nil"/>
            </w:tcBorders>
            <w:noWrap w:val="0"/>
            <w:vAlign w:val="center"/>
          </w:tcPr>
          <w:p w14:paraId="25B67BE6">
            <w:pPr>
              <w:spacing w:line="360" w:lineRule="auto"/>
              <w:jc w:val="center"/>
              <w:rPr>
                <w:rFonts w:hint="eastAsia" w:ascii="宋体" w:hAnsi="宋体" w:eastAsia="宋体" w:cs="宋体"/>
                <w:color w:val="auto"/>
                <w:sz w:val="24"/>
                <w:highlight w:val="none"/>
              </w:rPr>
            </w:pPr>
          </w:p>
        </w:tc>
        <w:tc>
          <w:tcPr>
            <w:tcW w:w="930" w:type="dxa"/>
            <w:tcBorders>
              <w:left w:val="nil"/>
            </w:tcBorders>
            <w:noWrap w:val="0"/>
            <w:vAlign w:val="center"/>
          </w:tcPr>
          <w:p w14:paraId="5704F0AA">
            <w:pPr>
              <w:spacing w:line="360" w:lineRule="auto"/>
              <w:jc w:val="center"/>
              <w:rPr>
                <w:rFonts w:hint="eastAsia" w:ascii="宋体" w:hAnsi="宋体" w:eastAsia="宋体" w:cs="宋体"/>
                <w:color w:val="auto"/>
                <w:sz w:val="24"/>
                <w:highlight w:val="none"/>
              </w:rPr>
            </w:pPr>
          </w:p>
        </w:tc>
      </w:tr>
      <w:tr w14:paraId="389C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82" w:type="dxa"/>
            <w:noWrap w:val="0"/>
            <w:vAlign w:val="center"/>
          </w:tcPr>
          <w:p w14:paraId="4304CD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施工员</w:t>
            </w:r>
          </w:p>
        </w:tc>
        <w:tc>
          <w:tcPr>
            <w:tcW w:w="1069" w:type="dxa"/>
            <w:tcBorders>
              <w:left w:val="nil"/>
            </w:tcBorders>
            <w:noWrap w:val="0"/>
            <w:vAlign w:val="center"/>
          </w:tcPr>
          <w:p w14:paraId="153B5391">
            <w:pPr>
              <w:spacing w:line="360" w:lineRule="auto"/>
              <w:jc w:val="center"/>
              <w:rPr>
                <w:rFonts w:hint="eastAsia" w:ascii="宋体" w:hAnsi="宋体" w:eastAsia="宋体" w:cs="宋体"/>
                <w:color w:val="auto"/>
                <w:sz w:val="24"/>
                <w:highlight w:val="none"/>
              </w:rPr>
            </w:pPr>
          </w:p>
        </w:tc>
        <w:tc>
          <w:tcPr>
            <w:tcW w:w="971" w:type="dxa"/>
            <w:tcBorders>
              <w:left w:val="nil"/>
            </w:tcBorders>
            <w:noWrap w:val="0"/>
            <w:vAlign w:val="center"/>
          </w:tcPr>
          <w:p w14:paraId="012CBA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62" w:type="dxa"/>
            <w:tcBorders>
              <w:left w:val="nil"/>
            </w:tcBorders>
            <w:noWrap w:val="0"/>
            <w:vAlign w:val="center"/>
          </w:tcPr>
          <w:p w14:paraId="312E56D4">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施工员</w:t>
            </w:r>
          </w:p>
        </w:tc>
        <w:tc>
          <w:tcPr>
            <w:tcW w:w="806" w:type="dxa"/>
            <w:tcBorders>
              <w:left w:val="nil"/>
            </w:tcBorders>
            <w:noWrap w:val="0"/>
            <w:vAlign w:val="center"/>
          </w:tcPr>
          <w:p w14:paraId="4EA4340B">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77" w:type="dxa"/>
            <w:tcBorders>
              <w:left w:val="nil"/>
            </w:tcBorders>
            <w:noWrap w:val="0"/>
            <w:vAlign w:val="center"/>
          </w:tcPr>
          <w:p w14:paraId="6D3BA64C">
            <w:pPr>
              <w:spacing w:line="360" w:lineRule="auto"/>
              <w:ind w:left="222" w:leftChars="0" w:hanging="222" w:hangingChars="106"/>
              <w:jc w:val="center"/>
              <w:rPr>
                <w:rFonts w:hint="eastAsia" w:ascii="宋体" w:hAnsi="宋体" w:eastAsia="宋体" w:cs="宋体"/>
                <w:color w:val="auto"/>
                <w:highlight w:val="none"/>
                <w:lang w:val="en-US" w:eastAsia="zh-CN"/>
              </w:rPr>
            </w:pPr>
          </w:p>
        </w:tc>
        <w:tc>
          <w:tcPr>
            <w:tcW w:w="1230" w:type="dxa"/>
            <w:tcBorders>
              <w:left w:val="nil"/>
            </w:tcBorders>
            <w:noWrap w:val="0"/>
            <w:vAlign w:val="center"/>
          </w:tcPr>
          <w:p w14:paraId="0B761362">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建筑</w:t>
            </w:r>
          </w:p>
        </w:tc>
        <w:tc>
          <w:tcPr>
            <w:tcW w:w="840" w:type="dxa"/>
            <w:tcBorders>
              <w:left w:val="nil"/>
            </w:tcBorders>
            <w:noWrap w:val="0"/>
            <w:vAlign w:val="center"/>
          </w:tcPr>
          <w:p w14:paraId="64B13D6B">
            <w:pPr>
              <w:spacing w:line="360" w:lineRule="auto"/>
              <w:jc w:val="center"/>
              <w:rPr>
                <w:rFonts w:hint="eastAsia" w:ascii="宋体" w:hAnsi="宋体" w:eastAsia="宋体" w:cs="宋体"/>
                <w:color w:val="auto"/>
                <w:sz w:val="24"/>
                <w:highlight w:val="none"/>
              </w:rPr>
            </w:pPr>
          </w:p>
        </w:tc>
        <w:tc>
          <w:tcPr>
            <w:tcW w:w="930" w:type="dxa"/>
            <w:tcBorders>
              <w:left w:val="nil"/>
            </w:tcBorders>
            <w:noWrap w:val="0"/>
            <w:vAlign w:val="center"/>
          </w:tcPr>
          <w:p w14:paraId="7B95B734">
            <w:pPr>
              <w:spacing w:line="360" w:lineRule="auto"/>
              <w:jc w:val="center"/>
              <w:rPr>
                <w:rFonts w:hint="eastAsia" w:ascii="宋体" w:hAnsi="宋体" w:eastAsia="宋体" w:cs="宋体"/>
                <w:color w:val="auto"/>
                <w:sz w:val="24"/>
                <w:highlight w:val="none"/>
              </w:rPr>
            </w:pPr>
          </w:p>
        </w:tc>
      </w:tr>
      <w:tr w14:paraId="7E1D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82" w:type="dxa"/>
            <w:noWrap w:val="0"/>
            <w:vAlign w:val="center"/>
          </w:tcPr>
          <w:p w14:paraId="38848A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质检员</w:t>
            </w:r>
          </w:p>
        </w:tc>
        <w:tc>
          <w:tcPr>
            <w:tcW w:w="1069" w:type="dxa"/>
            <w:tcBorders>
              <w:left w:val="nil"/>
            </w:tcBorders>
            <w:noWrap w:val="0"/>
            <w:vAlign w:val="center"/>
          </w:tcPr>
          <w:p w14:paraId="72C7F76E">
            <w:pPr>
              <w:spacing w:line="360" w:lineRule="auto"/>
              <w:jc w:val="center"/>
              <w:rPr>
                <w:rFonts w:hint="eastAsia" w:ascii="宋体" w:hAnsi="宋体" w:eastAsia="宋体" w:cs="宋体"/>
                <w:color w:val="auto"/>
                <w:sz w:val="24"/>
                <w:highlight w:val="none"/>
              </w:rPr>
            </w:pPr>
          </w:p>
        </w:tc>
        <w:tc>
          <w:tcPr>
            <w:tcW w:w="971" w:type="dxa"/>
            <w:tcBorders>
              <w:left w:val="nil"/>
            </w:tcBorders>
            <w:noWrap w:val="0"/>
            <w:vAlign w:val="center"/>
          </w:tcPr>
          <w:p w14:paraId="27F4896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1262" w:type="dxa"/>
            <w:tcBorders>
              <w:left w:val="nil"/>
            </w:tcBorders>
            <w:noWrap w:val="0"/>
            <w:vAlign w:val="center"/>
          </w:tcPr>
          <w:p w14:paraId="133AEE42">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质检员</w:t>
            </w:r>
          </w:p>
        </w:tc>
        <w:tc>
          <w:tcPr>
            <w:tcW w:w="806" w:type="dxa"/>
            <w:tcBorders>
              <w:left w:val="nil"/>
            </w:tcBorders>
            <w:noWrap w:val="0"/>
            <w:vAlign w:val="center"/>
          </w:tcPr>
          <w:p w14:paraId="3911CD48">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77" w:type="dxa"/>
            <w:tcBorders>
              <w:left w:val="nil"/>
            </w:tcBorders>
            <w:noWrap w:val="0"/>
            <w:vAlign w:val="center"/>
          </w:tcPr>
          <w:p w14:paraId="5FEBE11B">
            <w:pPr>
              <w:spacing w:line="360" w:lineRule="auto"/>
              <w:ind w:left="222" w:leftChars="0" w:hanging="222" w:hangingChars="106"/>
              <w:jc w:val="center"/>
              <w:rPr>
                <w:rFonts w:hint="eastAsia" w:ascii="宋体" w:hAnsi="宋体" w:eastAsia="宋体" w:cs="宋体"/>
                <w:color w:val="auto"/>
                <w:highlight w:val="none"/>
                <w:lang w:val="en-US" w:eastAsia="zh-CN"/>
              </w:rPr>
            </w:pPr>
          </w:p>
        </w:tc>
        <w:tc>
          <w:tcPr>
            <w:tcW w:w="1230" w:type="dxa"/>
            <w:tcBorders>
              <w:left w:val="nil"/>
            </w:tcBorders>
            <w:noWrap w:val="0"/>
            <w:vAlign w:val="center"/>
          </w:tcPr>
          <w:p w14:paraId="2E8040E7">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建筑</w:t>
            </w:r>
          </w:p>
        </w:tc>
        <w:tc>
          <w:tcPr>
            <w:tcW w:w="840" w:type="dxa"/>
            <w:tcBorders>
              <w:left w:val="nil"/>
            </w:tcBorders>
            <w:noWrap w:val="0"/>
            <w:vAlign w:val="center"/>
          </w:tcPr>
          <w:p w14:paraId="3D5A240E">
            <w:pPr>
              <w:spacing w:line="360" w:lineRule="auto"/>
              <w:jc w:val="center"/>
              <w:rPr>
                <w:rFonts w:hint="eastAsia" w:ascii="宋体" w:hAnsi="宋体" w:eastAsia="宋体" w:cs="宋体"/>
                <w:color w:val="auto"/>
                <w:sz w:val="24"/>
                <w:highlight w:val="none"/>
              </w:rPr>
            </w:pPr>
          </w:p>
        </w:tc>
        <w:tc>
          <w:tcPr>
            <w:tcW w:w="930" w:type="dxa"/>
            <w:tcBorders>
              <w:left w:val="nil"/>
            </w:tcBorders>
            <w:noWrap w:val="0"/>
            <w:vAlign w:val="center"/>
          </w:tcPr>
          <w:p w14:paraId="0A1BDCD6">
            <w:pPr>
              <w:spacing w:line="360" w:lineRule="auto"/>
              <w:jc w:val="center"/>
              <w:rPr>
                <w:rFonts w:hint="eastAsia" w:ascii="宋体" w:hAnsi="宋体" w:eastAsia="宋体" w:cs="宋体"/>
                <w:color w:val="auto"/>
                <w:sz w:val="24"/>
                <w:highlight w:val="none"/>
              </w:rPr>
            </w:pPr>
          </w:p>
        </w:tc>
      </w:tr>
      <w:tr w14:paraId="0108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082" w:type="dxa"/>
            <w:noWrap w:val="0"/>
            <w:vAlign w:val="center"/>
          </w:tcPr>
          <w:p w14:paraId="778DDB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安全员</w:t>
            </w:r>
          </w:p>
        </w:tc>
        <w:tc>
          <w:tcPr>
            <w:tcW w:w="1069" w:type="dxa"/>
            <w:tcBorders>
              <w:left w:val="nil"/>
            </w:tcBorders>
            <w:noWrap w:val="0"/>
            <w:vAlign w:val="center"/>
          </w:tcPr>
          <w:p w14:paraId="3E33060D">
            <w:pPr>
              <w:spacing w:line="360" w:lineRule="auto"/>
              <w:jc w:val="center"/>
              <w:rPr>
                <w:rFonts w:hint="eastAsia" w:ascii="宋体" w:hAnsi="宋体" w:eastAsia="宋体" w:cs="宋体"/>
                <w:color w:val="auto"/>
                <w:sz w:val="24"/>
                <w:highlight w:val="none"/>
              </w:rPr>
            </w:pPr>
          </w:p>
        </w:tc>
        <w:tc>
          <w:tcPr>
            <w:tcW w:w="971" w:type="dxa"/>
            <w:tcBorders>
              <w:left w:val="nil"/>
            </w:tcBorders>
            <w:noWrap w:val="0"/>
            <w:vAlign w:val="center"/>
          </w:tcPr>
          <w:p w14:paraId="267ABDF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1262" w:type="dxa"/>
            <w:tcBorders>
              <w:left w:val="nil"/>
            </w:tcBorders>
            <w:noWrap w:val="0"/>
            <w:vAlign w:val="center"/>
          </w:tcPr>
          <w:p w14:paraId="2E71197A">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安全员</w:t>
            </w:r>
          </w:p>
        </w:tc>
        <w:tc>
          <w:tcPr>
            <w:tcW w:w="806" w:type="dxa"/>
            <w:tcBorders>
              <w:left w:val="nil"/>
            </w:tcBorders>
            <w:noWrap w:val="0"/>
            <w:vAlign w:val="center"/>
          </w:tcPr>
          <w:p w14:paraId="6750B344">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77" w:type="dxa"/>
            <w:tcBorders>
              <w:left w:val="nil"/>
            </w:tcBorders>
            <w:noWrap w:val="0"/>
            <w:vAlign w:val="center"/>
          </w:tcPr>
          <w:p w14:paraId="4EADD912">
            <w:pPr>
              <w:spacing w:line="360" w:lineRule="auto"/>
              <w:ind w:left="222" w:leftChars="0" w:hanging="222" w:hangingChars="106"/>
              <w:jc w:val="center"/>
              <w:rPr>
                <w:rFonts w:hint="eastAsia" w:ascii="宋体" w:hAnsi="宋体" w:eastAsia="宋体" w:cs="宋体"/>
                <w:color w:val="auto"/>
                <w:highlight w:val="none"/>
                <w:lang w:val="en-US" w:eastAsia="zh-CN"/>
              </w:rPr>
            </w:pPr>
          </w:p>
        </w:tc>
        <w:tc>
          <w:tcPr>
            <w:tcW w:w="1230" w:type="dxa"/>
            <w:tcBorders>
              <w:left w:val="nil"/>
            </w:tcBorders>
            <w:noWrap w:val="0"/>
            <w:vAlign w:val="center"/>
          </w:tcPr>
          <w:p w14:paraId="53E4BB28">
            <w:pPr>
              <w:spacing w:line="360" w:lineRule="auto"/>
              <w:ind w:left="222" w:leftChars="0" w:hanging="222" w:hangingChars="106"/>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公路</w:t>
            </w:r>
          </w:p>
        </w:tc>
        <w:tc>
          <w:tcPr>
            <w:tcW w:w="840" w:type="dxa"/>
            <w:tcBorders>
              <w:left w:val="nil"/>
            </w:tcBorders>
            <w:noWrap w:val="0"/>
            <w:vAlign w:val="center"/>
          </w:tcPr>
          <w:p w14:paraId="7CF50750">
            <w:pPr>
              <w:spacing w:line="360" w:lineRule="auto"/>
              <w:jc w:val="center"/>
              <w:rPr>
                <w:rFonts w:hint="eastAsia" w:ascii="宋体" w:hAnsi="宋体" w:eastAsia="宋体" w:cs="宋体"/>
                <w:color w:val="auto"/>
                <w:sz w:val="24"/>
                <w:highlight w:val="none"/>
              </w:rPr>
            </w:pPr>
          </w:p>
        </w:tc>
        <w:tc>
          <w:tcPr>
            <w:tcW w:w="930" w:type="dxa"/>
            <w:tcBorders>
              <w:left w:val="nil"/>
            </w:tcBorders>
            <w:noWrap w:val="0"/>
            <w:vAlign w:val="center"/>
          </w:tcPr>
          <w:p w14:paraId="029D797A">
            <w:pPr>
              <w:spacing w:line="360" w:lineRule="auto"/>
              <w:jc w:val="center"/>
              <w:rPr>
                <w:rFonts w:hint="eastAsia" w:ascii="宋体" w:hAnsi="宋体" w:eastAsia="宋体" w:cs="宋体"/>
                <w:color w:val="auto"/>
                <w:sz w:val="24"/>
                <w:highlight w:val="none"/>
              </w:rPr>
            </w:pPr>
          </w:p>
        </w:tc>
      </w:tr>
      <w:tr w14:paraId="649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82" w:type="dxa"/>
            <w:noWrap w:val="0"/>
            <w:vAlign w:val="center"/>
          </w:tcPr>
          <w:p w14:paraId="4CC86D8A">
            <w:pPr>
              <w:spacing w:line="360" w:lineRule="auto"/>
              <w:ind w:left="222" w:leftChars="0" w:hanging="222" w:hangingChars="106"/>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材料员</w:t>
            </w:r>
          </w:p>
        </w:tc>
        <w:tc>
          <w:tcPr>
            <w:tcW w:w="1069" w:type="dxa"/>
            <w:tcBorders>
              <w:left w:val="nil"/>
            </w:tcBorders>
            <w:noWrap w:val="0"/>
            <w:vAlign w:val="center"/>
          </w:tcPr>
          <w:p w14:paraId="19CF6AFD">
            <w:pPr>
              <w:spacing w:line="360" w:lineRule="auto"/>
              <w:ind w:left="254" w:leftChars="0" w:hanging="254" w:hangingChars="106"/>
              <w:jc w:val="center"/>
              <w:rPr>
                <w:rFonts w:hint="eastAsia" w:ascii="宋体" w:hAnsi="宋体" w:eastAsia="宋体" w:cs="宋体"/>
                <w:color w:val="auto"/>
                <w:sz w:val="24"/>
                <w:highlight w:val="none"/>
              </w:rPr>
            </w:pPr>
          </w:p>
        </w:tc>
        <w:tc>
          <w:tcPr>
            <w:tcW w:w="971" w:type="dxa"/>
            <w:tcBorders>
              <w:left w:val="nil"/>
            </w:tcBorders>
            <w:noWrap w:val="0"/>
            <w:vAlign w:val="center"/>
          </w:tcPr>
          <w:p w14:paraId="5C4F875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1262" w:type="dxa"/>
            <w:tcBorders>
              <w:left w:val="nil"/>
            </w:tcBorders>
            <w:noWrap w:val="0"/>
            <w:vAlign w:val="center"/>
          </w:tcPr>
          <w:p w14:paraId="3FB71D93">
            <w:pPr>
              <w:spacing w:line="360" w:lineRule="auto"/>
              <w:ind w:left="222" w:leftChars="0" w:hanging="222" w:hangingChars="106"/>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材料员</w:t>
            </w:r>
          </w:p>
        </w:tc>
        <w:tc>
          <w:tcPr>
            <w:tcW w:w="806" w:type="dxa"/>
            <w:tcBorders>
              <w:left w:val="nil"/>
            </w:tcBorders>
            <w:noWrap w:val="0"/>
            <w:vAlign w:val="center"/>
          </w:tcPr>
          <w:p w14:paraId="0AB4212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1477" w:type="dxa"/>
            <w:tcBorders>
              <w:left w:val="nil"/>
            </w:tcBorders>
            <w:noWrap w:val="0"/>
            <w:vAlign w:val="center"/>
          </w:tcPr>
          <w:p w14:paraId="215950DB">
            <w:pPr>
              <w:spacing w:line="360" w:lineRule="auto"/>
              <w:jc w:val="center"/>
              <w:rPr>
                <w:rFonts w:hint="eastAsia" w:ascii="宋体" w:hAnsi="宋体" w:eastAsia="宋体" w:cs="宋体"/>
                <w:color w:val="auto"/>
                <w:sz w:val="24"/>
                <w:highlight w:val="none"/>
              </w:rPr>
            </w:pPr>
          </w:p>
        </w:tc>
        <w:tc>
          <w:tcPr>
            <w:tcW w:w="1230" w:type="dxa"/>
            <w:tcBorders>
              <w:left w:val="nil"/>
            </w:tcBorders>
            <w:noWrap w:val="0"/>
            <w:vAlign w:val="center"/>
          </w:tcPr>
          <w:p w14:paraId="5259682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建筑</w:t>
            </w:r>
          </w:p>
        </w:tc>
        <w:tc>
          <w:tcPr>
            <w:tcW w:w="840" w:type="dxa"/>
            <w:tcBorders>
              <w:left w:val="nil"/>
            </w:tcBorders>
            <w:noWrap w:val="0"/>
            <w:vAlign w:val="center"/>
          </w:tcPr>
          <w:p w14:paraId="50527248">
            <w:pPr>
              <w:spacing w:line="360" w:lineRule="auto"/>
              <w:ind w:left="254" w:leftChars="0" w:hanging="254" w:hangingChars="106"/>
              <w:jc w:val="center"/>
              <w:rPr>
                <w:rFonts w:hint="eastAsia" w:ascii="宋体" w:hAnsi="宋体" w:eastAsia="宋体" w:cs="宋体"/>
                <w:color w:val="auto"/>
                <w:sz w:val="24"/>
                <w:highlight w:val="none"/>
              </w:rPr>
            </w:pPr>
          </w:p>
        </w:tc>
        <w:tc>
          <w:tcPr>
            <w:tcW w:w="930" w:type="dxa"/>
            <w:tcBorders>
              <w:left w:val="nil"/>
            </w:tcBorders>
            <w:noWrap w:val="0"/>
            <w:vAlign w:val="center"/>
          </w:tcPr>
          <w:p w14:paraId="03D7D074">
            <w:pPr>
              <w:spacing w:line="360" w:lineRule="auto"/>
              <w:jc w:val="center"/>
              <w:rPr>
                <w:rFonts w:hint="eastAsia" w:ascii="宋体" w:hAnsi="宋体" w:eastAsia="宋体" w:cs="宋体"/>
                <w:color w:val="auto"/>
                <w:sz w:val="24"/>
                <w:highlight w:val="none"/>
              </w:rPr>
            </w:pPr>
          </w:p>
        </w:tc>
      </w:tr>
    </w:tbl>
    <w:p w14:paraId="5FAD154C">
      <w:pPr>
        <w:pStyle w:val="9"/>
        <w:spacing w:line="360" w:lineRule="auto"/>
        <w:outlineLvl w:val="9"/>
        <w:rPr>
          <w:rFonts w:hint="eastAsia" w:ascii="宋体" w:hAnsi="宋体" w:eastAsia="宋体" w:cs="宋体"/>
          <w:color w:val="auto"/>
          <w:highlight w:val="none"/>
        </w:rPr>
      </w:pPr>
    </w:p>
    <w:p w14:paraId="455932C2">
      <w:pPr>
        <w:spacing w:line="360" w:lineRule="auto"/>
        <w:ind w:firstLine="361" w:firstLineChars="150"/>
        <w:jc w:val="center"/>
        <w:rPr>
          <w:rFonts w:hint="eastAsia" w:ascii="宋体" w:hAnsi="宋体" w:eastAsia="宋体" w:cs="宋体"/>
          <w:b/>
          <w:bCs/>
          <w:color w:val="auto"/>
          <w:sz w:val="24"/>
          <w:highlight w:val="none"/>
        </w:rPr>
      </w:pPr>
    </w:p>
    <w:p w14:paraId="347E8981">
      <w:pPr>
        <w:spacing w:line="360" w:lineRule="auto"/>
        <w:rPr>
          <w:rFonts w:hint="eastAsia" w:ascii="宋体" w:hAnsi="宋体" w:eastAsia="宋体" w:cs="宋体"/>
          <w:color w:val="auto"/>
          <w:sz w:val="24"/>
          <w:highlight w:val="none"/>
        </w:rPr>
      </w:pPr>
    </w:p>
    <w:p w14:paraId="0A189705">
      <w:pPr>
        <w:spacing w:line="360" w:lineRule="auto"/>
        <w:ind w:left="479" w:leftChars="228" w:right="-178" w:rightChars="-85"/>
        <w:rPr>
          <w:rFonts w:hint="eastAsia" w:ascii="宋体" w:hAnsi="宋体" w:eastAsia="宋体" w:cs="宋体"/>
          <w:color w:val="auto"/>
          <w:sz w:val="24"/>
          <w:highlight w:val="none"/>
        </w:rPr>
      </w:pPr>
    </w:p>
    <w:p w14:paraId="625BB09B">
      <w:pPr>
        <w:spacing w:line="360" w:lineRule="auto"/>
        <w:ind w:left="479" w:leftChars="228" w:right="-178" w:rightChars="-85"/>
        <w:rPr>
          <w:rFonts w:hint="eastAsia" w:ascii="宋体" w:hAnsi="宋体" w:eastAsia="宋体" w:cs="宋体"/>
          <w:color w:val="auto"/>
          <w:sz w:val="24"/>
          <w:highlight w:val="none"/>
        </w:rPr>
      </w:pPr>
    </w:p>
    <w:p w14:paraId="15C8560B">
      <w:pPr>
        <w:spacing w:line="360" w:lineRule="auto"/>
        <w:ind w:left="479" w:leftChars="228" w:right="-178" w:rightChars="-85"/>
        <w:rPr>
          <w:rFonts w:hint="eastAsia" w:ascii="宋体" w:hAnsi="宋体" w:eastAsia="宋体" w:cs="宋体"/>
          <w:color w:val="auto"/>
          <w:sz w:val="24"/>
          <w:highlight w:val="none"/>
        </w:rPr>
      </w:pPr>
    </w:p>
    <w:p w14:paraId="68F0C885">
      <w:pPr>
        <w:spacing w:line="360" w:lineRule="auto"/>
        <w:ind w:left="479" w:leftChars="228" w:right="-178" w:rightChars="-85"/>
        <w:rPr>
          <w:rFonts w:hint="eastAsia" w:ascii="宋体" w:hAnsi="宋体" w:eastAsia="宋体" w:cs="宋体"/>
          <w:color w:val="auto"/>
          <w:sz w:val="24"/>
          <w:highlight w:val="none"/>
        </w:rPr>
      </w:pPr>
    </w:p>
    <w:p w14:paraId="11A6798F">
      <w:pPr>
        <w:jc w:val="left"/>
        <w:outlineLvl w:val="9"/>
        <w:rPr>
          <w:rFonts w:hint="eastAsia" w:ascii="宋体" w:hAnsi="宋体" w:eastAsia="宋体" w:cs="宋体"/>
          <w:color w:val="auto"/>
          <w:sz w:val="24"/>
          <w:szCs w:val="24"/>
          <w:highlight w:val="none"/>
        </w:rPr>
      </w:pPr>
      <w:bookmarkStart w:id="592" w:name="_Toc19930"/>
      <w:bookmarkStart w:id="593" w:name="_Toc21120"/>
      <w:bookmarkStart w:id="594" w:name="_Toc30780"/>
      <w:bookmarkStart w:id="595" w:name="_Toc21384"/>
      <w:bookmarkStart w:id="596" w:name="_Toc20227"/>
      <w:bookmarkStart w:id="597" w:name="_Toc10413"/>
      <w:bookmarkStart w:id="598" w:name="_Toc15988"/>
      <w:r>
        <w:rPr>
          <w:rFonts w:hint="eastAsia" w:ascii="宋体" w:hAnsi="宋体" w:eastAsia="宋体" w:cs="宋体"/>
          <w:color w:val="auto"/>
          <w:sz w:val="24"/>
          <w:szCs w:val="24"/>
          <w:highlight w:val="none"/>
        </w:rPr>
        <w:br w:type="page"/>
      </w:r>
    </w:p>
    <w:p w14:paraId="2A04754C">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拟委任的项目经理和项目总工资历表</w:t>
      </w:r>
      <w:bookmarkEnd w:id="592"/>
      <w:bookmarkEnd w:id="593"/>
      <w:bookmarkEnd w:id="594"/>
      <w:bookmarkEnd w:id="595"/>
      <w:bookmarkEnd w:id="596"/>
      <w:bookmarkEnd w:id="597"/>
      <w:bookmarkEnd w:id="598"/>
    </w:p>
    <w:p w14:paraId="21BDA5EC">
      <w:pPr>
        <w:rPr>
          <w:rFonts w:hint="eastAsia" w:ascii="宋体" w:hAnsi="宋体" w:eastAsia="宋体" w:cs="宋体"/>
          <w:color w:val="auto"/>
          <w:highlight w:val="none"/>
        </w:rPr>
      </w:pPr>
    </w:p>
    <w:tbl>
      <w:tblPr>
        <w:tblStyle w:val="49"/>
        <w:tblW w:w="974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367"/>
        <w:gridCol w:w="1489"/>
        <w:gridCol w:w="864"/>
        <w:gridCol w:w="1211"/>
        <w:gridCol w:w="345"/>
        <w:gridCol w:w="1037"/>
        <w:gridCol w:w="690"/>
        <w:gridCol w:w="1041"/>
        <w:gridCol w:w="341"/>
        <w:gridCol w:w="934"/>
      </w:tblGrid>
      <w:tr w14:paraId="2EB6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429" w:type="dxa"/>
            <w:noWrap w:val="0"/>
            <w:vAlign w:val="center"/>
          </w:tcPr>
          <w:p w14:paraId="5DBA26D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856" w:type="dxa"/>
            <w:gridSpan w:val="2"/>
            <w:tcBorders>
              <w:left w:val="nil"/>
            </w:tcBorders>
            <w:noWrap w:val="0"/>
            <w:vAlign w:val="center"/>
          </w:tcPr>
          <w:p w14:paraId="5C45221B">
            <w:pPr>
              <w:spacing w:line="360" w:lineRule="auto"/>
              <w:jc w:val="center"/>
              <w:rPr>
                <w:rFonts w:hint="eastAsia" w:ascii="宋体" w:hAnsi="宋体" w:eastAsia="宋体" w:cs="宋体"/>
                <w:color w:val="auto"/>
                <w:sz w:val="24"/>
                <w:highlight w:val="none"/>
              </w:rPr>
            </w:pPr>
          </w:p>
        </w:tc>
        <w:tc>
          <w:tcPr>
            <w:tcW w:w="2075" w:type="dxa"/>
            <w:gridSpan w:val="2"/>
            <w:tcBorders>
              <w:left w:val="nil"/>
            </w:tcBorders>
            <w:noWrap w:val="0"/>
            <w:vAlign w:val="center"/>
          </w:tcPr>
          <w:p w14:paraId="5E0096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382" w:type="dxa"/>
            <w:gridSpan w:val="2"/>
            <w:tcBorders>
              <w:left w:val="nil"/>
            </w:tcBorders>
            <w:noWrap w:val="0"/>
            <w:vAlign w:val="center"/>
          </w:tcPr>
          <w:p w14:paraId="1BCD94F4">
            <w:pPr>
              <w:spacing w:line="360" w:lineRule="auto"/>
              <w:jc w:val="center"/>
              <w:rPr>
                <w:rFonts w:hint="eastAsia" w:ascii="宋体" w:hAnsi="宋体" w:eastAsia="宋体" w:cs="宋体"/>
                <w:color w:val="auto"/>
                <w:sz w:val="24"/>
                <w:highlight w:val="none"/>
                <w:lang w:val="en-US" w:eastAsia="zh-CN"/>
              </w:rPr>
            </w:pPr>
          </w:p>
        </w:tc>
        <w:tc>
          <w:tcPr>
            <w:tcW w:w="1731" w:type="dxa"/>
            <w:gridSpan w:val="2"/>
            <w:tcBorders>
              <w:left w:val="nil"/>
            </w:tcBorders>
            <w:noWrap w:val="0"/>
            <w:vAlign w:val="center"/>
          </w:tcPr>
          <w:p w14:paraId="0D6156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75" w:type="dxa"/>
            <w:gridSpan w:val="2"/>
            <w:tcBorders>
              <w:left w:val="nil"/>
            </w:tcBorders>
            <w:noWrap w:val="0"/>
            <w:vAlign w:val="center"/>
          </w:tcPr>
          <w:p w14:paraId="5A633169">
            <w:pPr>
              <w:spacing w:line="360" w:lineRule="auto"/>
              <w:jc w:val="center"/>
              <w:rPr>
                <w:rFonts w:hint="eastAsia" w:ascii="宋体" w:hAnsi="宋体" w:eastAsia="宋体" w:cs="宋体"/>
                <w:color w:val="auto"/>
                <w:sz w:val="24"/>
                <w:highlight w:val="none"/>
                <w:lang w:val="en-US" w:eastAsia="zh-CN"/>
              </w:rPr>
            </w:pPr>
          </w:p>
        </w:tc>
      </w:tr>
      <w:tr w14:paraId="59A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29" w:type="dxa"/>
            <w:noWrap w:val="0"/>
            <w:vAlign w:val="center"/>
          </w:tcPr>
          <w:p w14:paraId="7D2F3F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856" w:type="dxa"/>
            <w:gridSpan w:val="2"/>
            <w:tcBorders>
              <w:left w:val="nil"/>
            </w:tcBorders>
            <w:noWrap w:val="0"/>
            <w:vAlign w:val="center"/>
          </w:tcPr>
          <w:p w14:paraId="208C35F7">
            <w:pPr>
              <w:spacing w:line="360" w:lineRule="auto"/>
              <w:jc w:val="center"/>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二级建造师</w:t>
            </w:r>
          </w:p>
        </w:tc>
        <w:tc>
          <w:tcPr>
            <w:tcW w:w="2075" w:type="dxa"/>
            <w:gridSpan w:val="2"/>
            <w:tcBorders>
              <w:left w:val="nil"/>
            </w:tcBorders>
            <w:noWrap w:val="0"/>
            <w:vAlign w:val="center"/>
          </w:tcPr>
          <w:p w14:paraId="0ED452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82" w:type="dxa"/>
            <w:gridSpan w:val="2"/>
            <w:tcBorders>
              <w:left w:val="nil"/>
            </w:tcBorders>
            <w:noWrap w:val="0"/>
            <w:vAlign w:val="center"/>
          </w:tcPr>
          <w:p w14:paraId="17C6A1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31" w:type="dxa"/>
            <w:gridSpan w:val="2"/>
            <w:tcBorders>
              <w:left w:val="nil"/>
            </w:tcBorders>
            <w:noWrap w:val="0"/>
            <w:vAlign w:val="center"/>
          </w:tcPr>
          <w:p w14:paraId="1DBCEBE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75" w:type="dxa"/>
            <w:gridSpan w:val="2"/>
            <w:tcBorders>
              <w:left w:val="nil"/>
            </w:tcBorders>
            <w:noWrap w:val="0"/>
            <w:vAlign w:val="center"/>
          </w:tcPr>
          <w:p w14:paraId="16153EC2">
            <w:pPr>
              <w:spacing w:line="360" w:lineRule="auto"/>
              <w:jc w:val="center"/>
              <w:rPr>
                <w:rFonts w:hint="eastAsia" w:ascii="宋体" w:hAnsi="宋体" w:eastAsia="宋体" w:cs="宋体"/>
                <w:color w:val="auto"/>
                <w:sz w:val="24"/>
                <w:highlight w:val="none"/>
                <w:lang w:eastAsia="zh-CN"/>
              </w:rPr>
            </w:pPr>
          </w:p>
        </w:tc>
      </w:tr>
      <w:tr w14:paraId="7CEF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285" w:type="dxa"/>
            <w:gridSpan w:val="3"/>
            <w:noWrap w:val="0"/>
            <w:vAlign w:val="center"/>
          </w:tcPr>
          <w:p w14:paraId="236F445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2075" w:type="dxa"/>
            <w:gridSpan w:val="2"/>
            <w:tcBorders>
              <w:left w:val="nil"/>
            </w:tcBorders>
            <w:noWrap w:val="0"/>
            <w:vAlign w:val="center"/>
          </w:tcPr>
          <w:p w14:paraId="26F667F2">
            <w:pPr>
              <w:spacing w:line="360" w:lineRule="auto"/>
              <w:jc w:val="center"/>
              <w:rPr>
                <w:rFonts w:hint="eastAsia" w:ascii="宋体" w:hAnsi="宋体" w:eastAsia="宋体" w:cs="宋体"/>
                <w:color w:val="auto"/>
                <w:sz w:val="24"/>
                <w:highlight w:val="none"/>
                <w:lang w:val="en-US" w:eastAsia="zh-CN"/>
              </w:rPr>
            </w:pPr>
          </w:p>
        </w:tc>
        <w:tc>
          <w:tcPr>
            <w:tcW w:w="3113" w:type="dxa"/>
            <w:gridSpan w:val="4"/>
            <w:tcBorders>
              <w:left w:val="nil"/>
            </w:tcBorders>
            <w:noWrap w:val="0"/>
            <w:vAlign w:val="center"/>
          </w:tcPr>
          <w:p w14:paraId="3B70E8D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担任项目经理年限</w:t>
            </w:r>
          </w:p>
        </w:tc>
        <w:tc>
          <w:tcPr>
            <w:tcW w:w="1275" w:type="dxa"/>
            <w:gridSpan w:val="2"/>
            <w:tcBorders>
              <w:left w:val="nil"/>
            </w:tcBorders>
            <w:noWrap w:val="0"/>
            <w:vAlign w:val="center"/>
          </w:tcPr>
          <w:p w14:paraId="18C100CB">
            <w:pPr>
              <w:spacing w:line="360" w:lineRule="auto"/>
              <w:jc w:val="center"/>
              <w:rPr>
                <w:rFonts w:hint="eastAsia" w:ascii="宋体" w:hAnsi="宋体" w:eastAsia="宋体" w:cs="宋体"/>
                <w:color w:val="auto"/>
                <w:sz w:val="24"/>
                <w:highlight w:val="none"/>
                <w:lang w:val="en-US" w:eastAsia="zh-CN"/>
              </w:rPr>
            </w:pPr>
          </w:p>
        </w:tc>
      </w:tr>
      <w:tr w14:paraId="7441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149" w:type="dxa"/>
            <w:gridSpan w:val="4"/>
            <w:noWrap w:val="0"/>
            <w:vAlign w:val="center"/>
          </w:tcPr>
          <w:p w14:paraId="4869A1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项目经理注册编号</w:t>
            </w:r>
          </w:p>
        </w:tc>
        <w:tc>
          <w:tcPr>
            <w:tcW w:w="5599" w:type="dxa"/>
            <w:gridSpan w:val="7"/>
            <w:tcBorders>
              <w:left w:val="nil"/>
            </w:tcBorders>
            <w:noWrap w:val="0"/>
            <w:vAlign w:val="center"/>
          </w:tcPr>
          <w:p w14:paraId="2D26D7CF">
            <w:pPr>
              <w:spacing w:line="360" w:lineRule="auto"/>
              <w:rPr>
                <w:rFonts w:hint="eastAsia" w:ascii="宋体" w:hAnsi="宋体" w:eastAsia="宋体" w:cs="宋体"/>
                <w:color w:val="auto"/>
                <w:sz w:val="24"/>
                <w:highlight w:val="none"/>
              </w:rPr>
            </w:pPr>
          </w:p>
        </w:tc>
      </w:tr>
      <w:tr w14:paraId="60C8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748" w:type="dxa"/>
            <w:gridSpan w:val="11"/>
            <w:noWrap w:val="0"/>
            <w:vAlign w:val="center"/>
          </w:tcPr>
          <w:p w14:paraId="219BF6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2CFF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96" w:type="dxa"/>
            <w:gridSpan w:val="2"/>
            <w:noWrap w:val="0"/>
            <w:vAlign w:val="center"/>
          </w:tcPr>
          <w:p w14:paraId="59F2D2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2353" w:type="dxa"/>
            <w:gridSpan w:val="2"/>
            <w:tcBorders>
              <w:left w:val="nil"/>
            </w:tcBorders>
            <w:noWrap w:val="0"/>
            <w:vAlign w:val="center"/>
          </w:tcPr>
          <w:p w14:paraId="6CF1D8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56" w:type="dxa"/>
            <w:gridSpan w:val="2"/>
            <w:tcBorders>
              <w:left w:val="nil"/>
            </w:tcBorders>
            <w:noWrap w:val="0"/>
            <w:vAlign w:val="center"/>
          </w:tcPr>
          <w:p w14:paraId="1FECD9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727" w:type="dxa"/>
            <w:gridSpan w:val="2"/>
            <w:tcBorders>
              <w:left w:val="nil"/>
            </w:tcBorders>
            <w:noWrap w:val="0"/>
            <w:vAlign w:val="center"/>
          </w:tcPr>
          <w:p w14:paraId="1614DC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82" w:type="dxa"/>
            <w:gridSpan w:val="2"/>
            <w:tcBorders>
              <w:left w:val="nil"/>
            </w:tcBorders>
            <w:noWrap w:val="0"/>
            <w:vAlign w:val="center"/>
          </w:tcPr>
          <w:p w14:paraId="564E54B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6BD78F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934" w:type="dxa"/>
            <w:tcBorders>
              <w:left w:val="nil"/>
            </w:tcBorders>
            <w:noWrap w:val="0"/>
            <w:vAlign w:val="center"/>
          </w:tcPr>
          <w:p w14:paraId="2D7B7F3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7EC8F8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3213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96" w:type="dxa"/>
            <w:gridSpan w:val="2"/>
            <w:noWrap w:val="0"/>
            <w:vAlign w:val="center"/>
          </w:tcPr>
          <w:p w14:paraId="1950F36C">
            <w:pPr>
              <w:spacing w:line="360" w:lineRule="auto"/>
              <w:jc w:val="center"/>
              <w:rPr>
                <w:rFonts w:hint="eastAsia" w:ascii="宋体" w:hAnsi="宋体" w:eastAsia="宋体" w:cs="宋体"/>
                <w:color w:val="auto"/>
                <w:sz w:val="24"/>
                <w:highlight w:val="none"/>
              </w:rPr>
            </w:pPr>
          </w:p>
        </w:tc>
        <w:tc>
          <w:tcPr>
            <w:tcW w:w="2353" w:type="dxa"/>
            <w:gridSpan w:val="2"/>
            <w:tcBorders>
              <w:left w:val="nil"/>
            </w:tcBorders>
            <w:noWrap w:val="0"/>
            <w:vAlign w:val="center"/>
          </w:tcPr>
          <w:p w14:paraId="4D0F5160">
            <w:pPr>
              <w:spacing w:line="360" w:lineRule="auto"/>
              <w:jc w:val="center"/>
              <w:rPr>
                <w:rFonts w:hint="eastAsia" w:ascii="宋体" w:hAnsi="宋体" w:eastAsia="宋体" w:cs="宋体"/>
                <w:color w:val="auto"/>
                <w:sz w:val="24"/>
                <w:highlight w:val="none"/>
              </w:rPr>
            </w:pPr>
          </w:p>
        </w:tc>
        <w:tc>
          <w:tcPr>
            <w:tcW w:w="1556" w:type="dxa"/>
            <w:gridSpan w:val="2"/>
            <w:tcBorders>
              <w:left w:val="nil"/>
            </w:tcBorders>
            <w:noWrap w:val="0"/>
            <w:vAlign w:val="center"/>
          </w:tcPr>
          <w:p w14:paraId="543E052D">
            <w:pPr>
              <w:spacing w:line="360" w:lineRule="auto"/>
              <w:jc w:val="center"/>
              <w:rPr>
                <w:rFonts w:hint="eastAsia" w:ascii="宋体" w:hAnsi="宋体" w:eastAsia="宋体" w:cs="宋体"/>
                <w:color w:val="auto"/>
                <w:sz w:val="24"/>
                <w:highlight w:val="none"/>
              </w:rPr>
            </w:pPr>
          </w:p>
        </w:tc>
        <w:tc>
          <w:tcPr>
            <w:tcW w:w="1727" w:type="dxa"/>
            <w:gridSpan w:val="2"/>
            <w:tcBorders>
              <w:left w:val="nil"/>
            </w:tcBorders>
            <w:noWrap w:val="0"/>
            <w:vAlign w:val="center"/>
          </w:tcPr>
          <w:p w14:paraId="5E5BB136">
            <w:pPr>
              <w:spacing w:line="360" w:lineRule="auto"/>
              <w:jc w:val="center"/>
              <w:rPr>
                <w:rFonts w:hint="eastAsia" w:ascii="宋体" w:hAnsi="宋体" w:eastAsia="宋体" w:cs="宋体"/>
                <w:color w:val="auto"/>
                <w:sz w:val="24"/>
                <w:highlight w:val="none"/>
              </w:rPr>
            </w:pPr>
          </w:p>
        </w:tc>
        <w:tc>
          <w:tcPr>
            <w:tcW w:w="1382" w:type="dxa"/>
            <w:gridSpan w:val="2"/>
            <w:tcBorders>
              <w:left w:val="nil"/>
            </w:tcBorders>
            <w:noWrap w:val="0"/>
            <w:vAlign w:val="center"/>
          </w:tcPr>
          <w:p w14:paraId="78D7CF93">
            <w:pPr>
              <w:spacing w:line="360" w:lineRule="auto"/>
              <w:jc w:val="center"/>
              <w:rPr>
                <w:rFonts w:hint="eastAsia" w:ascii="宋体" w:hAnsi="宋体" w:eastAsia="宋体" w:cs="宋体"/>
                <w:color w:val="auto"/>
                <w:sz w:val="24"/>
                <w:highlight w:val="none"/>
              </w:rPr>
            </w:pPr>
          </w:p>
        </w:tc>
        <w:tc>
          <w:tcPr>
            <w:tcW w:w="934" w:type="dxa"/>
            <w:tcBorders>
              <w:left w:val="nil"/>
            </w:tcBorders>
            <w:noWrap w:val="0"/>
            <w:vAlign w:val="center"/>
          </w:tcPr>
          <w:p w14:paraId="5EDF5A90">
            <w:pPr>
              <w:spacing w:line="360" w:lineRule="auto"/>
              <w:jc w:val="center"/>
              <w:rPr>
                <w:rFonts w:hint="eastAsia" w:ascii="宋体" w:hAnsi="宋体" w:eastAsia="宋体" w:cs="宋体"/>
                <w:color w:val="auto"/>
                <w:sz w:val="24"/>
                <w:highlight w:val="none"/>
              </w:rPr>
            </w:pPr>
          </w:p>
        </w:tc>
      </w:tr>
      <w:tr w14:paraId="6CA9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96" w:type="dxa"/>
            <w:gridSpan w:val="2"/>
            <w:noWrap w:val="0"/>
            <w:vAlign w:val="center"/>
          </w:tcPr>
          <w:p w14:paraId="2485427B">
            <w:pPr>
              <w:spacing w:line="360" w:lineRule="auto"/>
              <w:jc w:val="center"/>
              <w:rPr>
                <w:rFonts w:hint="eastAsia" w:ascii="宋体" w:hAnsi="宋体" w:eastAsia="宋体" w:cs="宋体"/>
                <w:color w:val="auto"/>
                <w:sz w:val="24"/>
                <w:highlight w:val="none"/>
              </w:rPr>
            </w:pPr>
          </w:p>
        </w:tc>
        <w:tc>
          <w:tcPr>
            <w:tcW w:w="2353" w:type="dxa"/>
            <w:gridSpan w:val="2"/>
            <w:tcBorders>
              <w:left w:val="nil"/>
            </w:tcBorders>
            <w:noWrap w:val="0"/>
            <w:vAlign w:val="center"/>
          </w:tcPr>
          <w:p w14:paraId="580991DC">
            <w:pPr>
              <w:spacing w:line="360" w:lineRule="auto"/>
              <w:jc w:val="center"/>
              <w:rPr>
                <w:rFonts w:hint="eastAsia" w:ascii="宋体" w:hAnsi="宋体" w:eastAsia="宋体" w:cs="宋体"/>
                <w:color w:val="auto"/>
                <w:sz w:val="24"/>
                <w:highlight w:val="none"/>
              </w:rPr>
            </w:pPr>
          </w:p>
        </w:tc>
        <w:tc>
          <w:tcPr>
            <w:tcW w:w="1556" w:type="dxa"/>
            <w:gridSpan w:val="2"/>
            <w:tcBorders>
              <w:left w:val="nil"/>
            </w:tcBorders>
            <w:noWrap w:val="0"/>
            <w:vAlign w:val="center"/>
          </w:tcPr>
          <w:p w14:paraId="25BF219D">
            <w:pPr>
              <w:spacing w:line="360" w:lineRule="auto"/>
              <w:jc w:val="center"/>
              <w:rPr>
                <w:rFonts w:hint="eastAsia" w:ascii="宋体" w:hAnsi="宋体" w:eastAsia="宋体" w:cs="宋体"/>
                <w:color w:val="auto"/>
                <w:sz w:val="24"/>
                <w:highlight w:val="none"/>
              </w:rPr>
            </w:pPr>
          </w:p>
        </w:tc>
        <w:tc>
          <w:tcPr>
            <w:tcW w:w="1727" w:type="dxa"/>
            <w:gridSpan w:val="2"/>
            <w:tcBorders>
              <w:left w:val="nil"/>
            </w:tcBorders>
            <w:noWrap w:val="0"/>
            <w:vAlign w:val="center"/>
          </w:tcPr>
          <w:p w14:paraId="49C761C6">
            <w:pPr>
              <w:spacing w:line="360" w:lineRule="auto"/>
              <w:jc w:val="center"/>
              <w:rPr>
                <w:rFonts w:hint="eastAsia" w:ascii="宋体" w:hAnsi="宋体" w:eastAsia="宋体" w:cs="宋体"/>
                <w:color w:val="auto"/>
                <w:sz w:val="24"/>
                <w:highlight w:val="none"/>
              </w:rPr>
            </w:pPr>
          </w:p>
        </w:tc>
        <w:tc>
          <w:tcPr>
            <w:tcW w:w="1382" w:type="dxa"/>
            <w:gridSpan w:val="2"/>
            <w:tcBorders>
              <w:left w:val="nil"/>
            </w:tcBorders>
            <w:noWrap w:val="0"/>
            <w:vAlign w:val="center"/>
          </w:tcPr>
          <w:p w14:paraId="09FB245F">
            <w:pPr>
              <w:spacing w:line="360" w:lineRule="auto"/>
              <w:jc w:val="center"/>
              <w:rPr>
                <w:rFonts w:hint="eastAsia" w:ascii="宋体" w:hAnsi="宋体" w:eastAsia="宋体" w:cs="宋体"/>
                <w:color w:val="auto"/>
                <w:sz w:val="24"/>
                <w:highlight w:val="none"/>
              </w:rPr>
            </w:pPr>
          </w:p>
        </w:tc>
        <w:tc>
          <w:tcPr>
            <w:tcW w:w="934" w:type="dxa"/>
            <w:tcBorders>
              <w:left w:val="nil"/>
            </w:tcBorders>
            <w:noWrap w:val="0"/>
            <w:vAlign w:val="center"/>
          </w:tcPr>
          <w:p w14:paraId="357F0D84">
            <w:pPr>
              <w:spacing w:line="360" w:lineRule="auto"/>
              <w:jc w:val="center"/>
              <w:rPr>
                <w:rFonts w:hint="eastAsia" w:ascii="宋体" w:hAnsi="宋体" w:eastAsia="宋体" w:cs="宋体"/>
                <w:color w:val="auto"/>
                <w:sz w:val="24"/>
                <w:highlight w:val="none"/>
              </w:rPr>
            </w:pPr>
          </w:p>
        </w:tc>
      </w:tr>
      <w:tr w14:paraId="5C1A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96" w:type="dxa"/>
            <w:gridSpan w:val="2"/>
            <w:noWrap w:val="0"/>
            <w:vAlign w:val="center"/>
          </w:tcPr>
          <w:p w14:paraId="6F676335">
            <w:pPr>
              <w:spacing w:line="360" w:lineRule="auto"/>
              <w:jc w:val="center"/>
              <w:rPr>
                <w:rFonts w:hint="eastAsia" w:ascii="宋体" w:hAnsi="宋体" w:eastAsia="宋体" w:cs="宋体"/>
                <w:color w:val="auto"/>
                <w:sz w:val="24"/>
                <w:highlight w:val="none"/>
              </w:rPr>
            </w:pPr>
          </w:p>
        </w:tc>
        <w:tc>
          <w:tcPr>
            <w:tcW w:w="2353" w:type="dxa"/>
            <w:gridSpan w:val="2"/>
            <w:tcBorders>
              <w:left w:val="nil"/>
            </w:tcBorders>
            <w:noWrap w:val="0"/>
            <w:vAlign w:val="center"/>
          </w:tcPr>
          <w:p w14:paraId="39B629DA">
            <w:pPr>
              <w:spacing w:line="360" w:lineRule="auto"/>
              <w:jc w:val="center"/>
              <w:rPr>
                <w:rFonts w:hint="eastAsia" w:ascii="宋体" w:hAnsi="宋体" w:eastAsia="宋体" w:cs="宋体"/>
                <w:color w:val="auto"/>
                <w:sz w:val="24"/>
                <w:highlight w:val="none"/>
              </w:rPr>
            </w:pPr>
          </w:p>
        </w:tc>
        <w:tc>
          <w:tcPr>
            <w:tcW w:w="1556" w:type="dxa"/>
            <w:gridSpan w:val="2"/>
            <w:tcBorders>
              <w:left w:val="nil"/>
            </w:tcBorders>
            <w:noWrap w:val="0"/>
            <w:vAlign w:val="center"/>
          </w:tcPr>
          <w:p w14:paraId="7795D3A4">
            <w:pPr>
              <w:spacing w:line="360" w:lineRule="auto"/>
              <w:jc w:val="center"/>
              <w:rPr>
                <w:rFonts w:hint="eastAsia" w:ascii="宋体" w:hAnsi="宋体" w:eastAsia="宋体" w:cs="宋体"/>
                <w:color w:val="auto"/>
                <w:sz w:val="24"/>
                <w:highlight w:val="none"/>
              </w:rPr>
            </w:pPr>
          </w:p>
        </w:tc>
        <w:tc>
          <w:tcPr>
            <w:tcW w:w="1727" w:type="dxa"/>
            <w:gridSpan w:val="2"/>
            <w:tcBorders>
              <w:left w:val="nil"/>
            </w:tcBorders>
            <w:noWrap w:val="0"/>
            <w:vAlign w:val="center"/>
          </w:tcPr>
          <w:p w14:paraId="12CA12F2">
            <w:pPr>
              <w:spacing w:line="360" w:lineRule="auto"/>
              <w:jc w:val="center"/>
              <w:rPr>
                <w:rFonts w:hint="eastAsia" w:ascii="宋体" w:hAnsi="宋体" w:eastAsia="宋体" w:cs="宋体"/>
                <w:color w:val="auto"/>
                <w:sz w:val="24"/>
                <w:highlight w:val="none"/>
              </w:rPr>
            </w:pPr>
          </w:p>
        </w:tc>
        <w:tc>
          <w:tcPr>
            <w:tcW w:w="1382" w:type="dxa"/>
            <w:gridSpan w:val="2"/>
            <w:tcBorders>
              <w:left w:val="nil"/>
            </w:tcBorders>
            <w:noWrap w:val="0"/>
            <w:vAlign w:val="center"/>
          </w:tcPr>
          <w:p w14:paraId="48B5F3A3">
            <w:pPr>
              <w:spacing w:line="360" w:lineRule="auto"/>
              <w:jc w:val="center"/>
              <w:rPr>
                <w:rFonts w:hint="eastAsia" w:ascii="宋体" w:hAnsi="宋体" w:eastAsia="宋体" w:cs="宋体"/>
                <w:color w:val="auto"/>
                <w:sz w:val="24"/>
                <w:highlight w:val="none"/>
              </w:rPr>
            </w:pPr>
          </w:p>
        </w:tc>
        <w:tc>
          <w:tcPr>
            <w:tcW w:w="934" w:type="dxa"/>
            <w:tcBorders>
              <w:left w:val="nil"/>
            </w:tcBorders>
            <w:noWrap w:val="0"/>
            <w:vAlign w:val="center"/>
          </w:tcPr>
          <w:p w14:paraId="39D4F08F">
            <w:pPr>
              <w:spacing w:line="360" w:lineRule="auto"/>
              <w:jc w:val="center"/>
              <w:rPr>
                <w:rFonts w:hint="eastAsia" w:ascii="宋体" w:hAnsi="宋体" w:eastAsia="宋体" w:cs="宋体"/>
                <w:color w:val="auto"/>
                <w:sz w:val="24"/>
                <w:highlight w:val="none"/>
              </w:rPr>
            </w:pPr>
          </w:p>
        </w:tc>
      </w:tr>
    </w:tbl>
    <w:p w14:paraId="408FA661">
      <w:pPr>
        <w:spacing w:line="360" w:lineRule="auto"/>
        <w:ind w:left="-473" w:left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项目经理和项目总工的身份证、职称资格证书以及资格预审文件所要求的其他相关证书（如建造师注册证书、安全生产考核合格证书等）的彩色扫描件或彩色复印件，并应提供其担任类似项目的项目经理和项目总工的相关业绩证明材料（业主或项目法人或交通行政主管部门或质量监督机构出具）复印件。身份证如为第二代身份证的应附前后两面的复印件；建造师证应附有标明建造师级别、姓名、专业、证书号和注册号、发证机关的相关页面复印件；发证机关和有效期的相关页面复印件；</w:t>
      </w:r>
    </w:p>
    <w:p w14:paraId="1D151FFC">
      <w:pPr>
        <w:spacing w:line="360" w:lineRule="auto"/>
        <w:ind w:left="-473" w:leftChars="-225"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2、本表后应附申请人所属社保机构出具的拟委任的项目经理和项目总工的社保缴费证明或其他能够证明拟委任的项目经理和项目总工参加社保的有效证明材料。</w:t>
      </w:r>
    </w:p>
    <w:p w14:paraId="0D211B7C">
      <w:pPr>
        <w:spacing w:line="360" w:lineRule="auto"/>
        <w:ind w:left="-473" w:leftChars="-225"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3、目前未在具体项目上任职的，请在备注栏说明现在负责的工作内容。</w:t>
      </w:r>
    </w:p>
    <w:p w14:paraId="15A1F383">
      <w:pPr>
        <w:spacing w:line="360" w:lineRule="auto"/>
        <w:ind w:left="-473" w:leftChars="-225" w:firstLine="540" w:firstLineChars="225"/>
        <w:rPr>
          <w:rFonts w:hint="eastAsia" w:ascii="宋体" w:hAnsi="宋体" w:eastAsia="宋体" w:cs="宋体"/>
          <w:color w:val="auto"/>
          <w:sz w:val="24"/>
          <w:highlight w:val="none"/>
        </w:rPr>
      </w:pPr>
    </w:p>
    <w:p w14:paraId="75A9BB9C">
      <w:pPr>
        <w:spacing w:line="360" w:lineRule="auto"/>
        <w:ind w:left="-473" w:leftChars="-225" w:firstLine="540" w:firstLineChars="225"/>
        <w:rPr>
          <w:rFonts w:hint="eastAsia" w:ascii="宋体" w:hAnsi="宋体" w:eastAsia="宋体" w:cs="宋体"/>
          <w:color w:val="auto"/>
          <w:sz w:val="24"/>
          <w:highlight w:val="none"/>
        </w:rPr>
      </w:pPr>
    </w:p>
    <w:p w14:paraId="413E4E0A">
      <w:pPr>
        <w:spacing w:line="360" w:lineRule="auto"/>
        <w:ind w:left="-473" w:leftChars="-225" w:firstLine="540" w:firstLineChars="225"/>
        <w:rPr>
          <w:rFonts w:hint="eastAsia" w:ascii="宋体" w:hAnsi="宋体" w:eastAsia="宋体" w:cs="宋体"/>
          <w:color w:val="auto"/>
          <w:sz w:val="24"/>
          <w:highlight w:val="none"/>
        </w:rPr>
      </w:pPr>
    </w:p>
    <w:p w14:paraId="6114D54D">
      <w:pPr>
        <w:spacing w:line="360" w:lineRule="auto"/>
        <w:ind w:left="-473" w:leftChars="-225" w:firstLine="540" w:firstLineChars="225"/>
        <w:rPr>
          <w:rFonts w:hint="eastAsia" w:ascii="宋体" w:hAnsi="宋体" w:eastAsia="宋体" w:cs="宋体"/>
          <w:color w:val="auto"/>
          <w:sz w:val="24"/>
          <w:highlight w:val="none"/>
        </w:rPr>
      </w:pPr>
    </w:p>
    <w:p w14:paraId="39EC1216">
      <w:pPr>
        <w:bidi w:val="0"/>
        <w:jc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拟委任的项目经理和项目总工资历表</w:t>
      </w:r>
    </w:p>
    <w:p w14:paraId="6AD8AB9B">
      <w:pPr>
        <w:bidi w:val="0"/>
        <w:jc w:val="left"/>
        <w:rPr>
          <w:rFonts w:hint="eastAsia" w:ascii="宋体" w:hAnsi="宋体" w:eastAsia="宋体" w:cs="宋体"/>
          <w:color w:val="auto"/>
          <w:sz w:val="24"/>
          <w:szCs w:val="24"/>
          <w:highlight w:val="none"/>
        </w:rPr>
      </w:pPr>
    </w:p>
    <w:tbl>
      <w:tblPr>
        <w:tblStyle w:val="49"/>
        <w:tblW w:w="9475"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58"/>
        <w:gridCol w:w="1486"/>
        <w:gridCol w:w="1656"/>
        <w:gridCol w:w="252"/>
        <w:gridCol w:w="1395"/>
        <w:gridCol w:w="514"/>
        <w:gridCol w:w="1228"/>
        <w:gridCol w:w="165"/>
        <w:gridCol w:w="1038"/>
      </w:tblGrid>
      <w:tr w14:paraId="0D5B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83" w:type="dxa"/>
            <w:noWrap w:val="0"/>
            <w:vAlign w:val="center"/>
          </w:tcPr>
          <w:p w14:paraId="0610C956">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44" w:type="dxa"/>
            <w:gridSpan w:val="2"/>
            <w:tcBorders>
              <w:left w:val="nil"/>
            </w:tcBorders>
            <w:noWrap w:val="0"/>
            <w:vAlign w:val="center"/>
          </w:tcPr>
          <w:p w14:paraId="70F6A48A">
            <w:pPr>
              <w:spacing w:before="240" w:line="360" w:lineRule="auto"/>
              <w:jc w:val="center"/>
              <w:rPr>
                <w:rFonts w:hint="eastAsia" w:ascii="宋体" w:hAnsi="宋体" w:eastAsia="宋体" w:cs="宋体"/>
                <w:color w:val="auto"/>
                <w:sz w:val="24"/>
                <w:highlight w:val="none"/>
              </w:rPr>
            </w:pPr>
          </w:p>
        </w:tc>
        <w:tc>
          <w:tcPr>
            <w:tcW w:w="1656" w:type="dxa"/>
            <w:tcBorders>
              <w:left w:val="nil"/>
            </w:tcBorders>
            <w:noWrap w:val="0"/>
            <w:vAlign w:val="center"/>
          </w:tcPr>
          <w:p w14:paraId="3F543A69">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47" w:type="dxa"/>
            <w:gridSpan w:val="2"/>
            <w:tcBorders>
              <w:left w:val="nil"/>
            </w:tcBorders>
            <w:noWrap w:val="0"/>
            <w:vAlign w:val="center"/>
          </w:tcPr>
          <w:p w14:paraId="2767AF73">
            <w:pPr>
              <w:spacing w:before="240" w:line="360" w:lineRule="auto"/>
              <w:jc w:val="center"/>
              <w:rPr>
                <w:rFonts w:hint="eastAsia" w:ascii="宋体" w:hAnsi="宋体" w:eastAsia="宋体" w:cs="宋体"/>
                <w:color w:val="auto"/>
                <w:sz w:val="24"/>
                <w:highlight w:val="none"/>
                <w:lang w:eastAsia="zh-CN"/>
              </w:rPr>
            </w:pPr>
          </w:p>
        </w:tc>
        <w:tc>
          <w:tcPr>
            <w:tcW w:w="1742" w:type="dxa"/>
            <w:gridSpan w:val="2"/>
            <w:tcBorders>
              <w:left w:val="nil"/>
            </w:tcBorders>
            <w:noWrap w:val="0"/>
            <w:vAlign w:val="center"/>
          </w:tcPr>
          <w:p w14:paraId="44AF056B">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03" w:type="dxa"/>
            <w:gridSpan w:val="2"/>
            <w:tcBorders>
              <w:left w:val="nil"/>
            </w:tcBorders>
            <w:noWrap w:val="0"/>
            <w:vAlign w:val="center"/>
          </w:tcPr>
          <w:p w14:paraId="4F993E52">
            <w:pPr>
              <w:spacing w:before="240" w:line="360" w:lineRule="auto"/>
              <w:jc w:val="both"/>
              <w:rPr>
                <w:rFonts w:hint="eastAsia" w:ascii="宋体" w:hAnsi="宋体" w:eastAsia="宋体" w:cs="宋体"/>
                <w:color w:val="auto"/>
                <w:sz w:val="24"/>
                <w:highlight w:val="none"/>
              </w:rPr>
            </w:pPr>
          </w:p>
        </w:tc>
      </w:tr>
      <w:tr w14:paraId="2F64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3" w:type="dxa"/>
            <w:noWrap w:val="0"/>
            <w:vAlign w:val="center"/>
          </w:tcPr>
          <w:p w14:paraId="5C001C3E">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44" w:type="dxa"/>
            <w:gridSpan w:val="2"/>
            <w:tcBorders>
              <w:left w:val="nil"/>
            </w:tcBorders>
            <w:noWrap w:val="0"/>
            <w:vAlign w:val="center"/>
          </w:tcPr>
          <w:p w14:paraId="219754CF">
            <w:pPr>
              <w:spacing w:before="240"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技术负责人</w:t>
            </w:r>
          </w:p>
        </w:tc>
        <w:tc>
          <w:tcPr>
            <w:tcW w:w="1656" w:type="dxa"/>
            <w:tcBorders>
              <w:left w:val="nil"/>
            </w:tcBorders>
            <w:noWrap w:val="0"/>
            <w:vAlign w:val="center"/>
          </w:tcPr>
          <w:p w14:paraId="30682B7E">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47" w:type="dxa"/>
            <w:gridSpan w:val="2"/>
            <w:tcBorders>
              <w:left w:val="nil"/>
            </w:tcBorders>
            <w:noWrap w:val="0"/>
            <w:vAlign w:val="center"/>
          </w:tcPr>
          <w:p w14:paraId="50289B35">
            <w:pPr>
              <w:spacing w:before="240" w:line="360" w:lineRule="auto"/>
              <w:jc w:val="center"/>
              <w:rPr>
                <w:rFonts w:hint="eastAsia" w:ascii="宋体" w:hAnsi="宋体" w:eastAsia="宋体" w:cs="宋体"/>
                <w:color w:val="auto"/>
                <w:sz w:val="24"/>
                <w:highlight w:val="none"/>
                <w:lang w:eastAsia="zh-CN"/>
              </w:rPr>
            </w:pPr>
          </w:p>
        </w:tc>
        <w:tc>
          <w:tcPr>
            <w:tcW w:w="1742" w:type="dxa"/>
            <w:gridSpan w:val="2"/>
            <w:tcBorders>
              <w:left w:val="nil"/>
            </w:tcBorders>
            <w:noWrap w:val="0"/>
            <w:vAlign w:val="center"/>
          </w:tcPr>
          <w:p w14:paraId="73A6489E">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03" w:type="dxa"/>
            <w:gridSpan w:val="2"/>
            <w:tcBorders>
              <w:left w:val="nil"/>
            </w:tcBorders>
            <w:noWrap w:val="0"/>
            <w:vAlign w:val="center"/>
          </w:tcPr>
          <w:p w14:paraId="3EC3E772">
            <w:pPr>
              <w:spacing w:before="240" w:line="360" w:lineRule="auto"/>
              <w:jc w:val="both"/>
              <w:rPr>
                <w:rFonts w:hint="eastAsia" w:ascii="宋体" w:hAnsi="宋体" w:eastAsia="宋体" w:cs="宋体"/>
                <w:color w:val="auto"/>
                <w:sz w:val="24"/>
                <w:highlight w:val="none"/>
                <w:lang w:eastAsia="zh-CN"/>
              </w:rPr>
            </w:pPr>
          </w:p>
        </w:tc>
      </w:tr>
      <w:tr w14:paraId="705D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227" w:type="dxa"/>
            <w:gridSpan w:val="3"/>
            <w:noWrap w:val="0"/>
            <w:vAlign w:val="center"/>
          </w:tcPr>
          <w:p w14:paraId="1ECBCF2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656" w:type="dxa"/>
            <w:tcBorders>
              <w:left w:val="nil"/>
            </w:tcBorders>
            <w:noWrap w:val="0"/>
            <w:vAlign w:val="center"/>
          </w:tcPr>
          <w:p w14:paraId="2BC01C93">
            <w:pPr>
              <w:spacing w:before="240" w:line="360" w:lineRule="auto"/>
              <w:jc w:val="center"/>
              <w:rPr>
                <w:rFonts w:hint="eastAsia" w:ascii="宋体" w:hAnsi="宋体" w:eastAsia="宋体" w:cs="宋体"/>
                <w:color w:val="auto"/>
                <w:sz w:val="24"/>
                <w:highlight w:val="none"/>
              </w:rPr>
            </w:pPr>
          </w:p>
        </w:tc>
        <w:tc>
          <w:tcPr>
            <w:tcW w:w="3389" w:type="dxa"/>
            <w:gridSpan w:val="4"/>
            <w:tcBorders>
              <w:left w:val="nil"/>
            </w:tcBorders>
            <w:noWrap w:val="0"/>
            <w:vAlign w:val="center"/>
          </w:tcPr>
          <w:p w14:paraId="3912C3E3">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担任技术负责人年限</w:t>
            </w:r>
          </w:p>
        </w:tc>
        <w:tc>
          <w:tcPr>
            <w:tcW w:w="1203" w:type="dxa"/>
            <w:gridSpan w:val="2"/>
            <w:tcBorders>
              <w:left w:val="nil"/>
            </w:tcBorders>
            <w:noWrap w:val="0"/>
            <w:vAlign w:val="center"/>
          </w:tcPr>
          <w:p w14:paraId="214746D6">
            <w:pPr>
              <w:spacing w:before="240" w:line="360" w:lineRule="auto"/>
              <w:jc w:val="both"/>
              <w:rPr>
                <w:rFonts w:hint="eastAsia" w:ascii="宋体" w:hAnsi="宋体" w:eastAsia="宋体" w:cs="宋体"/>
                <w:color w:val="auto"/>
                <w:sz w:val="24"/>
                <w:highlight w:val="none"/>
              </w:rPr>
            </w:pPr>
          </w:p>
        </w:tc>
      </w:tr>
      <w:tr w14:paraId="20BD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227" w:type="dxa"/>
            <w:gridSpan w:val="3"/>
            <w:noWrap w:val="0"/>
            <w:vAlign w:val="center"/>
          </w:tcPr>
          <w:p w14:paraId="5178305B">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职称证书编号</w:t>
            </w:r>
          </w:p>
        </w:tc>
        <w:tc>
          <w:tcPr>
            <w:tcW w:w="6248" w:type="dxa"/>
            <w:gridSpan w:val="7"/>
            <w:tcBorders>
              <w:left w:val="nil"/>
            </w:tcBorders>
            <w:noWrap w:val="0"/>
            <w:vAlign w:val="center"/>
          </w:tcPr>
          <w:p w14:paraId="335228A8">
            <w:pPr>
              <w:spacing w:before="240" w:line="360" w:lineRule="auto"/>
              <w:jc w:val="center"/>
              <w:rPr>
                <w:rFonts w:hint="eastAsia" w:ascii="宋体" w:hAnsi="宋体" w:eastAsia="宋体" w:cs="宋体"/>
                <w:color w:val="auto"/>
                <w:sz w:val="24"/>
                <w:highlight w:val="none"/>
              </w:rPr>
            </w:pPr>
          </w:p>
        </w:tc>
      </w:tr>
      <w:tr w14:paraId="19D8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475" w:type="dxa"/>
            <w:gridSpan w:val="10"/>
            <w:noWrap w:val="0"/>
            <w:vAlign w:val="center"/>
          </w:tcPr>
          <w:p w14:paraId="5EDB5254">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2523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741" w:type="dxa"/>
            <w:gridSpan w:val="2"/>
            <w:noWrap w:val="0"/>
            <w:vAlign w:val="center"/>
          </w:tcPr>
          <w:p w14:paraId="1C2349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86" w:type="dxa"/>
            <w:tcBorders>
              <w:left w:val="nil"/>
            </w:tcBorders>
            <w:noWrap w:val="0"/>
            <w:vAlign w:val="center"/>
          </w:tcPr>
          <w:p w14:paraId="5C4EB5A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8" w:type="dxa"/>
            <w:gridSpan w:val="2"/>
            <w:tcBorders>
              <w:left w:val="nil"/>
            </w:tcBorders>
            <w:noWrap w:val="0"/>
            <w:vAlign w:val="center"/>
          </w:tcPr>
          <w:p w14:paraId="150C5E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909" w:type="dxa"/>
            <w:gridSpan w:val="2"/>
            <w:tcBorders>
              <w:left w:val="nil"/>
            </w:tcBorders>
            <w:noWrap w:val="0"/>
            <w:vAlign w:val="center"/>
          </w:tcPr>
          <w:p w14:paraId="69541A9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93" w:type="dxa"/>
            <w:gridSpan w:val="2"/>
            <w:tcBorders>
              <w:left w:val="nil"/>
            </w:tcBorders>
            <w:noWrap w:val="0"/>
            <w:vAlign w:val="center"/>
          </w:tcPr>
          <w:p w14:paraId="7129FC4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4AB69D3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1038" w:type="dxa"/>
            <w:tcBorders>
              <w:left w:val="nil"/>
            </w:tcBorders>
            <w:noWrap w:val="0"/>
            <w:vAlign w:val="center"/>
          </w:tcPr>
          <w:p w14:paraId="1BE30A7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56E84B5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3D5D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41" w:type="dxa"/>
            <w:gridSpan w:val="2"/>
            <w:noWrap w:val="0"/>
            <w:vAlign w:val="center"/>
          </w:tcPr>
          <w:p w14:paraId="2FD9E75D">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66B22DEC">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2D63710D">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ADC2023">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532E32C6">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1F591C2B">
            <w:pPr>
              <w:spacing w:before="240" w:line="360" w:lineRule="auto"/>
              <w:jc w:val="center"/>
              <w:rPr>
                <w:rFonts w:hint="eastAsia" w:ascii="宋体" w:hAnsi="宋体" w:eastAsia="宋体" w:cs="宋体"/>
                <w:color w:val="auto"/>
                <w:sz w:val="24"/>
                <w:highlight w:val="none"/>
              </w:rPr>
            </w:pPr>
          </w:p>
        </w:tc>
      </w:tr>
      <w:tr w14:paraId="6070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41" w:type="dxa"/>
            <w:gridSpan w:val="2"/>
            <w:noWrap w:val="0"/>
            <w:vAlign w:val="center"/>
          </w:tcPr>
          <w:p w14:paraId="1EA6D690">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00525CB7">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48D2E1B7">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5FC8A6E3">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581FFD75">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6762A56C">
            <w:pPr>
              <w:spacing w:before="240" w:line="360" w:lineRule="auto"/>
              <w:jc w:val="center"/>
              <w:rPr>
                <w:rFonts w:hint="eastAsia" w:ascii="宋体" w:hAnsi="宋体" w:eastAsia="宋体" w:cs="宋体"/>
                <w:color w:val="auto"/>
                <w:sz w:val="24"/>
                <w:highlight w:val="none"/>
              </w:rPr>
            </w:pPr>
          </w:p>
        </w:tc>
      </w:tr>
      <w:tr w14:paraId="7B9B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41" w:type="dxa"/>
            <w:gridSpan w:val="2"/>
            <w:noWrap w:val="0"/>
            <w:vAlign w:val="center"/>
          </w:tcPr>
          <w:p w14:paraId="22B56AEB">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019770F6">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0BECC01E">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6082344D">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71B9AD64">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5EBDFE84">
            <w:pPr>
              <w:spacing w:before="240" w:line="360" w:lineRule="auto"/>
              <w:jc w:val="center"/>
              <w:rPr>
                <w:rFonts w:hint="eastAsia" w:ascii="宋体" w:hAnsi="宋体" w:eastAsia="宋体" w:cs="宋体"/>
                <w:color w:val="auto"/>
                <w:sz w:val="24"/>
                <w:highlight w:val="none"/>
              </w:rPr>
            </w:pPr>
          </w:p>
        </w:tc>
      </w:tr>
    </w:tbl>
    <w:p w14:paraId="30A2A673">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项目经理和项目总工的身份证、职称资格证书以及资格预审文件所要求的其他相关证书（如建造师注册证书、安全生产考核合格证书等）的彩色扫描件或彩色复印件，并应提供其担任类似项目的项目经理和项目总工的相关业绩证明材料（业主或项目法人或交通行政主管部门或质量监督机构出具）复印件。身份证如为第二代身份证的应附前后两面的复印件；建造师证应附有标明建造师级别、姓名、专业、证书号和注册号、发证机关的相关页面复印件；发证机关和有效期的相关页面复印件；</w:t>
      </w:r>
    </w:p>
    <w:p w14:paraId="68907667">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2、本表后应附申请人所属社保机构出具的拟委任的项目经理和项目总工的社保缴费证明或其他能够证明拟委任的项目经理和项目总工参加社保的有效证明材料。</w:t>
      </w:r>
    </w:p>
    <w:p w14:paraId="52C3F15E">
      <w:pPr>
        <w:spacing w:line="360" w:lineRule="auto"/>
        <w:ind w:left="-158" w:leftChars="-7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3、目前未在具体项目上任职的，请在备注栏说明现在负责的工作内容。</w:t>
      </w:r>
    </w:p>
    <w:p w14:paraId="4CB809B6">
      <w:pPr>
        <w:spacing w:line="360" w:lineRule="auto"/>
        <w:rPr>
          <w:rFonts w:hint="eastAsia" w:ascii="宋体" w:hAnsi="宋体" w:eastAsia="宋体" w:cs="宋体"/>
          <w:color w:val="auto"/>
          <w:sz w:val="24"/>
          <w:highlight w:val="none"/>
          <w:lang w:eastAsia="zh-CN"/>
        </w:rPr>
      </w:pPr>
    </w:p>
    <w:p w14:paraId="785914E8">
      <w:pPr>
        <w:pStyle w:val="18"/>
        <w:rPr>
          <w:rFonts w:hint="eastAsia" w:ascii="宋体" w:hAnsi="宋体" w:eastAsia="宋体" w:cs="宋体"/>
          <w:color w:val="auto"/>
          <w:sz w:val="24"/>
          <w:highlight w:val="none"/>
          <w:lang w:eastAsia="zh-CN"/>
        </w:rPr>
      </w:pPr>
    </w:p>
    <w:p w14:paraId="100520CA">
      <w:pPr>
        <w:jc w:val="left"/>
        <w:outlineLvl w:val="9"/>
        <w:rPr>
          <w:rFonts w:hint="eastAsia" w:ascii="宋体" w:hAnsi="宋体" w:eastAsia="宋体" w:cs="宋体"/>
          <w:b/>
          <w:bCs/>
          <w:color w:val="auto"/>
          <w:sz w:val="24"/>
          <w:szCs w:val="24"/>
          <w:highlight w:val="none"/>
        </w:rPr>
      </w:pPr>
      <w:bookmarkStart w:id="599" w:name="_Toc26376"/>
      <w:bookmarkStart w:id="600" w:name="_Toc29113"/>
      <w:bookmarkStart w:id="601" w:name="_Toc30085"/>
      <w:bookmarkStart w:id="602" w:name="_Toc16897"/>
      <w:bookmarkStart w:id="603" w:name="_Toc31341"/>
      <w:bookmarkStart w:id="604" w:name="_Toc25149"/>
      <w:bookmarkStart w:id="605" w:name="_Toc18407"/>
      <w:r>
        <w:rPr>
          <w:rFonts w:hint="eastAsia" w:ascii="宋体" w:hAnsi="宋体" w:eastAsia="宋体" w:cs="宋体"/>
          <w:b/>
          <w:bCs/>
          <w:color w:val="auto"/>
          <w:sz w:val="24"/>
          <w:szCs w:val="24"/>
          <w:highlight w:val="none"/>
        </w:rPr>
        <w:br w:type="page"/>
      </w:r>
    </w:p>
    <w:p w14:paraId="0A66B558">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拟委任的其他主要管理人员和技术人员资历表</w:t>
      </w:r>
      <w:bookmarkEnd w:id="599"/>
      <w:bookmarkEnd w:id="600"/>
      <w:bookmarkEnd w:id="601"/>
      <w:bookmarkEnd w:id="602"/>
      <w:bookmarkEnd w:id="603"/>
      <w:bookmarkEnd w:id="604"/>
      <w:bookmarkEnd w:id="605"/>
    </w:p>
    <w:p w14:paraId="05AD2C49">
      <w:pPr>
        <w:pStyle w:val="291"/>
        <w:rPr>
          <w:rFonts w:hint="eastAsia" w:ascii="宋体" w:hAnsi="宋体" w:eastAsia="宋体" w:cs="宋体"/>
          <w:color w:val="auto"/>
          <w:highlight w:val="none"/>
        </w:rPr>
      </w:pPr>
    </w:p>
    <w:tbl>
      <w:tblPr>
        <w:tblStyle w:val="49"/>
        <w:tblW w:w="0" w:type="auto"/>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58"/>
        <w:gridCol w:w="1486"/>
        <w:gridCol w:w="1656"/>
        <w:gridCol w:w="252"/>
        <w:gridCol w:w="1395"/>
        <w:gridCol w:w="514"/>
        <w:gridCol w:w="1035"/>
        <w:gridCol w:w="358"/>
        <w:gridCol w:w="1038"/>
      </w:tblGrid>
      <w:tr w14:paraId="5BD7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483" w:type="dxa"/>
            <w:noWrap w:val="0"/>
            <w:vAlign w:val="center"/>
          </w:tcPr>
          <w:p w14:paraId="0A30FE98">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44" w:type="dxa"/>
            <w:gridSpan w:val="2"/>
            <w:tcBorders>
              <w:left w:val="nil"/>
            </w:tcBorders>
            <w:noWrap w:val="0"/>
            <w:vAlign w:val="center"/>
          </w:tcPr>
          <w:p w14:paraId="5A728BEF">
            <w:pPr>
              <w:spacing w:before="240" w:line="360" w:lineRule="auto"/>
              <w:jc w:val="center"/>
              <w:rPr>
                <w:rFonts w:hint="eastAsia" w:ascii="宋体" w:hAnsi="宋体" w:eastAsia="宋体" w:cs="宋体"/>
                <w:color w:val="auto"/>
                <w:sz w:val="24"/>
                <w:highlight w:val="none"/>
              </w:rPr>
            </w:pPr>
          </w:p>
        </w:tc>
        <w:tc>
          <w:tcPr>
            <w:tcW w:w="1656" w:type="dxa"/>
            <w:tcBorders>
              <w:left w:val="nil"/>
            </w:tcBorders>
            <w:noWrap w:val="0"/>
            <w:vAlign w:val="center"/>
          </w:tcPr>
          <w:p w14:paraId="35759E5B">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47" w:type="dxa"/>
            <w:gridSpan w:val="2"/>
            <w:tcBorders>
              <w:left w:val="nil"/>
            </w:tcBorders>
            <w:noWrap w:val="0"/>
            <w:vAlign w:val="center"/>
          </w:tcPr>
          <w:p w14:paraId="7EF3AAAA">
            <w:pPr>
              <w:spacing w:before="240" w:line="360" w:lineRule="auto"/>
              <w:jc w:val="center"/>
              <w:rPr>
                <w:rFonts w:hint="eastAsia" w:ascii="宋体" w:hAnsi="宋体" w:eastAsia="宋体" w:cs="宋体"/>
                <w:color w:val="auto"/>
                <w:sz w:val="24"/>
                <w:highlight w:val="none"/>
                <w:lang w:eastAsia="zh-CN"/>
              </w:rPr>
            </w:pPr>
          </w:p>
        </w:tc>
        <w:tc>
          <w:tcPr>
            <w:tcW w:w="1549" w:type="dxa"/>
            <w:gridSpan w:val="2"/>
            <w:tcBorders>
              <w:left w:val="nil"/>
            </w:tcBorders>
            <w:noWrap w:val="0"/>
            <w:vAlign w:val="center"/>
          </w:tcPr>
          <w:p w14:paraId="60117964">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96" w:type="dxa"/>
            <w:gridSpan w:val="2"/>
            <w:tcBorders>
              <w:left w:val="nil"/>
            </w:tcBorders>
            <w:noWrap w:val="0"/>
            <w:vAlign w:val="center"/>
          </w:tcPr>
          <w:p w14:paraId="70D673F4">
            <w:pPr>
              <w:spacing w:before="240" w:line="360" w:lineRule="auto"/>
              <w:jc w:val="center"/>
              <w:rPr>
                <w:rFonts w:hint="eastAsia" w:ascii="宋体" w:hAnsi="宋体" w:eastAsia="宋体" w:cs="宋体"/>
                <w:color w:val="auto"/>
                <w:sz w:val="24"/>
                <w:highlight w:val="none"/>
                <w:lang w:val="en-US" w:eastAsia="zh-CN"/>
              </w:rPr>
            </w:pPr>
          </w:p>
        </w:tc>
      </w:tr>
      <w:tr w14:paraId="3171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83" w:type="dxa"/>
            <w:noWrap w:val="0"/>
            <w:vAlign w:val="center"/>
          </w:tcPr>
          <w:p w14:paraId="7A818EE0">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44" w:type="dxa"/>
            <w:gridSpan w:val="2"/>
            <w:tcBorders>
              <w:left w:val="nil"/>
            </w:tcBorders>
            <w:noWrap w:val="0"/>
            <w:vAlign w:val="center"/>
          </w:tcPr>
          <w:p w14:paraId="6525DD7B">
            <w:pPr>
              <w:spacing w:before="240"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施工员</w:t>
            </w:r>
          </w:p>
        </w:tc>
        <w:tc>
          <w:tcPr>
            <w:tcW w:w="1656" w:type="dxa"/>
            <w:tcBorders>
              <w:left w:val="nil"/>
            </w:tcBorders>
            <w:noWrap w:val="0"/>
            <w:vAlign w:val="center"/>
          </w:tcPr>
          <w:p w14:paraId="309A1788">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47" w:type="dxa"/>
            <w:gridSpan w:val="2"/>
            <w:tcBorders>
              <w:left w:val="nil"/>
            </w:tcBorders>
            <w:noWrap w:val="0"/>
            <w:vAlign w:val="center"/>
          </w:tcPr>
          <w:p w14:paraId="087721AE">
            <w:pPr>
              <w:spacing w:before="240" w:line="360" w:lineRule="auto"/>
              <w:jc w:val="center"/>
              <w:rPr>
                <w:rFonts w:hint="eastAsia" w:ascii="宋体" w:hAnsi="宋体" w:eastAsia="宋体" w:cs="宋体"/>
                <w:color w:val="auto"/>
                <w:sz w:val="24"/>
                <w:highlight w:val="none"/>
              </w:rPr>
            </w:pPr>
          </w:p>
        </w:tc>
        <w:tc>
          <w:tcPr>
            <w:tcW w:w="1549" w:type="dxa"/>
            <w:gridSpan w:val="2"/>
            <w:tcBorders>
              <w:left w:val="nil"/>
            </w:tcBorders>
            <w:noWrap w:val="0"/>
            <w:vAlign w:val="center"/>
          </w:tcPr>
          <w:p w14:paraId="49431CD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96" w:type="dxa"/>
            <w:gridSpan w:val="2"/>
            <w:tcBorders>
              <w:left w:val="nil"/>
            </w:tcBorders>
            <w:noWrap w:val="0"/>
            <w:vAlign w:val="center"/>
          </w:tcPr>
          <w:p w14:paraId="24D8A545">
            <w:pPr>
              <w:spacing w:before="240" w:line="360" w:lineRule="auto"/>
              <w:jc w:val="center"/>
              <w:rPr>
                <w:rFonts w:hint="eastAsia" w:ascii="宋体" w:hAnsi="宋体" w:eastAsia="宋体" w:cs="宋体"/>
                <w:color w:val="auto"/>
                <w:sz w:val="24"/>
                <w:highlight w:val="none"/>
                <w:lang w:eastAsia="zh-CN"/>
              </w:rPr>
            </w:pPr>
          </w:p>
        </w:tc>
      </w:tr>
      <w:tr w14:paraId="30DB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27" w:type="dxa"/>
            <w:gridSpan w:val="3"/>
            <w:noWrap w:val="0"/>
            <w:vAlign w:val="center"/>
          </w:tcPr>
          <w:p w14:paraId="003A5223">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656" w:type="dxa"/>
            <w:tcBorders>
              <w:left w:val="nil"/>
            </w:tcBorders>
            <w:noWrap w:val="0"/>
            <w:vAlign w:val="center"/>
          </w:tcPr>
          <w:p w14:paraId="775FA423">
            <w:pPr>
              <w:spacing w:before="240" w:line="360" w:lineRule="auto"/>
              <w:jc w:val="center"/>
              <w:rPr>
                <w:rFonts w:hint="eastAsia" w:ascii="宋体" w:hAnsi="宋体" w:eastAsia="宋体" w:cs="宋体"/>
                <w:color w:val="auto"/>
                <w:sz w:val="24"/>
                <w:highlight w:val="none"/>
                <w:lang w:val="en-US" w:eastAsia="zh-CN"/>
              </w:rPr>
            </w:pPr>
          </w:p>
        </w:tc>
        <w:tc>
          <w:tcPr>
            <w:tcW w:w="3196" w:type="dxa"/>
            <w:gridSpan w:val="4"/>
            <w:tcBorders>
              <w:left w:val="nil"/>
            </w:tcBorders>
            <w:noWrap w:val="0"/>
            <w:vAlign w:val="center"/>
          </w:tcPr>
          <w:p w14:paraId="61F3D17B">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担任施工管理年限</w:t>
            </w:r>
          </w:p>
        </w:tc>
        <w:tc>
          <w:tcPr>
            <w:tcW w:w="1396" w:type="dxa"/>
            <w:gridSpan w:val="2"/>
            <w:tcBorders>
              <w:left w:val="nil"/>
            </w:tcBorders>
            <w:noWrap w:val="0"/>
            <w:vAlign w:val="center"/>
          </w:tcPr>
          <w:p w14:paraId="543A8EF9">
            <w:pPr>
              <w:spacing w:before="240" w:line="360" w:lineRule="auto"/>
              <w:jc w:val="center"/>
              <w:rPr>
                <w:rFonts w:hint="eastAsia" w:ascii="宋体" w:hAnsi="宋体" w:eastAsia="宋体" w:cs="宋体"/>
                <w:color w:val="auto"/>
                <w:sz w:val="24"/>
                <w:highlight w:val="none"/>
                <w:lang w:val="en-US" w:eastAsia="zh-CN"/>
              </w:rPr>
            </w:pPr>
          </w:p>
        </w:tc>
      </w:tr>
      <w:tr w14:paraId="62E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27" w:type="dxa"/>
            <w:gridSpan w:val="3"/>
            <w:noWrap w:val="0"/>
            <w:vAlign w:val="center"/>
          </w:tcPr>
          <w:p w14:paraId="1EC610F4">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岗位证书编号</w:t>
            </w:r>
          </w:p>
        </w:tc>
        <w:tc>
          <w:tcPr>
            <w:tcW w:w="6248" w:type="dxa"/>
            <w:gridSpan w:val="7"/>
            <w:tcBorders>
              <w:left w:val="nil"/>
            </w:tcBorders>
            <w:noWrap w:val="0"/>
            <w:vAlign w:val="center"/>
          </w:tcPr>
          <w:p w14:paraId="67DDA8B2">
            <w:pPr>
              <w:spacing w:before="240" w:line="360" w:lineRule="auto"/>
              <w:jc w:val="both"/>
              <w:rPr>
                <w:rFonts w:hint="eastAsia" w:ascii="宋体" w:hAnsi="宋体" w:eastAsia="宋体" w:cs="宋体"/>
                <w:color w:val="auto"/>
                <w:sz w:val="24"/>
                <w:highlight w:val="none"/>
              </w:rPr>
            </w:pPr>
          </w:p>
        </w:tc>
      </w:tr>
      <w:tr w14:paraId="514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475" w:type="dxa"/>
            <w:gridSpan w:val="10"/>
            <w:noWrap w:val="0"/>
            <w:vAlign w:val="center"/>
          </w:tcPr>
          <w:p w14:paraId="10BB2F39">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0392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741" w:type="dxa"/>
            <w:gridSpan w:val="2"/>
            <w:noWrap w:val="0"/>
            <w:vAlign w:val="center"/>
          </w:tcPr>
          <w:p w14:paraId="421756E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86" w:type="dxa"/>
            <w:tcBorders>
              <w:left w:val="nil"/>
            </w:tcBorders>
            <w:noWrap w:val="0"/>
            <w:vAlign w:val="center"/>
          </w:tcPr>
          <w:p w14:paraId="74BFBF1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8" w:type="dxa"/>
            <w:gridSpan w:val="2"/>
            <w:tcBorders>
              <w:left w:val="nil"/>
            </w:tcBorders>
            <w:noWrap w:val="0"/>
            <w:vAlign w:val="center"/>
          </w:tcPr>
          <w:p w14:paraId="1BD9EBE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909" w:type="dxa"/>
            <w:gridSpan w:val="2"/>
            <w:tcBorders>
              <w:left w:val="nil"/>
            </w:tcBorders>
            <w:noWrap w:val="0"/>
            <w:vAlign w:val="center"/>
          </w:tcPr>
          <w:p w14:paraId="475794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93" w:type="dxa"/>
            <w:gridSpan w:val="2"/>
            <w:tcBorders>
              <w:left w:val="nil"/>
            </w:tcBorders>
            <w:noWrap w:val="0"/>
            <w:vAlign w:val="center"/>
          </w:tcPr>
          <w:p w14:paraId="4F8FDFB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2512F84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1038" w:type="dxa"/>
            <w:tcBorders>
              <w:left w:val="nil"/>
            </w:tcBorders>
            <w:noWrap w:val="0"/>
            <w:vAlign w:val="center"/>
          </w:tcPr>
          <w:p w14:paraId="725613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302F36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5EC0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41" w:type="dxa"/>
            <w:gridSpan w:val="2"/>
            <w:noWrap w:val="0"/>
            <w:vAlign w:val="center"/>
          </w:tcPr>
          <w:p w14:paraId="51BAC3B2">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33CCE861">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67185261">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0A5DED77">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4F7293B9">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60692425">
            <w:pPr>
              <w:spacing w:before="240" w:line="360" w:lineRule="auto"/>
              <w:jc w:val="center"/>
              <w:rPr>
                <w:rFonts w:hint="eastAsia" w:ascii="宋体" w:hAnsi="宋体" w:eastAsia="宋体" w:cs="宋体"/>
                <w:color w:val="auto"/>
                <w:sz w:val="24"/>
                <w:highlight w:val="none"/>
              </w:rPr>
            </w:pPr>
          </w:p>
        </w:tc>
      </w:tr>
      <w:tr w14:paraId="06B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41" w:type="dxa"/>
            <w:gridSpan w:val="2"/>
            <w:noWrap w:val="0"/>
            <w:vAlign w:val="center"/>
          </w:tcPr>
          <w:p w14:paraId="30FC9991">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5BD7A6A1">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7CCD4452">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7D19D0EF">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5DFB2F89">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2B8BD71D">
            <w:pPr>
              <w:spacing w:before="240" w:line="360" w:lineRule="auto"/>
              <w:jc w:val="center"/>
              <w:rPr>
                <w:rFonts w:hint="eastAsia" w:ascii="宋体" w:hAnsi="宋体" w:eastAsia="宋体" w:cs="宋体"/>
                <w:color w:val="auto"/>
                <w:sz w:val="24"/>
                <w:highlight w:val="none"/>
              </w:rPr>
            </w:pPr>
          </w:p>
        </w:tc>
      </w:tr>
      <w:tr w14:paraId="04DC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41" w:type="dxa"/>
            <w:gridSpan w:val="2"/>
            <w:noWrap w:val="0"/>
            <w:vAlign w:val="center"/>
          </w:tcPr>
          <w:p w14:paraId="4E4804D4">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23643FBC">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4FAC7676">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79647A9">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29A2DA5B">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3427664B">
            <w:pPr>
              <w:spacing w:before="240" w:line="360" w:lineRule="auto"/>
              <w:jc w:val="center"/>
              <w:rPr>
                <w:rFonts w:hint="eastAsia" w:ascii="宋体" w:hAnsi="宋体" w:eastAsia="宋体" w:cs="宋体"/>
                <w:color w:val="auto"/>
                <w:sz w:val="24"/>
                <w:highlight w:val="none"/>
              </w:rPr>
            </w:pPr>
          </w:p>
        </w:tc>
      </w:tr>
      <w:tr w14:paraId="7BA5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41" w:type="dxa"/>
            <w:gridSpan w:val="2"/>
            <w:noWrap w:val="0"/>
            <w:vAlign w:val="center"/>
          </w:tcPr>
          <w:p w14:paraId="3CBCE492">
            <w:pPr>
              <w:spacing w:before="240" w:line="360" w:lineRule="auto"/>
              <w:jc w:val="center"/>
              <w:rPr>
                <w:rFonts w:hint="eastAsia" w:ascii="宋体" w:hAnsi="宋体" w:eastAsia="宋体" w:cs="宋体"/>
                <w:color w:val="auto"/>
                <w:sz w:val="24"/>
                <w:highlight w:val="none"/>
              </w:rPr>
            </w:pPr>
          </w:p>
        </w:tc>
        <w:tc>
          <w:tcPr>
            <w:tcW w:w="1486" w:type="dxa"/>
            <w:tcBorders>
              <w:left w:val="nil"/>
            </w:tcBorders>
            <w:noWrap w:val="0"/>
            <w:vAlign w:val="center"/>
          </w:tcPr>
          <w:p w14:paraId="5491B400">
            <w:pPr>
              <w:spacing w:before="240" w:line="360" w:lineRule="auto"/>
              <w:jc w:val="center"/>
              <w:rPr>
                <w:rFonts w:hint="eastAsia" w:ascii="宋体" w:hAnsi="宋体" w:eastAsia="宋体" w:cs="宋体"/>
                <w:color w:val="auto"/>
                <w:sz w:val="24"/>
                <w:highlight w:val="none"/>
              </w:rPr>
            </w:pPr>
          </w:p>
        </w:tc>
        <w:tc>
          <w:tcPr>
            <w:tcW w:w="1908" w:type="dxa"/>
            <w:gridSpan w:val="2"/>
            <w:tcBorders>
              <w:left w:val="nil"/>
            </w:tcBorders>
            <w:noWrap w:val="0"/>
            <w:vAlign w:val="center"/>
          </w:tcPr>
          <w:p w14:paraId="003EB479">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5BF50966">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3C3061DF">
            <w:pPr>
              <w:spacing w:before="240" w:line="360" w:lineRule="auto"/>
              <w:jc w:val="center"/>
              <w:rPr>
                <w:rFonts w:hint="eastAsia" w:ascii="宋体" w:hAnsi="宋体" w:eastAsia="宋体" w:cs="宋体"/>
                <w:color w:val="auto"/>
                <w:sz w:val="24"/>
                <w:highlight w:val="none"/>
              </w:rPr>
            </w:pPr>
          </w:p>
        </w:tc>
        <w:tc>
          <w:tcPr>
            <w:tcW w:w="1038" w:type="dxa"/>
            <w:tcBorders>
              <w:left w:val="nil"/>
            </w:tcBorders>
            <w:noWrap w:val="0"/>
            <w:vAlign w:val="center"/>
          </w:tcPr>
          <w:p w14:paraId="000150FB">
            <w:pPr>
              <w:spacing w:before="240" w:line="360" w:lineRule="auto"/>
              <w:jc w:val="center"/>
              <w:rPr>
                <w:rFonts w:hint="eastAsia" w:ascii="宋体" w:hAnsi="宋体" w:eastAsia="宋体" w:cs="宋体"/>
                <w:color w:val="auto"/>
                <w:sz w:val="24"/>
                <w:highlight w:val="none"/>
              </w:rPr>
            </w:pPr>
          </w:p>
        </w:tc>
      </w:tr>
      <w:tr w14:paraId="70C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41" w:type="dxa"/>
            <w:gridSpan w:val="2"/>
            <w:noWrap w:val="0"/>
            <w:vAlign w:val="top"/>
          </w:tcPr>
          <w:p w14:paraId="501CB026">
            <w:pPr>
              <w:spacing w:before="240" w:line="360" w:lineRule="auto"/>
              <w:rPr>
                <w:rFonts w:hint="eastAsia" w:ascii="宋体" w:hAnsi="宋体" w:eastAsia="宋体" w:cs="宋体"/>
                <w:color w:val="auto"/>
                <w:sz w:val="24"/>
                <w:highlight w:val="none"/>
              </w:rPr>
            </w:pPr>
          </w:p>
        </w:tc>
        <w:tc>
          <w:tcPr>
            <w:tcW w:w="1486" w:type="dxa"/>
            <w:tcBorders>
              <w:left w:val="nil"/>
            </w:tcBorders>
            <w:noWrap w:val="0"/>
            <w:vAlign w:val="top"/>
          </w:tcPr>
          <w:p w14:paraId="125A95F1">
            <w:pPr>
              <w:spacing w:before="240" w:line="360" w:lineRule="auto"/>
              <w:rPr>
                <w:rFonts w:hint="eastAsia" w:ascii="宋体" w:hAnsi="宋体" w:eastAsia="宋体" w:cs="宋体"/>
                <w:color w:val="auto"/>
                <w:sz w:val="24"/>
                <w:highlight w:val="none"/>
              </w:rPr>
            </w:pPr>
          </w:p>
        </w:tc>
        <w:tc>
          <w:tcPr>
            <w:tcW w:w="1908" w:type="dxa"/>
            <w:gridSpan w:val="2"/>
            <w:tcBorders>
              <w:left w:val="nil"/>
            </w:tcBorders>
            <w:noWrap w:val="0"/>
            <w:vAlign w:val="top"/>
          </w:tcPr>
          <w:p w14:paraId="266D7966">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7B1041E1">
            <w:pPr>
              <w:spacing w:before="240" w:line="360" w:lineRule="auto"/>
              <w:rPr>
                <w:rFonts w:hint="eastAsia" w:ascii="宋体" w:hAnsi="宋体" w:eastAsia="宋体" w:cs="宋体"/>
                <w:color w:val="auto"/>
                <w:sz w:val="24"/>
                <w:highlight w:val="none"/>
              </w:rPr>
            </w:pPr>
          </w:p>
        </w:tc>
        <w:tc>
          <w:tcPr>
            <w:tcW w:w="1393" w:type="dxa"/>
            <w:gridSpan w:val="2"/>
            <w:tcBorders>
              <w:left w:val="nil"/>
            </w:tcBorders>
            <w:noWrap w:val="0"/>
            <w:vAlign w:val="top"/>
          </w:tcPr>
          <w:p w14:paraId="5C90BA15">
            <w:pPr>
              <w:spacing w:before="240" w:line="360" w:lineRule="auto"/>
              <w:rPr>
                <w:rFonts w:hint="eastAsia" w:ascii="宋体" w:hAnsi="宋体" w:eastAsia="宋体" w:cs="宋体"/>
                <w:color w:val="auto"/>
                <w:sz w:val="24"/>
                <w:highlight w:val="none"/>
              </w:rPr>
            </w:pPr>
          </w:p>
        </w:tc>
        <w:tc>
          <w:tcPr>
            <w:tcW w:w="1038" w:type="dxa"/>
            <w:tcBorders>
              <w:left w:val="nil"/>
            </w:tcBorders>
            <w:noWrap w:val="0"/>
            <w:vAlign w:val="top"/>
          </w:tcPr>
          <w:p w14:paraId="3CF5F7C5">
            <w:pPr>
              <w:spacing w:before="240" w:line="360" w:lineRule="auto"/>
              <w:rPr>
                <w:rFonts w:hint="eastAsia" w:ascii="宋体" w:hAnsi="宋体" w:eastAsia="宋体" w:cs="宋体"/>
                <w:color w:val="auto"/>
                <w:sz w:val="24"/>
                <w:highlight w:val="none"/>
              </w:rPr>
            </w:pPr>
          </w:p>
        </w:tc>
      </w:tr>
    </w:tbl>
    <w:p w14:paraId="426A9BB7">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注：1、本表人员应与表（八）中所列人员相一致，在本表后附身份证、职称资格证书以及资格审查条件所要求其他相关证书（如安全生产考核合格证书、试验检测资格证书等）的复印件。</w:t>
      </w:r>
    </w:p>
    <w:p w14:paraId="1F48E8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2、目前未在具体项目上任职的，请在备注栏说明现在负责的工作内容</w:t>
      </w:r>
      <w:r>
        <w:rPr>
          <w:rFonts w:hint="eastAsia" w:ascii="宋体" w:hAnsi="宋体" w:eastAsia="宋体" w:cs="宋体"/>
          <w:color w:val="auto"/>
          <w:sz w:val="24"/>
          <w:highlight w:val="none"/>
          <w:lang w:val="en-US" w:eastAsia="zh-CN"/>
        </w:rPr>
        <w:t xml:space="preserve">  </w:t>
      </w:r>
    </w:p>
    <w:p w14:paraId="19B38845">
      <w:pPr>
        <w:widowControl/>
        <w:spacing w:line="360" w:lineRule="auto"/>
        <w:rPr>
          <w:rFonts w:hint="eastAsia" w:ascii="宋体" w:hAnsi="宋体" w:eastAsia="宋体" w:cs="宋体"/>
          <w:b/>
          <w:bCs/>
          <w:color w:val="auto"/>
          <w:sz w:val="24"/>
          <w:highlight w:val="none"/>
        </w:rPr>
        <w:sectPr>
          <w:pgSz w:w="11906" w:h="16838"/>
          <w:pgMar w:top="1246" w:right="1286" w:bottom="1440" w:left="1800" w:header="720" w:footer="720" w:gutter="0"/>
          <w:pgNumType w:fmt="decimal"/>
          <w:cols w:space="720" w:num="1"/>
          <w:rtlGutter w:val="1"/>
          <w:docGrid w:type="lines" w:linePitch="312" w:charSpace="0"/>
        </w:sectPr>
      </w:pPr>
    </w:p>
    <w:p w14:paraId="0D02F737">
      <w:pPr>
        <w:ind w:left="-42" w:leftChars="-225" w:hanging="431" w:hangingChars="179"/>
        <w:jc w:val="center"/>
        <w:outlineLvl w:val="9"/>
        <w:rPr>
          <w:rFonts w:hint="eastAsia" w:ascii="宋体" w:hAnsi="宋体" w:eastAsia="宋体" w:cs="宋体"/>
          <w:b/>
          <w:bCs/>
          <w:color w:val="auto"/>
          <w:sz w:val="24"/>
          <w:szCs w:val="24"/>
          <w:highlight w:val="none"/>
        </w:rPr>
      </w:pPr>
      <w:bookmarkStart w:id="606" w:name="_Toc3371"/>
      <w:bookmarkStart w:id="607" w:name="_Toc26347"/>
      <w:bookmarkStart w:id="608" w:name="_Toc2748"/>
      <w:bookmarkStart w:id="609" w:name="_Toc25456"/>
      <w:bookmarkStart w:id="610" w:name="_Toc31028"/>
      <w:bookmarkStart w:id="611" w:name="_Toc16565"/>
      <w:bookmarkStart w:id="612" w:name="_Toc25427"/>
      <w:r>
        <w:rPr>
          <w:rFonts w:hint="eastAsia" w:ascii="宋体" w:hAnsi="宋体" w:eastAsia="宋体" w:cs="宋体"/>
          <w:b/>
          <w:bCs/>
          <w:color w:val="auto"/>
          <w:sz w:val="24"/>
          <w:szCs w:val="24"/>
          <w:highlight w:val="none"/>
        </w:rPr>
        <w:t>拟委任的其他主要管理人员和技术人员资历表</w:t>
      </w:r>
      <w:bookmarkEnd w:id="606"/>
      <w:bookmarkEnd w:id="607"/>
      <w:bookmarkEnd w:id="608"/>
      <w:bookmarkEnd w:id="609"/>
      <w:bookmarkEnd w:id="610"/>
      <w:bookmarkEnd w:id="611"/>
      <w:bookmarkEnd w:id="612"/>
    </w:p>
    <w:p w14:paraId="70126FE8">
      <w:pPr>
        <w:rPr>
          <w:rFonts w:hint="eastAsia" w:ascii="宋体" w:hAnsi="宋体" w:eastAsia="宋体" w:cs="宋体"/>
          <w:color w:val="auto"/>
          <w:highlight w:val="none"/>
        </w:rPr>
      </w:pPr>
    </w:p>
    <w:tbl>
      <w:tblPr>
        <w:tblStyle w:val="49"/>
        <w:tblW w:w="0" w:type="auto"/>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58"/>
        <w:gridCol w:w="1487"/>
        <w:gridCol w:w="1657"/>
        <w:gridCol w:w="252"/>
        <w:gridCol w:w="1395"/>
        <w:gridCol w:w="514"/>
        <w:gridCol w:w="1225"/>
        <w:gridCol w:w="168"/>
        <w:gridCol w:w="1195"/>
      </w:tblGrid>
      <w:tr w14:paraId="4166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83" w:type="dxa"/>
            <w:noWrap w:val="0"/>
            <w:vAlign w:val="center"/>
          </w:tcPr>
          <w:p w14:paraId="48EA8801">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45" w:type="dxa"/>
            <w:gridSpan w:val="2"/>
            <w:tcBorders>
              <w:left w:val="nil"/>
            </w:tcBorders>
            <w:noWrap w:val="0"/>
            <w:vAlign w:val="center"/>
          </w:tcPr>
          <w:p w14:paraId="577F896F">
            <w:pPr>
              <w:spacing w:before="240" w:line="360" w:lineRule="auto"/>
              <w:jc w:val="center"/>
              <w:rPr>
                <w:rFonts w:hint="eastAsia" w:ascii="宋体" w:hAnsi="宋体" w:eastAsia="宋体" w:cs="宋体"/>
                <w:color w:val="auto"/>
                <w:sz w:val="24"/>
                <w:highlight w:val="none"/>
              </w:rPr>
            </w:pPr>
          </w:p>
        </w:tc>
        <w:tc>
          <w:tcPr>
            <w:tcW w:w="1657" w:type="dxa"/>
            <w:tcBorders>
              <w:left w:val="nil"/>
            </w:tcBorders>
            <w:noWrap w:val="0"/>
            <w:vAlign w:val="center"/>
          </w:tcPr>
          <w:p w14:paraId="330ADAB9">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47" w:type="dxa"/>
            <w:gridSpan w:val="2"/>
            <w:tcBorders>
              <w:left w:val="nil"/>
            </w:tcBorders>
            <w:noWrap w:val="0"/>
            <w:vAlign w:val="center"/>
          </w:tcPr>
          <w:p w14:paraId="52D1A959">
            <w:pPr>
              <w:spacing w:before="240" w:line="360" w:lineRule="auto"/>
              <w:jc w:val="center"/>
              <w:rPr>
                <w:rFonts w:hint="eastAsia" w:ascii="宋体" w:hAnsi="宋体" w:eastAsia="宋体" w:cs="宋体"/>
                <w:color w:val="auto"/>
                <w:sz w:val="24"/>
                <w:highlight w:val="none"/>
                <w:lang w:eastAsia="zh-CN"/>
              </w:rPr>
            </w:pPr>
          </w:p>
        </w:tc>
        <w:tc>
          <w:tcPr>
            <w:tcW w:w="1739" w:type="dxa"/>
            <w:gridSpan w:val="2"/>
            <w:tcBorders>
              <w:left w:val="nil"/>
            </w:tcBorders>
            <w:noWrap w:val="0"/>
            <w:vAlign w:val="center"/>
          </w:tcPr>
          <w:p w14:paraId="64D53E94">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63" w:type="dxa"/>
            <w:gridSpan w:val="2"/>
            <w:tcBorders>
              <w:left w:val="nil"/>
            </w:tcBorders>
            <w:noWrap w:val="0"/>
            <w:vAlign w:val="center"/>
          </w:tcPr>
          <w:p w14:paraId="58CA6C90">
            <w:pPr>
              <w:spacing w:before="240" w:line="360" w:lineRule="auto"/>
              <w:jc w:val="center"/>
              <w:rPr>
                <w:rFonts w:hint="eastAsia" w:ascii="宋体" w:hAnsi="宋体" w:eastAsia="宋体" w:cs="宋体"/>
                <w:color w:val="auto"/>
                <w:sz w:val="24"/>
                <w:highlight w:val="none"/>
                <w:lang w:val="en-US" w:eastAsia="zh-CN"/>
              </w:rPr>
            </w:pPr>
          </w:p>
        </w:tc>
      </w:tr>
      <w:tr w14:paraId="7DC0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83" w:type="dxa"/>
            <w:noWrap w:val="0"/>
            <w:vAlign w:val="center"/>
          </w:tcPr>
          <w:p w14:paraId="7646F677">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45" w:type="dxa"/>
            <w:gridSpan w:val="2"/>
            <w:tcBorders>
              <w:left w:val="nil"/>
            </w:tcBorders>
            <w:noWrap w:val="0"/>
            <w:vAlign w:val="center"/>
          </w:tcPr>
          <w:p w14:paraId="46999EF6">
            <w:pPr>
              <w:spacing w:before="240" w:line="360" w:lineRule="auto"/>
              <w:jc w:val="center"/>
              <w:rPr>
                <w:rFonts w:hint="eastAsia" w:ascii="宋体" w:hAnsi="宋体" w:eastAsia="宋体" w:cs="宋体"/>
                <w:color w:val="auto"/>
                <w:sz w:val="24"/>
                <w:highlight w:val="none"/>
              </w:rPr>
            </w:pPr>
          </w:p>
        </w:tc>
        <w:tc>
          <w:tcPr>
            <w:tcW w:w="1657" w:type="dxa"/>
            <w:tcBorders>
              <w:left w:val="nil"/>
            </w:tcBorders>
            <w:noWrap w:val="0"/>
            <w:vAlign w:val="center"/>
          </w:tcPr>
          <w:p w14:paraId="7C4C5BF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47" w:type="dxa"/>
            <w:gridSpan w:val="2"/>
            <w:tcBorders>
              <w:left w:val="nil"/>
            </w:tcBorders>
            <w:noWrap w:val="0"/>
            <w:vAlign w:val="center"/>
          </w:tcPr>
          <w:p w14:paraId="6B3845A0">
            <w:pPr>
              <w:spacing w:before="240" w:line="360" w:lineRule="auto"/>
              <w:jc w:val="center"/>
              <w:rPr>
                <w:rFonts w:hint="eastAsia" w:ascii="宋体" w:hAnsi="宋体" w:eastAsia="宋体" w:cs="宋体"/>
                <w:color w:val="auto"/>
                <w:sz w:val="24"/>
                <w:highlight w:val="none"/>
              </w:rPr>
            </w:pPr>
          </w:p>
        </w:tc>
        <w:tc>
          <w:tcPr>
            <w:tcW w:w="1739" w:type="dxa"/>
            <w:gridSpan w:val="2"/>
            <w:tcBorders>
              <w:left w:val="nil"/>
            </w:tcBorders>
            <w:noWrap w:val="0"/>
            <w:vAlign w:val="center"/>
          </w:tcPr>
          <w:p w14:paraId="2CC1EC5C">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63" w:type="dxa"/>
            <w:gridSpan w:val="2"/>
            <w:tcBorders>
              <w:left w:val="nil"/>
            </w:tcBorders>
            <w:noWrap w:val="0"/>
            <w:vAlign w:val="center"/>
          </w:tcPr>
          <w:p w14:paraId="59A20AF4">
            <w:pPr>
              <w:spacing w:before="240" w:line="360" w:lineRule="auto"/>
              <w:jc w:val="center"/>
              <w:rPr>
                <w:rFonts w:hint="eastAsia" w:ascii="宋体" w:hAnsi="宋体" w:eastAsia="宋体" w:cs="宋体"/>
                <w:color w:val="auto"/>
                <w:sz w:val="24"/>
                <w:highlight w:val="none"/>
                <w:lang w:eastAsia="zh-CN"/>
              </w:rPr>
            </w:pPr>
          </w:p>
        </w:tc>
      </w:tr>
      <w:tr w14:paraId="5121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5FA24143">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657" w:type="dxa"/>
            <w:tcBorders>
              <w:left w:val="nil"/>
            </w:tcBorders>
            <w:noWrap w:val="0"/>
            <w:vAlign w:val="center"/>
          </w:tcPr>
          <w:p w14:paraId="2049BC02">
            <w:pPr>
              <w:spacing w:before="240" w:line="360" w:lineRule="auto"/>
              <w:jc w:val="center"/>
              <w:rPr>
                <w:rFonts w:hint="eastAsia" w:ascii="宋体" w:hAnsi="宋体" w:eastAsia="宋体" w:cs="宋体"/>
                <w:color w:val="auto"/>
                <w:sz w:val="24"/>
                <w:highlight w:val="none"/>
                <w:lang w:val="en-US" w:eastAsia="zh-CN"/>
              </w:rPr>
            </w:pPr>
          </w:p>
        </w:tc>
        <w:tc>
          <w:tcPr>
            <w:tcW w:w="3386" w:type="dxa"/>
            <w:gridSpan w:val="4"/>
            <w:tcBorders>
              <w:left w:val="nil"/>
            </w:tcBorders>
            <w:noWrap w:val="0"/>
            <w:vAlign w:val="center"/>
          </w:tcPr>
          <w:p w14:paraId="1696CB4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担任质量管理年限</w:t>
            </w:r>
          </w:p>
        </w:tc>
        <w:tc>
          <w:tcPr>
            <w:tcW w:w="1363" w:type="dxa"/>
            <w:gridSpan w:val="2"/>
            <w:tcBorders>
              <w:left w:val="nil"/>
            </w:tcBorders>
            <w:noWrap w:val="0"/>
            <w:vAlign w:val="center"/>
          </w:tcPr>
          <w:p w14:paraId="420DAF2B">
            <w:pPr>
              <w:spacing w:before="240" w:line="360" w:lineRule="auto"/>
              <w:jc w:val="center"/>
              <w:rPr>
                <w:rFonts w:hint="eastAsia" w:ascii="宋体" w:hAnsi="宋体" w:eastAsia="宋体" w:cs="宋体"/>
                <w:color w:val="auto"/>
                <w:sz w:val="24"/>
                <w:highlight w:val="none"/>
                <w:lang w:val="en-US" w:eastAsia="zh-CN"/>
              </w:rPr>
            </w:pPr>
          </w:p>
        </w:tc>
      </w:tr>
      <w:tr w14:paraId="0235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047277C7">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岗位证书编号</w:t>
            </w:r>
          </w:p>
        </w:tc>
        <w:tc>
          <w:tcPr>
            <w:tcW w:w="6406" w:type="dxa"/>
            <w:gridSpan w:val="7"/>
            <w:tcBorders>
              <w:left w:val="nil"/>
            </w:tcBorders>
            <w:noWrap w:val="0"/>
            <w:vAlign w:val="center"/>
          </w:tcPr>
          <w:p w14:paraId="551D48C6">
            <w:pPr>
              <w:spacing w:before="240" w:line="360" w:lineRule="auto"/>
              <w:jc w:val="center"/>
              <w:rPr>
                <w:rFonts w:hint="eastAsia" w:ascii="宋体" w:hAnsi="宋体" w:eastAsia="宋体" w:cs="宋体"/>
                <w:color w:val="auto"/>
                <w:sz w:val="24"/>
                <w:highlight w:val="none"/>
              </w:rPr>
            </w:pPr>
          </w:p>
        </w:tc>
      </w:tr>
      <w:tr w14:paraId="291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634" w:type="dxa"/>
            <w:gridSpan w:val="10"/>
            <w:noWrap w:val="0"/>
            <w:vAlign w:val="center"/>
          </w:tcPr>
          <w:p w14:paraId="405D95FD">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694F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741" w:type="dxa"/>
            <w:gridSpan w:val="2"/>
            <w:noWrap w:val="0"/>
            <w:vAlign w:val="center"/>
          </w:tcPr>
          <w:p w14:paraId="6BD110D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87" w:type="dxa"/>
            <w:tcBorders>
              <w:left w:val="nil"/>
            </w:tcBorders>
            <w:noWrap w:val="0"/>
            <w:vAlign w:val="center"/>
          </w:tcPr>
          <w:p w14:paraId="75D33A6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9" w:type="dxa"/>
            <w:gridSpan w:val="2"/>
            <w:tcBorders>
              <w:left w:val="nil"/>
            </w:tcBorders>
            <w:noWrap w:val="0"/>
            <w:vAlign w:val="center"/>
          </w:tcPr>
          <w:p w14:paraId="1EF4404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909" w:type="dxa"/>
            <w:gridSpan w:val="2"/>
            <w:tcBorders>
              <w:left w:val="nil"/>
            </w:tcBorders>
            <w:noWrap w:val="0"/>
            <w:vAlign w:val="center"/>
          </w:tcPr>
          <w:p w14:paraId="1DA82D5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93" w:type="dxa"/>
            <w:gridSpan w:val="2"/>
            <w:tcBorders>
              <w:left w:val="nil"/>
            </w:tcBorders>
            <w:noWrap w:val="0"/>
            <w:vAlign w:val="center"/>
          </w:tcPr>
          <w:p w14:paraId="73F4618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1499F1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1195" w:type="dxa"/>
            <w:tcBorders>
              <w:left w:val="nil"/>
            </w:tcBorders>
            <w:noWrap w:val="0"/>
            <w:vAlign w:val="center"/>
          </w:tcPr>
          <w:p w14:paraId="2322E1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2962F0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49C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41" w:type="dxa"/>
            <w:gridSpan w:val="2"/>
            <w:noWrap w:val="0"/>
            <w:vAlign w:val="center"/>
          </w:tcPr>
          <w:p w14:paraId="2568F656">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24F65B26">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8956911">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0495B14">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3C94EC22">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1C1B363B">
            <w:pPr>
              <w:spacing w:before="240" w:line="360" w:lineRule="auto"/>
              <w:jc w:val="center"/>
              <w:rPr>
                <w:rFonts w:hint="eastAsia" w:ascii="宋体" w:hAnsi="宋体" w:eastAsia="宋体" w:cs="宋体"/>
                <w:color w:val="auto"/>
                <w:sz w:val="24"/>
                <w:highlight w:val="none"/>
              </w:rPr>
            </w:pPr>
          </w:p>
        </w:tc>
      </w:tr>
      <w:tr w14:paraId="6394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06482C9E">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14FE5B6C">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87F8E1E">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5350EAC">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7DB6AD4F">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14F8589B">
            <w:pPr>
              <w:spacing w:before="240" w:line="360" w:lineRule="auto"/>
              <w:jc w:val="center"/>
              <w:rPr>
                <w:rFonts w:hint="eastAsia" w:ascii="宋体" w:hAnsi="宋体" w:eastAsia="宋体" w:cs="宋体"/>
                <w:color w:val="auto"/>
                <w:sz w:val="24"/>
                <w:highlight w:val="none"/>
              </w:rPr>
            </w:pPr>
          </w:p>
        </w:tc>
      </w:tr>
      <w:tr w14:paraId="220A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0AD1EA54">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036E090D">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0FD7D68C">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7173B00">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56604479">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5F6AC54D">
            <w:pPr>
              <w:spacing w:before="240" w:line="360" w:lineRule="auto"/>
              <w:jc w:val="center"/>
              <w:rPr>
                <w:rFonts w:hint="eastAsia" w:ascii="宋体" w:hAnsi="宋体" w:eastAsia="宋体" w:cs="宋体"/>
                <w:color w:val="auto"/>
                <w:sz w:val="24"/>
                <w:highlight w:val="none"/>
              </w:rPr>
            </w:pPr>
          </w:p>
        </w:tc>
      </w:tr>
      <w:tr w14:paraId="7484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3AC93F25">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30407617">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635F9EDA">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670AE5CA">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6E578D67">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18664A9D">
            <w:pPr>
              <w:spacing w:before="240" w:line="360" w:lineRule="auto"/>
              <w:jc w:val="center"/>
              <w:rPr>
                <w:rFonts w:hint="eastAsia" w:ascii="宋体" w:hAnsi="宋体" w:eastAsia="宋体" w:cs="宋体"/>
                <w:color w:val="auto"/>
                <w:sz w:val="24"/>
                <w:highlight w:val="none"/>
              </w:rPr>
            </w:pPr>
          </w:p>
        </w:tc>
      </w:tr>
      <w:tr w14:paraId="21CE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top"/>
          </w:tcPr>
          <w:p w14:paraId="7EE73106">
            <w:pPr>
              <w:spacing w:before="240" w:line="360" w:lineRule="auto"/>
              <w:rPr>
                <w:rFonts w:hint="eastAsia" w:ascii="宋体" w:hAnsi="宋体" w:eastAsia="宋体" w:cs="宋体"/>
                <w:color w:val="auto"/>
                <w:sz w:val="24"/>
                <w:highlight w:val="none"/>
              </w:rPr>
            </w:pPr>
          </w:p>
        </w:tc>
        <w:tc>
          <w:tcPr>
            <w:tcW w:w="1487" w:type="dxa"/>
            <w:tcBorders>
              <w:left w:val="nil"/>
            </w:tcBorders>
            <w:noWrap w:val="0"/>
            <w:vAlign w:val="top"/>
          </w:tcPr>
          <w:p w14:paraId="41E21508">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2E70C398">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49EC5DE6">
            <w:pPr>
              <w:spacing w:before="240" w:line="360" w:lineRule="auto"/>
              <w:rPr>
                <w:rFonts w:hint="eastAsia" w:ascii="宋体" w:hAnsi="宋体" w:eastAsia="宋体" w:cs="宋体"/>
                <w:color w:val="auto"/>
                <w:sz w:val="24"/>
                <w:highlight w:val="none"/>
              </w:rPr>
            </w:pPr>
          </w:p>
        </w:tc>
        <w:tc>
          <w:tcPr>
            <w:tcW w:w="1393" w:type="dxa"/>
            <w:gridSpan w:val="2"/>
            <w:tcBorders>
              <w:left w:val="nil"/>
            </w:tcBorders>
            <w:noWrap w:val="0"/>
            <w:vAlign w:val="top"/>
          </w:tcPr>
          <w:p w14:paraId="5E768065">
            <w:pPr>
              <w:spacing w:before="240" w:line="360" w:lineRule="auto"/>
              <w:rPr>
                <w:rFonts w:hint="eastAsia" w:ascii="宋体" w:hAnsi="宋体" w:eastAsia="宋体" w:cs="宋体"/>
                <w:color w:val="auto"/>
                <w:sz w:val="24"/>
                <w:highlight w:val="none"/>
              </w:rPr>
            </w:pPr>
          </w:p>
        </w:tc>
        <w:tc>
          <w:tcPr>
            <w:tcW w:w="1195" w:type="dxa"/>
            <w:tcBorders>
              <w:left w:val="nil"/>
            </w:tcBorders>
            <w:noWrap w:val="0"/>
            <w:vAlign w:val="top"/>
          </w:tcPr>
          <w:p w14:paraId="5AC9FE95">
            <w:pPr>
              <w:spacing w:before="240" w:line="360" w:lineRule="auto"/>
              <w:rPr>
                <w:rFonts w:hint="eastAsia" w:ascii="宋体" w:hAnsi="宋体" w:eastAsia="宋体" w:cs="宋体"/>
                <w:color w:val="auto"/>
                <w:sz w:val="24"/>
                <w:highlight w:val="none"/>
              </w:rPr>
            </w:pPr>
          </w:p>
        </w:tc>
      </w:tr>
    </w:tbl>
    <w:p w14:paraId="68A223D2">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注：1、本表人员应与表（八）中所列人员相一致，在本表后附身份证、职称资格证书以及资格审查条件所要求其他相关证书（如安全生产考核合格证书、试验检测资格证书等）的复印件。</w:t>
      </w:r>
    </w:p>
    <w:p w14:paraId="592B7999">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2、目前未在具体项目上任职的，请在备注栏说明现在负责的工作内容。</w:t>
      </w:r>
    </w:p>
    <w:p w14:paraId="264BA49E">
      <w:pPr>
        <w:spacing w:line="360" w:lineRule="auto"/>
        <w:rPr>
          <w:rFonts w:hint="eastAsia" w:ascii="宋体" w:hAnsi="宋体" w:eastAsia="宋体" w:cs="宋体"/>
          <w:color w:val="auto"/>
          <w:sz w:val="24"/>
          <w:highlight w:val="none"/>
          <w:lang w:eastAsia="zh-CN"/>
        </w:rPr>
      </w:pPr>
    </w:p>
    <w:p w14:paraId="5FA69F6D">
      <w:pPr>
        <w:spacing w:line="360" w:lineRule="auto"/>
        <w:rPr>
          <w:rFonts w:hint="eastAsia" w:ascii="宋体" w:hAnsi="宋体" w:eastAsia="宋体" w:cs="宋体"/>
          <w:color w:val="auto"/>
          <w:sz w:val="24"/>
          <w:highlight w:val="none"/>
        </w:rPr>
      </w:pPr>
    </w:p>
    <w:p w14:paraId="64583535">
      <w:pPr>
        <w:pStyle w:val="4"/>
        <w:jc w:val="both"/>
        <w:outlineLvl w:val="9"/>
        <w:rPr>
          <w:rFonts w:hint="eastAsia" w:ascii="宋体" w:hAnsi="宋体" w:eastAsia="宋体" w:cs="宋体"/>
          <w:color w:val="auto"/>
          <w:sz w:val="24"/>
          <w:szCs w:val="24"/>
          <w:highlight w:val="none"/>
          <w:lang w:eastAsia="zh-CN"/>
        </w:rPr>
      </w:pPr>
    </w:p>
    <w:p w14:paraId="48EF7C75">
      <w:pPr>
        <w:jc w:val="center"/>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613" w:name="_Toc30548"/>
      <w:bookmarkStart w:id="614" w:name="_Toc15166"/>
      <w:bookmarkStart w:id="615" w:name="_Toc13668"/>
      <w:bookmarkStart w:id="616" w:name="_Toc5021"/>
      <w:bookmarkStart w:id="617" w:name="_Toc29853"/>
      <w:bookmarkStart w:id="618" w:name="_Toc32064"/>
      <w:bookmarkStart w:id="619" w:name="_Toc13118"/>
      <w:r>
        <w:rPr>
          <w:rFonts w:hint="eastAsia" w:ascii="宋体" w:hAnsi="宋体" w:eastAsia="宋体" w:cs="宋体"/>
          <w:b/>
          <w:bCs/>
          <w:color w:val="auto"/>
          <w:sz w:val="24"/>
          <w:szCs w:val="24"/>
          <w:highlight w:val="none"/>
        </w:rPr>
        <w:t>拟委任的其他主要管理人员和技术人员资历表</w:t>
      </w:r>
      <w:bookmarkEnd w:id="613"/>
      <w:bookmarkEnd w:id="614"/>
      <w:bookmarkEnd w:id="615"/>
      <w:bookmarkEnd w:id="616"/>
      <w:bookmarkEnd w:id="617"/>
      <w:bookmarkEnd w:id="618"/>
      <w:bookmarkEnd w:id="619"/>
    </w:p>
    <w:p w14:paraId="66E80BDA">
      <w:pPr>
        <w:rPr>
          <w:rFonts w:hint="eastAsia" w:ascii="宋体" w:hAnsi="宋体" w:eastAsia="宋体" w:cs="宋体"/>
          <w:color w:val="auto"/>
          <w:highlight w:val="none"/>
        </w:rPr>
      </w:pPr>
    </w:p>
    <w:tbl>
      <w:tblPr>
        <w:tblStyle w:val="49"/>
        <w:tblW w:w="0" w:type="auto"/>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58"/>
        <w:gridCol w:w="1487"/>
        <w:gridCol w:w="1657"/>
        <w:gridCol w:w="252"/>
        <w:gridCol w:w="1395"/>
        <w:gridCol w:w="514"/>
        <w:gridCol w:w="1225"/>
        <w:gridCol w:w="168"/>
        <w:gridCol w:w="1195"/>
      </w:tblGrid>
      <w:tr w14:paraId="2223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83" w:type="dxa"/>
            <w:noWrap w:val="0"/>
            <w:vAlign w:val="center"/>
          </w:tcPr>
          <w:p w14:paraId="5CFE40C8">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45" w:type="dxa"/>
            <w:gridSpan w:val="2"/>
            <w:tcBorders>
              <w:left w:val="nil"/>
            </w:tcBorders>
            <w:noWrap w:val="0"/>
            <w:vAlign w:val="center"/>
          </w:tcPr>
          <w:p w14:paraId="2D3889D1">
            <w:pPr>
              <w:spacing w:before="240" w:line="360" w:lineRule="auto"/>
              <w:jc w:val="center"/>
              <w:rPr>
                <w:rFonts w:hint="eastAsia" w:ascii="宋体" w:hAnsi="宋体" w:eastAsia="宋体" w:cs="宋体"/>
                <w:color w:val="auto"/>
                <w:sz w:val="24"/>
                <w:highlight w:val="none"/>
              </w:rPr>
            </w:pPr>
          </w:p>
        </w:tc>
        <w:tc>
          <w:tcPr>
            <w:tcW w:w="1657" w:type="dxa"/>
            <w:tcBorders>
              <w:left w:val="nil"/>
            </w:tcBorders>
            <w:noWrap w:val="0"/>
            <w:vAlign w:val="center"/>
          </w:tcPr>
          <w:p w14:paraId="495FED4A">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47" w:type="dxa"/>
            <w:gridSpan w:val="2"/>
            <w:tcBorders>
              <w:left w:val="nil"/>
            </w:tcBorders>
            <w:noWrap w:val="0"/>
            <w:vAlign w:val="center"/>
          </w:tcPr>
          <w:p w14:paraId="2166C2EE">
            <w:pPr>
              <w:spacing w:before="240" w:line="360" w:lineRule="auto"/>
              <w:jc w:val="center"/>
              <w:rPr>
                <w:rFonts w:hint="eastAsia" w:ascii="宋体" w:hAnsi="宋体" w:eastAsia="宋体" w:cs="宋体"/>
                <w:color w:val="auto"/>
                <w:sz w:val="24"/>
                <w:highlight w:val="none"/>
                <w:lang w:eastAsia="zh-CN"/>
              </w:rPr>
            </w:pPr>
          </w:p>
        </w:tc>
        <w:tc>
          <w:tcPr>
            <w:tcW w:w="1739" w:type="dxa"/>
            <w:gridSpan w:val="2"/>
            <w:tcBorders>
              <w:left w:val="nil"/>
            </w:tcBorders>
            <w:noWrap w:val="0"/>
            <w:vAlign w:val="center"/>
          </w:tcPr>
          <w:p w14:paraId="4D634ECB">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63" w:type="dxa"/>
            <w:gridSpan w:val="2"/>
            <w:tcBorders>
              <w:left w:val="nil"/>
            </w:tcBorders>
            <w:noWrap w:val="0"/>
            <w:vAlign w:val="center"/>
          </w:tcPr>
          <w:p w14:paraId="0EBA988C">
            <w:pPr>
              <w:spacing w:before="240" w:line="360" w:lineRule="auto"/>
              <w:jc w:val="center"/>
              <w:rPr>
                <w:rFonts w:hint="eastAsia" w:ascii="宋体" w:hAnsi="宋体" w:eastAsia="宋体" w:cs="宋体"/>
                <w:color w:val="auto"/>
                <w:sz w:val="24"/>
                <w:highlight w:val="none"/>
                <w:lang w:val="en-US" w:eastAsia="zh-CN"/>
              </w:rPr>
            </w:pPr>
          </w:p>
        </w:tc>
      </w:tr>
      <w:tr w14:paraId="68D5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83" w:type="dxa"/>
            <w:noWrap w:val="0"/>
            <w:vAlign w:val="center"/>
          </w:tcPr>
          <w:p w14:paraId="7560E9B8">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45" w:type="dxa"/>
            <w:gridSpan w:val="2"/>
            <w:tcBorders>
              <w:left w:val="nil"/>
            </w:tcBorders>
            <w:noWrap w:val="0"/>
            <w:vAlign w:val="center"/>
          </w:tcPr>
          <w:p w14:paraId="413C0275">
            <w:pPr>
              <w:spacing w:before="240"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安全员</w:t>
            </w:r>
          </w:p>
        </w:tc>
        <w:tc>
          <w:tcPr>
            <w:tcW w:w="1657" w:type="dxa"/>
            <w:tcBorders>
              <w:left w:val="nil"/>
            </w:tcBorders>
            <w:noWrap w:val="0"/>
            <w:vAlign w:val="center"/>
          </w:tcPr>
          <w:p w14:paraId="706FCB73">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47" w:type="dxa"/>
            <w:gridSpan w:val="2"/>
            <w:tcBorders>
              <w:left w:val="nil"/>
            </w:tcBorders>
            <w:noWrap w:val="0"/>
            <w:vAlign w:val="center"/>
          </w:tcPr>
          <w:p w14:paraId="41D62C1E">
            <w:pPr>
              <w:spacing w:before="240" w:line="360" w:lineRule="auto"/>
              <w:jc w:val="center"/>
              <w:rPr>
                <w:rFonts w:hint="eastAsia" w:ascii="宋体" w:hAnsi="宋体" w:eastAsia="宋体" w:cs="宋体"/>
                <w:color w:val="auto"/>
                <w:sz w:val="24"/>
                <w:highlight w:val="none"/>
              </w:rPr>
            </w:pPr>
          </w:p>
        </w:tc>
        <w:tc>
          <w:tcPr>
            <w:tcW w:w="1739" w:type="dxa"/>
            <w:gridSpan w:val="2"/>
            <w:tcBorders>
              <w:left w:val="nil"/>
            </w:tcBorders>
            <w:noWrap w:val="0"/>
            <w:vAlign w:val="center"/>
          </w:tcPr>
          <w:p w14:paraId="5ED8A80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63" w:type="dxa"/>
            <w:gridSpan w:val="2"/>
            <w:tcBorders>
              <w:left w:val="nil"/>
            </w:tcBorders>
            <w:noWrap w:val="0"/>
            <w:vAlign w:val="center"/>
          </w:tcPr>
          <w:p w14:paraId="45BAE449">
            <w:pPr>
              <w:spacing w:before="240" w:line="360" w:lineRule="auto"/>
              <w:jc w:val="center"/>
              <w:rPr>
                <w:rFonts w:hint="eastAsia" w:ascii="宋体" w:hAnsi="宋体" w:eastAsia="宋体" w:cs="宋体"/>
                <w:color w:val="auto"/>
                <w:sz w:val="24"/>
                <w:highlight w:val="none"/>
                <w:lang w:eastAsia="zh-CN"/>
              </w:rPr>
            </w:pPr>
          </w:p>
        </w:tc>
      </w:tr>
      <w:tr w14:paraId="093F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64F81BB0">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657" w:type="dxa"/>
            <w:tcBorders>
              <w:left w:val="nil"/>
            </w:tcBorders>
            <w:noWrap w:val="0"/>
            <w:vAlign w:val="center"/>
          </w:tcPr>
          <w:p w14:paraId="6FECC331">
            <w:pPr>
              <w:spacing w:before="240" w:line="360" w:lineRule="auto"/>
              <w:jc w:val="center"/>
              <w:rPr>
                <w:rFonts w:hint="eastAsia" w:ascii="宋体" w:hAnsi="宋体" w:eastAsia="宋体" w:cs="宋体"/>
                <w:color w:val="auto"/>
                <w:sz w:val="24"/>
                <w:highlight w:val="none"/>
                <w:lang w:val="en-US" w:eastAsia="zh-CN"/>
              </w:rPr>
            </w:pPr>
          </w:p>
        </w:tc>
        <w:tc>
          <w:tcPr>
            <w:tcW w:w="3386" w:type="dxa"/>
            <w:gridSpan w:val="4"/>
            <w:tcBorders>
              <w:left w:val="nil"/>
            </w:tcBorders>
            <w:noWrap w:val="0"/>
            <w:vAlign w:val="center"/>
          </w:tcPr>
          <w:p w14:paraId="64337A38">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担任安全管理年限</w:t>
            </w:r>
          </w:p>
        </w:tc>
        <w:tc>
          <w:tcPr>
            <w:tcW w:w="1363" w:type="dxa"/>
            <w:gridSpan w:val="2"/>
            <w:tcBorders>
              <w:left w:val="nil"/>
            </w:tcBorders>
            <w:noWrap w:val="0"/>
            <w:vAlign w:val="center"/>
          </w:tcPr>
          <w:p w14:paraId="72A895C3">
            <w:pPr>
              <w:spacing w:before="240" w:line="360" w:lineRule="auto"/>
              <w:jc w:val="center"/>
              <w:rPr>
                <w:rFonts w:hint="eastAsia" w:ascii="宋体" w:hAnsi="宋体" w:eastAsia="宋体" w:cs="宋体"/>
                <w:color w:val="auto"/>
                <w:sz w:val="24"/>
                <w:highlight w:val="none"/>
                <w:lang w:val="en-US" w:eastAsia="zh-CN"/>
              </w:rPr>
            </w:pPr>
          </w:p>
        </w:tc>
      </w:tr>
      <w:tr w14:paraId="73D2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22D57C7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岗位证书编号</w:t>
            </w:r>
          </w:p>
        </w:tc>
        <w:tc>
          <w:tcPr>
            <w:tcW w:w="6406" w:type="dxa"/>
            <w:gridSpan w:val="7"/>
            <w:tcBorders>
              <w:left w:val="nil"/>
            </w:tcBorders>
            <w:noWrap w:val="0"/>
            <w:vAlign w:val="center"/>
          </w:tcPr>
          <w:p w14:paraId="4DCC728F">
            <w:pPr>
              <w:spacing w:before="240" w:line="360" w:lineRule="auto"/>
              <w:jc w:val="both"/>
              <w:rPr>
                <w:rFonts w:hint="eastAsia" w:ascii="宋体" w:hAnsi="宋体" w:eastAsia="宋体" w:cs="宋体"/>
                <w:color w:val="auto"/>
                <w:sz w:val="24"/>
                <w:highlight w:val="none"/>
              </w:rPr>
            </w:pPr>
          </w:p>
        </w:tc>
      </w:tr>
      <w:tr w14:paraId="235A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634" w:type="dxa"/>
            <w:gridSpan w:val="10"/>
            <w:noWrap w:val="0"/>
            <w:vAlign w:val="center"/>
          </w:tcPr>
          <w:p w14:paraId="4F14C20C">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59E1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741" w:type="dxa"/>
            <w:gridSpan w:val="2"/>
            <w:noWrap w:val="0"/>
            <w:vAlign w:val="center"/>
          </w:tcPr>
          <w:p w14:paraId="0C7D63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87" w:type="dxa"/>
            <w:tcBorders>
              <w:left w:val="nil"/>
            </w:tcBorders>
            <w:noWrap w:val="0"/>
            <w:vAlign w:val="center"/>
          </w:tcPr>
          <w:p w14:paraId="1D8944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9" w:type="dxa"/>
            <w:gridSpan w:val="2"/>
            <w:tcBorders>
              <w:left w:val="nil"/>
            </w:tcBorders>
            <w:noWrap w:val="0"/>
            <w:vAlign w:val="center"/>
          </w:tcPr>
          <w:p w14:paraId="3CBF15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909" w:type="dxa"/>
            <w:gridSpan w:val="2"/>
            <w:tcBorders>
              <w:left w:val="nil"/>
            </w:tcBorders>
            <w:noWrap w:val="0"/>
            <w:vAlign w:val="center"/>
          </w:tcPr>
          <w:p w14:paraId="26E74EC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93" w:type="dxa"/>
            <w:gridSpan w:val="2"/>
            <w:tcBorders>
              <w:left w:val="nil"/>
            </w:tcBorders>
            <w:noWrap w:val="0"/>
            <w:vAlign w:val="center"/>
          </w:tcPr>
          <w:p w14:paraId="1BAC59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09B3DA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1195" w:type="dxa"/>
            <w:tcBorders>
              <w:left w:val="nil"/>
            </w:tcBorders>
            <w:noWrap w:val="0"/>
            <w:vAlign w:val="center"/>
          </w:tcPr>
          <w:p w14:paraId="5467A0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6A1BA0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3F8E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41" w:type="dxa"/>
            <w:gridSpan w:val="2"/>
            <w:noWrap w:val="0"/>
            <w:vAlign w:val="center"/>
          </w:tcPr>
          <w:p w14:paraId="3D3BFB4F">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1765F016">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7FA5A5A">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28F3C384">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6B9B591F">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7C4C20EB">
            <w:pPr>
              <w:spacing w:before="240" w:line="360" w:lineRule="auto"/>
              <w:jc w:val="center"/>
              <w:rPr>
                <w:rFonts w:hint="eastAsia" w:ascii="宋体" w:hAnsi="宋体" w:eastAsia="宋体" w:cs="宋体"/>
                <w:color w:val="auto"/>
                <w:sz w:val="24"/>
                <w:highlight w:val="none"/>
              </w:rPr>
            </w:pPr>
          </w:p>
        </w:tc>
      </w:tr>
      <w:tr w14:paraId="5017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5AD8D5B4">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152827F4">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5DE35AA">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F83645D">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773E0D07">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585CBF16">
            <w:pPr>
              <w:spacing w:before="240" w:line="360" w:lineRule="auto"/>
              <w:jc w:val="center"/>
              <w:rPr>
                <w:rFonts w:hint="eastAsia" w:ascii="宋体" w:hAnsi="宋体" w:eastAsia="宋体" w:cs="宋体"/>
                <w:color w:val="auto"/>
                <w:sz w:val="24"/>
                <w:highlight w:val="none"/>
              </w:rPr>
            </w:pPr>
          </w:p>
        </w:tc>
      </w:tr>
      <w:tr w14:paraId="5B3D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3703ED7A">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68B6EF23">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2DF15D77">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825438B">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20396E64">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46761D47">
            <w:pPr>
              <w:spacing w:before="240" w:line="360" w:lineRule="auto"/>
              <w:jc w:val="center"/>
              <w:rPr>
                <w:rFonts w:hint="eastAsia" w:ascii="宋体" w:hAnsi="宋体" w:eastAsia="宋体" w:cs="宋体"/>
                <w:color w:val="auto"/>
                <w:sz w:val="24"/>
                <w:highlight w:val="none"/>
              </w:rPr>
            </w:pPr>
          </w:p>
        </w:tc>
      </w:tr>
      <w:tr w14:paraId="42A5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51C9B5AE">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5ACC4652">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9E4937B">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5C341B50">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63F8DF62">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5E287F78">
            <w:pPr>
              <w:spacing w:before="240" w:line="360" w:lineRule="auto"/>
              <w:jc w:val="center"/>
              <w:rPr>
                <w:rFonts w:hint="eastAsia" w:ascii="宋体" w:hAnsi="宋体" w:eastAsia="宋体" w:cs="宋体"/>
                <w:color w:val="auto"/>
                <w:sz w:val="24"/>
                <w:highlight w:val="none"/>
              </w:rPr>
            </w:pPr>
          </w:p>
        </w:tc>
      </w:tr>
      <w:tr w14:paraId="16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top"/>
          </w:tcPr>
          <w:p w14:paraId="677B2713">
            <w:pPr>
              <w:spacing w:before="240" w:line="360" w:lineRule="auto"/>
              <w:rPr>
                <w:rFonts w:hint="eastAsia" w:ascii="宋体" w:hAnsi="宋体" w:eastAsia="宋体" w:cs="宋体"/>
                <w:color w:val="auto"/>
                <w:sz w:val="24"/>
                <w:highlight w:val="none"/>
              </w:rPr>
            </w:pPr>
          </w:p>
        </w:tc>
        <w:tc>
          <w:tcPr>
            <w:tcW w:w="1487" w:type="dxa"/>
            <w:tcBorders>
              <w:left w:val="nil"/>
            </w:tcBorders>
            <w:noWrap w:val="0"/>
            <w:vAlign w:val="top"/>
          </w:tcPr>
          <w:p w14:paraId="7D0C20E0">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2CE9429A">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6FB3FEA7">
            <w:pPr>
              <w:spacing w:before="240" w:line="360" w:lineRule="auto"/>
              <w:rPr>
                <w:rFonts w:hint="eastAsia" w:ascii="宋体" w:hAnsi="宋体" w:eastAsia="宋体" w:cs="宋体"/>
                <w:color w:val="auto"/>
                <w:sz w:val="24"/>
                <w:highlight w:val="none"/>
              </w:rPr>
            </w:pPr>
          </w:p>
        </w:tc>
        <w:tc>
          <w:tcPr>
            <w:tcW w:w="1393" w:type="dxa"/>
            <w:gridSpan w:val="2"/>
            <w:tcBorders>
              <w:left w:val="nil"/>
            </w:tcBorders>
            <w:noWrap w:val="0"/>
            <w:vAlign w:val="top"/>
          </w:tcPr>
          <w:p w14:paraId="49F53566">
            <w:pPr>
              <w:spacing w:before="240" w:line="360" w:lineRule="auto"/>
              <w:rPr>
                <w:rFonts w:hint="eastAsia" w:ascii="宋体" w:hAnsi="宋体" w:eastAsia="宋体" w:cs="宋体"/>
                <w:color w:val="auto"/>
                <w:sz w:val="24"/>
                <w:highlight w:val="none"/>
              </w:rPr>
            </w:pPr>
          </w:p>
        </w:tc>
        <w:tc>
          <w:tcPr>
            <w:tcW w:w="1195" w:type="dxa"/>
            <w:tcBorders>
              <w:left w:val="nil"/>
            </w:tcBorders>
            <w:noWrap w:val="0"/>
            <w:vAlign w:val="top"/>
          </w:tcPr>
          <w:p w14:paraId="3B739A65">
            <w:pPr>
              <w:spacing w:before="240" w:line="360" w:lineRule="auto"/>
              <w:rPr>
                <w:rFonts w:hint="eastAsia" w:ascii="宋体" w:hAnsi="宋体" w:eastAsia="宋体" w:cs="宋体"/>
                <w:color w:val="auto"/>
                <w:sz w:val="24"/>
                <w:highlight w:val="none"/>
              </w:rPr>
            </w:pPr>
          </w:p>
        </w:tc>
      </w:tr>
    </w:tbl>
    <w:p w14:paraId="3F1976C6">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注：1、本表人员应与表（八）中所列人员相一致，在本表后附身份证、职称资格证书以及资格审查条件所要求其他相关证书（如安全生产考核合格证书、试验检测资格证书等）的复印件。</w:t>
      </w:r>
    </w:p>
    <w:p w14:paraId="31C53150">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2、目前未在具体项目上任职的，请在备注栏说明现在负责的工作内容。</w:t>
      </w:r>
    </w:p>
    <w:p w14:paraId="7623437A">
      <w:pPr>
        <w:spacing w:line="360" w:lineRule="auto"/>
        <w:rPr>
          <w:rFonts w:hint="eastAsia" w:ascii="宋体" w:hAnsi="宋体" w:eastAsia="宋体" w:cs="宋体"/>
          <w:color w:val="auto"/>
          <w:sz w:val="24"/>
          <w:highlight w:val="none"/>
        </w:rPr>
      </w:pPr>
    </w:p>
    <w:p w14:paraId="15846871">
      <w:pPr>
        <w:spacing w:line="360" w:lineRule="auto"/>
        <w:rPr>
          <w:rFonts w:hint="eastAsia" w:ascii="宋体" w:hAnsi="宋体" w:eastAsia="宋体" w:cs="宋体"/>
          <w:color w:val="auto"/>
          <w:sz w:val="24"/>
          <w:highlight w:val="none"/>
          <w:lang w:eastAsia="zh-CN"/>
        </w:rPr>
      </w:pPr>
    </w:p>
    <w:p w14:paraId="09E3A3CA">
      <w:pPr>
        <w:spacing w:line="360" w:lineRule="auto"/>
        <w:jc w:val="center"/>
        <w:rPr>
          <w:rFonts w:hint="eastAsia" w:ascii="宋体" w:hAnsi="宋体" w:eastAsia="宋体" w:cs="宋体"/>
          <w:color w:val="auto"/>
          <w:sz w:val="24"/>
          <w:highlight w:val="none"/>
        </w:rPr>
      </w:pPr>
    </w:p>
    <w:p w14:paraId="2D44746E">
      <w:pPr>
        <w:widowControl/>
        <w:spacing w:line="360" w:lineRule="auto"/>
        <w:rPr>
          <w:rFonts w:hint="eastAsia" w:ascii="宋体" w:hAnsi="宋体" w:eastAsia="宋体" w:cs="宋体"/>
          <w:b/>
          <w:bCs/>
          <w:color w:val="auto"/>
          <w:sz w:val="24"/>
          <w:highlight w:val="none"/>
        </w:rPr>
        <w:sectPr>
          <w:pgSz w:w="11906" w:h="16838"/>
          <w:pgMar w:top="1246" w:right="1286" w:bottom="1440" w:left="1800" w:header="720" w:footer="720" w:gutter="0"/>
          <w:pgNumType w:fmt="decimal"/>
          <w:cols w:space="720" w:num="1"/>
          <w:rtlGutter w:val="1"/>
          <w:docGrid w:type="lines" w:linePitch="312" w:charSpace="0"/>
        </w:sectPr>
      </w:pPr>
    </w:p>
    <w:p w14:paraId="411C88F7">
      <w:pPr>
        <w:jc w:val="center"/>
        <w:outlineLvl w:val="9"/>
        <w:rPr>
          <w:rFonts w:hint="eastAsia" w:ascii="宋体" w:hAnsi="宋体" w:eastAsia="宋体" w:cs="宋体"/>
          <w:b/>
          <w:bCs/>
          <w:color w:val="auto"/>
          <w:sz w:val="24"/>
          <w:szCs w:val="24"/>
          <w:highlight w:val="none"/>
        </w:rPr>
      </w:pPr>
      <w:bookmarkStart w:id="620" w:name="_Toc18387"/>
      <w:bookmarkStart w:id="621" w:name="_Toc5489"/>
      <w:bookmarkStart w:id="622" w:name="_Toc15985"/>
      <w:bookmarkStart w:id="623" w:name="_Toc10428"/>
      <w:bookmarkStart w:id="624" w:name="_Toc32041"/>
      <w:bookmarkStart w:id="625" w:name="_Toc27007"/>
      <w:bookmarkStart w:id="626" w:name="_Toc13755"/>
      <w:r>
        <w:rPr>
          <w:rFonts w:hint="eastAsia" w:ascii="宋体" w:hAnsi="宋体" w:eastAsia="宋体" w:cs="宋体"/>
          <w:b/>
          <w:bCs/>
          <w:color w:val="auto"/>
          <w:sz w:val="24"/>
          <w:szCs w:val="24"/>
          <w:highlight w:val="none"/>
        </w:rPr>
        <w:t>拟委任的其他主要管理人员和技术人员资历表</w:t>
      </w:r>
      <w:bookmarkEnd w:id="620"/>
      <w:bookmarkEnd w:id="621"/>
      <w:bookmarkEnd w:id="622"/>
      <w:bookmarkEnd w:id="623"/>
      <w:bookmarkEnd w:id="624"/>
      <w:bookmarkEnd w:id="625"/>
      <w:bookmarkEnd w:id="626"/>
    </w:p>
    <w:p w14:paraId="492EC6B3">
      <w:pPr>
        <w:rPr>
          <w:rFonts w:hint="eastAsia" w:ascii="宋体" w:hAnsi="宋体" w:eastAsia="宋体" w:cs="宋体"/>
          <w:color w:val="auto"/>
          <w:highlight w:val="none"/>
        </w:rPr>
      </w:pPr>
    </w:p>
    <w:tbl>
      <w:tblPr>
        <w:tblStyle w:val="49"/>
        <w:tblW w:w="0" w:type="auto"/>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58"/>
        <w:gridCol w:w="1487"/>
        <w:gridCol w:w="1657"/>
        <w:gridCol w:w="252"/>
        <w:gridCol w:w="1395"/>
        <w:gridCol w:w="514"/>
        <w:gridCol w:w="1225"/>
        <w:gridCol w:w="168"/>
        <w:gridCol w:w="1195"/>
      </w:tblGrid>
      <w:tr w14:paraId="1F90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83" w:type="dxa"/>
            <w:noWrap w:val="0"/>
            <w:vAlign w:val="center"/>
          </w:tcPr>
          <w:p w14:paraId="1B7D8334">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45" w:type="dxa"/>
            <w:gridSpan w:val="2"/>
            <w:tcBorders>
              <w:left w:val="nil"/>
            </w:tcBorders>
            <w:noWrap w:val="0"/>
            <w:vAlign w:val="center"/>
          </w:tcPr>
          <w:p w14:paraId="45C41937">
            <w:pPr>
              <w:spacing w:before="240" w:line="360" w:lineRule="auto"/>
              <w:jc w:val="center"/>
              <w:rPr>
                <w:rFonts w:hint="eastAsia" w:ascii="宋体" w:hAnsi="宋体" w:eastAsia="宋体" w:cs="宋体"/>
                <w:color w:val="auto"/>
                <w:sz w:val="24"/>
                <w:highlight w:val="none"/>
              </w:rPr>
            </w:pPr>
          </w:p>
        </w:tc>
        <w:tc>
          <w:tcPr>
            <w:tcW w:w="1657" w:type="dxa"/>
            <w:tcBorders>
              <w:left w:val="nil"/>
            </w:tcBorders>
            <w:noWrap w:val="0"/>
            <w:vAlign w:val="center"/>
          </w:tcPr>
          <w:p w14:paraId="6FE32896">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47" w:type="dxa"/>
            <w:gridSpan w:val="2"/>
            <w:tcBorders>
              <w:left w:val="nil"/>
            </w:tcBorders>
            <w:noWrap w:val="0"/>
            <w:vAlign w:val="center"/>
          </w:tcPr>
          <w:p w14:paraId="100F513D">
            <w:pPr>
              <w:spacing w:before="240" w:line="360" w:lineRule="auto"/>
              <w:jc w:val="center"/>
              <w:rPr>
                <w:rFonts w:hint="eastAsia" w:ascii="宋体" w:hAnsi="宋体" w:eastAsia="宋体" w:cs="宋体"/>
                <w:color w:val="auto"/>
                <w:sz w:val="24"/>
                <w:highlight w:val="none"/>
                <w:lang w:eastAsia="zh-CN"/>
              </w:rPr>
            </w:pPr>
          </w:p>
        </w:tc>
        <w:tc>
          <w:tcPr>
            <w:tcW w:w="1739" w:type="dxa"/>
            <w:gridSpan w:val="2"/>
            <w:tcBorders>
              <w:left w:val="nil"/>
            </w:tcBorders>
            <w:noWrap w:val="0"/>
            <w:vAlign w:val="center"/>
          </w:tcPr>
          <w:p w14:paraId="2C110D7A">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63" w:type="dxa"/>
            <w:gridSpan w:val="2"/>
            <w:tcBorders>
              <w:left w:val="nil"/>
            </w:tcBorders>
            <w:noWrap w:val="0"/>
            <w:vAlign w:val="center"/>
          </w:tcPr>
          <w:p w14:paraId="56AFB829">
            <w:pPr>
              <w:spacing w:before="240" w:line="360" w:lineRule="auto"/>
              <w:jc w:val="center"/>
              <w:rPr>
                <w:rFonts w:hint="eastAsia" w:ascii="宋体" w:hAnsi="宋体" w:eastAsia="宋体" w:cs="宋体"/>
                <w:color w:val="auto"/>
                <w:sz w:val="24"/>
                <w:highlight w:val="none"/>
                <w:lang w:val="en-US" w:eastAsia="zh-CN"/>
              </w:rPr>
            </w:pPr>
          </w:p>
        </w:tc>
      </w:tr>
      <w:tr w14:paraId="5482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83" w:type="dxa"/>
            <w:noWrap w:val="0"/>
            <w:vAlign w:val="center"/>
          </w:tcPr>
          <w:p w14:paraId="45996FF2">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45" w:type="dxa"/>
            <w:gridSpan w:val="2"/>
            <w:tcBorders>
              <w:left w:val="nil"/>
            </w:tcBorders>
            <w:noWrap w:val="0"/>
            <w:vAlign w:val="center"/>
          </w:tcPr>
          <w:p w14:paraId="5BB8715E">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材料员</w:t>
            </w:r>
          </w:p>
        </w:tc>
        <w:tc>
          <w:tcPr>
            <w:tcW w:w="1657" w:type="dxa"/>
            <w:tcBorders>
              <w:left w:val="nil"/>
            </w:tcBorders>
            <w:noWrap w:val="0"/>
            <w:vAlign w:val="center"/>
          </w:tcPr>
          <w:p w14:paraId="6DEDFB49">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47" w:type="dxa"/>
            <w:gridSpan w:val="2"/>
            <w:tcBorders>
              <w:left w:val="nil"/>
            </w:tcBorders>
            <w:noWrap w:val="0"/>
            <w:vAlign w:val="center"/>
          </w:tcPr>
          <w:p w14:paraId="10F59CA1">
            <w:pPr>
              <w:spacing w:before="240" w:line="360" w:lineRule="auto"/>
              <w:jc w:val="center"/>
              <w:rPr>
                <w:rFonts w:hint="eastAsia" w:ascii="宋体" w:hAnsi="宋体" w:eastAsia="宋体" w:cs="宋体"/>
                <w:color w:val="auto"/>
                <w:sz w:val="24"/>
                <w:highlight w:val="none"/>
              </w:rPr>
            </w:pPr>
          </w:p>
        </w:tc>
        <w:tc>
          <w:tcPr>
            <w:tcW w:w="1739" w:type="dxa"/>
            <w:gridSpan w:val="2"/>
            <w:tcBorders>
              <w:left w:val="nil"/>
            </w:tcBorders>
            <w:noWrap w:val="0"/>
            <w:vAlign w:val="center"/>
          </w:tcPr>
          <w:p w14:paraId="2DA38F1C">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63" w:type="dxa"/>
            <w:gridSpan w:val="2"/>
            <w:tcBorders>
              <w:left w:val="nil"/>
            </w:tcBorders>
            <w:noWrap w:val="0"/>
            <w:vAlign w:val="center"/>
          </w:tcPr>
          <w:p w14:paraId="11F00B50">
            <w:pPr>
              <w:spacing w:before="240" w:line="360" w:lineRule="auto"/>
              <w:jc w:val="center"/>
              <w:rPr>
                <w:rFonts w:hint="eastAsia" w:ascii="宋体" w:hAnsi="宋体" w:eastAsia="宋体" w:cs="宋体"/>
                <w:color w:val="auto"/>
                <w:sz w:val="24"/>
                <w:highlight w:val="none"/>
                <w:lang w:eastAsia="zh-CN"/>
              </w:rPr>
            </w:pPr>
          </w:p>
        </w:tc>
      </w:tr>
      <w:tr w14:paraId="23F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1B3EF5D3">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657" w:type="dxa"/>
            <w:tcBorders>
              <w:left w:val="nil"/>
            </w:tcBorders>
            <w:noWrap w:val="0"/>
            <w:vAlign w:val="center"/>
          </w:tcPr>
          <w:p w14:paraId="09A24E8C">
            <w:pPr>
              <w:spacing w:before="240" w:line="360" w:lineRule="auto"/>
              <w:jc w:val="center"/>
              <w:rPr>
                <w:rFonts w:hint="eastAsia" w:ascii="宋体" w:hAnsi="宋体" w:eastAsia="宋体" w:cs="宋体"/>
                <w:color w:val="auto"/>
                <w:sz w:val="24"/>
                <w:highlight w:val="none"/>
                <w:lang w:val="en-US" w:eastAsia="zh-CN"/>
              </w:rPr>
            </w:pPr>
          </w:p>
        </w:tc>
        <w:tc>
          <w:tcPr>
            <w:tcW w:w="3386" w:type="dxa"/>
            <w:gridSpan w:val="4"/>
            <w:tcBorders>
              <w:left w:val="nil"/>
            </w:tcBorders>
            <w:noWrap w:val="0"/>
            <w:vAlign w:val="center"/>
          </w:tcPr>
          <w:p w14:paraId="1DC03AB1">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担任材料管理年限</w:t>
            </w:r>
          </w:p>
        </w:tc>
        <w:tc>
          <w:tcPr>
            <w:tcW w:w="1363" w:type="dxa"/>
            <w:gridSpan w:val="2"/>
            <w:tcBorders>
              <w:left w:val="nil"/>
            </w:tcBorders>
            <w:noWrap w:val="0"/>
            <w:vAlign w:val="center"/>
          </w:tcPr>
          <w:p w14:paraId="1C58C034">
            <w:pPr>
              <w:spacing w:before="240" w:line="360" w:lineRule="auto"/>
              <w:jc w:val="center"/>
              <w:rPr>
                <w:rFonts w:hint="eastAsia" w:ascii="宋体" w:hAnsi="宋体" w:eastAsia="宋体" w:cs="宋体"/>
                <w:color w:val="auto"/>
                <w:sz w:val="24"/>
                <w:highlight w:val="none"/>
                <w:lang w:val="en-US" w:eastAsia="zh-CN"/>
              </w:rPr>
            </w:pPr>
          </w:p>
        </w:tc>
      </w:tr>
      <w:tr w14:paraId="03F2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28" w:type="dxa"/>
            <w:gridSpan w:val="3"/>
            <w:noWrap w:val="0"/>
            <w:vAlign w:val="center"/>
          </w:tcPr>
          <w:p w14:paraId="3894FA96">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岗位证书编号</w:t>
            </w:r>
          </w:p>
        </w:tc>
        <w:tc>
          <w:tcPr>
            <w:tcW w:w="6406" w:type="dxa"/>
            <w:gridSpan w:val="7"/>
            <w:tcBorders>
              <w:left w:val="nil"/>
            </w:tcBorders>
            <w:noWrap w:val="0"/>
            <w:vAlign w:val="center"/>
          </w:tcPr>
          <w:p w14:paraId="47F40897">
            <w:pPr>
              <w:spacing w:before="240" w:line="360" w:lineRule="auto"/>
              <w:rPr>
                <w:rFonts w:hint="eastAsia" w:ascii="宋体" w:hAnsi="宋体" w:eastAsia="宋体" w:cs="宋体"/>
                <w:color w:val="auto"/>
                <w:sz w:val="24"/>
                <w:highlight w:val="none"/>
              </w:rPr>
            </w:pPr>
          </w:p>
        </w:tc>
      </w:tr>
      <w:tr w14:paraId="2D47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634" w:type="dxa"/>
            <w:gridSpan w:val="10"/>
            <w:noWrap w:val="0"/>
            <w:vAlign w:val="center"/>
          </w:tcPr>
          <w:p w14:paraId="73722CA1">
            <w:pPr>
              <w:spacing w:before="24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2C71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741" w:type="dxa"/>
            <w:gridSpan w:val="2"/>
            <w:noWrap w:val="0"/>
            <w:vAlign w:val="center"/>
          </w:tcPr>
          <w:p w14:paraId="67BAE7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87" w:type="dxa"/>
            <w:tcBorders>
              <w:left w:val="nil"/>
            </w:tcBorders>
            <w:noWrap w:val="0"/>
            <w:vAlign w:val="center"/>
          </w:tcPr>
          <w:p w14:paraId="571705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909" w:type="dxa"/>
            <w:gridSpan w:val="2"/>
            <w:tcBorders>
              <w:left w:val="nil"/>
            </w:tcBorders>
            <w:noWrap w:val="0"/>
            <w:vAlign w:val="center"/>
          </w:tcPr>
          <w:p w14:paraId="66E525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909" w:type="dxa"/>
            <w:gridSpan w:val="2"/>
            <w:tcBorders>
              <w:left w:val="nil"/>
            </w:tcBorders>
            <w:noWrap w:val="0"/>
            <w:vAlign w:val="center"/>
          </w:tcPr>
          <w:p w14:paraId="69C5EE1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393" w:type="dxa"/>
            <w:gridSpan w:val="2"/>
            <w:tcBorders>
              <w:left w:val="nil"/>
            </w:tcBorders>
            <w:noWrap w:val="0"/>
            <w:vAlign w:val="center"/>
          </w:tcPr>
          <w:p w14:paraId="39F90A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w:t>
            </w:r>
          </w:p>
          <w:p w14:paraId="2BA6519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w:t>
            </w:r>
          </w:p>
        </w:tc>
        <w:tc>
          <w:tcPr>
            <w:tcW w:w="1195" w:type="dxa"/>
            <w:tcBorders>
              <w:left w:val="nil"/>
            </w:tcBorders>
            <w:noWrap w:val="0"/>
            <w:vAlign w:val="center"/>
          </w:tcPr>
          <w:p w14:paraId="3E172C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1E20BD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r>
      <w:tr w14:paraId="6E4F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41" w:type="dxa"/>
            <w:gridSpan w:val="2"/>
            <w:noWrap w:val="0"/>
            <w:vAlign w:val="center"/>
          </w:tcPr>
          <w:p w14:paraId="0305EB3D">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1BD5605B">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E42C549">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0B13602">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440721D0">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4C982783">
            <w:pPr>
              <w:spacing w:before="240" w:line="360" w:lineRule="auto"/>
              <w:jc w:val="center"/>
              <w:rPr>
                <w:rFonts w:hint="eastAsia" w:ascii="宋体" w:hAnsi="宋体" w:eastAsia="宋体" w:cs="宋体"/>
                <w:color w:val="auto"/>
                <w:sz w:val="24"/>
                <w:highlight w:val="none"/>
              </w:rPr>
            </w:pPr>
          </w:p>
        </w:tc>
      </w:tr>
      <w:tr w14:paraId="53C6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514B174C">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0221A490">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73B9CF48">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8AB7E52">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1BC959F8">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57282162">
            <w:pPr>
              <w:spacing w:before="240" w:line="360" w:lineRule="auto"/>
              <w:jc w:val="center"/>
              <w:rPr>
                <w:rFonts w:hint="eastAsia" w:ascii="宋体" w:hAnsi="宋体" w:eastAsia="宋体" w:cs="宋体"/>
                <w:color w:val="auto"/>
                <w:sz w:val="24"/>
                <w:highlight w:val="none"/>
              </w:rPr>
            </w:pPr>
          </w:p>
        </w:tc>
      </w:tr>
      <w:tr w14:paraId="0739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116682A5">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5747AA43">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3B2846F7">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5AFA1AE4">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4A97D8FB">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01A9D44E">
            <w:pPr>
              <w:spacing w:before="240" w:line="360" w:lineRule="auto"/>
              <w:jc w:val="center"/>
              <w:rPr>
                <w:rFonts w:hint="eastAsia" w:ascii="宋体" w:hAnsi="宋体" w:eastAsia="宋体" w:cs="宋体"/>
                <w:color w:val="auto"/>
                <w:sz w:val="24"/>
                <w:highlight w:val="none"/>
              </w:rPr>
            </w:pPr>
          </w:p>
        </w:tc>
      </w:tr>
      <w:tr w14:paraId="7CAC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center"/>
          </w:tcPr>
          <w:p w14:paraId="7A37BFDD">
            <w:pPr>
              <w:spacing w:before="240" w:line="360" w:lineRule="auto"/>
              <w:jc w:val="center"/>
              <w:rPr>
                <w:rFonts w:hint="eastAsia" w:ascii="宋体" w:hAnsi="宋体" w:eastAsia="宋体" w:cs="宋体"/>
                <w:color w:val="auto"/>
                <w:sz w:val="24"/>
                <w:highlight w:val="none"/>
              </w:rPr>
            </w:pPr>
          </w:p>
        </w:tc>
        <w:tc>
          <w:tcPr>
            <w:tcW w:w="1487" w:type="dxa"/>
            <w:tcBorders>
              <w:left w:val="nil"/>
            </w:tcBorders>
            <w:noWrap w:val="0"/>
            <w:vAlign w:val="center"/>
          </w:tcPr>
          <w:p w14:paraId="6E694D2F">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11BDD08E">
            <w:pPr>
              <w:spacing w:before="240" w:line="360" w:lineRule="auto"/>
              <w:jc w:val="center"/>
              <w:rPr>
                <w:rFonts w:hint="eastAsia" w:ascii="宋体" w:hAnsi="宋体" w:eastAsia="宋体" w:cs="宋体"/>
                <w:color w:val="auto"/>
                <w:sz w:val="24"/>
                <w:highlight w:val="none"/>
              </w:rPr>
            </w:pPr>
          </w:p>
        </w:tc>
        <w:tc>
          <w:tcPr>
            <w:tcW w:w="1909" w:type="dxa"/>
            <w:gridSpan w:val="2"/>
            <w:tcBorders>
              <w:left w:val="nil"/>
            </w:tcBorders>
            <w:noWrap w:val="0"/>
            <w:vAlign w:val="center"/>
          </w:tcPr>
          <w:p w14:paraId="444E5F30">
            <w:pPr>
              <w:spacing w:before="240" w:line="360" w:lineRule="auto"/>
              <w:jc w:val="center"/>
              <w:rPr>
                <w:rFonts w:hint="eastAsia" w:ascii="宋体" w:hAnsi="宋体" w:eastAsia="宋体" w:cs="宋体"/>
                <w:color w:val="auto"/>
                <w:sz w:val="24"/>
                <w:highlight w:val="none"/>
              </w:rPr>
            </w:pPr>
          </w:p>
        </w:tc>
        <w:tc>
          <w:tcPr>
            <w:tcW w:w="1393" w:type="dxa"/>
            <w:gridSpan w:val="2"/>
            <w:tcBorders>
              <w:left w:val="nil"/>
            </w:tcBorders>
            <w:noWrap w:val="0"/>
            <w:vAlign w:val="center"/>
          </w:tcPr>
          <w:p w14:paraId="5690EAD0">
            <w:pPr>
              <w:spacing w:before="240" w:line="360" w:lineRule="auto"/>
              <w:jc w:val="center"/>
              <w:rPr>
                <w:rFonts w:hint="eastAsia" w:ascii="宋体" w:hAnsi="宋体" w:eastAsia="宋体" w:cs="宋体"/>
                <w:color w:val="auto"/>
                <w:sz w:val="24"/>
                <w:highlight w:val="none"/>
              </w:rPr>
            </w:pPr>
          </w:p>
        </w:tc>
        <w:tc>
          <w:tcPr>
            <w:tcW w:w="1195" w:type="dxa"/>
            <w:tcBorders>
              <w:left w:val="nil"/>
            </w:tcBorders>
            <w:noWrap w:val="0"/>
            <w:vAlign w:val="center"/>
          </w:tcPr>
          <w:p w14:paraId="37E861A9">
            <w:pPr>
              <w:spacing w:before="240" w:line="360" w:lineRule="auto"/>
              <w:jc w:val="center"/>
              <w:rPr>
                <w:rFonts w:hint="eastAsia" w:ascii="宋体" w:hAnsi="宋体" w:eastAsia="宋体" w:cs="宋体"/>
                <w:color w:val="auto"/>
                <w:sz w:val="24"/>
                <w:highlight w:val="none"/>
              </w:rPr>
            </w:pPr>
          </w:p>
        </w:tc>
      </w:tr>
      <w:tr w14:paraId="0C53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41" w:type="dxa"/>
            <w:gridSpan w:val="2"/>
            <w:noWrap w:val="0"/>
            <w:vAlign w:val="top"/>
          </w:tcPr>
          <w:p w14:paraId="42B89D5C">
            <w:pPr>
              <w:spacing w:before="240" w:line="360" w:lineRule="auto"/>
              <w:rPr>
                <w:rFonts w:hint="eastAsia" w:ascii="宋体" w:hAnsi="宋体" w:eastAsia="宋体" w:cs="宋体"/>
                <w:color w:val="auto"/>
                <w:sz w:val="24"/>
                <w:highlight w:val="none"/>
              </w:rPr>
            </w:pPr>
          </w:p>
        </w:tc>
        <w:tc>
          <w:tcPr>
            <w:tcW w:w="1487" w:type="dxa"/>
            <w:tcBorders>
              <w:left w:val="nil"/>
            </w:tcBorders>
            <w:noWrap w:val="0"/>
            <w:vAlign w:val="top"/>
          </w:tcPr>
          <w:p w14:paraId="62663728">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1A15262B">
            <w:pPr>
              <w:spacing w:before="240" w:line="360" w:lineRule="auto"/>
              <w:rPr>
                <w:rFonts w:hint="eastAsia" w:ascii="宋体" w:hAnsi="宋体" w:eastAsia="宋体" w:cs="宋体"/>
                <w:color w:val="auto"/>
                <w:sz w:val="24"/>
                <w:highlight w:val="none"/>
              </w:rPr>
            </w:pPr>
          </w:p>
        </w:tc>
        <w:tc>
          <w:tcPr>
            <w:tcW w:w="1909" w:type="dxa"/>
            <w:gridSpan w:val="2"/>
            <w:tcBorders>
              <w:left w:val="nil"/>
            </w:tcBorders>
            <w:noWrap w:val="0"/>
            <w:vAlign w:val="top"/>
          </w:tcPr>
          <w:p w14:paraId="258A3920">
            <w:pPr>
              <w:spacing w:before="240" w:line="360" w:lineRule="auto"/>
              <w:rPr>
                <w:rFonts w:hint="eastAsia" w:ascii="宋体" w:hAnsi="宋体" w:eastAsia="宋体" w:cs="宋体"/>
                <w:color w:val="auto"/>
                <w:sz w:val="24"/>
                <w:highlight w:val="none"/>
              </w:rPr>
            </w:pPr>
          </w:p>
        </w:tc>
        <w:tc>
          <w:tcPr>
            <w:tcW w:w="1393" w:type="dxa"/>
            <w:gridSpan w:val="2"/>
            <w:tcBorders>
              <w:left w:val="nil"/>
            </w:tcBorders>
            <w:noWrap w:val="0"/>
            <w:vAlign w:val="top"/>
          </w:tcPr>
          <w:p w14:paraId="50577E72">
            <w:pPr>
              <w:spacing w:before="240" w:line="360" w:lineRule="auto"/>
              <w:rPr>
                <w:rFonts w:hint="eastAsia" w:ascii="宋体" w:hAnsi="宋体" w:eastAsia="宋体" w:cs="宋体"/>
                <w:color w:val="auto"/>
                <w:sz w:val="24"/>
                <w:highlight w:val="none"/>
              </w:rPr>
            </w:pPr>
          </w:p>
        </w:tc>
        <w:tc>
          <w:tcPr>
            <w:tcW w:w="1195" w:type="dxa"/>
            <w:tcBorders>
              <w:left w:val="nil"/>
            </w:tcBorders>
            <w:noWrap w:val="0"/>
            <w:vAlign w:val="top"/>
          </w:tcPr>
          <w:p w14:paraId="4A4181B3">
            <w:pPr>
              <w:spacing w:before="240" w:line="360" w:lineRule="auto"/>
              <w:rPr>
                <w:rFonts w:hint="eastAsia" w:ascii="宋体" w:hAnsi="宋体" w:eastAsia="宋体" w:cs="宋体"/>
                <w:color w:val="auto"/>
                <w:sz w:val="24"/>
                <w:highlight w:val="none"/>
              </w:rPr>
            </w:pPr>
          </w:p>
        </w:tc>
      </w:tr>
    </w:tbl>
    <w:p w14:paraId="222BAA4D">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注：1、本表人员应与表（八）中所列人员相一致，在本表后附身份证、职称资格证书以及资格审查条件所要求其他相关证书（如安全生产考核合格证书、试验检测资格证书等）的复印件。</w:t>
      </w:r>
    </w:p>
    <w:p w14:paraId="1132AD3D">
      <w:pPr>
        <w:spacing w:line="360" w:lineRule="auto"/>
        <w:ind w:left="-158" w:left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2、目前未在具体项目上任职的，请在备注栏说明现在负责的工作内容。</w:t>
      </w:r>
    </w:p>
    <w:p w14:paraId="044CB797">
      <w:pPr>
        <w:spacing w:line="360" w:lineRule="auto"/>
        <w:rPr>
          <w:rFonts w:hint="eastAsia" w:ascii="宋体" w:hAnsi="宋体" w:eastAsia="宋体" w:cs="宋体"/>
          <w:color w:val="auto"/>
          <w:sz w:val="24"/>
          <w:highlight w:val="none"/>
        </w:rPr>
      </w:pPr>
    </w:p>
    <w:p w14:paraId="6D69963D">
      <w:pPr>
        <w:spacing w:line="360" w:lineRule="auto"/>
        <w:rPr>
          <w:rFonts w:hint="eastAsia" w:ascii="宋体" w:hAnsi="宋体" w:eastAsia="宋体" w:cs="宋体"/>
          <w:i w:val="0"/>
          <w:iCs w:val="0"/>
          <w:color w:val="auto"/>
          <w:sz w:val="24"/>
          <w:highlight w:val="none"/>
          <w:lang w:eastAsia="zh-CN"/>
        </w:rPr>
      </w:pPr>
    </w:p>
    <w:p w14:paraId="7B3BC899">
      <w:pPr>
        <w:spacing w:line="360" w:lineRule="auto"/>
        <w:rPr>
          <w:rFonts w:hint="eastAsia" w:ascii="宋体" w:hAnsi="宋体" w:eastAsia="宋体" w:cs="宋体"/>
          <w:color w:val="auto"/>
          <w:sz w:val="24"/>
          <w:highlight w:val="none"/>
        </w:rPr>
      </w:pPr>
    </w:p>
    <w:p w14:paraId="01049DCA">
      <w:pPr>
        <w:spacing w:line="360" w:lineRule="auto"/>
        <w:ind w:left="-473" w:leftChars="-225"/>
        <w:rPr>
          <w:rFonts w:hint="eastAsia" w:ascii="宋体" w:hAnsi="宋体" w:eastAsia="宋体" w:cs="宋体"/>
          <w:color w:val="auto"/>
          <w:sz w:val="24"/>
          <w:highlight w:val="none"/>
        </w:rPr>
      </w:pPr>
    </w:p>
    <w:p w14:paraId="3244E6F7">
      <w:pPr>
        <w:spacing w:line="360" w:lineRule="auto"/>
        <w:rPr>
          <w:rFonts w:hint="eastAsia" w:ascii="宋体" w:hAnsi="宋体" w:eastAsia="宋体" w:cs="宋体"/>
          <w:color w:val="auto"/>
          <w:sz w:val="24"/>
          <w:highlight w:val="none"/>
        </w:rPr>
      </w:pPr>
    </w:p>
    <w:p w14:paraId="2012D9DD">
      <w:pPr>
        <w:spacing w:line="360" w:lineRule="auto"/>
        <w:jc w:val="center"/>
        <w:outlineLvl w:val="9"/>
        <w:rPr>
          <w:rFonts w:hint="eastAsia" w:ascii="宋体" w:hAnsi="宋体" w:eastAsia="宋体" w:cs="宋体"/>
          <w:color w:val="auto"/>
          <w:sz w:val="32"/>
          <w:szCs w:val="32"/>
          <w:highlight w:val="none"/>
          <w:lang w:eastAsia="zh-CN"/>
        </w:rPr>
      </w:pPr>
    </w:p>
    <w:p w14:paraId="69C7E4B5">
      <w:pPr>
        <w:spacing w:line="360" w:lineRule="auto"/>
        <w:jc w:val="center"/>
        <w:outlineLvl w:val="1"/>
        <w:rPr>
          <w:rFonts w:hint="eastAsia" w:ascii="宋体" w:hAnsi="宋体" w:eastAsia="宋体" w:cs="宋体"/>
          <w:color w:val="auto"/>
          <w:sz w:val="32"/>
          <w:szCs w:val="32"/>
          <w:highlight w:val="none"/>
        </w:rPr>
      </w:pPr>
      <w:bookmarkStart w:id="627" w:name="_Toc11787"/>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横州市</w:t>
      </w:r>
      <w:r>
        <w:rPr>
          <w:rFonts w:hint="eastAsia" w:ascii="宋体" w:hAnsi="宋体" w:cs="宋体"/>
          <w:color w:val="auto"/>
          <w:sz w:val="32"/>
          <w:szCs w:val="32"/>
          <w:highlight w:val="none"/>
          <w:lang w:val="en-US" w:eastAsia="zh-CN"/>
        </w:rPr>
        <w:t>2025年公益性资产管护（修缮）</w:t>
      </w:r>
      <w:r>
        <w:rPr>
          <w:rFonts w:hint="eastAsia" w:ascii="宋体" w:hAnsi="宋体" w:eastAsia="宋体" w:cs="宋体"/>
          <w:color w:val="auto"/>
          <w:sz w:val="32"/>
          <w:szCs w:val="32"/>
          <w:highlight w:val="none"/>
        </w:rPr>
        <w:t>项目计划表</w:t>
      </w:r>
      <w:bookmarkEnd w:id="627"/>
    </w:p>
    <w:p w14:paraId="65EE4115">
      <w:pPr>
        <w:rPr>
          <w:rFonts w:hint="eastAsia" w:ascii="宋体" w:hAnsi="宋体" w:eastAsia="宋体" w:cs="宋体"/>
          <w:color w:val="auto"/>
          <w:spacing w:val="10"/>
          <w:sz w:val="30"/>
          <w:szCs w:val="30"/>
          <w:highlight w:val="none"/>
        </w:rPr>
      </w:pPr>
      <w:r>
        <w:rPr>
          <w:rFonts w:hint="eastAsia" w:ascii="宋体" w:hAnsi="宋体" w:cs="宋体"/>
          <w:color w:val="auto"/>
          <w:highlight w:val="none"/>
        </w:rPr>
        <w:br w:type="page"/>
      </w:r>
      <w:bookmarkEnd w:id="227"/>
      <w:bookmarkEnd w:id="228"/>
      <w:bookmarkEnd w:id="229"/>
      <w:bookmarkEnd w:id="230"/>
      <w:bookmarkEnd w:id="231"/>
      <w:bookmarkEnd w:id="232"/>
      <w:bookmarkEnd w:id="233"/>
      <w:bookmarkStart w:id="628" w:name="_Toc21897"/>
      <w:bookmarkStart w:id="629" w:name="_Toc14098"/>
      <w:bookmarkStart w:id="630" w:name="_Toc25436"/>
      <w:bookmarkStart w:id="631" w:name="_Toc13697"/>
      <w:bookmarkStart w:id="632" w:name="_Toc20793"/>
      <w:bookmarkStart w:id="633" w:name="_Toc23153"/>
      <w:bookmarkStart w:id="634" w:name="_Toc17547"/>
    </w:p>
    <w:bookmarkEnd w:id="628"/>
    <w:p w14:paraId="143EE071">
      <w:pPr>
        <w:pStyle w:val="2"/>
        <w:jc w:val="center"/>
        <w:rPr>
          <w:color w:val="auto"/>
          <w:highlight w:val="none"/>
        </w:rPr>
      </w:pPr>
      <w:bookmarkStart w:id="635" w:name="_Toc31956"/>
      <w:bookmarkStart w:id="636" w:name="_Toc6206"/>
      <w:r>
        <w:rPr>
          <w:rFonts w:hint="eastAsia" w:ascii="宋体" w:hAnsi="宋体" w:cs="宋体"/>
          <w:color w:val="auto"/>
          <w:highlight w:val="none"/>
        </w:rPr>
        <w:t>第七章 工程量清单（另册）</w:t>
      </w:r>
      <w:bookmarkEnd w:id="629"/>
      <w:bookmarkEnd w:id="630"/>
      <w:bookmarkEnd w:id="631"/>
      <w:bookmarkEnd w:id="632"/>
      <w:bookmarkEnd w:id="633"/>
      <w:bookmarkEnd w:id="634"/>
      <w:bookmarkEnd w:id="635"/>
      <w:bookmarkEnd w:id="636"/>
    </w:p>
    <w:p w14:paraId="2DC3DB03">
      <w:pPr>
        <w:rPr>
          <w:rFonts w:hint="eastAsia"/>
          <w:color w:val="auto"/>
          <w:highlight w:val="none"/>
        </w:rPr>
      </w:pPr>
    </w:p>
    <w:p w14:paraId="24A35514">
      <w:pPr>
        <w:tabs>
          <w:tab w:val="left" w:pos="3261"/>
        </w:tabs>
        <w:spacing w:line="360" w:lineRule="auto"/>
        <w:contextualSpacing/>
        <w:jc w:val="center"/>
        <w:rPr>
          <w:rFonts w:hint="eastAsia" w:ascii="宋体" w:hAnsi="宋体" w:cs="宋体"/>
          <w:b/>
          <w:color w:val="auto"/>
          <w:sz w:val="44"/>
          <w:szCs w:val="44"/>
          <w:highlight w:val="none"/>
        </w:rPr>
        <w:sectPr>
          <w:headerReference r:id="rId19" w:type="default"/>
          <w:footerReference r:id="rId20" w:type="default"/>
          <w:pgSz w:w="11910" w:h="16840"/>
          <w:pgMar w:top="1440" w:right="1080" w:bottom="1440" w:left="1080" w:header="720" w:footer="720" w:gutter="0"/>
          <w:pgNumType w:fmt="decimal"/>
          <w:cols w:space="720" w:num="1"/>
        </w:sectPr>
      </w:pPr>
    </w:p>
    <w:p w14:paraId="24F7DF91">
      <w:pPr>
        <w:pStyle w:val="40"/>
        <w:tabs>
          <w:tab w:val="right" w:leader="dot" w:pos="8296"/>
          <w:tab w:val="clear" w:pos="8610"/>
        </w:tabs>
        <w:rPr>
          <w:rFonts w:hint="eastAsia"/>
          <w:color w:val="auto"/>
          <w:highlight w:val="none"/>
        </w:rPr>
      </w:pPr>
    </w:p>
    <w:p w14:paraId="396B8BB3">
      <w:pPr>
        <w:jc w:val="both"/>
        <w:outlineLvl w:val="9"/>
        <w:rPr>
          <w:rFonts w:hint="eastAsia" w:ascii="宋体" w:hAnsi="宋体" w:cs="宋体"/>
          <w:color w:val="auto"/>
          <w:highlight w:val="none"/>
        </w:rPr>
      </w:pPr>
      <w:bookmarkStart w:id="637" w:name="_Toc4493"/>
      <w:bookmarkStart w:id="638" w:name="_Toc6522"/>
      <w:bookmarkStart w:id="639" w:name="_Toc8670"/>
      <w:bookmarkStart w:id="640" w:name="_Toc948"/>
      <w:bookmarkStart w:id="641" w:name="_Toc29874"/>
      <w:bookmarkStart w:id="642" w:name="_Toc2879"/>
    </w:p>
    <w:p w14:paraId="26C6FBC3">
      <w:pPr>
        <w:jc w:val="center"/>
        <w:outlineLvl w:val="9"/>
        <w:rPr>
          <w:rFonts w:hint="eastAsia" w:ascii="宋体" w:hAnsi="宋体" w:cs="宋体"/>
          <w:color w:val="auto"/>
          <w:highlight w:val="none"/>
        </w:rPr>
      </w:pPr>
    </w:p>
    <w:p w14:paraId="4BD2B5F8">
      <w:pPr>
        <w:pStyle w:val="2"/>
        <w:jc w:val="center"/>
        <w:rPr>
          <w:rFonts w:hint="eastAsia"/>
          <w:color w:val="auto"/>
          <w:highlight w:val="none"/>
        </w:rPr>
      </w:pPr>
      <w:bookmarkStart w:id="643" w:name="_Toc14747"/>
      <w:bookmarkStart w:id="644" w:name="_Toc20749"/>
      <w:r>
        <w:rPr>
          <w:rFonts w:hint="eastAsia" w:ascii="宋体" w:hAnsi="宋体" w:cs="宋体"/>
          <w:color w:val="auto"/>
          <w:highlight w:val="none"/>
        </w:rPr>
        <w:t>第八章 图纸（另册）</w:t>
      </w:r>
      <w:bookmarkEnd w:id="637"/>
      <w:bookmarkEnd w:id="638"/>
      <w:bookmarkEnd w:id="639"/>
      <w:bookmarkEnd w:id="640"/>
      <w:bookmarkEnd w:id="641"/>
      <w:bookmarkEnd w:id="642"/>
      <w:bookmarkEnd w:id="643"/>
      <w:bookmarkEnd w:id="644"/>
    </w:p>
    <w:p w14:paraId="37147AE2">
      <w:pPr>
        <w:pStyle w:val="40"/>
        <w:tabs>
          <w:tab w:val="right" w:leader="dot" w:pos="8296"/>
          <w:tab w:val="clear" w:pos="8610"/>
        </w:tabs>
        <w:rPr>
          <w:rFonts w:hint="eastAsia"/>
          <w:color w:val="auto"/>
          <w:highlight w:val="none"/>
        </w:rPr>
      </w:pPr>
    </w:p>
    <w:p w14:paraId="19C90187">
      <w:pPr>
        <w:rPr>
          <w:rFonts w:hint="eastAsia"/>
          <w:color w:val="auto"/>
          <w:highlight w:val="none"/>
        </w:rPr>
      </w:pPr>
    </w:p>
    <w:p w14:paraId="567EFDF3">
      <w:pPr>
        <w:pStyle w:val="40"/>
        <w:tabs>
          <w:tab w:val="right" w:leader="dot" w:pos="8296"/>
          <w:tab w:val="clear" w:pos="8610"/>
        </w:tabs>
        <w:rPr>
          <w:rFonts w:hint="eastAsia"/>
          <w:color w:val="auto"/>
          <w:highlight w:val="none"/>
        </w:rPr>
        <w:sectPr>
          <w:pgSz w:w="11910" w:h="16840"/>
          <w:pgMar w:top="1440" w:right="1080" w:bottom="1440" w:left="1080" w:header="720" w:footer="720" w:gutter="0"/>
          <w:pgNumType w:fmt="decimal"/>
          <w:cols w:space="720" w:num="1"/>
        </w:sectPr>
      </w:pPr>
    </w:p>
    <w:p w14:paraId="5BB4D269">
      <w:pPr>
        <w:pStyle w:val="40"/>
        <w:tabs>
          <w:tab w:val="right" w:leader="dot" w:pos="8296"/>
          <w:tab w:val="clear" w:pos="8610"/>
        </w:tabs>
        <w:rPr>
          <w:rFonts w:hint="eastAsia"/>
          <w:color w:val="auto"/>
          <w:highlight w:val="none"/>
        </w:rPr>
      </w:pPr>
    </w:p>
    <w:p w14:paraId="3C729BC7">
      <w:pPr>
        <w:spacing w:line="360" w:lineRule="auto"/>
        <w:jc w:val="center"/>
        <w:rPr>
          <w:rFonts w:hint="eastAsia"/>
          <w:color w:val="auto"/>
          <w:highlight w:val="none"/>
        </w:rPr>
      </w:pPr>
    </w:p>
    <w:p w14:paraId="2D8E3242">
      <w:pPr>
        <w:spacing w:line="360" w:lineRule="auto"/>
        <w:jc w:val="center"/>
        <w:rPr>
          <w:rFonts w:hint="eastAsia"/>
          <w:color w:val="auto"/>
          <w:highlight w:val="none"/>
        </w:rPr>
      </w:pPr>
    </w:p>
    <w:p w14:paraId="044B9AAC">
      <w:pPr>
        <w:spacing w:line="360" w:lineRule="auto"/>
        <w:jc w:val="center"/>
        <w:rPr>
          <w:rFonts w:hint="eastAsia"/>
          <w:color w:val="auto"/>
          <w:highlight w:val="none"/>
        </w:rPr>
      </w:pPr>
    </w:p>
    <w:p w14:paraId="442EA5CC">
      <w:pPr>
        <w:spacing w:line="360" w:lineRule="auto"/>
        <w:jc w:val="center"/>
        <w:rPr>
          <w:rFonts w:hint="eastAsia"/>
          <w:color w:val="auto"/>
          <w:highlight w:val="none"/>
        </w:rPr>
      </w:pPr>
    </w:p>
    <w:p w14:paraId="1E5D045F">
      <w:pPr>
        <w:pStyle w:val="18"/>
        <w:spacing w:line="360" w:lineRule="auto"/>
        <w:jc w:val="center"/>
        <w:rPr>
          <w:rFonts w:hint="eastAsia"/>
          <w:color w:val="auto"/>
          <w:highlight w:val="none"/>
        </w:rPr>
      </w:pPr>
    </w:p>
    <w:p w14:paraId="43C7B4C7">
      <w:pPr>
        <w:pStyle w:val="27"/>
        <w:spacing w:line="360" w:lineRule="auto"/>
        <w:ind w:left="5250"/>
        <w:jc w:val="center"/>
        <w:rPr>
          <w:rFonts w:hint="eastAsia"/>
          <w:color w:val="auto"/>
          <w:highlight w:val="none"/>
        </w:rPr>
      </w:pPr>
    </w:p>
    <w:p w14:paraId="18C090E9">
      <w:pPr>
        <w:spacing w:line="360" w:lineRule="auto"/>
        <w:jc w:val="center"/>
        <w:rPr>
          <w:rFonts w:hint="eastAsia"/>
          <w:color w:val="auto"/>
          <w:highlight w:val="none"/>
        </w:rPr>
      </w:pPr>
    </w:p>
    <w:p w14:paraId="449CB30D">
      <w:pPr>
        <w:pStyle w:val="18"/>
        <w:spacing w:line="360" w:lineRule="auto"/>
        <w:jc w:val="center"/>
        <w:rPr>
          <w:rFonts w:hint="eastAsia"/>
          <w:color w:val="auto"/>
          <w:highlight w:val="none"/>
        </w:rPr>
      </w:pPr>
    </w:p>
    <w:p w14:paraId="65E43F3B">
      <w:pPr>
        <w:pStyle w:val="27"/>
        <w:spacing w:line="360" w:lineRule="auto"/>
        <w:ind w:left="5250"/>
        <w:jc w:val="center"/>
        <w:rPr>
          <w:rFonts w:hint="eastAsia"/>
          <w:color w:val="auto"/>
          <w:highlight w:val="none"/>
        </w:rPr>
      </w:pPr>
    </w:p>
    <w:p w14:paraId="79BAFA64">
      <w:pPr>
        <w:spacing w:line="360" w:lineRule="auto"/>
        <w:jc w:val="center"/>
        <w:rPr>
          <w:rFonts w:hint="eastAsia"/>
          <w:color w:val="auto"/>
          <w:highlight w:val="none"/>
        </w:rPr>
      </w:pPr>
    </w:p>
    <w:p w14:paraId="33DCF505">
      <w:pPr>
        <w:pStyle w:val="18"/>
        <w:spacing w:line="360" w:lineRule="auto"/>
        <w:jc w:val="center"/>
        <w:rPr>
          <w:rFonts w:hint="eastAsia"/>
          <w:color w:val="auto"/>
          <w:highlight w:val="none"/>
        </w:rPr>
      </w:pPr>
    </w:p>
    <w:p w14:paraId="38DAECB0">
      <w:pPr>
        <w:pStyle w:val="27"/>
        <w:spacing w:line="360" w:lineRule="auto"/>
        <w:ind w:left="5250"/>
        <w:jc w:val="center"/>
        <w:rPr>
          <w:rFonts w:hint="eastAsia"/>
          <w:color w:val="auto"/>
          <w:highlight w:val="none"/>
        </w:rPr>
      </w:pPr>
    </w:p>
    <w:p w14:paraId="5BDBD760">
      <w:pPr>
        <w:pStyle w:val="27"/>
        <w:spacing w:line="360" w:lineRule="auto"/>
        <w:ind w:left="5250"/>
        <w:jc w:val="center"/>
        <w:rPr>
          <w:rFonts w:hint="eastAsia"/>
          <w:color w:val="auto"/>
          <w:highlight w:val="none"/>
        </w:rPr>
      </w:pPr>
    </w:p>
    <w:p w14:paraId="43370F6C">
      <w:pPr>
        <w:spacing w:line="360" w:lineRule="auto"/>
        <w:jc w:val="center"/>
        <w:rPr>
          <w:rFonts w:hint="eastAsia"/>
          <w:color w:val="auto"/>
          <w:highlight w:val="none"/>
        </w:rPr>
      </w:pPr>
    </w:p>
    <w:p w14:paraId="679B41ED">
      <w:pPr>
        <w:pStyle w:val="2"/>
        <w:spacing w:line="360" w:lineRule="auto"/>
        <w:jc w:val="center"/>
        <w:rPr>
          <w:rFonts w:hint="eastAsia" w:ascii="宋体" w:hAnsi="宋体" w:cs="宋体"/>
          <w:color w:val="auto"/>
          <w:highlight w:val="none"/>
        </w:rPr>
        <w:sectPr>
          <w:pgSz w:w="11910" w:h="16840"/>
          <w:pgMar w:top="1440" w:right="1080" w:bottom="1440" w:left="1080" w:header="720" w:footer="720" w:gutter="0"/>
          <w:pgNumType w:fmt="decimal"/>
          <w:cols w:space="720" w:num="1"/>
        </w:sectPr>
      </w:pPr>
      <w:bookmarkStart w:id="645" w:name="_Toc24083"/>
      <w:bookmarkStart w:id="646" w:name="_Toc232"/>
      <w:bookmarkStart w:id="647" w:name="_Toc5640"/>
      <w:bookmarkStart w:id="648" w:name="_Toc3253"/>
      <w:bookmarkStart w:id="649" w:name="_Toc3714"/>
      <w:bookmarkStart w:id="650" w:name="_Toc4874"/>
      <w:bookmarkStart w:id="651" w:name="_Toc28580"/>
      <w:bookmarkStart w:id="652" w:name="_Toc6735"/>
      <w:bookmarkStart w:id="653" w:name="_Toc11110"/>
      <w:r>
        <w:rPr>
          <w:rFonts w:hint="eastAsia" w:ascii="宋体" w:hAnsi="宋体" w:cs="宋体"/>
          <w:color w:val="auto"/>
          <w:highlight w:val="none"/>
        </w:rPr>
        <w:t>第九章 质疑、投诉材料格式</w:t>
      </w:r>
      <w:bookmarkEnd w:id="645"/>
      <w:bookmarkEnd w:id="646"/>
      <w:bookmarkEnd w:id="647"/>
      <w:bookmarkEnd w:id="648"/>
      <w:bookmarkEnd w:id="649"/>
      <w:bookmarkEnd w:id="650"/>
      <w:bookmarkEnd w:id="651"/>
      <w:bookmarkEnd w:id="652"/>
      <w:bookmarkEnd w:id="653"/>
    </w:p>
    <w:p w14:paraId="6F5E024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2D83F10">
      <w:pPr>
        <w:pStyle w:val="25"/>
        <w:spacing w:line="360" w:lineRule="auto"/>
        <w:ind w:firstLine="482" w:firstLineChars="200"/>
        <w:contextualSpacing/>
        <w:rPr>
          <w:rFonts w:hint="eastAsia" w:hAnsi="宋体" w:cs="宋体"/>
          <w:b/>
          <w:bCs/>
          <w:color w:val="auto"/>
          <w:sz w:val="24"/>
          <w:szCs w:val="24"/>
          <w:highlight w:val="none"/>
        </w:rPr>
      </w:pPr>
    </w:p>
    <w:p w14:paraId="0230BBAE">
      <w:pPr>
        <w:pStyle w:val="2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27454C1">
      <w:pPr>
        <w:pStyle w:val="2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33ABA34">
      <w:pPr>
        <w:pStyle w:val="2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DAAE6EF">
      <w:pPr>
        <w:pStyle w:val="2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46648AF">
      <w:pPr>
        <w:pStyle w:val="2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4ABD118E">
      <w:pPr>
        <w:pStyle w:val="2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80ECC9">
      <w:pPr>
        <w:pStyle w:val="2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DC0B46D">
      <w:pPr>
        <w:pStyle w:val="2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6D420B00">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14748E1">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37BF284">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18F43E44">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DA5CEF8">
      <w:pPr>
        <w:pStyle w:val="25"/>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6A2FCBFC">
      <w:pPr>
        <w:pStyle w:val="25"/>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39DCE1D0">
      <w:pPr>
        <w:pStyle w:val="25"/>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5EDE5291">
      <w:pPr>
        <w:pStyle w:val="25"/>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62C97996">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D2A1A28">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68D23899">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80C3B5D">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60B6E051">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5D6FF963">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2A34412F">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EAB9935">
      <w:pPr>
        <w:pStyle w:val="25"/>
        <w:spacing w:line="360" w:lineRule="auto"/>
        <w:ind w:left="25" w:leftChars="12" w:firstLine="352" w:firstLineChars="147"/>
        <w:contextualSpacing/>
        <w:rPr>
          <w:rFonts w:hint="eastAsia" w:hAnsi="宋体" w:cs="宋体"/>
          <w:color w:val="auto"/>
          <w:sz w:val="24"/>
          <w:szCs w:val="24"/>
          <w:highlight w:val="none"/>
        </w:rPr>
      </w:pPr>
    </w:p>
    <w:p w14:paraId="3D0F92C4">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6B7FB17">
      <w:pPr>
        <w:pStyle w:val="25"/>
        <w:spacing w:line="360" w:lineRule="auto"/>
        <w:ind w:left="25" w:leftChars="12" w:firstLine="352" w:firstLineChars="147"/>
        <w:contextualSpacing/>
        <w:rPr>
          <w:rFonts w:hint="eastAsia" w:hAnsi="宋体" w:cs="宋体"/>
          <w:color w:val="auto"/>
          <w:sz w:val="24"/>
          <w:szCs w:val="24"/>
          <w:highlight w:val="none"/>
        </w:rPr>
      </w:pPr>
    </w:p>
    <w:p w14:paraId="70EE3375">
      <w:pPr>
        <w:pStyle w:val="2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42278886">
      <w:pPr>
        <w:pStyle w:val="25"/>
        <w:spacing w:line="360" w:lineRule="auto"/>
        <w:contextualSpacing/>
        <w:rPr>
          <w:rFonts w:hint="eastAsia" w:hAnsi="宋体" w:cs="宋体"/>
          <w:b/>
          <w:color w:val="auto"/>
          <w:sz w:val="24"/>
          <w:szCs w:val="24"/>
          <w:highlight w:val="none"/>
        </w:rPr>
      </w:pPr>
    </w:p>
    <w:p w14:paraId="23A485B2">
      <w:pPr>
        <w:pStyle w:val="25"/>
        <w:spacing w:line="360" w:lineRule="auto"/>
        <w:contextualSpacing/>
        <w:rPr>
          <w:rFonts w:hint="eastAsia" w:hAnsi="宋体" w:cs="宋体"/>
          <w:b/>
          <w:color w:val="auto"/>
          <w:sz w:val="24"/>
          <w:szCs w:val="24"/>
          <w:highlight w:val="none"/>
        </w:rPr>
      </w:pPr>
    </w:p>
    <w:p w14:paraId="5B228C4E">
      <w:pPr>
        <w:pStyle w:val="25"/>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197B98D6">
      <w:pPr>
        <w:pStyle w:val="25"/>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24EB0ED">
      <w:pPr>
        <w:pStyle w:val="2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53A9D2">
      <w:pPr>
        <w:pStyle w:val="2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8A57B44">
      <w:pPr>
        <w:pStyle w:val="2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6CC179E">
      <w:pPr>
        <w:pStyle w:val="25"/>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6E75AB8A">
      <w:pPr>
        <w:pStyle w:val="25"/>
        <w:snapToGrid w:val="0"/>
        <w:spacing w:line="360" w:lineRule="auto"/>
        <w:rPr>
          <w:rFonts w:hint="eastAsia" w:hAnsi="宋体" w:cs="宋体"/>
          <w:b/>
          <w:color w:val="auto"/>
          <w:sz w:val="24"/>
          <w:szCs w:val="24"/>
          <w:highlight w:val="none"/>
        </w:rPr>
      </w:pPr>
    </w:p>
    <w:p w14:paraId="0437D845">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73DBB930">
      <w:pPr>
        <w:pStyle w:val="25"/>
        <w:snapToGrid w:val="0"/>
        <w:spacing w:line="360" w:lineRule="auto"/>
        <w:ind w:firstLine="482" w:firstLineChars="200"/>
        <w:rPr>
          <w:rFonts w:hint="eastAsia" w:hAnsi="宋体" w:cs="宋体"/>
          <w:b/>
          <w:bCs/>
          <w:color w:val="auto"/>
          <w:sz w:val="24"/>
          <w:szCs w:val="24"/>
          <w:highlight w:val="none"/>
        </w:rPr>
      </w:pPr>
    </w:p>
    <w:p w14:paraId="5CE24AC0">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0490872">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1D91B67">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D597108">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563D547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7AB0650">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F18A54F">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63683F2">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87717E8">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39C30C54">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FEF3601">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8CFC1D7">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C86743C">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280CC660">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7C8C72C3">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C3E58DE">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43D8D0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2F9F5C6">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0017B577">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0B34D59">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1F71638">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1C15BFD4">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1280552">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68ACEB8">
      <w:pPr>
        <w:pStyle w:val="25"/>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BAB947A">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717E7CE2">
      <w:pPr>
        <w:pStyle w:val="2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D20F951">
      <w:pPr>
        <w:pStyle w:val="25"/>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09DE5EB">
      <w:pPr>
        <w:pStyle w:val="25"/>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2C13544">
      <w:pPr>
        <w:pStyle w:val="25"/>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75686CC9">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0B4A7583">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C94265D">
      <w:pPr>
        <w:pStyle w:val="2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98E9F06">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3C8D4EDF">
      <w:pPr>
        <w:pStyle w:val="2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31D5806">
      <w:pPr>
        <w:pStyle w:val="25"/>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D40F707">
      <w:pPr>
        <w:pStyle w:val="25"/>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432A8EB">
      <w:pPr>
        <w:pStyle w:val="25"/>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52B5ED67">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3398736">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1AE8217">
      <w:pPr>
        <w:pStyle w:val="25"/>
        <w:spacing w:line="360" w:lineRule="auto"/>
        <w:ind w:left="25" w:leftChars="12" w:firstLine="352" w:firstLineChars="147"/>
        <w:rPr>
          <w:rFonts w:hint="eastAsia" w:hAnsi="宋体" w:cs="宋体"/>
          <w:color w:val="auto"/>
          <w:sz w:val="24"/>
          <w:szCs w:val="24"/>
          <w:highlight w:val="none"/>
        </w:rPr>
      </w:pPr>
    </w:p>
    <w:p w14:paraId="542C961D">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232779F6">
      <w:pPr>
        <w:pStyle w:val="25"/>
        <w:spacing w:line="360" w:lineRule="auto"/>
        <w:ind w:left="25" w:leftChars="12" w:firstLine="352" w:firstLineChars="147"/>
        <w:rPr>
          <w:rFonts w:hint="eastAsia" w:hAnsi="宋体" w:cs="宋体"/>
          <w:color w:val="auto"/>
          <w:sz w:val="24"/>
          <w:szCs w:val="24"/>
          <w:highlight w:val="none"/>
        </w:rPr>
      </w:pPr>
    </w:p>
    <w:p w14:paraId="51F56BFE">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5B50920C">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4206D642">
      <w:pPr>
        <w:pStyle w:val="25"/>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4D0E834E">
      <w:pPr>
        <w:pStyle w:val="25"/>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F3C92DB">
      <w:pPr>
        <w:pStyle w:val="2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6421DB">
      <w:pPr>
        <w:pStyle w:val="2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6C95D8E">
      <w:pPr>
        <w:pStyle w:val="2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A611A36">
      <w:pPr>
        <w:pStyle w:val="2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DCF8FEE">
      <w:pPr>
        <w:pStyle w:val="25"/>
        <w:spacing w:line="360" w:lineRule="auto"/>
        <w:ind w:left="25" w:leftChars="12" w:firstLine="354" w:firstLineChars="147"/>
        <w:rPr>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7C012D5">
      <w:pPr>
        <w:rPr>
          <w:rFonts w:hint="eastAsia"/>
          <w:color w:val="auto"/>
          <w:highlight w:val="none"/>
        </w:rPr>
      </w:pPr>
    </w:p>
    <w:sectPr>
      <w:footerReference r:id="rId22" w:type="first"/>
      <w:footerReference r:id="rId2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ap Symbols">
    <w:altName w:val="Courier New"/>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行楷">
    <w:altName w:val="Arial Unicode MS"/>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Arial Unicode MS"/>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6129">
    <w:pPr>
      <w:pStyle w:val="31"/>
      <w:tabs>
        <w:tab w:val="center" w:pos="4439"/>
        <w:tab w:val="clear" w:pos="4153"/>
      </w:tabs>
      <w:jc w:val="both"/>
    </w:pPr>
  </w:p>
  <w:p w14:paraId="4805A871">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1F80">
    <w:pPr>
      <w:pStyle w:val="31"/>
      <w:rPr>
        <w:rStyle w:val="5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9595">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4B9595">
                    <w:pPr>
                      <w:pStyle w:val="31"/>
                    </w:pPr>
                    <w:r>
                      <w:fldChar w:fldCharType="begin"/>
                    </w:r>
                    <w:r>
                      <w:instrText xml:space="preserve"> PAGE  \* MERGEFORMAT </w:instrText>
                    </w:r>
                    <w:r>
                      <w:fldChar w:fldCharType="separate"/>
                    </w:r>
                    <w:r>
                      <w:t>2</w:t>
                    </w:r>
                    <w:r>
                      <w:fldChar w:fldCharType="end"/>
                    </w:r>
                  </w:p>
                </w:txbxContent>
              </v:textbox>
            </v:shape>
          </w:pict>
        </mc:Fallback>
      </mc:AlternateContent>
    </w:r>
  </w:p>
  <w:p w14:paraId="526078BE">
    <w:pPr>
      <w:pStyle w:val="31"/>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2E0C">
    <w:pPr>
      <w:pStyle w:val="31"/>
      <w:rPr>
        <w:rStyle w:val="5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6CCF7">
                          <w:pPr>
                            <w:pStyle w:val="3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6A6CCF7">
                    <w:pPr>
                      <w:pStyle w:val="31"/>
                    </w:pPr>
                    <w:r>
                      <w:fldChar w:fldCharType="begin"/>
                    </w:r>
                    <w:r>
                      <w:instrText xml:space="preserve"> PAGE  \* MERGEFORMAT </w:instrText>
                    </w:r>
                    <w:r>
                      <w:fldChar w:fldCharType="separate"/>
                    </w:r>
                    <w:r>
                      <w:t>15</w:t>
                    </w:r>
                    <w:r>
                      <w:fldChar w:fldCharType="end"/>
                    </w:r>
                  </w:p>
                </w:txbxContent>
              </v:textbox>
            </v:shape>
          </w:pict>
        </mc:Fallback>
      </mc:AlternateContent>
    </w:r>
  </w:p>
  <w:p w14:paraId="48043D75">
    <w:pPr>
      <w:pStyle w:val="31"/>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ECCF">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65F5A">
                          <w:pPr>
                            <w:pStyle w:val="3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9165F5A">
                    <w:pPr>
                      <w:pStyle w:val="3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2038">
    <w:pPr>
      <w:pStyle w:val="31"/>
      <w:rPr>
        <w:rStyle w:val="5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042CA">
                          <w:pPr>
                            <w:pStyle w:val="3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8F042CA">
                    <w:pPr>
                      <w:pStyle w:val="31"/>
                    </w:pPr>
                    <w:r>
                      <w:fldChar w:fldCharType="begin"/>
                    </w:r>
                    <w:r>
                      <w:instrText xml:space="preserve"> PAGE  \* MERGEFORMAT </w:instrText>
                    </w:r>
                    <w:r>
                      <w:fldChar w:fldCharType="separate"/>
                    </w:r>
                    <w:r>
                      <w:t>55</w:t>
                    </w:r>
                    <w:r>
                      <w:fldChar w:fldCharType="end"/>
                    </w:r>
                  </w:p>
                </w:txbxContent>
              </v:textbox>
            </v:shape>
          </w:pict>
        </mc:Fallback>
      </mc:AlternateContent>
    </w:r>
  </w:p>
  <w:p w14:paraId="3A86152C">
    <w:pPr>
      <w:pStyle w:val="3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7546">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2E6AF">
                          <w:pPr>
                            <w:pStyle w:val="31"/>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22E6AF">
                    <w:pPr>
                      <w:pStyle w:val="31"/>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BAA5">
    <w:pPr>
      <w:pStyle w:val="3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9941A">
                          <w:pPr>
                            <w:pStyle w:val="31"/>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D9941A">
                    <w:pPr>
                      <w:pStyle w:val="31"/>
                    </w:pPr>
                    <w:r>
                      <w:fldChar w:fldCharType="begin"/>
                    </w:r>
                    <w:r>
                      <w:instrText xml:space="preserve"> PAGE  \* MERGEFORMAT </w:instrText>
                    </w:r>
                    <w:r>
                      <w:fldChar w:fldCharType="separate"/>
                    </w:r>
                    <w:r>
                      <w:t>115</w:t>
                    </w:r>
                    <w:r>
                      <w:fldChar w:fldCharType="end"/>
                    </w:r>
                  </w:p>
                </w:txbxContent>
              </v:textbox>
            </v:shape>
          </w:pict>
        </mc:Fallback>
      </mc:AlternateContent>
    </w:r>
  </w:p>
  <w:p w14:paraId="04ED5A30">
    <w:pPr>
      <w:pStyle w:val="3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AD31D">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F28BE">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y+/ssBAACd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ebss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Psvv7LAQAAnQMAAA4AAAAAAAAAAQAgAAAAHgEAAGRycy9lMm9E&#10;b2MueG1sUEsFBgAAAAAGAAYAWQEAAFsFAAAAAA==&#10;">
              <v:fill on="f" focussize="0,0"/>
              <v:stroke on="f"/>
              <v:imagedata o:title=""/>
              <o:lock v:ext="edit" aspectratio="f"/>
              <v:textbox inset="0mm,0mm,0mm,0mm" style="mso-fit-shape-to-text:t;">
                <w:txbxContent>
                  <w:p w14:paraId="733F28BE">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DB2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EA3C">
    <w:pPr>
      <w:pStyle w:val="31"/>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F4A454"/>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o7aMw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csk&#10;Tx+woqqHQHVxuPMDLc0cRwom1kMLNn2JD6M8iXu+iquGyGS6tF6t1yWlJOVmh/CLx+sBML5V3rJk&#10;1Bzo9bKo4vQe41g6l6Ruzt9rY/ILGvdXgDDHiMorMN1OTMaJkxWH/TDR2/vmTOx6WoOaO9p6zsw7&#10;RyqnjZkNmI39bBwD6EOXVyp1x3B7jDRSnjR1GGGJYXLo/TLXadfSgvzp56rH/2v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5yjtozAEAAKcDAAAOAAAAAAAAAAEAIAAAAB4BAABkcnMvZTJv&#10;RG9jLnhtbFBLBQYAAAAABgAGAFkBAABcBQAAAAA=&#10;">
              <v:fill on="f" focussize="0,0"/>
              <v:stroke on="f"/>
              <v:imagedata o:title=""/>
              <o:lock v:ext="edit" aspectratio="f"/>
              <v:textbox inset="0mm,0mm,0mm,0mm" style="mso-fit-shape-to-text:t;">
                <w:txbxContent>
                  <w:p w14:paraId="31F4A45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41D1">
    <w:pPr>
      <w:pStyle w:val="31"/>
      <w:tabs>
        <w:tab w:val="center" w:pos="4439"/>
        <w:tab w:val="clear" w:pos="4153"/>
      </w:tabs>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BCDA6">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1BCDA6">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381346D8">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BEC3">
    <w:pPr>
      <w:pStyle w:val="31"/>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DAC0B">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F3DAC0B">
                    <w:pPr>
                      <w:pStyle w:val="31"/>
                    </w:pPr>
                    <w:r>
                      <w:fldChar w:fldCharType="begin"/>
                    </w:r>
                    <w:r>
                      <w:instrText xml:space="preserve"> PAGE  \* MERGEFORMAT </w:instrText>
                    </w:r>
                    <w:r>
                      <w:fldChar w:fldCharType="separate"/>
                    </w:r>
                    <w:r>
                      <w:t>8</w:t>
                    </w:r>
                    <w:r>
                      <w:fldChar w:fldCharType="end"/>
                    </w:r>
                  </w:p>
                </w:txbxContent>
              </v:textbox>
            </v:shape>
          </w:pict>
        </mc:Fallback>
      </mc:AlternateContent>
    </w:r>
  </w:p>
  <w:p w14:paraId="77A3661C">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BCD4">
    <w:pPr>
      <w:pStyle w:val="3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ADA5F">
                          <w:pPr>
                            <w:pStyle w:val="3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BADA5F">
                    <w:pPr>
                      <w:pStyle w:val="31"/>
                    </w:pPr>
                    <w:r>
                      <w:fldChar w:fldCharType="begin"/>
                    </w:r>
                    <w:r>
                      <w:instrText xml:space="preserve"> PAGE  \* MERGEFORMAT </w:instrText>
                    </w:r>
                    <w:r>
                      <w:fldChar w:fldCharType="separate"/>
                    </w:r>
                    <w:r>
                      <w:t>66</w:t>
                    </w:r>
                    <w:r>
                      <w:fldChar w:fldCharType="end"/>
                    </w:r>
                  </w:p>
                </w:txbxContent>
              </v:textbox>
            </v:shape>
          </w:pict>
        </mc:Fallback>
      </mc:AlternateContent>
    </w:r>
  </w:p>
  <w:p w14:paraId="5D00C708">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D6BD">
    <w:pPr>
      <w:pStyle w:val="31"/>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4925A">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44925A">
                    <w:pPr>
                      <w:pStyle w:val="31"/>
                    </w:pPr>
                    <w:r>
                      <w:fldChar w:fldCharType="begin"/>
                    </w:r>
                    <w:r>
                      <w:instrText xml:space="preserve"> PAGE  \* MERGEFORMAT </w:instrText>
                    </w:r>
                    <w:r>
                      <w:fldChar w:fldCharType="separate"/>
                    </w:r>
                    <w:r>
                      <w:t>2</w:t>
                    </w:r>
                    <w:r>
                      <w:fldChar w:fldCharType="end"/>
                    </w:r>
                  </w:p>
                </w:txbxContent>
              </v:textbox>
            </v:shape>
          </w:pict>
        </mc:Fallback>
      </mc:AlternateContent>
    </w:r>
  </w:p>
  <w:p w14:paraId="605ADF76">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B9A5">
    <w:pPr>
      <w:pStyle w:val="3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8B8E7">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4C8B8E7">
                    <w:pPr>
                      <w:pStyle w:val="31"/>
                    </w:pPr>
                    <w:r>
                      <w:fldChar w:fldCharType="begin"/>
                    </w:r>
                    <w:r>
                      <w:instrText xml:space="preserve"> PAGE  \* MERGEFORMAT </w:instrText>
                    </w:r>
                    <w:r>
                      <w:fldChar w:fldCharType="separate"/>
                    </w:r>
                    <w:r>
                      <w:t>3</w:t>
                    </w:r>
                    <w:r>
                      <w:fldChar w:fldCharType="end"/>
                    </w:r>
                  </w:p>
                </w:txbxContent>
              </v:textbox>
            </v:shape>
          </w:pict>
        </mc:Fallback>
      </mc:AlternateContent>
    </w:r>
  </w:p>
  <w:p w14:paraId="5BF8C6CF">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7A2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4C52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34C52C">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77F76CD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A01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EB05">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4EA7">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CE36">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0AC4B"/>
    <w:multiLevelType w:val="singleLevel"/>
    <w:tmpl w:val="8170AC4B"/>
    <w:lvl w:ilvl="0" w:tentative="0">
      <w:start w:val="1"/>
      <w:numFmt w:val="chineseCounting"/>
      <w:suff w:val="nothing"/>
      <w:lvlText w:val="%1、"/>
      <w:lvlJc w:val="left"/>
      <w:rPr>
        <w:rFonts w:hint="eastAsia"/>
        <w:b w:val="0"/>
        <w:bCs w:val="0"/>
        <w:sz w:val="24"/>
        <w:szCs w:val="24"/>
      </w:rPr>
    </w:lvl>
  </w:abstractNum>
  <w:abstractNum w:abstractNumId="1">
    <w:nsid w:val="B263B36A"/>
    <w:multiLevelType w:val="singleLevel"/>
    <w:tmpl w:val="B263B36A"/>
    <w:lvl w:ilvl="0" w:tentative="0">
      <w:start w:val="1"/>
      <w:numFmt w:val="decimal"/>
      <w:suff w:val="nothing"/>
      <w:lvlText w:val="（%1）"/>
      <w:lvlJc w:val="left"/>
    </w:lvl>
  </w:abstractNum>
  <w:abstractNum w:abstractNumId="2">
    <w:nsid w:val="CD44B769"/>
    <w:multiLevelType w:val="singleLevel"/>
    <w:tmpl w:val="CD44B769"/>
    <w:lvl w:ilvl="0" w:tentative="0">
      <w:start w:val="6"/>
      <w:numFmt w:val="chineseCounting"/>
      <w:suff w:val="nothing"/>
      <w:lvlText w:val="%1、"/>
      <w:lvlJc w:val="left"/>
      <w:rPr>
        <w:rFonts w:hint="eastAsia"/>
      </w:rPr>
    </w:lvl>
  </w:abstractNum>
  <w:abstractNum w:abstractNumId="3">
    <w:nsid w:val="DE953B3D"/>
    <w:multiLevelType w:val="singleLevel"/>
    <w:tmpl w:val="DE953B3D"/>
    <w:lvl w:ilvl="0" w:tentative="0">
      <w:start w:val="1"/>
      <w:numFmt w:val="decimal"/>
      <w:suff w:val="nothing"/>
      <w:lvlText w:val="%1."/>
      <w:lvlJc w:val="left"/>
      <w:pPr>
        <w:ind w:left="425" w:hanging="425"/>
      </w:pPr>
      <w:rPr>
        <w:rFonts w:hint="default"/>
        <w:b w:val="0"/>
        <w:bCs w:val="0"/>
      </w:rPr>
    </w:lvl>
  </w:abstractNum>
  <w:abstractNum w:abstractNumId="4">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479E3FDC"/>
    <w:multiLevelType w:val="singleLevel"/>
    <w:tmpl w:val="479E3FDC"/>
    <w:lvl w:ilvl="0" w:tentative="0">
      <w:start w:val="1"/>
      <w:numFmt w:val="chineseCounting"/>
      <w:suff w:val="nothing"/>
      <w:lvlText w:val="%1、"/>
      <w:lvlJc w:val="left"/>
      <w:pPr>
        <w:ind w:left="0" w:firstLine="420"/>
      </w:pPr>
      <w:rPr>
        <w:rFonts w:hint="eastAsia" w:ascii="宋体" w:hAnsi="宋体" w:eastAsia="宋体" w:cs="宋体"/>
        <w:b/>
        <w:bCs/>
      </w:rPr>
    </w:lvl>
  </w:abstractNum>
  <w:abstractNum w:abstractNumId="7">
    <w:nsid w:val="4BC1AACD"/>
    <w:multiLevelType w:val="singleLevel"/>
    <w:tmpl w:val="4BC1AACD"/>
    <w:lvl w:ilvl="0" w:tentative="0">
      <w:start w:val="1"/>
      <w:numFmt w:val="decimal"/>
      <w:suff w:val="nothing"/>
      <w:lvlText w:val="%1、"/>
      <w:lvlJc w:val="left"/>
    </w:lvl>
  </w:abstractNum>
  <w:num w:numId="1">
    <w:abstractNumId w:val="3"/>
  </w:num>
  <w:num w:numId="2">
    <w:abstractNumId w:val="1"/>
  </w:num>
  <w:num w:numId="3">
    <w:abstractNumId w:val="7"/>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YzA1OTVhNDk4MWJiZTJkZTFmYTdlOWQ2ZWE5MTYifQ=="/>
  </w:docVars>
  <w:rsids>
    <w:rsidRoot w:val="00172A27"/>
    <w:rsid w:val="00000672"/>
    <w:rsid w:val="00001013"/>
    <w:rsid w:val="00001799"/>
    <w:rsid w:val="00001AF2"/>
    <w:rsid w:val="00001ECA"/>
    <w:rsid w:val="00002D29"/>
    <w:rsid w:val="00003B93"/>
    <w:rsid w:val="0000474D"/>
    <w:rsid w:val="00005FDF"/>
    <w:rsid w:val="00006631"/>
    <w:rsid w:val="000070B3"/>
    <w:rsid w:val="000076B8"/>
    <w:rsid w:val="0001047A"/>
    <w:rsid w:val="000109DC"/>
    <w:rsid w:val="00010D39"/>
    <w:rsid w:val="0001172C"/>
    <w:rsid w:val="00011A4D"/>
    <w:rsid w:val="00011BC9"/>
    <w:rsid w:val="00012353"/>
    <w:rsid w:val="00012854"/>
    <w:rsid w:val="00012EA6"/>
    <w:rsid w:val="00013359"/>
    <w:rsid w:val="000139CF"/>
    <w:rsid w:val="00013AA4"/>
    <w:rsid w:val="00013DFE"/>
    <w:rsid w:val="000141EA"/>
    <w:rsid w:val="00015094"/>
    <w:rsid w:val="0001655B"/>
    <w:rsid w:val="00016ABC"/>
    <w:rsid w:val="000177DB"/>
    <w:rsid w:val="000179C9"/>
    <w:rsid w:val="00017CCC"/>
    <w:rsid w:val="00020227"/>
    <w:rsid w:val="00020263"/>
    <w:rsid w:val="00020455"/>
    <w:rsid w:val="00020527"/>
    <w:rsid w:val="00020813"/>
    <w:rsid w:val="000220B2"/>
    <w:rsid w:val="0002264C"/>
    <w:rsid w:val="00022731"/>
    <w:rsid w:val="00022792"/>
    <w:rsid w:val="00023012"/>
    <w:rsid w:val="00024463"/>
    <w:rsid w:val="00025461"/>
    <w:rsid w:val="00025636"/>
    <w:rsid w:val="00025E36"/>
    <w:rsid w:val="00026855"/>
    <w:rsid w:val="00026886"/>
    <w:rsid w:val="0002785D"/>
    <w:rsid w:val="000329E0"/>
    <w:rsid w:val="000352E9"/>
    <w:rsid w:val="00035494"/>
    <w:rsid w:val="00036125"/>
    <w:rsid w:val="00036A07"/>
    <w:rsid w:val="0003780B"/>
    <w:rsid w:val="00037F1D"/>
    <w:rsid w:val="00040571"/>
    <w:rsid w:val="00040973"/>
    <w:rsid w:val="0004156E"/>
    <w:rsid w:val="00041713"/>
    <w:rsid w:val="0004440C"/>
    <w:rsid w:val="00046318"/>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21F"/>
    <w:rsid w:val="00082619"/>
    <w:rsid w:val="00082D02"/>
    <w:rsid w:val="00083871"/>
    <w:rsid w:val="00083B91"/>
    <w:rsid w:val="0008473C"/>
    <w:rsid w:val="0008520B"/>
    <w:rsid w:val="000860BD"/>
    <w:rsid w:val="000871B8"/>
    <w:rsid w:val="000916DA"/>
    <w:rsid w:val="00092442"/>
    <w:rsid w:val="000929EF"/>
    <w:rsid w:val="000933BE"/>
    <w:rsid w:val="00093776"/>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2B85"/>
    <w:rsid w:val="000F3281"/>
    <w:rsid w:val="000F32FD"/>
    <w:rsid w:val="000F3733"/>
    <w:rsid w:val="000F5F8B"/>
    <w:rsid w:val="000F6153"/>
    <w:rsid w:val="000F63C8"/>
    <w:rsid w:val="000F64AA"/>
    <w:rsid w:val="000F7AF4"/>
    <w:rsid w:val="000F7C33"/>
    <w:rsid w:val="000F7F0C"/>
    <w:rsid w:val="001004D6"/>
    <w:rsid w:val="00102649"/>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0A01"/>
    <w:rsid w:val="00121979"/>
    <w:rsid w:val="00121C4E"/>
    <w:rsid w:val="00122064"/>
    <w:rsid w:val="00122C87"/>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DF"/>
    <w:rsid w:val="00135530"/>
    <w:rsid w:val="00135947"/>
    <w:rsid w:val="001359A2"/>
    <w:rsid w:val="00135F92"/>
    <w:rsid w:val="00136020"/>
    <w:rsid w:val="00136445"/>
    <w:rsid w:val="00137D77"/>
    <w:rsid w:val="00140132"/>
    <w:rsid w:val="001417BF"/>
    <w:rsid w:val="00141C9C"/>
    <w:rsid w:val="00142343"/>
    <w:rsid w:val="0014277F"/>
    <w:rsid w:val="001434BE"/>
    <w:rsid w:val="00144050"/>
    <w:rsid w:val="0014479F"/>
    <w:rsid w:val="001452B4"/>
    <w:rsid w:val="00145320"/>
    <w:rsid w:val="001476D3"/>
    <w:rsid w:val="001509CF"/>
    <w:rsid w:val="00150D1D"/>
    <w:rsid w:val="001525AA"/>
    <w:rsid w:val="00152A87"/>
    <w:rsid w:val="00153BB5"/>
    <w:rsid w:val="00154184"/>
    <w:rsid w:val="00154518"/>
    <w:rsid w:val="00156359"/>
    <w:rsid w:val="001568F3"/>
    <w:rsid w:val="00156DD6"/>
    <w:rsid w:val="0016086E"/>
    <w:rsid w:val="00160D0C"/>
    <w:rsid w:val="00160D47"/>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06F0"/>
    <w:rsid w:val="00172CA8"/>
    <w:rsid w:val="00173256"/>
    <w:rsid w:val="00173B0E"/>
    <w:rsid w:val="00173E03"/>
    <w:rsid w:val="00174182"/>
    <w:rsid w:val="001742B4"/>
    <w:rsid w:val="0017512C"/>
    <w:rsid w:val="0017586A"/>
    <w:rsid w:val="00175BA6"/>
    <w:rsid w:val="00176169"/>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3FF5"/>
    <w:rsid w:val="00195424"/>
    <w:rsid w:val="001955FF"/>
    <w:rsid w:val="00196D6E"/>
    <w:rsid w:val="00197EDD"/>
    <w:rsid w:val="001A02B3"/>
    <w:rsid w:val="001A04BB"/>
    <w:rsid w:val="001A08D0"/>
    <w:rsid w:val="001A1B39"/>
    <w:rsid w:val="001A1CBE"/>
    <w:rsid w:val="001A2120"/>
    <w:rsid w:val="001A268F"/>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8CD"/>
    <w:rsid w:val="001D0CFB"/>
    <w:rsid w:val="001D14CE"/>
    <w:rsid w:val="001D1A0D"/>
    <w:rsid w:val="001D343C"/>
    <w:rsid w:val="001D34F5"/>
    <w:rsid w:val="001D49AC"/>
    <w:rsid w:val="001D4EF2"/>
    <w:rsid w:val="001D56FC"/>
    <w:rsid w:val="001D58A1"/>
    <w:rsid w:val="001D58C2"/>
    <w:rsid w:val="001D5A8A"/>
    <w:rsid w:val="001D61CA"/>
    <w:rsid w:val="001D6E87"/>
    <w:rsid w:val="001D735E"/>
    <w:rsid w:val="001D73C8"/>
    <w:rsid w:val="001D7BC6"/>
    <w:rsid w:val="001E129E"/>
    <w:rsid w:val="001E175C"/>
    <w:rsid w:val="001E1B0E"/>
    <w:rsid w:val="001E3693"/>
    <w:rsid w:val="001E37B9"/>
    <w:rsid w:val="001E3B63"/>
    <w:rsid w:val="001E522E"/>
    <w:rsid w:val="001E5A94"/>
    <w:rsid w:val="001E5F6F"/>
    <w:rsid w:val="001F0373"/>
    <w:rsid w:val="001F2A2E"/>
    <w:rsid w:val="001F3356"/>
    <w:rsid w:val="001F3C63"/>
    <w:rsid w:val="001F4460"/>
    <w:rsid w:val="001F711A"/>
    <w:rsid w:val="001F75B0"/>
    <w:rsid w:val="00200CE5"/>
    <w:rsid w:val="00200F3C"/>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14A3"/>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943"/>
    <w:rsid w:val="00234F6E"/>
    <w:rsid w:val="002355BE"/>
    <w:rsid w:val="002358EA"/>
    <w:rsid w:val="00235E97"/>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69FA"/>
    <w:rsid w:val="002575E3"/>
    <w:rsid w:val="00257A74"/>
    <w:rsid w:val="002603C1"/>
    <w:rsid w:val="002609A1"/>
    <w:rsid w:val="002612B1"/>
    <w:rsid w:val="00266165"/>
    <w:rsid w:val="002662FE"/>
    <w:rsid w:val="00266F2C"/>
    <w:rsid w:val="0027125E"/>
    <w:rsid w:val="00271767"/>
    <w:rsid w:val="00272293"/>
    <w:rsid w:val="002723C8"/>
    <w:rsid w:val="00273987"/>
    <w:rsid w:val="00273C2A"/>
    <w:rsid w:val="00273CBE"/>
    <w:rsid w:val="002746B1"/>
    <w:rsid w:val="00274BAD"/>
    <w:rsid w:val="00282D56"/>
    <w:rsid w:val="002835B0"/>
    <w:rsid w:val="00283C74"/>
    <w:rsid w:val="0028407E"/>
    <w:rsid w:val="0028410F"/>
    <w:rsid w:val="00284572"/>
    <w:rsid w:val="00285221"/>
    <w:rsid w:val="00286FB5"/>
    <w:rsid w:val="00287566"/>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3750"/>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2B2"/>
    <w:rsid w:val="002E47E4"/>
    <w:rsid w:val="002E4BF9"/>
    <w:rsid w:val="002E4D61"/>
    <w:rsid w:val="002E5FED"/>
    <w:rsid w:val="002E68A7"/>
    <w:rsid w:val="002E6E6C"/>
    <w:rsid w:val="002F03D0"/>
    <w:rsid w:val="002F0522"/>
    <w:rsid w:val="002F0B85"/>
    <w:rsid w:val="002F0FFE"/>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3B72"/>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18F"/>
    <w:rsid w:val="00363F39"/>
    <w:rsid w:val="0036445C"/>
    <w:rsid w:val="00364627"/>
    <w:rsid w:val="00364AB0"/>
    <w:rsid w:val="00364D71"/>
    <w:rsid w:val="00364FAA"/>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556"/>
    <w:rsid w:val="0039366C"/>
    <w:rsid w:val="00393EC8"/>
    <w:rsid w:val="003950F5"/>
    <w:rsid w:val="0039538F"/>
    <w:rsid w:val="00395E42"/>
    <w:rsid w:val="00396409"/>
    <w:rsid w:val="00396A2D"/>
    <w:rsid w:val="00396FC3"/>
    <w:rsid w:val="003A1A94"/>
    <w:rsid w:val="003A204E"/>
    <w:rsid w:val="003A2D25"/>
    <w:rsid w:val="003A5728"/>
    <w:rsid w:val="003A60E7"/>
    <w:rsid w:val="003A6627"/>
    <w:rsid w:val="003A7092"/>
    <w:rsid w:val="003A72A1"/>
    <w:rsid w:val="003A7611"/>
    <w:rsid w:val="003A7D1F"/>
    <w:rsid w:val="003B0B6A"/>
    <w:rsid w:val="003B22F7"/>
    <w:rsid w:val="003B29CF"/>
    <w:rsid w:val="003B3A90"/>
    <w:rsid w:val="003B534F"/>
    <w:rsid w:val="003B5E4F"/>
    <w:rsid w:val="003B7A79"/>
    <w:rsid w:val="003C0FE1"/>
    <w:rsid w:val="003C151A"/>
    <w:rsid w:val="003C2EC2"/>
    <w:rsid w:val="003C350C"/>
    <w:rsid w:val="003C3903"/>
    <w:rsid w:val="003C3BA0"/>
    <w:rsid w:val="003C4580"/>
    <w:rsid w:val="003C5C5E"/>
    <w:rsid w:val="003C6746"/>
    <w:rsid w:val="003C7555"/>
    <w:rsid w:val="003C7898"/>
    <w:rsid w:val="003D0FF5"/>
    <w:rsid w:val="003D11A3"/>
    <w:rsid w:val="003D1537"/>
    <w:rsid w:val="003D183C"/>
    <w:rsid w:val="003D231F"/>
    <w:rsid w:val="003D2D1B"/>
    <w:rsid w:val="003D3C4F"/>
    <w:rsid w:val="003D48C7"/>
    <w:rsid w:val="003D4C27"/>
    <w:rsid w:val="003D7109"/>
    <w:rsid w:val="003D7CE8"/>
    <w:rsid w:val="003D7FF3"/>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276"/>
    <w:rsid w:val="003F1FC6"/>
    <w:rsid w:val="003F1FE3"/>
    <w:rsid w:val="003F2359"/>
    <w:rsid w:val="003F3865"/>
    <w:rsid w:val="003F3D55"/>
    <w:rsid w:val="003F4418"/>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6B81"/>
    <w:rsid w:val="0040763D"/>
    <w:rsid w:val="00410D17"/>
    <w:rsid w:val="00413442"/>
    <w:rsid w:val="00413821"/>
    <w:rsid w:val="00413BA5"/>
    <w:rsid w:val="004141A3"/>
    <w:rsid w:val="00414909"/>
    <w:rsid w:val="0041582F"/>
    <w:rsid w:val="00416112"/>
    <w:rsid w:val="004166BF"/>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1F6E"/>
    <w:rsid w:val="004322D6"/>
    <w:rsid w:val="00432589"/>
    <w:rsid w:val="00432A94"/>
    <w:rsid w:val="00432C95"/>
    <w:rsid w:val="00433827"/>
    <w:rsid w:val="00433A40"/>
    <w:rsid w:val="00434B70"/>
    <w:rsid w:val="0043523A"/>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5F03"/>
    <w:rsid w:val="00467EF8"/>
    <w:rsid w:val="00472122"/>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2E07"/>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B7B52"/>
    <w:rsid w:val="004C01A5"/>
    <w:rsid w:val="004C0412"/>
    <w:rsid w:val="004C0DBA"/>
    <w:rsid w:val="004C1142"/>
    <w:rsid w:val="004C2138"/>
    <w:rsid w:val="004C3940"/>
    <w:rsid w:val="004C51FD"/>
    <w:rsid w:val="004C65A8"/>
    <w:rsid w:val="004C6689"/>
    <w:rsid w:val="004D139A"/>
    <w:rsid w:val="004D14DC"/>
    <w:rsid w:val="004D17C6"/>
    <w:rsid w:val="004D19B8"/>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259A"/>
    <w:rsid w:val="00503180"/>
    <w:rsid w:val="005038A4"/>
    <w:rsid w:val="00504067"/>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27388"/>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26A5"/>
    <w:rsid w:val="00567B5D"/>
    <w:rsid w:val="005706D5"/>
    <w:rsid w:val="00570757"/>
    <w:rsid w:val="005730AF"/>
    <w:rsid w:val="00573733"/>
    <w:rsid w:val="00573F8B"/>
    <w:rsid w:val="00574554"/>
    <w:rsid w:val="00574E06"/>
    <w:rsid w:val="005751BB"/>
    <w:rsid w:val="00576089"/>
    <w:rsid w:val="005764B1"/>
    <w:rsid w:val="00576852"/>
    <w:rsid w:val="00576D06"/>
    <w:rsid w:val="00577287"/>
    <w:rsid w:val="00577718"/>
    <w:rsid w:val="005779E4"/>
    <w:rsid w:val="00577F9F"/>
    <w:rsid w:val="00580EC7"/>
    <w:rsid w:val="00581132"/>
    <w:rsid w:val="0058289C"/>
    <w:rsid w:val="005836C7"/>
    <w:rsid w:val="0058408E"/>
    <w:rsid w:val="00585374"/>
    <w:rsid w:val="005854CA"/>
    <w:rsid w:val="00585FAB"/>
    <w:rsid w:val="00590500"/>
    <w:rsid w:val="00590B77"/>
    <w:rsid w:val="00590D9A"/>
    <w:rsid w:val="00590DC4"/>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5C98"/>
    <w:rsid w:val="005B77D2"/>
    <w:rsid w:val="005C019B"/>
    <w:rsid w:val="005C08D0"/>
    <w:rsid w:val="005C1AED"/>
    <w:rsid w:val="005C30F5"/>
    <w:rsid w:val="005C33CC"/>
    <w:rsid w:val="005C51A5"/>
    <w:rsid w:val="005C557A"/>
    <w:rsid w:val="005C566F"/>
    <w:rsid w:val="005C5C47"/>
    <w:rsid w:val="005C61DD"/>
    <w:rsid w:val="005C6438"/>
    <w:rsid w:val="005C69B5"/>
    <w:rsid w:val="005C6B8B"/>
    <w:rsid w:val="005C727F"/>
    <w:rsid w:val="005D02E3"/>
    <w:rsid w:val="005D16C1"/>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4C98"/>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446"/>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4798C"/>
    <w:rsid w:val="0065171A"/>
    <w:rsid w:val="00652680"/>
    <w:rsid w:val="0065326F"/>
    <w:rsid w:val="00653CDE"/>
    <w:rsid w:val="00654585"/>
    <w:rsid w:val="00655AB6"/>
    <w:rsid w:val="00656281"/>
    <w:rsid w:val="0065636A"/>
    <w:rsid w:val="00657003"/>
    <w:rsid w:val="00660238"/>
    <w:rsid w:val="006602EF"/>
    <w:rsid w:val="00661277"/>
    <w:rsid w:val="006619E0"/>
    <w:rsid w:val="00663AE6"/>
    <w:rsid w:val="00663FEA"/>
    <w:rsid w:val="00664803"/>
    <w:rsid w:val="006657C5"/>
    <w:rsid w:val="006661A4"/>
    <w:rsid w:val="00666AC0"/>
    <w:rsid w:val="006670E0"/>
    <w:rsid w:val="006671B8"/>
    <w:rsid w:val="00667275"/>
    <w:rsid w:val="00667532"/>
    <w:rsid w:val="0066783E"/>
    <w:rsid w:val="00667E53"/>
    <w:rsid w:val="00667FAA"/>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A9C"/>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B45"/>
    <w:rsid w:val="006A703E"/>
    <w:rsid w:val="006A73F2"/>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0016"/>
    <w:rsid w:val="006C16C3"/>
    <w:rsid w:val="006C2187"/>
    <w:rsid w:val="006C32F4"/>
    <w:rsid w:val="006C3C54"/>
    <w:rsid w:val="006C4B6B"/>
    <w:rsid w:val="006C4F9F"/>
    <w:rsid w:val="006C6732"/>
    <w:rsid w:val="006C71A2"/>
    <w:rsid w:val="006C73EC"/>
    <w:rsid w:val="006D0C1D"/>
    <w:rsid w:val="006D2E9D"/>
    <w:rsid w:val="006D3019"/>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356"/>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6594"/>
    <w:rsid w:val="006F70BC"/>
    <w:rsid w:val="006F734B"/>
    <w:rsid w:val="006F7E7C"/>
    <w:rsid w:val="00701324"/>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B7A"/>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146"/>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6358"/>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A89"/>
    <w:rsid w:val="00796F65"/>
    <w:rsid w:val="007A11C2"/>
    <w:rsid w:val="007A18BB"/>
    <w:rsid w:val="007A1D60"/>
    <w:rsid w:val="007A27DD"/>
    <w:rsid w:val="007A41BF"/>
    <w:rsid w:val="007A490A"/>
    <w:rsid w:val="007A73E7"/>
    <w:rsid w:val="007A7B95"/>
    <w:rsid w:val="007B0297"/>
    <w:rsid w:val="007B02FA"/>
    <w:rsid w:val="007B0C2C"/>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804"/>
    <w:rsid w:val="007D4996"/>
    <w:rsid w:val="007D4AD3"/>
    <w:rsid w:val="007D5D19"/>
    <w:rsid w:val="007D5FDC"/>
    <w:rsid w:val="007D6176"/>
    <w:rsid w:val="007D6D68"/>
    <w:rsid w:val="007E32DA"/>
    <w:rsid w:val="007E4998"/>
    <w:rsid w:val="007E4A9C"/>
    <w:rsid w:val="007E5B1B"/>
    <w:rsid w:val="007E6914"/>
    <w:rsid w:val="007E7F78"/>
    <w:rsid w:val="007F0179"/>
    <w:rsid w:val="007F26CB"/>
    <w:rsid w:val="007F2C13"/>
    <w:rsid w:val="007F2CEC"/>
    <w:rsid w:val="007F3339"/>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06BF7"/>
    <w:rsid w:val="00810BB6"/>
    <w:rsid w:val="00810E8E"/>
    <w:rsid w:val="00812C44"/>
    <w:rsid w:val="008135E1"/>
    <w:rsid w:val="00813779"/>
    <w:rsid w:val="00813E26"/>
    <w:rsid w:val="0081481D"/>
    <w:rsid w:val="00814BE8"/>
    <w:rsid w:val="00814F6E"/>
    <w:rsid w:val="00815363"/>
    <w:rsid w:val="00815B84"/>
    <w:rsid w:val="00816BE9"/>
    <w:rsid w:val="0082027C"/>
    <w:rsid w:val="00820D89"/>
    <w:rsid w:val="00822518"/>
    <w:rsid w:val="008226F5"/>
    <w:rsid w:val="00823FC6"/>
    <w:rsid w:val="00824306"/>
    <w:rsid w:val="0082533A"/>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25D3"/>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63F"/>
    <w:rsid w:val="00872827"/>
    <w:rsid w:val="00872A32"/>
    <w:rsid w:val="00872D78"/>
    <w:rsid w:val="00874911"/>
    <w:rsid w:val="008754E4"/>
    <w:rsid w:val="008758B8"/>
    <w:rsid w:val="00876EAE"/>
    <w:rsid w:val="00880106"/>
    <w:rsid w:val="00880787"/>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5E80"/>
    <w:rsid w:val="00896679"/>
    <w:rsid w:val="00896D8C"/>
    <w:rsid w:val="008A0FC9"/>
    <w:rsid w:val="008A1956"/>
    <w:rsid w:val="008A1A7C"/>
    <w:rsid w:val="008A2CE2"/>
    <w:rsid w:val="008A3B85"/>
    <w:rsid w:val="008A40D3"/>
    <w:rsid w:val="008A469C"/>
    <w:rsid w:val="008A51D1"/>
    <w:rsid w:val="008A5DCE"/>
    <w:rsid w:val="008A75D3"/>
    <w:rsid w:val="008A760F"/>
    <w:rsid w:val="008B0487"/>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3"/>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5816"/>
    <w:rsid w:val="008E6540"/>
    <w:rsid w:val="008E77D4"/>
    <w:rsid w:val="008E7ADD"/>
    <w:rsid w:val="008F091F"/>
    <w:rsid w:val="008F0ABC"/>
    <w:rsid w:val="008F17B2"/>
    <w:rsid w:val="008F22B3"/>
    <w:rsid w:val="008F357B"/>
    <w:rsid w:val="008F3958"/>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C"/>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AFB"/>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497"/>
    <w:rsid w:val="0095694B"/>
    <w:rsid w:val="00956BD5"/>
    <w:rsid w:val="00956D84"/>
    <w:rsid w:val="009577B5"/>
    <w:rsid w:val="009608E6"/>
    <w:rsid w:val="00960F57"/>
    <w:rsid w:val="00961420"/>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302"/>
    <w:rsid w:val="00983B6E"/>
    <w:rsid w:val="00983FE5"/>
    <w:rsid w:val="009849E9"/>
    <w:rsid w:val="009859E4"/>
    <w:rsid w:val="00987812"/>
    <w:rsid w:val="00990225"/>
    <w:rsid w:val="0099128B"/>
    <w:rsid w:val="00992A13"/>
    <w:rsid w:val="00994AAD"/>
    <w:rsid w:val="00994DE1"/>
    <w:rsid w:val="00995150"/>
    <w:rsid w:val="00995D67"/>
    <w:rsid w:val="0099631F"/>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4A36"/>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854"/>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3C8"/>
    <w:rsid w:val="00AB65B5"/>
    <w:rsid w:val="00AB6DCD"/>
    <w:rsid w:val="00AB6EE0"/>
    <w:rsid w:val="00AB7A8A"/>
    <w:rsid w:val="00AC17A2"/>
    <w:rsid w:val="00AC338D"/>
    <w:rsid w:val="00AC40B7"/>
    <w:rsid w:val="00AC531F"/>
    <w:rsid w:val="00AC578A"/>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0A7E"/>
    <w:rsid w:val="00B11AE5"/>
    <w:rsid w:val="00B12FE6"/>
    <w:rsid w:val="00B1303F"/>
    <w:rsid w:val="00B1364A"/>
    <w:rsid w:val="00B13859"/>
    <w:rsid w:val="00B13EC9"/>
    <w:rsid w:val="00B14319"/>
    <w:rsid w:val="00B14A06"/>
    <w:rsid w:val="00B158E1"/>
    <w:rsid w:val="00B16715"/>
    <w:rsid w:val="00B1768E"/>
    <w:rsid w:val="00B17910"/>
    <w:rsid w:val="00B17B85"/>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425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87957"/>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970AD"/>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4C3F"/>
    <w:rsid w:val="00BC588C"/>
    <w:rsid w:val="00BC62F4"/>
    <w:rsid w:val="00BC6E73"/>
    <w:rsid w:val="00BC74D3"/>
    <w:rsid w:val="00BD0014"/>
    <w:rsid w:val="00BD01D8"/>
    <w:rsid w:val="00BD03E7"/>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6084"/>
    <w:rsid w:val="00C07144"/>
    <w:rsid w:val="00C075B6"/>
    <w:rsid w:val="00C124C1"/>
    <w:rsid w:val="00C128AE"/>
    <w:rsid w:val="00C12BA8"/>
    <w:rsid w:val="00C136D6"/>
    <w:rsid w:val="00C13902"/>
    <w:rsid w:val="00C13D5B"/>
    <w:rsid w:val="00C141D7"/>
    <w:rsid w:val="00C1711B"/>
    <w:rsid w:val="00C17AE2"/>
    <w:rsid w:val="00C17E00"/>
    <w:rsid w:val="00C20140"/>
    <w:rsid w:val="00C20A37"/>
    <w:rsid w:val="00C20F27"/>
    <w:rsid w:val="00C215CF"/>
    <w:rsid w:val="00C223F6"/>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6BFA"/>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611"/>
    <w:rsid w:val="00CA4948"/>
    <w:rsid w:val="00CA52F9"/>
    <w:rsid w:val="00CA5368"/>
    <w:rsid w:val="00CA568B"/>
    <w:rsid w:val="00CA573A"/>
    <w:rsid w:val="00CA5C58"/>
    <w:rsid w:val="00CB19D7"/>
    <w:rsid w:val="00CB19FE"/>
    <w:rsid w:val="00CB1C3F"/>
    <w:rsid w:val="00CB2364"/>
    <w:rsid w:val="00CB304C"/>
    <w:rsid w:val="00CB3933"/>
    <w:rsid w:val="00CB3C62"/>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AC8"/>
    <w:rsid w:val="00CD437E"/>
    <w:rsid w:val="00CD5DAD"/>
    <w:rsid w:val="00CD5E8A"/>
    <w:rsid w:val="00CD72C5"/>
    <w:rsid w:val="00CD7481"/>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4BF"/>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36"/>
    <w:rsid w:val="00D52BBC"/>
    <w:rsid w:val="00D537FE"/>
    <w:rsid w:val="00D53CC9"/>
    <w:rsid w:val="00D54A6A"/>
    <w:rsid w:val="00D54B8F"/>
    <w:rsid w:val="00D55951"/>
    <w:rsid w:val="00D559F0"/>
    <w:rsid w:val="00D57DCF"/>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5A86"/>
    <w:rsid w:val="00D86D47"/>
    <w:rsid w:val="00D8710C"/>
    <w:rsid w:val="00D873C6"/>
    <w:rsid w:val="00D9074A"/>
    <w:rsid w:val="00D9099E"/>
    <w:rsid w:val="00D9193A"/>
    <w:rsid w:val="00D923B2"/>
    <w:rsid w:val="00D92463"/>
    <w:rsid w:val="00D93E64"/>
    <w:rsid w:val="00D93F64"/>
    <w:rsid w:val="00D94CA4"/>
    <w:rsid w:val="00D95E99"/>
    <w:rsid w:val="00D965D5"/>
    <w:rsid w:val="00D9760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A8"/>
    <w:rsid w:val="00DB67C1"/>
    <w:rsid w:val="00DB6C0B"/>
    <w:rsid w:val="00DB70F4"/>
    <w:rsid w:val="00DB748A"/>
    <w:rsid w:val="00DC009D"/>
    <w:rsid w:val="00DC1056"/>
    <w:rsid w:val="00DC1442"/>
    <w:rsid w:val="00DC21D8"/>
    <w:rsid w:val="00DC2389"/>
    <w:rsid w:val="00DC282A"/>
    <w:rsid w:val="00DC2834"/>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6EC"/>
    <w:rsid w:val="00DE1A9A"/>
    <w:rsid w:val="00DE3D2C"/>
    <w:rsid w:val="00DE5E82"/>
    <w:rsid w:val="00DE5FA6"/>
    <w:rsid w:val="00DE6792"/>
    <w:rsid w:val="00DE6AA1"/>
    <w:rsid w:val="00DE7AAB"/>
    <w:rsid w:val="00DE7AED"/>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05C82"/>
    <w:rsid w:val="00E10343"/>
    <w:rsid w:val="00E10913"/>
    <w:rsid w:val="00E10B87"/>
    <w:rsid w:val="00E121CE"/>
    <w:rsid w:val="00E1478B"/>
    <w:rsid w:val="00E14FAC"/>
    <w:rsid w:val="00E15007"/>
    <w:rsid w:val="00E15234"/>
    <w:rsid w:val="00E16277"/>
    <w:rsid w:val="00E16EC7"/>
    <w:rsid w:val="00E219CE"/>
    <w:rsid w:val="00E24071"/>
    <w:rsid w:val="00E24EBC"/>
    <w:rsid w:val="00E2522C"/>
    <w:rsid w:val="00E2552F"/>
    <w:rsid w:val="00E2599B"/>
    <w:rsid w:val="00E25E03"/>
    <w:rsid w:val="00E2710C"/>
    <w:rsid w:val="00E27428"/>
    <w:rsid w:val="00E305B4"/>
    <w:rsid w:val="00E31AFA"/>
    <w:rsid w:val="00E31CB7"/>
    <w:rsid w:val="00E324EE"/>
    <w:rsid w:val="00E32990"/>
    <w:rsid w:val="00E34DB1"/>
    <w:rsid w:val="00E354B7"/>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91C"/>
    <w:rsid w:val="00E75A47"/>
    <w:rsid w:val="00E75BB6"/>
    <w:rsid w:val="00E75D8C"/>
    <w:rsid w:val="00E777F2"/>
    <w:rsid w:val="00E802C9"/>
    <w:rsid w:val="00E80BFB"/>
    <w:rsid w:val="00E80F0A"/>
    <w:rsid w:val="00E815D4"/>
    <w:rsid w:val="00E8291B"/>
    <w:rsid w:val="00E82D05"/>
    <w:rsid w:val="00E82E70"/>
    <w:rsid w:val="00E82F92"/>
    <w:rsid w:val="00E8395F"/>
    <w:rsid w:val="00E8410F"/>
    <w:rsid w:val="00E841CF"/>
    <w:rsid w:val="00E849D7"/>
    <w:rsid w:val="00E85E41"/>
    <w:rsid w:val="00E85EA1"/>
    <w:rsid w:val="00E86703"/>
    <w:rsid w:val="00E86CB7"/>
    <w:rsid w:val="00E90531"/>
    <w:rsid w:val="00E91044"/>
    <w:rsid w:val="00E910D3"/>
    <w:rsid w:val="00E91257"/>
    <w:rsid w:val="00E9131F"/>
    <w:rsid w:val="00E92154"/>
    <w:rsid w:val="00E923CF"/>
    <w:rsid w:val="00E93685"/>
    <w:rsid w:val="00E93B65"/>
    <w:rsid w:val="00E93C8C"/>
    <w:rsid w:val="00E95111"/>
    <w:rsid w:val="00E95FDF"/>
    <w:rsid w:val="00EA14C8"/>
    <w:rsid w:val="00EA19AE"/>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633"/>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384"/>
    <w:rsid w:val="00F23890"/>
    <w:rsid w:val="00F2504D"/>
    <w:rsid w:val="00F2637F"/>
    <w:rsid w:val="00F268E9"/>
    <w:rsid w:val="00F268F7"/>
    <w:rsid w:val="00F277AC"/>
    <w:rsid w:val="00F30B83"/>
    <w:rsid w:val="00F30BDB"/>
    <w:rsid w:val="00F30CF8"/>
    <w:rsid w:val="00F31EDF"/>
    <w:rsid w:val="00F32CDE"/>
    <w:rsid w:val="00F32D4C"/>
    <w:rsid w:val="00F3327E"/>
    <w:rsid w:val="00F338C3"/>
    <w:rsid w:val="00F34B14"/>
    <w:rsid w:val="00F34F58"/>
    <w:rsid w:val="00F35675"/>
    <w:rsid w:val="00F35DA7"/>
    <w:rsid w:val="00F36A6A"/>
    <w:rsid w:val="00F40101"/>
    <w:rsid w:val="00F404F7"/>
    <w:rsid w:val="00F40CCA"/>
    <w:rsid w:val="00F42D97"/>
    <w:rsid w:val="00F436B2"/>
    <w:rsid w:val="00F43813"/>
    <w:rsid w:val="00F43FEE"/>
    <w:rsid w:val="00F45A72"/>
    <w:rsid w:val="00F46723"/>
    <w:rsid w:val="00F46AC6"/>
    <w:rsid w:val="00F4706D"/>
    <w:rsid w:val="00F476E1"/>
    <w:rsid w:val="00F47D1D"/>
    <w:rsid w:val="00F47F29"/>
    <w:rsid w:val="00F50016"/>
    <w:rsid w:val="00F50058"/>
    <w:rsid w:val="00F5118A"/>
    <w:rsid w:val="00F51A21"/>
    <w:rsid w:val="00F51F67"/>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557"/>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1634"/>
    <w:rsid w:val="00F8288F"/>
    <w:rsid w:val="00F84033"/>
    <w:rsid w:val="00F84802"/>
    <w:rsid w:val="00F84FC1"/>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1B5"/>
    <w:rsid w:val="00FB2A52"/>
    <w:rsid w:val="00FB3F92"/>
    <w:rsid w:val="00FB52C7"/>
    <w:rsid w:val="00FB57DC"/>
    <w:rsid w:val="00FB58BF"/>
    <w:rsid w:val="00FB6E19"/>
    <w:rsid w:val="00FB71F6"/>
    <w:rsid w:val="00FC0AF8"/>
    <w:rsid w:val="00FC12BC"/>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1AA5"/>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802C9E"/>
    <w:rsid w:val="01AF3D99"/>
    <w:rsid w:val="01B95A4E"/>
    <w:rsid w:val="01EA3899"/>
    <w:rsid w:val="020A43B9"/>
    <w:rsid w:val="020E3E06"/>
    <w:rsid w:val="02167FC7"/>
    <w:rsid w:val="022B1E78"/>
    <w:rsid w:val="02511F9D"/>
    <w:rsid w:val="02546EA5"/>
    <w:rsid w:val="02581525"/>
    <w:rsid w:val="029138DB"/>
    <w:rsid w:val="02996051"/>
    <w:rsid w:val="02A3562F"/>
    <w:rsid w:val="02A84BAA"/>
    <w:rsid w:val="02BF6E91"/>
    <w:rsid w:val="02F50DDC"/>
    <w:rsid w:val="030A35A5"/>
    <w:rsid w:val="034668AF"/>
    <w:rsid w:val="03613542"/>
    <w:rsid w:val="036E5853"/>
    <w:rsid w:val="03A314B8"/>
    <w:rsid w:val="03A74512"/>
    <w:rsid w:val="03B373C8"/>
    <w:rsid w:val="03C968CD"/>
    <w:rsid w:val="03D82B98"/>
    <w:rsid w:val="03DE10AF"/>
    <w:rsid w:val="03F83E8B"/>
    <w:rsid w:val="040C3A34"/>
    <w:rsid w:val="040E6340"/>
    <w:rsid w:val="041D6CF2"/>
    <w:rsid w:val="042943D6"/>
    <w:rsid w:val="04351C11"/>
    <w:rsid w:val="04353FF0"/>
    <w:rsid w:val="04877015"/>
    <w:rsid w:val="04DC643E"/>
    <w:rsid w:val="04E74083"/>
    <w:rsid w:val="04F9571B"/>
    <w:rsid w:val="05586EF0"/>
    <w:rsid w:val="05C56868"/>
    <w:rsid w:val="05D42316"/>
    <w:rsid w:val="05FB6D97"/>
    <w:rsid w:val="06122BDD"/>
    <w:rsid w:val="06204EA5"/>
    <w:rsid w:val="06407161"/>
    <w:rsid w:val="06455F74"/>
    <w:rsid w:val="06537F3E"/>
    <w:rsid w:val="0682301B"/>
    <w:rsid w:val="06A25465"/>
    <w:rsid w:val="06A367B9"/>
    <w:rsid w:val="06BA1995"/>
    <w:rsid w:val="06E05095"/>
    <w:rsid w:val="06EB50AF"/>
    <w:rsid w:val="06EF6876"/>
    <w:rsid w:val="071E3DC1"/>
    <w:rsid w:val="075169F8"/>
    <w:rsid w:val="07B72767"/>
    <w:rsid w:val="08077E72"/>
    <w:rsid w:val="081416BA"/>
    <w:rsid w:val="0815767C"/>
    <w:rsid w:val="0832069A"/>
    <w:rsid w:val="08386440"/>
    <w:rsid w:val="08537410"/>
    <w:rsid w:val="086230FE"/>
    <w:rsid w:val="086D2FC0"/>
    <w:rsid w:val="087E7461"/>
    <w:rsid w:val="08882DD0"/>
    <w:rsid w:val="091948EE"/>
    <w:rsid w:val="09615221"/>
    <w:rsid w:val="0978425B"/>
    <w:rsid w:val="09CC2AAC"/>
    <w:rsid w:val="09D26E76"/>
    <w:rsid w:val="09FC0D57"/>
    <w:rsid w:val="0A652D3E"/>
    <w:rsid w:val="0A696248"/>
    <w:rsid w:val="0A6A4872"/>
    <w:rsid w:val="0A911A78"/>
    <w:rsid w:val="0A960F84"/>
    <w:rsid w:val="0AA44D6C"/>
    <w:rsid w:val="0AA758A4"/>
    <w:rsid w:val="0AAE5609"/>
    <w:rsid w:val="0AB95C66"/>
    <w:rsid w:val="0AF50259"/>
    <w:rsid w:val="0AFA5870"/>
    <w:rsid w:val="0B2F0A65"/>
    <w:rsid w:val="0B326F2A"/>
    <w:rsid w:val="0B4B67AA"/>
    <w:rsid w:val="0B615957"/>
    <w:rsid w:val="0B6E1081"/>
    <w:rsid w:val="0B9E2809"/>
    <w:rsid w:val="0BB05E9D"/>
    <w:rsid w:val="0BEF1A5C"/>
    <w:rsid w:val="0C1E2888"/>
    <w:rsid w:val="0C28640C"/>
    <w:rsid w:val="0C2D17C4"/>
    <w:rsid w:val="0C92213C"/>
    <w:rsid w:val="0CEF6635"/>
    <w:rsid w:val="0D3C216F"/>
    <w:rsid w:val="0D4903E8"/>
    <w:rsid w:val="0D84032B"/>
    <w:rsid w:val="0D9A6E96"/>
    <w:rsid w:val="0DAB5815"/>
    <w:rsid w:val="0DBA18FE"/>
    <w:rsid w:val="0DBF4B4E"/>
    <w:rsid w:val="0DCD1019"/>
    <w:rsid w:val="0DD05EE2"/>
    <w:rsid w:val="0DE01031"/>
    <w:rsid w:val="0DE05A2B"/>
    <w:rsid w:val="0E0E1F7D"/>
    <w:rsid w:val="0E6E3645"/>
    <w:rsid w:val="0E700BFD"/>
    <w:rsid w:val="0E715E49"/>
    <w:rsid w:val="0E7D7E97"/>
    <w:rsid w:val="0E9E786F"/>
    <w:rsid w:val="0EAE0E4B"/>
    <w:rsid w:val="0ED85EC8"/>
    <w:rsid w:val="0EFD24EE"/>
    <w:rsid w:val="0F1C05BC"/>
    <w:rsid w:val="0F1F58A5"/>
    <w:rsid w:val="0F24549C"/>
    <w:rsid w:val="0F2A74C4"/>
    <w:rsid w:val="0F5D461F"/>
    <w:rsid w:val="0F8D7B47"/>
    <w:rsid w:val="0FBB2874"/>
    <w:rsid w:val="0FC92877"/>
    <w:rsid w:val="1038043C"/>
    <w:rsid w:val="10552B33"/>
    <w:rsid w:val="10A27F31"/>
    <w:rsid w:val="11165C4F"/>
    <w:rsid w:val="11636FD7"/>
    <w:rsid w:val="11927058"/>
    <w:rsid w:val="11C3636C"/>
    <w:rsid w:val="12040771"/>
    <w:rsid w:val="12866113"/>
    <w:rsid w:val="128C4BBC"/>
    <w:rsid w:val="12AD6900"/>
    <w:rsid w:val="12B02CB8"/>
    <w:rsid w:val="12CB345D"/>
    <w:rsid w:val="12D469A6"/>
    <w:rsid w:val="12F032D7"/>
    <w:rsid w:val="1311271D"/>
    <w:rsid w:val="1354287C"/>
    <w:rsid w:val="13AF4F03"/>
    <w:rsid w:val="13BE4131"/>
    <w:rsid w:val="141C0605"/>
    <w:rsid w:val="14220C40"/>
    <w:rsid w:val="143F2545"/>
    <w:rsid w:val="14502EB0"/>
    <w:rsid w:val="145A043D"/>
    <w:rsid w:val="14736E66"/>
    <w:rsid w:val="14737ED1"/>
    <w:rsid w:val="147F458F"/>
    <w:rsid w:val="148E7789"/>
    <w:rsid w:val="14D958EC"/>
    <w:rsid w:val="14DF0842"/>
    <w:rsid w:val="14EA24B1"/>
    <w:rsid w:val="14FA7895"/>
    <w:rsid w:val="151B6B0E"/>
    <w:rsid w:val="15313237"/>
    <w:rsid w:val="1534169A"/>
    <w:rsid w:val="155E4C4D"/>
    <w:rsid w:val="15C03E03"/>
    <w:rsid w:val="15DF34F1"/>
    <w:rsid w:val="161C67C8"/>
    <w:rsid w:val="162419F3"/>
    <w:rsid w:val="162A25EB"/>
    <w:rsid w:val="1672458A"/>
    <w:rsid w:val="16774D91"/>
    <w:rsid w:val="167B0653"/>
    <w:rsid w:val="168E09E0"/>
    <w:rsid w:val="16900C50"/>
    <w:rsid w:val="16CB00C0"/>
    <w:rsid w:val="16FD2A55"/>
    <w:rsid w:val="17067C1A"/>
    <w:rsid w:val="17214376"/>
    <w:rsid w:val="17366761"/>
    <w:rsid w:val="173A40C6"/>
    <w:rsid w:val="17577BA6"/>
    <w:rsid w:val="177C01F0"/>
    <w:rsid w:val="17C52D61"/>
    <w:rsid w:val="17C84600"/>
    <w:rsid w:val="17CE6630"/>
    <w:rsid w:val="17F36FFF"/>
    <w:rsid w:val="18493992"/>
    <w:rsid w:val="186C1827"/>
    <w:rsid w:val="18705DA2"/>
    <w:rsid w:val="189B413F"/>
    <w:rsid w:val="189C7994"/>
    <w:rsid w:val="18C433C2"/>
    <w:rsid w:val="18C96A0F"/>
    <w:rsid w:val="18D140D3"/>
    <w:rsid w:val="18EB2C9C"/>
    <w:rsid w:val="194F6FD7"/>
    <w:rsid w:val="1954439D"/>
    <w:rsid w:val="195B14DD"/>
    <w:rsid w:val="19B01A99"/>
    <w:rsid w:val="19BC5A09"/>
    <w:rsid w:val="19C3137D"/>
    <w:rsid w:val="19E00326"/>
    <w:rsid w:val="19E215E1"/>
    <w:rsid w:val="1A2C70C8"/>
    <w:rsid w:val="1A473F02"/>
    <w:rsid w:val="1A5A6110"/>
    <w:rsid w:val="1A6E76E0"/>
    <w:rsid w:val="1A7068E3"/>
    <w:rsid w:val="1AEC640E"/>
    <w:rsid w:val="1AFF0AFE"/>
    <w:rsid w:val="1B1A7D6F"/>
    <w:rsid w:val="1B286835"/>
    <w:rsid w:val="1B49346C"/>
    <w:rsid w:val="1B4F19F8"/>
    <w:rsid w:val="1B99078D"/>
    <w:rsid w:val="1BA02EBA"/>
    <w:rsid w:val="1BC14C99"/>
    <w:rsid w:val="1BF377A4"/>
    <w:rsid w:val="1C226F03"/>
    <w:rsid w:val="1C511F67"/>
    <w:rsid w:val="1CD777BF"/>
    <w:rsid w:val="1CDC7A49"/>
    <w:rsid w:val="1D2A783B"/>
    <w:rsid w:val="1D2F6B9F"/>
    <w:rsid w:val="1D715C19"/>
    <w:rsid w:val="1D807281"/>
    <w:rsid w:val="1D890078"/>
    <w:rsid w:val="1DCD3B17"/>
    <w:rsid w:val="1DFD5129"/>
    <w:rsid w:val="1E82375A"/>
    <w:rsid w:val="1E8C452E"/>
    <w:rsid w:val="1EA23DFC"/>
    <w:rsid w:val="1EA93490"/>
    <w:rsid w:val="1EBB4EBE"/>
    <w:rsid w:val="1ECC44FA"/>
    <w:rsid w:val="1ECD18C0"/>
    <w:rsid w:val="1ECE2B65"/>
    <w:rsid w:val="1EE37234"/>
    <w:rsid w:val="1F063325"/>
    <w:rsid w:val="1F630C6D"/>
    <w:rsid w:val="1F9D2F4E"/>
    <w:rsid w:val="1FBC5DF5"/>
    <w:rsid w:val="1FBD34BE"/>
    <w:rsid w:val="1FF90588"/>
    <w:rsid w:val="1FF93EF0"/>
    <w:rsid w:val="206F3B03"/>
    <w:rsid w:val="20871047"/>
    <w:rsid w:val="20BD6CCC"/>
    <w:rsid w:val="20C3623F"/>
    <w:rsid w:val="20D21F2C"/>
    <w:rsid w:val="21087E98"/>
    <w:rsid w:val="21164E0E"/>
    <w:rsid w:val="212A1E87"/>
    <w:rsid w:val="214A1A30"/>
    <w:rsid w:val="21781212"/>
    <w:rsid w:val="2198500F"/>
    <w:rsid w:val="21AB0003"/>
    <w:rsid w:val="21B83F86"/>
    <w:rsid w:val="21F602AB"/>
    <w:rsid w:val="221178A8"/>
    <w:rsid w:val="221213CF"/>
    <w:rsid w:val="22327A92"/>
    <w:rsid w:val="226352B2"/>
    <w:rsid w:val="22756316"/>
    <w:rsid w:val="228A477E"/>
    <w:rsid w:val="229D2AD8"/>
    <w:rsid w:val="231D53A2"/>
    <w:rsid w:val="233340A2"/>
    <w:rsid w:val="236D5383"/>
    <w:rsid w:val="236D745E"/>
    <w:rsid w:val="23713F5C"/>
    <w:rsid w:val="23923A20"/>
    <w:rsid w:val="23A87E16"/>
    <w:rsid w:val="23B7504C"/>
    <w:rsid w:val="23BF2D5B"/>
    <w:rsid w:val="23E0247D"/>
    <w:rsid w:val="240E6768"/>
    <w:rsid w:val="240E783E"/>
    <w:rsid w:val="24172B97"/>
    <w:rsid w:val="24281D51"/>
    <w:rsid w:val="243A5A41"/>
    <w:rsid w:val="24571307"/>
    <w:rsid w:val="24D674D7"/>
    <w:rsid w:val="25110A2A"/>
    <w:rsid w:val="253B0B07"/>
    <w:rsid w:val="253D5631"/>
    <w:rsid w:val="25611953"/>
    <w:rsid w:val="256C0944"/>
    <w:rsid w:val="25BB0040"/>
    <w:rsid w:val="25BC18C5"/>
    <w:rsid w:val="25DE0BF1"/>
    <w:rsid w:val="25E2266C"/>
    <w:rsid w:val="261310D6"/>
    <w:rsid w:val="26446DE3"/>
    <w:rsid w:val="264B6B28"/>
    <w:rsid w:val="26564231"/>
    <w:rsid w:val="26597496"/>
    <w:rsid w:val="269669E7"/>
    <w:rsid w:val="26B7356B"/>
    <w:rsid w:val="26C92F40"/>
    <w:rsid w:val="26D7699F"/>
    <w:rsid w:val="26DC702B"/>
    <w:rsid w:val="27076517"/>
    <w:rsid w:val="271F2A46"/>
    <w:rsid w:val="2737553D"/>
    <w:rsid w:val="275B0CE7"/>
    <w:rsid w:val="27774C92"/>
    <w:rsid w:val="280B03BD"/>
    <w:rsid w:val="28121A02"/>
    <w:rsid w:val="281C69CE"/>
    <w:rsid w:val="282866EE"/>
    <w:rsid w:val="283917B1"/>
    <w:rsid w:val="28497B65"/>
    <w:rsid w:val="288548BC"/>
    <w:rsid w:val="288D78CB"/>
    <w:rsid w:val="28C52BC1"/>
    <w:rsid w:val="28DC72D7"/>
    <w:rsid w:val="29241085"/>
    <w:rsid w:val="2964062C"/>
    <w:rsid w:val="29903F97"/>
    <w:rsid w:val="29C550B9"/>
    <w:rsid w:val="2A390F94"/>
    <w:rsid w:val="2AAB7987"/>
    <w:rsid w:val="2ACD3758"/>
    <w:rsid w:val="2AD0664C"/>
    <w:rsid w:val="2AD27817"/>
    <w:rsid w:val="2AD52840"/>
    <w:rsid w:val="2B147E30"/>
    <w:rsid w:val="2B2F54F9"/>
    <w:rsid w:val="2B421ED9"/>
    <w:rsid w:val="2B54647E"/>
    <w:rsid w:val="2B7663F5"/>
    <w:rsid w:val="2B774624"/>
    <w:rsid w:val="2B781EE1"/>
    <w:rsid w:val="2BA87F3B"/>
    <w:rsid w:val="2BAC4F6C"/>
    <w:rsid w:val="2BB73B61"/>
    <w:rsid w:val="2C2A1938"/>
    <w:rsid w:val="2C2C73FB"/>
    <w:rsid w:val="2C575639"/>
    <w:rsid w:val="2C7A72BE"/>
    <w:rsid w:val="2C9A7D75"/>
    <w:rsid w:val="2CC17412"/>
    <w:rsid w:val="2D016192"/>
    <w:rsid w:val="2D2E4048"/>
    <w:rsid w:val="2D3070A7"/>
    <w:rsid w:val="2D4C7742"/>
    <w:rsid w:val="2D5F556E"/>
    <w:rsid w:val="2D83129D"/>
    <w:rsid w:val="2D947A8A"/>
    <w:rsid w:val="2DCA2A28"/>
    <w:rsid w:val="2DFC209E"/>
    <w:rsid w:val="2E0200B9"/>
    <w:rsid w:val="2E7117CD"/>
    <w:rsid w:val="2E755069"/>
    <w:rsid w:val="2E9976CE"/>
    <w:rsid w:val="2EA63495"/>
    <w:rsid w:val="2EFD5FEE"/>
    <w:rsid w:val="2F1B4BFC"/>
    <w:rsid w:val="2F3C1CF4"/>
    <w:rsid w:val="2F401D3C"/>
    <w:rsid w:val="2F544078"/>
    <w:rsid w:val="2F576F73"/>
    <w:rsid w:val="2F5B24E1"/>
    <w:rsid w:val="2F9A0F2C"/>
    <w:rsid w:val="2FA95C88"/>
    <w:rsid w:val="2FB9282A"/>
    <w:rsid w:val="2FF143E4"/>
    <w:rsid w:val="300264A9"/>
    <w:rsid w:val="30117BD5"/>
    <w:rsid w:val="3041370F"/>
    <w:rsid w:val="30524724"/>
    <w:rsid w:val="3056588B"/>
    <w:rsid w:val="30601421"/>
    <w:rsid w:val="307E36A0"/>
    <w:rsid w:val="307F7FC8"/>
    <w:rsid w:val="30A91C05"/>
    <w:rsid w:val="30C33D63"/>
    <w:rsid w:val="30C73E64"/>
    <w:rsid w:val="30CE282F"/>
    <w:rsid w:val="30D220F0"/>
    <w:rsid w:val="30F95032"/>
    <w:rsid w:val="30FA6F0D"/>
    <w:rsid w:val="31195213"/>
    <w:rsid w:val="312B50A3"/>
    <w:rsid w:val="31315B2B"/>
    <w:rsid w:val="319D72B9"/>
    <w:rsid w:val="31AD55A8"/>
    <w:rsid w:val="31CF4AB1"/>
    <w:rsid w:val="31DB0525"/>
    <w:rsid w:val="31E0551B"/>
    <w:rsid w:val="31E22A36"/>
    <w:rsid w:val="31E87920"/>
    <w:rsid w:val="3238172D"/>
    <w:rsid w:val="323900C4"/>
    <w:rsid w:val="32453A27"/>
    <w:rsid w:val="324C1127"/>
    <w:rsid w:val="3263064A"/>
    <w:rsid w:val="327F64D7"/>
    <w:rsid w:val="32A43132"/>
    <w:rsid w:val="32AC0C06"/>
    <w:rsid w:val="32CD4500"/>
    <w:rsid w:val="32EB591A"/>
    <w:rsid w:val="332E3A59"/>
    <w:rsid w:val="33344EF5"/>
    <w:rsid w:val="33524E07"/>
    <w:rsid w:val="336F2FFF"/>
    <w:rsid w:val="33A442FA"/>
    <w:rsid w:val="33A531BF"/>
    <w:rsid w:val="33AD0E22"/>
    <w:rsid w:val="33B2201D"/>
    <w:rsid w:val="33F35F70"/>
    <w:rsid w:val="340B2060"/>
    <w:rsid w:val="34473024"/>
    <w:rsid w:val="34B14942"/>
    <w:rsid w:val="34DC3393"/>
    <w:rsid w:val="34EE580E"/>
    <w:rsid w:val="3537750C"/>
    <w:rsid w:val="3537798C"/>
    <w:rsid w:val="355D23D3"/>
    <w:rsid w:val="3569153F"/>
    <w:rsid w:val="35C13FC9"/>
    <w:rsid w:val="36056AEC"/>
    <w:rsid w:val="36107446"/>
    <w:rsid w:val="36252F22"/>
    <w:rsid w:val="364257B6"/>
    <w:rsid w:val="36476BB1"/>
    <w:rsid w:val="36637EBD"/>
    <w:rsid w:val="3687248F"/>
    <w:rsid w:val="36C47FB2"/>
    <w:rsid w:val="36E71187"/>
    <w:rsid w:val="36EF31E5"/>
    <w:rsid w:val="3733163E"/>
    <w:rsid w:val="375509F3"/>
    <w:rsid w:val="378A0ED5"/>
    <w:rsid w:val="3796181C"/>
    <w:rsid w:val="37BC625A"/>
    <w:rsid w:val="37BE35FD"/>
    <w:rsid w:val="37C05979"/>
    <w:rsid w:val="37EA5922"/>
    <w:rsid w:val="37F95876"/>
    <w:rsid w:val="381C3560"/>
    <w:rsid w:val="38276B93"/>
    <w:rsid w:val="382B7FF4"/>
    <w:rsid w:val="383B2EA0"/>
    <w:rsid w:val="387470FD"/>
    <w:rsid w:val="38797524"/>
    <w:rsid w:val="38AC3431"/>
    <w:rsid w:val="38B634DA"/>
    <w:rsid w:val="38BD1B07"/>
    <w:rsid w:val="38DB1F8D"/>
    <w:rsid w:val="38FF06E9"/>
    <w:rsid w:val="392A1E4D"/>
    <w:rsid w:val="392F2E16"/>
    <w:rsid w:val="3988312B"/>
    <w:rsid w:val="39C06618"/>
    <w:rsid w:val="39C92F68"/>
    <w:rsid w:val="39E00529"/>
    <w:rsid w:val="39E210F9"/>
    <w:rsid w:val="39EE5CF0"/>
    <w:rsid w:val="3A0B64A7"/>
    <w:rsid w:val="3A205484"/>
    <w:rsid w:val="3A253F0B"/>
    <w:rsid w:val="3A334B0F"/>
    <w:rsid w:val="3A574DDA"/>
    <w:rsid w:val="3AD3075A"/>
    <w:rsid w:val="3AF74C02"/>
    <w:rsid w:val="3B0B1FFB"/>
    <w:rsid w:val="3B304812"/>
    <w:rsid w:val="3B6424B1"/>
    <w:rsid w:val="3B6C4FF4"/>
    <w:rsid w:val="3BA552DB"/>
    <w:rsid w:val="3BE43866"/>
    <w:rsid w:val="3C0059A5"/>
    <w:rsid w:val="3C134E78"/>
    <w:rsid w:val="3C3C0F95"/>
    <w:rsid w:val="3C404F3B"/>
    <w:rsid w:val="3C8700A1"/>
    <w:rsid w:val="3C964B49"/>
    <w:rsid w:val="3CBF5160"/>
    <w:rsid w:val="3CCA02B2"/>
    <w:rsid w:val="3CD92C87"/>
    <w:rsid w:val="3D192669"/>
    <w:rsid w:val="3D2739F3"/>
    <w:rsid w:val="3D2B32F0"/>
    <w:rsid w:val="3D7013DE"/>
    <w:rsid w:val="3DC375E2"/>
    <w:rsid w:val="3DC92AF7"/>
    <w:rsid w:val="3DEC7285"/>
    <w:rsid w:val="3DF6345D"/>
    <w:rsid w:val="3E012EC9"/>
    <w:rsid w:val="3E221BFC"/>
    <w:rsid w:val="3E29379B"/>
    <w:rsid w:val="3E2A3D27"/>
    <w:rsid w:val="3E2B5515"/>
    <w:rsid w:val="3E4D4F28"/>
    <w:rsid w:val="3E52684D"/>
    <w:rsid w:val="3E7862DA"/>
    <w:rsid w:val="3E7C6108"/>
    <w:rsid w:val="3E8219F9"/>
    <w:rsid w:val="3EB662F4"/>
    <w:rsid w:val="3EBC0522"/>
    <w:rsid w:val="3EE13701"/>
    <w:rsid w:val="3EF21DDE"/>
    <w:rsid w:val="3EF72233"/>
    <w:rsid w:val="3F0D1175"/>
    <w:rsid w:val="3F1A4BB3"/>
    <w:rsid w:val="3F443D4C"/>
    <w:rsid w:val="3F447B96"/>
    <w:rsid w:val="3FBD063E"/>
    <w:rsid w:val="3FE67B95"/>
    <w:rsid w:val="3FEF1428"/>
    <w:rsid w:val="400A4A04"/>
    <w:rsid w:val="400C2AA0"/>
    <w:rsid w:val="40192BA6"/>
    <w:rsid w:val="402E32EA"/>
    <w:rsid w:val="404E74E8"/>
    <w:rsid w:val="404F74B5"/>
    <w:rsid w:val="405A7C3B"/>
    <w:rsid w:val="405E58AD"/>
    <w:rsid w:val="40785F7F"/>
    <w:rsid w:val="40BB71FC"/>
    <w:rsid w:val="40FB141E"/>
    <w:rsid w:val="412941D3"/>
    <w:rsid w:val="414D154E"/>
    <w:rsid w:val="41766EA9"/>
    <w:rsid w:val="42084A97"/>
    <w:rsid w:val="420B2C4F"/>
    <w:rsid w:val="420E44E4"/>
    <w:rsid w:val="42291D64"/>
    <w:rsid w:val="42550A18"/>
    <w:rsid w:val="429D496A"/>
    <w:rsid w:val="42D26773"/>
    <w:rsid w:val="42D40179"/>
    <w:rsid w:val="42F473A1"/>
    <w:rsid w:val="431B548A"/>
    <w:rsid w:val="43233EF8"/>
    <w:rsid w:val="436C6603"/>
    <w:rsid w:val="43B9736F"/>
    <w:rsid w:val="441E62C0"/>
    <w:rsid w:val="44843DE4"/>
    <w:rsid w:val="449B6928"/>
    <w:rsid w:val="44C837ED"/>
    <w:rsid w:val="44CE129B"/>
    <w:rsid w:val="44FA2AE3"/>
    <w:rsid w:val="45324B3C"/>
    <w:rsid w:val="45325D14"/>
    <w:rsid w:val="453A13F5"/>
    <w:rsid w:val="455B4581"/>
    <w:rsid w:val="456A6B72"/>
    <w:rsid w:val="456F6138"/>
    <w:rsid w:val="45716BD4"/>
    <w:rsid w:val="45811C7C"/>
    <w:rsid w:val="45906116"/>
    <w:rsid w:val="459E43BE"/>
    <w:rsid w:val="45A100BA"/>
    <w:rsid w:val="45D06DFA"/>
    <w:rsid w:val="45FD6DC0"/>
    <w:rsid w:val="460C79AA"/>
    <w:rsid w:val="462F5277"/>
    <w:rsid w:val="465901DB"/>
    <w:rsid w:val="468B3EFB"/>
    <w:rsid w:val="46E82B07"/>
    <w:rsid w:val="46EB5A91"/>
    <w:rsid w:val="470A6193"/>
    <w:rsid w:val="471F573B"/>
    <w:rsid w:val="47385210"/>
    <w:rsid w:val="473E02B7"/>
    <w:rsid w:val="47555600"/>
    <w:rsid w:val="47670698"/>
    <w:rsid w:val="477B4A45"/>
    <w:rsid w:val="4792415F"/>
    <w:rsid w:val="47C35FDC"/>
    <w:rsid w:val="47CF53B3"/>
    <w:rsid w:val="47D64E3B"/>
    <w:rsid w:val="47D97FDF"/>
    <w:rsid w:val="47DA49FF"/>
    <w:rsid w:val="47DC4F5C"/>
    <w:rsid w:val="482C04E4"/>
    <w:rsid w:val="483D2FCF"/>
    <w:rsid w:val="48447EEA"/>
    <w:rsid w:val="48527EBD"/>
    <w:rsid w:val="48A169EB"/>
    <w:rsid w:val="48B40671"/>
    <w:rsid w:val="48B44D68"/>
    <w:rsid w:val="48C20A74"/>
    <w:rsid w:val="48C84847"/>
    <w:rsid w:val="48F543F6"/>
    <w:rsid w:val="49025314"/>
    <w:rsid w:val="496821C2"/>
    <w:rsid w:val="49756D01"/>
    <w:rsid w:val="49956188"/>
    <w:rsid w:val="49976B91"/>
    <w:rsid w:val="499B5738"/>
    <w:rsid w:val="499F244D"/>
    <w:rsid w:val="49A3420A"/>
    <w:rsid w:val="49B726B5"/>
    <w:rsid w:val="49D338FF"/>
    <w:rsid w:val="49DD73A3"/>
    <w:rsid w:val="4A0A37CC"/>
    <w:rsid w:val="4A46010A"/>
    <w:rsid w:val="4A973F3F"/>
    <w:rsid w:val="4AB34F69"/>
    <w:rsid w:val="4AD309EB"/>
    <w:rsid w:val="4ADC6A2A"/>
    <w:rsid w:val="4AF96BC7"/>
    <w:rsid w:val="4B0D2F4F"/>
    <w:rsid w:val="4B320FE1"/>
    <w:rsid w:val="4B5A416B"/>
    <w:rsid w:val="4B5B0856"/>
    <w:rsid w:val="4B6E199C"/>
    <w:rsid w:val="4B75001F"/>
    <w:rsid w:val="4B862A85"/>
    <w:rsid w:val="4B9E1324"/>
    <w:rsid w:val="4BA51947"/>
    <w:rsid w:val="4C1B5F58"/>
    <w:rsid w:val="4C6C69A2"/>
    <w:rsid w:val="4C7D0898"/>
    <w:rsid w:val="4CAC4232"/>
    <w:rsid w:val="4CAF0EB6"/>
    <w:rsid w:val="4CDF294E"/>
    <w:rsid w:val="4CE17D3A"/>
    <w:rsid w:val="4CEF36E2"/>
    <w:rsid w:val="4CEF4DC5"/>
    <w:rsid w:val="4D307987"/>
    <w:rsid w:val="4D8409ED"/>
    <w:rsid w:val="4DC66910"/>
    <w:rsid w:val="4DFF04B8"/>
    <w:rsid w:val="4E257655"/>
    <w:rsid w:val="4E8E7871"/>
    <w:rsid w:val="4E8F4DD8"/>
    <w:rsid w:val="4F372380"/>
    <w:rsid w:val="4F372FFB"/>
    <w:rsid w:val="4F3E65D1"/>
    <w:rsid w:val="4F5135D3"/>
    <w:rsid w:val="4FA21F7E"/>
    <w:rsid w:val="4FA44E51"/>
    <w:rsid w:val="4FAC7D88"/>
    <w:rsid w:val="4FE427F6"/>
    <w:rsid w:val="501E446D"/>
    <w:rsid w:val="5025116D"/>
    <w:rsid w:val="503B36ED"/>
    <w:rsid w:val="50F57475"/>
    <w:rsid w:val="51065AE1"/>
    <w:rsid w:val="51517373"/>
    <w:rsid w:val="51DD3ECC"/>
    <w:rsid w:val="520F24BE"/>
    <w:rsid w:val="52395ECD"/>
    <w:rsid w:val="52720CCF"/>
    <w:rsid w:val="52770B21"/>
    <w:rsid w:val="528B0128"/>
    <w:rsid w:val="52946FDD"/>
    <w:rsid w:val="52B0251A"/>
    <w:rsid w:val="52C10D75"/>
    <w:rsid w:val="52C8137C"/>
    <w:rsid w:val="52C84ED8"/>
    <w:rsid w:val="530C245B"/>
    <w:rsid w:val="531240EC"/>
    <w:rsid w:val="532A657B"/>
    <w:rsid w:val="533662E6"/>
    <w:rsid w:val="536123B8"/>
    <w:rsid w:val="53773FC6"/>
    <w:rsid w:val="5389613F"/>
    <w:rsid w:val="53C02053"/>
    <w:rsid w:val="53C27FF8"/>
    <w:rsid w:val="53EC6677"/>
    <w:rsid w:val="53EE5269"/>
    <w:rsid w:val="53F748D9"/>
    <w:rsid w:val="540A22A3"/>
    <w:rsid w:val="54187CF7"/>
    <w:rsid w:val="541A1E5C"/>
    <w:rsid w:val="54400E9E"/>
    <w:rsid w:val="549E1A80"/>
    <w:rsid w:val="54C658F4"/>
    <w:rsid w:val="54D4021D"/>
    <w:rsid w:val="54EC0EB0"/>
    <w:rsid w:val="54F60CA9"/>
    <w:rsid w:val="550B2A65"/>
    <w:rsid w:val="550C4BD7"/>
    <w:rsid w:val="55322ADD"/>
    <w:rsid w:val="554C1D56"/>
    <w:rsid w:val="55501C44"/>
    <w:rsid w:val="55572986"/>
    <w:rsid w:val="558C5857"/>
    <w:rsid w:val="559E63C4"/>
    <w:rsid w:val="55C062DD"/>
    <w:rsid w:val="55C6784D"/>
    <w:rsid w:val="55CF1235"/>
    <w:rsid w:val="55E42A2F"/>
    <w:rsid w:val="563A706C"/>
    <w:rsid w:val="565340FA"/>
    <w:rsid w:val="566021E5"/>
    <w:rsid w:val="566742D0"/>
    <w:rsid w:val="566E5D97"/>
    <w:rsid w:val="568F3BBE"/>
    <w:rsid w:val="56CB143B"/>
    <w:rsid w:val="56D666EA"/>
    <w:rsid w:val="56F30C69"/>
    <w:rsid w:val="5723343E"/>
    <w:rsid w:val="573D7EAB"/>
    <w:rsid w:val="57884A60"/>
    <w:rsid w:val="578C5AC2"/>
    <w:rsid w:val="57D43C91"/>
    <w:rsid w:val="57F34C93"/>
    <w:rsid w:val="57F73BA8"/>
    <w:rsid w:val="580730BD"/>
    <w:rsid w:val="581A69C5"/>
    <w:rsid w:val="586E75B0"/>
    <w:rsid w:val="59195206"/>
    <w:rsid w:val="59214E66"/>
    <w:rsid w:val="59353454"/>
    <w:rsid w:val="59377BB6"/>
    <w:rsid w:val="595960A2"/>
    <w:rsid w:val="5960230F"/>
    <w:rsid w:val="597D1543"/>
    <w:rsid w:val="5A152D9F"/>
    <w:rsid w:val="5A2D141A"/>
    <w:rsid w:val="5A2F2CC8"/>
    <w:rsid w:val="5A511A56"/>
    <w:rsid w:val="5AED0E31"/>
    <w:rsid w:val="5B015153"/>
    <w:rsid w:val="5B140334"/>
    <w:rsid w:val="5B820997"/>
    <w:rsid w:val="5B921865"/>
    <w:rsid w:val="5BA26962"/>
    <w:rsid w:val="5BC14AA9"/>
    <w:rsid w:val="5BE06819"/>
    <w:rsid w:val="5BEB0F2E"/>
    <w:rsid w:val="5BFC01CE"/>
    <w:rsid w:val="5C10702D"/>
    <w:rsid w:val="5C152601"/>
    <w:rsid w:val="5C591F03"/>
    <w:rsid w:val="5C60526B"/>
    <w:rsid w:val="5C826CB4"/>
    <w:rsid w:val="5C8A1B2F"/>
    <w:rsid w:val="5C8B76A2"/>
    <w:rsid w:val="5C9F2411"/>
    <w:rsid w:val="5C9F4496"/>
    <w:rsid w:val="5CA5530D"/>
    <w:rsid w:val="5CA729E8"/>
    <w:rsid w:val="5CB81A20"/>
    <w:rsid w:val="5CBA753D"/>
    <w:rsid w:val="5D704AEA"/>
    <w:rsid w:val="5D914004"/>
    <w:rsid w:val="5DB13D2E"/>
    <w:rsid w:val="5DD57691"/>
    <w:rsid w:val="5DE819D3"/>
    <w:rsid w:val="5E1C6D9E"/>
    <w:rsid w:val="5E260FDA"/>
    <w:rsid w:val="5F267CE1"/>
    <w:rsid w:val="5F561B72"/>
    <w:rsid w:val="5F714566"/>
    <w:rsid w:val="5F740DDC"/>
    <w:rsid w:val="5F944AC0"/>
    <w:rsid w:val="5FD60A2F"/>
    <w:rsid w:val="5FE7722C"/>
    <w:rsid w:val="60367925"/>
    <w:rsid w:val="60580B2E"/>
    <w:rsid w:val="606007BB"/>
    <w:rsid w:val="60730CC5"/>
    <w:rsid w:val="60907AF2"/>
    <w:rsid w:val="60A21A11"/>
    <w:rsid w:val="60AC7F66"/>
    <w:rsid w:val="60D44D2E"/>
    <w:rsid w:val="60D72F70"/>
    <w:rsid w:val="60E21C4E"/>
    <w:rsid w:val="60E94FB1"/>
    <w:rsid w:val="61360A58"/>
    <w:rsid w:val="613A2BBE"/>
    <w:rsid w:val="61447D35"/>
    <w:rsid w:val="61532A8F"/>
    <w:rsid w:val="61AB6D66"/>
    <w:rsid w:val="61BF10D9"/>
    <w:rsid w:val="61D500F1"/>
    <w:rsid w:val="61DA3D4C"/>
    <w:rsid w:val="61E9483C"/>
    <w:rsid w:val="61F44C3C"/>
    <w:rsid w:val="62592365"/>
    <w:rsid w:val="625D388F"/>
    <w:rsid w:val="62996202"/>
    <w:rsid w:val="62AA33F3"/>
    <w:rsid w:val="62AC22DC"/>
    <w:rsid w:val="62AD3EF5"/>
    <w:rsid w:val="62E26951"/>
    <w:rsid w:val="62F27D0B"/>
    <w:rsid w:val="635B0FD0"/>
    <w:rsid w:val="637833E8"/>
    <w:rsid w:val="638A7AC5"/>
    <w:rsid w:val="63D0111D"/>
    <w:rsid w:val="63F766DF"/>
    <w:rsid w:val="64422EE1"/>
    <w:rsid w:val="645B3DFE"/>
    <w:rsid w:val="6475337E"/>
    <w:rsid w:val="64D23FBA"/>
    <w:rsid w:val="64E45EF7"/>
    <w:rsid w:val="64EE1028"/>
    <w:rsid w:val="65153B3A"/>
    <w:rsid w:val="6526661E"/>
    <w:rsid w:val="65395512"/>
    <w:rsid w:val="654237C0"/>
    <w:rsid w:val="65836795"/>
    <w:rsid w:val="65847925"/>
    <w:rsid w:val="65A232BE"/>
    <w:rsid w:val="65F938CF"/>
    <w:rsid w:val="6634672C"/>
    <w:rsid w:val="665039BA"/>
    <w:rsid w:val="66683B5D"/>
    <w:rsid w:val="666A2CF6"/>
    <w:rsid w:val="66801701"/>
    <w:rsid w:val="668C6506"/>
    <w:rsid w:val="6691014E"/>
    <w:rsid w:val="669B41D4"/>
    <w:rsid w:val="669D6E2A"/>
    <w:rsid w:val="66AB7019"/>
    <w:rsid w:val="66C87CCE"/>
    <w:rsid w:val="66D2687C"/>
    <w:rsid w:val="66D3249D"/>
    <w:rsid w:val="66F81DD8"/>
    <w:rsid w:val="67114D7A"/>
    <w:rsid w:val="6736787B"/>
    <w:rsid w:val="677435B2"/>
    <w:rsid w:val="67EF75F1"/>
    <w:rsid w:val="683153DE"/>
    <w:rsid w:val="68814582"/>
    <w:rsid w:val="6894362F"/>
    <w:rsid w:val="68B70793"/>
    <w:rsid w:val="68B82EC4"/>
    <w:rsid w:val="69124F16"/>
    <w:rsid w:val="694A5205"/>
    <w:rsid w:val="694C640B"/>
    <w:rsid w:val="69506634"/>
    <w:rsid w:val="69CD5C14"/>
    <w:rsid w:val="69CF0D33"/>
    <w:rsid w:val="69FF1C7A"/>
    <w:rsid w:val="6A465C4F"/>
    <w:rsid w:val="6A5C6F39"/>
    <w:rsid w:val="6A6C10E4"/>
    <w:rsid w:val="6A8E035E"/>
    <w:rsid w:val="6A9E2C97"/>
    <w:rsid w:val="6AAD65A8"/>
    <w:rsid w:val="6ADE3AEC"/>
    <w:rsid w:val="6AE17838"/>
    <w:rsid w:val="6AE94F70"/>
    <w:rsid w:val="6AF01018"/>
    <w:rsid w:val="6AF16B07"/>
    <w:rsid w:val="6B2E0720"/>
    <w:rsid w:val="6B736773"/>
    <w:rsid w:val="6B9946B3"/>
    <w:rsid w:val="6B9B0E35"/>
    <w:rsid w:val="6BB44940"/>
    <w:rsid w:val="6BD43713"/>
    <w:rsid w:val="6BEC7A32"/>
    <w:rsid w:val="6C044D7B"/>
    <w:rsid w:val="6C490118"/>
    <w:rsid w:val="6C4A2873"/>
    <w:rsid w:val="6C662189"/>
    <w:rsid w:val="6C7007C7"/>
    <w:rsid w:val="6C8D76E7"/>
    <w:rsid w:val="6D47738B"/>
    <w:rsid w:val="6D840894"/>
    <w:rsid w:val="6DD97F2E"/>
    <w:rsid w:val="6DE76850"/>
    <w:rsid w:val="6E0E77D7"/>
    <w:rsid w:val="6E1B3B4D"/>
    <w:rsid w:val="6E3522FC"/>
    <w:rsid w:val="6E3829E0"/>
    <w:rsid w:val="6E487C69"/>
    <w:rsid w:val="6E78675D"/>
    <w:rsid w:val="6E7B3BB7"/>
    <w:rsid w:val="6E8D64B2"/>
    <w:rsid w:val="6E9248C1"/>
    <w:rsid w:val="6EB071F8"/>
    <w:rsid w:val="6EED64DD"/>
    <w:rsid w:val="6EF966EE"/>
    <w:rsid w:val="6F1F7BCE"/>
    <w:rsid w:val="6F3E2352"/>
    <w:rsid w:val="6F4E40D0"/>
    <w:rsid w:val="6F672557"/>
    <w:rsid w:val="6F6D491A"/>
    <w:rsid w:val="6F6E71AF"/>
    <w:rsid w:val="6F801480"/>
    <w:rsid w:val="6F8E535C"/>
    <w:rsid w:val="6F91779F"/>
    <w:rsid w:val="6FA868FF"/>
    <w:rsid w:val="6FB20BD4"/>
    <w:rsid w:val="6FB650F7"/>
    <w:rsid w:val="6FBA59BE"/>
    <w:rsid w:val="70170BD7"/>
    <w:rsid w:val="701B6B38"/>
    <w:rsid w:val="70296B3E"/>
    <w:rsid w:val="702B51F4"/>
    <w:rsid w:val="703F2826"/>
    <w:rsid w:val="7049612F"/>
    <w:rsid w:val="70611204"/>
    <w:rsid w:val="708E66BB"/>
    <w:rsid w:val="70A65A93"/>
    <w:rsid w:val="70C96D8D"/>
    <w:rsid w:val="71076976"/>
    <w:rsid w:val="71090B82"/>
    <w:rsid w:val="71357785"/>
    <w:rsid w:val="719E5F2F"/>
    <w:rsid w:val="71B42DA0"/>
    <w:rsid w:val="71BD73C1"/>
    <w:rsid w:val="71C371DA"/>
    <w:rsid w:val="71E17ABD"/>
    <w:rsid w:val="71E436D3"/>
    <w:rsid w:val="723C7CB6"/>
    <w:rsid w:val="723D7436"/>
    <w:rsid w:val="725E04C9"/>
    <w:rsid w:val="7260747D"/>
    <w:rsid w:val="72C708B1"/>
    <w:rsid w:val="72E4193A"/>
    <w:rsid w:val="72F45A6B"/>
    <w:rsid w:val="7306587D"/>
    <w:rsid w:val="73143CE3"/>
    <w:rsid w:val="73445350"/>
    <w:rsid w:val="735F4F8D"/>
    <w:rsid w:val="73656534"/>
    <w:rsid w:val="7399264A"/>
    <w:rsid w:val="73AC2EBA"/>
    <w:rsid w:val="73BB6668"/>
    <w:rsid w:val="73DE488E"/>
    <w:rsid w:val="73EE4C15"/>
    <w:rsid w:val="73FA644C"/>
    <w:rsid w:val="740A562F"/>
    <w:rsid w:val="743261FE"/>
    <w:rsid w:val="746B053F"/>
    <w:rsid w:val="74962C31"/>
    <w:rsid w:val="74A54C22"/>
    <w:rsid w:val="74A72014"/>
    <w:rsid w:val="74C92ADB"/>
    <w:rsid w:val="74FA2C30"/>
    <w:rsid w:val="75013D14"/>
    <w:rsid w:val="75057917"/>
    <w:rsid w:val="75414D49"/>
    <w:rsid w:val="754D5C4B"/>
    <w:rsid w:val="757D156E"/>
    <w:rsid w:val="758341DA"/>
    <w:rsid w:val="75A76E86"/>
    <w:rsid w:val="75B70BF6"/>
    <w:rsid w:val="75B75058"/>
    <w:rsid w:val="75BE2DB1"/>
    <w:rsid w:val="75DB647D"/>
    <w:rsid w:val="75FE0A8D"/>
    <w:rsid w:val="76164029"/>
    <w:rsid w:val="76660BA5"/>
    <w:rsid w:val="76760FFA"/>
    <w:rsid w:val="767B0330"/>
    <w:rsid w:val="76984A3E"/>
    <w:rsid w:val="76C240A7"/>
    <w:rsid w:val="76C578F3"/>
    <w:rsid w:val="76F23320"/>
    <w:rsid w:val="77170A12"/>
    <w:rsid w:val="77316C41"/>
    <w:rsid w:val="774279C4"/>
    <w:rsid w:val="7744529E"/>
    <w:rsid w:val="774629E1"/>
    <w:rsid w:val="774D54F1"/>
    <w:rsid w:val="775246B7"/>
    <w:rsid w:val="7762504C"/>
    <w:rsid w:val="77877F55"/>
    <w:rsid w:val="77B35142"/>
    <w:rsid w:val="77C22DC7"/>
    <w:rsid w:val="77F263D0"/>
    <w:rsid w:val="77F34109"/>
    <w:rsid w:val="7804209D"/>
    <w:rsid w:val="781E69D1"/>
    <w:rsid w:val="787D7723"/>
    <w:rsid w:val="78C603B3"/>
    <w:rsid w:val="78CA7952"/>
    <w:rsid w:val="78CF47C5"/>
    <w:rsid w:val="79100ED8"/>
    <w:rsid w:val="79624F5F"/>
    <w:rsid w:val="79711576"/>
    <w:rsid w:val="799358F9"/>
    <w:rsid w:val="79BC4EE7"/>
    <w:rsid w:val="79C418EE"/>
    <w:rsid w:val="79D313F3"/>
    <w:rsid w:val="79D43D27"/>
    <w:rsid w:val="79ED2614"/>
    <w:rsid w:val="79FF6961"/>
    <w:rsid w:val="7A0128FA"/>
    <w:rsid w:val="7A263B6B"/>
    <w:rsid w:val="7A911ED0"/>
    <w:rsid w:val="7A97325F"/>
    <w:rsid w:val="7AF46346"/>
    <w:rsid w:val="7B0F5EBF"/>
    <w:rsid w:val="7B130FB9"/>
    <w:rsid w:val="7B1F572E"/>
    <w:rsid w:val="7B3E0587"/>
    <w:rsid w:val="7B7F53F0"/>
    <w:rsid w:val="7B86155F"/>
    <w:rsid w:val="7B8637EC"/>
    <w:rsid w:val="7B863FB8"/>
    <w:rsid w:val="7BE34428"/>
    <w:rsid w:val="7BF144D3"/>
    <w:rsid w:val="7BF64EDE"/>
    <w:rsid w:val="7BFD5EEC"/>
    <w:rsid w:val="7C02441A"/>
    <w:rsid w:val="7C374259"/>
    <w:rsid w:val="7C3B3441"/>
    <w:rsid w:val="7C400C1E"/>
    <w:rsid w:val="7C4A0E9C"/>
    <w:rsid w:val="7C7954B2"/>
    <w:rsid w:val="7CBF75F4"/>
    <w:rsid w:val="7CC11EE0"/>
    <w:rsid w:val="7CCD23E7"/>
    <w:rsid w:val="7D085233"/>
    <w:rsid w:val="7D231D76"/>
    <w:rsid w:val="7D3F532D"/>
    <w:rsid w:val="7D424F74"/>
    <w:rsid w:val="7D774AD7"/>
    <w:rsid w:val="7D7D04EA"/>
    <w:rsid w:val="7D9A4B31"/>
    <w:rsid w:val="7D9D762B"/>
    <w:rsid w:val="7DA468F9"/>
    <w:rsid w:val="7DA63D2C"/>
    <w:rsid w:val="7DAB5AC1"/>
    <w:rsid w:val="7DB42E1E"/>
    <w:rsid w:val="7DC90D2D"/>
    <w:rsid w:val="7DD11708"/>
    <w:rsid w:val="7E2F667A"/>
    <w:rsid w:val="7E346606"/>
    <w:rsid w:val="7E5B1CE9"/>
    <w:rsid w:val="7E6867FD"/>
    <w:rsid w:val="7E920DB2"/>
    <w:rsid w:val="7E9A1721"/>
    <w:rsid w:val="7EBD579E"/>
    <w:rsid w:val="7EC167BD"/>
    <w:rsid w:val="7EC429EF"/>
    <w:rsid w:val="7ED00AED"/>
    <w:rsid w:val="7F272D9E"/>
    <w:rsid w:val="7F471DFC"/>
    <w:rsid w:val="7F585EF9"/>
    <w:rsid w:val="7F7338C5"/>
    <w:rsid w:val="7F86598A"/>
    <w:rsid w:val="7FB56661"/>
    <w:rsid w:val="7FB769E4"/>
    <w:rsid w:val="7FE00FC4"/>
    <w:rsid w:val="7FE831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1"/>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val="0"/>
      <w:keepLines/>
      <w:spacing w:line="360" w:lineRule="auto"/>
      <w:jc w:val="left"/>
      <w:outlineLvl w:val="3"/>
    </w:pPr>
    <w:rPr>
      <w:rFonts w:ascii="Cambria" w:hAnsi="Cambria" w:eastAsia="宋体"/>
      <w:b/>
      <w:bCs/>
      <w:sz w:val="21"/>
      <w:szCs w:val="28"/>
    </w:rPr>
  </w:style>
  <w:style w:type="paragraph" w:styleId="6">
    <w:name w:val="heading 5"/>
    <w:basedOn w:val="1"/>
    <w:next w:val="7"/>
    <w:link w:val="92"/>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spacing w:before="240" w:after="64" w:line="317" w:lineRule="auto"/>
      <w:outlineLvl w:val="5"/>
    </w:pPr>
    <w:rPr>
      <w:rFonts w:ascii="Cambria" w:hAnsi="Cambria" w:eastAsia="宋体" w:cs="Times New Roman"/>
      <w:b/>
      <w:bCs/>
      <w:sz w:val="24"/>
    </w:rPr>
  </w:style>
  <w:style w:type="paragraph" w:styleId="9">
    <w:name w:val="heading 7"/>
    <w:basedOn w:val="1"/>
    <w:next w:val="1"/>
    <w:link w:val="66"/>
    <w:qFormat/>
    <w:uiPriority w:val="0"/>
    <w:pPr>
      <w:keepNext/>
      <w:keepLines/>
      <w:spacing w:before="240" w:after="64" w:line="317" w:lineRule="auto"/>
      <w:outlineLvl w:val="6"/>
    </w:pPr>
    <w:rPr>
      <w:rFonts w:ascii="Calibri" w:hAnsi="Calibri" w:eastAsia="宋体" w:cs="Times New Roman"/>
      <w:b/>
      <w:bCs/>
      <w:sz w:val="24"/>
    </w:rPr>
  </w:style>
  <w:style w:type="paragraph" w:styleId="10">
    <w:name w:val="heading 8"/>
    <w:basedOn w:val="1"/>
    <w:next w:val="1"/>
    <w:link w:val="93"/>
    <w:qFormat/>
    <w:uiPriority w:val="0"/>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8"/>
    <w:qFormat/>
    <w:uiPriority w:val="0"/>
    <w:pPr>
      <w:keepNext/>
      <w:keepLines/>
      <w:spacing w:before="240" w:after="64" w:line="317" w:lineRule="auto"/>
      <w:outlineLvl w:val="8"/>
    </w:pPr>
    <w:rPr>
      <w:rFonts w:ascii="Cambria" w:hAnsi="Cambria" w:eastAsia="宋体" w:cs="Times New Roman"/>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69"/>
    <w:qFormat/>
    <w:uiPriority w:val="0"/>
    <w:pPr>
      <w:shd w:val="clear" w:color="auto" w:fill="000080"/>
    </w:pPr>
    <w:rPr>
      <w:rFonts w:ascii="Calibri" w:hAnsi="Calibri" w:eastAsia="宋体" w:cs="Times New Roman"/>
      <w:kern w:val="0"/>
      <w:sz w:val="20"/>
      <w:shd w:val="clear" w:color="auto" w:fill="000080"/>
    </w:rPr>
  </w:style>
  <w:style w:type="paragraph" w:styleId="16">
    <w:name w:val="annotation text"/>
    <w:basedOn w:val="1"/>
    <w:link w:val="94"/>
    <w:qFormat/>
    <w:uiPriority w:val="0"/>
    <w:pPr>
      <w:jc w:val="left"/>
    </w:pPr>
  </w:style>
  <w:style w:type="paragraph" w:styleId="17">
    <w:name w:val="Body Text 3"/>
    <w:basedOn w:val="1"/>
    <w:link w:val="95"/>
    <w:qFormat/>
    <w:uiPriority w:val="0"/>
    <w:pPr>
      <w:spacing w:after="120"/>
    </w:pPr>
    <w:rPr>
      <w:sz w:val="16"/>
      <w:szCs w:val="16"/>
    </w:rPr>
  </w:style>
  <w:style w:type="paragraph" w:styleId="18">
    <w:name w:val="Body Text"/>
    <w:basedOn w:val="1"/>
    <w:link w:val="96"/>
    <w:qFormat/>
    <w:uiPriority w:val="0"/>
    <w:pPr>
      <w:spacing w:after="120"/>
    </w:pPr>
  </w:style>
  <w:style w:type="paragraph" w:styleId="19">
    <w:name w:val="Body Text Indent"/>
    <w:basedOn w:val="1"/>
    <w:link w:val="97"/>
    <w:qFormat/>
    <w:uiPriority w:val="0"/>
    <w:pPr>
      <w:ind w:firstLine="830" w:firstLineChars="352"/>
    </w:pPr>
    <w:rPr>
      <w:rFonts w:ascii="仿宋_GB2312" w:eastAsia="仿宋_GB2312"/>
      <w:kern w:val="0"/>
      <w:sz w:val="32"/>
      <w:szCs w:val="20"/>
    </w:rPr>
  </w:style>
  <w:style w:type="paragraph" w:styleId="20">
    <w:name w:val="List 2"/>
    <w:basedOn w:val="1"/>
    <w:qFormat/>
    <w:uiPriority w:val="0"/>
    <w:pPr>
      <w:ind w:left="100" w:leftChars="200" w:hanging="200" w:hangingChars="200"/>
      <w:contextualSpacing/>
    </w:pPr>
  </w:style>
  <w:style w:type="paragraph" w:styleId="21">
    <w:name w:val="Block Text"/>
    <w:basedOn w:val="1"/>
    <w:qFormat/>
    <w:uiPriority w:val="0"/>
    <w:pPr>
      <w:widowControl/>
      <w:spacing w:before="120" w:after="120" w:line="360" w:lineRule="auto"/>
      <w:ind w:left="57" w:right="57" w:firstLine="570"/>
      <w:jc w:val="left"/>
    </w:pPr>
    <w:rPr>
      <w:rFonts w:ascii="宋体" w:hAnsi="Map Symbols" w:eastAsia="宋体" w:cs="Times New Roman"/>
      <w:kern w:val="0"/>
      <w:sz w:val="28"/>
    </w:rPr>
  </w:style>
  <w:style w:type="paragraph" w:styleId="22">
    <w:name w:val="index 4"/>
    <w:basedOn w:val="1"/>
    <w:next w:val="1"/>
    <w:qFormat/>
    <w:uiPriority w:val="0"/>
    <w:pPr>
      <w:ind w:left="600" w:leftChars="600"/>
    </w:pPr>
    <w:rPr>
      <w:rFonts w:ascii="Times New Roman" w:hAnsi="Times New Roman" w:eastAsia="宋体" w:cs="Times New Roman"/>
    </w:rPr>
  </w:style>
  <w:style w:type="paragraph" w:styleId="23">
    <w:name w:val="toc 5"/>
    <w:basedOn w:val="1"/>
    <w:next w:val="1"/>
    <w:qFormat/>
    <w:uiPriority w:val="0"/>
    <w:pPr>
      <w:ind w:left="1680" w:leftChars="800"/>
    </w:pPr>
    <w:rPr>
      <w:rFonts w:ascii="Calibri" w:hAnsi="Calibri" w:eastAsia="宋体" w:cs="Times New Roman"/>
      <w:szCs w:val="22"/>
    </w:rPr>
  </w:style>
  <w:style w:type="paragraph" w:styleId="24">
    <w:name w:val="toc 3"/>
    <w:basedOn w:val="1"/>
    <w:next w:val="1"/>
    <w:qFormat/>
    <w:uiPriority w:val="0"/>
    <w:pPr>
      <w:ind w:left="840" w:leftChars="400"/>
    </w:pPr>
    <w:rPr>
      <w:rFonts w:ascii="Times New Roman" w:hAnsi="Times New Roman" w:eastAsia="宋体"/>
      <w:sz w:val="24"/>
    </w:rPr>
  </w:style>
  <w:style w:type="paragraph" w:styleId="25">
    <w:name w:val="Plain Text"/>
    <w:basedOn w:val="1"/>
    <w:link w:val="98"/>
    <w:qFormat/>
    <w:uiPriority w:val="0"/>
    <w:rPr>
      <w:rFonts w:ascii="宋体" w:hAnsi="Courier New"/>
      <w:kern w:val="0"/>
      <w:sz w:val="20"/>
      <w:szCs w:val="21"/>
    </w:rPr>
  </w:style>
  <w:style w:type="paragraph" w:styleId="26">
    <w:name w:val="toc 8"/>
    <w:basedOn w:val="1"/>
    <w:next w:val="1"/>
    <w:qFormat/>
    <w:uiPriority w:val="0"/>
    <w:pPr>
      <w:ind w:left="2940" w:leftChars="1400"/>
    </w:pPr>
    <w:rPr>
      <w:rFonts w:ascii="Calibri" w:hAnsi="Calibri" w:eastAsia="宋体" w:cs="Times New Roman"/>
      <w:szCs w:val="22"/>
    </w:rPr>
  </w:style>
  <w:style w:type="paragraph" w:styleId="27">
    <w:name w:val="Date"/>
    <w:basedOn w:val="1"/>
    <w:next w:val="1"/>
    <w:link w:val="99"/>
    <w:qFormat/>
    <w:uiPriority w:val="0"/>
    <w:pPr>
      <w:ind w:left="100" w:leftChars="2500"/>
    </w:pPr>
  </w:style>
  <w:style w:type="paragraph" w:styleId="28">
    <w:name w:val="Body Text Indent 2"/>
    <w:basedOn w:val="1"/>
    <w:link w:val="76"/>
    <w:qFormat/>
    <w:uiPriority w:val="0"/>
    <w:pPr>
      <w:spacing w:after="120" w:line="480" w:lineRule="auto"/>
      <w:ind w:left="420" w:leftChars="200"/>
    </w:pPr>
    <w:rPr>
      <w:rFonts w:ascii="Calibri" w:hAnsi="Calibri" w:eastAsia="宋体" w:cs="Times New Roman"/>
      <w:kern w:val="0"/>
      <w:sz w:val="20"/>
    </w:rPr>
  </w:style>
  <w:style w:type="paragraph" w:styleId="29">
    <w:name w:val="endnote text"/>
    <w:basedOn w:val="1"/>
    <w:link w:val="77"/>
    <w:qFormat/>
    <w:uiPriority w:val="0"/>
    <w:pPr>
      <w:snapToGrid w:val="0"/>
      <w:jc w:val="left"/>
    </w:pPr>
    <w:rPr>
      <w:rFonts w:ascii="Calibri" w:hAnsi="Calibri" w:eastAsia="宋体" w:cs="Times New Roman"/>
      <w:kern w:val="0"/>
      <w:sz w:val="20"/>
    </w:rPr>
  </w:style>
  <w:style w:type="paragraph" w:styleId="30">
    <w:name w:val="Balloon Text"/>
    <w:basedOn w:val="1"/>
    <w:link w:val="100"/>
    <w:qFormat/>
    <w:uiPriority w:val="0"/>
    <w:rPr>
      <w:sz w:val="18"/>
      <w:szCs w:val="18"/>
    </w:rPr>
  </w:style>
  <w:style w:type="paragraph" w:styleId="31">
    <w:name w:val="footer"/>
    <w:basedOn w:val="1"/>
    <w:link w:val="101"/>
    <w:qFormat/>
    <w:uiPriority w:val="0"/>
    <w:pPr>
      <w:tabs>
        <w:tab w:val="center" w:pos="4153"/>
        <w:tab w:val="right" w:pos="8306"/>
      </w:tabs>
      <w:snapToGrid w:val="0"/>
      <w:jc w:val="left"/>
    </w:pPr>
    <w:rPr>
      <w:kern w:val="0"/>
      <w:sz w:val="18"/>
      <w:szCs w:val="18"/>
    </w:rPr>
  </w:style>
  <w:style w:type="paragraph" w:styleId="32">
    <w:name w:val="header"/>
    <w:basedOn w:val="1"/>
    <w:link w:val="102"/>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pos="5880"/>
      </w:tabs>
      <w:spacing w:line="360" w:lineRule="auto"/>
    </w:pPr>
    <w:rPr>
      <w:rFonts w:ascii="Times New Roman" w:hAnsi="Times New Roman" w:eastAsia="宋体"/>
      <w:sz w:val="24"/>
    </w:rPr>
  </w:style>
  <w:style w:type="paragraph" w:styleId="34">
    <w:name w:val="toc 4"/>
    <w:basedOn w:val="1"/>
    <w:next w:val="1"/>
    <w:qFormat/>
    <w:uiPriority w:val="0"/>
    <w:pPr>
      <w:ind w:left="1260" w:leftChars="600"/>
    </w:pPr>
    <w:rPr>
      <w:rFonts w:ascii="Calibri" w:hAnsi="Calibri" w:eastAsia="宋体" w:cs="Times New Roman"/>
      <w:szCs w:val="22"/>
    </w:rPr>
  </w:style>
  <w:style w:type="paragraph" w:styleId="35">
    <w:name w:val="Subtitle"/>
    <w:basedOn w:val="1"/>
    <w:next w:val="1"/>
    <w:link w:val="8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6">
    <w:name w:val="List"/>
    <w:basedOn w:val="1"/>
    <w:qFormat/>
    <w:uiPriority w:val="0"/>
    <w:pPr>
      <w:ind w:left="200" w:hanging="200" w:hangingChars="200"/>
      <w:contextualSpacing/>
    </w:pPr>
  </w:style>
  <w:style w:type="paragraph" w:styleId="37">
    <w:name w:val="footnote text"/>
    <w:basedOn w:val="1"/>
    <w:link w:val="82"/>
    <w:qFormat/>
    <w:uiPriority w:val="0"/>
    <w:pPr>
      <w:adjustRightInd w:val="0"/>
      <w:spacing w:line="312" w:lineRule="atLeast"/>
      <w:jc w:val="left"/>
      <w:textAlignment w:val="baseline"/>
    </w:pPr>
    <w:rPr>
      <w:rFonts w:ascii="Calibri" w:hAnsi="Calibri" w:eastAsia="宋体" w:cs="Times New Roman"/>
      <w:kern w:val="0"/>
      <w:sz w:val="18"/>
      <w:szCs w:val="20"/>
    </w:rPr>
  </w:style>
  <w:style w:type="paragraph" w:styleId="38">
    <w:name w:val="toc 6"/>
    <w:basedOn w:val="1"/>
    <w:next w:val="1"/>
    <w:qFormat/>
    <w:uiPriority w:val="0"/>
    <w:pPr>
      <w:ind w:left="2100" w:leftChars="1000"/>
    </w:pPr>
    <w:rPr>
      <w:rFonts w:ascii="Calibri" w:hAnsi="Calibri" w:eastAsia="宋体" w:cs="Times New Roman"/>
      <w:szCs w:val="22"/>
    </w:rPr>
  </w:style>
  <w:style w:type="paragraph" w:styleId="39">
    <w:name w:val="Body Text Indent 3"/>
    <w:basedOn w:val="1"/>
    <w:link w:val="83"/>
    <w:qFormat/>
    <w:uiPriority w:val="0"/>
    <w:pPr>
      <w:spacing w:after="120"/>
      <w:ind w:left="420" w:leftChars="200"/>
      <w:jc w:val="left"/>
    </w:pPr>
    <w:rPr>
      <w:rFonts w:ascii="Calibri" w:hAnsi="Calibri" w:eastAsia="宋体" w:cs="Times New Roman"/>
      <w:kern w:val="0"/>
      <w:sz w:val="16"/>
      <w:szCs w:val="16"/>
    </w:rPr>
  </w:style>
  <w:style w:type="paragraph" w:styleId="40">
    <w:name w:val="toc 2"/>
    <w:basedOn w:val="1"/>
    <w:next w:val="1"/>
    <w:qFormat/>
    <w:uiPriority w:val="0"/>
    <w:pPr>
      <w:tabs>
        <w:tab w:val="left" w:pos="8610"/>
      </w:tabs>
      <w:ind w:left="420" w:leftChars="200"/>
    </w:pPr>
    <w:rPr>
      <w:rFonts w:ascii="Times New Roman" w:hAnsi="Times New Roman" w:eastAsia="宋体"/>
    </w:rPr>
  </w:style>
  <w:style w:type="paragraph" w:styleId="41">
    <w:name w:val="toc 9"/>
    <w:basedOn w:val="1"/>
    <w:next w:val="1"/>
    <w:qFormat/>
    <w:uiPriority w:val="0"/>
    <w:pPr>
      <w:ind w:left="3360" w:leftChars="1600"/>
    </w:pPr>
    <w:rPr>
      <w:rFonts w:ascii="Calibri" w:hAnsi="Calibri" w:eastAsia="宋体" w:cs="Times New Roman"/>
      <w:szCs w:val="22"/>
    </w:rPr>
  </w:style>
  <w:style w:type="paragraph" w:styleId="42">
    <w:name w:val="Body Text 2"/>
    <w:basedOn w:val="1"/>
    <w:link w:val="84"/>
    <w:qFormat/>
    <w:uiPriority w:val="0"/>
    <w:pPr>
      <w:jc w:val="left"/>
    </w:pPr>
    <w:rPr>
      <w:rFonts w:ascii="宋体" w:hAnsi="宋体" w:eastAsia="宋体" w:cs="Times New Roman"/>
      <w:kern w:val="0"/>
      <w:sz w:val="28"/>
    </w:rPr>
  </w:style>
  <w:style w:type="paragraph" w:styleId="43">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44">
    <w:name w:val="index 1"/>
    <w:basedOn w:val="1"/>
    <w:next w:val="1"/>
    <w:qFormat/>
    <w:uiPriority w:val="0"/>
    <w:pPr>
      <w:spacing w:line="220" w:lineRule="exact"/>
      <w:jc w:val="center"/>
    </w:pPr>
    <w:rPr>
      <w:rFonts w:ascii="仿宋_GB2312" w:hAnsi="Times New Roman" w:eastAsia="仿宋_GB2312" w:cs="Times New Roman"/>
      <w:sz w:val="24"/>
      <w:szCs w:val="21"/>
    </w:rPr>
  </w:style>
  <w:style w:type="paragraph" w:styleId="45">
    <w:name w:val="Title"/>
    <w:basedOn w:val="1"/>
    <w:next w:val="1"/>
    <w:link w:val="85"/>
    <w:qFormat/>
    <w:uiPriority w:val="0"/>
    <w:pPr>
      <w:spacing w:before="240" w:after="60"/>
      <w:jc w:val="center"/>
      <w:outlineLvl w:val="0"/>
    </w:pPr>
    <w:rPr>
      <w:rFonts w:ascii="Cambria" w:hAnsi="Cambria" w:eastAsia="宋体" w:cs="Times New Roman"/>
      <w:b/>
      <w:bCs/>
      <w:kern w:val="0"/>
      <w:sz w:val="32"/>
      <w:szCs w:val="32"/>
    </w:rPr>
  </w:style>
  <w:style w:type="paragraph" w:styleId="46">
    <w:name w:val="annotation subject"/>
    <w:basedOn w:val="16"/>
    <w:next w:val="16"/>
    <w:link w:val="103"/>
    <w:qFormat/>
    <w:uiPriority w:val="0"/>
    <w:rPr>
      <w:b/>
      <w:bCs/>
    </w:rPr>
  </w:style>
  <w:style w:type="paragraph" w:styleId="47">
    <w:name w:val="Body Text First Indent"/>
    <w:basedOn w:val="18"/>
    <w:link w:val="87"/>
    <w:qFormat/>
    <w:uiPriority w:val="0"/>
    <w:pPr>
      <w:ind w:firstLine="420" w:firstLineChars="100"/>
      <w:jc w:val="left"/>
    </w:pPr>
    <w:rPr>
      <w:rFonts w:ascii="Calibri" w:hAnsi="Calibri" w:eastAsia="宋体" w:cs="Times New Roman"/>
    </w:rPr>
  </w:style>
  <w:style w:type="paragraph" w:styleId="48">
    <w:name w:val="Body Text First Indent 2"/>
    <w:basedOn w:val="19"/>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qFormat/>
    <w:uiPriority w:val="0"/>
    <w:rPr>
      <w:rFonts w:ascii="Times New Roman" w:hAnsi="Times New Roman" w:eastAsia="宋体" w:cs="Times New Roman"/>
      <w:b/>
    </w:rPr>
  </w:style>
  <w:style w:type="character" w:styleId="53">
    <w:name w:val="endnote reference"/>
    <w:basedOn w:val="51"/>
    <w:qFormat/>
    <w:uiPriority w:val="0"/>
    <w:rPr>
      <w:vertAlign w:val="superscript"/>
    </w:rPr>
  </w:style>
  <w:style w:type="character" w:styleId="54">
    <w:name w:val="page number"/>
    <w:basedOn w:val="51"/>
    <w:qFormat/>
    <w:uiPriority w:val="0"/>
  </w:style>
  <w:style w:type="character" w:styleId="55">
    <w:name w:val="FollowedHyperlink"/>
    <w:basedOn w:val="51"/>
    <w:qFormat/>
    <w:uiPriority w:val="0"/>
    <w:rPr>
      <w:color w:val="800080"/>
      <w:u w:val="single"/>
    </w:rPr>
  </w:style>
  <w:style w:type="character" w:styleId="56">
    <w:name w:val="Emphasis"/>
    <w:basedOn w:val="51"/>
    <w:qFormat/>
    <w:uiPriority w:val="0"/>
    <w:rPr>
      <w:rFonts w:ascii="Times New Roman" w:hAnsi="Times New Roman" w:eastAsia="宋体" w:cs="Times New Roman"/>
      <w:i/>
    </w:rPr>
  </w:style>
  <w:style w:type="character" w:styleId="57">
    <w:name w:val="Hyperlink"/>
    <w:basedOn w:val="51"/>
    <w:qFormat/>
    <w:uiPriority w:val="0"/>
    <w:rPr>
      <w:color w:val="0000FF"/>
      <w:u w:val="single"/>
    </w:rPr>
  </w:style>
  <w:style w:type="character" w:styleId="58">
    <w:name w:val="annotation reference"/>
    <w:basedOn w:val="51"/>
    <w:qFormat/>
    <w:uiPriority w:val="0"/>
    <w:rPr>
      <w:sz w:val="21"/>
      <w:szCs w:val="21"/>
    </w:rPr>
  </w:style>
  <w:style w:type="character" w:styleId="59">
    <w:name w:val="footnote reference"/>
    <w:basedOn w:val="51"/>
    <w:qFormat/>
    <w:uiPriority w:val="0"/>
    <w:rPr>
      <w:rFonts w:ascii="Times New Roman" w:hAnsi="Times New Roman" w:eastAsia="宋体" w:cs="Times New Roman"/>
      <w:vertAlign w:val="superscript"/>
    </w:rPr>
  </w:style>
  <w:style w:type="character" w:customStyle="1" w:styleId="60">
    <w:name w:val="标题 1 Char"/>
    <w:basedOn w:val="51"/>
    <w:link w:val="2"/>
    <w:qFormat/>
    <w:uiPriority w:val="0"/>
    <w:rPr>
      <w:rFonts w:ascii="Times New Roman" w:hAnsi="Times New Roman" w:eastAsia="黑体" w:cs="Times New Roman"/>
      <w:b/>
      <w:bCs/>
      <w:kern w:val="44"/>
      <w:sz w:val="32"/>
      <w:szCs w:val="44"/>
      <w:lang w:val="en-US" w:eastAsia="zh-CN" w:bidi="ar-SA"/>
    </w:rPr>
  </w:style>
  <w:style w:type="character" w:customStyle="1" w:styleId="61">
    <w:name w:val="标题 2 Char"/>
    <w:basedOn w:val="51"/>
    <w:link w:val="3"/>
    <w:qFormat/>
    <w:uiPriority w:val="9"/>
    <w:rPr>
      <w:rFonts w:ascii="Cambria" w:hAnsi="Cambria" w:eastAsia="宋体" w:cs="Times New Roman"/>
      <w:b/>
      <w:bCs/>
      <w:kern w:val="2"/>
      <w:sz w:val="32"/>
      <w:szCs w:val="32"/>
    </w:rPr>
  </w:style>
  <w:style w:type="character" w:customStyle="1" w:styleId="62">
    <w:name w:val="标题 3 Char"/>
    <w:basedOn w:val="51"/>
    <w:link w:val="4"/>
    <w:qFormat/>
    <w:uiPriority w:val="0"/>
    <w:rPr>
      <w:rFonts w:ascii="Times New Roman" w:hAnsi="Times New Roman" w:eastAsia="黑体" w:cs="Times New Roman"/>
      <w:b/>
      <w:bCs/>
      <w:kern w:val="2"/>
      <w:sz w:val="21"/>
      <w:szCs w:val="32"/>
      <w:lang w:val="en-US" w:eastAsia="zh-CN" w:bidi="ar-SA"/>
    </w:rPr>
  </w:style>
  <w:style w:type="character" w:customStyle="1" w:styleId="63">
    <w:name w:val="标题 4 Char"/>
    <w:basedOn w:val="51"/>
    <w:link w:val="5"/>
    <w:qFormat/>
    <w:uiPriority w:val="0"/>
    <w:rPr>
      <w:rFonts w:ascii="Cambria" w:hAnsi="Cambria" w:eastAsia="宋体" w:cs="Times New Roman"/>
      <w:b/>
      <w:bCs/>
      <w:sz w:val="21"/>
      <w:szCs w:val="28"/>
    </w:rPr>
  </w:style>
  <w:style w:type="character" w:customStyle="1" w:styleId="64">
    <w:name w:val="标题 5 Char"/>
    <w:basedOn w:val="51"/>
    <w:link w:val="6"/>
    <w:qFormat/>
    <w:uiPriority w:val="0"/>
    <w:rPr>
      <w:rFonts w:ascii="Times New Roman" w:hAnsi="Times New Roman" w:eastAsia="宋体" w:cs="Times New Roman"/>
      <w:b/>
      <w:bCs/>
      <w:kern w:val="2"/>
      <w:sz w:val="28"/>
      <w:szCs w:val="28"/>
      <w:lang w:val="en-US" w:eastAsia="zh-CN" w:bidi="ar-SA"/>
    </w:rPr>
  </w:style>
  <w:style w:type="character" w:customStyle="1" w:styleId="65">
    <w:name w:val="标题 6 Char"/>
    <w:basedOn w:val="51"/>
    <w:link w:val="8"/>
    <w:qFormat/>
    <w:uiPriority w:val="0"/>
    <w:rPr>
      <w:rFonts w:ascii="Cambria" w:hAnsi="Cambria" w:eastAsia="宋体" w:cs="Times New Roman"/>
      <w:b/>
      <w:bCs/>
      <w:sz w:val="24"/>
    </w:rPr>
  </w:style>
  <w:style w:type="character" w:customStyle="1" w:styleId="66">
    <w:name w:val="标题 7 Char"/>
    <w:basedOn w:val="51"/>
    <w:link w:val="9"/>
    <w:qFormat/>
    <w:uiPriority w:val="0"/>
    <w:rPr>
      <w:rFonts w:ascii="Calibri" w:hAnsi="Calibri" w:eastAsia="宋体" w:cs="Times New Roman"/>
      <w:b/>
      <w:bCs/>
      <w:sz w:val="24"/>
    </w:rPr>
  </w:style>
  <w:style w:type="character" w:customStyle="1" w:styleId="67">
    <w:name w:val="标题 8 Char"/>
    <w:basedOn w:val="51"/>
    <w:link w:val="10"/>
    <w:qFormat/>
    <w:uiPriority w:val="0"/>
    <w:rPr>
      <w:rFonts w:ascii="Arial" w:hAnsi="Arial" w:eastAsia="黑体"/>
      <w:kern w:val="2"/>
      <w:sz w:val="24"/>
      <w:szCs w:val="24"/>
    </w:rPr>
  </w:style>
  <w:style w:type="character" w:customStyle="1" w:styleId="68">
    <w:name w:val="标题 9 Char"/>
    <w:basedOn w:val="51"/>
    <w:link w:val="11"/>
    <w:qFormat/>
    <w:uiPriority w:val="0"/>
    <w:rPr>
      <w:rFonts w:ascii="Cambria" w:hAnsi="Cambria" w:eastAsia="宋体" w:cs="Times New Roman"/>
      <w:szCs w:val="21"/>
    </w:rPr>
  </w:style>
  <w:style w:type="character" w:customStyle="1" w:styleId="69">
    <w:name w:val="文档结构图 Char2"/>
    <w:basedOn w:val="51"/>
    <w:link w:val="15"/>
    <w:semiHidden/>
    <w:qFormat/>
    <w:uiPriority w:val="0"/>
    <w:rPr>
      <w:rFonts w:ascii="Calibri" w:hAnsi="Calibri" w:eastAsia="宋体" w:cs="Times New Roman"/>
      <w:kern w:val="0"/>
      <w:sz w:val="20"/>
      <w:shd w:val="clear" w:color="auto" w:fill="000080"/>
    </w:rPr>
  </w:style>
  <w:style w:type="character" w:customStyle="1" w:styleId="70">
    <w:name w:val="批注文字 Char3"/>
    <w:basedOn w:val="51"/>
    <w:link w:val="16"/>
    <w:semiHidden/>
    <w:qFormat/>
    <w:uiPriority w:val="0"/>
    <w:rPr>
      <w:rFonts w:ascii="Times New Roman" w:hAnsi="Times New Roman" w:eastAsia="宋体" w:cs="Times New Roman"/>
      <w:kern w:val="2"/>
      <w:sz w:val="21"/>
      <w:szCs w:val="24"/>
      <w:lang w:val="en-US" w:eastAsia="zh-CN" w:bidi="ar-SA"/>
    </w:rPr>
  </w:style>
  <w:style w:type="character" w:customStyle="1" w:styleId="71">
    <w:name w:val="正文文本 3 Char2"/>
    <w:basedOn w:val="51"/>
    <w:link w:val="17"/>
    <w:semiHidden/>
    <w:qFormat/>
    <w:uiPriority w:val="0"/>
    <w:rPr>
      <w:rFonts w:ascii="宋体" w:hAnsi="Calibri" w:eastAsia="宋体" w:cs="Times New Roman"/>
      <w:sz w:val="24"/>
      <w:lang w:val="en-US" w:eastAsia="zh-CN" w:bidi="ar-SA"/>
    </w:rPr>
  </w:style>
  <w:style w:type="character" w:customStyle="1" w:styleId="72">
    <w:name w:val="正文文本 Char2"/>
    <w:basedOn w:val="51"/>
    <w:link w:val="18"/>
    <w:semiHidden/>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Char1"/>
    <w:basedOn w:val="51"/>
    <w:link w:val="19"/>
    <w:semiHidden/>
    <w:qFormat/>
    <w:uiPriority w:val="0"/>
    <w:rPr>
      <w:rFonts w:ascii="宋体" w:hAnsi="宋体" w:eastAsia="宋体" w:cs="Times New Roman"/>
      <w:lang w:val="en-US" w:eastAsia="zh-CN" w:bidi="ar-SA"/>
    </w:rPr>
  </w:style>
  <w:style w:type="character" w:customStyle="1" w:styleId="74">
    <w:name w:val="纯文本 Char2"/>
    <w:basedOn w:val="51"/>
    <w:link w:val="25"/>
    <w:semiHidden/>
    <w:qFormat/>
    <w:uiPriority w:val="0"/>
    <w:rPr>
      <w:rFonts w:ascii="宋体" w:hAnsi="Courier New" w:eastAsia="宋体" w:cs="Times New Roman"/>
      <w:szCs w:val="24"/>
      <w:lang w:val="en-US" w:eastAsia="zh-CN" w:bidi="ar-SA"/>
    </w:rPr>
  </w:style>
  <w:style w:type="character" w:customStyle="1" w:styleId="75">
    <w:name w:val="日期 Char2"/>
    <w:basedOn w:val="51"/>
    <w:link w:val="27"/>
    <w:semiHidden/>
    <w:qFormat/>
    <w:uiPriority w:val="0"/>
    <w:rPr>
      <w:rFonts w:ascii="Calibri" w:hAnsi="Calibri" w:eastAsia="宋体" w:cs="Times New Roman"/>
      <w:szCs w:val="24"/>
      <w:lang w:val="en-US" w:eastAsia="zh-CN" w:bidi="ar-SA"/>
    </w:rPr>
  </w:style>
  <w:style w:type="character" w:customStyle="1" w:styleId="76">
    <w:name w:val="正文文本缩进 2 Char1"/>
    <w:basedOn w:val="51"/>
    <w:link w:val="28"/>
    <w:semiHidden/>
    <w:qFormat/>
    <w:uiPriority w:val="0"/>
    <w:rPr>
      <w:rFonts w:ascii="Calibri" w:hAnsi="Calibri" w:eastAsia="宋体" w:cs="Times New Roman"/>
      <w:kern w:val="0"/>
      <w:sz w:val="20"/>
    </w:rPr>
  </w:style>
  <w:style w:type="character" w:customStyle="1" w:styleId="77">
    <w:name w:val="尾注文本 Char2"/>
    <w:basedOn w:val="51"/>
    <w:link w:val="29"/>
    <w:semiHidden/>
    <w:qFormat/>
    <w:uiPriority w:val="0"/>
    <w:rPr>
      <w:rFonts w:ascii="Calibri" w:hAnsi="Calibri" w:eastAsia="宋体" w:cs="Times New Roman"/>
      <w:kern w:val="0"/>
      <w:sz w:val="20"/>
    </w:rPr>
  </w:style>
  <w:style w:type="character" w:customStyle="1" w:styleId="78">
    <w:name w:val="批注框文本 Char2"/>
    <w:basedOn w:val="51"/>
    <w:link w:val="30"/>
    <w:semiHidden/>
    <w:qFormat/>
    <w:uiPriority w:val="0"/>
    <w:rPr>
      <w:rFonts w:ascii="Calibri" w:hAnsi="Calibri" w:eastAsia="宋体" w:cs="Times New Roman"/>
      <w:sz w:val="18"/>
      <w:szCs w:val="18"/>
      <w:lang w:val="en-US" w:eastAsia="zh-CN" w:bidi="ar-SA"/>
    </w:rPr>
  </w:style>
  <w:style w:type="character" w:customStyle="1" w:styleId="79">
    <w:name w:val="页脚 Char1"/>
    <w:basedOn w:val="51"/>
    <w:link w:val="31"/>
    <w:semiHidden/>
    <w:qFormat/>
    <w:uiPriority w:val="0"/>
    <w:rPr>
      <w:rFonts w:ascii="Calibri" w:hAnsi="Calibri" w:eastAsia="宋体" w:cs="Times New Roman"/>
      <w:sz w:val="18"/>
      <w:szCs w:val="18"/>
      <w:lang w:val="en-US" w:eastAsia="zh-CN" w:bidi="ar-SA"/>
    </w:rPr>
  </w:style>
  <w:style w:type="character" w:customStyle="1" w:styleId="80">
    <w:name w:val="页眉 Char1"/>
    <w:basedOn w:val="51"/>
    <w:link w:val="32"/>
    <w:semiHidden/>
    <w:qFormat/>
    <w:uiPriority w:val="0"/>
    <w:rPr>
      <w:rFonts w:ascii="Calibri" w:hAnsi="Calibri" w:eastAsia="宋体" w:cs="Times New Roman"/>
      <w:sz w:val="18"/>
      <w:szCs w:val="18"/>
      <w:lang w:val="en-US" w:eastAsia="zh-CN" w:bidi="ar-SA"/>
    </w:rPr>
  </w:style>
  <w:style w:type="character" w:customStyle="1" w:styleId="81">
    <w:name w:val="副标题 Char"/>
    <w:basedOn w:val="51"/>
    <w:link w:val="35"/>
    <w:qFormat/>
    <w:uiPriority w:val="0"/>
    <w:rPr>
      <w:rFonts w:ascii="Cambria" w:hAnsi="Cambria" w:eastAsia="宋体" w:cs="Times New Roman"/>
      <w:b/>
      <w:bCs/>
      <w:kern w:val="28"/>
      <w:sz w:val="32"/>
      <w:szCs w:val="32"/>
    </w:rPr>
  </w:style>
  <w:style w:type="character" w:customStyle="1" w:styleId="82">
    <w:name w:val="脚注文本 Char1"/>
    <w:basedOn w:val="51"/>
    <w:link w:val="37"/>
    <w:semiHidden/>
    <w:qFormat/>
    <w:uiPriority w:val="0"/>
    <w:rPr>
      <w:rFonts w:ascii="Calibri" w:hAnsi="Calibri" w:eastAsia="宋体" w:cs="Times New Roman"/>
      <w:kern w:val="0"/>
      <w:sz w:val="18"/>
      <w:szCs w:val="20"/>
    </w:rPr>
  </w:style>
  <w:style w:type="character" w:customStyle="1" w:styleId="83">
    <w:name w:val="正文文本缩进 3 Char2"/>
    <w:basedOn w:val="51"/>
    <w:link w:val="39"/>
    <w:semiHidden/>
    <w:qFormat/>
    <w:uiPriority w:val="0"/>
    <w:rPr>
      <w:rFonts w:ascii="Calibri" w:hAnsi="Calibri" w:eastAsia="宋体" w:cs="Times New Roman"/>
      <w:kern w:val="0"/>
      <w:sz w:val="16"/>
      <w:szCs w:val="16"/>
    </w:rPr>
  </w:style>
  <w:style w:type="character" w:customStyle="1" w:styleId="84">
    <w:name w:val="正文文本 2 Char2"/>
    <w:basedOn w:val="51"/>
    <w:link w:val="42"/>
    <w:semiHidden/>
    <w:qFormat/>
    <w:uiPriority w:val="0"/>
    <w:rPr>
      <w:rFonts w:ascii="宋体" w:hAnsi="宋体" w:eastAsia="宋体" w:cs="Times New Roman"/>
      <w:kern w:val="0"/>
      <w:sz w:val="28"/>
    </w:rPr>
  </w:style>
  <w:style w:type="character" w:customStyle="1" w:styleId="85">
    <w:name w:val="标题 Char3"/>
    <w:basedOn w:val="51"/>
    <w:link w:val="45"/>
    <w:qFormat/>
    <w:uiPriority w:val="0"/>
    <w:rPr>
      <w:rFonts w:ascii="Cambria" w:hAnsi="Cambria" w:eastAsia="宋体" w:cs="Times New Roman"/>
      <w:b/>
      <w:bCs/>
      <w:kern w:val="0"/>
      <w:sz w:val="32"/>
      <w:szCs w:val="32"/>
    </w:rPr>
  </w:style>
  <w:style w:type="character" w:customStyle="1" w:styleId="86">
    <w:name w:val="批注主题 Char2"/>
    <w:basedOn w:val="70"/>
    <w:link w:val="46"/>
    <w:semiHidden/>
    <w:qFormat/>
    <w:uiPriority w:val="0"/>
    <w:rPr>
      <w:rFonts w:ascii="Calibri" w:hAnsi="Calibri"/>
      <w:b/>
      <w:bCs/>
    </w:rPr>
  </w:style>
  <w:style w:type="character" w:customStyle="1" w:styleId="87">
    <w:name w:val="正文首行缩进 Char"/>
    <w:basedOn w:val="88"/>
    <w:link w:val="47"/>
    <w:qFormat/>
    <w:uiPriority w:val="0"/>
    <w:rPr>
      <w:rFonts w:ascii="Calibri" w:hAnsi="Calibri" w:eastAsia="宋体" w:cs="Times New Roman"/>
      <w:sz w:val="22"/>
      <w:szCs w:val="20"/>
      <w:lang w:val="en-US" w:eastAsia="zh-CN"/>
    </w:rPr>
  </w:style>
  <w:style w:type="character" w:customStyle="1" w:styleId="88">
    <w:name w:val="正文文本 Char"/>
    <w:qFormat/>
    <w:uiPriority w:val="0"/>
    <w:rPr>
      <w:rFonts w:ascii="Times New Roman" w:hAnsi="Times New Roman"/>
      <w:kern w:val="2"/>
      <w:sz w:val="21"/>
      <w:szCs w:val="24"/>
    </w:rPr>
  </w:style>
  <w:style w:type="character" w:customStyle="1" w:styleId="89">
    <w:name w:val="标题 1 字符2"/>
    <w:link w:val="2"/>
    <w:qFormat/>
    <w:uiPriority w:val="9"/>
    <w:rPr>
      <w:b/>
      <w:bCs/>
      <w:kern w:val="44"/>
      <w:sz w:val="44"/>
      <w:szCs w:val="44"/>
    </w:rPr>
  </w:style>
  <w:style w:type="character" w:customStyle="1" w:styleId="90">
    <w:name w:val="标题 2 字符1"/>
    <w:link w:val="3"/>
    <w:qFormat/>
    <w:uiPriority w:val="9"/>
    <w:rPr>
      <w:rFonts w:ascii="Cambria" w:hAnsi="Cambria" w:eastAsia="宋体" w:cs="Times New Roman"/>
      <w:b/>
      <w:bCs/>
      <w:kern w:val="2"/>
      <w:sz w:val="32"/>
      <w:szCs w:val="32"/>
    </w:rPr>
  </w:style>
  <w:style w:type="character" w:customStyle="1" w:styleId="91">
    <w:name w:val="标题 3 字符1"/>
    <w:link w:val="4"/>
    <w:qFormat/>
    <w:uiPriority w:val="9"/>
    <w:rPr>
      <w:b/>
      <w:bCs/>
      <w:kern w:val="2"/>
      <w:sz w:val="32"/>
      <w:szCs w:val="32"/>
    </w:rPr>
  </w:style>
  <w:style w:type="character" w:customStyle="1" w:styleId="92">
    <w:name w:val="标题 5 字符1"/>
    <w:link w:val="6"/>
    <w:qFormat/>
    <w:uiPriority w:val="9"/>
    <w:rPr>
      <w:rFonts w:ascii="Times New Roman" w:hAnsi="Times New Roman"/>
      <w:b/>
      <w:bCs/>
      <w:kern w:val="2"/>
      <w:sz w:val="28"/>
      <w:szCs w:val="28"/>
    </w:rPr>
  </w:style>
  <w:style w:type="character" w:customStyle="1" w:styleId="93">
    <w:name w:val="标题 8 字符1"/>
    <w:link w:val="10"/>
    <w:qFormat/>
    <w:uiPriority w:val="9"/>
    <w:rPr>
      <w:rFonts w:ascii="等线 Light" w:hAnsi="等线 Light" w:eastAsia="等线 Light" w:cs="Times New Roman"/>
      <w:kern w:val="2"/>
      <w:sz w:val="24"/>
      <w:szCs w:val="24"/>
    </w:rPr>
  </w:style>
  <w:style w:type="character" w:customStyle="1" w:styleId="94">
    <w:name w:val="批注文字 字符3"/>
    <w:link w:val="16"/>
    <w:qFormat/>
    <w:uiPriority w:val="0"/>
    <w:rPr>
      <w:rFonts w:ascii="Times New Roman" w:hAnsi="Times New Roman"/>
      <w:kern w:val="2"/>
      <w:sz w:val="21"/>
      <w:szCs w:val="24"/>
    </w:rPr>
  </w:style>
  <w:style w:type="character" w:customStyle="1" w:styleId="95">
    <w:name w:val="正文文本 3 字符1"/>
    <w:link w:val="17"/>
    <w:qFormat/>
    <w:uiPriority w:val="99"/>
    <w:rPr>
      <w:kern w:val="2"/>
      <w:sz w:val="16"/>
      <w:szCs w:val="16"/>
    </w:rPr>
  </w:style>
  <w:style w:type="character" w:customStyle="1" w:styleId="96">
    <w:name w:val="正文文本 字符2"/>
    <w:link w:val="18"/>
    <w:qFormat/>
    <w:uiPriority w:val="0"/>
    <w:rPr>
      <w:rFonts w:ascii="Times New Roman" w:hAnsi="Times New Roman"/>
      <w:kern w:val="2"/>
      <w:sz w:val="21"/>
      <w:szCs w:val="24"/>
    </w:rPr>
  </w:style>
  <w:style w:type="character" w:customStyle="1" w:styleId="97">
    <w:name w:val="正文文本缩进 字符1"/>
    <w:link w:val="19"/>
    <w:qFormat/>
    <w:uiPriority w:val="0"/>
    <w:rPr>
      <w:rFonts w:ascii="仿宋_GB2312" w:hAnsi="Times New Roman" w:eastAsia="仿宋_GB2312" w:cs="Times New Roman"/>
      <w:sz w:val="32"/>
      <w:szCs w:val="20"/>
    </w:rPr>
  </w:style>
  <w:style w:type="character" w:customStyle="1" w:styleId="98">
    <w:name w:val="纯文本 字符4"/>
    <w:link w:val="25"/>
    <w:qFormat/>
    <w:uiPriority w:val="0"/>
    <w:rPr>
      <w:rFonts w:ascii="宋体" w:hAnsi="Courier New" w:eastAsia="宋体" w:cs="Courier New"/>
      <w:szCs w:val="21"/>
    </w:rPr>
  </w:style>
  <w:style w:type="character" w:customStyle="1" w:styleId="99">
    <w:name w:val="日期 字符1"/>
    <w:link w:val="27"/>
    <w:qFormat/>
    <w:uiPriority w:val="99"/>
    <w:rPr>
      <w:rFonts w:ascii="Times New Roman" w:hAnsi="Times New Roman"/>
      <w:kern w:val="2"/>
      <w:sz w:val="21"/>
      <w:szCs w:val="24"/>
    </w:rPr>
  </w:style>
  <w:style w:type="character" w:customStyle="1" w:styleId="100">
    <w:name w:val="批注框文本 字符"/>
    <w:link w:val="30"/>
    <w:semiHidden/>
    <w:qFormat/>
    <w:uiPriority w:val="99"/>
    <w:rPr>
      <w:kern w:val="2"/>
      <w:sz w:val="18"/>
      <w:szCs w:val="18"/>
    </w:rPr>
  </w:style>
  <w:style w:type="character" w:customStyle="1" w:styleId="101">
    <w:name w:val="页脚 字符1"/>
    <w:link w:val="31"/>
    <w:qFormat/>
    <w:uiPriority w:val="99"/>
    <w:rPr>
      <w:sz w:val="18"/>
      <w:szCs w:val="18"/>
    </w:rPr>
  </w:style>
  <w:style w:type="character" w:customStyle="1" w:styleId="102">
    <w:name w:val="页眉 字符1"/>
    <w:link w:val="32"/>
    <w:qFormat/>
    <w:uiPriority w:val="99"/>
    <w:rPr>
      <w:sz w:val="18"/>
      <w:szCs w:val="18"/>
    </w:rPr>
  </w:style>
  <w:style w:type="character" w:customStyle="1" w:styleId="103">
    <w:name w:val="批注主题 字符1"/>
    <w:link w:val="46"/>
    <w:qFormat/>
    <w:uiPriority w:val="99"/>
    <w:rPr>
      <w:rFonts w:ascii="Times New Roman" w:hAnsi="Times New Roman"/>
      <w:b/>
      <w:bCs/>
      <w:kern w:val="2"/>
      <w:sz w:val="21"/>
      <w:szCs w:val="24"/>
    </w:rPr>
  </w:style>
  <w:style w:type="character" w:customStyle="1" w:styleId="104">
    <w:name w:val="纯文本 字符2"/>
    <w:qFormat/>
    <w:uiPriority w:val="0"/>
    <w:rPr>
      <w:rFonts w:ascii="宋体" w:hAnsi="Courier New" w:eastAsia="宋体" w:cs="Courier New"/>
      <w:szCs w:val="21"/>
    </w:rPr>
  </w:style>
  <w:style w:type="character" w:customStyle="1" w:styleId="105">
    <w:name w:val="apple-style-span"/>
    <w:qFormat/>
    <w:uiPriority w:val="0"/>
  </w:style>
  <w:style w:type="character" w:customStyle="1" w:styleId="106">
    <w:name w:val="纯文本 字符"/>
    <w:qFormat/>
    <w:uiPriority w:val="0"/>
    <w:rPr>
      <w:rFonts w:ascii="宋体" w:hAnsi="Courier New" w:eastAsia="宋体" w:cs="Courier New"/>
      <w:szCs w:val="21"/>
    </w:rPr>
  </w:style>
  <w:style w:type="character" w:customStyle="1" w:styleId="107">
    <w:name w:val="纯文本 字符1"/>
    <w:qFormat/>
    <w:uiPriority w:val="0"/>
    <w:rPr>
      <w:rFonts w:ascii="宋体" w:hAnsi="Courier New"/>
    </w:rPr>
  </w:style>
  <w:style w:type="character" w:customStyle="1" w:styleId="108">
    <w:name w:val="纯文本 Char"/>
    <w:qFormat/>
    <w:uiPriority w:val="0"/>
    <w:rPr>
      <w:rFonts w:ascii="宋体" w:hAnsi="Courier New" w:eastAsia="宋体" w:cs="Courier New"/>
      <w:szCs w:val="21"/>
    </w:rPr>
  </w:style>
  <w:style w:type="character" w:customStyle="1" w:styleId="109">
    <w:name w:val="批注文字 字符1"/>
    <w:qFormat/>
    <w:uiPriority w:val="0"/>
    <w:rPr>
      <w:rFonts w:ascii="Times New Roman" w:hAnsi="Times New Roman"/>
      <w:kern w:val="2"/>
      <w:sz w:val="21"/>
      <w:szCs w:val="24"/>
    </w:rPr>
  </w:style>
  <w:style w:type="character" w:customStyle="1" w:styleId="11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1">
    <w:name w:val="标题 1 字符1"/>
    <w:qFormat/>
    <w:uiPriority w:val="0"/>
    <w:rPr>
      <w:b/>
      <w:bCs/>
      <w:kern w:val="44"/>
      <w:sz w:val="44"/>
      <w:szCs w:val="44"/>
    </w:rPr>
  </w:style>
  <w:style w:type="character" w:customStyle="1" w:styleId="112">
    <w:name w:val="正文文本 字符"/>
    <w:qFormat/>
    <w:uiPriority w:val="0"/>
    <w:rPr>
      <w:rFonts w:ascii="Times New Roman" w:hAnsi="Times New Roman"/>
      <w:kern w:val="2"/>
      <w:sz w:val="21"/>
      <w:szCs w:val="24"/>
    </w:rPr>
  </w:style>
  <w:style w:type="character" w:customStyle="1" w:styleId="113">
    <w:name w:val="批注文字 字符"/>
    <w:qFormat/>
    <w:uiPriority w:val="0"/>
    <w:rPr>
      <w:rFonts w:ascii="Times New Roman" w:hAnsi="Times New Roman"/>
      <w:kern w:val="2"/>
      <w:sz w:val="21"/>
      <w:szCs w:val="24"/>
    </w:rPr>
  </w:style>
  <w:style w:type="character" w:customStyle="1" w:styleId="114">
    <w:name w:val="textcontents"/>
    <w:qFormat/>
    <w:uiPriority w:val="0"/>
  </w:style>
  <w:style w:type="character" w:customStyle="1" w:styleId="115">
    <w:name w:val="批注文字 Char"/>
    <w:qFormat/>
    <w:uiPriority w:val="0"/>
    <w:rPr>
      <w:rFonts w:ascii="Times New Roman" w:hAnsi="Times New Roman"/>
      <w:kern w:val="2"/>
      <w:sz w:val="21"/>
      <w:szCs w:val="24"/>
    </w:rPr>
  </w:style>
  <w:style w:type="paragraph" w:customStyle="1" w:styleId="11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117">
    <w:name w:val="List Paragraph"/>
    <w:basedOn w:val="1"/>
    <w:unhideWhenUsed/>
    <w:qFormat/>
    <w:uiPriority w:val="99"/>
    <w:pPr>
      <w:ind w:firstLine="420" w:firstLineChars="200"/>
    </w:pPr>
  </w:style>
  <w:style w:type="paragraph" w:customStyle="1" w:styleId="118">
    <w:name w:val="默认段落字体 Para Char Char Char Char Char Char Char Char Char1 Char Char Char Char"/>
    <w:basedOn w:val="1"/>
    <w:qFormat/>
    <w:uiPriority w:val="99"/>
    <w:rPr>
      <w:rFonts w:ascii="Tahoma" w:hAnsi="Tahoma"/>
      <w:sz w:val="24"/>
      <w:szCs w:val="20"/>
    </w:rPr>
  </w:style>
  <w:style w:type="paragraph" w:customStyle="1" w:styleId="119">
    <w:name w:val="Table Paragraph"/>
    <w:basedOn w:val="1"/>
    <w:qFormat/>
    <w:uiPriority w:val="1"/>
    <w:pPr>
      <w:jc w:val="left"/>
    </w:pPr>
    <w:rPr>
      <w:rFonts w:ascii="Calibri" w:hAnsi="Calibri"/>
      <w:kern w:val="0"/>
      <w:sz w:val="22"/>
      <w:szCs w:val="22"/>
      <w:lang w:eastAsia="en-US"/>
    </w:rPr>
  </w:style>
  <w:style w:type="paragraph" w:customStyle="1" w:styleId="120">
    <w:name w:val="Char Char Char Char"/>
    <w:basedOn w:val="1"/>
    <w:qFormat/>
    <w:uiPriority w:val="99"/>
    <w:pPr>
      <w:widowControl/>
      <w:spacing w:after="160" w:line="240" w:lineRule="exact"/>
      <w:jc w:val="left"/>
    </w:pPr>
  </w:style>
  <w:style w:type="character" w:customStyle="1" w:styleId="121">
    <w:name w:val="未处理的提及"/>
    <w:unhideWhenUsed/>
    <w:qFormat/>
    <w:uiPriority w:val="99"/>
    <w:rPr>
      <w:color w:val="605E5C"/>
      <w:shd w:val="clear" w:color="auto" w:fill="E1DFDD"/>
    </w:rPr>
  </w:style>
  <w:style w:type="paragraph" w:customStyle="1" w:styleId="122">
    <w:name w:val="_Style 121"/>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123">
    <w:name w:val="正文2 Char Char"/>
    <w:link w:val="124"/>
    <w:qFormat/>
    <w:uiPriority w:val="0"/>
    <w:rPr>
      <w:sz w:val="24"/>
    </w:rPr>
  </w:style>
  <w:style w:type="paragraph" w:customStyle="1" w:styleId="124">
    <w:name w:val="正文2"/>
    <w:basedOn w:val="1"/>
    <w:link w:val="123"/>
    <w:qFormat/>
    <w:uiPriority w:val="0"/>
    <w:pPr>
      <w:adjustRightInd w:val="0"/>
      <w:spacing w:before="156" w:line="360" w:lineRule="auto"/>
      <w:ind w:firstLine="510" w:firstLineChars="200"/>
    </w:pPr>
    <w:rPr>
      <w:kern w:val="0"/>
      <w:sz w:val="24"/>
      <w:szCs w:val="20"/>
    </w:rPr>
  </w:style>
  <w:style w:type="paragraph" w:customStyle="1" w:styleId="12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26">
    <w:name w:val="正文缩进1"/>
    <w:basedOn w:val="1"/>
    <w:next w:val="19"/>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127">
    <w:name w:val="标题 1 字符"/>
    <w:qFormat/>
    <w:uiPriority w:val="9"/>
    <w:rPr>
      <w:b/>
      <w:bCs/>
      <w:kern w:val="44"/>
      <w:sz w:val="44"/>
      <w:szCs w:val="44"/>
    </w:rPr>
  </w:style>
  <w:style w:type="character" w:customStyle="1" w:styleId="128">
    <w:name w:val="标题 2 字符"/>
    <w:qFormat/>
    <w:uiPriority w:val="9"/>
    <w:rPr>
      <w:rFonts w:ascii="Cambria" w:hAnsi="Cambria"/>
      <w:b/>
      <w:bCs/>
      <w:kern w:val="2"/>
      <w:sz w:val="32"/>
      <w:szCs w:val="32"/>
    </w:rPr>
  </w:style>
  <w:style w:type="character" w:customStyle="1" w:styleId="129">
    <w:name w:val="标题 3 字符"/>
    <w:qFormat/>
    <w:uiPriority w:val="9"/>
    <w:rPr>
      <w:b/>
      <w:bCs/>
      <w:kern w:val="2"/>
      <w:sz w:val="32"/>
      <w:szCs w:val="32"/>
    </w:rPr>
  </w:style>
  <w:style w:type="character" w:customStyle="1" w:styleId="130">
    <w:name w:val="标题 5 字符"/>
    <w:qFormat/>
    <w:uiPriority w:val="9"/>
    <w:rPr>
      <w:b/>
      <w:bCs/>
      <w:kern w:val="2"/>
      <w:sz w:val="28"/>
      <w:szCs w:val="28"/>
    </w:rPr>
  </w:style>
  <w:style w:type="character" w:customStyle="1" w:styleId="131">
    <w:name w:val="标题 8 字符"/>
    <w:qFormat/>
    <w:uiPriority w:val="9"/>
    <w:rPr>
      <w:rFonts w:ascii="等线 Light" w:hAnsi="等线 Light" w:eastAsia="等线 Light"/>
      <w:kern w:val="2"/>
      <w:sz w:val="24"/>
      <w:szCs w:val="24"/>
    </w:rPr>
  </w:style>
  <w:style w:type="character" w:customStyle="1" w:styleId="132">
    <w:name w:val="批注文字 字符2"/>
    <w:qFormat/>
    <w:uiPriority w:val="99"/>
    <w:rPr>
      <w:kern w:val="2"/>
      <w:sz w:val="21"/>
      <w:szCs w:val="24"/>
    </w:rPr>
  </w:style>
  <w:style w:type="character" w:customStyle="1" w:styleId="133">
    <w:name w:val="正文文本 3 字符"/>
    <w:qFormat/>
    <w:uiPriority w:val="99"/>
    <w:rPr>
      <w:kern w:val="2"/>
      <w:sz w:val="16"/>
      <w:szCs w:val="16"/>
    </w:rPr>
  </w:style>
  <w:style w:type="character" w:customStyle="1" w:styleId="134">
    <w:name w:val="正文文本 字符1"/>
    <w:qFormat/>
    <w:uiPriority w:val="99"/>
    <w:rPr>
      <w:kern w:val="2"/>
      <w:sz w:val="21"/>
      <w:szCs w:val="24"/>
    </w:rPr>
  </w:style>
  <w:style w:type="character" w:customStyle="1" w:styleId="135">
    <w:name w:val="正文文本缩进 字符"/>
    <w:qFormat/>
    <w:uiPriority w:val="99"/>
    <w:rPr>
      <w:rFonts w:ascii="仿宋_GB2312" w:eastAsia="仿宋_GB2312"/>
      <w:sz w:val="32"/>
    </w:rPr>
  </w:style>
  <w:style w:type="character" w:customStyle="1" w:styleId="136">
    <w:name w:val="纯文本 字符3"/>
    <w:qFormat/>
    <w:uiPriority w:val="99"/>
    <w:rPr>
      <w:rFonts w:ascii="宋体" w:hAnsi="Courier New"/>
      <w:szCs w:val="21"/>
    </w:rPr>
  </w:style>
  <w:style w:type="character" w:customStyle="1" w:styleId="137">
    <w:name w:val="日期 字符"/>
    <w:qFormat/>
    <w:uiPriority w:val="99"/>
    <w:rPr>
      <w:kern w:val="2"/>
      <w:sz w:val="21"/>
      <w:szCs w:val="24"/>
    </w:rPr>
  </w:style>
  <w:style w:type="character" w:customStyle="1" w:styleId="138">
    <w:name w:val="页脚 字符"/>
    <w:qFormat/>
    <w:uiPriority w:val="99"/>
    <w:rPr>
      <w:sz w:val="18"/>
      <w:szCs w:val="18"/>
    </w:rPr>
  </w:style>
  <w:style w:type="character" w:customStyle="1" w:styleId="139">
    <w:name w:val="页眉 字符"/>
    <w:qFormat/>
    <w:uiPriority w:val="99"/>
    <w:rPr>
      <w:sz w:val="18"/>
      <w:szCs w:val="18"/>
    </w:rPr>
  </w:style>
  <w:style w:type="character" w:customStyle="1" w:styleId="140">
    <w:name w:val="批注主题 字符"/>
    <w:qFormat/>
    <w:uiPriority w:val="99"/>
    <w:rPr>
      <w:rFonts w:ascii="Times New Roman" w:hAnsi="Times New Roman"/>
      <w:b/>
      <w:bCs/>
      <w:kern w:val="2"/>
      <w:sz w:val="21"/>
      <w:szCs w:val="24"/>
    </w:rPr>
  </w:style>
  <w:style w:type="paragraph" w:customStyle="1" w:styleId="141">
    <w:name w:val="_Style 94"/>
    <w:basedOn w:val="1"/>
    <w:unhideWhenUsed/>
    <w:qFormat/>
    <w:uiPriority w:val="99"/>
  </w:style>
  <w:style w:type="paragraph" w:customStyle="1" w:styleId="142">
    <w:name w:val="_Style 95"/>
    <w:basedOn w:val="1"/>
    <w:unhideWhenUsed/>
    <w:qFormat/>
    <w:uiPriority w:val="99"/>
  </w:style>
  <w:style w:type="paragraph" w:customStyle="1" w:styleId="143">
    <w:name w:val="msonormal"/>
    <w:basedOn w:val="1"/>
    <w:qFormat/>
    <w:uiPriority w:val="99"/>
    <w:rPr>
      <w:rFonts w:ascii="Calibri" w:hAnsi="Calibri"/>
      <w:kern w:val="0"/>
      <w:sz w:val="24"/>
    </w:rPr>
  </w:style>
  <w:style w:type="paragraph" w:customStyle="1" w:styleId="14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页脚_2"/>
    <w:basedOn w:val="144"/>
    <w:unhideWhenUsed/>
    <w:qFormat/>
    <w:uiPriority w:val="99"/>
    <w:pPr>
      <w:tabs>
        <w:tab w:val="center" w:pos="4153"/>
        <w:tab w:val="right" w:pos="8306"/>
      </w:tabs>
      <w:snapToGrid w:val="0"/>
      <w:jc w:val="left"/>
    </w:pPr>
    <w:rPr>
      <w:sz w:val="18"/>
      <w:szCs w:val="18"/>
    </w:rPr>
  </w:style>
  <w:style w:type="paragraph" w:customStyle="1" w:styleId="14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_3"/>
    <w:basedOn w:val="1"/>
    <w:qFormat/>
    <w:uiPriority w:val="0"/>
    <w:rPr>
      <w:szCs w:val="22"/>
    </w:rPr>
  </w:style>
  <w:style w:type="paragraph" w:customStyle="1" w:styleId="150">
    <w:name w:val="正文_4"/>
    <w:basedOn w:val="1"/>
    <w:qFormat/>
    <w:uiPriority w:val="0"/>
    <w:rPr>
      <w:rFonts w:ascii="Calibri" w:hAnsi="Calibri"/>
      <w:szCs w:val="22"/>
    </w:rPr>
  </w:style>
  <w:style w:type="character" w:customStyle="1" w:styleId="151">
    <w:name w:val="10_0"/>
    <w:basedOn w:val="51"/>
    <w:qFormat/>
    <w:uiPriority w:val="0"/>
    <w:rPr>
      <w:rFonts w:hint="default" w:ascii="Times New Roman" w:hAnsi="Times New Roman" w:cs="Times New Roman"/>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154">
    <w:name w:val="Char Char2"/>
    <w:qFormat/>
    <w:uiPriority w:val="0"/>
    <w:rPr>
      <w:rFonts w:ascii="华文行楷" w:hAnsi="仿宋_GB2312" w:eastAsia="华文行楷" w:cs="Times New Roman"/>
      <w:color w:val="000000"/>
      <w:kern w:val="2"/>
      <w:sz w:val="21"/>
      <w:lang w:val="en-US" w:eastAsia="zh-CN"/>
    </w:rPr>
  </w:style>
  <w:style w:type="character" w:customStyle="1" w:styleId="155">
    <w:name w:val="Char Char"/>
    <w:qFormat/>
    <w:uiPriority w:val="0"/>
    <w:rPr>
      <w:rFonts w:ascii="Times New Roman" w:hAnsi="Times New Roman" w:eastAsia="华文行楷" w:cs="Times New Roman"/>
      <w:kern w:val="2"/>
      <w:sz w:val="24"/>
      <w:lang w:val="en-US" w:eastAsia="zh-CN"/>
    </w:rPr>
  </w:style>
  <w:style w:type="character" w:customStyle="1" w:styleId="156">
    <w:name w:val="Intense Emphasis1"/>
    <w:qFormat/>
    <w:uiPriority w:val="0"/>
    <w:rPr>
      <w:rFonts w:ascii="Times New Roman" w:hAnsi="Times New Roman" w:eastAsia="宋体" w:cs="Times New Roman"/>
      <w:b/>
      <w:i/>
      <w:color w:val="4F81BD"/>
    </w:rPr>
  </w:style>
  <w:style w:type="character" w:customStyle="1" w:styleId="157">
    <w:name w:val="Char Char181"/>
    <w:qFormat/>
    <w:uiPriority w:val="0"/>
    <w:rPr>
      <w:rFonts w:ascii="Times New Roman" w:hAnsi="Times New Roman" w:eastAsia="宋体" w:cs="Times New Roman"/>
      <w:b/>
      <w:kern w:val="44"/>
      <w:sz w:val="44"/>
    </w:rPr>
  </w:style>
  <w:style w:type="character" w:customStyle="1" w:styleId="158">
    <w:name w:val="批注文字 Char2"/>
    <w:qFormat/>
    <w:uiPriority w:val="0"/>
    <w:rPr>
      <w:rFonts w:ascii="Times New Roman" w:hAnsi="Times New Roman" w:eastAsia="宋体" w:cs="Times New Roman"/>
      <w:kern w:val="2"/>
      <w:sz w:val="24"/>
    </w:rPr>
  </w:style>
  <w:style w:type="character" w:customStyle="1" w:styleId="159">
    <w:name w:val="Char Char14"/>
    <w:qFormat/>
    <w:uiPriority w:val="0"/>
    <w:rPr>
      <w:rFonts w:ascii="Courier New" w:hAnsi="Courier New" w:eastAsia="宋体" w:cs="Times New Roman"/>
      <w:b/>
      <w:sz w:val="24"/>
      <w:lang w:val="en-US" w:eastAsia="zh-CN"/>
    </w:rPr>
  </w:style>
  <w:style w:type="character" w:customStyle="1" w:styleId="160">
    <w:name w:val="引用 Char1"/>
    <w:qFormat/>
    <w:uiPriority w:val="0"/>
    <w:rPr>
      <w:rFonts w:ascii="Times New Roman" w:hAnsi="Times New Roman" w:eastAsia="宋体" w:cs="Times New Roman"/>
      <w:i/>
      <w:color w:val="000000"/>
      <w:sz w:val="24"/>
    </w:rPr>
  </w:style>
  <w:style w:type="character" w:customStyle="1" w:styleId="161">
    <w:name w:val="批注主题 Char1"/>
    <w:qFormat/>
    <w:uiPriority w:val="0"/>
    <w:rPr>
      <w:rFonts w:ascii="Times New Roman" w:hAnsi="Times New Roman" w:eastAsia="宋体" w:cs="Times New Roman"/>
      <w:b/>
      <w:sz w:val="24"/>
    </w:rPr>
  </w:style>
  <w:style w:type="character" w:customStyle="1" w:styleId="162">
    <w:name w:val="文档结构图 Char"/>
    <w:qFormat/>
    <w:uiPriority w:val="0"/>
    <w:rPr>
      <w:rFonts w:ascii="Times New Roman" w:hAnsi="Times New Roman" w:eastAsia="宋体" w:cs="Times New Roman"/>
      <w:sz w:val="24"/>
      <w:shd w:val="clear" w:color="auto" w:fill="000080"/>
    </w:rPr>
  </w:style>
  <w:style w:type="character" w:customStyle="1" w:styleId="163">
    <w:name w:val="Footnote Text Char"/>
    <w:basedOn w:val="51"/>
    <w:qFormat/>
    <w:uiPriority w:val="0"/>
    <w:rPr>
      <w:rFonts w:ascii="Times New Roman" w:hAnsi="Times New Roman" w:eastAsia="宋体" w:cs="Times New Roman"/>
      <w:sz w:val="18"/>
      <w:lang w:val="en-US" w:eastAsia="zh-CN"/>
    </w:rPr>
  </w:style>
  <w:style w:type="character" w:customStyle="1" w:styleId="164">
    <w:name w:val="Char Char20"/>
    <w:qFormat/>
    <w:uiPriority w:val="0"/>
    <w:rPr>
      <w:rFonts w:ascii="Times New Roman" w:hAnsi="Times New Roman" w:eastAsia="宋体" w:cs="Times New Roman"/>
      <w:b/>
      <w:sz w:val="32"/>
    </w:rPr>
  </w:style>
  <w:style w:type="character" w:customStyle="1" w:styleId="165">
    <w:name w:val="明显引用 Char1"/>
    <w:qFormat/>
    <w:uiPriority w:val="0"/>
    <w:rPr>
      <w:rFonts w:ascii="Times New Roman" w:hAnsi="Times New Roman" w:eastAsia="宋体" w:cs="Times New Roman"/>
      <w:b/>
      <w:i/>
      <w:color w:val="4F81BD"/>
      <w:sz w:val="24"/>
    </w:rPr>
  </w:style>
  <w:style w:type="character" w:customStyle="1" w:styleId="166">
    <w:name w:val="Char Char17"/>
    <w:qFormat/>
    <w:uiPriority w:val="0"/>
    <w:rPr>
      <w:rFonts w:ascii="Courier New" w:hAnsi="Courier New" w:eastAsia="宋体" w:cs="Times New Roman"/>
      <w:b/>
      <w:kern w:val="2"/>
      <w:sz w:val="32"/>
      <w:lang w:val="en-US" w:eastAsia="zh-CN"/>
    </w:rPr>
  </w:style>
  <w:style w:type="character" w:customStyle="1" w:styleId="167">
    <w:name w:val="Header Char"/>
    <w:basedOn w:val="51"/>
    <w:qFormat/>
    <w:uiPriority w:val="0"/>
    <w:rPr>
      <w:rFonts w:ascii="Times New Roman" w:hAnsi="Times New Roman" w:eastAsia="宋体" w:cs="Times New Roman"/>
      <w:kern w:val="2"/>
      <w:sz w:val="18"/>
      <w:lang w:val="en-US" w:eastAsia="zh-CN"/>
    </w:rPr>
  </w:style>
  <w:style w:type="character" w:customStyle="1" w:styleId="168">
    <w:name w:val="Char Char15"/>
    <w:qFormat/>
    <w:uiPriority w:val="0"/>
    <w:rPr>
      <w:rFonts w:ascii="Courier New" w:hAnsi="Courier New" w:eastAsia="宋体" w:cs="Times New Roman"/>
      <w:b/>
      <w:kern w:val="2"/>
      <w:sz w:val="28"/>
      <w:lang w:val="en-US" w:eastAsia="zh-CN"/>
    </w:rPr>
  </w:style>
  <w:style w:type="character" w:customStyle="1" w:styleId="169">
    <w:name w:val="Char Char19"/>
    <w:qFormat/>
    <w:uiPriority w:val="0"/>
    <w:rPr>
      <w:rFonts w:ascii="Arial" w:hAnsi="Arial" w:eastAsia="宋体" w:cs="Times New Roman"/>
      <w:b/>
      <w:sz w:val="28"/>
    </w:rPr>
  </w:style>
  <w:style w:type="character" w:customStyle="1" w:styleId="170">
    <w:name w:val="Char Char12"/>
    <w:qFormat/>
    <w:uiPriority w:val="0"/>
    <w:rPr>
      <w:rFonts w:ascii="Courier New" w:hAnsi="Courier New" w:eastAsia="宋体" w:cs="Times New Roman"/>
      <w:sz w:val="24"/>
      <w:lang w:val="en-US" w:eastAsia="zh-CN"/>
    </w:rPr>
  </w:style>
  <w:style w:type="character" w:customStyle="1" w:styleId="171">
    <w:name w:val="手改 Char Char"/>
    <w:qFormat/>
    <w:uiPriority w:val="0"/>
    <w:rPr>
      <w:rFonts w:ascii="Times New Roman" w:hAnsi="Times New Roman" w:eastAsia="华文行楷" w:cs="Times New Roman"/>
      <w:kern w:val="2"/>
      <w:sz w:val="24"/>
      <w:lang w:val="en-US" w:eastAsia="zh-CN"/>
    </w:rPr>
  </w:style>
  <w:style w:type="character" w:customStyle="1" w:styleId="172">
    <w:name w:val="Balloon Text Char"/>
    <w:basedOn w:val="51"/>
    <w:qFormat/>
    <w:uiPriority w:val="0"/>
    <w:rPr>
      <w:rFonts w:ascii="Times New Roman" w:hAnsi="Times New Roman" w:eastAsia="宋体" w:cs="Times New Roman"/>
      <w:sz w:val="18"/>
    </w:rPr>
  </w:style>
  <w:style w:type="character" w:customStyle="1" w:styleId="173">
    <w:name w:val="Char Char6"/>
    <w:qFormat/>
    <w:uiPriority w:val="0"/>
    <w:rPr>
      <w:rFonts w:ascii="Times New Roman" w:hAnsi="Times New Roman" w:eastAsia="宋体" w:cs="Times New Roman"/>
      <w:b/>
      <w:kern w:val="44"/>
      <w:sz w:val="44"/>
      <w:lang w:val="en-US" w:eastAsia="zh-CN"/>
    </w:rPr>
  </w:style>
  <w:style w:type="character" w:customStyle="1" w:styleId="174">
    <w:name w:val="Char Char18"/>
    <w:qFormat/>
    <w:uiPriority w:val="0"/>
    <w:rPr>
      <w:rFonts w:ascii="Times New Roman" w:hAnsi="Times New Roman" w:eastAsia="宋体" w:cs="Times New Roman"/>
      <w:b/>
      <w:sz w:val="28"/>
    </w:rPr>
  </w:style>
  <w:style w:type="character" w:customStyle="1" w:styleId="175">
    <w:name w:val="Char Char91"/>
    <w:qFormat/>
    <w:uiPriority w:val="0"/>
    <w:rPr>
      <w:rFonts w:ascii="Times New Roman" w:hAnsi="Times New Roman" w:eastAsia="宋体" w:cs="Times New Roman"/>
      <w:b/>
      <w:kern w:val="44"/>
      <w:sz w:val="44"/>
      <w:lang w:val="en-US" w:eastAsia="zh-CN"/>
    </w:rPr>
  </w:style>
  <w:style w:type="character" w:customStyle="1" w:styleId="176">
    <w:name w:val="日期 Char1"/>
    <w:qFormat/>
    <w:uiPriority w:val="0"/>
    <w:rPr>
      <w:rFonts w:ascii="Times New Roman" w:hAnsi="Times New Roman" w:eastAsia="宋体" w:cs="Times New Roman"/>
      <w:sz w:val="24"/>
    </w:rPr>
  </w:style>
  <w:style w:type="character" w:customStyle="1" w:styleId="177">
    <w:name w:val="Date Char"/>
    <w:basedOn w:val="51"/>
    <w:qFormat/>
    <w:uiPriority w:val="0"/>
    <w:rPr>
      <w:rFonts w:ascii="Times New Roman" w:hAnsi="Times New Roman" w:eastAsia="宋体" w:cs="Times New Roman"/>
      <w:kern w:val="2"/>
      <w:sz w:val="24"/>
      <w:lang w:val="en-US" w:eastAsia="zh-CN"/>
    </w:rPr>
  </w:style>
  <w:style w:type="character" w:customStyle="1" w:styleId="178">
    <w:name w:val="Subtle Emphasis1"/>
    <w:qFormat/>
    <w:uiPriority w:val="0"/>
    <w:rPr>
      <w:rFonts w:ascii="Times New Roman" w:hAnsi="Times New Roman" w:eastAsia="宋体" w:cs="Times New Roman"/>
      <w:i/>
      <w:color w:val="808080"/>
    </w:rPr>
  </w:style>
  <w:style w:type="character" w:customStyle="1" w:styleId="179">
    <w:name w:val="Body Text Indent Char"/>
    <w:basedOn w:val="51"/>
    <w:qFormat/>
    <w:uiPriority w:val="0"/>
    <w:rPr>
      <w:rFonts w:ascii="宋体" w:hAnsi="宋体" w:eastAsia="宋体" w:cs="Times New Roman"/>
      <w:kern w:val="2"/>
      <w:sz w:val="21"/>
      <w:lang w:val="en-US" w:eastAsia="zh-CN"/>
    </w:rPr>
  </w:style>
  <w:style w:type="character" w:customStyle="1" w:styleId="180">
    <w:name w:val="批注框文本 Char1"/>
    <w:qFormat/>
    <w:uiPriority w:val="0"/>
    <w:rPr>
      <w:rFonts w:ascii="Times New Roman" w:hAnsi="Times New Roman" w:eastAsia="宋体" w:cs="Times New Roman"/>
      <w:sz w:val="18"/>
    </w:rPr>
  </w:style>
  <w:style w:type="character" w:customStyle="1" w:styleId="181">
    <w:name w:val="Heading 4 Char"/>
    <w:basedOn w:val="51"/>
    <w:qFormat/>
    <w:uiPriority w:val="0"/>
    <w:rPr>
      <w:rFonts w:ascii="Arial" w:hAnsi="Arial" w:eastAsia="宋体" w:cs="Times New Roman"/>
      <w:b/>
      <w:kern w:val="2"/>
      <w:sz w:val="28"/>
      <w:lang w:val="en-US" w:eastAsia="zh-CN"/>
    </w:rPr>
  </w:style>
  <w:style w:type="character" w:customStyle="1" w:styleId="182">
    <w:name w:val="Char Char7"/>
    <w:qFormat/>
    <w:uiPriority w:val="0"/>
    <w:rPr>
      <w:rFonts w:ascii="Courier New" w:hAnsi="Courier New" w:eastAsia="华文行楷" w:cs="Times New Roman"/>
      <w:b/>
      <w:sz w:val="32"/>
      <w:lang w:val="en-US" w:eastAsia="zh-CN"/>
    </w:rPr>
  </w:style>
  <w:style w:type="character" w:customStyle="1" w:styleId="183">
    <w:name w:val="Char Char21"/>
    <w:qFormat/>
    <w:uiPriority w:val="0"/>
    <w:rPr>
      <w:rFonts w:ascii="Arial" w:hAnsi="Arial" w:eastAsia="黑体" w:cs="Times New Roman"/>
      <w:b/>
      <w:sz w:val="32"/>
    </w:rPr>
  </w:style>
  <w:style w:type="character" w:customStyle="1" w:styleId="184">
    <w:name w:val="Intense Quote Char"/>
    <w:basedOn w:val="51"/>
    <w:link w:val="185"/>
    <w:qFormat/>
    <w:uiPriority w:val="0"/>
    <w:rPr>
      <w:rFonts w:ascii="Calibri" w:hAnsi="Calibri" w:eastAsia="宋体" w:cs="Times New Roman"/>
      <w:b/>
      <w:bCs/>
      <w:i/>
      <w:iCs/>
      <w:color w:val="4F81BD"/>
      <w:kern w:val="0"/>
      <w:sz w:val="20"/>
      <w:szCs w:val="20"/>
    </w:rPr>
  </w:style>
  <w:style w:type="paragraph" w:customStyle="1" w:styleId="185">
    <w:name w:val="Intense Quote"/>
    <w:basedOn w:val="1"/>
    <w:next w:val="1"/>
    <w:link w:val="184"/>
    <w:qFormat/>
    <w:uiPriority w:val="0"/>
    <w:pPr>
      <w:pBdr>
        <w:bottom w:val="single" w:color="4F81BD" w:sz="4" w:space="4"/>
      </w:pBdr>
      <w:spacing w:before="200" w:after="280"/>
      <w:ind w:left="936" w:right="936"/>
    </w:pPr>
    <w:rPr>
      <w:rFonts w:ascii="Calibri" w:hAnsi="Calibri" w:eastAsia="宋体" w:cs="Times New Roman"/>
      <w:b/>
      <w:bCs/>
      <w:i/>
      <w:iCs/>
      <w:color w:val="4F81BD"/>
      <w:kern w:val="0"/>
      <w:sz w:val="20"/>
      <w:szCs w:val="20"/>
    </w:rPr>
  </w:style>
  <w:style w:type="character" w:customStyle="1" w:styleId="186">
    <w:name w:val="批注主题 Char"/>
    <w:qFormat/>
    <w:uiPriority w:val="0"/>
    <w:rPr>
      <w:rFonts w:ascii="Times New Roman" w:hAnsi="Times New Roman" w:eastAsia="宋体" w:cs="Times New Roman"/>
      <w:b/>
      <w:sz w:val="24"/>
    </w:rPr>
  </w:style>
  <w:style w:type="character" w:customStyle="1" w:styleId="187">
    <w:name w:val="批注文字 Char1"/>
    <w:qFormat/>
    <w:uiPriority w:val="0"/>
    <w:rPr>
      <w:rFonts w:ascii="Times New Roman" w:hAnsi="Times New Roman" w:eastAsia="宋体" w:cs="Times New Roman"/>
      <w:sz w:val="24"/>
    </w:rPr>
  </w:style>
  <w:style w:type="character" w:customStyle="1" w:styleId="188">
    <w:name w:val="页眉 Char"/>
    <w:qFormat/>
    <w:uiPriority w:val="0"/>
    <w:rPr>
      <w:rFonts w:ascii="Times New Roman" w:hAnsi="Times New Roman" w:eastAsia="宋体" w:cs="Times New Roman"/>
      <w:sz w:val="18"/>
    </w:rPr>
  </w:style>
  <w:style w:type="character" w:customStyle="1" w:styleId="189">
    <w:name w:val="尾注文本 Char"/>
    <w:qFormat/>
    <w:uiPriority w:val="0"/>
    <w:rPr>
      <w:rFonts w:ascii="Times New Roman" w:hAnsi="Times New Roman" w:eastAsia="宋体" w:cs="Times New Roman"/>
      <w:sz w:val="24"/>
    </w:rPr>
  </w:style>
  <w:style w:type="character" w:customStyle="1" w:styleId="190">
    <w:name w:val="Book Title1"/>
    <w:qFormat/>
    <w:uiPriority w:val="0"/>
    <w:rPr>
      <w:rFonts w:ascii="Times New Roman" w:hAnsi="Times New Roman" w:eastAsia="宋体" w:cs="Times New Roman"/>
      <w:b/>
      <w:smallCaps/>
      <w:spacing w:val="5"/>
    </w:rPr>
  </w:style>
  <w:style w:type="character" w:customStyle="1" w:styleId="191">
    <w:name w:val="Body Text Indent 2 Char"/>
    <w:basedOn w:val="51"/>
    <w:qFormat/>
    <w:uiPriority w:val="0"/>
    <w:rPr>
      <w:rFonts w:ascii="Times New Roman" w:hAnsi="Times New Roman" w:eastAsia="宋体" w:cs="Times New Roman"/>
      <w:kern w:val="2"/>
      <w:sz w:val="24"/>
      <w:lang w:val="en-US" w:eastAsia="zh-CN"/>
    </w:rPr>
  </w:style>
  <w:style w:type="character" w:customStyle="1" w:styleId="192">
    <w:name w:val="apple-converted-space"/>
    <w:basedOn w:val="51"/>
    <w:qFormat/>
    <w:uiPriority w:val="0"/>
    <w:rPr>
      <w:rFonts w:ascii="Times New Roman" w:hAnsi="Times New Roman" w:eastAsia="宋体" w:cs="Times New Roman"/>
    </w:rPr>
  </w:style>
  <w:style w:type="character" w:customStyle="1" w:styleId="193">
    <w:name w:val="引用 Char"/>
    <w:qFormat/>
    <w:uiPriority w:val="0"/>
    <w:rPr>
      <w:rFonts w:ascii="Times New Roman" w:hAnsi="Times New Roman" w:eastAsia="宋体" w:cs="Times New Roman"/>
      <w:i/>
      <w:color w:val="000000"/>
    </w:rPr>
  </w:style>
  <w:style w:type="character" w:customStyle="1" w:styleId="194">
    <w:name w:val="正文文本缩进 3 Char1"/>
    <w:basedOn w:val="51"/>
    <w:qFormat/>
    <w:uiPriority w:val="0"/>
    <w:rPr>
      <w:rFonts w:ascii="Times New Roman" w:hAnsi="Times New Roman" w:eastAsia="宋体" w:cs="Times New Roman"/>
      <w:kern w:val="2"/>
      <w:sz w:val="16"/>
      <w:szCs w:val="16"/>
    </w:rPr>
  </w:style>
  <w:style w:type="character" w:customStyle="1" w:styleId="195">
    <w:name w:val="Char Char1"/>
    <w:qFormat/>
    <w:uiPriority w:val="0"/>
    <w:rPr>
      <w:rFonts w:ascii="华文行楷" w:hAnsi="华文行楷" w:eastAsia="华文行楷" w:cs="Times New Roman"/>
      <w:kern w:val="2"/>
      <w:sz w:val="24"/>
      <w:lang w:val="en-US" w:eastAsia="zh-CN"/>
    </w:rPr>
  </w:style>
  <w:style w:type="character" w:customStyle="1" w:styleId="196">
    <w:name w:val="Char Char11"/>
    <w:qFormat/>
    <w:uiPriority w:val="0"/>
    <w:rPr>
      <w:rFonts w:ascii="Courier New" w:hAnsi="Courier New" w:eastAsia="宋体" w:cs="Times New Roman"/>
      <w:sz w:val="21"/>
      <w:lang w:val="en-US" w:eastAsia="zh-CN"/>
    </w:rPr>
  </w:style>
  <w:style w:type="character" w:customStyle="1" w:styleId="197">
    <w:name w:val="正文文本 3 Char1"/>
    <w:basedOn w:val="51"/>
    <w:qFormat/>
    <w:uiPriority w:val="0"/>
    <w:rPr>
      <w:rFonts w:ascii="Times New Roman" w:hAnsi="Times New Roman" w:eastAsia="宋体" w:cs="Times New Roman"/>
      <w:kern w:val="2"/>
      <w:sz w:val="16"/>
      <w:szCs w:val="16"/>
    </w:rPr>
  </w:style>
  <w:style w:type="character" w:customStyle="1" w:styleId="198">
    <w:name w:val="批注框文本 Char"/>
    <w:qFormat/>
    <w:uiPriority w:val="0"/>
    <w:rPr>
      <w:rFonts w:ascii="Times New Roman" w:hAnsi="Times New Roman" w:eastAsia="宋体" w:cs="Times New Roman"/>
      <w:sz w:val="18"/>
    </w:rPr>
  </w:style>
  <w:style w:type="character" w:customStyle="1" w:styleId="199">
    <w:name w:val="标题5 Char Char"/>
    <w:link w:val="200"/>
    <w:qFormat/>
    <w:uiPriority w:val="0"/>
    <w:rPr>
      <w:rFonts w:ascii="Arial" w:hAnsi="Arial" w:eastAsia="宋体" w:cs="Times New Roman"/>
      <w:bCs/>
      <w:kern w:val="0"/>
      <w:sz w:val="32"/>
      <w:szCs w:val="20"/>
    </w:rPr>
  </w:style>
  <w:style w:type="paragraph" w:customStyle="1" w:styleId="200">
    <w:name w:val="标题5"/>
    <w:basedOn w:val="4"/>
    <w:link w:val="199"/>
    <w:qFormat/>
    <w:uiPriority w:val="0"/>
    <w:pPr>
      <w:spacing w:before="260" w:after="260" w:line="413" w:lineRule="auto"/>
    </w:pPr>
    <w:rPr>
      <w:rFonts w:ascii="Arial" w:hAnsi="Arial" w:eastAsia="宋体" w:cs="Times New Roman"/>
      <w:bCs w:val="0"/>
      <w:kern w:val="0"/>
      <w:sz w:val="32"/>
      <w:szCs w:val="20"/>
    </w:rPr>
  </w:style>
  <w:style w:type="character" w:customStyle="1" w:styleId="201">
    <w:name w:val="明显引用 Char"/>
    <w:qFormat/>
    <w:uiPriority w:val="0"/>
    <w:rPr>
      <w:rFonts w:ascii="Times New Roman" w:hAnsi="Times New Roman" w:eastAsia="宋体" w:cs="Times New Roman"/>
      <w:b/>
      <w:i/>
      <w:color w:val="4F81BD"/>
    </w:rPr>
  </w:style>
  <w:style w:type="character" w:customStyle="1" w:styleId="202">
    <w:name w:val="font161"/>
    <w:qFormat/>
    <w:uiPriority w:val="0"/>
    <w:rPr>
      <w:rFonts w:ascii="Times New Roman" w:hAnsi="Times New Roman" w:eastAsia="宋体" w:cs="Times New Roman"/>
      <w:b/>
      <w:sz w:val="32"/>
    </w:rPr>
  </w:style>
  <w:style w:type="character" w:customStyle="1" w:styleId="203">
    <w:name w:val="Char Char22"/>
    <w:qFormat/>
    <w:uiPriority w:val="0"/>
    <w:rPr>
      <w:rFonts w:ascii="Times New Roman" w:hAnsi="Times New Roman" w:eastAsia="宋体" w:cs="Times New Roman"/>
      <w:b/>
      <w:kern w:val="44"/>
      <w:sz w:val="44"/>
    </w:rPr>
  </w:style>
  <w:style w:type="character" w:customStyle="1" w:styleId="204">
    <w:name w:val="Char Char13"/>
    <w:qFormat/>
    <w:uiPriority w:val="0"/>
    <w:rPr>
      <w:rFonts w:ascii="Times New Roman" w:hAnsi="Times New Roman" w:eastAsia="华文行楷" w:cs="Times New Roman"/>
      <w:b/>
      <w:sz w:val="24"/>
      <w:lang w:val="en-US" w:eastAsia="zh-CN"/>
    </w:rPr>
  </w:style>
  <w:style w:type="character" w:customStyle="1" w:styleId="205">
    <w:name w:val="正文文本 Char1"/>
    <w:qFormat/>
    <w:uiPriority w:val="0"/>
    <w:rPr>
      <w:rFonts w:ascii="Times New Roman" w:hAnsi="Times New Roman" w:eastAsia="宋体" w:cs="Times New Roman"/>
      <w:kern w:val="2"/>
      <w:sz w:val="22"/>
    </w:rPr>
  </w:style>
  <w:style w:type="character" w:customStyle="1" w:styleId="206">
    <w:name w:val="Comment Text Char1"/>
    <w:qFormat/>
    <w:uiPriority w:val="0"/>
    <w:rPr>
      <w:rFonts w:ascii="Times New Roman" w:hAnsi="Times New Roman" w:eastAsia="宋体" w:cs="Times New Roman"/>
      <w:sz w:val="24"/>
    </w:rPr>
  </w:style>
  <w:style w:type="character" w:customStyle="1" w:styleId="207">
    <w:name w:val="正文文本 2 Char1"/>
    <w:basedOn w:val="51"/>
    <w:qFormat/>
    <w:uiPriority w:val="0"/>
    <w:rPr>
      <w:rFonts w:ascii="Times New Roman" w:hAnsi="Times New Roman" w:eastAsia="宋体" w:cs="Times New Roman"/>
      <w:kern w:val="2"/>
      <w:sz w:val="24"/>
      <w:szCs w:val="24"/>
    </w:rPr>
  </w:style>
  <w:style w:type="character" w:customStyle="1" w:styleId="208">
    <w:name w:val="Heading 3 Char1"/>
    <w:qFormat/>
    <w:uiPriority w:val="0"/>
    <w:rPr>
      <w:rFonts w:ascii="Times New Roman" w:hAnsi="Times New Roman" w:eastAsia="宋体" w:cs="Times New Roman"/>
      <w:b/>
      <w:kern w:val="2"/>
      <w:sz w:val="32"/>
      <w:lang w:val="en-US" w:eastAsia="zh-CN"/>
    </w:rPr>
  </w:style>
  <w:style w:type="character" w:customStyle="1" w:styleId="209">
    <w:name w:val="Char Char3"/>
    <w:qFormat/>
    <w:uiPriority w:val="0"/>
    <w:rPr>
      <w:rFonts w:ascii="Arial" w:hAnsi="Times New Roman" w:eastAsia="Times New Roman" w:cs="Times New Roman"/>
      <w:kern w:val="2"/>
      <w:sz w:val="24"/>
      <w:lang w:val="en-US" w:eastAsia="zh-CN"/>
    </w:rPr>
  </w:style>
  <w:style w:type="character" w:customStyle="1" w:styleId="210">
    <w:name w:val="Char Char10"/>
    <w:qFormat/>
    <w:uiPriority w:val="0"/>
    <w:rPr>
      <w:rFonts w:ascii="Times New Roman" w:hAnsi="Times New Roman" w:eastAsia="华文行楷" w:cs="Times New Roman"/>
      <w:kern w:val="2"/>
      <w:sz w:val="18"/>
      <w:lang w:val="en-US" w:eastAsia="zh-CN"/>
    </w:rPr>
  </w:style>
  <w:style w:type="character" w:customStyle="1" w:styleId="211">
    <w:name w:val="Heading 2 Char"/>
    <w:basedOn w:val="51"/>
    <w:qFormat/>
    <w:uiPriority w:val="0"/>
    <w:rPr>
      <w:rFonts w:ascii="Arial" w:hAnsi="Arial" w:eastAsia="黑体" w:cs="Times New Roman"/>
      <w:b/>
      <w:kern w:val="2"/>
      <w:sz w:val="32"/>
      <w:lang w:val="en-US" w:eastAsia="zh-CN"/>
    </w:rPr>
  </w:style>
  <w:style w:type="character" w:customStyle="1" w:styleId="212">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3">
    <w:name w:val="一 Char"/>
    <w:link w:val="214"/>
    <w:qFormat/>
    <w:uiPriority w:val="0"/>
    <w:rPr>
      <w:rFonts w:ascii="Times New Roman" w:hAnsi="Times New Roman" w:eastAsia="华文中宋" w:cs="Times New Roman"/>
      <w:b/>
      <w:color w:val="FF3F00"/>
      <w:sz w:val="32"/>
      <w:szCs w:val="20"/>
    </w:rPr>
  </w:style>
  <w:style w:type="paragraph" w:customStyle="1" w:styleId="214">
    <w:name w:val="一"/>
    <w:basedOn w:val="25"/>
    <w:link w:val="213"/>
    <w:qFormat/>
    <w:uiPriority w:val="0"/>
    <w:pPr>
      <w:adjustRightInd w:val="0"/>
      <w:snapToGrid w:val="0"/>
      <w:spacing w:line="360" w:lineRule="auto"/>
      <w:jc w:val="left"/>
      <w:outlineLvl w:val="0"/>
    </w:pPr>
    <w:rPr>
      <w:rFonts w:ascii="Times New Roman" w:hAnsi="Times New Roman" w:eastAsia="华文中宋" w:cs="Times New Roman"/>
      <w:b/>
      <w:color w:val="FF3F00"/>
      <w:sz w:val="32"/>
      <w:szCs w:val="20"/>
    </w:rPr>
  </w:style>
  <w:style w:type="character" w:customStyle="1" w:styleId="215">
    <w:name w:val="标题 2 Char1"/>
    <w:qFormat/>
    <w:uiPriority w:val="0"/>
    <w:rPr>
      <w:rFonts w:ascii="Arial" w:hAnsi="Arial" w:eastAsia="黑体" w:cs="Times New Roman"/>
      <w:b/>
      <w:kern w:val="2"/>
      <w:sz w:val="32"/>
      <w:lang w:val="en-US" w:eastAsia="zh-CN"/>
    </w:rPr>
  </w:style>
  <w:style w:type="character" w:customStyle="1" w:styleId="216">
    <w:name w:val="正文文字4 Char Char"/>
    <w:qFormat/>
    <w:uiPriority w:val="0"/>
    <w:rPr>
      <w:rFonts w:ascii="Times New Roman" w:hAnsi="Times New Roman" w:eastAsia="华文行楷" w:cs="Times New Roman"/>
      <w:kern w:val="2"/>
      <w:sz w:val="24"/>
      <w:lang w:val="en-US" w:eastAsia="zh-CN"/>
    </w:rPr>
  </w:style>
  <w:style w:type="character" w:customStyle="1" w:styleId="217">
    <w:name w:val="纯文本 Char1"/>
    <w:qFormat/>
    <w:uiPriority w:val="0"/>
    <w:rPr>
      <w:rFonts w:ascii="宋体" w:hAnsi="Courier New" w:eastAsia="宋体" w:cs="Times New Roman"/>
      <w:sz w:val="21"/>
    </w:rPr>
  </w:style>
  <w:style w:type="character" w:customStyle="1" w:styleId="218">
    <w:name w:val="纯文本 Char3"/>
    <w:qFormat/>
    <w:uiPriority w:val="0"/>
    <w:rPr>
      <w:rFonts w:ascii="宋体" w:hAnsi="Courier New" w:eastAsia="宋体" w:cs="Times New Roman"/>
      <w:sz w:val="24"/>
    </w:rPr>
  </w:style>
  <w:style w:type="character" w:customStyle="1" w:styleId="219">
    <w:name w:val="Char Char61"/>
    <w:qFormat/>
    <w:uiPriority w:val="0"/>
    <w:rPr>
      <w:rFonts w:ascii="Times New Roman" w:hAnsi="Times New Roman" w:eastAsia="华文行楷" w:cs="Times New Roman"/>
      <w:kern w:val="2"/>
      <w:sz w:val="16"/>
      <w:lang w:val="en-US" w:eastAsia="zh-CN"/>
    </w:rPr>
  </w:style>
  <w:style w:type="character" w:customStyle="1" w:styleId="220">
    <w:name w:val="Intense Reference1"/>
    <w:qFormat/>
    <w:uiPriority w:val="0"/>
    <w:rPr>
      <w:rFonts w:ascii="Times New Roman" w:hAnsi="Times New Roman" w:eastAsia="宋体" w:cs="Times New Roman"/>
      <w:b/>
      <w:smallCaps/>
      <w:color w:val="C0504D"/>
      <w:spacing w:val="5"/>
      <w:u w:val="single"/>
    </w:rPr>
  </w:style>
  <w:style w:type="character" w:customStyle="1" w:styleId="221">
    <w:name w:val="Subtle Reference1"/>
    <w:qFormat/>
    <w:uiPriority w:val="0"/>
    <w:rPr>
      <w:rFonts w:ascii="Times New Roman" w:hAnsi="Times New Roman" w:eastAsia="宋体" w:cs="Times New Roman"/>
      <w:smallCaps/>
      <w:color w:val="C0504D"/>
      <w:u w:val="single"/>
    </w:rPr>
  </w:style>
  <w:style w:type="character" w:customStyle="1" w:styleId="222">
    <w:name w:val="Char Char4"/>
    <w:qFormat/>
    <w:uiPriority w:val="0"/>
    <w:rPr>
      <w:rFonts w:ascii="Times New Roman" w:hAnsi="Times New Roman" w:eastAsia="华文行楷" w:cs="Times New Roman"/>
      <w:kern w:val="2"/>
      <w:sz w:val="24"/>
      <w:lang w:val="en-US" w:eastAsia="zh-CN"/>
    </w:rPr>
  </w:style>
  <w:style w:type="character" w:customStyle="1" w:styleId="223">
    <w:name w:val="标题 Char2"/>
    <w:qFormat/>
    <w:uiPriority w:val="0"/>
    <w:rPr>
      <w:rFonts w:ascii="Cambria" w:hAnsi="Cambria" w:eastAsia="宋体" w:cs="Times New Roman"/>
      <w:b/>
      <w:sz w:val="32"/>
    </w:rPr>
  </w:style>
  <w:style w:type="character" w:customStyle="1" w:styleId="224">
    <w:name w:val="Char Char23"/>
    <w:qFormat/>
    <w:uiPriority w:val="0"/>
    <w:rPr>
      <w:rFonts w:ascii="Times New Roman" w:hAnsi="Times New Roman" w:eastAsia="宋体" w:cs="Times New Roman"/>
      <w:b/>
      <w:kern w:val="44"/>
      <w:sz w:val="44"/>
      <w:lang w:val="en-US" w:eastAsia="zh-CN"/>
    </w:rPr>
  </w:style>
  <w:style w:type="character" w:customStyle="1" w:styleId="225">
    <w:name w:val="Heading 5 Char"/>
    <w:basedOn w:val="51"/>
    <w:qFormat/>
    <w:uiPriority w:val="0"/>
    <w:rPr>
      <w:rFonts w:ascii="Times New Roman" w:hAnsi="Times New Roman" w:eastAsia="宋体" w:cs="Times New Roman"/>
      <w:b/>
      <w:kern w:val="2"/>
      <w:sz w:val="28"/>
      <w:lang w:val="en-US" w:eastAsia="zh-CN"/>
    </w:rPr>
  </w:style>
  <w:style w:type="character" w:customStyle="1" w:styleId="226">
    <w:name w:val="Comment Subject Char"/>
    <w:basedOn w:val="227"/>
    <w:qFormat/>
    <w:uiPriority w:val="0"/>
    <w:rPr>
      <w:b/>
    </w:rPr>
  </w:style>
  <w:style w:type="character" w:customStyle="1" w:styleId="227">
    <w:name w:val="Comment Text Char"/>
    <w:basedOn w:val="51"/>
    <w:qFormat/>
    <w:uiPriority w:val="0"/>
    <w:rPr>
      <w:rFonts w:ascii="Times New Roman" w:hAnsi="Times New Roman" w:eastAsia="宋体" w:cs="Times New Roman"/>
      <w:sz w:val="24"/>
    </w:rPr>
  </w:style>
  <w:style w:type="character" w:customStyle="1" w:styleId="228">
    <w:name w:val="Plain Text Char"/>
    <w:basedOn w:val="51"/>
    <w:qFormat/>
    <w:uiPriority w:val="0"/>
    <w:rPr>
      <w:rFonts w:ascii="宋体" w:hAnsi="Courier New" w:eastAsia="宋体" w:cs="Times New Roman"/>
      <w:sz w:val="24"/>
    </w:rPr>
  </w:style>
  <w:style w:type="character" w:customStyle="1" w:styleId="229">
    <w:name w:val="正文文本 3 Char"/>
    <w:qFormat/>
    <w:uiPriority w:val="0"/>
    <w:rPr>
      <w:rFonts w:ascii="宋体" w:hAnsi="Times New Roman" w:eastAsia="宋体" w:cs="Times New Roman"/>
      <w:sz w:val="24"/>
    </w:rPr>
  </w:style>
  <w:style w:type="character" w:customStyle="1" w:styleId="230">
    <w:name w:val="Heading 3 Char"/>
    <w:basedOn w:val="51"/>
    <w:qFormat/>
    <w:uiPriority w:val="0"/>
    <w:rPr>
      <w:rFonts w:ascii="Times New Roman" w:hAnsi="Times New Roman" w:eastAsia="宋体" w:cs="Times New Roman"/>
      <w:b/>
      <w:kern w:val="2"/>
      <w:sz w:val="32"/>
    </w:rPr>
  </w:style>
  <w:style w:type="character" w:customStyle="1" w:styleId="231">
    <w:name w:val="尾注文本 Char1"/>
    <w:basedOn w:val="51"/>
    <w:qFormat/>
    <w:uiPriority w:val="0"/>
    <w:rPr>
      <w:rFonts w:ascii="Times New Roman" w:hAnsi="Times New Roman" w:eastAsia="宋体" w:cs="Times New Roman"/>
      <w:kern w:val="2"/>
      <w:sz w:val="24"/>
      <w:szCs w:val="24"/>
    </w:rPr>
  </w:style>
  <w:style w:type="character" w:customStyle="1" w:styleId="232">
    <w:name w:val="标书标题1 Char"/>
    <w:link w:val="233"/>
    <w:qFormat/>
    <w:uiPriority w:val="0"/>
    <w:rPr>
      <w:rFonts w:ascii="Times New Roman" w:hAnsi="Times New Roman" w:eastAsia="宋体" w:cs="Times New Roman"/>
      <w:bCs/>
      <w:kern w:val="0"/>
      <w:szCs w:val="20"/>
    </w:rPr>
  </w:style>
  <w:style w:type="paragraph" w:customStyle="1" w:styleId="233">
    <w:name w:val="标书标题1"/>
    <w:basedOn w:val="2"/>
    <w:link w:val="232"/>
    <w:qFormat/>
    <w:uiPriority w:val="0"/>
    <w:pPr>
      <w:spacing w:before="120" w:after="120" w:line="240" w:lineRule="auto"/>
      <w:jc w:val="center"/>
    </w:pPr>
    <w:rPr>
      <w:rFonts w:ascii="Times New Roman" w:hAnsi="Times New Roman" w:eastAsia="宋体" w:cs="Times New Roman"/>
      <w:bCs w:val="0"/>
      <w:kern w:val="0"/>
      <w:sz w:val="32"/>
      <w:szCs w:val="20"/>
    </w:rPr>
  </w:style>
  <w:style w:type="character" w:customStyle="1" w:styleId="234">
    <w:name w:val="文档结构图 Char1"/>
    <w:qFormat/>
    <w:uiPriority w:val="0"/>
    <w:rPr>
      <w:rFonts w:ascii="宋体" w:hAnsi="Times New Roman" w:eastAsia="宋体" w:cs="Times New Roman"/>
      <w:sz w:val="18"/>
    </w:rPr>
  </w:style>
  <w:style w:type="character" w:customStyle="1" w:styleId="235">
    <w:name w:val="Char Char24"/>
    <w:qFormat/>
    <w:uiPriority w:val="0"/>
    <w:rPr>
      <w:rFonts w:ascii="Times New Roman" w:hAnsi="Times New Roman" w:eastAsia="宋体" w:cs="Times New Roman"/>
      <w:b/>
      <w:kern w:val="44"/>
      <w:sz w:val="44"/>
      <w:lang w:val="en-US" w:eastAsia="zh-CN"/>
    </w:rPr>
  </w:style>
  <w:style w:type="character" w:customStyle="1" w:styleId="236">
    <w:name w:val="脚注文本 Char"/>
    <w:qFormat/>
    <w:uiPriority w:val="0"/>
    <w:rPr>
      <w:rFonts w:ascii="Times New Roman" w:hAnsi="Times New Roman" w:eastAsia="宋体" w:cs="Times New Roman"/>
      <w:sz w:val="18"/>
    </w:rPr>
  </w:style>
  <w:style w:type="character" w:customStyle="1" w:styleId="237">
    <w:name w:val="页脚 Char"/>
    <w:qFormat/>
    <w:uiPriority w:val="0"/>
    <w:rPr>
      <w:rFonts w:ascii="Times New Roman" w:hAnsi="Times New Roman" w:eastAsia="宋体" w:cs="Times New Roman"/>
      <w:sz w:val="18"/>
    </w:rPr>
  </w:style>
  <w:style w:type="character" w:customStyle="1" w:styleId="238">
    <w:name w:val="正文文本 2 Char"/>
    <w:qFormat/>
    <w:uiPriority w:val="0"/>
    <w:rPr>
      <w:rFonts w:ascii="宋体" w:hAnsi="Times New Roman" w:eastAsia="宋体" w:cs="Times New Roman"/>
      <w:sz w:val="24"/>
    </w:rPr>
  </w:style>
  <w:style w:type="character" w:customStyle="1" w:styleId="239">
    <w:name w:val="Char Char16"/>
    <w:qFormat/>
    <w:uiPriority w:val="0"/>
    <w:rPr>
      <w:rFonts w:ascii="Times New Roman" w:hAnsi="Times New Roman" w:eastAsia="华文行楷" w:cs="Times New Roman"/>
      <w:b/>
      <w:kern w:val="2"/>
      <w:sz w:val="32"/>
      <w:lang w:val="en-US" w:eastAsia="zh-CN"/>
    </w:rPr>
  </w:style>
  <w:style w:type="character" w:customStyle="1" w:styleId="240">
    <w:name w:val="Document Map Char"/>
    <w:basedOn w:val="51"/>
    <w:qFormat/>
    <w:uiPriority w:val="0"/>
    <w:rPr>
      <w:rFonts w:ascii="Times New Roman" w:hAnsi="Times New Roman" w:eastAsia="宋体" w:cs="Times New Roman"/>
      <w:kern w:val="2"/>
      <w:sz w:val="24"/>
      <w:lang w:val="en-US" w:eastAsia="zh-CN"/>
    </w:rPr>
  </w:style>
  <w:style w:type="character" w:customStyle="1" w:styleId="241">
    <w:name w:val="日期 Char"/>
    <w:qFormat/>
    <w:uiPriority w:val="0"/>
    <w:rPr>
      <w:rFonts w:ascii="Times New Roman" w:hAnsi="Times New Roman" w:eastAsia="宋体" w:cs="Times New Roman"/>
      <w:sz w:val="24"/>
    </w:rPr>
  </w:style>
  <w:style w:type="character" w:customStyle="1" w:styleId="242">
    <w:name w:val="正文文本缩进 3 Char"/>
    <w:qFormat/>
    <w:uiPriority w:val="0"/>
    <w:rPr>
      <w:rFonts w:ascii="Times New Roman" w:hAnsi="Times New Roman" w:eastAsia="宋体" w:cs="Times New Roman"/>
      <w:sz w:val="16"/>
    </w:rPr>
  </w:style>
  <w:style w:type="character" w:customStyle="1" w:styleId="243">
    <w:name w:val="正文文本缩进 Char"/>
    <w:qFormat/>
    <w:uiPriority w:val="0"/>
    <w:rPr>
      <w:rFonts w:ascii="宋体" w:hAnsi="Times New Roman" w:eastAsia="宋体" w:cs="Times New Roman"/>
    </w:rPr>
  </w:style>
  <w:style w:type="character" w:customStyle="1" w:styleId="244">
    <w:name w:val="Char Char9"/>
    <w:qFormat/>
    <w:uiPriority w:val="0"/>
    <w:rPr>
      <w:rFonts w:ascii="Times New Roman" w:hAnsi="Times New Roman" w:eastAsia="宋体" w:cs="Times New Roman"/>
      <w:b/>
      <w:kern w:val="44"/>
      <w:sz w:val="44"/>
      <w:lang w:val="en-US" w:eastAsia="zh-CN"/>
    </w:rPr>
  </w:style>
  <w:style w:type="character" w:customStyle="1" w:styleId="245">
    <w:name w:val="Heading 1 Char"/>
    <w:basedOn w:val="51"/>
    <w:qFormat/>
    <w:uiPriority w:val="0"/>
    <w:rPr>
      <w:rFonts w:ascii="Times New Roman" w:hAnsi="Times New Roman" w:eastAsia="宋体" w:cs="Times New Roman"/>
      <w:b/>
      <w:kern w:val="44"/>
      <w:sz w:val="44"/>
      <w:lang w:val="en-US" w:eastAsia="zh-CN"/>
    </w:rPr>
  </w:style>
  <w:style w:type="character" w:customStyle="1" w:styleId="246">
    <w:name w:val="Quote Char"/>
    <w:basedOn w:val="51"/>
    <w:link w:val="247"/>
    <w:qFormat/>
    <w:uiPriority w:val="0"/>
    <w:rPr>
      <w:rFonts w:ascii="Calibri" w:hAnsi="Calibri" w:eastAsia="宋体" w:cs="Times New Roman"/>
      <w:i/>
      <w:iCs/>
      <w:color w:val="000000"/>
      <w:kern w:val="0"/>
      <w:sz w:val="20"/>
      <w:szCs w:val="20"/>
    </w:rPr>
  </w:style>
  <w:style w:type="paragraph" w:customStyle="1" w:styleId="247">
    <w:name w:val="Quote"/>
    <w:basedOn w:val="1"/>
    <w:next w:val="1"/>
    <w:link w:val="246"/>
    <w:qFormat/>
    <w:uiPriority w:val="0"/>
    <w:rPr>
      <w:rFonts w:ascii="Calibri" w:hAnsi="Calibri" w:eastAsia="宋体" w:cs="Times New Roman"/>
      <w:i/>
      <w:iCs/>
      <w:color w:val="000000"/>
      <w:kern w:val="0"/>
      <w:sz w:val="20"/>
      <w:szCs w:val="20"/>
    </w:rPr>
  </w:style>
  <w:style w:type="character" w:customStyle="1" w:styleId="248">
    <w:name w:val="正文文本缩进 2 Char"/>
    <w:qFormat/>
    <w:uiPriority w:val="0"/>
    <w:rPr>
      <w:rFonts w:ascii="Times New Roman" w:hAnsi="Times New Roman" w:eastAsia="宋体" w:cs="Times New Roman"/>
      <w:sz w:val="24"/>
    </w:rPr>
  </w:style>
  <w:style w:type="character" w:customStyle="1" w:styleId="249">
    <w:name w:val="Char Char911"/>
    <w:qFormat/>
    <w:uiPriority w:val="0"/>
    <w:rPr>
      <w:rFonts w:ascii="华文行楷" w:hAnsi="Times New Roman" w:eastAsia="华文行楷" w:cs="Times New Roman"/>
      <w:kern w:val="2"/>
      <w:sz w:val="24"/>
      <w:lang w:val="en-US" w:eastAsia="zh-CN"/>
    </w:rPr>
  </w:style>
  <w:style w:type="character" w:customStyle="1" w:styleId="250">
    <w:name w:val="Char Char8"/>
    <w:qFormat/>
    <w:uiPriority w:val="0"/>
    <w:rPr>
      <w:rFonts w:ascii="Times New Roman" w:hAnsi="Times New Roman" w:eastAsia="华文行楷" w:cs="Times New Roman"/>
      <w:kern w:val="2"/>
      <w:sz w:val="24"/>
      <w:lang w:val="en-US" w:eastAsia="zh-CN"/>
    </w:rPr>
  </w:style>
  <w:style w:type="character" w:customStyle="1" w:styleId="251">
    <w:name w:val="标题 Char1"/>
    <w:qFormat/>
    <w:uiPriority w:val="0"/>
    <w:rPr>
      <w:rFonts w:ascii="Cambria" w:hAnsi="Cambria" w:eastAsia="宋体" w:cs="Times New Roman"/>
      <w:b/>
      <w:sz w:val="32"/>
    </w:rPr>
  </w:style>
  <w:style w:type="character" w:customStyle="1" w:styleId="252">
    <w:name w:val="1 Char"/>
    <w:link w:val="253"/>
    <w:qFormat/>
    <w:uiPriority w:val="0"/>
    <w:rPr>
      <w:rFonts w:ascii="Times New Roman" w:hAnsi="Times New Roman" w:eastAsia="宋体" w:cs="Times New Roman"/>
      <w:kern w:val="0"/>
      <w:sz w:val="24"/>
      <w:szCs w:val="20"/>
    </w:rPr>
  </w:style>
  <w:style w:type="paragraph" w:customStyle="1" w:styleId="253">
    <w:name w:val="1"/>
    <w:basedOn w:val="1"/>
    <w:next w:val="1"/>
    <w:link w:val="252"/>
    <w:qFormat/>
    <w:uiPriority w:val="0"/>
    <w:rPr>
      <w:rFonts w:ascii="Times New Roman" w:hAnsi="Times New Roman" w:eastAsia="宋体" w:cs="Times New Roman"/>
      <w:kern w:val="0"/>
      <w:sz w:val="24"/>
      <w:szCs w:val="20"/>
    </w:rPr>
  </w:style>
  <w:style w:type="character" w:customStyle="1" w:styleId="254">
    <w:name w:val="标题 Char"/>
    <w:qFormat/>
    <w:uiPriority w:val="0"/>
    <w:rPr>
      <w:rFonts w:ascii="Cambria" w:hAnsi="Cambria" w:eastAsia="宋体" w:cs="Times New Roman"/>
      <w:b/>
      <w:sz w:val="32"/>
    </w:rPr>
  </w:style>
  <w:style w:type="character" w:customStyle="1" w:styleId="255">
    <w:name w:val="标题4 Char Char"/>
    <w:link w:val="256"/>
    <w:qFormat/>
    <w:uiPriority w:val="0"/>
    <w:rPr>
      <w:rFonts w:ascii="Times New Roman" w:hAnsi="Times New Roman" w:eastAsia="宋体" w:cs="Times New Roman"/>
      <w:bCs/>
      <w:kern w:val="0"/>
      <w:sz w:val="32"/>
      <w:szCs w:val="20"/>
    </w:rPr>
  </w:style>
  <w:style w:type="paragraph" w:customStyle="1" w:styleId="256">
    <w:name w:val="标题4"/>
    <w:basedOn w:val="3"/>
    <w:next w:val="22"/>
    <w:link w:val="255"/>
    <w:qFormat/>
    <w:uiPriority w:val="0"/>
    <w:pPr>
      <w:spacing w:before="60" w:after="60" w:line="413" w:lineRule="auto"/>
    </w:pPr>
    <w:rPr>
      <w:rFonts w:ascii="Arial" w:hAnsi="Arial" w:eastAsia="宋体" w:cs="Times New Roman"/>
      <w:bCs w:val="0"/>
      <w:kern w:val="0"/>
      <w:sz w:val="32"/>
      <w:szCs w:val="20"/>
    </w:rPr>
  </w:style>
  <w:style w:type="character" w:customStyle="1" w:styleId="257">
    <w:name w:val="Footer Char"/>
    <w:basedOn w:val="51"/>
    <w:qFormat/>
    <w:uiPriority w:val="0"/>
    <w:rPr>
      <w:rFonts w:ascii="Times New Roman" w:hAnsi="Times New Roman" w:eastAsia="宋体" w:cs="Times New Roman"/>
      <w:kern w:val="2"/>
      <w:sz w:val="18"/>
      <w:lang w:val="en-US" w:eastAsia="zh-CN"/>
    </w:rPr>
  </w:style>
  <w:style w:type="character" w:customStyle="1" w:styleId="258">
    <w:name w:val="Title Char"/>
    <w:basedOn w:val="51"/>
    <w:qFormat/>
    <w:uiPriority w:val="0"/>
    <w:rPr>
      <w:rFonts w:ascii="Cambria" w:hAnsi="Cambria" w:eastAsia="宋体" w:cs="Times New Roman"/>
      <w:b/>
      <w:sz w:val="32"/>
    </w:rPr>
  </w:style>
  <w:style w:type="character" w:customStyle="1" w:styleId="259">
    <w:name w:val="批注文字 Char Char"/>
    <w:qFormat/>
    <w:uiPriority w:val="0"/>
    <w:rPr>
      <w:rFonts w:ascii="宋体" w:hAnsi="Times New Roman" w:eastAsia="宋体" w:cs="Times New Roman"/>
      <w:sz w:val="20"/>
    </w:rPr>
  </w:style>
  <w:style w:type="character" w:customStyle="1" w:styleId="260">
    <w:name w:val="Char Char5"/>
    <w:qFormat/>
    <w:uiPriority w:val="0"/>
    <w:rPr>
      <w:rFonts w:ascii="Times New Roman" w:hAnsi="Times New Roman" w:eastAsia="华文行楷" w:cs="Times New Roman"/>
      <w:kern w:val="2"/>
      <w:sz w:val="18"/>
      <w:lang w:val="en-US" w:eastAsia="zh-CN"/>
    </w:rPr>
  </w:style>
  <w:style w:type="paragraph" w:customStyle="1" w:styleId="26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62">
    <w:name w:val="正文缩进二"/>
    <w:basedOn w:val="7"/>
    <w:qFormat/>
    <w:uiPriority w:val="0"/>
    <w:pPr>
      <w:widowControl w:val="0"/>
      <w:snapToGrid w:val="0"/>
      <w:spacing w:line="360" w:lineRule="auto"/>
      <w:ind w:firstLine="567"/>
      <w:jc w:val="left"/>
    </w:pPr>
    <w:rPr>
      <w:rFonts w:ascii="Times New Roman" w:hAnsi="Times New Roman" w:eastAsia="宋体" w:cs="Times New Roman"/>
      <w:sz w:val="28"/>
      <w:szCs w:val="20"/>
    </w:rPr>
  </w:style>
  <w:style w:type="paragraph" w:customStyle="1" w:styleId="263">
    <w:name w:val="_Style 37"/>
    <w:basedOn w:val="1"/>
    <w:next w:val="1"/>
    <w:qFormat/>
    <w:uiPriority w:val="0"/>
    <w:rPr>
      <w:rFonts w:ascii="Times New Roman" w:hAnsi="Times New Roman" w:eastAsia="宋体" w:cs="Times New Roman"/>
    </w:rPr>
  </w:style>
  <w:style w:type="paragraph" w:customStyle="1" w:styleId="264">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eastAsia="宋体" w:cs="Times New Roman"/>
      <w:kern w:val="0"/>
      <w:sz w:val="18"/>
      <w:szCs w:val="20"/>
    </w:rPr>
  </w:style>
  <w:style w:type="paragraph" w:customStyle="1" w:styleId="265">
    <w:name w:val="Char"/>
    <w:basedOn w:val="1"/>
    <w:qFormat/>
    <w:uiPriority w:val="0"/>
    <w:pPr>
      <w:jc w:val="left"/>
    </w:pPr>
    <w:rPr>
      <w:rFonts w:ascii="Tahoma" w:hAnsi="Tahoma" w:eastAsia="宋体" w:cs="Times New Roman"/>
      <w:sz w:val="24"/>
      <w:szCs w:val="20"/>
    </w:rPr>
  </w:style>
  <w:style w:type="paragraph" w:customStyle="1" w:styleId="26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1"/>
      <w:szCs w:val="20"/>
    </w:rPr>
  </w:style>
  <w:style w:type="paragraph" w:customStyle="1" w:styleId="269">
    <w:name w:val="列出段落1"/>
    <w:basedOn w:val="1"/>
    <w:qFormat/>
    <w:uiPriority w:val="0"/>
    <w:pPr>
      <w:ind w:firstLine="420" w:firstLineChars="200"/>
    </w:pPr>
    <w:rPr>
      <w:rFonts w:ascii="Calibri" w:hAnsi="Calibri" w:eastAsia="宋体" w:cs="Times New Roman"/>
      <w:szCs w:val="22"/>
    </w:rPr>
  </w:style>
  <w:style w:type="paragraph" w:customStyle="1" w:styleId="270">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72">
    <w:name w:val="TOC Heading1"/>
    <w:basedOn w:val="2"/>
    <w:next w:val="1"/>
    <w:qFormat/>
    <w:uiPriority w:val="0"/>
    <w:pPr>
      <w:spacing w:before="340" w:after="330" w:line="576" w:lineRule="auto"/>
      <w:outlineLvl w:val="9"/>
    </w:pPr>
    <w:rPr>
      <w:rFonts w:ascii="Calibri" w:hAnsi="Calibri" w:eastAsia="黑体" w:cs="Times New Roman"/>
      <w:sz w:val="44"/>
    </w:rPr>
  </w:style>
  <w:style w:type="paragraph" w:customStyle="1" w:styleId="2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Char Char Char Char Char 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275">
    <w:name w:val="样式 黑体 小四 行距: 1.5 倍行距"/>
    <w:basedOn w:val="1"/>
    <w:qFormat/>
    <w:uiPriority w:val="0"/>
    <w:pPr>
      <w:spacing w:line="360" w:lineRule="auto"/>
      <w:jc w:val="left"/>
    </w:pPr>
    <w:rPr>
      <w:rFonts w:ascii="黑体" w:hAnsi="Times New Roman" w:eastAsia="宋体" w:cs="宋体"/>
      <w:sz w:val="24"/>
      <w:szCs w:val="20"/>
    </w:rPr>
  </w:style>
  <w:style w:type="paragraph" w:customStyle="1" w:styleId="276">
    <w:name w:val="p0"/>
    <w:basedOn w:val="1"/>
    <w:qFormat/>
    <w:uiPriority w:val="0"/>
    <w:pPr>
      <w:widowControl/>
    </w:pPr>
    <w:rPr>
      <w:rFonts w:ascii="Calibri" w:hAnsi="Calibri" w:eastAsia="宋体" w:cs="宋体"/>
      <w:kern w:val="0"/>
      <w:szCs w:val="21"/>
    </w:rPr>
  </w:style>
  <w:style w:type="paragraph" w:customStyle="1" w:styleId="277">
    <w:name w:val="样式1"/>
    <w:basedOn w:val="1"/>
    <w:next w:val="5"/>
    <w:qFormat/>
    <w:uiPriority w:val="0"/>
    <w:pPr>
      <w:spacing w:line="360" w:lineRule="auto"/>
      <w:ind w:firstLine="420" w:firstLineChars="200"/>
    </w:pPr>
    <w:rPr>
      <w:rFonts w:ascii="宋体" w:hAnsi="宋体" w:eastAsia="宋体" w:cs="Times New Roman"/>
      <w:szCs w:val="21"/>
    </w:rPr>
  </w:style>
  <w:style w:type="paragraph" w:customStyle="1" w:styleId="278">
    <w:name w:val="表格"/>
    <w:basedOn w:val="1"/>
    <w:qFormat/>
    <w:uiPriority w:val="0"/>
    <w:pPr>
      <w:jc w:val="center"/>
      <w:textAlignment w:val="center"/>
    </w:pPr>
    <w:rPr>
      <w:rFonts w:ascii="华文细黑" w:hAnsi="华文细黑" w:eastAsia="宋体" w:cs="Times New Roman"/>
      <w:kern w:val="0"/>
      <w:sz w:val="24"/>
      <w:szCs w:val="20"/>
    </w:rPr>
  </w:style>
  <w:style w:type="paragraph" w:customStyle="1" w:styleId="279">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80">
    <w:name w:val="List Paragraph1"/>
    <w:basedOn w:val="1"/>
    <w:qFormat/>
    <w:uiPriority w:val="0"/>
    <w:pPr>
      <w:ind w:firstLine="420" w:firstLineChars="200"/>
    </w:pPr>
    <w:rPr>
      <w:rFonts w:ascii="Calibri" w:hAnsi="Calibri" w:eastAsia="宋体" w:cs="Times New Roman"/>
      <w:szCs w:val="22"/>
    </w:rPr>
  </w:style>
  <w:style w:type="paragraph" w:customStyle="1" w:styleId="281">
    <w:name w:val="Char2"/>
    <w:basedOn w:val="1"/>
    <w:qFormat/>
    <w:uiPriority w:val="0"/>
    <w:pPr>
      <w:widowControl/>
      <w:spacing w:after="160" w:line="240" w:lineRule="exact"/>
      <w:jc w:val="left"/>
    </w:pPr>
    <w:rPr>
      <w:rFonts w:ascii="Times New Roman" w:hAnsi="Times New Roman" w:eastAsia="宋体" w:cs="Times New Roman"/>
    </w:rPr>
  </w:style>
  <w:style w:type="paragraph" w:customStyle="1" w:styleId="282">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 w:val="24"/>
      <w:szCs w:val="20"/>
    </w:rPr>
  </w:style>
  <w:style w:type="paragraph" w:customStyle="1" w:styleId="283">
    <w:name w:val="Revision1"/>
    <w:qFormat/>
    <w:uiPriority w:val="0"/>
    <w:rPr>
      <w:rFonts w:ascii="Times New Roman" w:hAnsi="Times New Roman" w:eastAsia="宋体" w:cs="Times New Roman"/>
      <w:kern w:val="2"/>
      <w:sz w:val="21"/>
      <w:szCs w:val="24"/>
      <w:lang w:val="en-US" w:eastAsia="zh-CN" w:bidi="ar-SA"/>
    </w:rPr>
  </w:style>
  <w:style w:type="paragraph" w:customStyle="1" w:styleId="28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85">
    <w:name w:val="样式3"/>
    <w:basedOn w:val="233"/>
    <w:qFormat/>
    <w:uiPriority w:val="0"/>
  </w:style>
  <w:style w:type="paragraph" w:customStyle="1" w:styleId="2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2-2ji"/>
    <w:basedOn w:val="3"/>
    <w:qFormat/>
    <w:uiPriority w:val="0"/>
    <w:pPr>
      <w:spacing w:before="0" w:after="0" w:line="360" w:lineRule="auto"/>
      <w:jc w:val="center"/>
    </w:pPr>
    <w:rPr>
      <w:rFonts w:ascii="宋体" w:hAnsi="宋体" w:eastAsia="宋体" w:cs="Times New Roman"/>
      <w:sz w:val="36"/>
      <w:szCs w:val="24"/>
    </w:rPr>
  </w:style>
  <w:style w:type="paragraph" w:customStyle="1" w:styleId="288">
    <w:name w:val="标书目录"/>
    <w:basedOn w:val="33"/>
    <w:qFormat/>
    <w:uiPriority w:val="0"/>
    <w:pPr>
      <w:spacing w:before="60" w:line="400" w:lineRule="exact"/>
    </w:pPr>
    <w:rPr>
      <w:rFonts w:eastAsia="黑体" w:cs="Times New Roman"/>
      <w:sz w:val="21"/>
    </w:rPr>
  </w:style>
  <w:style w:type="paragraph" w:customStyle="1" w:styleId="289">
    <w:name w:val="Char1"/>
    <w:basedOn w:val="1"/>
    <w:qFormat/>
    <w:uiPriority w:val="0"/>
    <w:pPr>
      <w:widowControl/>
      <w:spacing w:after="160" w:line="240" w:lineRule="exact"/>
      <w:jc w:val="left"/>
    </w:pPr>
    <w:rPr>
      <w:rFonts w:ascii="Times New Roman" w:hAnsi="Times New Roman" w:eastAsia="宋体" w:cs="Times New Roman"/>
    </w:rPr>
  </w:style>
  <w:style w:type="paragraph" w:customStyle="1" w:styleId="290">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 w:val="24"/>
      <w:szCs w:val="20"/>
    </w:rPr>
  </w:style>
  <w:style w:type="paragraph" w:customStyle="1" w:styleId="291">
    <w:name w:val="目录 91"/>
    <w:basedOn w:val="1"/>
    <w:next w:val="1"/>
    <w:semiHidden/>
    <w:qFormat/>
    <w:uiPriority w:val="0"/>
    <w:pPr>
      <w:widowControl w:val="0"/>
      <w:autoSpaceDE/>
      <w:autoSpaceDN/>
      <w:spacing w:before="0" w:after="0" w:line="240" w:lineRule="auto"/>
      <w:ind w:left="1680" w:firstLine="0"/>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sectNamePr val="选定施工单位告知书"/>
    </customSectPr>
    <customSectPr>
      <sectNamePr val="选定施工单位告知书"/>
    </customSectPr>
    <customSectPr>
      <sectNamePr val="选定施工单位告知书"/>
    </customSectPr>
    <customSectPr>
      <sectNamePr val="选定施工单位告知书"/>
    </customSectPr>
    <customSectPr>
      <sectNamePr val="合同协议书"/>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143</Pages>
  <Words>28501</Words>
  <Characters>30423</Characters>
  <Lines>559</Lines>
  <Paragraphs>157</Paragraphs>
  <TotalTime>53</TotalTime>
  <ScaleCrop>false</ScaleCrop>
  <LinksUpToDate>false</LinksUpToDate>
  <CharactersWithSpaces>30679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2023-06-20T07:58:00Z</dcterms:created>
  <dc:creator>萌霞</dc:creator>
  <cp:lastModifiedBy>Administrator</cp:lastModifiedBy>
  <cp:lastPrinted>2024-07-10T09:09:00Z</cp:lastPrinted>
  <dcterms:modified xsi:type="dcterms:W3CDTF">2025-11-06T02:45:28Z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58589605B5654B94A8A8F433590F4D5B_13</vt:lpwstr>
  </property>
  <property fmtid="{D5CDD505-2E9C-101B-9397-08002B2CF9AE}" pid="4" name="KSOTemplateDocerSaveRecord">
    <vt:lpwstr>eyJoZGlkIjoiZTc2YjY2OGQ4ZDRiNDdiMDhkYmY5MTA2NTYwYTVkNWQiLCJ1c2VySWQiOiI3MDI4ODA0MDYifQ==</vt:lpwstr>
  </property>
</Properties>
</file>