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0BCBD">
      <w:pPr>
        <w:pStyle w:val="20"/>
        <w:rPr>
          <w:rFonts w:hint="eastAsia" w:ascii="宋体" w:hAnsi="宋体" w:eastAsia="宋体" w:cs="宋体"/>
          <w:color w:val="FF0000"/>
        </w:rPr>
      </w:pPr>
    </w:p>
    <w:p w14:paraId="287D6F01">
      <w:pPr>
        <w:pStyle w:val="14"/>
        <w:snapToGrid w:val="0"/>
        <w:spacing w:line="360" w:lineRule="auto"/>
        <w:jc w:val="center"/>
        <w:rPr>
          <w:rFonts w:hint="eastAsia" w:ascii="宋体" w:hAnsi="宋体" w:eastAsia="宋体" w:cs="宋体"/>
          <w:b/>
          <w:bCs/>
          <w:color w:val="000000"/>
          <w:sz w:val="56"/>
          <w:szCs w:val="30"/>
          <w:lang w:eastAsia="zh-CN"/>
        </w:rPr>
      </w:pPr>
      <w:r>
        <w:rPr>
          <w:rFonts w:hint="eastAsia" w:hAnsi="宋体" w:cs="宋体"/>
          <w:b/>
          <w:bCs/>
          <w:color w:val="000000"/>
          <w:sz w:val="56"/>
          <w:szCs w:val="30"/>
          <w:lang w:eastAsia="zh-CN"/>
        </w:rPr>
        <w:t>广西汉昌工程咨询有限公司</w:t>
      </w:r>
    </w:p>
    <w:p w14:paraId="48C8AFEB">
      <w:pPr>
        <w:spacing w:line="360" w:lineRule="auto"/>
        <w:jc w:val="center"/>
        <w:rPr>
          <w:rFonts w:hint="eastAsia" w:ascii="宋体" w:hAnsi="宋体" w:eastAsia="宋体" w:cs="宋体"/>
          <w:b/>
          <w:color w:val="000000"/>
          <w:sz w:val="44"/>
          <w:szCs w:val="44"/>
        </w:rPr>
      </w:pPr>
    </w:p>
    <w:p w14:paraId="7C6780E0">
      <w:pPr>
        <w:snapToGrid w:val="0"/>
        <w:spacing w:beforeLines="50" w:line="360" w:lineRule="auto"/>
        <w:jc w:val="center"/>
        <w:rPr>
          <w:rFonts w:hint="eastAsia" w:ascii="宋体" w:hAnsi="宋体" w:eastAsia="宋体" w:cs="宋体"/>
          <w:color w:val="000000"/>
          <w:sz w:val="120"/>
          <w:szCs w:val="120"/>
        </w:rPr>
      </w:pPr>
      <w:r>
        <w:rPr>
          <w:rFonts w:hint="eastAsia" w:ascii="宋体" w:hAnsi="宋体" w:eastAsia="宋体" w:cs="宋体"/>
          <w:color w:val="000000"/>
          <w:sz w:val="120"/>
          <w:szCs w:val="120"/>
        </w:rPr>
        <w:t>竞争</w:t>
      </w:r>
      <w:r>
        <w:rPr>
          <w:rFonts w:hint="eastAsia" w:ascii="宋体" w:hAnsi="宋体" w:eastAsia="宋体" w:cs="宋体"/>
          <w:color w:val="auto"/>
          <w:sz w:val="120"/>
          <w:szCs w:val="120"/>
        </w:rPr>
        <w:t>性</w:t>
      </w:r>
      <w:r>
        <w:rPr>
          <w:rFonts w:hint="eastAsia" w:ascii="宋体" w:hAnsi="宋体" w:cs="宋体"/>
          <w:color w:val="auto"/>
          <w:sz w:val="120"/>
          <w:szCs w:val="120"/>
          <w:lang w:eastAsia="zh-CN"/>
        </w:rPr>
        <w:t>谈判</w:t>
      </w:r>
      <w:r>
        <w:rPr>
          <w:rFonts w:hint="eastAsia" w:ascii="宋体" w:hAnsi="宋体" w:eastAsia="宋体" w:cs="宋体"/>
          <w:color w:val="auto"/>
          <w:sz w:val="120"/>
          <w:szCs w:val="120"/>
        </w:rPr>
        <w:t>文</w:t>
      </w:r>
      <w:r>
        <w:rPr>
          <w:rFonts w:hint="eastAsia" w:ascii="宋体" w:hAnsi="宋体" w:eastAsia="宋体" w:cs="宋体"/>
          <w:color w:val="000000"/>
          <w:sz w:val="120"/>
          <w:szCs w:val="120"/>
        </w:rPr>
        <w:t>件</w:t>
      </w:r>
    </w:p>
    <w:p w14:paraId="2F1CB52A">
      <w:pPr>
        <w:snapToGrid w:val="0"/>
        <w:spacing w:beforeLines="50" w:line="360" w:lineRule="auto"/>
        <w:jc w:val="center"/>
        <w:rPr>
          <w:rFonts w:hint="eastAsia" w:ascii="宋体" w:hAnsi="宋体" w:eastAsia="宋体" w:cs="宋体"/>
          <w:b/>
          <w:color w:val="000000"/>
          <w:sz w:val="30"/>
          <w:szCs w:val="72"/>
        </w:rPr>
      </w:pPr>
      <w:r>
        <w:rPr>
          <w:rFonts w:hint="eastAsia" w:ascii="宋体" w:hAnsi="宋体" w:eastAsia="宋体" w:cs="宋体"/>
          <w:b/>
          <w:color w:val="000000"/>
          <w:sz w:val="48"/>
          <w:szCs w:val="48"/>
        </w:rPr>
        <w:t>（全流程电子化采购）</w:t>
      </w:r>
    </w:p>
    <w:p w14:paraId="3503FBD6">
      <w:pPr>
        <w:snapToGrid w:val="0"/>
        <w:spacing w:line="360" w:lineRule="auto"/>
        <w:rPr>
          <w:rFonts w:hint="eastAsia" w:ascii="宋体" w:hAnsi="宋体" w:eastAsia="宋体" w:cs="宋体"/>
          <w:color w:val="000000"/>
          <w:sz w:val="30"/>
          <w:szCs w:val="72"/>
        </w:rPr>
      </w:pPr>
    </w:p>
    <w:p w14:paraId="507678B3">
      <w:pPr>
        <w:pStyle w:val="14"/>
        <w:snapToGrid w:val="0"/>
        <w:spacing w:line="480" w:lineRule="auto"/>
        <w:ind w:firstLine="1193" w:firstLineChars="396"/>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rPr>
        <w:t>项目</w:t>
      </w:r>
      <w:r>
        <w:rPr>
          <w:rFonts w:hint="eastAsia" w:ascii="宋体" w:hAnsi="宋体" w:eastAsia="宋体" w:cs="宋体"/>
          <w:b/>
          <w:bCs/>
          <w:color w:val="000000"/>
          <w:w w:val="95"/>
          <w:sz w:val="30"/>
          <w:szCs w:val="30"/>
        </w:rPr>
        <w:t>名称</w:t>
      </w:r>
      <w:r>
        <w:rPr>
          <w:rFonts w:hint="eastAsia" w:ascii="宋体" w:hAnsi="宋体" w:eastAsia="宋体" w:cs="宋体"/>
          <w:b/>
          <w:bCs/>
          <w:color w:val="000000"/>
          <w:sz w:val="30"/>
          <w:szCs w:val="30"/>
        </w:rPr>
        <w:t>：</w:t>
      </w:r>
      <w:r>
        <w:rPr>
          <w:rFonts w:hint="eastAsia" w:hAnsi="宋体" w:cs="宋体"/>
          <w:b/>
          <w:bCs/>
          <w:color w:val="000000"/>
          <w:sz w:val="30"/>
          <w:szCs w:val="30"/>
          <w:lang w:eastAsia="zh-CN"/>
        </w:rPr>
        <w:t>灵山县人民医院2025年临床学科第三批医疗设备采购</w:t>
      </w:r>
    </w:p>
    <w:p w14:paraId="34763B00">
      <w:pPr>
        <w:pStyle w:val="14"/>
        <w:snapToGrid w:val="0"/>
        <w:spacing w:line="480" w:lineRule="auto"/>
        <w:ind w:firstLine="1193" w:firstLineChars="396"/>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rPr>
        <w:t>项目编号：</w:t>
      </w:r>
      <w:r>
        <w:rPr>
          <w:rFonts w:hint="eastAsia" w:hAnsi="宋体" w:cs="宋体"/>
          <w:b/>
          <w:bCs/>
          <w:color w:val="000000"/>
          <w:sz w:val="30"/>
          <w:szCs w:val="30"/>
          <w:lang w:eastAsia="zh-CN"/>
        </w:rPr>
        <w:t>QZZC2025-J1-210259-HCZX</w:t>
      </w:r>
    </w:p>
    <w:p w14:paraId="552C5A82">
      <w:pPr>
        <w:pStyle w:val="14"/>
        <w:snapToGrid w:val="0"/>
        <w:spacing w:line="480" w:lineRule="auto"/>
        <w:ind w:firstLine="1193" w:firstLineChars="396"/>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rPr>
        <w:t>采 购 人：</w:t>
      </w:r>
      <w:r>
        <w:rPr>
          <w:rFonts w:hint="eastAsia" w:hAnsi="宋体" w:cs="宋体"/>
          <w:b/>
          <w:bCs/>
          <w:color w:val="000000"/>
          <w:sz w:val="30"/>
          <w:szCs w:val="30"/>
          <w:lang w:eastAsia="zh-CN"/>
        </w:rPr>
        <w:t>灵山县人民医院</w:t>
      </w:r>
    </w:p>
    <w:p w14:paraId="0B16D028">
      <w:pPr>
        <w:pStyle w:val="14"/>
        <w:snapToGrid w:val="0"/>
        <w:spacing w:line="480" w:lineRule="auto"/>
        <w:ind w:firstLine="1193" w:firstLineChars="396"/>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rPr>
        <w:t>采购代理机构：</w:t>
      </w:r>
      <w:r>
        <w:rPr>
          <w:rFonts w:hint="eastAsia" w:hAnsi="宋体" w:cs="宋体"/>
          <w:b/>
          <w:bCs/>
          <w:color w:val="000000"/>
          <w:sz w:val="30"/>
          <w:szCs w:val="30"/>
          <w:lang w:eastAsia="zh-CN"/>
        </w:rPr>
        <w:t>广西汉昌工程咨询有限公司</w:t>
      </w:r>
    </w:p>
    <w:p w14:paraId="743F1BE3">
      <w:pPr>
        <w:pStyle w:val="14"/>
        <w:snapToGrid w:val="0"/>
        <w:spacing w:line="360" w:lineRule="auto"/>
        <w:ind w:firstLine="1125" w:firstLineChars="393"/>
        <w:rPr>
          <w:rFonts w:hint="eastAsia" w:ascii="宋体" w:hAnsi="宋体" w:eastAsia="宋体" w:cs="宋体"/>
          <w:b/>
          <w:bCs/>
          <w:color w:val="000000"/>
          <w:w w:val="95"/>
          <w:sz w:val="30"/>
          <w:szCs w:val="30"/>
        </w:rPr>
      </w:pPr>
    </w:p>
    <w:p w14:paraId="6E3D50F7">
      <w:pPr>
        <w:pStyle w:val="14"/>
        <w:snapToGrid w:val="0"/>
        <w:spacing w:line="360" w:lineRule="auto"/>
        <w:ind w:firstLine="1125" w:firstLineChars="393"/>
        <w:rPr>
          <w:rFonts w:hint="eastAsia" w:ascii="宋体" w:hAnsi="宋体" w:eastAsia="宋体" w:cs="宋体"/>
          <w:b/>
          <w:bCs/>
          <w:color w:val="000000"/>
          <w:w w:val="95"/>
          <w:sz w:val="30"/>
          <w:szCs w:val="30"/>
        </w:rPr>
      </w:pPr>
    </w:p>
    <w:p w14:paraId="2D669E9F">
      <w:pPr>
        <w:pStyle w:val="14"/>
        <w:snapToGrid w:val="0"/>
        <w:spacing w:line="360" w:lineRule="auto"/>
        <w:ind w:left="20" w:leftChars="-200" w:hanging="440" w:hangingChars="146"/>
        <w:jc w:val="center"/>
        <w:rPr>
          <w:rFonts w:hint="eastAsia" w:ascii="宋体" w:hAnsi="宋体" w:eastAsia="宋体" w:cs="宋体"/>
          <w:b/>
          <w:bCs/>
          <w:color w:val="000000"/>
          <w:sz w:val="30"/>
          <w:szCs w:val="30"/>
          <w:lang w:eastAsia="zh-CN"/>
        </w:rPr>
      </w:pPr>
      <w:r>
        <w:rPr>
          <w:rFonts w:hint="eastAsia" w:hAnsi="宋体" w:cs="宋体"/>
          <w:b/>
          <w:bCs/>
          <w:color w:val="000000"/>
          <w:sz w:val="30"/>
          <w:szCs w:val="30"/>
          <w:lang w:eastAsia="zh-CN"/>
        </w:rPr>
        <w:t>2025年</w:t>
      </w:r>
      <w:r>
        <w:rPr>
          <w:rFonts w:hint="eastAsia" w:hAnsi="宋体" w:cs="宋体"/>
          <w:b/>
          <w:bCs/>
          <w:color w:val="000000"/>
          <w:sz w:val="30"/>
          <w:szCs w:val="30"/>
          <w:lang w:val="en-US" w:eastAsia="zh-CN"/>
        </w:rPr>
        <w:t>11</w:t>
      </w:r>
      <w:r>
        <w:rPr>
          <w:rFonts w:hint="eastAsia" w:hAnsi="宋体" w:cs="宋体"/>
          <w:b/>
          <w:bCs/>
          <w:color w:val="000000"/>
          <w:sz w:val="30"/>
          <w:szCs w:val="30"/>
          <w:lang w:eastAsia="zh-CN"/>
        </w:rPr>
        <w:t>月</w:t>
      </w:r>
    </w:p>
    <w:p w14:paraId="41533FE9">
      <w:pPr>
        <w:pStyle w:val="8"/>
        <w:ind w:firstLine="803"/>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br w:type="page"/>
      </w:r>
    </w:p>
    <w:p w14:paraId="12124A4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目录</w:t>
      </w:r>
    </w:p>
    <w:p w14:paraId="782DC053">
      <w:pPr>
        <w:spacing w:line="400" w:lineRule="exact"/>
        <w:jc w:val="center"/>
        <w:rPr>
          <w:rFonts w:hint="eastAsia" w:ascii="宋体" w:hAnsi="宋体" w:eastAsia="宋体" w:cs="宋体"/>
          <w:b/>
          <w:color w:val="000000" w:themeColor="text1"/>
          <w:sz w:val="44"/>
          <w:szCs w:val="44"/>
          <w14:textFill>
            <w14:solidFill>
              <w14:schemeClr w14:val="tx1"/>
            </w14:solidFill>
          </w14:textFill>
        </w:rPr>
      </w:pPr>
    </w:p>
    <w:p w14:paraId="7E17AF05">
      <w:pPr>
        <w:pStyle w:val="19"/>
        <w:tabs>
          <w:tab w:val="right" w:leader="dot" w:pos="8869"/>
        </w:tabs>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fldChar w:fldCharType="begin"/>
      </w:r>
      <w:r>
        <w:rPr>
          <w:rFonts w:hint="eastAsia" w:ascii="宋体" w:hAnsi="宋体" w:eastAsia="宋体" w:cs="宋体"/>
          <w:b/>
          <w:color w:val="000000" w:themeColor="text1"/>
          <w:sz w:val="28"/>
          <w:szCs w:val="28"/>
          <w14:textFill>
            <w14:solidFill>
              <w14:schemeClr w14:val="tx1"/>
            </w14:solidFill>
          </w14:textFill>
        </w:rPr>
        <w:instrText xml:space="preserve"> TOC \o "1-1" \h \z \u </w:instrText>
      </w:r>
      <w:r>
        <w:rPr>
          <w:rFonts w:hint="eastAsia" w:ascii="宋体" w:hAnsi="宋体" w:eastAsia="宋体" w:cs="宋体"/>
          <w:b/>
          <w:color w:val="000000" w:themeColor="text1"/>
          <w:sz w:val="28"/>
          <w:szCs w:val="28"/>
          <w14:textFill>
            <w14:solidFill>
              <w14:schemeClr w14:val="tx1"/>
            </w14:solidFill>
          </w14:textFill>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"_Toc100252370" </w:instrText>
      </w:r>
      <w:r>
        <w:rPr>
          <w:rFonts w:hint="eastAsia" w:ascii="宋体" w:hAnsi="宋体" w:eastAsia="宋体" w:cs="宋体"/>
        </w:rPr>
        <w:fldChar w:fldCharType="separate"/>
      </w:r>
      <w:r>
        <w:rPr>
          <w:rStyle w:val="28"/>
          <w:rFonts w:hint="eastAsia" w:ascii="宋体" w:hAnsi="宋体" w:eastAsia="宋体" w:cs="宋体"/>
          <w:b/>
          <w:color w:val="000000" w:themeColor="text1"/>
          <w:sz w:val="28"/>
          <w:szCs w:val="28"/>
          <w14:textFill>
            <w14:solidFill>
              <w14:schemeClr w14:val="tx1"/>
            </w14:solidFill>
          </w14:textFill>
        </w:rPr>
        <w:t>第一章</w:t>
      </w:r>
      <w:r>
        <w:rPr>
          <w:rStyle w:val="28"/>
          <w:rFonts w:hint="eastAsia" w:ascii="宋体" w:hAnsi="宋体" w:eastAsia="宋体" w:cs="宋体"/>
          <w:b/>
          <w:color w:val="000000" w:themeColor="text1"/>
          <w:sz w:val="28"/>
          <w:szCs w:val="28"/>
          <w:lang w:val="en-US" w:eastAsia="zh-CN"/>
          <w14:textFill>
            <w14:solidFill>
              <w14:schemeClr w14:val="tx1"/>
            </w14:solidFill>
          </w14:textFill>
        </w:rPr>
        <w:t xml:space="preserve">  </w:t>
      </w:r>
      <w:r>
        <w:rPr>
          <w:rStyle w:val="28"/>
          <w:rFonts w:hint="eastAsia" w:ascii="宋体" w:hAnsi="宋体" w:eastAsia="宋体" w:cs="宋体"/>
          <w:b/>
          <w:color w:val="000000" w:themeColor="text1"/>
          <w:sz w:val="28"/>
          <w:szCs w:val="28"/>
          <w14:textFill>
            <w14:solidFill>
              <w14:schemeClr w14:val="tx1"/>
            </w14:solidFill>
          </w14:textFill>
        </w:rPr>
        <w:t>竞争性谈判公告</w:t>
      </w:r>
      <w:r>
        <w:rPr>
          <w:rFonts w:hint="eastAsia" w:ascii="宋体" w:hAnsi="宋体" w:eastAsia="宋体" w:cs="宋体"/>
          <w:b/>
          <w:color w:val="000000" w:themeColor="text1"/>
          <w:sz w:val="28"/>
          <w:szCs w:val="28"/>
          <w14:textFill>
            <w14:solidFill>
              <w14:schemeClr w14:val="tx1"/>
            </w14:solidFill>
          </w14:textFill>
        </w:rPr>
        <w:tab/>
      </w:r>
      <w:r>
        <w:rPr>
          <w:rFonts w:hint="eastAsia" w:ascii="宋体" w:hAnsi="宋体" w:eastAsia="宋体" w:cs="宋体"/>
          <w:b/>
          <w:color w:val="000000" w:themeColor="text1"/>
          <w:sz w:val="28"/>
          <w:szCs w:val="28"/>
          <w14:textFill>
            <w14:solidFill>
              <w14:schemeClr w14:val="tx1"/>
            </w14:solidFill>
          </w14:textFill>
        </w:rPr>
        <w:fldChar w:fldCharType="begin"/>
      </w:r>
      <w:r>
        <w:rPr>
          <w:rFonts w:hint="eastAsia" w:ascii="宋体" w:hAnsi="宋体" w:eastAsia="宋体" w:cs="宋体"/>
          <w:b/>
          <w:color w:val="000000" w:themeColor="text1"/>
          <w:sz w:val="28"/>
          <w:szCs w:val="28"/>
          <w14:textFill>
            <w14:solidFill>
              <w14:schemeClr w14:val="tx1"/>
            </w14:solidFill>
          </w14:textFill>
        </w:rPr>
        <w:instrText xml:space="preserve"> PAGEREF _Toc100252370 \h </w:instrText>
      </w:r>
      <w:r>
        <w:rPr>
          <w:rFonts w:hint="eastAsia" w:ascii="宋体" w:hAnsi="宋体" w:eastAsia="宋体" w:cs="宋体"/>
          <w:b/>
          <w:color w:val="000000" w:themeColor="text1"/>
          <w:sz w:val="28"/>
          <w:szCs w:val="28"/>
          <w14:textFill>
            <w14:solidFill>
              <w14:schemeClr w14:val="tx1"/>
            </w14:solidFill>
          </w14:textFill>
        </w:rPr>
        <w:fldChar w:fldCharType="separate"/>
      </w:r>
      <w:r>
        <w:rPr>
          <w:rFonts w:hint="eastAsia" w:ascii="宋体" w:hAnsi="宋体" w:eastAsia="宋体" w:cs="宋体"/>
          <w:b/>
          <w:color w:val="000000" w:themeColor="text1"/>
          <w:sz w:val="28"/>
          <w:szCs w:val="28"/>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fldChar w:fldCharType="end"/>
      </w:r>
      <w:r>
        <w:rPr>
          <w:rFonts w:hint="eastAsia" w:ascii="宋体" w:hAnsi="宋体" w:eastAsia="宋体" w:cs="宋体"/>
          <w:b/>
          <w:color w:val="000000" w:themeColor="text1"/>
          <w:sz w:val="28"/>
          <w:szCs w:val="28"/>
          <w14:textFill>
            <w14:solidFill>
              <w14:schemeClr w14:val="tx1"/>
            </w14:solidFill>
          </w14:textFill>
        </w:rPr>
        <w:fldChar w:fldCharType="end"/>
      </w:r>
    </w:p>
    <w:p w14:paraId="21EDCFC6">
      <w:pPr>
        <w:pStyle w:val="19"/>
        <w:tabs>
          <w:tab w:val="right" w:leader="dot" w:pos="8869"/>
        </w:tabs>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"_Toc100252371" </w:instrText>
      </w:r>
      <w:r>
        <w:rPr>
          <w:rFonts w:hint="eastAsia" w:ascii="宋体" w:hAnsi="宋体" w:eastAsia="宋体" w:cs="宋体"/>
        </w:rPr>
        <w:fldChar w:fldCharType="separate"/>
      </w:r>
      <w:r>
        <w:rPr>
          <w:rStyle w:val="28"/>
          <w:rFonts w:hint="eastAsia" w:ascii="宋体" w:hAnsi="宋体" w:eastAsia="宋体" w:cs="宋体"/>
          <w:b/>
          <w:color w:val="000000" w:themeColor="text1"/>
          <w:sz w:val="28"/>
          <w:szCs w:val="28"/>
          <w14:textFill>
            <w14:solidFill>
              <w14:schemeClr w14:val="tx1"/>
            </w14:solidFill>
          </w14:textFill>
        </w:rPr>
        <w:t>第二章</w:t>
      </w:r>
      <w:r>
        <w:rPr>
          <w:rStyle w:val="28"/>
          <w:rFonts w:hint="eastAsia" w:ascii="宋体" w:hAnsi="宋体" w:eastAsia="宋体" w:cs="宋体"/>
          <w:b/>
          <w:color w:val="000000" w:themeColor="text1"/>
          <w:sz w:val="28"/>
          <w:szCs w:val="28"/>
          <w:lang w:val="en-US" w:eastAsia="zh-CN"/>
          <w14:textFill>
            <w14:solidFill>
              <w14:schemeClr w14:val="tx1"/>
            </w14:solidFill>
          </w14:textFill>
        </w:rPr>
        <w:t xml:space="preserve">  </w:t>
      </w:r>
      <w:r>
        <w:rPr>
          <w:rStyle w:val="28"/>
          <w:rFonts w:hint="eastAsia" w:ascii="宋体" w:hAnsi="宋体" w:eastAsia="宋体" w:cs="宋体"/>
          <w:b/>
          <w:color w:val="000000" w:themeColor="text1"/>
          <w:sz w:val="28"/>
          <w:szCs w:val="28"/>
          <w14:textFill>
            <w14:solidFill>
              <w14:schemeClr w14:val="tx1"/>
            </w14:solidFill>
          </w14:textFill>
        </w:rPr>
        <w:t>供应商须知</w:t>
      </w:r>
      <w:r>
        <w:rPr>
          <w:rFonts w:hint="eastAsia" w:ascii="宋体" w:hAnsi="宋体" w:eastAsia="宋体" w:cs="宋体"/>
          <w:b/>
          <w:color w:val="000000" w:themeColor="text1"/>
          <w:sz w:val="28"/>
          <w:szCs w:val="28"/>
          <w14:textFill>
            <w14:solidFill>
              <w14:schemeClr w14:val="tx1"/>
            </w14:solidFill>
          </w14:textFill>
        </w:rPr>
        <w:tab/>
      </w:r>
      <w:r>
        <w:rPr>
          <w:rFonts w:hint="eastAsia" w:ascii="宋体" w:hAnsi="宋体" w:eastAsia="宋体" w:cs="宋体"/>
          <w:b/>
          <w:color w:val="000000" w:themeColor="text1"/>
          <w:sz w:val="28"/>
          <w:szCs w:val="28"/>
          <w14:textFill>
            <w14:solidFill>
              <w14:schemeClr w14:val="tx1"/>
            </w14:solidFill>
          </w14:textFill>
        </w:rPr>
        <w:fldChar w:fldCharType="begin"/>
      </w:r>
      <w:r>
        <w:rPr>
          <w:rFonts w:hint="eastAsia" w:ascii="宋体" w:hAnsi="宋体" w:eastAsia="宋体" w:cs="宋体"/>
          <w:b/>
          <w:color w:val="000000" w:themeColor="text1"/>
          <w:sz w:val="28"/>
          <w:szCs w:val="28"/>
          <w14:textFill>
            <w14:solidFill>
              <w14:schemeClr w14:val="tx1"/>
            </w14:solidFill>
          </w14:textFill>
        </w:rPr>
        <w:instrText xml:space="preserve"> PAGEREF _Toc100252371 \h </w:instrText>
      </w:r>
      <w:r>
        <w:rPr>
          <w:rFonts w:hint="eastAsia" w:ascii="宋体" w:hAnsi="宋体" w:eastAsia="宋体" w:cs="宋体"/>
          <w:b/>
          <w:color w:val="000000" w:themeColor="text1"/>
          <w:sz w:val="28"/>
          <w:szCs w:val="28"/>
          <w14:textFill>
            <w14:solidFill>
              <w14:schemeClr w14:val="tx1"/>
            </w14:solidFill>
          </w14:textFill>
        </w:rPr>
        <w:fldChar w:fldCharType="separate"/>
      </w:r>
      <w:r>
        <w:rPr>
          <w:rFonts w:hint="eastAsia" w:ascii="宋体" w:hAnsi="宋体" w:eastAsia="宋体" w:cs="宋体"/>
          <w:b/>
          <w:color w:val="000000" w:themeColor="text1"/>
          <w:sz w:val="28"/>
          <w:szCs w:val="28"/>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fldChar w:fldCharType="end"/>
      </w:r>
      <w:r>
        <w:rPr>
          <w:rFonts w:hint="eastAsia" w:ascii="宋体" w:hAnsi="宋体" w:eastAsia="宋体" w:cs="宋体"/>
          <w:b/>
          <w:color w:val="000000" w:themeColor="text1"/>
          <w:sz w:val="28"/>
          <w:szCs w:val="28"/>
          <w14:textFill>
            <w14:solidFill>
              <w14:schemeClr w14:val="tx1"/>
            </w14:solidFill>
          </w14:textFill>
        </w:rPr>
        <w:fldChar w:fldCharType="end"/>
      </w:r>
    </w:p>
    <w:p w14:paraId="4B3988FF">
      <w:pPr>
        <w:pStyle w:val="19"/>
        <w:tabs>
          <w:tab w:val="right" w:leader="dot" w:pos="8869"/>
        </w:tabs>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"_Toc100252372" </w:instrText>
      </w:r>
      <w:r>
        <w:rPr>
          <w:rFonts w:hint="eastAsia" w:ascii="宋体" w:hAnsi="宋体" w:eastAsia="宋体" w:cs="宋体"/>
        </w:rPr>
        <w:fldChar w:fldCharType="separate"/>
      </w:r>
      <w:r>
        <w:rPr>
          <w:rStyle w:val="28"/>
          <w:rFonts w:hint="eastAsia" w:ascii="宋体" w:hAnsi="宋体" w:eastAsia="宋体" w:cs="宋体"/>
          <w:b/>
          <w:color w:val="000000" w:themeColor="text1"/>
          <w:sz w:val="28"/>
          <w:szCs w:val="28"/>
          <w14:textFill>
            <w14:solidFill>
              <w14:schemeClr w14:val="tx1"/>
            </w14:solidFill>
          </w14:textFill>
        </w:rPr>
        <w:t>第三章</w:t>
      </w:r>
      <w:r>
        <w:rPr>
          <w:rStyle w:val="28"/>
          <w:rFonts w:hint="eastAsia" w:ascii="宋体" w:hAnsi="宋体" w:eastAsia="宋体" w:cs="宋体"/>
          <w:b/>
          <w:color w:val="000000" w:themeColor="text1"/>
          <w:sz w:val="28"/>
          <w:szCs w:val="28"/>
          <w:lang w:val="en-US" w:eastAsia="zh-CN"/>
          <w14:textFill>
            <w14:solidFill>
              <w14:schemeClr w14:val="tx1"/>
            </w14:solidFill>
          </w14:textFill>
        </w:rPr>
        <w:t xml:space="preserve">  </w:t>
      </w:r>
      <w:r>
        <w:rPr>
          <w:rStyle w:val="28"/>
          <w:rFonts w:hint="eastAsia" w:ascii="宋体" w:hAnsi="宋体" w:eastAsia="宋体" w:cs="宋体"/>
          <w:b/>
          <w:color w:val="000000" w:themeColor="text1"/>
          <w:sz w:val="28"/>
          <w:szCs w:val="28"/>
          <w14:textFill>
            <w14:solidFill>
              <w14:schemeClr w14:val="tx1"/>
            </w14:solidFill>
          </w14:textFill>
        </w:rPr>
        <w:t>采购需求</w:t>
      </w:r>
      <w:r>
        <w:rPr>
          <w:rFonts w:hint="eastAsia" w:ascii="宋体" w:hAnsi="宋体" w:eastAsia="宋体" w:cs="宋体"/>
          <w:b/>
          <w:color w:val="000000" w:themeColor="text1"/>
          <w:sz w:val="28"/>
          <w:szCs w:val="28"/>
          <w14:textFill>
            <w14:solidFill>
              <w14:schemeClr w14:val="tx1"/>
            </w14:solidFill>
          </w14:textFill>
        </w:rPr>
        <w:tab/>
      </w:r>
      <w:r>
        <w:rPr>
          <w:rFonts w:hint="eastAsia" w:ascii="宋体" w:hAnsi="宋体" w:eastAsia="宋体" w:cs="宋体"/>
          <w:b/>
          <w:color w:val="000000" w:themeColor="text1"/>
          <w:sz w:val="28"/>
          <w:szCs w:val="28"/>
          <w14:textFill>
            <w14:solidFill>
              <w14:schemeClr w14:val="tx1"/>
            </w14:solidFill>
          </w14:textFill>
        </w:rPr>
        <w:fldChar w:fldCharType="begin"/>
      </w:r>
      <w:r>
        <w:rPr>
          <w:rFonts w:hint="eastAsia" w:ascii="宋体" w:hAnsi="宋体" w:eastAsia="宋体" w:cs="宋体"/>
          <w:b/>
          <w:color w:val="000000" w:themeColor="text1"/>
          <w:sz w:val="28"/>
          <w:szCs w:val="28"/>
          <w14:textFill>
            <w14:solidFill>
              <w14:schemeClr w14:val="tx1"/>
            </w14:solidFill>
          </w14:textFill>
        </w:rPr>
        <w:instrText xml:space="preserve"> PAGEREF _Toc100252372 \h </w:instrText>
      </w:r>
      <w:r>
        <w:rPr>
          <w:rFonts w:hint="eastAsia" w:ascii="宋体" w:hAnsi="宋体" w:eastAsia="宋体" w:cs="宋体"/>
          <w:b/>
          <w:color w:val="000000" w:themeColor="text1"/>
          <w:sz w:val="28"/>
          <w:szCs w:val="28"/>
          <w14:textFill>
            <w14:solidFill>
              <w14:schemeClr w14:val="tx1"/>
            </w14:solidFill>
          </w14:textFill>
        </w:rPr>
        <w:fldChar w:fldCharType="separate"/>
      </w:r>
      <w:r>
        <w:rPr>
          <w:rFonts w:hint="eastAsia" w:ascii="宋体" w:hAnsi="宋体" w:eastAsia="宋体" w:cs="宋体"/>
          <w:b/>
          <w:color w:val="000000" w:themeColor="text1"/>
          <w:sz w:val="28"/>
          <w:szCs w:val="28"/>
          <w14:textFill>
            <w14:solidFill>
              <w14:schemeClr w14:val="tx1"/>
            </w14:solidFill>
          </w14:textFill>
        </w:rPr>
        <w:t>21</w:t>
      </w:r>
      <w:r>
        <w:rPr>
          <w:rFonts w:hint="eastAsia" w:ascii="宋体" w:hAnsi="宋体" w:eastAsia="宋体" w:cs="宋体"/>
          <w:b/>
          <w:color w:val="000000" w:themeColor="text1"/>
          <w:sz w:val="28"/>
          <w:szCs w:val="28"/>
          <w14:textFill>
            <w14:solidFill>
              <w14:schemeClr w14:val="tx1"/>
            </w14:solidFill>
          </w14:textFill>
        </w:rPr>
        <w:fldChar w:fldCharType="end"/>
      </w:r>
      <w:r>
        <w:rPr>
          <w:rFonts w:hint="eastAsia" w:ascii="宋体" w:hAnsi="宋体" w:eastAsia="宋体" w:cs="宋体"/>
          <w:b/>
          <w:color w:val="000000" w:themeColor="text1"/>
          <w:sz w:val="28"/>
          <w:szCs w:val="28"/>
          <w14:textFill>
            <w14:solidFill>
              <w14:schemeClr w14:val="tx1"/>
            </w14:solidFill>
          </w14:textFill>
        </w:rPr>
        <w:fldChar w:fldCharType="end"/>
      </w:r>
    </w:p>
    <w:p w14:paraId="50720ED9">
      <w:pPr>
        <w:pStyle w:val="19"/>
        <w:tabs>
          <w:tab w:val="right" w:leader="dot" w:pos="8869"/>
        </w:tabs>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"_Toc100252374" </w:instrText>
      </w:r>
      <w:r>
        <w:rPr>
          <w:rFonts w:hint="eastAsia" w:ascii="宋体" w:hAnsi="宋体" w:eastAsia="宋体" w:cs="宋体"/>
        </w:rPr>
        <w:fldChar w:fldCharType="separate"/>
      </w:r>
      <w:r>
        <w:rPr>
          <w:rStyle w:val="28"/>
          <w:rFonts w:hint="eastAsia" w:ascii="宋体" w:hAnsi="宋体" w:eastAsia="宋体" w:cs="宋体"/>
          <w:b/>
          <w:color w:val="000000" w:themeColor="text1"/>
          <w:sz w:val="28"/>
          <w:szCs w:val="28"/>
          <w14:textFill>
            <w14:solidFill>
              <w14:schemeClr w14:val="tx1"/>
            </w14:solidFill>
          </w14:textFill>
        </w:rPr>
        <w:t>第四章</w:t>
      </w:r>
      <w:r>
        <w:rPr>
          <w:rStyle w:val="28"/>
          <w:rFonts w:hint="eastAsia" w:ascii="宋体" w:hAnsi="宋体" w:eastAsia="宋体" w:cs="宋体"/>
          <w:b/>
          <w:color w:val="000000" w:themeColor="text1"/>
          <w:sz w:val="28"/>
          <w:szCs w:val="28"/>
          <w:lang w:val="en-US" w:eastAsia="zh-CN"/>
          <w14:textFill>
            <w14:solidFill>
              <w14:schemeClr w14:val="tx1"/>
            </w14:solidFill>
          </w14:textFill>
        </w:rPr>
        <w:t xml:space="preserve">  </w:t>
      </w:r>
      <w:r>
        <w:rPr>
          <w:rStyle w:val="28"/>
          <w:rFonts w:hint="eastAsia" w:ascii="宋体" w:hAnsi="宋体" w:eastAsia="宋体" w:cs="宋体"/>
          <w:b/>
          <w:color w:val="000000" w:themeColor="text1"/>
          <w:sz w:val="28"/>
          <w:szCs w:val="28"/>
          <w14:textFill>
            <w14:solidFill>
              <w14:schemeClr w14:val="tx1"/>
            </w14:solidFill>
          </w14:textFill>
        </w:rPr>
        <w:t>评审程序和评定成交的标准</w:t>
      </w:r>
      <w:r>
        <w:rPr>
          <w:rFonts w:hint="eastAsia" w:ascii="宋体" w:hAnsi="宋体" w:eastAsia="宋体" w:cs="宋体"/>
          <w:b/>
          <w:color w:val="000000" w:themeColor="text1"/>
          <w:sz w:val="28"/>
          <w:szCs w:val="28"/>
          <w14:textFill>
            <w14:solidFill>
              <w14:schemeClr w14:val="tx1"/>
            </w14:solidFill>
          </w14:textFill>
        </w:rPr>
        <w:tab/>
      </w:r>
      <w:r>
        <w:rPr>
          <w:rFonts w:hint="eastAsia" w:ascii="宋体" w:hAnsi="宋体" w:eastAsia="宋体" w:cs="宋体"/>
          <w:b/>
          <w:color w:val="000000" w:themeColor="text1"/>
          <w:sz w:val="28"/>
          <w:szCs w:val="28"/>
          <w14:textFill>
            <w14:solidFill>
              <w14:schemeClr w14:val="tx1"/>
            </w14:solidFill>
          </w14:textFill>
        </w:rPr>
        <w:fldChar w:fldCharType="begin"/>
      </w:r>
      <w:r>
        <w:rPr>
          <w:rFonts w:hint="eastAsia" w:ascii="宋体" w:hAnsi="宋体" w:eastAsia="宋体" w:cs="宋体"/>
          <w:b/>
          <w:color w:val="000000" w:themeColor="text1"/>
          <w:sz w:val="28"/>
          <w:szCs w:val="28"/>
          <w14:textFill>
            <w14:solidFill>
              <w14:schemeClr w14:val="tx1"/>
            </w14:solidFill>
          </w14:textFill>
        </w:rPr>
        <w:instrText xml:space="preserve"> PAGEREF _Toc100252374 \h </w:instrText>
      </w:r>
      <w:r>
        <w:rPr>
          <w:rFonts w:hint="eastAsia" w:ascii="宋体" w:hAnsi="宋体" w:eastAsia="宋体" w:cs="宋体"/>
          <w:b/>
          <w:color w:val="000000" w:themeColor="text1"/>
          <w:sz w:val="28"/>
          <w:szCs w:val="28"/>
          <w14:textFill>
            <w14:solidFill>
              <w14:schemeClr w14:val="tx1"/>
            </w14:solidFill>
          </w14:textFill>
        </w:rPr>
        <w:fldChar w:fldCharType="separate"/>
      </w:r>
      <w:r>
        <w:rPr>
          <w:rFonts w:hint="eastAsia" w:ascii="宋体" w:hAnsi="宋体" w:eastAsia="宋体" w:cs="宋体"/>
          <w:b/>
          <w:color w:val="000000" w:themeColor="text1"/>
          <w:sz w:val="28"/>
          <w:szCs w:val="28"/>
          <w14:textFill>
            <w14:solidFill>
              <w14:schemeClr w14:val="tx1"/>
            </w14:solidFill>
          </w14:textFill>
        </w:rPr>
        <w:t>44</w:t>
      </w:r>
      <w:r>
        <w:rPr>
          <w:rFonts w:hint="eastAsia" w:ascii="宋体" w:hAnsi="宋体" w:eastAsia="宋体" w:cs="宋体"/>
          <w:b/>
          <w:color w:val="000000" w:themeColor="text1"/>
          <w:sz w:val="28"/>
          <w:szCs w:val="28"/>
          <w14:textFill>
            <w14:solidFill>
              <w14:schemeClr w14:val="tx1"/>
            </w14:solidFill>
          </w14:textFill>
        </w:rPr>
        <w:fldChar w:fldCharType="end"/>
      </w:r>
      <w:r>
        <w:rPr>
          <w:rFonts w:hint="eastAsia" w:ascii="宋体" w:hAnsi="宋体" w:eastAsia="宋体" w:cs="宋体"/>
          <w:b/>
          <w:color w:val="000000" w:themeColor="text1"/>
          <w:sz w:val="28"/>
          <w:szCs w:val="28"/>
          <w14:textFill>
            <w14:solidFill>
              <w14:schemeClr w14:val="tx1"/>
            </w14:solidFill>
          </w14:textFill>
        </w:rPr>
        <w:fldChar w:fldCharType="end"/>
      </w:r>
    </w:p>
    <w:p w14:paraId="76173B89">
      <w:pPr>
        <w:pStyle w:val="19"/>
        <w:tabs>
          <w:tab w:val="right" w:leader="dot" w:pos="8869"/>
        </w:tabs>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"_Toc100252375" </w:instrText>
      </w:r>
      <w:r>
        <w:rPr>
          <w:rFonts w:hint="eastAsia" w:ascii="宋体" w:hAnsi="宋体" w:eastAsia="宋体" w:cs="宋体"/>
        </w:rPr>
        <w:fldChar w:fldCharType="separate"/>
      </w:r>
      <w:r>
        <w:rPr>
          <w:rStyle w:val="28"/>
          <w:rFonts w:hint="eastAsia" w:ascii="宋体" w:hAnsi="宋体" w:eastAsia="宋体" w:cs="宋体"/>
          <w:b/>
          <w:color w:val="000000" w:themeColor="text1"/>
          <w:sz w:val="28"/>
          <w:szCs w:val="28"/>
          <w14:textFill>
            <w14:solidFill>
              <w14:schemeClr w14:val="tx1"/>
            </w14:solidFill>
          </w14:textFill>
        </w:rPr>
        <w:t>第五章</w:t>
      </w:r>
      <w:r>
        <w:rPr>
          <w:rStyle w:val="28"/>
          <w:rFonts w:hint="eastAsia" w:ascii="宋体" w:hAnsi="宋体" w:eastAsia="宋体" w:cs="宋体"/>
          <w:b/>
          <w:color w:val="000000" w:themeColor="text1"/>
          <w:sz w:val="28"/>
          <w:szCs w:val="28"/>
          <w:lang w:val="en-US" w:eastAsia="zh-CN"/>
          <w14:textFill>
            <w14:solidFill>
              <w14:schemeClr w14:val="tx1"/>
            </w14:solidFill>
          </w14:textFill>
        </w:rPr>
        <w:t xml:space="preserve">  </w:t>
      </w:r>
      <w:r>
        <w:rPr>
          <w:rStyle w:val="28"/>
          <w:rFonts w:hint="eastAsia" w:ascii="宋体" w:hAnsi="宋体" w:eastAsia="宋体" w:cs="宋体"/>
          <w:b/>
          <w:color w:val="000000" w:themeColor="text1"/>
          <w:sz w:val="28"/>
          <w:szCs w:val="28"/>
          <w14:textFill>
            <w14:solidFill>
              <w14:schemeClr w14:val="tx1"/>
            </w14:solidFill>
          </w14:textFill>
        </w:rPr>
        <w:t>响应文件格式</w:t>
      </w:r>
      <w:r>
        <w:rPr>
          <w:rFonts w:hint="eastAsia" w:ascii="宋体" w:hAnsi="宋体" w:eastAsia="宋体" w:cs="宋体"/>
          <w:b/>
          <w:color w:val="000000" w:themeColor="text1"/>
          <w:sz w:val="28"/>
          <w:szCs w:val="28"/>
          <w14:textFill>
            <w14:solidFill>
              <w14:schemeClr w14:val="tx1"/>
            </w14:solidFill>
          </w14:textFill>
        </w:rPr>
        <w:tab/>
      </w:r>
      <w:r>
        <w:rPr>
          <w:rFonts w:hint="eastAsia" w:ascii="宋体" w:hAnsi="宋体" w:eastAsia="宋体" w:cs="宋体"/>
          <w:b/>
          <w:color w:val="000000" w:themeColor="text1"/>
          <w:sz w:val="28"/>
          <w:szCs w:val="28"/>
          <w14:textFill>
            <w14:solidFill>
              <w14:schemeClr w14:val="tx1"/>
            </w14:solidFill>
          </w14:textFill>
        </w:rPr>
        <w:fldChar w:fldCharType="begin"/>
      </w:r>
      <w:r>
        <w:rPr>
          <w:rFonts w:hint="eastAsia" w:ascii="宋体" w:hAnsi="宋体" w:eastAsia="宋体" w:cs="宋体"/>
          <w:b/>
          <w:color w:val="000000" w:themeColor="text1"/>
          <w:sz w:val="28"/>
          <w:szCs w:val="28"/>
          <w14:textFill>
            <w14:solidFill>
              <w14:schemeClr w14:val="tx1"/>
            </w14:solidFill>
          </w14:textFill>
        </w:rPr>
        <w:instrText xml:space="preserve"> PAGEREF _Toc100252375 \h </w:instrText>
      </w:r>
      <w:r>
        <w:rPr>
          <w:rFonts w:hint="eastAsia" w:ascii="宋体" w:hAnsi="宋体" w:eastAsia="宋体" w:cs="宋体"/>
          <w:b/>
          <w:color w:val="000000" w:themeColor="text1"/>
          <w:sz w:val="28"/>
          <w:szCs w:val="28"/>
          <w14:textFill>
            <w14:solidFill>
              <w14:schemeClr w14:val="tx1"/>
            </w14:solidFill>
          </w14:textFill>
        </w:rPr>
        <w:fldChar w:fldCharType="separate"/>
      </w:r>
      <w:r>
        <w:rPr>
          <w:rFonts w:hint="eastAsia" w:ascii="宋体" w:hAnsi="宋体" w:eastAsia="宋体" w:cs="宋体"/>
          <w:b/>
          <w:color w:val="000000" w:themeColor="text1"/>
          <w:sz w:val="28"/>
          <w:szCs w:val="28"/>
          <w14:textFill>
            <w14:solidFill>
              <w14:schemeClr w14:val="tx1"/>
            </w14:solidFill>
          </w14:textFill>
        </w:rPr>
        <w:t>49</w:t>
      </w:r>
      <w:r>
        <w:rPr>
          <w:rFonts w:hint="eastAsia" w:ascii="宋体" w:hAnsi="宋体" w:eastAsia="宋体" w:cs="宋体"/>
          <w:b/>
          <w:color w:val="000000" w:themeColor="text1"/>
          <w:sz w:val="28"/>
          <w:szCs w:val="28"/>
          <w14:textFill>
            <w14:solidFill>
              <w14:schemeClr w14:val="tx1"/>
            </w14:solidFill>
          </w14:textFill>
        </w:rPr>
        <w:fldChar w:fldCharType="end"/>
      </w:r>
      <w:r>
        <w:rPr>
          <w:rFonts w:hint="eastAsia" w:ascii="宋体" w:hAnsi="宋体" w:eastAsia="宋体" w:cs="宋体"/>
          <w:b/>
          <w:color w:val="000000" w:themeColor="text1"/>
          <w:sz w:val="28"/>
          <w:szCs w:val="28"/>
          <w14:textFill>
            <w14:solidFill>
              <w14:schemeClr w14:val="tx1"/>
            </w14:solidFill>
          </w14:textFill>
        </w:rPr>
        <w:fldChar w:fldCharType="end"/>
      </w:r>
    </w:p>
    <w:p w14:paraId="76095943">
      <w:pPr>
        <w:pStyle w:val="19"/>
        <w:tabs>
          <w:tab w:val="right" w:leader="dot" w:pos="8869"/>
        </w:tabs>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"_Toc100252376" </w:instrText>
      </w:r>
      <w:r>
        <w:rPr>
          <w:rFonts w:hint="eastAsia" w:ascii="宋体" w:hAnsi="宋体" w:eastAsia="宋体" w:cs="宋体"/>
        </w:rPr>
        <w:fldChar w:fldCharType="separate"/>
      </w:r>
      <w:r>
        <w:rPr>
          <w:rStyle w:val="28"/>
          <w:rFonts w:hint="eastAsia" w:ascii="宋体" w:hAnsi="宋体" w:eastAsia="宋体" w:cs="宋体"/>
          <w:b/>
          <w:color w:val="000000" w:themeColor="text1"/>
          <w:sz w:val="28"/>
          <w:szCs w:val="28"/>
          <w14:textFill>
            <w14:solidFill>
              <w14:schemeClr w14:val="tx1"/>
            </w14:solidFill>
          </w14:textFill>
        </w:rPr>
        <w:t>第六章</w:t>
      </w:r>
      <w:r>
        <w:rPr>
          <w:rStyle w:val="28"/>
          <w:rFonts w:hint="eastAsia" w:ascii="宋体" w:hAnsi="宋体" w:eastAsia="宋体" w:cs="宋体"/>
          <w:b/>
          <w:color w:val="000000" w:themeColor="text1"/>
          <w:sz w:val="28"/>
          <w:szCs w:val="28"/>
          <w:lang w:val="en-US" w:eastAsia="zh-CN"/>
          <w14:textFill>
            <w14:solidFill>
              <w14:schemeClr w14:val="tx1"/>
            </w14:solidFill>
          </w14:textFill>
        </w:rPr>
        <w:t xml:space="preserve">  </w:t>
      </w:r>
      <w:r>
        <w:rPr>
          <w:rStyle w:val="28"/>
          <w:rFonts w:hint="eastAsia" w:ascii="宋体" w:hAnsi="宋体" w:eastAsia="宋体" w:cs="宋体"/>
          <w:b/>
          <w:color w:val="000000" w:themeColor="text1"/>
          <w:sz w:val="28"/>
          <w:szCs w:val="28"/>
          <w14:textFill>
            <w14:solidFill>
              <w14:schemeClr w14:val="tx1"/>
            </w14:solidFill>
          </w14:textFill>
        </w:rPr>
        <w:t>合同文本</w:t>
      </w:r>
      <w:r>
        <w:rPr>
          <w:rFonts w:hint="eastAsia" w:ascii="宋体" w:hAnsi="宋体" w:eastAsia="宋体" w:cs="宋体"/>
          <w:b/>
          <w:color w:val="000000" w:themeColor="text1"/>
          <w:sz w:val="28"/>
          <w:szCs w:val="28"/>
          <w14:textFill>
            <w14:solidFill>
              <w14:schemeClr w14:val="tx1"/>
            </w14:solidFill>
          </w14:textFill>
        </w:rPr>
        <w:tab/>
      </w:r>
      <w:r>
        <w:rPr>
          <w:rFonts w:hint="eastAsia" w:ascii="宋体" w:hAnsi="宋体" w:eastAsia="宋体" w:cs="宋体"/>
          <w:b/>
          <w:color w:val="000000" w:themeColor="text1"/>
          <w:sz w:val="28"/>
          <w:szCs w:val="28"/>
          <w14:textFill>
            <w14:solidFill>
              <w14:schemeClr w14:val="tx1"/>
            </w14:solidFill>
          </w14:textFill>
        </w:rPr>
        <w:fldChar w:fldCharType="begin"/>
      </w:r>
      <w:r>
        <w:rPr>
          <w:rFonts w:hint="eastAsia" w:ascii="宋体" w:hAnsi="宋体" w:eastAsia="宋体" w:cs="宋体"/>
          <w:b/>
          <w:color w:val="000000" w:themeColor="text1"/>
          <w:sz w:val="28"/>
          <w:szCs w:val="28"/>
          <w14:textFill>
            <w14:solidFill>
              <w14:schemeClr w14:val="tx1"/>
            </w14:solidFill>
          </w14:textFill>
        </w:rPr>
        <w:instrText xml:space="preserve"> PAGEREF _Toc100252376 \h </w:instrText>
      </w:r>
      <w:r>
        <w:rPr>
          <w:rFonts w:hint="eastAsia" w:ascii="宋体" w:hAnsi="宋体" w:eastAsia="宋体" w:cs="宋体"/>
          <w:b/>
          <w:color w:val="000000" w:themeColor="text1"/>
          <w:sz w:val="28"/>
          <w:szCs w:val="28"/>
          <w14:textFill>
            <w14:solidFill>
              <w14:schemeClr w14:val="tx1"/>
            </w14:solidFill>
          </w14:textFill>
        </w:rPr>
        <w:fldChar w:fldCharType="separate"/>
      </w:r>
      <w:r>
        <w:rPr>
          <w:rFonts w:hint="eastAsia" w:ascii="宋体" w:hAnsi="宋体" w:eastAsia="宋体" w:cs="宋体"/>
          <w:b/>
          <w:color w:val="000000" w:themeColor="text1"/>
          <w:sz w:val="28"/>
          <w:szCs w:val="28"/>
          <w14:textFill>
            <w14:solidFill>
              <w14:schemeClr w14:val="tx1"/>
            </w14:solidFill>
          </w14:textFill>
        </w:rPr>
        <w:t>75</w:t>
      </w:r>
      <w:r>
        <w:rPr>
          <w:rFonts w:hint="eastAsia" w:ascii="宋体" w:hAnsi="宋体" w:eastAsia="宋体" w:cs="宋体"/>
          <w:b/>
          <w:color w:val="000000" w:themeColor="text1"/>
          <w:sz w:val="28"/>
          <w:szCs w:val="28"/>
          <w14:textFill>
            <w14:solidFill>
              <w14:schemeClr w14:val="tx1"/>
            </w14:solidFill>
          </w14:textFill>
        </w:rPr>
        <w:fldChar w:fldCharType="end"/>
      </w:r>
      <w:r>
        <w:rPr>
          <w:rFonts w:hint="eastAsia" w:ascii="宋体" w:hAnsi="宋体" w:eastAsia="宋体" w:cs="宋体"/>
          <w:b/>
          <w:color w:val="000000" w:themeColor="text1"/>
          <w:sz w:val="28"/>
          <w:szCs w:val="28"/>
          <w14:textFill>
            <w14:solidFill>
              <w14:schemeClr w14:val="tx1"/>
            </w14:solidFill>
          </w14:textFill>
        </w:rPr>
        <w:fldChar w:fldCharType="end"/>
      </w:r>
    </w:p>
    <w:p w14:paraId="0D91B1E1">
      <w:pPr>
        <w:pStyle w:val="20"/>
        <w:tabs>
          <w:tab w:val="right" w:leader="dot" w:pos="8931"/>
          <w:tab w:val="clear" w:pos="8296"/>
        </w:tabs>
        <w:snapToGrid w:val="0"/>
        <w:spacing w:line="500" w:lineRule="atLeast"/>
        <w:ind w:left="0" w:leftChars="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fldChar w:fldCharType="end"/>
      </w:r>
    </w:p>
    <w:p w14:paraId="30E1CECB">
      <w:pPr>
        <w:spacing w:line="400" w:lineRule="exact"/>
        <w:jc w:val="left"/>
        <w:rPr>
          <w:rFonts w:hint="eastAsia" w:ascii="宋体" w:hAnsi="宋体" w:eastAsia="宋体" w:cs="宋体"/>
          <w:b/>
          <w:color w:val="000000" w:themeColor="text1"/>
          <w:sz w:val="32"/>
          <w:szCs w:val="32"/>
          <w14:textFill>
            <w14:solidFill>
              <w14:schemeClr w14:val="tx1"/>
            </w14:solidFill>
          </w14:textFill>
        </w:rPr>
      </w:pPr>
    </w:p>
    <w:p w14:paraId="716C3B33">
      <w:pPr>
        <w:spacing w:line="400" w:lineRule="exact"/>
        <w:jc w:val="center"/>
        <w:rPr>
          <w:rFonts w:hint="eastAsia" w:ascii="宋体" w:hAnsi="宋体" w:eastAsia="宋体" w:cs="宋体"/>
          <w:b/>
          <w:color w:val="000000" w:themeColor="text1"/>
          <w:sz w:val="32"/>
          <w:szCs w:val="32"/>
          <w14:textFill>
            <w14:solidFill>
              <w14:schemeClr w14:val="tx1"/>
            </w14:solidFill>
          </w14:textFill>
        </w:rPr>
      </w:pPr>
    </w:p>
    <w:p w14:paraId="45B2EFA7">
      <w:pPr>
        <w:spacing w:line="400" w:lineRule="exact"/>
        <w:jc w:val="center"/>
        <w:rPr>
          <w:rFonts w:hint="eastAsia" w:ascii="宋体" w:hAnsi="宋体" w:eastAsia="宋体" w:cs="宋体"/>
          <w:b/>
          <w:color w:val="000000" w:themeColor="text1"/>
          <w:sz w:val="32"/>
          <w:szCs w:val="32"/>
          <w14:textFill>
            <w14:solidFill>
              <w14:schemeClr w14:val="tx1"/>
            </w14:solidFill>
          </w14:textFill>
        </w:rPr>
      </w:pPr>
    </w:p>
    <w:p w14:paraId="3E08A3D1">
      <w:pPr>
        <w:spacing w:line="400" w:lineRule="exact"/>
        <w:jc w:val="center"/>
        <w:rPr>
          <w:rFonts w:hint="eastAsia" w:ascii="宋体" w:hAnsi="宋体" w:eastAsia="宋体" w:cs="宋体"/>
          <w:b/>
          <w:color w:val="000000" w:themeColor="text1"/>
          <w:sz w:val="32"/>
          <w:szCs w:val="32"/>
          <w14:textFill>
            <w14:solidFill>
              <w14:schemeClr w14:val="tx1"/>
            </w14:solidFill>
          </w14:textFill>
        </w:rPr>
      </w:pPr>
    </w:p>
    <w:p w14:paraId="1B5842C9">
      <w:pPr>
        <w:spacing w:line="400" w:lineRule="exact"/>
        <w:jc w:val="center"/>
        <w:rPr>
          <w:rFonts w:hint="eastAsia" w:ascii="宋体" w:hAnsi="宋体" w:eastAsia="宋体" w:cs="宋体"/>
          <w:b/>
          <w:color w:val="000000" w:themeColor="text1"/>
          <w:sz w:val="32"/>
          <w:szCs w:val="32"/>
          <w14:textFill>
            <w14:solidFill>
              <w14:schemeClr w14:val="tx1"/>
            </w14:solidFill>
          </w14:textFill>
        </w:rPr>
      </w:pPr>
    </w:p>
    <w:p w14:paraId="5211CA15">
      <w:pPr>
        <w:spacing w:line="400" w:lineRule="exact"/>
        <w:rPr>
          <w:rFonts w:hint="eastAsia" w:ascii="宋体" w:hAnsi="宋体" w:eastAsia="宋体" w:cs="宋体"/>
          <w:b/>
          <w:color w:val="000000" w:themeColor="text1"/>
          <w:sz w:val="32"/>
          <w:szCs w:val="32"/>
          <w14:textFill>
            <w14:solidFill>
              <w14:schemeClr w14:val="tx1"/>
            </w14:solidFill>
          </w14:textFill>
        </w:rPr>
      </w:pPr>
    </w:p>
    <w:p w14:paraId="2BCA24EE">
      <w:pPr>
        <w:rPr>
          <w:rFonts w:hint="eastAsia" w:ascii="宋体" w:hAnsi="宋体" w:eastAsia="宋体" w:cs="宋体"/>
          <w:color w:val="000000" w:themeColor="text1"/>
          <w:sz w:val="32"/>
          <w:szCs w:val="32"/>
          <w14:textFill>
            <w14:solidFill>
              <w14:schemeClr w14:val="tx1"/>
            </w14:solidFill>
          </w14:textFill>
        </w:rPr>
      </w:pPr>
    </w:p>
    <w:p w14:paraId="3DF8D506">
      <w:pPr>
        <w:rPr>
          <w:rFonts w:hint="eastAsia" w:ascii="宋体" w:hAnsi="宋体" w:eastAsia="宋体" w:cs="宋体"/>
          <w:color w:val="000000" w:themeColor="text1"/>
          <w:sz w:val="32"/>
          <w:szCs w:val="32"/>
          <w14:textFill>
            <w14:solidFill>
              <w14:schemeClr w14:val="tx1"/>
            </w14:solidFill>
          </w14:textFill>
        </w:rPr>
      </w:pPr>
    </w:p>
    <w:p w14:paraId="11F8CF0E">
      <w:pPr>
        <w:rPr>
          <w:rFonts w:hint="eastAsia" w:ascii="宋体" w:hAnsi="宋体" w:eastAsia="宋体" w:cs="宋体"/>
          <w:color w:val="000000" w:themeColor="text1"/>
          <w:sz w:val="32"/>
          <w:szCs w:val="32"/>
          <w14:textFill>
            <w14:solidFill>
              <w14:schemeClr w14:val="tx1"/>
            </w14:solidFill>
          </w14:textFill>
        </w:rPr>
      </w:pPr>
    </w:p>
    <w:p w14:paraId="40410049">
      <w:pPr>
        <w:rPr>
          <w:rFonts w:hint="eastAsia" w:ascii="宋体" w:hAnsi="宋体" w:eastAsia="宋体" w:cs="宋体"/>
          <w:color w:val="000000" w:themeColor="text1"/>
          <w:sz w:val="32"/>
          <w:szCs w:val="32"/>
          <w14:textFill>
            <w14:solidFill>
              <w14:schemeClr w14:val="tx1"/>
            </w14:solidFill>
          </w14:textFill>
        </w:rPr>
      </w:pPr>
    </w:p>
    <w:p w14:paraId="2165088F">
      <w:pPr>
        <w:rPr>
          <w:rFonts w:hint="eastAsia" w:ascii="宋体" w:hAnsi="宋体" w:eastAsia="宋体" w:cs="宋体"/>
          <w:color w:val="000000" w:themeColor="text1"/>
          <w:sz w:val="32"/>
          <w:szCs w:val="32"/>
          <w14:textFill>
            <w14:solidFill>
              <w14:schemeClr w14:val="tx1"/>
            </w14:solidFill>
          </w14:textFill>
        </w:rPr>
      </w:pPr>
    </w:p>
    <w:p w14:paraId="6C1826E7">
      <w:pPr>
        <w:jc w:val="center"/>
        <w:rPr>
          <w:rFonts w:hint="eastAsia" w:ascii="宋体" w:hAnsi="宋体" w:eastAsia="宋体" w:cs="宋体"/>
          <w:color w:val="000000" w:themeColor="text1"/>
          <w:sz w:val="32"/>
          <w:szCs w:val="32"/>
          <w14:textFill>
            <w14:solidFill>
              <w14:schemeClr w14:val="tx1"/>
            </w14:solidFill>
          </w14:textFill>
        </w:rPr>
      </w:pPr>
    </w:p>
    <w:p w14:paraId="370FB7CE">
      <w:pPr>
        <w:rPr>
          <w:rFonts w:hint="eastAsia" w:ascii="宋体" w:hAnsi="宋体" w:eastAsia="宋体" w:cs="宋体"/>
          <w:color w:val="000000" w:themeColor="text1"/>
          <w:sz w:val="32"/>
          <w:szCs w:val="32"/>
          <w14:textFill>
            <w14:solidFill>
              <w14:schemeClr w14:val="tx1"/>
            </w14:solidFill>
          </w14:textFill>
        </w:rPr>
      </w:pPr>
    </w:p>
    <w:p w14:paraId="3BA03D66">
      <w:pPr>
        <w:rPr>
          <w:rFonts w:hint="eastAsia" w:ascii="宋体" w:hAnsi="宋体" w:eastAsia="宋体" w:cs="宋体"/>
          <w:color w:val="000000" w:themeColor="text1"/>
          <w:sz w:val="32"/>
          <w:szCs w:val="32"/>
          <w14:textFill>
            <w14:solidFill>
              <w14:schemeClr w14:val="tx1"/>
            </w14:solidFill>
          </w14:textFill>
        </w:rPr>
      </w:pPr>
    </w:p>
    <w:p w14:paraId="288444C4">
      <w:pPr>
        <w:rPr>
          <w:rFonts w:hint="eastAsia" w:ascii="宋体" w:hAnsi="宋体" w:eastAsia="宋体" w:cs="宋体"/>
          <w:color w:val="000000" w:themeColor="text1"/>
          <w:sz w:val="32"/>
          <w:szCs w:val="32"/>
          <w14:textFill>
            <w14:solidFill>
              <w14:schemeClr w14:val="tx1"/>
            </w14:solidFill>
          </w14:textFill>
        </w:rPr>
      </w:pPr>
    </w:p>
    <w:p w14:paraId="6F5EF03B">
      <w:pPr>
        <w:rPr>
          <w:rFonts w:hint="eastAsia" w:ascii="宋体" w:hAnsi="宋体" w:eastAsia="宋体" w:cs="宋体"/>
          <w:color w:val="000000" w:themeColor="text1"/>
          <w:sz w:val="32"/>
          <w:szCs w:val="32"/>
          <w14:textFill>
            <w14:solidFill>
              <w14:schemeClr w14:val="tx1"/>
            </w14:solidFill>
          </w14:textFill>
        </w:rPr>
        <w:sectPr>
          <w:headerReference r:id="rId3" w:type="default"/>
          <w:footerReference r:id="rId4" w:type="default"/>
          <w:pgSz w:w="11906" w:h="16838"/>
          <w:pgMar w:top="1440" w:right="1440" w:bottom="1440" w:left="1587"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14:paraId="6DEB43CB">
      <w:pPr>
        <w:pStyle w:val="2"/>
        <w:spacing w:after="100" w:line="480" w:lineRule="auto"/>
        <w:jc w:val="center"/>
        <w:rPr>
          <w:rFonts w:hint="eastAsia" w:ascii="宋体" w:hAnsi="宋体" w:eastAsia="宋体" w:cs="宋体"/>
          <w:color w:val="000000" w:themeColor="text1"/>
          <w14:textFill>
            <w14:solidFill>
              <w14:schemeClr w14:val="tx1"/>
            </w14:solidFill>
          </w14:textFill>
        </w:rPr>
      </w:pPr>
      <w:bookmarkStart w:id="0" w:name="_Toc100252370"/>
      <w:r>
        <w:rPr>
          <w:rFonts w:hint="eastAsia" w:ascii="宋体" w:hAnsi="宋体" w:eastAsia="宋体" w:cs="宋体"/>
          <w:color w:val="000000" w:themeColor="text1"/>
          <w14:textFill>
            <w14:solidFill>
              <w14:schemeClr w14:val="tx1"/>
            </w14:solidFill>
          </w14:textFill>
        </w:rPr>
        <w:t xml:space="preserve">第一章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竞争性谈判公告</w:t>
      </w:r>
      <w:bookmarkEnd w:id="0"/>
    </w:p>
    <w:p w14:paraId="0C05DF43">
      <w:pPr>
        <w:spacing w:line="400" w:lineRule="exact"/>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广西汉昌工程咨询有限公司</w:t>
      </w:r>
      <w:r>
        <w:rPr>
          <w:rFonts w:hint="eastAsia" w:ascii="宋体" w:hAnsi="宋体" w:cs="宋体"/>
          <w:b/>
          <w:bCs/>
          <w:color w:val="000000" w:themeColor="text1"/>
          <w:sz w:val="32"/>
          <w:szCs w:val="32"/>
          <w:lang w:val="en-US" w:eastAsia="zh-CN"/>
          <w14:textFill>
            <w14:solidFill>
              <w14:schemeClr w14:val="tx1"/>
            </w14:solidFill>
          </w14:textFill>
        </w:rPr>
        <w:t>关于</w:t>
      </w:r>
      <w:r>
        <w:rPr>
          <w:rFonts w:hint="eastAsia" w:ascii="宋体" w:hAnsi="宋体" w:cs="宋体"/>
          <w:b/>
          <w:bCs/>
          <w:color w:val="000000" w:themeColor="text1"/>
          <w:sz w:val="32"/>
          <w:szCs w:val="32"/>
          <w:lang w:eastAsia="zh-CN"/>
          <w14:textFill>
            <w14:solidFill>
              <w14:schemeClr w14:val="tx1"/>
            </w14:solidFill>
          </w14:textFill>
        </w:rPr>
        <w:t>灵山县人民医院2025年临床学科第三批医疗设备采购（QZZC2025-J1-210259-HCZX）</w:t>
      </w:r>
      <w:r>
        <w:rPr>
          <w:rFonts w:hint="eastAsia" w:ascii="宋体" w:hAnsi="宋体" w:eastAsia="宋体" w:cs="宋体"/>
          <w:b/>
          <w:bCs/>
          <w:color w:val="000000" w:themeColor="text1"/>
          <w:sz w:val="32"/>
          <w:szCs w:val="32"/>
          <w14:textFill>
            <w14:solidFill>
              <w14:schemeClr w14:val="tx1"/>
            </w14:solidFill>
          </w14:textFill>
        </w:rPr>
        <w:t>竞争性谈判公告</w:t>
      </w:r>
    </w:p>
    <w:p w14:paraId="6E8159CF">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p w14:paraId="1D5EFE27">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1" w:name="_Hlk37430271"/>
      <w:r>
        <w:rPr>
          <w:rFonts w:hint="eastAsia" w:ascii="宋体" w:hAnsi="宋体" w:eastAsia="宋体" w:cs="宋体"/>
          <w:color w:val="000000" w:themeColor="text1"/>
          <w:sz w:val="21"/>
          <w:szCs w:val="21"/>
          <w14:textFill>
            <w14:solidFill>
              <w14:schemeClr w14:val="tx1"/>
            </w14:solidFill>
          </w14:textFill>
        </w:rPr>
        <w:t>项目概况</w:t>
      </w:r>
    </w:p>
    <w:p w14:paraId="70BC235A">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u w:val="single"/>
          <w:lang w:eastAsia="zh-CN"/>
          <w14:textFill>
            <w14:solidFill>
              <w14:schemeClr w14:val="tx1"/>
            </w14:solidFill>
          </w14:textFill>
        </w:rPr>
        <w:t>灵山县人民医院2025年临床学科第三批医疗设备采购</w:t>
      </w:r>
      <w:r>
        <w:rPr>
          <w:rFonts w:hint="eastAsia" w:ascii="宋体" w:hAnsi="宋体" w:eastAsia="宋体" w:cs="宋体"/>
          <w:color w:val="000000" w:themeColor="text1"/>
          <w:sz w:val="21"/>
          <w:szCs w:val="21"/>
          <w14:textFill>
            <w14:solidFill>
              <w14:schemeClr w14:val="tx1"/>
            </w14:solidFill>
          </w14:textFill>
        </w:rPr>
        <w:t>项目的潜在供应商应在</w:t>
      </w:r>
      <w:r>
        <w:rPr>
          <w:rFonts w:hint="eastAsia" w:ascii="宋体" w:hAnsi="宋体" w:cs="宋体"/>
          <w:color w:val="000000" w:themeColor="text1"/>
          <w:sz w:val="21"/>
          <w:szCs w:val="21"/>
          <w:lang w:eastAsia="zh-CN"/>
          <w14:textFill>
            <w14:solidFill>
              <w14:schemeClr w14:val="tx1"/>
            </w14:solidFill>
          </w14:textFill>
        </w:rPr>
        <w:t>广西政府采购云平台</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www.gcy.zfcg.gxzf.gov.cn/</w:t>
      </w:r>
      <w:r>
        <w:rPr>
          <w:rFonts w:hint="eastAsia" w:ascii="宋体" w:hAnsi="宋体" w:eastAsia="宋体" w:cs="宋体"/>
          <w:color w:val="000000" w:themeColor="text1"/>
          <w:sz w:val="21"/>
          <w:szCs w:val="21"/>
          <w14:textFill>
            <w14:solidFill>
              <w14:schemeClr w14:val="tx1"/>
            </w14:solidFill>
          </w14:textFill>
        </w:rPr>
        <w:t>）获取（下载）竞争性谈判文件，并于</w:t>
      </w:r>
      <w:r>
        <w:rPr>
          <w:rFonts w:hint="eastAsia" w:ascii="宋体" w:hAnsi="宋体" w:cs="宋体"/>
          <w:color w:val="000000" w:themeColor="text1"/>
          <w:sz w:val="21"/>
          <w:szCs w:val="21"/>
          <w:u w:val="single"/>
          <w:lang w:eastAsia="zh-CN"/>
          <w14:textFill>
            <w14:solidFill>
              <w14:schemeClr w14:val="tx1"/>
            </w14:solidFill>
          </w14:textFill>
        </w:rPr>
        <w:t>2025年11月7日</w:t>
      </w:r>
      <w:r>
        <w:rPr>
          <w:rFonts w:hint="eastAsia" w:ascii="宋体" w:hAnsi="宋体" w:cs="宋体"/>
          <w:color w:val="000000" w:themeColor="text1"/>
          <w:sz w:val="21"/>
          <w:szCs w:val="21"/>
          <w:u w:val="single"/>
          <w:lang w:val="en-US" w:eastAsia="zh-CN"/>
          <w14:textFill>
            <w14:solidFill>
              <w14:schemeClr w14:val="tx1"/>
            </w14:solidFill>
          </w14:textFill>
        </w:rPr>
        <w:t>10时00分</w:t>
      </w:r>
      <w:r>
        <w:rPr>
          <w:rFonts w:hint="eastAsia" w:ascii="宋体" w:hAnsi="宋体" w:eastAsia="宋体" w:cs="宋体"/>
          <w:bCs/>
          <w:color w:val="000000" w:themeColor="text1"/>
          <w:sz w:val="21"/>
          <w:szCs w:val="21"/>
          <w:u w:val="single"/>
          <w14:textFill>
            <w14:solidFill>
              <w14:schemeClr w14:val="tx1"/>
            </w14:solidFill>
          </w14:textFill>
        </w:rPr>
        <w:t>（北京时间）</w:t>
      </w:r>
      <w:r>
        <w:rPr>
          <w:rFonts w:hint="eastAsia" w:ascii="宋体" w:hAnsi="宋体" w:eastAsia="宋体" w:cs="宋体"/>
          <w:bCs/>
          <w:color w:val="000000" w:themeColor="text1"/>
          <w:sz w:val="21"/>
          <w:szCs w:val="21"/>
          <w14:textFill>
            <w14:solidFill>
              <w14:schemeClr w14:val="tx1"/>
            </w14:solidFill>
          </w14:textFill>
        </w:rPr>
        <w:t>前提交（上传）</w:t>
      </w:r>
      <w:r>
        <w:rPr>
          <w:rFonts w:hint="eastAsia" w:ascii="宋体" w:hAnsi="宋体" w:eastAsia="宋体" w:cs="宋体"/>
          <w:color w:val="000000" w:themeColor="text1"/>
          <w:sz w:val="21"/>
          <w:szCs w:val="21"/>
          <w14:textFill>
            <w14:solidFill>
              <w14:schemeClr w14:val="tx1"/>
            </w14:solidFill>
          </w14:textFill>
        </w:rPr>
        <w:t>响应</w:t>
      </w:r>
      <w:r>
        <w:rPr>
          <w:rFonts w:hint="eastAsia" w:ascii="宋体" w:hAnsi="宋体" w:eastAsia="宋体" w:cs="宋体"/>
          <w:bCs/>
          <w:color w:val="000000" w:themeColor="text1"/>
          <w:sz w:val="21"/>
          <w:szCs w:val="21"/>
          <w14:textFill>
            <w14:solidFill>
              <w14:schemeClr w14:val="tx1"/>
            </w14:solidFill>
          </w14:textFill>
        </w:rPr>
        <w:t>文件</w:t>
      </w:r>
      <w:r>
        <w:rPr>
          <w:rFonts w:hint="eastAsia" w:ascii="宋体" w:hAnsi="宋体" w:eastAsia="宋体" w:cs="宋体"/>
          <w:color w:val="000000" w:themeColor="text1"/>
          <w:sz w:val="21"/>
          <w:szCs w:val="21"/>
          <w14:textFill>
            <w14:solidFill>
              <w14:schemeClr w14:val="tx1"/>
            </w14:solidFill>
          </w14:textFill>
        </w:rPr>
        <w:t>。</w:t>
      </w:r>
    </w:p>
    <w:p w14:paraId="4E52F7A4">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p w14:paraId="74146AA6">
      <w:pPr>
        <w:keepNext w:val="0"/>
        <w:keepLines w:val="0"/>
        <w:pageBreakBefore w:val="0"/>
        <w:kinsoku/>
        <w:wordWrap/>
        <w:overflowPunct/>
        <w:topLinePunct w:val="0"/>
        <w:autoSpaceDE/>
        <w:autoSpaceDN/>
        <w:bidi w:val="0"/>
        <w:adjustRightInd/>
        <w:spacing w:line="400" w:lineRule="exact"/>
        <w:ind w:firstLine="315" w:firstLineChars="150"/>
        <w:textAlignment w:val="auto"/>
        <w:rPr>
          <w:rFonts w:hint="eastAsia" w:ascii="宋体" w:hAnsi="宋体" w:eastAsia="宋体" w:cs="宋体"/>
          <w:color w:val="000000" w:themeColor="text1"/>
          <w:sz w:val="21"/>
          <w:szCs w:val="21"/>
          <w14:textFill>
            <w14:solidFill>
              <w14:schemeClr w14:val="tx1"/>
            </w14:solidFill>
          </w14:textFill>
        </w:rPr>
      </w:pPr>
      <w:bookmarkStart w:id="2" w:name="_Toc71365362"/>
      <w:bookmarkStart w:id="3" w:name="_Toc35393629"/>
      <w:bookmarkStart w:id="4" w:name="_Toc28359012"/>
      <w:bookmarkStart w:id="5" w:name="_Toc28359089"/>
      <w:bookmarkStart w:id="6" w:name="_Toc71366040"/>
      <w:bookmarkStart w:id="7" w:name="_Toc35393798"/>
      <w:r>
        <w:rPr>
          <w:rFonts w:hint="eastAsia" w:ascii="宋体" w:hAnsi="宋体" w:eastAsia="宋体" w:cs="宋体"/>
          <w:color w:val="000000" w:themeColor="text1"/>
          <w:sz w:val="21"/>
          <w:szCs w:val="21"/>
          <w14:textFill>
            <w14:solidFill>
              <w14:schemeClr w14:val="tx1"/>
            </w14:solidFill>
          </w14:textFill>
        </w:rPr>
        <w:t>一、项目基本情况</w:t>
      </w:r>
      <w:bookmarkEnd w:id="2"/>
      <w:bookmarkEnd w:id="3"/>
      <w:bookmarkEnd w:id="4"/>
      <w:bookmarkEnd w:id="5"/>
      <w:bookmarkEnd w:id="6"/>
      <w:bookmarkEnd w:id="7"/>
    </w:p>
    <w:p w14:paraId="711CC09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项目编号：</w:t>
      </w:r>
      <w:r>
        <w:rPr>
          <w:rFonts w:hint="eastAsia" w:ascii="宋体" w:hAnsi="宋体" w:cs="宋体"/>
          <w:color w:val="000000" w:themeColor="text1"/>
          <w:sz w:val="21"/>
          <w:szCs w:val="21"/>
          <w:lang w:eastAsia="zh-CN"/>
          <w14:textFill>
            <w14:solidFill>
              <w14:schemeClr w14:val="tx1"/>
            </w14:solidFill>
          </w14:textFill>
        </w:rPr>
        <w:t>QZZC2025-J1-210259-HCZX</w:t>
      </w:r>
    </w:p>
    <w:p w14:paraId="2FE19A1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u w:val="single"/>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r>
        <w:rPr>
          <w:rFonts w:hint="eastAsia" w:ascii="宋体" w:hAnsi="宋体" w:cs="宋体"/>
          <w:color w:val="000000" w:themeColor="text1"/>
          <w:sz w:val="21"/>
          <w:szCs w:val="21"/>
          <w:lang w:eastAsia="zh-CN"/>
          <w14:textFill>
            <w14:solidFill>
              <w14:schemeClr w14:val="tx1"/>
            </w14:solidFill>
          </w14:textFill>
        </w:rPr>
        <w:t>灵山县人民医院2025年临床学科第三批医疗设备采购</w:t>
      </w:r>
    </w:p>
    <w:p w14:paraId="57AFFF5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采购方式：竞争性谈判</w:t>
      </w:r>
    </w:p>
    <w:p w14:paraId="7E1279F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预算总金额（元）：</w:t>
      </w:r>
      <w:r>
        <w:rPr>
          <w:rFonts w:hint="eastAsia" w:ascii="宋体" w:hAnsi="宋体" w:cs="宋体"/>
          <w:color w:val="000000" w:themeColor="text1"/>
          <w:sz w:val="21"/>
          <w:szCs w:val="21"/>
          <w:lang w:eastAsia="zh-CN"/>
          <w14:textFill>
            <w14:solidFill>
              <w14:schemeClr w14:val="tx1"/>
            </w14:solidFill>
          </w14:textFill>
        </w:rPr>
        <w:t>2138000.00</w:t>
      </w:r>
    </w:p>
    <w:p w14:paraId="367F97A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采购需求：</w:t>
      </w:r>
    </w:p>
    <w:p w14:paraId="6CEC5F9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标项名称</w:t>
      </w:r>
      <w:r>
        <w:rPr>
          <w:rFonts w:hint="eastAsia" w:ascii="宋体" w:hAnsi="宋体" w:cs="宋体"/>
          <w:color w:val="000000" w:themeColor="text1"/>
          <w:sz w:val="21"/>
          <w:szCs w:val="21"/>
          <w:lang w:eastAsia="zh-CN"/>
          <w14:textFill>
            <w14:solidFill>
              <w14:schemeClr w14:val="tx1"/>
            </w14:solidFill>
          </w14:textFill>
        </w:rPr>
        <w:t>：2025年临床学科第三批医疗设备</w:t>
      </w:r>
    </w:p>
    <w:p w14:paraId="364858E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1</w:t>
      </w:r>
      <w:r>
        <w:rPr>
          <w:rFonts w:hint="default" w:ascii="宋体" w:hAnsi="宋体" w:cs="宋体"/>
          <w:color w:val="000000" w:themeColor="text1"/>
          <w:sz w:val="21"/>
          <w:szCs w:val="21"/>
          <w14:textFill>
            <w14:solidFill>
              <w14:schemeClr w14:val="tx1"/>
            </w14:solidFill>
          </w14:textFill>
        </w:rPr>
        <w:t>批</w:t>
      </w:r>
    </w:p>
    <w:p w14:paraId="41D6CF9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预算金额（元）</w:t>
      </w:r>
      <w:r>
        <w:rPr>
          <w:rFonts w:hint="eastAsia" w:ascii="宋体" w:hAnsi="宋体" w:cs="宋体"/>
          <w:color w:val="000000" w:themeColor="text1"/>
          <w:sz w:val="21"/>
          <w:szCs w:val="21"/>
          <w:lang w:eastAsia="zh-CN"/>
          <w14:textFill>
            <w14:solidFill>
              <w14:schemeClr w14:val="tx1"/>
            </w14:solidFill>
          </w14:textFill>
        </w:rPr>
        <w:t>：2138000.00</w:t>
      </w:r>
    </w:p>
    <w:p w14:paraId="71E49FE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简要规格描述或项目基本概况介绍、用途：持续血液透析机2</w:t>
      </w:r>
      <w:r>
        <w:rPr>
          <w:rFonts w:hint="default" w:ascii="宋体" w:hAnsi="宋体" w:cs="宋体"/>
          <w:color w:val="000000" w:themeColor="text1"/>
          <w:sz w:val="21"/>
          <w:szCs w:val="21"/>
          <w14:textFill>
            <w14:solidFill>
              <w14:schemeClr w14:val="tx1"/>
            </w14:solidFill>
          </w14:textFill>
        </w:rPr>
        <w:t>台、</w:t>
      </w:r>
      <w:r>
        <w:rPr>
          <w:rFonts w:hint="eastAsia" w:ascii="宋体" w:hAnsi="宋体" w:eastAsia="宋体" w:cs="宋体"/>
          <w:color w:val="000000" w:themeColor="text1"/>
          <w:sz w:val="21"/>
          <w:szCs w:val="21"/>
          <w14:textFill>
            <w14:solidFill>
              <w14:schemeClr w14:val="tx1"/>
            </w14:solidFill>
          </w14:textFill>
        </w:rPr>
        <w:t>电子支气管镜1套</w:t>
      </w:r>
      <w:r>
        <w:rPr>
          <w:rFonts w:hint="default" w:ascii="宋体" w:hAnsi="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血液透析机3</w:t>
      </w:r>
      <w:r>
        <w:rPr>
          <w:rFonts w:hint="default" w:ascii="宋体" w:hAnsi="宋体" w:cs="宋体"/>
          <w:color w:val="000000" w:themeColor="text1"/>
          <w:sz w:val="21"/>
          <w:szCs w:val="21"/>
          <w14:textFill>
            <w14:solidFill>
              <w14:schemeClr w14:val="tx1"/>
            </w14:solidFill>
          </w14:textFill>
        </w:rPr>
        <w:t>台、</w:t>
      </w:r>
      <w:r>
        <w:rPr>
          <w:rFonts w:hint="eastAsia" w:ascii="宋体" w:hAnsi="宋体" w:eastAsia="宋体" w:cs="宋体"/>
          <w:color w:val="000000" w:themeColor="text1"/>
          <w:sz w:val="21"/>
          <w:szCs w:val="21"/>
          <w14:textFill>
            <w14:solidFill>
              <w14:schemeClr w14:val="tx1"/>
            </w14:solidFill>
          </w14:textFill>
        </w:rPr>
        <w:t>除颤仪1</w:t>
      </w:r>
      <w:r>
        <w:rPr>
          <w:rFonts w:hint="default" w:ascii="宋体" w:hAnsi="宋体" w:cs="宋体"/>
          <w:color w:val="000000" w:themeColor="text1"/>
          <w:sz w:val="21"/>
          <w:szCs w:val="21"/>
          <w14:textFill>
            <w14:solidFill>
              <w14:schemeClr w14:val="tx1"/>
            </w14:solidFill>
          </w14:textFill>
        </w:rPr>
        <w:t>台、</w:t>
      </w:r>
      <w:r>
        <w:rPr>
          <w:rFonts w:hint="eastAsia" w:ascii="宋体" w:hAnsi="宋体" w:eastAsia="宋体" w:cs="宋体"/>
          <w:color w:val="000000" w:themeColor="text1"/>
          <w:sz w:val="21"/>
          <w:szCs w:val="21"/>
          <w14:textFill>
            <w14:solidFill>
              <w14:schemeClr w14:val="tx1"/>
            </w14:solidFill>
          </w14:textFill>
        </w:rPr>
        <w:t>综合电动手术床1</w:t>
      </w:r>
      <w:r>
        <w:rPr>
          <w:rFonts w:hint="default" w:ascii="宋体" w:hAnsi="宋体" w:cs="宋体"/>
          <w:color w:val="000000" w:themeColor="text1"/>
          <w:sz w:val="21"/>
          <w:szCs w:val="21"/>
          <w14:textFill>
            <w14:solidFill>
              <w14:schemeClr w14:val="tx1"/>
            </w14:solidFill>
          </w14:textFill>
        </w:rPr>
        <w:t>张</w:t>
      </w:r>
      <w:r>
        <w:rPr>
          <w:rFonts w:hint="eastAsia" w:ascii="宋体" w:hAnsi="宋体" w:cs="宋体"/>
          <w:color w:val="000000" w:themeColor="text1"/>
          <w:sz w:val="21"/>
          <w:szCs w:val="21"/>
          <w:lang w:val="en-US" w:eastAsia="zh-CN"/>
          <w14:textFill>
            <w14:solidFill>
              <w14:schemeClr w14:val="tx1"/>
            </w14:solidFill>
          </w14:textFill>
        </w:rPr>
        <w:t>，具体内容详见“第三章 采购需求”。</w:t>
      </w:r>
    </w:p>
    <w:p w14:paraId="7956D9A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最高限价（</w:t>
      </w:r>
      <w:r>
        <w:rPr>
          <w:rFonts w:hint="eastAsia" w:ascii="宋体" w:hAnsi="宋体" w:cs="宋体"/>
          <w:color w:val="000000" w:themeColor="text1"/>
          <w:sz w:val="21"/>
          <w:szCs w:val="21"/>
          <w:lang w:eastAsia="zh-CN"/>
          <w14:textFill>
            <w14:solidFill>
              <w14:schemeClr w14:val="tx1"/>
            </w14:solidFill>
          </w14:textFill>
        </w:rPr>
        <w:t>元</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2138000.00</w:t>
      </w:r>
    </w:p>
    <w:p w14:paraId="11B7989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合同履约期限：进口设备：自签订合同之日起90日（日历日）内交货、安装调试完毕并通过验收；国产设备：自签订合同之日起60个日历日内交货、安装调试完毕并通过验收。</w:t>
      </w:r>
    </w:p>
    <w:p w14:paraId="727EF06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本项目（否）接受联合体投标</w:t>
      </w:r>
    </w:p>
    <w:p w14:paraId="1F02495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8" w:name="_Toc28359013"/>
      <w:bookmarkStart w:id="9" w:name="_Toc35393799"/>
      <w:bookmarkStart w:id="10" w:name="_Toc71366041"/>
      <w:bookmarkStart w:id="11" w:name="_Toc35393630"/>
      <w:bookmarkStart w:id="12" w:name="_Toc28359090"/>
      <w:bookmarkStart w:id="13" w:name="_Toc71365363"/>
      <w:r>
        <w:rPr>
          <w:rFonts w:hint="eastAsia" w:ascii="宋体" w:hAnsi="宋体" w:eastAsia="宋体" w:cs="宋体"/>
          <w:color w:val="000000" w:themeColor="text1"/>
          <w:sz w:val="21"/>
          <w:szCs w:val="21"/>
          <w14:textFill>
            <w14:solidFill>
              <w14:schemeClr w14:val="tx1"/>
            </w14:solidFill>
          </w14:textFill>
        </w:rPr>
        <w:t>二、供应商的资格条件：</w:t>
      </w:r>
      <w:bookmarkEnd w:id="8"/>
      <w:bookmarkEnd w:id="9"/>
      <w:bookmarkEnd w:id="10"/>
      <w:bookmarkEnd w:id="11"/>
      <w:bookmarkEnd w:id="12"/>
      <w:bookmarkEnd w:id="13"/>
    </w:p>
    <w:p w14:paraId="75164B2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14" w:name="_Toc28359091"/>
      <w:bookmarkStart w:id="15" w:name="_Toc28359014"/>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符合《中华人民共和国政府采购法》第二十二条的规定。</w:t>
      </w:r>
    </w:p>
    <w:p w14:paraId="767A3E2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未被“信用中国”（www.creditchina.gov.cn）、中国政府采购网（www.ccgp.gov.cn）列入失信被执行人、重大税收违法案件当事人名单、政府采购严重违法失信行为记录名单。</w:t>
      </w:r>
    </w:p>
    <w:p w14:paraId="6F8086E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.落实政府采购政策需满足的资格要求：无</w:t>
      </w:r>
      <w:r>
        <w:rPr>
          <w:rFonts w:hint="eastAsia" w:ascii="宋体" w:hAnsi="宋体" w:cs="宋体"/>
          <w:color w:val="000000" w:themeColor="text1"/>
          <w:sz w:val="21"/>
          <w:szCs w:val="21"/>
          <w:lang w:eastAsia="zh-CN"/>
          <w14:textFill>
            <w14:solidFill>
              <w14:schemeClr w14:val="tx1"/>
            </w14:solidFill>
          </w14:textFill>
        </w:rPr>
        <w:t>。</w:t>
      </w:r>
    </w:p>
    <w:p w14:paraId="3D1C49B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.本项目的特定资格要求：</w:t>
      </w:r>
    </w:p>
    <w:p w14:paraId="19EAFA5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sz w:val="21"/>
          <w:szCs w:val="21"/>
          <w:lang w:val="en-US" w:eastAsia="zh-CN"/>
        </w:rPr>
        <w:t>供应商必须具备由食品药品监督管理部门颁发的有效的证件（供应商为生产企业须具备《医疗器械生产许可证》；供应商为经营企业经营第二类医疗器械的须具备《第二类医疗器械经营备案凭证》，供应商为经营第三类医疗器械的须具备《医疗器械经营许可证》）；</w:t>
      </w:r>
    </w:p>
    <w:p w14:paraId="2ECD443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）单位负责人为同一人或者存在直接控股、管理关系的不同供应商，不得参加同一合同项下的政府采购活动。</w:t>
      </w:r>
    </w:p>
    <w:p w14:paraId="70F0FCF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16" w:name="_Toc35393800"/>
      <w:bookmarkStart w:id="17" w:name="_Toc71366042"/>
      <w:bookmarkStart w:id="18" w:name="_Toc35393631"/>
      <w:bookmarkStart w:id="19" w:name="_Toc71365364"/>
      <w:r>
        <w:rPr>
          <w:rFonts w:hint="eastAsia" w:ascii="宋体" w:hAnsi="宋体" w:eastAsia="宋体" w:cs="宋体"/>
          <w:color w:val="000000" w:themeColor="text1"/>
          <w:sz w:val="21"/>
          <w:szCs w:val="21"/>
          <w14:textFill>
            <w14:solidFill>
              <w14:schemeClr w14:val="tx1"/>
            </w14:solidFill>
          </w14:textFill>
        </w:rPr>
        <w:t>三、获取竞争性谈判文件</w:t>
      </w:r>
      <w:bookmarkEnd w:id="14"/>
      <w:bookmarkEnd w:id="15"/>
      <w:bookmarkEnd w:id="16"/>
      <w:bookmarkEnd w:id="17"/>
      <w:bookmarkEnd w:id="18"/>
      <w:bookmarkEnd w:id="19"/>
    </w:p>
    <w:p w14:paraId="33FF35F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时间：</w:t>
      </w:r>
      <w:r>
        <w:rPr>
          <w:rFonts w:hint="eastAsia" w:ascii="宋体" w:hAnsi="宋体" w:cs="宋体"/>
          <w:bCs/>
          <w:color w:val="000000" w:themeColor="text1"/>
          <w:kern w:val="0"/>
          <w:sz w:val="21"/>
          <w:szCs w:val="21"/>
          <w:lang w:eastAsia="zh-CN"/>
          <w14:textFill>
            <w14:solidFill>
              <w14:schemeClr w14:val="tx1"/>
            </w14:solidFill>
          </w14:textFill>
        </w:rPr>
        <w:t>2025年11月3日</w:t>
      </w:r>
      <w:r>
        <w:rPr>
          <w:rFonts w:hint="eastAsia" w:ascii="宋体" w:hAnsi="宋体" w:eastAsia="宋体" w:cs="宋体"/>
          <w:bCs/>
          <w:color w:val="000000" w:themeColor="text1"/>
          <w:kern w:val="0"/>
          <w:sz w:val="21"/>
          <w:szCs w:val="21"/>
          <w14:textFill>
            <w14:solidFill>
              <w14:schemeClr w14:val="tx1"/>
            </w14:solidFill>
          </w14:textFill>
        </w:rPr>
        <w:t>至</w:t>
      </w:r>
      <w:r>
        <w:rPr>
          <w:rFonts w:hint="eastAsia" w:ascii="宋体" w:hAnsi="宋体" w:cs="宋体"/>
          <w:bCs/>
          <w:color w:val="000000" w:themeColor="text1"/>
          <w:kern w:val="0"/>
          <w:sz w:val="21"/>
          <w:szCs w:val="21"/>
          <w:lang w:eastAsia="zh-CN"/>
          <w14:textFill>
            <w14:solidFill>
              <w14:schemeClr w14:val="tx1"/>
            </w14:solidFill>
          </w14:textFill>
        </w:rPr>
        <w:t>2025年11月6日</w:t>
      </w:r>
      <w:r>
        <w:rPr>
          <w:rFonts w:hint="eastAsia" w:ascii="宋体" w:hAnsi="宋体" w:eastAsia="宋体" w:cs="宋体"/>
          <w:bCs/>
          <w:color w:val="000000" w:themeColor="text1"/>
          <w:kern w:val="0"/>
          <w:sz w:val="21"/>
          <w:szCs w:val="21"/>
          <w14:textFill>
            <w14:solidFill>
              <w14:schemeClr w14:val="tx1"/>
            </w14:solidFill>
          </w14:textFill>
        </w:rPr>
        <w:t>，每天上午08：</w:t>
      </w:r>
      <w:r>
        <w:rPr>
          <w:rFonts w:hint="eastAsia" w:ascii="宋体" w:hAnsi="宋体" w:cs="宋体"/>
          <w:bCs/>
          <w:color w:val="000000" w:themeColor="text1"/>
          <w:kern w:val="0"/>
          <w:sz w:val="21"/>
          <w:szCs w:val="21"/>
          <w:lang w:val="en-US" w:eastAsia="zh-CN"/>
          <w14:textFill>
            <w14:solidFill>
              <w14:schemeClr w14:val="tx1"/>
            </w14:solidFill>
          </w14:textFill>
        </w:rPr>
        <w:t>3</w:t>
      </w:r>
      <w:r>
        <w:rPr>
          <w:rFonts w:hint="eastAsia" w:ascii="宋体" w:hAnsi="宋体" w:eastAsia="宋体" w:cs="宋体"/>
          <w:bCs/>
          <w:color w:val="000000" w:themeColor="text1"/>
          <w:kern w:val="0"/>
          <w:sz w:val="21"/>
          <w:szCs w:val="21"/>
          <w14:textFill>
            <w14:solidFill>
              <w14:schemeClr w14:val="tx1"/>
            </w14:solidFill>
          </w14:textFill>
        </w:rPr>
        <w:t>0至12：00，下午15：00至1</w:t>
      </w:r>
      <w:r>
        <w:rPr>
          <w:rFonts w:hint="eastAsia" w:ascii="宋体" w:hAnsi="宋体" w:cs="宋体"/>
          <w:bCs/>
          <w:color w:val="000000" w:themeColor="text1"/>
          <w:kern w:val="0"/>
          <w:sz w:val="21"/>
          <w:szCs w:val="21"/>
          <w:lang w:val="en-US" w:eastAsia="zh-CN"/>
          <w14:textFill>
            <w14:solidFill>
              <w14:schemeClr w14:val="tx1"/>
            </w14:solidFill>
          </w14:textFill>
        </w:rPr>
        <w:t>7</w:t>
      </w: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cs="宋体"/>
          <w:bCs/>
          <w:color w:val="000000" w:themeColor="text1"/>
          <w:kern w:val="0"/>
          <w:sz w:val="21"/>
          <w:szCs w:val="21"/>
          <w:lang w:val="en-US" w:eastAsia="zh-CN"/>
          <w14:textFill>
            <w14:solidFill>
              <w14:schemeClr w14:val="tx1"/>
            </w14:solidFill>
          </w14:textFill>
        </w:rPr>
        <w:t>3</w:t>
      </w:r>
      <w:r>
        <w:rPr>
          <w:rFonts w:hint="eastAsia" w:ascii="宋体" w:hAnsi="宋体" w:eastAsia="宋体" w:cs="宋体"/>
          <w:bCs/>
          <w:color w:val="000000" w:themeColor="text1"/>
          <w:kern w:val="0"/>
          <w:sz w:val="21"/>
          <w:szCs w:val="21"/>
          <w14:textFill>
            <w14:solidFill>
              <w14:schemeClr w14:val="tx1"/>
            </w14:solidFill>
          </w14:textFill>
        </w:rPr>
        <w:t>0（北京时间，法定节假日除外）</w:t>
      </w:r>
    </w:p>
    <w:p w14:paraId="2C62100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地点：</w:t>
      </w:r>
      <w:r>
        <w:rPr>
          <w:rFonts w:hint="eastAsia" w:ascii="宋体" w:hAnsi="宋体" w:cs="宋体"/>
          <w:bCs/>
          <w:color w:val="000000" w:themeColor="text1"/>
          <w:kern w:val="0"/>
          <w:sz w:val="21"/>
          <w:szCs w:val="21"/>
          <w:lang w:eastAsia="zh-CN"/>
          <w14:textFill>
            <w14:solidFill>
              <w14:schemeClr w14:val="tx1"/>
            </w14:solidFill>
          </w14:textFill>
        </w:rPr>
        <w:t>广西政府采购云平台</w:t>
      </w: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cs="宋体"/>
          <w:bCs/>
          <w:color w:val="000000" w:themeColor="text1"/>
          <w:kern w:val="0"/>
          <w:sz w:val="21"/>
          <w:szCs w:val="21"/>
          <w:lang w:eastAsia="zh-CN"/>
          <w14:textFill>
            <w14:solidFill>
              <w14:schemeClr w14:val="tx1"/>
            </w14:solidFill>
          </w14:textFill>
        </w:rPr>
        <w:t>www.gcy.zfcg.gxzf.gov.cn/</w:t>
      </w:r>
      <w:r>
        <w:rPr>
          <w:rFonts w:hint="eastAsia" w:ascii="宋体" w:hAnsi="宋体" w:eastAsia="宋体" w:cs="宋体"/>
          <w:bCs/>
          <w:color w:val="000000" w:themeColor="text1"/>
          <w:kern w:val="0"/>
          <w:sz w:val="21"/>
          <w:szCs w:val="21"/>
          <w14:textFill>
            <w14:solidFill>
              <w14:schemeClr w14:val="tx1"/>
            </w14:solidFill>
          </w14:textFill>
        </w:rPr>
        <w:t>）</w:t>
      </w:r>
    </w:p>
    <w:p w14:paraId="6F27161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kern w:val="0"/>
          <w:sz w:val="21"/>
          <w:szCs w:val="21"/>
        </w:rPr>
      </w:pPr>
      <w:bookmarkStart w:id="20" w:name="_Toc71365365"/>
      <w:bookmarkStart w:id="21" w:name="_Toc28359092"/>
      <w:bookmarkStart w:id="22" w:name="_Toc71366043"/>
      <w:bookmarkStart w:id="23" w:name="_Toc28359015"/>
      <w:bookmarkStart w:id="24" w:name="_Toc35393632"/>
      <w:bookmarkStart w:id="25" w:name="_Toc35393801"/>
      <w:r>
        <w:rPr>
          <w:rFonts w:hint="eastAsia" w:ascii="宋体" w:hAnsi="宋体" w:eastAsia="宋体" w:cs="宋体"/>
          <w:bCs/>
          <w:color w:val="000000"/>
          <w:kern w:val="0"/>
          <w:sz w:val="21"/>
          <w:szCs w:val="21"/>
        </w:rPr>
        <w:t>方式：网上下载。本项目不发放纸质文件，供应商可自行在</w:t>
      </w:r>
      <w:r>
        <w:rPr>
          <w:rFonts w:hint="eastAsia" w:ascii="宋体" w:hAnsi="宋体" w:cs="宋体"/>
          <w:bCs/>
          <w:color w:val="000000"/>
          <w:kern w:val="0"/>
          <w:sz w:val="21"/>
          <w:szCs w:val="21"/>
          <w:lang w:eastAsia="zh-CN"/>
        </w:rPr>
        <w:t>广西政府采购云平台</w:t>
      </w:r>
      <w:r>
        <w:rPr>
          <w:rFonts w:hint="eastAsia" w:ascii="宋体" w:hAnsi="宋体" w:eastAsia="宋体" w:cs="宋体"/>
          <w:bCs/>
          <w:color w:val="000000"/>
          <w:kern w:val="0"/>
          <w:sz w:val="21"/>
          <w:szCs w:val="21"/>
        </w:rPr>
        <w:t>（http：//</w:t>
      </w:r>
      <w:r>
        <w:rPr>
          <w:rFonts w:hint="eastAsia" w:ascii="宋体" w:hAnsi="宋体" w:cs="宋体"/>
          <w:bCs/>
          <w:color w:val="000000"/>
          <w:kern w:val="0"/>
          <w:sz w:val="21"/>
          <w:szCs w:val="21"/>
          <w:lang w:eastAsia="zh-CN"/>
        </w:rPr>
        <w:t>www.gcy.zfcg.gxzf.gov.cn/</w:t>
      </w:r>
      <w:r>
        <w:rPr>
          <w:rFonts w:hint="eastAsia" w:ascii="宋体" w:hAnsi="宋体" w:eastAsia="宋体" w:cs="宋体"/>
          <w:bCs/>
          <w:color w:val="000000"/>
          <w:kern w:val="0"/>
          <w:sz w:val="21"/>
          <w:szCs w:val="21"/>
        </w:rPr>
        <w:t>）下载</w:t>
      </w:r>
      <w:r>
        <w:rPr>
          <w:rFonts w:hint="eastAsia" w:ascii="宋体" w:hAnsi="宋体" w:cs="宋体"/>
          <w:bCs/>
          <w:color w:val="000000"/>
          <w:kern w:val="0"/>
          <w:sz w:val="21"/>
          <w:szCs w:val="21"/>
          <w:lang w:eastAsia="zh-CN"/>
        </w:rPr>
        <w:t>采购文件</w:t>
      </w:r>
      <w:r>
        <w:rPr>
          <w:rFonts w:hint="eastAsia" w:ascii="宋体" w:hAnsi="宋体" w:eastAsia="宋体" w:cs="宋体"/>
          <w:bCs/>
          <w:color w:val="000000"/>
          <w:kern w:val="0"/>
          <w:sz w:val="21"/>
          <w:szCs w:val="21"/>
        </w:rPr>
        <w:t>（操作路径：登录</w:t>
      </w:r>
      <w:r>
        <w:rPr>
          <w:rFonts w:hint="eastAsia" w:ascii="宋体" w:hAnsi="宋体" w:cs="宋体"/>
          <w:bCs/>
          <w:color w:val="000000"/>
          <w:kern w:val="0"/>
          <w:sz w:val="21"/>
          <w:szCs w:val="21"/>
          <w:lang w:eastAsia="zh-CN"/>
        </w:rPr>
        <w:t>广西政府采购云平台</w:t>
      </w:r>
      <w:r>
        <w:rPr>
          <w:rFonts w:hint="eastAsia" w:ascii="宋体" w:hAnsi="宋体" w:eastAsia="宋体" w:cs="宋体"/>
          <w:bCs/>
          <w:color w:val="000000"/>
          <w:kern w:val="0"/>
          <w:sz w:val="21"/>
          <w:szCs w:val="21"/>
        </w:rPr>
        <w:t>-项目采购-获取采购文件-找到本项目-点击“申请获取采购文件”），电子投标文件制作需要基于</w:t>
      </w:r>
      <w:r>
        <w:rPr>
          <w:rFonts w:hint="eastAsia" w:ascii="宋体" w:hAnsi="宋体" w:cs="宋体"/>
          <w:bCs/>
          <w:color w:val="000000"/>
          <w:kern w:val="0"/>
          <w:sz w:val="21"/>
          <w:szCs w:val="21"/>
          <w:lang w:eastAsia="zh-CN"/>
        </w:rPr>
        <w:t>广西政府采购云平台</w:t>
      </w:r>
      <w:r>
        <w:rPr>
          <w:rFonts w:hint="eastAsia" w:ascii="宋体" w:hAnsi="宋体" w:eastAsia="宋体" w:cs="宋体"/>
          <w:bCs/>
          <w:color w:val="000000"/>
          <w:kern w:val="0"/>
          <w:sz w:val="21"/>
          <w:szCs w:val="21"/>
        </w:rPr>
        <w:t>（http：//</w:t>
      </w:r>
      <w:r>
        <w:rPr>
          <w:rFonts w:hint="eastAsia" w:ascii="宋体" w:hAnsi="宋体" w:cs="宋体"/>
          <w:bCs/>
          <w:color w:val="000000"/>
          <w:kern w:val="0"/>
          <w:sz w:val="21"/>
          <w:szCs w:val="21"/>
          <w:lang w:eastAsia="zh-CN"/>
        </w:rPr>
        <w:t>www.gcy.zfcg.gxzf.gov.cn/</w:t>
      </w:r>
      <w:r>
        <w:rPr>
          <w:rFonts w:hint="eastAsia" w:ascii="宋体" w:hAnsi="宋体" w:eastAsia="宋体" w:cs="宋体"/>
          <w:bCs/>
          <w:color w:val="000000"/>
          <w:kern w:val="0"/>
          <w:sz w:val="21"/>
          <w:szCs w:val="21"/>
        </w:rPr>
        <w:t>）获取的</w:t>
      </w:r>
      <w:r>
        <w:rPr>
          <w:rFonts w:hint="eastAsia" w:ascii="宋体" w:hAnsi="宋体" w:cs="宋体"/>
          <w:bCs/>
          <w:color w:val="000000"/>
          <w:kern w:val="0"/>
          <w:sz w:val="21"/>
          <w:szCs w:val="21"/>
          <w:lang w:eastAsia="zh-CN"/>
        </w:rPr>
        <w:t>采购</w:t>
      </w:r>
      <w:r>
        <w:rPr>
          <w:rFonts w:hint="eastAsia" w:ascii="宋体" w:hAnsi="宋体" w:eastAsia="宋体" w:cs="宋体"/>
          <w:bCs/>
          <w:color w:val="000000"/>
          <w:kern w:val="0"/>
          <w:sz w:val="21"/>
          <w:szCs w:val="21"/>
        </w:rPr>
        <w:t>文件编制。</w:t>
      </w:r>
    </w:p>
    <w:p w14:paraId="244DEC5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四、响应文件提交</w:t>
      </w:r>
      <w:bookmarkEnd w:id="20"/>
      <w:bookmarkEnd w:id="21"/>
      <w:bookmarkEnd w:id="22"/>
      <w:bookmarkEnd w:id="23"/>
      <w:bookmarkEnd w:id="24"/>
      <w:bookmarkEnd w:id="25"/>
    </w:p>
    <w:p w14:paraId="0FC1918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截止时间：</w:t>
      </w:r>
      <w:r>
        <w:rPr>
          <w:rFonts w:hint="eastAsia" w:ascii="宋体" w:hAnsi="宋体" w:cs="宋体"/>
          <w:color w:val="000000" w:themeColor="text1"/>
          <w:sz w:val="21"/>
          <w:szCs w:val="21"/>
          <w:u w:val="none"/>
          <w:lang w:eastAsia="zh-CN"/>
          <w14:textFill>
            <w14:solidFill>
              <w14:schemeClr w14:val="tx1"/>
            </w14:solidFill>
          </w14:textFill>
        </w:rPr>
        <w:t>2025年11月7日</w:t>
      </w:r>
      <w:r>
        <w:rPr>
          <w:rFonts w:hint="eastAsia" w:ascii="宋体" w:hAnsi="宋体" w:cs="宋体"/>
          <w:color w:val="000000" w:themeColor="text1"/>
          <w:sz w:val="21"/>
          <w:szCs w:val="21"/>
          <w:u w:val="none"/>
          <w:lang w:val="en-US" w:eastAsia="zh-CN"/>
          <w14:textFill>
            <w14:solidFill>
              <w14:schemeClr w14:val="tx1"/>
            </w14:solidFill>
          </w14:textFill>
        </w:rPr>
        <w:t>10时00分</w:t>
      </w:r>
      <w:r>
        <w:rPr>
          <w:rFonts w:hint="eastAsia" w:ascii="宋体" w:hAnsi="宋体" w:eastAsia="宋体" w:cs="宋体"/>
          <w:bCs/>
          <w:color w:val="000000" w:themeColor="text1"/>
          <w:sz w:val="21"/>
          <w:szCs w:val="21"/>
          <w14:textFill>
            <w14:solidFill>
              <w14:schemeClr w14:val="tx1"/>
            </w14:solidFill>
          </w14:textFill>
        </w:rPr>
        <w:t>（北京时间）</w:t>
      </w:r>
    </w:p>
    <w:p w14:paraId="4CD44337">
      <w:pPr>
        <w:keepNext w:val="0"/>
        <w:keepLines w:val="0"/>
        <w:pageBreakBefore w:val="0"/>
        <w:kinsoku/>
        <w:wordWrap/>
        <w:overflowPunct/>
        <w:topLinePunct w:val="0"/>
        <w:autoSpaceDE/>
        <w:autoSpaceDN/>
        <w:bidi w:val="0"/>
        <w:adjustRightInd/>
        <w:spacing w:line="400" w:lineRule="exact"/>
        <w:ind w:left="422"/>
        <w:textAlignment w:val="auto"/>
        <w:rPr>
          <w:rFonts w:hint="eastAsia" w:ascii="宋体" w:hAnsi="宋体" w:eastAsia="宋体" w:cs="宋体"/>
          <w:bCs/>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地点：</w:t>
      </w:r>
      <w:r>
        <w:rPr>
          <w:rFonts w:hint="eastAsia" w:ascii="宋体" w:hAnsi="宋体" w:cs="宋体"/>
          <w:color w:val="000000" w:themeColor="text1"/>
          <w:sz w:val="21"/>
          <w:szCs w:val="21"/>
          <w:lang w:eastAsia="zh-CN"/>
          <w14:textFill>
            <w14:solidFill>
              <w14:schemeClr w14:val="tx1"/>
            </w14:solidFill>
          </w14:textFill>
        </w:rPr>
        <w:t>广西政府采购云平台</w:t>
      </w: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cs="宋体"/>
          <w:bCs/>
          <w:color w:val="000000" w:themeColor="text1"/>
          <w:kern w:val="0"/>
          <w:sz w:val="21"/>
          <w:szCs w:val="21"/>
          <w:lang w:eastAsia="zh-CN"/>
          <w14:textFill>
            <w14:solidFill>
              <w14:schemeClr w14:val="tx1"/>
            </w14:solidFill>
          </w14:textFill>
        </w:rPr>
        <w:t>www.gcy.zfcg.gxzf.gov.cn/</w:t>
      </w:r>
      <w:r>
        <w:rPr>
          <w:rFonts w:hint="eastAsia" w:ascii="宋体" w:hAnsi="宋体" w:eastAsia="宋体" w:cs="宋体"/>
          <w:bCs/>
          <w:color w:val="000000" w:themeColor="text1"/>
          <w:kern w:val="0"/>
          <w:sz w:val="21"/>
          <w:szCs w:val="21"/>
          <w14:textFill>
            <w14:solidFill>
              <w14:schemeClr w14:val="tx1"/>
            </w14:solidFill>
          </w14:textFill>
        </w:rPr>
        <w:t>）</w:t>
      </w:r>
    </w:p>
    <w:p w14:paraId="1EBD97A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26" w:name="_Toc28359093"/>
      <w:bookmarkStart w:id="27" w:name="_Toc71365366"/>
      <w:bookmarkStart w:id="28" w:name="_Toc35393633"/>
      <w:bookmarkStart w:id="29" w:name="_Toc28359016"/>
      <w:bookmarkStart w:id="30" w:name="_Toc35393802"/>
      <w:bookmarkStart w:id="31" w:name="_Toc71366044"/>
      <w:r>
        <w:rPr>
          <w:rFonts w:hint="eastAsia" w:ascii="宋体" w:hAnsi="宋体" w:eastAsia="宋体" w:cs="宋体"/>
          <w:color w:val="000000" w:themeColor="text1"/>
          <w:sz w:val="21"/>
          <w:szCs w:val="21"/>
          <w14:textFill>
            <w14:solidFill>
              <w14:schemeClr w14:val="tx1"/>
            </w14:solidFill>
          </w14:textFill>
        </w:rPr>
        <w:t>五、开启</w:t>
      </w:r>
      <w:bookmarkEnd w:id="26"/>
      <w:bookmarkEnd w:id="27"/>
      <w:bookmarkEnd w:id="28"/>
      <w:bookmarkEnd w:id="29"/>
      <w:bookmarkEnd w:id="30"/>
      <w:bookmarkEnd w:id="31"/>
    </w:p>
    <w:p w14:paraId="6138D31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时间：</w:t>
      </w:r>
      <w:r>
        <w:rPr>
          <w:rFonts w:hint="eastAsia" w:ascii="宋体" w:hAnsi="宋体" w:cs="宋体"/>
          <w:color w:val="000000" w:themeColor="text1"/>
          <w:sz w:val="21"/>
          <w:szCs w:val="21"/>
          <w:lang w:eastAsia="zh-CN"/>
          <w14:textFill>
            <w14:solidFill>
              <w14:schemeClr w14:val="tx1"/>
            </w14:solidFill>
          </w14:textFill>
        </w:rPr>
        <w:t>2025年11月7日</w:t>
      </w:r>
      <w:r>
        <w:rPr>
          <w:rFonts w:hint="eastAsia" w:ascii="宋体" w:hAnsi="宋体" w:cs="宋体"/>
          <w:color w:val="000000" w:themeColor="text1"/>
          <w:sz w:val="21"/>
          <w:szCs w:val="21"/>
          <w:lang w:val="en-US" w:eastAsia="zh-CN"/>
          <w14:textFill>
            <w14:solidFill>
              <w14:schemeClr w14:val="tx1"/>
            </w14:solidFill>
          </w14:textFill>
        </w:rPr>
        <w:t>10时00分</w:t>
      </w:r>
      <w:r>
        <w:rPr>
          <w:rFonts w:hint="eastAsia" w:ascii="宋体" w:hAnsi="宋体" w:eastAsia="宋体" w:cs="宋体"/>
          <w:color w:val="000000" w:themeColor="text1"/>
          <w:sz w:val="21"/>
          <w:szCs w:val="21"/>
          <w14:textFill>
            <w14:solidFill>
              <w14:schemeClr w14:val="tx1"/>
            </w14:solidFill>
          </w14:textFill>
        </w:rPr>
        <w:t>（北京时间）</w:t>
      </w:r>
    </w:p>
    <w:p w14:paraId="30A3102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地点：</w:t>
      </w:r>
      <w:r>
        <w:rPr>
          <w:rFonts w:hint="eastAsia" w:ascii="宋体" w:hAnsi="宋体" w:eastAsia="宋体" w:cs="宋体"/>
          <w:color w:val="000000" w:themeColor="text1"/>
          <w:sz w:val="21"/>
          <w:szCs w:val="21"/>
          <w:lang w:eastAsia="zh-CN"/>
          <w14:textFill>
            <w14:solidFill>
              <w14:schemeClr w14:val="tx1"/>
            </w14:solidFill>
          </w14:textFill>
        </w:rPr>
        <w:t>广西政府采购云平台</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www.gcy.zfcg.gxzf.gov.cn/</w:t>
      </w:r>
      <w:r>
        <w:rPr>
          <w:rFonts w:hint="eastAsia" w:ascii="宋体" w:hAnsi="宋体" w:eastAsia="宋体" w:cs="宋体"/>
          <w:color w:val="000000" w:themeColor="text1"/>
          <w:sz w:val="21"/>
          <w:szCs w:val="21"/>
          <w14:textFill>
            <w14:solidFill>
              <w14:schemeClr w14:val="tx1"/>
            </w14:solidFill>
          </w14:textFill>
        </w:rPr>
        <w:t>）</w:t>
      </w:r>
    </w:p>
    <w:p w14:paraId="2ACF69C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32" w:name="_Toc71366045"/>
      <w:bookmarkStart w:id="33" w:name="_Toc28359094"/>
      <w:bookmarkStart w:id="34" w:name="_Toc35393803"/>
      <w:bookmarkStart w:id="35" w:name="_Toc28359017"/>
      <w:bookmarkStart w:id="36" w:name="_Toc71365367"/>
      <w:bookmarkStart w:id="37" w:name="_Toc35393634"/>
      <w:r>
        <w:rPr>
          <w:rFonts w:hint="eastAsia" w:ascii="宋体" w:hAnsi="宋体" w:eastAsia="宋体" w:cs="宋体"/>
          <w:color w:val="000000" w:themeColor="text1"/>
          <w:sz w:val="21"/>
          <w:szCs w:val="21"/>
          <w14:textFill>
            <w14:solidFill>
              <w14:schemeClr w14:val="tx1"/>
            </w14:solidFill>
          </w14:textFill>
        </w:rPr>
        <w:t>六、公告期限</w:t>
      </w:r>
      <w:bookmarkEnd w:id="32"/>
      <w:bookmarkEnd w:id="33"/>
      <w:bookmarkEnd w:id="34"/>
      <w:bookmarkEnd w:id="35"/>
      <w:bookmarkEnd w:id="36"/>
      <w:bookmarkEnd w:id="37"/>
    </w:p>
    <w:p w14:paraId="79CAC0A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自本公告发布之日起3个工作日。</w:t>
      </w:r>
    </w:p>
    <w:p w14:paraId="20EED68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38" w:name="_Toc71365368"/>
      <w:bookmarkStart w:id="39" w:name="_Toc35393635"/>
      <w:bookmarkStart w:id="40" w:name="_Toc71366046"/>
      <w:bookmarkStart w:id="41" w:name="_Toc35393804"/>
      <w:r>
        <w:rPr>
          <w:rFonts w:hint="eastAsia" w:ascii="宋体" w:hAnsi="宋体" w:eastAsia="宋体" w:cs="宋体"/>
          <w:color w:val="000000" w:themeColor="text1"/>
          <w:sz w:val="21"/>
          <w:szCs w:val="21"/>
          <w14:textFill>
            <w14:solidFill>
              <w14:schemeClr w14:val="tx1"/>
            </w14:solidFill>
          </w14:textFill>
        </w:rPr>
        <w:t>七、其他补充事宜</w:t>
      </w:r>
      <w:bookmarkEnd w:id="38"/>
      <w:bookmarkEnd w:id="39"/>
      <w:bookmarkEnd w:id="40"/>
      <w:bookmarkEnd w:id="41"/>
    </w:p>
    <w:p w14:paraId="35312E8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1.网上查询地址</w:t>
      </w:r>
    </w:p>
    <w:p w14:paraId="7C130E0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www.ccgp.gov.cn（中国政府采购网）、zfcg.gxzf.gov.cn（广西壮族自治区政府采购网）</w:t>
      </w:r>
    </w:p>
    <w:p w14:paraId="495800C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42" w:name="_Hlk37429674"/>
      <w:bookmarkStart w:id="43" w:name="_Toc35393805"/>
      <w:bookmarkStart w:id="44" w:name="_Toc28359095"/>
      <w:bookmarkStart w:id="45" w:name="_Toc71365369"/>
      <w:bookmarkStart w:id="46" w:name="_Toc28359018"/>
      <w:bookmarkStart w:id="47" w:name="_Toc35393636"/>
      <w:bookmarkStart w:id="48" w:name="_Toc71366047"/>
      <w:r>
        <w:rPr>
          <w:rFonts w:hint="eastAsia" w:ascii="宋体" w:hAnsi="宋体" w:eastAsia="宋体" w:cs="宋体"/>
          <w:color w:val="000000" w:themeColor="text1"/>
          <w:sz w:val="21"/>
          <w:szCs w:val="21"/>
          <w14:textFill>
            <w14:solidFill>
              <w14:schemeClr w14:val="tx1"/>
            </w14:solidFill>
          </w14:textFill>
        </w:rPr>
        <w:t>2.本项目需要落实的政府采购政策</w:t>
      </w:r>
    </w:p>
    <w:p w14:paraId="6A0FE71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（1）政府采购促进中小企业发展。</w:t>
      </w:r>
    </w:p>
    <w:p w14:paraId="06BCD94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（2）政府采购支持采用本国产品的政策。</w:t>
      </w:r>
    </w:p>
    <w:p w14:paraId="418B3CD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（3）强制采购节能产品；优先采购节能产品、环境标志产品。</w:t>
      </w:r>
    </w:p>
    <w:p w14:paraId="3A7FADE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（4）政府采购促进残疾人就业政策。</w:t>
      </w:r>
    </w:p>
    <w:p w14:paraId="301E664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（5）政府采购支持监狱企业发展。</w:t>
      </w:r>
    </w:p>
    <w:p w14:paraId="261D945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3.供应商</w:t>
      </w:r>
      <w:r>
        <w:rPr>
          <w:rFonts w:hint="eastAsia" w:ascii="宋体" w:hAnsi="宋体" w:eastAsia="宋体" w:cs="宋体"/>
          <w:color w:val="000000" w:themeColor="text1"/>
          <w:sz w:val="21"/>
          <w:szCs w:val="21"/>
          <w14:textFill>
            <w14:solidFill>
              <w14:schemeClr w14:val="tx1"/>
            </w14:solidFill>
          </w14:textFill>
        </w:rPr>
        <w:t>竞标注意事项</w:t>
      </w:r>
    </w:p>
    <w:p w14:paraId="45B46CD3">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（1）本项目为全流程电子化采购项目，通过</w:t>
      </w:r>
      <w:r>
        <w:rPr>
          <w:rFonts w:hint="eastAsia" w:ascii="宋体" w:hAnsi="宋体" w:cs="宋体"/>
          <w:color w:val="000000" w:themeColor="text1"/>
          <w:sz w:val="21"/>
          <w:szCs w:val="21"/>
          <w:lang w:eastAsia="zh-CN"/>
          <w14:textFill>
            <w14:solidFill>
              <w14:schemeClr w14:val="tx1"/>
            </w14:solidFill>
          </w14:textFill>
        </w:rPr>
        <w:t>广西政府采购云平台</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www.gcy.zfcg.gxzf.gov.cn/</w:t>
      </w:r>
      <w:r>
        <w:rPr>
          <w:rFonts w:hint="eastAsia" w:ascii="宋体" w:hAnsi="宋体" w:eastAsia="宋体" w:cs="宋体"/>
          <w:color w:val="000000" w:themeColor="text1"/>
          <w:sz w:val="21"/>
          <w:szCs w:val="21"/>
          <w14:textFill>
            <w14:solidFill>
              <w14:schemeClr w14:val="tx1"/>
            </w14:solidFill>
          </w14:textFill>
        </w:rPr>
        <w:t>）实行在线电子竞标，供应商应先安装“政采云电子交易客户端”（请自行前往</w:t>
      </w:r>
      <w:r>
        <w:rPr>
          <w:rFonts w:hint="eastAsia" w:ascii="宋体" w:hAnsi="宋体" w:cs="宋体"/>
          <w:color w:val="000000" w:themeColor="text1"/>
          <w:sz w:val="21"/>
          <w:szCs w:val="21"/>
          <w:lang w:eastAsia="zh-CN"/>
          <w14:textFill>
            <w14:solidFill>
              <w14:schemeClr w14:val="tx1"/>
            </w14:solidFill>
          </w14:textFill>
        </w:rPr>
        <w:t>广西政府采购云平台</w:t>
      </w:r>
      <w:r>
        <w:rPr>
          <w:rFonts w:hint="eastAsia" w:ascii="宋体" w:hAnsi="宋体" w:eastAsia="宋体" w:cs="宋体"/>
          <w:color w:val="000000" w:themeColor="text1"/>
          <w:sz w:val="21"/>
          <w:szCs w:val="21"/>
          <w14:textFill>
            <w14:solidFill>
              <w14:schemeClr w14:val="tx1"/>
            </w14:solidFill>
          </w14:textFill>
        </w:rPr>
        <w:t>进行下载），并按照本项目竞争性谈判文件和</w:t>
      </w:r>
      <w:r>
        <w:rPr>
          <w:rFonts w:hint="eastAsia" w:ascii="宋体" w:hAnsi="宋体" w:cs="宋体"/>
          <w:color w:val="000000" w:themeColor="text1"/>
          <w:sz w:val="21"/>
          <w:szCs w:val="21"/>
          <w:lang w:eastAsia="zh-CN"/>
          <w14:textFill>
            <w14:solidFill>
              <w14:schemeClr w14:val="tx1"/>
            </w14:solidFill>
          </w14:textFill>
        </w:rPr>
        <w:t>广西政府采购云平台</w:t>
      </w:r>
      <w:r>
        <w:rPr>
          <w:rFonts w:hint="eastAsia" w:ascii="宋体" w:hAnsi="宋体" w:eastAsia="宋体" w:cs="宋体"/>
          <w:color w:val="000000" w:themeColor="text1"/>
          <w:sz w:val="21"/>
          <w:szCs w:val="21"/>
          <w14:textFill>
            <w14:solidFill>
              <w14:schemeClr w14:val="tx1"/>
            </w14:solidFill>
          </w14:textFill>
        </w:rPr>
        <w:t>的要求编制、加密后在提交响应文件截止时间前通过网络上传至</w:t>
      </w:r>
      <w:r>
        <w:rPr>
          <w:rFonts w:hint="eastAsia" w:ascii="宋体" w:hAnsi="宋体" w:cs="宋体"/>
          <w:color w:val="000000" w:themeColor="text1"/>
          <w:sz w:val="21"/>
          <w:szCs w:val="21"/>
          <w:lang w:eastAsia="zh-CN"/>
          <w14:textFill>
            <w14:solidFill>
              <w14:schemeClr w14:val="tx1"/>
            </w14:solidFill>
          </w14:textFill>
        </w:rPr>
        <w:t>广西政府采购云平台</w:t>
      </w:r>
      <w:r>
        <w:rPr>
          <w:rFonts w:hint="eastAsia" w:ascii="宋体" w:hAnsi="宋体" w:eastAsia="宋体" w:cs="宋体"/>
          <w:color w:val="000000" w:themeColor="text1"/>
          <w:sz w:val="21"/>
          <w:szCs w:val="21"/>
          <w14:textFill>
            <w14:solidFill>
              <w14:schemeClr w14:val="tx1"/>
            </w14:solidFill>
          </w14:textFill>
        </w:rPr>
        <w:t>（加密的电子响应文件是指后缀名为“jmbs”的文件），</w:t>
      </w:r>
      <w:r>
        <w:rPr>
          <w:rFonts w:hint="eastAsia" w:ascii="宋体" w:hAnsi="宋体" w:eastAsia="宋体" w:cs="宋体"/>
          <w:b/>
          <w:color w:val="000000" w:themeColor="text1"/>
          <w:sz w:val="21"/>
          <w:szCs w:val="21"/>
          <w14:textFill>
            <w14:solidFill>
              <w14:schemeClr w14:val="tx1"/>
            </w14:solidFill>
          </w14:textFill>
        </w:rPr>
        <w:t>供应商在</w:t>
      </w:r>
      <w:r>
        <w:rPr>
          <w:rFonts w:hint="eastAsia" w:ascii="宋体" w:hAnsi="宋体" w:cs="宋体"/>
          <w:b/>
          <w:color w:val="000000" w:themeColor="text1"/>
          <w:sz w:val="21"/>
          <w:szCs w:val="21"/>
          <w:lang w:eastAsia="zh-CN"/>
          <w14:textFill>
            <w14:solidFill>
              <w14:schemeClr w14:val="tx1"/>
            </w14:solidFill>
          </w14:textFill>
        </w:rPr>
        <w:t>广西政府采购云平台</w:t>
      </w:r>
      <w:r>
        <w:rPr>
          <w:rFonts w:hint="eastAsia" w:ascii="宋体" w:hAnsi="宋体" w:eastAsia="宋体" w:cs="宋体"/>
          <w:b/>
          <w:color w:val="000000" w:themeColor="text1"/>
          <w:sz w:val="21"/>
          <w:szCs w:val="21"/>
          <w14:textFill>
            <w14:solidFill>
              <w14:schemeClr w14:val="tx1"/>
            </w14:solidFill>
          </w14:textFill>
        </w:rPr>
        <w:t>提交电子响应文件时，请填写参加远程采购活动经办人联系方式。</w:t>
      </w:r>
      <w:r>
        <w:rPr>
          <w:rFonts w:hint="eastAsia" w:ascii="宋体" w:hAnsi="宋体" w:eastAsia="宋体" w:cs="宋体"/>
          <w:color w:val="000000" w:themeColor="text1"/>
          <w:sz w:val="21"/>
          <w:szCs w:val="21"/>
          <w14:textFill>
            <w14:solidFill>
              <w14:schemeClr w14:val="tx1"/>
            </w14:solidFill>
          </w14:textFill>
        </w:rPr>
        <w:t>供应商登录</w:t>
      </w:r>
      <w:r>
        <w:rPr>
          <w:rFonts w:hint="eastAsia" w:ascii="宋体" w:hAnsi="宋体" w:cs="宋体"/>
          <w:color w:val="000000" w:themeColor="text1"/>
          <w:sz w:val="21"/>
          <w:szCs w:val="21"/>
          <w:lang w:eastAsia="zh-CN"/>
          <w14:textFill>
            <w14:solidFill>
              <w14:schemeClr w14:val="tx1"/>
            </w14:solidFill>
          </w14:textFill>
        </w:rPr>
        <w:t>广西政府采购云平台</w:t>
      </w:r>
      <w:r>
        <w:rPr>
          <w:rFonts w:hint="eastAsia" w:ascii="宋体" w:hAnsi="宋体" w:eastAsia="宋体" w:cs="宋体"/>
          <w:color w:val="000000" w:themeColor="text1"/>
          <w:sz w:val="21"/>
          <w:szCs w:val="21"/>
          <w14:textFill>
            <w14:solidFill>
              <w14:schemeClr w14:val="tx1"/>
            </w14:solidFill>
          </w14:textFill>
        </w:rPr>
        <w:t>，依次进入“服务中心-项目采购-操作流程-电子招投标-政府采购项目电子交易管理操作指南-供应商”查看电子竞标具体操作流程。</w:t>
      </w:r>
    </w:p>
    <w:p w14:paraId="02DDB63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宋体" w:hAnsi="宋体" w:cs="宋体"/>
          <w:color w:val="000000" w:themeColor="text1"/>
          <w:kern w:val="0"/>
          <w:sz w:val="21"/>
          <w:szCs w:val="21"/>
          <w:lang w:eastAsia="zh-CN"/>
          <w14:textFill>
            <w14:solidFill>
              <w14:schemeClr w14:val="tx1"/>
            </w14:solidFill>
          </w14:textFill>
        </w:rPr>
        <w:t>广西政府采购云平台</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依次进入“服务中心-入驻与配置”中查看CA数字证书办理操作流程。</w:t>
      </w:r>
      <w:r>
        <w:rPr>
          <w:rFonts w:hint="eastAsia" w:ascii="宋体" w:hAnsi="宋体" w:eastAsia="宋体" w:cs="宋体"/>
          <w:bCs/>
          <w:color w:val="000000" w:themeColor="text1"/>
          <w:kern w:val="0"/>
          <w:sz w:val="21"/>
          <w:szCs w:val="21"/>
          <w14:textFill>
            <w14:solidFill>
              <w14:schemeClr w14:val="tx1"/>
            </w14:solidFill>
          </w14:textFill>
        </w:rPr>
        <w:t>如在操作过程中遇到问题或者需要技术支持，请致电政采云客服热线：400-881-7190</w:t>
      </w:r>
      <w:r>
        <w:rPr>
          <w:rFonts w:hint="eastAsia" w:ascii="宋体" w:hAnsi="宋体" w:eastAsia="宋体" w:cs="宋体"/>
          <w:color w:val="000000" w:themeColor="text1"/>
          <w:sz w:val="21"/>
          <w:szCs w:val="21"/>
          <w14:textFill>
            <w14:solidFill>
              <w14:schemeClr w14:val="tx1"/>
            </w14:solidFill>
          </w14:textFill>
        </w:rPr>
        <w:t>）。</w:t>
      </w:r>
    </w:p>
    <w:p w14:paraId="3BB4D1D5">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（3）CA证书在线解密：首次响应文件开启时，需携带制作响应文件时用来加密的有效数字证书（CA认证）登录</w:t>
      </w:r>
      <w:r>
        <w:rPr>
          <w:rFonts w:hint="eastAsia" w:ascii="宋体" w:hAnsi="宋体" w:cs="宋体"/>
          <w:color w:val="000000" w:themeColor="text1"/>
          <w:kern w:val="0"/>
          <w:sz w:val="21"/>
          <w:szCs w:val="21"/>
          <w:lang w:eastAsia="zh-CN"/>
          <w14:textFill>
            <w14:solidFill>
              <w14:schemeClr w14:val="tx1"/>
            </w14:solidFill>
          </w14:textFill>
        </w:rPr>
        <w:t>广西政府采购云平台</w:t>
      </w:r>
      <w:r>
        <w:rPr>
          <w:rFonts w:hint="eastAsia" w:ascii="宋体" w:hAnsi="宋体" w:eastAsia="宋体" w:cs="宋体"/>
          <w:color w:val="000000" w:themeColor="text1"/>
          <w:kern w:val="0"/>
          <w:sz w:val="21"/>
          <w:szCs w:val="21"/>
          <w14:textFill>
            <w14:solidFill>
              <w14:schemeClr w14:val="tx1"/>
            </w14:solidFill>
          </w14:textFill>
        </w:rPr>
        <w:t>电子开标大厅现场按规定时间对加密的响应文件进行解密，否则后果自负。</w:t>
      </w:r>
    </w:p>
    <w:p w14:paraId="1F1C962E">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w:t>
      </w:r>
    </w:p>
    <w:p w14:paraId="19F7332B">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1）为确保网上操作合法、有效和安全，请供应商确保在电子竞标过程中能够对相关数据电文进行加密和使用电子签章，妥善保管CA数字证书并使用有效的CA数字证书参与整个采购活动。</w:t>
      </w:r>
    </w:p>
    <w:p w14:paraId="68EDEFD5">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bCs/>
          <w:color w:val="000000" w:themeColor="text1"/>
          <w:sz w:val="2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bCs/>
          <w:color w:val="000000" w:themeColor="text1"/>
          <w:sz w:val="21"/>
          <w:szCs w:val="21"/>
          <w:lang w:eastAsia="zh-CN"/>
          <w14:textFill>
            <w14:solidFill>
              <w14:schemeClr w14:val="tx1"/>
            </w14:solidFill>
          </w14:textFill>
        </w:rPr>
        <w:t>广西政府采购云平台</w:t>
      </w:r>
      <w:r>
        <w:rPr>
          <w:rFonts w:hint="eastAsia" w:ascii="宋体" w:hAnsi="宋体" w:eastAsia="宋体" w:cs="宋体"/>
          <w:bCs/>
          <w:color w:val="000000" w:themeColor="text1"/>
          <w:sz w:val="21"/>
          <w:szCs w:val="21"/>
          <w14:textFill>
            <w14:solidFill>
              <w14:schemeClr w14:val="tx1"/>
            </w14:solidFill>
          </w14:textFill>
        </w:rPr>
        <w:t>将予以拒收。</w:t>
      </w:r>
    </w:p>
    <w:p w14:paraId="0A6D6F3C">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3</w:t>
      </w:r>
      <w:r>
        <w:rPr>
          <w:rFonts w:hint="eastAsia" w:ascii="宋体" w:hAnsi="宋体" w:eastAsia="宋体" w:cs="宋体"/>
          <w:color w:val="000000" w:themeColor="text1"/>
          <w:kern w:val="0"/>
          <w:sz w:val="21"/>
          <w:szCs w:val="21"/>
          <w14:textFill>
            <w14:solidFill>
              <w14:schemeClr w14:val="tx1"/>
            </w14:solidFill>
          </w14:textFill>
        </w:rPr>
        <w:t>）供应商需要在具备有摄像头及语音功能且互联网网络状况良好的电脑登录</w:t>
      </w:r>
      <w:r>
        <w:rPr>
          <w:rFonts w:hint="eastAsia" w:ascii="宋体" w:hAnsi="宋体" w:cs="宋体"/>
          <w:color w:val="000000" w:themeColor="text1"/>
          <w:kern w:val="0"/>
          <w:sz w:val="21"/>
          <w:szCs w:val="21"/>
          <w:lang w:eastAsia="zh-CN"/>
          <w14:textFill>
            <w14:solidFill>
              <w14:schemeClr w14:val="tx1"/>
            </w14:solidFill>
          </w14:textFill>
        </w:rPr>
        <w:t>广西政府采购云平台</w:t>
      </w:r>
      <w:r>
        <w:rPr>
          <w:rFonts w:hint="eastAsia" w:ascii="宋体" w:hAnsi="宋体" w:eastAsia="宋体" w:cs="宋体"/>
          <w:color w:val="000000" w:themeColor="text1"/>
          <w:kern w:val="0"/>
          <w:sz w:val="21"/>
          <w:szCs w:val="21"/>
          <w14:textFill>
            <w14:solidFill>
              <w14:schemeClr w14:val="tx1"/>
            </w14:solidFill>
          </w14:textFill>
        </w:rPr>
        <w:t>远程开标大厅参与本次谈判，否则后果自负。</w:t>
      </w:r>
    </w:p>
    <w:bookmarkEnd w:id="42"/>
    <w:p w14:paraId="268BFECC">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八、凡对本次采购提出询问，请按以下方式联系。</w:t>
      </w:r>
      <w:bookmarkEnd w:id="43"/>
      <w:bookmarkEnd w:id="44"/>
      <w:bookmarkEnd w:id="45"/>
      <w:bookmarkEnd w:id="46"/>
      <w:bookmarkEnd w:id="47"/>
      <w:bookmarkEnd w:id="48"/>
    </w:p>
    <w:p w14:paraId="77FC701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采购单位</w:t>
      </w:r>
    </w:p>
    <w:p w14:paraId="481C541B">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bookmarkStart w:id="49" w:name="_Toc35393807"/>
      <w:bookmarkStart w:id="50" w:name="_Toc28359097"/>
      <w:bookmarkStart w:id="51" w:name="_Toc28359020"/>
      <w:bookmarkStart w:id="52" w:name="_Toc35393638"/>
      <w:r>
        <w:rPr>
          <w:rFonts w:hint="eastAsia" w:ascii="宋体" w:hAnsi="宋体" w:eastAsia="宋体" w:cs="宋体"/>
          <w:color w:val="000000" w:themeColor="text1"/>
          <w:sz w:val="21"/>
          <w:szCs w:val="21"/>
          <w14:textFill>
            <w14:solidFill>
              <w14:schemeClr w14:val="tx1"/>
            </w14:solidFill>
          </w14:textFill>
        </w:rPr>
        <w:t>名称：</w:t>
      </w:r>
      <w:r>
        <w:rPr>
          <w:rFonts w:hint="eastAsia" w:ascii="宋体" w:hAnsi="宋体" w:eastAsia="宋体" w:cs="宋体"/>
          <w:color w:val="000000" w:themeColor="text1"/>
          <w:sz w:val="21"/>
          <w:szCs w:val="21"/>
          <w:lang w:eastAsia="zh-CN"/>
          <w14:textFill>
            <w14:solidFill>
              <w14:schemeClr w14:val="tx1"/>
            </w14:solidFill>
          </w14:textFill>
        </w:rPr>
        <w:t>灵山县人民医院</w:t>
      </w:r>
    </w:p>
    <w:p w14:paraId="71D470BE">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地址：</w:t>
      </w:r>
      <w:r>
        <w:rPr>
          <w:rFonts w:hint="eastAsia" w:ascii="宋体" w:hAnsi="宋体" w:eastAsia="宋体" w:cs="宋体"/>
          <w:color w:val="000000" w:themeColor="text1"/>
          <w:sz w:val="21"/>
          <w:szCs w:val="21"/>
          <w:lang w:eastAsia="zh-CN"/>
          <w14:textFill>
            <w14:solidFill>
              <w14:schemeClr w14:val="tx1"/>
            </w14:solidFill>
          </w14:textFill>
        </w:rPr>
        <w:t>广西灵山县灵城街道钟秀路1号</w:t>
      </w:r>
    </w:p>
    <w:p w14:paraId="57306C25">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联系方式：吴</w:t>
      </w:r>
      <w:r>
        <w:rPr>
          <w:rFonts w:hint="eastAsia" w:ascii="宋体" w:hAnsi="宋体" w:cs="宋体"/>
          <w:color w:val="000000" w:themeColor="text1"/>
          <w:sz w:val="21"/>
          <w:szCs w:val="21"/>
          <w:lang w:eastAsia="zh-CN"/>
          <w14:textFill>
            <w14:solidFill>
              <w14:schemeClr w14:val="tx1"/>
            </w14:solidFill>
          </w14:textFill>
        </w:rPr>
        <w:t>工</w:t>
      </w:r>
      <w:r>
        <w:rPr>
          <w:rFonts w:hint="eastAsia" w:ascii="宋体" w:hAnsi="宋体" w:eastAsia="宋体" w:cs="宋体"/>
          <w:color w:val="000000" w:themeColor="text1"/>
          <w:sz w:val="21"/>
          <w:szCs w:val="21"/>
          <w14:textFill>
            <w14:solidFill>
              <w14:schemeClr w14:val="tx1"/>
            </w14:solidFill>
          </w14:textFill>
        </w:rPr>
        <w:t>，0777-6218020</w:t>
      </w:r>
    </w:p>
    <w:p w14:paraId="4DBD7C96">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2.采购代理机构信息</w:t>
      </w:r>
      <w:bookmarkEnd w:id="49"/>
      <w:bookmarkEnd w:id="50"/>
      <w:bookmarkEnd w:id="51"/>
      <w:bookmarkEnd w:id="52"/>
    </w:p>
    <w:p w14:paraId="7177B257">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名称：</w:t>
      </w:r>
      <w:r>
        <w:rPr>
          <w:rFonts w:hint="eastAsia" w:ascii="宋体" w:hAnsi="宋体" w:eastAsia="宋体" w:cs="宋体"/>
          <w:color w:val="000000" w:themeColor="text1"/>
          <w:sz w:val="21"/>
          <w:szCs w:val="21"/>
          <w:lang w:eastAsia="zh-CN"/>
          <w14:textFill>
            <w14:solidFill>
              <w14:schemeClr w14:val="tx1"/>
            </w14:solidFill>
          </w14:textFill>
        </w:rPr>
        <w:t>广西汉昌工程咨询有限公司</w:t>
      </w:r>
    </w:p>
    <w:p w14:paraId="0B2811A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地址：</w:t>
      </w:r>
      <w:r>
        <w:rPr>
          <w:rFonts w:hint="eastAsia" w:ascii="宋体" w:hAnsi="宋体" w:eastAsia="宋体" w:cs="宋体"/>
          <w:color w:val="000000" w:themeColor="text1"/>
          <w:sz w:val="21"/>
          <w:szCs w:val="21"/>
          <w:lang w:eastAsia="zh-CN"/>
          <w14:textFill>
            <w14:solidFill>
              <w14:schemeClr w14:val="tx1"/>
            </w14:solidFill>
          </w14:textFill>
        </w:rPr>
        <w:t>广西南宁市青秀区仙葫大道16号鼎丰广场A座11楼HC区域</w:t>
      </w:r>
    </w:p>
    <w:p w14:paraId="68655C63">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联系方式：</w:t>
      </w:r>
      <w:r>
        <w:rPr>
          <w:rFonts w:hint="eastAsia" w:ascii="宋体" w:hAnsi="宋体" w:eastAsia="宋体" w:cs="宋体"/>
          <w:color w:val="000000" w:themeColor="text1"/>
          <w:sz w:val="21"/>
          <w:szCs w:val="21"/>
          <w:lang w:eastAsia="zh-CN"/>
          <w14:textFill>
            <w14:solidFill>
              <w14:schemeClr w14:val="tx1"/>
            </w14:solidFill>
          </w14:textFill>
        </w:rPr>
        <w:t>0771-5718293</w:t>
      </w:r>
    </w:p>
    <w:p w14:paraId="59AEE2F1">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bookmarkStart w:id="53" w:name="_Toc35393808"/>
      <w:bookmarkStart w:id="54" w:name="_Toc35393639"/>
      <w:bookmarkStart w:id="55" w:name="_Toc28359021"/>
      <w:bookmarkStart w:id="56" w:name="_Toc28359098"/>
      <w:r>
        <w:rPr>
          <w:rFonts w:hint="eastAsia" w:ascii="宋体" w:hAnsi="宋体" w:eastAsia="宋体" w:cs="宋体"/>
          <w:color w:val="000000" w:themeColor="text1"/>
          <w:sz w:val="21"/>
          <w:szCs w:val="21"/>
          <w14:textFill>
            <w14:solidFill>
              <w14:schemeClr w14:val="tx1"/>
            </w14:solidFill>
          </w14:textFill>
        </w:rPr>
        <w:t>3.项目联系方式</w:t>
      </w:r>
      <w:bookmarkEnd w:id="53"/>
      <w:bookmarkEnd w:id="54"/>
      <w:bookmarkEnd w:id="55"/>
      <w:bookmarkEnd w:id="56"/>
    </w:p>
    <w:p w14:paraId="5DD21648">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项目联系人：</w:t>
      </w:r>
      <w:r>
        <w:rPr>
          <w:rFonts w:hint="eastAsia" w:ascii="宋体" w:hAnsi="宋体" w:eastAsia="宋体" w:cs="宋体"/>
          <w:color w:val="000000" w:themeColor="text1"/>
          <w:sz w:val="21"/>
          <w:szCs w:val="21"/>
          <w:lang w:eastAsia="zh-CN"/>
          <w14:textFill>
            <w14:solidFill>
              <w14:schemeClr w14:val="tx1"/>
            </w14:solidFill>
          </w14:textFill>
        </w:rPr>
        <w:t>黄健</w:t>
      </w:r>
    </w:p>
    <w:p w14:paraId="56E284F4">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 w:val="21"/>
          <w:szCs w:val="21"/>
          <w:u w:val="none"/>
          <w:lang w:eastAsia="zh-CN"/>
          <w14:textFill>
            <w14:solidFill>
              <w14:schemeClr w14:val="tx1"/>
            </w14:solidFill>
          </w14:textFill>
        </w:rPr>
        <w:sectPr>
          <w:headerReference r:id="rId5" w:type="default"/>
          <w:footerReference r:id="rId6" w:type="default"/>
          <w:pgSz w:w="11910" w:h="16840"/>
          <w:pgMar w:top="1134" w:right="1134" w:bottom="1134" w:left="1134" w:header="720" w:footer="72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000000" w:themeColor="text1"/>
          <w:sz w:val="21"/>
          <w:szCs w:val="21"/>
          <w14:textFill>
            <w14:solidFill>
              <w14:schemeClr w14:val="tx1"/>
            </w14:solidFill>
          </w14:textFill>
        </w:rPr>
        <w:t>电话：</w:t>
      </w:r>
      <w:bookmarkEnd w:id="1"/>
      <w:r>
        <w:rPr>
          <w:rFonts w:hint="eastAsia" w:ascii="宋体" w:hAnsi="宋体" w:eastAsia="宋体" w:cs="宋体"/>
          <w:color w:val="000000" w:themeColor="text1"/>
          <w:sz w:val="21"/>
          <w:szCs w:val="21"/>
          <w:lang w:eastAsia="zh-CN"/>
          <w14:textFill>
            <w14:solidFill>
              <w14:schemeClr w14:val="tx1"/>
            </w14:solidFill>
          </w14:textFill>
        </w:rPr>
        <w:t>0771-5718293</w:t>
      </w:r>
    </w:p>
    <w:p w14:paraId="0CCBD36E">
      <w:pPr>
        <w:pStyle w:val="2"/>
        <w:jc w:val="center"/>
        <w:rPr>
          <w:rFonts w:hint="eastAsia" w:ascii="宋体" w:hAnsi="宋体" w:eastAsia="宋体" w:cs="宋体"/>
          <w:color w:val="000000" w:themeColor="text1"/>
          <w14:textFill>
            <w14:solidFill>
              <w14:schemeClr w14:val="tx1"/>
            </w14:solidFill>
          </w14:textFill>
        </w:rPr>
      </w:pPr>
      <w:bookmarkStart w:id="57" w:name="_Toc100252371"/>
      <w:r>
        <w:rPr>
          <w:rFonts w:hint="eastAsia" w:ascii="宋体" w:hAnsi="宋体" w:eastAsia="宋体" w:cs="宋体"/>
          <w:color w:val="000000" w:themeColor="text1"/>
          <w14:textFill>
            <w14:solidFill>
              <w14:schemeClr w14:val="tx1"/>
            </w14:solidFill>
          </w14:textFill>
        </w:rPr>
        <w:t>第二章</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供应商须知</w:t>
      </w:r>
      <w:bookmarkEnd w:id="57"/>
    </w:p>
    <w:p w14:paraId="487D7545">
      <w:pPr>
        <w:spacing w:line="40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供应商须知前附表</w:t>
      </w:r>
    </w:p>
    <w:p w14:paraId="51578418">
      <w:pPr>
        <w:spacing w:line="400" w:lineRule="exact"/>
        <w:jc w:val="center"/>
        <w:rPr>
          <w:rFonts w:hint="eastAsia" w:ascii="宋体" w:hAnsi="宋体" w:eastAsia="宋体" w:cs="宋体"/>
          <w:b/>
          <w:color w:val="000000" w:themeColor="text1"/>
          <w:sz w:val="32"/>
          <w:szCs w:val="32"/>
          <w14:textFill>
            <w14:solidFill>
              <w14:schemeClr w14:val="tx1"/>
            </w14:solidFill>
          </w14:textFill>
        </w:rPr>
      </w:pPr>
    </w:p>
    <w:tbl>
      <w:tblPr>
        <w:tblStyle w:val="24"/>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4E18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tcPr>
          <w:p w14:paraId="5E4FD3C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条款号</w:t>
            </w:r>
          </w:p>
        </w:tc>
        <w:tc>
          <w:tcPr>
            <w:tcW w:w="7912" w:type="dxa"/>
          </w:tcPr>
          <w:p w14:paraId="5C9352F1">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内容</w:t>
            </w:r>
          </w:p>
        </w:tc>
      </w:tr>
      <w:tr w14:paraId="7232C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55F29092">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7912" w:type="dxa"/>
            <w:vAlign w:val="center"/>
          </w:tcPr>
          <w:p w14:paraId="6BCF9EBC">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1.供应商的资格条件：详见竞争性谈判公告或者竞标邀请函</w:t>
            </w:r>
          </w:p>
          <w:p w14:paraId="1AC6084A">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bCs/>
                <w:color w:val="000000" w:themeColor="text1"/>
                <w:sz w:val="21"/>
                <w:szCs w:val="21"/>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出现下列情形之一的，不得参加政府采购活动：</w:t>
            </w:r>
          </w:p>
          <w:p w14:paraId="7602CFAA">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C7C540D">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1394C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7EFF365">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5.1</w:t>
            </w:r>
          </w:p>
        </w:tc>
        <w:tc>
          <w:tcPr>
            <w:tcW w:w="7912" w:type="dxa"/>
            <w:vAlign w:val="center"/>
          </w:tcPr>
          <w:p w14:paraId="615FA0E6">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是否接受联合体竞标</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详见竞争性谈判公告或者竞标邀请函</w:t>
            </w:r>
          </w:p>
        </w:tc>
      </w:tr>
      <w:tr w14:paraId="2DC97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0AEB4926">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5.2</w:t>
            </w:r>
          </w:p>
        </w:tc>
        <w:tc>
          <w:tcPr>
            <w:tcW w:w="7912" w:type="dxa"/>
            <w:vAlign w:val="center"/>
          </w:tcPr>
          <w:p w14:paraId="1DA9BDF7">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如接受联合体竞标，联合体竞标要求如下：</w:t>
            </w:r>
          </w:p>
          <w:p w14:paraId="147C8571">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1.两个以上供应商可以组成一个竞标联合体，以一个供应商的身份共同参加竞标。联合体竞标的，须提供《联合体竞标协议书》（格式后附）。</w:t>
            </w:r>
          </w:p>
          <w:p w14:paraId="69311FFA">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2014DE0E">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0A3ACF89">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4.以联合体形式参加政府采购活动的，联合体各方不得再单独参加或者与其他供应商另外组成联合体参加同一合同项下的政府采购活动。</w:t>
            </w:r>
          </w:p>
          <w:p w14:paraId="60F80392">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5.联合体中有同类资质的供应商按照联合体分工承担相同工作的，应当按照资质等级较低的供应商确定资质等级。</w:t>
            </w:r>
          </w:p>
          <w:p w14:paraId="33BFD4F8">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6.联合体竞标业绩、履约能力按照联合体各方中较高的一方认定并计算。</w:t>
            </w:r>
          </w:p>
          <w:p w14:paraId="4E7B4499">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7.供应商为联合体的，可以由联合体中的一方或者多方共同交纳保证金，其交纳的保证金对联合体各方均具有约束力。</w:t>
            </w:r>
          </w:p>
          <w:p w14:paraId="71DA5DC6">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8.联合体各方均应按照谈判文件的规定分别提交资格证明文件。</w:t>
            </w:r>
          </w:p>
        </w:tc>
      </w:tr>
      <w:tr w14:paraId="49E87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FD02BD9">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6.2</w:t>
            </w:r>
          </w:p>
        </w:tc>
        <w:tc>
          <w:tcPr>
            <w:tcW w:w="7912" w:type="dxa"/>
            <w:vAlign w:val="center"/>
          </w:tcPr>
          <w:p w14:paraId="1F86A482">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☑不允许分包</w:t>
            </w:r>
          </w:p>
          <w:p w14:paraId="3E30B0B5">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□允许分包</w:t>
            </w:r>
          </w:p>
          <w:p w14:paraId="6BCB6C8B">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分包内容：</w:t>
            </w:r>
          </w:p>
          <w:p w14:paraId="4EF73351">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分包金额或者比例：</w:t>
            </w:r>
          </w:p>
          <w:p w14:paraId="3FC9D265">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分包供应商必须具备的资质：</w:t>
            </w:r>
          </w:p>
        </w:tc>
      </w:tr>
      <w:tr w14:paraId="61D4E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4FE21A9">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w:t>
            </w:r>
          </w:p>
        </w:tc>
        <w:tc>
          <w:tcPr>
            <w:tcW w:w="7912" w:type="dxa"/>
            <w:vAlign w:val="center"/>
          </w:tcPr>
          <w:p w14:paraId="4126FCB5">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提供相同品牌产品（非单一产品采购项目的，指核心产品）的不同供应商最后报价相同时，按照下列方式确定一个供应商获得成交人推荐资格：</w:t>
            </w:r>
          </w:p>
          <w:p w14:paraId="63FB608C">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□随机抽取；</w:t>
            </w:r>
          </w:p>
          <w:p w14:paraId="75F3A37F">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☑由采购人自主选择确定一家供应商参加评审，其他竞标无效。</w:t>
            </w:r>
          </w:p>
        </w:tc>
      </w:tr>
      <w:tr w14:paraId="57A29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288DB5A">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12.1.1</w:t>
            </w:r>
          </w:p>
        </w:tc>
        <w:tc>
          <w:tcPr>
            <w:tcW w:w="7912" w:type="dxa"/>
            <w:vAlign w:val="center"/>
          </w:tcPr>
          <w:p w14:paraId="3297DC74">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资格证明文件</w:t>
            </w:r>
          </w:p>
          <w:p w14:paraId="5DFB2C24">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eastAsia="宋体" w:cs="宋体"/>
                <w:b/>
                <w:color w:val="000000" w:themeColor="text1"/>
                <w:sz w:val="21"/>
                <w:szCs w:val="21"/>
                <w14:textFill>
                  <w14:solidFill>
                    <w14:schemeClr w14:val="tx1"/>
                  </w14:solidFill>
                </w14:textFill>
              </w:rPr>
              <w:t>必须提供，否则响应文件按无效响应处理</w:t>
            </w:r>
            <w:r>
              <w:rPr>
                <w:rFonts w:hint="eastAsia" w:ascii="宋体" w:hAnsi="宋体" w:eastAsia="宋体" w:cs="宋体"/>
                <w:color w:val="000000" w:themeColor="text1"/>
                <w:sz w:val="21"/>
                <w:szCs w:val="21"/>
                <w14:textFill>
                  <w14:solidFill>
                    <w14:schemeClr w14:val="tx1"/>
                  </w14:solidFill>
                </w14:textFill>
              </w:rPr>
              <w:t>）</w:t>
            </w:r>
          </w:p>
          <w:p w14:paraId="46E3A69F">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2.供应商依法缴纳税收的相关材料（</w:t>
            </w:r>
            <w:bookmarkStart w:id="58" w:name="OLE_LINK14"/>
            <w:r>
              <w:rPr>
                <w:rFonts w:hint="eastAsia" w:ascii="宋体" w:hAnsi="宋体" w:eastAsia="宋体" w:cs="宋体"/>
                <w:color w:val="000000" w:themeColor="text1"/>
                <w:sz w:val="21"/>
                <w:szCs w:val="21"/>
                <w:u w:val="single"/>
                <w14:textFill>
                  <w14:solidFill>
                    <w14:schemeClr w14:val="tx1"/>
                  </w14:solidFill>
                </w14:textFill>
              </w:rPr>
              <w:t>竞标截止时间半年内任意三个月</w:t>
            </w:r>
            <w:bookmarkEnd w:id="58"/>
            <w:r>
              <w:rPr>
                <w:rFonts w:hint="eastAsia" w:ascii="宋体" w:hAnsi="宋体" w:eastAsia="宋体" w:cs="宋体"/>
                <w:color w:val="000000" w:themeColor="text1"/>
                <w:sz w:val="21"/>
                <w:szCs w:val="21"/>
                <w14:textFill>
                  <w14:solidFill>
                    <w14:schemeClr w14:val="tx1"/>
                  </w14:solidFill>
                </w14:textFill>
              </w:rPr>
              <w:t>的依法缴纳税收的凭据复印件；依法免税的，必须提供相应文件证明其依法免税。从成立之日起到响应文件提交截止时间止不足4个月的，无需提供）；（</w:t>
            </w:r>
            <w:r>
              <w:rPr>
                <w:rFonts w:hint="eastAsia" w:ascii="宋体" w:hAnsi="宋体" w:eastAsia="宋体" w:cs="宋体"/>
                <w:b/>
                <w:color w:val="000000" w:themeColor="text1"/>
                <w:sz w:val="21"/>
                <w:szCs w:val="21"/>
                <w14:textFill>
                  <w14:solidFill>
                    <w14:schemeClr w14:val="tx1"/>
                  </w14:solidFill>
                </w14:textFill>
              </w:rPr>
              <w:t>必须提供，否则响应文件按无效响应处理</w:t>
            </w:r>
            <w:r>
              <w:rPr>
                <w:rFonts w:hint="eastAsia" w:ascii="宋体" w:hAnsi="宋体" w:eastAsia="宋体" w:cs="宋体"/>
                <w:color w:val="000000" w:themeColor="text1"/>
                <w:sz w:val="21"/>
                <w:szCs w:val="21"/>
                <w14:textFill>
                  <w14:solidFill>
                    <w14:schemeClr w14:val="tx1"/>
                  </w14:solidFill>
                </w14:textFill>
              </w:rPr>
              <w:t>）</w:t>
            </w:r>
          </w:p>
          <w:p w14:paraId="312532A6">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3.供应商依法缴纳社会保障资金的相关材料</w:t>
            </w:r>
            <w:r>
              <w:rPr>
                <w:rFonts w:hint="eastAsia" w:ascii="宋体" w:hAnsi="宋体" w:eastAsia="宋体" w:cs="宋体"/>
                <w:color w:val="000000" w:themeColor="text1"/>
                <w:sz w:val="21"/>
                <w:szCs w:val="21"/>
                <w:u w:val="single"/>
                <w14:textFill>
                  <w14:solidFill>
                    <w14:schemeClr w14:val="tx1"/>
                  </w14:solidFill>
                </w14:textFill>
              </w:rPr>
              <w:t>竞标截止时间半年内任意三个月</w:t>
            </w:r>
            <w:r>
              <w:rPr>
                <w:rFonts w:hint="eastAsia" w:ascii="宋体" w:hAnsi="宋体" w:eastAsia="宋体" w:cs="宋体"/>
                <w:color w:val="000000" w:themeColor="text1"/>
                <w:sz w:val="21"/>
                <w:szCs w:val="21"/>
                <w14:textFill>
                  <w14:solidFill>
                    <w14:schemeClr w14:val="tx1"/>
                  </w14:solidFill>
                </w14:textFill>
              </w:rPr>
              <w:t>的依法缴纳社会保障资金的缴费凭证（专用收据或者社会保险缴纳清单）复印件；依法不需要缴纳社会保障资金的，必须提供相应文件证明不需要缴纳社会保障资金。从成立之日起到响应文件提交截止时间止不足4个月的，无需提供]；（</w:t>
            </w:r>
            <w:r>
              <w:rPr>
                <w:rFonts w:hint="eastAsia" w:ascii="宋体" w:hAnsi="宋体" w:eastAsia="宋体" w:cs="宋体"/>
                <w:b/>
                <w:color w:val="000000" w:themeColor="text1"/>
                <w:sz w:val="21"/>
                <w:szCs w:val="21"/>
                <w14:textFill>
                  <w14:solidFill>
                    <w14:schemeClr w14:val="tx1"/>
                  </w14:solidFill>
                </w14:textFill>
              </w:rPr>
              <w:t>必须提供，否则响应文件按无效响应处理</w:t>
            </w:r>
            <w:r>
              <w:rPr>
                <w:rFonts w:hint="eastAsia" w:ascii="宋体" w:hAnsi="宋体" w:eastAsia="宋体" w:cs="宋体"/>
                <w:color w:val="000000" w:themeColor="text1"/>
                <w:sz w:val="21"/>
                <w:szCs w:val="21"/>
                <w14:textFill>
                  <w14:solidFill>
                    <w14:schemeClr w14:val="tx1"/>
                  </w14:solidFill>
                </w14:textFill>
              </w:rPr>
              <w:t>）</w:t>
            </w:r>
          </w:p>
          <w:p w14:paraId="4D258914">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4.供应商财务状况报告（</w:t>
            </w:r>
            <w:r>
              <w:rPr>
                <w:rFonts w:hint="eastAsia" w:ascii="宋体" w:hAnsi="宋体" w:cs="宋体"/>
                <w:color w:val="000000" w:themeColor="text1"/>
                <w:sz w:val="21"/>
                <w:szCs w:val="21"/>
                <w:u w:val="single"/>
                <w:lang w:eastAsia="zh-CN"/>
                <w14:textFill>
                  <w14:solidFill>
                    <w14:schemeClr w14:val="tx1"/>
                  </w14:solidFill>
                </w14:textFill>
              </w:rPr>
              <w:t>2024年度财务报表复印件</w:t>
            </w:r>
            <w:r>
              <w:rPr>
                <w:rFonts w:hint="eastAsia" w:ascii="宋体" w:hAnsi="宋体" w:eastAsia="宋体" w:cs="宋体"/>
                <w:color w:val="000000" w:themeColor="text1"/>
                <w:sz w:val="21"/>
                <w:szCs w:val="21"/>
                <w14:textFill>
                  <w14:solidFill>
                    <w14:schemeClr w14:val="tx1"/>
                  </w14:solidFill>
                </w14:textFill>
              </w:rPr>
              <w:t>，或者银行出具的资信证明，或者中国人民银行征信中心出具的信用报告（企业竞标的提供企业信用报告，自然人竞标的提供个人信用报告）；供应商属于成立时间</w:t>
            </w:r>
            <w:r>
              <w:rPr>
                <w:rFonts w:hint="eastAsia" w:ascii="宋体" w:hAnsi="宋体" w:eastAsia="宋体" w:cs="宋体"/>
                <w:color w:val="000000" w:themeColor="text1"/>
                <w:kern w:val="0"/>
                <w:sz w:val="21"/>
                <w:szCs w:val="21"/>
                <w14:textFill>
                  <w14:solidFill>
                    <w14:schemeClr w14:val="tx1"/>
                  </w14:solidFill>
                </w14:textFill>
              </w:rPr>
              <w:t>在规定年度之后</w:t>
            </w:r>
            <w:r>
              <w:rPr>
                <w:rFonts w:hint="eastAsia" w:ascii="宋体" w:hAnsi="宋体" w:eastAsia="宋体" w:cs="宋体"/>
                <w:color w:val="000000" w:themeColor="text1"/>
                <w:sz w:val="21"/>
                <w:szCs w:val="21"/>
                <w14:textFill>
                  <w14:solidFill>
                    <w14:schemeClr w14:val="tx1"/>
                  </w14:solidFill>
                </w14:textFill>
              </w:rPr>
              <w:t>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
                <w:color w:val="000000" w:themeColor="text1"/>
                <w:sz w:val="21"/>
                <w:szCs w:val="21"/>
                <w14:textFill>
                  <w14:solidFill>
                    <w14:schemeClr w14:val="tx1"/>
                  </w14:solidFill>
                </w14:textFill>
              </w:rPr>
              <w:t>必须提供，否则响应文件按无效响应处理</w:t>
            </w:r>
            <w:r>
              <w:rPr>
                <w:rFonts w:hint="eastAsia" w:ascii="宋体" w:hAnsi="宋体" w:eastAsia="宋体" w:cs="宋体"/>
                <w:bCs/>
                <w:color w:val="000000" w:themeColor="text1"/>
                <w:sz w:val="21"/>
                <w:szCs w:val="21"/>
                <w14:textFill>
                  <w14:solidFill>
                    <w14:schemeClr w14:val="tx1"/>
                  </w14:solidFill>
                </w14:textFill>
              </w:rPr>
              <w:t>）</w:t>
            </w:r>
          </w:p>
          <w:p w14:paraId="539B5861">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5.供应商直接控股、管理关系信息表（格式后附）；（</w:t>
            </w:r>
            <w:r>
              <w:rPr>
                <w:rFonts w:hint="eastAsia" w:ascii="宋体" w:hAnsi="宋体" w:eastAsia="宋体" w:cs="宋体"/>
                <w:b/>
                <w:color w:val="000000" w:themeColor="text1"/>
                <w:sz w:val="21"/>
                <w:szCs w:val="21"/>
                <w14:textFill>
                  <w14:solidFill>
                    <w14:schemeClr w14:val="tx1"/>
                  </w14:solidFill>
                </w14:textFill>
              </w:rPr>
              <w:t>必须提供，否则响应文件按无效处理</w:t>
            </w:r>
            <w:r>
              <w:rPr>
                <w:rFonts w:hint="eastAsia" w:ascii="宋体" w:hAnsi="宋体" w:eastAsia="宋体" w:cs="宋体"/>
                <w:color w:val="000000" w:themeColor="text1"/>
                <w:sz w:val="21"/>
                <w:szCs w:val="21"/>
                <w14:textFill>
                  <w14:solidFill>
                    <w14:schemeClr w14:val="tx1"/>
                  </w14:solidFill>
                </w14:textFill>
              </w:rPr>
              <w:t>）</w:t>
            </w:r>
          </w:p>
          <w:p w14:paraId="33B5B35B">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6.竞标声明（格式后附）；（</w:t>
            </w:r>
            <w:r>
              <w:rPr>
                <w:rFonts w:hint="eastAsia" w:ascii="宋体" w:hAnsi="宋体" w:eastAsia="宋体" w:cs="宋体"/>
                <w:b/>
                <w:color w:val="000000" w:themeColor="text1"/>
                <w:sz w:val="21"/>
                <w:szCs w:val="21"/>
                <w14:textFill>
                  <w14:solidFill>
                    <w14:schemeClr w14:val="tx1"/>
                  </w14:solidFill>
                </w14:textFill>
              </w:rPr>
              <w:t>必须提供，否则响应文件按无效处理</w:t>
            </w:r>
            <w:r>
              <w:rPr>
                <w:rFonts w:hint="eastAsia" w:ascii="宋体" w:hAnsi="宋体" w:eastAsia="宋体" w:cs="宋体"/>
                <w:color w:val="000000" w:themeColor="text1"/>
                <w:sz w:val="21"/>
                <w:szCs w:val="21"/>
                <w14:textFill>
                  <w14:solidFill>
                    <w14:schemeClr w14:val="tx1"/>
                  </w14:solidFill>
                </w14:textFill>
              </w:rPr>
              <w:t>）</w:t>
            </w:r>
          </w:p>
          <w:p w14:paraId="213A825D">
            <w:pPr>
              <w:keepNext w:val="0"/>
              <w:keepLines w:val="0"/>
              <w:pageBreakBefore w:val="0"/>
              <w:widowControl w:val="0"/>
              <w:kinsoku/>
              <w:wordWrap/>
              <w:overflowPunct/>
              <w:topLinePunct w:val="0"/>
              <w:bidi w:val="0"/>
              <w:adjustRightInd/>
              <w:snapToGrid w:val="0"/>
              <w:spacing w:line="400" w:lineRule="exact"/>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sz w:val="21"/>
                <w:szCs w:val="21"/>
                <w:highlight w:val="none"/>
              </w:rPr>
              <w:t>供应商具备</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由食品药品监督管理部门颁发的有效证件（供应商为生产企业</w:t>
            </w:r>
            <w:r>
              <w:rPr>
                <w:rFonts w:hint="eastAsia" w:ascii="宋体" w:hAnsi="宋体" w:eastAsia="宋体" w:cs="宋体"/>
                <w:sz w:val="21"/>
                <w:szCs w:val="21"/>
                <w:highlight w:val="none"/>
                <w:lang w:eastAsia="zh-CN"/>
              </w:rPr>
              <w:t>的提供有效的</w:t>
            </w:r>
            <w:r>
              <w:rPr>
                <w:rFonts w:hint="eastAsia" w:ascii="宋体" w:hAnsi="宋体" w:eastAsia="宋体" w:cs="宋体"/>
                <w:sz w:val="21"/>
                <w:szCs w:val="21"/>
                <w:highlight w:val="none"/>
              </w:rPr>
              <w:t>《医疗器械生产许可证》；供应商为经营企业经营第二类医疗器械的</w:t>
            </w:r>
            <w:r>
              <w:rPr>
                <w:rFonts w:hint="eastAsia" w:ascii="宋体" w:hAnsi="宋体" w:eastAsia="宋体" w:cs="宋体"/>
                <w:sz w:val="21"/>
                <w:szCs w:val="21"/>
                <w:highlight w:val="none"/>
                <w:lang w:eastAsia="zh-CN"/>
              </w:rPr>
              <w:t>提供有效的</w:t>
            </w:r>
            <w:r>
              <w:rPr>
                <w:rFonts w:hint="eastAsia" w:ascii="宋体" w:hAnsi="宋体" w:eastAsia="宋体" w:cs="宋体"/>
                <w:sz w:val="21"/>
                <w:szCs w:val="21"/>
                <w:highlight w:val="none"/>
              </w:rPr>
              <w:t>《第二类医疗器械经营备案凭证》，供应商为经营第三类医疗器械的</w:t>
            </w:r>
            <w:r>
              <w:rPr>
                <w:rFonts w:hint="eastAsia" w:ascii="宋体" w:hAnsi="宋体" w:eastAsia="宋体" w:cs="宋体"/>
                <w:sz w:val="21"/>
                <w:szCs w:val="21"/>
                <w:highlight w:val="none"/>
                <w:lang w:eastAsia="zh-CN"/>
              </w:rPr>
              <w:t>提供有效的</w:t>
            </w:r>
            <w:r>
              <w:rPr>
                <w:rFonts w:hint="eastAsia" w:ascii="宋体" w:hAnsi="宋体" w:eastAsia="宋体" w:cs="宋体"/>
                <w:sz w:val="21"/>
                <w:szCs w:val="21"/>
                <w:highlight w:val="none"/>
              </w:rPr>
              <w:t>《医疗器械经营许可证》）；</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
                <w:color w:val="000000" w:themeColor="text1"/>
                <w:sz w:val="21"/>
                <w:szCs w:val="21"/>
                <w14:textFill>
                  <w14:solidFill>
                    <w14:schemeClr w14:val="tx1"/>
                  </w14:solidFill>
                </w14:textFill>
              </w:rPr>
              <w:t>必须提供，否则响应文件按无效处理</w:t>
            </w:r>
            <w:r>
              <w:rPr>
                <w:rFonts w:hint="eastAsia" w:ascii="宋体" w:hAnsi="宋体" w:eastAsia="宋体" w:cs="宋体"/>
                <w:color w:val="000000" w:themeColor="text1"/>
                <w:sz w:val="21"/>
                <w:szCs w:val="21"/>
                <w14:textFill>
                  <w14:solidFill>
                    <w14:schemeClr w14:val="tx1"/>
                  </w14:solidFill>
                </w14:textFill>
              </w:rPr>
              <w:t>）</w:t>
            </w:r>
          </w:p>
          <w:p w14:paraId="3E950831">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.联合体竞标协议书（格式后附）；（</w:t>
            </w:r>
            <w:r>
              <w:rPr>
                <w:rFonts w:hint="eastAsia" w:ascii="宋体" w:hAnsi="宋体" w:eastAsia="宋体" w:cs="宋体"/>
                <w:b/>
                <w:color w:val="000000" w:themeColor="text1"/>
                <w:sz w:val="21"/>
                <w:szCs w:val="21"/>
                <w14:textFill>
                  <w14:solidFill>
                    <w14:schemeClr w14:val="tx1"/>
                  </w14:solidFill>
                </w14:textFill>
              </w:rPr>
              <w:t>联合体竞标时必须提供，否则响应文件按无效处理</w:t>
            </w:r>
            <w:r>
              <w:rPr>
                <w:rFonts w:hint="eastAsia" w:ascii="宋体" w:hAnsi="宋体" w:eastAsia="宋体" w:cs="宋体"/>
                <w:color w:val="000000" w:themeColor="text1"/>
                <w:sz w:val="21"/>
                <w:szCs w:val="21"/>
                <w14:textFill>
                  <w14:solidFill>
                    <w14:schemeClr w14:val="tx1"/>
                  </w14:solidFill>
                </w14:textFill>
              </w:rPr>
              <w:t>）</w:t>
            </w:r>
          </w:p>
          <w:p w14:paraId="5F3463BA">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i/>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.除谈判文件规定必须提供以外，供应商认为需要提供的其他证明材料；</w:t>
            </w:r>
          </w:p>
          <w:p w14:paraId="2A8E8A5A">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注：</w:t>
            </w:r>
          </w:p>
          <w:p w14:paraId="68583691">
            <w:pPr>
              <w:keepNext w:val="0"/>
              <w:keepLines w:val="0"/>
              <w:pageBreakBefore w:val="0"/>
              <w:widowControl w:val="0"/>
              <w:kinsoku/>
              <w:wordWrap/>
              <w:overflowPunct/>
              <w:topLinePunct w:val="0"/>
              <w:bidi w:val="0"/>
              <w:adjustRightInd/>
              <w:snapToGrid w:val="0"/>
              <w:spacing w:line="400" w:lineRule="exact"/>
              <w:ind w:firstLine="413" w:firstLineChars="196"/>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1.以上标明“必须提供”的材料属于复印件的，必须加盖供应商电子签章，否则响应文件按无效处理。</w:t>
            </w:r>
          </w:p>
          <w:p w14:paraId="61B543A3">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2.联合体竞标时，第1-5项资格证明文件联合体各方均必须分别提供，并由联合体牵头人加盖电子签章，规定签字处签字</w:t>
            </w:r>
            <w:r>
              <w:rPr>
                <w:rFonts w:hint="eastAsia" w:ascii="宋体" w:hAnsi="宋体" w:eastAsia="宋体" w:cs="宋体"/>
                <w:b/>
                <w:bCs/>
                <w:color w:val="000000" w:themeColor="text1"/>
                <w:sz w:val="21"/>
                <w:szCs w:val="21"/>
                <w14:textFill>
                  <w14:solidFill>
                    <w14:schemeClr w14:val="tx1"/>
                  </w14:solidFill>
                </w14:textFill>
              </w:rPr>
              <w:t>（或者电子签名）</w:t>
            </w:r>
            <w:r>
              <w:rPr>
                <w:rFonts w:hint="eastAsia" w:ascii="宋体" w:hAnsi="宋体" w:eastAsia="宋体" w:cs="宋体"/>
                <w:b/>
                <w:color w:val="000000" w:themeColor="text1"/>
                <w:sz w:val="21"/>
                <w:szCs w:val="21"/>
                <w14:textFill>
                  <w14:solidFill>
                    <w14:schemeClr w14:val="tx1"/>
                  </w14:solidFill>
                </w14:textFill>
              </w:rPr>
              <w:t>，否则响应文件按无效处理。</w:t>
            </w:r>
          </w:p>
          <w:p w14:paraId="4458E853">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3.分公司参加竞标的，应当取得总公司授权。</w:t>
            </w:r>
          </w:p>
        </w:tc>
      </w:tr>
      <w:tr w14:paraId="6EED4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43B7A5B">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12.1.2</w:t>
            </w:r>
          </w:p>
        </w:tc>
        <w:tc>
          <w:tcPr>
            <w:tcW w:w="7912" w:type="dxa"/>
            <w:vAlign w:val="center"/>
          </w:tcPr>
          <w:p w14:paraId="5629630F">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报价文件</w:t>
            </w:r>
          </w:p>
          <w:p w14:paraId="39328E72">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1.竞标报价表（格式后附）；（</w:t>
            </w:r>
            <w:r>
              <w:rPr>
                <w:rFonts w:hint="eastAsia" w:ascii="宋体" w:hAnsi="宋体" w:eastAsia="宋体" w:cs="宋体"/>
                <w:b/>
                <w:color w:val="000000" w:themeColor="text1"/>
                <w:sz w:val="21"/>
                <w:szCs w:val="21"/>
                <w14:textFill>
                  <w14:solidFill>
                    <w14:schemeClr w14:val="tx1"/>
                  </w14:solidFill>
                </w14:textFill>
              </w:rPr>
              <w:t>必须提供，否则响应文件按无效处理</w:t>
            </w:r>
            <w:r>
              <w:rPr>
                <w:rFonts w:hint="eastAsia" w:ascii="宋体" w:hAnsi="宋体" w:eastAsia="宋体" w:cs="宋体"/>
                <w:color w:val="000000" w:themeColor="text1"/>
                <w:sz w:val="21"/>
                <w:szCs w:val="21"/>
                <w14:textFill>
                  <w14:solidFill>
                    <w14:schemeClr w14:val="tx1"/>
                  </w14:solidFill>
                </w14:textFill>
              </w:rPr>
              <w:t>）</w:t>
            </w:r>
          </w:p>
          <w:p w14:paraId="6BC4F6A5">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2.供应商认为需要提供的其他有关资料。</w:t>
            </w:r>
          </w:p>
          <w:p w14:paraId="34BCCADA">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以上标明“必须提供”的材料属于复印件的，必须加盖供应商电子签章，否则响应文件按无效处理。</w:t>
            </w:r>
          </w:p>
        </w:tc>
      </w:tr>
      <w:tr w14:paraId="1581E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89DCA6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12.1.3</w:t>
            </w:r>
          </w:p>
        </w:tc>
        <w:tc>
          <w:tcPr>
            <w:tcW w:w="7912" w:type="dxa"/>
            <w:vAlign w:val="center"/>
          </w:tcPr>
          <w:p w14:paraId="4A77952F">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商务技术文件</w:t>
            </w:r>
          </w:p>
          <w:p w14:paraId="6683B561">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1.无串通竞标行为的承诺函（格式后附）；（</w:t>
            </w:r>
            <w:r>
              <w:rPr>
                <w:rFonts w:hint="eastAsia" w:ascii="宋体" w:hAnsi="宋体" w:eastAsia="宋体" w:cs="宋体"/>
                <w:b/>
                <w:color w:val="000000" w:themeColor="text1"/>
                <w:sz w:val="21"/>
                <w:szCs w:val="21"/>
                <w14:textFill>
                  <w14:solidFill>
                    <w14:schemeClr w14:val="tx1"/>
                  </w14:solidFill>
                </w14:textFill>
              </w:rPr>
              <w:t>必须提供，否则响应文件按无效处理</w:t>
            </w:r>
            <w:r>
              <w:rPr>
                <w:rFonts w:hint="eastAsia" w:ascii="宋体" w:hAnsi="宋体" w:eastAsia="宋体" w:cs="宋体"/>
                <w:color w:val="000000" w:themeColor="text1"/>
                <w:sz w:val="21"/>
                <w:szCs w:val="21"/>
                <w14:textFill>
                  <w14:solidFill>
                    <w14:schemeClr w14:val="tx1"/>
                  </w14:solidFill>
                </w14:textFill>
              </w:rPr>
              <w:t>）</w:t>
            </w:r>
          </w:p>
          <w:p w14:paraId="775EF608">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2.法定代表人身份证明书及法定代表人有效身份证正反面复印件（格式后附）；（</w:t>
            </w:r>
            <w:r>
              <w:rPr>
                <w:rFonts w:hint="eastAsia" w:ascii="宋体" w:hAnsi="宋体" w:eastAsia="宋体" w:cs="宋体"/>
                <w:b/>
                <w:color w:val="000000" w:themeColor="text1"/>
                <w:sz w:val="21"/>
                <w:szCs w:val="21"/>
                <w14:textFill>
                  <w14:solidFill>
                    <w14:schemeClr w14:val="tx1"/>
                  </w14:solidFill>
                </w14:textFill>
              </w:rPr>
              <w:t>必须提供，否则响应文件按无效处理</w:t>
            </w:r>
            <w:r>
              <w:rPr>
                <w:rFonts w:hint="eastAsia" w:ascii="宋体" w:hAnsi="宋体" w:eastAsia="宋体" w:cs="宋体"/>
                <w:color w:val="000000" w:themeColor="text1"/>
                <w:sz w:val="21"/>
                <w:szCs w:val="21"/>
                <w14:textFill>
                  <w14:solidFill>
                    <w14:schemeClr w14:val="tx1"/>
                  </w14:solidFill>
                </w14:textFill>
              </w:rPr>
              <w:t>）</w:t>
            </w:r>
          </w:p>
          <w:p w14:paraId="6574E688">
            <w:pPr>
              <w:keepNext w:val="0"/>
              <w:keepLines w:val="0"/>
              <w:pageBreakBefore w:val="0"/>
              <w:widowControl w:val="0"/>
              <w:kinsoku/>
              <w:wordWrap/>
              <w:overflowPunct/>
              <w:topLinePunct w:val="0"/>
              <w:bidi w:val="0"/>
              <w:adjustRightInd/>
              <w:spacing w:line="40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3.授权委托书及委托代理人有效身份证正反面复印件（格式后附）；（</w:t>
            </w:r>
            <w:r>
              <w:rPr>
                <w:rFonts w:hint="eastAsia" w:ascii="宋体" w:hAnsi="宋体" w:eastAsia="宋体" w:cs="宋体"/>
                <w:b/>
                <w:color w:val="000000" w:themeColor="text1"/>
                <w:sz w:val="21"/>
                <w:szCs w:val="21"/>
                <w14:textFill>
                  <w14:solidFill>
                    <w14:schemeClr w14:val="tx1"/>
                  </w14:solidFill>
                </w14:textFill>
              </w:rPr>
              <w:t>委托时必须提供，否则响应文件按无效处理</w:t>
            </w:r>
            <w:r>
              <w:rPr>
                <w:rFonts w:hint="eastAsia" w:ascii="宋体" w:hAnsi="宋体" w:eastAsia="宋体" w:cs="宋体"/>
                <w:color w:val="000000" w:themeColor="text1"/>
                <w:sz w:val="21"/>
                <w:szCs w:val="21"/>
                <w14:textFill>
                  <w14:solidFill>
                    <w14:schemeClr w14:val="tx1"/>
                  </w14:solidFill>
                </w14:textFill>
              </w:rPr>
              <w:t>）</w:t>
            </w:r>
          </w:p>
          <w:p w14:paraId="3ED26D7C">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4.竞标保证金提交凭证；（</w:t>
            </w:r>
            <w:r>
              <w:rPr>
                <w:rFonts w:hint="eastAsia" w:ascii="宋体" w:hAnsi="宋体" w:eastAsia="宋体" w:cs="宋体"/>
                <w:b/>
                <w:bCs/>
                <w:color w:val="000000" w:themeColor="text1"/>
                <w:sz w:val="21"/>
                <w:szCs w:val="21"/>
                <w14:textFill>
                  <w14:solidFill>
                    <w14:schemeClr w14:val="tx1"/>
                  </w14:solidFill>
                </w14:textFill>
              </w:rPr>
              <w:t>必须提供</w:t>
            </w:r>
            <w:r>
              <w:rPr>
                <w:rFonts w:hint="eastAsia" w:ascii="宋体" w:hAnsi="宋体" w:eastAsia="宋体" w:cs="宋体"/>
                <w:b/>
                <w:color w:val="000000" w:themeColor="text1"/>
                <w:sz w:val="21"/>
                <w:szCs w:val="21"/>
                <w14:textFill>
                  <w14:solidFill>
                    <w14:schemeClr w14:val="tx1"/>
                  </w14:solidFill>
                </w14:textFill>
              </w:rPr>
              <w:t>，否则响应文件按无效处理</w:t>
            </w:r>
            <w:r>
              <w:rPr>
                <w:rFonts w:hint="eastAsia" w:ascii="宋体" w:hAnsi="宋体" w:eastAsia="宋体" w:cs="宋体"/>
                <w:color w:val="000000" w:themeColor="text1"/>
                <w:sz w:val="21"/>
                <w:szCs w:val="21"/>
                <w14:textFill>
                  <w14:solidFill>
                    <w14:schemeClr w14:val="tx1"/>
                  </w14:solidFill>
                </w14:textFill>
              </w:rPr>
              <w:t>）</w:t>
            </w:r>
          </w:p>
          <w:p w14:paraId="0317BA3C">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5.商务要求偏离表（格式后附）；（</w:t>
            </w:r>
            <w:r>
              <w:rPr>
                <w:rFonts w:hint="eastAsia" w:ascii="宋体" w:hAnsi="宋体" w:eastAsia="宋体" w:cs="宋体"/>
                <w:b/>
                <w:color w:val="000000" w:themeColor="text1"/>
                <w:sz w:val="21"/>
                <w:szCs w:val="21"/>
                <w14:textFill>
                  <w14:solidFill>
                    <w14:schemeClr w14:val="tx1"/>
                  </w14:solidFill>
                </w14:textFill>
              </w:rPr>
              <w:t>必须提供，否则响应文件按无效处理</w:t>
            </w:r>
            <w:r>
              <w:rPr>
                <w:rFonts w:hint="eastAsia" w:ascii="宋体" w:hAnsi="宋体" w:eastAsia="宋体" w:cs="宋体"/>
                <w:color w:val="000000" w:themeColor="text1"/>
                <w:sz w:val="21"/>
                <w:szCs w:val="21"/>
                <w14:textFill>
                  <w14:solidFill>
                    <w14:schemeClr w14:val="tx1"/>
                  </w14:solidFill>
                </w14:textFill>
              </w:rPr>
              <w:t>）</w:t>
            </w:r>
          </w:p>
          <w:p w14:paraId="06C4D510">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r>
              <w:rPr>
                <w:rFonts w:hint="eastAsia" w:ascii="宋体" w:hAnsi="宋体" w:cs="宋体"/>
                <w:color w:val="000000" w:themeColor="text1"/>
                <w:sz w:val="21"/>
                <w:szCs w:val="21"/>
                <w:lang w:eastAsia="zh-CN"/>
                <w14:textFill>
                  <w14:solidFill>
                    <w14:schemeClr w14:val="tx1"/>
                  </w14:solidFill>
                </w14:textFill>
              </w:rPr>
              <w:t>售后服务承诺书</w:t>
            </w:r>
            <w:r>
              <w:rPr>
                <w:rFonts w:hint="eastAsia" w:ascii="宋体" w:hAnsi="宋体" w:eastAsia="宋体" w:cs="宋体"/>
                <w:color w:val="000000" w:themeColor="text1"/>
                <w:sz w:val="21"/>
                <w:szCs w:val="21"/>
                <w14:textFill>
                  <w14:solidFill>
                    <w14:schemeClr w14:val="tx1"/>
                  </w14:solidFill>
                </w14:textFill>
              </w:rPr>
              <w:t>（格式自拟）；（</w:t>
            </w:r>
            <w:r>
              <w:rPr>
                <w:rFonts w:hint="eastAsia" w:ascii="宋体" w:hAnsi="宋体" w:eastAsia="宋体" w:cs="宋体"/>
                <w:b/>
                <w:color w:val="000000" w:themeColor="text1"/>
                <w:sz w:val="21"/>
                <w:szCs w:val="21"/>
                <w14:textFill>
                  <w14:solidFill>
                    <w14:schemeClr w14:val="tx1"/>
                  </w14:solidFill>
                </w14:textFill>
              </w:rPr>
              <w:t>必须提供，否则响应文件按无效处理</w:t>
            </w:r>
            <w:r>
              <w:rPr>
                <w:rFonts w:hint="eastAsia" w:ascii="宋体" w:hAnsi="宋体" w:eastAsia="宋体" w:cs="宋体"/>
                <w:color w:val="000000" w:themeColor="text1"/>
                <w:sz w:val="21"/>
                <w:szCs w:val="21"/>
                <w14:textFill>
                  <w14:solidFill>
                    <w14:schemeClr w14:val="tx1"/>
                  </w14:solidFill>
                </w14:textFill>
              </w:rPr>
              <w:t>）</w:t>
            </w:r>
          </w:p>
          <w:p w14:paraId="1A96B4D3">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7.技术要求偏离表（格式后附）；（</w:t>
            </w:r>
            <w:r>
              <w:rPr>
                <w:rFonts w:hint="eastAsia" w:ascii="宋体" w:hAnsi="宋体" w:eastAsia="宋体" w:cs="宋体"/>
                <w:b/>
                <w:color w:val="000000" w:themeColor="text1"/>
                <w:sz w:val="21"/>
                <w:szCs w:val="21"/>
                <w14:textFill>
                  <w14:solidFill>
                    <w14:schemeClr w14:val="tx1"/>
                  </w14:solidFill>
                </w14:textFill>
              </w:rPr>
              <w:t>必须提供，否则响应文件按无效处理</w:t>
            </w:r>
            <w:r>
              <w:rPr>
                <w:rFonts w:hint="eastAsia" w:ascii="宋体" w:hAnsi="宋体" w:eastAsia="宋体" w:cs="宋体"/>
                <w:color w:val="000000" w:themeColor="text1"/>
                <w:sz w:val="21"/>
                <w:szCs w:val="21"/>
                <w14:textFill>
                  <w14:solidFill>
                    <w14:schemeClr w14:val="tx1"/>
                  </w14:solidFill>
                </w14:textFill>
              </w:rPr>
              <w:t>）</w:t>
            </w:r>
          </w:p>
          <w:p w14:paraId="747DF577">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8.对应采购需求的技术要求、商务要求提供的其他文件资料（格式自拟）；</w:t>
            </w:r>
          </w:p>
          <w:p w14:paraId="7D245635">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9.供应商认为需要提供的其他有关资料。</w:t>
            </w:r>
          </w:p>
          <w:p w14:paraId="39BC7AFA">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注：以上标明“必须提供”材料复印件的，必须加盖供应商</w:t>
            </w:r>
            <w:r>
              <w:rPr>
                <w:rFonts w:hint="eastAsia" w:ascii="宋体" w:hAnsi="宋体" w:eastAsia="宋体" w:cs="宋体"/>
                <w:b/>
                <w:bCs/>
                <w:color w:val="000000" w:themeColor="text1"/>
                <w:sz w:val="21"/>
                <w:szCs w:val="21"/>
                <w14:textFill>
                  <w14:solidFill>
                    <w14:schemeClr w14:val="tx1"/>
                  </w14:solidFill>
                </w14:textFill>
              </w:rPr>
              <w:t>电子签章</w:t>
            </w:r>
            <w:r>
              <w:rPr>
                <w:rFonts w:hint="eastAsia" w:ascii="宋体" w:hAnsi="宋体" w:eastAsia="宋体" w:cs="宋体"/>
                <w:b/>
                <w:color w:val="000000" w:themeColor="text1"/>
                <w:sz w:val="21"/>
                <w:szCs w:val="21"/>
                <w14:textFill>
                  <w14:solidFill>
                    <w14:schemeClr w14:val="tx1"/>
                  </w14:solidFill>
                </w14:textFill>
              </w:rPr>
              <w:t>，否则响应文件按无效处理。</w:t>
            </w:r>
          </w:p>
        </w:tc>
      </w:tr>
      <w:tr w14:paraId="2009F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81135B3">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15.2</w:t>
            </w:r>
          </w:p>
        </w:tc>
        <w:tc>
          <w:tcPr>
            <w:tcW w:w="7912" w:type="dxa"/>
            <w:vAlign w:val="center"/>
          </w:tcPr>
          <w:p w14:paraId="64F7142F">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竞标报价包含竞标货物（包括备品备件、专用工具等）的价格（包括已在中国境内的进口货物完税后的仓库交货价、展室交货价或者货架交货价），竞标货物运输（含保险）、安装（如有）、调试、检验、技术服务、培训和谈判文件要求提供的所有伴随服务、工程等费用和税费。（采购需求另有约定的，从其约定。）</w:t>
            </w:r>
          </w:p>
        </w:tc>
      </w:tr>
      <w:tr w14:paraId="34235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56B644DA">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16.2</w:t>
            </w:r>
          </w:p>
        </w:tc>
        <w:tc>
          <w:tcPr>
            <w:tcW w:w="7912" w:type="dxa"/>
            <w:vAlign w:val="center"/>
          </w:tcPr>
          <w:p w14:paraId="1198AC17">
            <w:pPr>
              <w:pStyle w:val="7"/>
              <w:keepNext w:val="0"/>
              <w:keepLines w:val="0"/>
              <w:pageBreakBefore w:val="0"/>
              <w:widowControl w:val="0"/>
              <w:tabs>
                <w:tab w:val="clear" w:pos="454"/>
              </w:tabs>
              <w:kinsoku/>
              <w:wordWrap/>
              <w:overflowPunct/>
              <w:topLinePunct w:val="0"/>
              <w:bidi w:val="0"/>
              <w:adjustRightInd/>
              <w:snapToGrid w:val="0"/>
              <w:spacing w:afterLines="0" w:line="400" w:lineRule="exact"/>
              <w:ind w:left="283" w:hanging="283" w:hangingChars="135"/>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竞标有效期：自首次响应文件提交截止之日起</w:t>
            </w:r>
            <w:r>
              <w:rPr>
                <w:rFonts w:hint="eastAsia" w:ascii="宋体" w:hAnsi="宋体" w:eastAsia="宋体" w:cs="宋体"/>
                <w:color w:val="000000" w:themeColor="text1"/>
                <w:kern w:val="2"/>
                <w:sz w:val="21"/>
                <w:szCs w:val="21"/>
                <w:u w:val="single"/>
                <w14:textFill>
                  <w14:solidFill>
                    <w14:schemeClr w14:val="tx1"/>
                  </w14:solidFill>
                </w14:textFill>
              </w:rPr>
              <w:t>90</w:t>
            </w:r>
            <w:r>
              <w:rPr>
                <w:rFonts w:hint="eastAsia" w:ascii="宋体" w:hAnsi="宋体" w:eastAsia="宋体" w:cs="宋体"/>
                <w:color w:val="000000" w:themeColor="text1"/>
                <w:kern w:val="2"/>
                <w:sz w:val="21"/>
                <w:szCs w:val="21"/>
                <w14:textFill>
                  <w14:solidFill>
                    <w14:schemeClr w14:val="tx1"/>
                  </w14:solidFill>
                </w14:textFill>
              </w:rPr>
              <w:t>日。</w:t>
            </w:r>
          </w:p>
        </w:tc>
      </w:tr>
      <w:tr w14:paraId="05273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9B3D4F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17.1</w:t>
            </w:r>
          </w:p>
        </w:tc>
        <w:tc>
          <w:tcPr>
            <w:tcW w:w="7912" w:type="dxa"/>
            <w:vAlign w:val="center"/>
          </w:tcPr>
          <w:p w14:paraId="1684EA90">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□本项目不收取竞标保证金。</w:t>
            </w:r>
          </w:p>
          <w:p w14:paraId="1312879D">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☑本项目收取竞标保证金，具体规定如下：</w:t>
            </w:r>
          </w:p>
          <w:p w14:paraId="59CEA2DC">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kern w:val="0"/>
                <w:sz w:val="21"/>
                <w:szCs w:val="21"/>
                <w14:textFill>
                  <w14:solidFill>
                    <w14:schemeClr w14:val="tx1"/>
                  </w14:solidFill>
                </w14:textFill>
              </w:rPr>
            </w:pPr>
            <w:bookmarkStart w:id="59" w:name="OLE_LINK15"/>
            <w:r>
              <w:rPr>
                <w:rFonts w:hint="eastAsia" w:ascii="宋体" w:hAnsi="宋体" w:eastAsia="宋体" w:cs="宋体"/>
                <w:color w:val="000000" w:themeColor="text1"/>
                <w:kern w:val="0"/>
                <w:sz w:val="21"/>
                <w:szCs w:val="21"/>
                <w14:textFill>
                  <w14:solidFill>
                    <w14:schemeClr w14:val="tx1"/>
                  </w14:solidFill>
                </w14:textFill>
              </w:rPr>
              <w:t>竞标保证金人民币</w:t>
            </w:r>
            <w:r>
              <w:rPr>
                <w:rFonts w:hint="eastAsia" w:ascii="宋体" w:hAnsi="宋体" w:cs="宋体"/>
                <w:color w:val="000000" w:themeColor="text1"/>
                <w:kern w:val="0"/>
                <w:sz w:val="21"/>
                <w:szCs w:val="21"/>
                <w:u w:val="single"/>
                <w:lang w:val="en-US" w:eastAsia="zh-CN"/>
                <w14:textFill>
                  <w14:solidFill>
                    <w14:schemeClr w14:val="tx1"/>
                  </w14:solidFill>
                </w14:textFill>
              </w:rPr>
              <w:t>18000.00</w:t>
            </w:r>
            <w:r>
              <w:rPr>
                <w:rFonts w:hint="eastAsia" w:ascii="宋体" w:hAnsi="宋体" w:eastAsia="宋体" w:cs="宋体"/>
                <w:color w:val="000000" w:themeColor="text1"/>
                <w:kern w:val="0"/>
                <w:sz w:val="21"/>
                <w:szCs w:val="21"/>
                <w14:textFill>
                  <w14:solidFill>
                    <w14:schemeClr w14:val="tx1"/>
                  </w14:solidFill>
                </w14:textFill>
              </w:rPr>
              <w:t>元</w:t>
            </w:r>
            <w:bookmarkEnd w:id="59"/>
          </w:p>
          <w:p w14:paraId="44E65D9E">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kern w:val="0"/>
                <w:sz w:val="21"/>
                <w:szCs w:val="21"/>
              </w:rPr>
            </w:pPr>
            <w:r>
              <w:rPr>
                <w:rFonts w:hint="eastAsia" w:ascii="宋体" w:hAnsi="宋体" w:cs="宋体"/>
                <w:color w:val="000000"/>
                <w:kern w:val="0"/>
                <w:sz w:val="21"/>
                <w:szCs w:val="21"/>
                <w:lang w:eastAsia="zh-CN"/>
              </w:rPr>
              <w:t>竞标保证金</w:t>
            </w:r>
            <w:r>
              <w:rPr>
                <w:rFonts w:hint="eastAsia" w:ascii="宋体" w:hAnsi="宋体" w:eastAsia="宋体" w:cs="宋体"/>
                <w:color w:val="000000"/>
                <w:kern w:val="0"/>
                <w:sz w:val="21"/>
                <w:szCs w:val="21"/>
              </w:rPr>
              <w:t>的交纳方式：银行转账、支票、汇票、本票或者银行、保险机构出具的保函，禁止采用现钞方式。采用银行转账方式的，在响应文件提交截止时间前交至指定账户并且到账（开户名称：</w:t>
            </w:r>
            <w:r>
              <w:rPr>
                <w:rFonts w:hint="eastAsia" w:ascii="宋体" w:hAnsi="宋体" w:cs="宋体"/>
                <w:color w:val="000000"/>
                <w:kern w:val="0"/>
                <w:sz w:val="21"/>
                <w:szCs w:val="21"/>
                <w:lang w:eastAsia="zh-CN"/>
              </w:rPr>
              <w:t>广西汉昌工程咨询有限公司南宁第十八分公司</w:t>
            </w:r>
            <w:r>
              <w:rPr>
                <w:rFonts w:hint="eastAsia" w:ascii="宋体" w:hAnsi="宋体" w:eastAsia="宋体" w:cs="宋体"/>
                <w:color w:val="000000"/>
                <w:kern w:val="0"/>
                <w:sz w:val="21"/>
                <w:szCs w:val="21"/>
              </w:rPr>
              <w:t>；开户银行：</w:t>
            </w:r>
            <w:r>
              <w:rPr>
                <w:rFonts w:hint="eastAsia" w:ascii="宋体" w:hAnsi="宋体" w:cs="宋体"/>
                <w:color w:val="000000"/>
                <w:kern w:val="0"/>
                <w:sz w:val="21"/>
                <w:szCs w:val="21"/>
                <w:lang w:eastAsia="zh-CN"/>
              </w:rPr>
              <w:t>招商银行股份有限公司南宁分行</w:t>
            </w:r>
            <w:r>
              <w:rPr>
                <w:rFonts w:hint="eastAsia" w:ascii="宋体" w:hAnsi="宋体" w:eastAsia="宋体" w:cs="宋体"/>
                <w:color w:val="000000"/>
                <w:kern w:val="0"/>
                <w:sz w:val="21"/>
                <w:szCs w:val="21"/>
              </w:rPr>
              <w:t>；银行账号：</w:t>
            </w:r>
            <w:r>
              <w:rPr>
                <w:rFonts w:hint="eastAsia" w:ascii="宋体" w:hAnsi="宋体" w:cs="宋体"/>
                <w:color w:val="000000"/>
                <w:kern w:val="0"/>
                <w:sz w:val="21"/>
                <w:szCs w:val="21"/>
                <w:lang w:eastAsia="zh-CN"/>
              </w:rPr>
              <w:t>771903123610828</w:t>
            </w:r>
            <w:r>
              <w:rPr>
                <w:rFonts w:hint="eastAsia" w:ascii="宋体" w:hAnsi="宋体" w:eastAsia="宋体" w:cs="宋体"/>
                <w:color w:val="000000"/>
                <w:kern w:val="0"/>
                <w:sz w:val="21"/>
                <w:szCs w:val="21"/>
              </w:rPr>
              <w:t>）；采用支票、汇票、本票或者保函等方式的，在响应文件提交截止时间前，供应商必须提交单独密封的支票、汇票、本票或者保函原件。否则视为无效</w:t>
            </w:r>
            <w:r>
              <w:rPr>
                <w:rFonts w:hint="eastAsia" w:ascii="宋体" w:hAnsi="宋体" w:cs="宋体"/>
                <w:color w:val="000000"/>
                <w:kern w:val="0"/>
                <w:sz w:val="21"/>
                <w:szCs w:val="21"/>
                <w:lang w:eastAsia="zh-CN"/>
              </w:rPr>
              <w:t>竞标保证金</w:t>
            </w:r>
            <w:r>
              <w:rPr>
                <w:rFonts w:hint="eastAsia" w:ascii="宋体" w:hAnsi="宋体" w:eastAsia="宋体" w:cs="宋体"/>
                <w:color w:val="000000"/>
                <w:kern w:val="0"/>
                <w:sz w:val="21"/>
                <w:szCs w:val="21"/>
              </w:rPr>
              <w:t>。</w:t>
            </w:r>
          </w:p>
          <w:p w14:paraId="2B8BEB6F">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相关要求：</w:t>
            </w:r>
          </w:p>
          <w:p w14:paraId="643DDCC0">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eastAsia="宋体" w:cs="宋体"/>
                <w:b/>
                <w:color w:val="000000" w:themeColor="text1"/>
                <w:sz w:val="21"/>
                <w:szCs w:val="21"/>
                <w14:textFill>
                  <w14:solidFill>
                    <w14:schemeClr w14:val="tx1"/>
                  </w14:solidFill>
                </w14:textFill>
              </w:rPr>
              <w:t>否则响应文件按无效处理</w:t>
            </w:r>
            <w:r>
              <w:rPr>
                <w:rFonts w:hint="eastAsia" w:ascii="宋体" w:hAnsi="宋体" w:eastAsia="宋体" w:cs="宋体"/>
                <w:color w:val="000000" w:themeColor="text1"/>
                <w:sz w:val="21"/>
                <w:szCs w:val="21"/>
                <w14:textFill>
                  <w14:solidFill>
                    <w14:schemeClr w14:val="tx1"/>
                  </w14:solidFill>
                </w14:textFill>
              </w:rPr>
              <w:t>。</w:t>
            </w:r>
          </w:p>
          <w:p w14:paraId="59345B4B">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2.竞标保证金采用支票、汇票、本票或者银行、保险机构出具的保函交纳方式的，供应商应将支票、汇票、本票或者银行、保险机构出具的保函的复印件作为竞标保证金提交凭证，放置于商务技术文件中，</w:t>
            </w:r>
            <w:r>
              <w:rPr>
                <w:rFonts w:hint="eastAsia" w:ascii="宋体" w:hAnsi="宋体" w:eastAsia="宋体" w:cs="宋体"/>
                <w:b/>
                <w:color w:val="000000" w:themeColor="text1"/>
                <w:sz w:val="21"/>
                <w:szCs w:val="21"/>
                <w14:textFill>
                  <w14:solidFill>
                    <w14:schemeClr w14:val="tx1"/>
                  </w14:solidFill>
                </w14:textFill>
              </w:rPr>
              <w:t>否则响应文件按无效处理</w:t>
            </w:r>
            <w:r>
              <w:rPr>
                <w:rFonts w:hint="eastAsia" w:ascii="宋体" w:hAnsi="宋体" w:eastAsia="宋体" w:cs="宋体"/>
                <w:color w:val="000000" w:themeColor="text1"/>
                <w:sz w:val="21"/>
                <w:szCs w:val="21"/>
                <w14:textFill>
                  <w14:solidFill>
                    <w14:schemeClr w14:val="tx1"/>
                  </w14:solidFill>
                </w14:textFill>
              </w:rPr>
              <w:t>。</w:t>
            </w:r>
          </w:p>
          <w:p w14:paraId="0E6E2F7E">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3.供应商为联合体的，可以由联合体中的一方或者多方共同交纳谈判保证金，其交纳的保证金对联合体各方均具有约束力。</w:t>
            </w:r>
          </w:p>
          <w:p w14:paraId="4DF8FD6C">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备注：</w:t>
            </w:r>
          </w:p>
          <w:p w14:paraId="4BB3967B">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1.竞标保证金在响应文件提交截止时间后提交的，或者不按规定交纳方式交纳的，或者未足额交纳的（包含保函额度不足的），视为无效竞标保证金。</w:t>
            </w:r>
          </w:p>
          <w:p w14:paraId="7AB1E85B">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2.供应商采用现钞方式或者从个人账户（自然人竞标除外）转出的竞标保证金，视为无效竞标保证金。</w:t>
            </w:r>
          </w:p>
          <w:p w14:paraId="1169ACCA">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3.支票、汇票或者本票出现无效或者背书情形的，视为无效竞标保证金。</w:t>
            </w:r>
          </w:p>
          <w:p w14:paraId="0D960832">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4.保函有效期低于竞标有效期的，视为无效竞标保证金。</w:t>
            </w:r>
          </w:p>
          <w:p w14:paraId="52DEFC30">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5.竞标保证金采用银行、保险机构出具的保函为有条件保函的，视为无效竞标保证金。</w:t>
            </w:r>
          </w:p>
          <w:p w14:paraId="25810E02">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6.政采云平台暂未支持电子保函功能，故本项目暂不接受电子保函形式的保证金。</w:t>
            </w:r>
          </w:p>
        </w:tc>
      </w:tr>
      <w:tr w14:paraId="20F82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317603D">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w:t>
            </w:r>
          </w:p>
        </w:tc>
        <w:tc>
          <w:tcPr>
            <w:tcW w:w="7912" w:type="dxa"/>
            <w:vAlign w:val="center"/>
          </w:tcPr>
          <w:p w14:paraId="44E8A6B3">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本项目不接受电子备份响应文件</w:t>
            </w:r>
          </w:p>
        </w:tc>
      </w:tr>
      <w:tr w14:paraId="27A19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EFEAB35">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20.1</w:t>
            </w:r>
          </w:p>
        </w:tc>
        <w:tc>
          <w:tcPr>
            <w:tcW w:w="7912" w:type="dxa"/>
            <w:vAlign w:val="center"/>
          </w:tcPr>
          <w:p w14:paraId="75787D61">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响应文件提交截止时间：详见竞争性谈判公告或者竞标邀请函。</w:t>
            </w:r>
          </w:p>
          <w:p w14:paraId="26B549F1">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响应文件提交地点：详见竞争性谈判公告或者竞标邀请函。</w:t>
            </w:r>
          </w:p>
        </w:tc>
      </w:tr>
      <w:tr w14:paraId="381E8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70A7342">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24.1</w:t>
            </w:r>
          </w:p>
        </w:tc>
        <w:tc>
          <w:tcPr>
            <w:tcW w:w="7912" w:type="dxa"/>
            <w:vAlign w:val="center"/>
          </w:tcPr>
          <w:p w14:paraId="7AEFE873">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谈判小组的人数：</w:t>
            </w:r>
            <w:r>
              <w:rPr>
                <w:rFonts w:hint="eastAsia" w:ascii="宋体" w:hAnsi="宋体" w:eastAsia="宋体" w:cs="宋体"/>
                <w:color w:val="000000" w:themeColor="text1"/>
                <w:sz w:val="21"/>
                <w:szCs w:val="21"/>
                <w:u w:val="single"/>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人。</w:t>
            </w:r>
          </w:p>
        </w:tc>
      </w:tr>
      <w:tr w14:paraId="14AEF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ED60EF5">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w:t>
            </w:r>
          </w:p>
        </w:tc>
        <w:tc>
          <w:tcPr>
            <w:tcW w:w="7912" w:type="dxa"/>
            <w:vAlign w:val="center"/>
          </w:tcPr>
          <w:p w14:paraId="6E6D1E34">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首次响应文件开启时间详见“竞争性谈判公告”或者“竞标邀请函”</w:t>
            </w:r>
          </w:p>
          <w:p w14:paraId="5669CD56">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首次响应文件解密时间：</w:t>
            </w:r>
            <w:r>
              <w:rPr>
                <w:rFonts w:hint="eastAsia" w:ascii="宋体" w:hAnsi="宋体" w:eastAsia="宋体" w:cs="宋体"/>
                <w:color w:val="000000" w:themeColor="text1"/>
                <w:sz w:val="21"/>
                <w:szCs w:val="21"/>
                <w:u w:val="single"/>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分钟</w:t>
            </w:r>
          </w:p>
        </w:tc>
      </w:tr>
      <w:tr w14:paraId="493B1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Merge w:val="restart"/>
            <w:vAlign w:val="center"/>
          </w:tcPr>
          <w:p w14:paraId="083A99AD">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w:t>
            </w:r>
          </w:p>
        </w:tc>
        <w:tc>
          <w:tcPr>
            <w:tcW w:w="7912" w:type="dxa"/>
            <w:vAlign w:val="center"/>
          </w:tcPr>
          <w:p w14:paraId="0E214841">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评审价相同时，按照最后报价由低到高顺序依次推荐；最后报价相同时，按节能、环保产品累计金额由高到低顺序依次推荐；节能、环保产品累计金额也相同时，按以下原则确定成交候选人的顺序：</w:t>
            </w:r>
          </w:p>
          <w:p w14:paraId="52734A14">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☑带“</w:t>
            </w:r>
            <w:r>
              <w:rPr>
                <w:rFonts w:hint="eastAsia" w:ascii="宋体" w:hAnsi="宋体" w:eastAsia="宋体" w:cs="宋体"/>
                <w:kern w:val="0"/>
                <w:sz w:val="21"/>
                <w:szCs w:val="21"/>
                <w:lang w:bidi="ar"/>
              </w:rPr>
              <w:t>▲</w:t>
            </w:r>
            <w:r>
              <w:rPr>
                <w:rFonts w:hint="eastAsia" w:ascii="宋体" w:hAnsi="宋体" w:eastAsia="宋体" w:cs="宋体"/>
                <w:color w:val="000000" w:themeColor="text1"/>
                <w:sz w:val="21"/>
                <w:szCs w:val="21"/>
                <w14:textFill>
                  <w14:solidFill>
                    <w14:schemeClr w14:val="tx1"/>
                  </w14:solidFill>
                </w14:textFill>
              </w:rPr>
              <w:t>”的实质性要求正偏离项数多的优先、均无正偏离或者正偏离项数一致时负偏离项数少的优先、保修期长优先、交货期短优先、故障响应时间短优先的顺序推荐。</w:t>
            </w:r>
          </w:p>
          <w:p w14:paraId="000C0C29">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由谈判小组推荐代表随机抽取。</w:t>
            </w:r>
          </w:p>
        </w:tc>
      </w:tr>
      <w:tr w14:paraId="31DA4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Merge w:val="continue"/>
            <w:vAlign w:val="center"/>
          </w:tcPr>
          <w:p w14:paraId="04638CC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7912" w:type="dxa"/>
            <w:vAlign w:val="center"/>
          </w:tcPr>
          <w:p w14:paraId="008AA2D2">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商务要求评审中允许负偏离的条款数为</w:t>
            </w:r>
            <w:r>
              <w:rPr>
                <w:rFonts w:hint="eastAsia" w:ascii="宋体" w:hAnsi="宋体" w:eastAsia="宋体" w:cs="宋体"/>
                <w:color w:val="FF0000"/>
                <w:sz w:val="21"/>
                <w:szCs w:val="21"/>
                <w:highlight w:val="none"/>
                <w:u w:val="single"/>
              </w:rPr>
              <w:t xml:space="preserve"> </w:t>
            </w:r>
            <w:r>
              <w:rPr>
                <w:rFonts w:hint="eastAsia" w:ascii="宋体" w:hAnsi="宋体" w:cs="宋体"/>
                <w:color w:val="FF0000"/>
                <w:sz w:val="21"/>
                <w:szCs w:val="21"/>
                <w:highlight w:val="none"/>
                <w:u w:val="single"/>
                <w:lang w:val="en-US" w:eastAsia="zh-CN"/>
              </w:rPr>
              <w:t>0</w:t>
            </w:r>
            <w:r>
              <w:rPr>
                <w:rFonts w:hint="eastAsia" w:ascii="宋体" w:hAnsi="宋体" w:eastAsia="宋体" w:cs="宋体"/>
                <w:color w:val="FF0000"/>
                <w:sz w:val="21"/>
                <w:szCs w:val="21"/>
                <w:highlight w:val="none"/>
                <w:u w:val="single"/>
              </w:rPr>
              <w:t xml:space="preserve"> </w:t>
            </w:r>
            <w:r>
              <w:rPr>
                <w:rFonts w:hint="eastAsia" w:ascii="宋体" w:hAnsi="宋体" w:eastAsia="宋体" w:cs="宋体"/>
                <w:color w:val="FF0000"/>
                <w:sz w:val="21"/>
                <w:szCs w:val="21"/>
                <w:highlight w:val="none"/>
              </w:rPr>
              <w:t>项。</w:t>
            </w:r>
          </w:p>
          <w:p w14:paraId="54B3638D">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FF0000"/>
                <w:sz w:val="21"/>
                <w:szCs w:val="21"/>
                <w:highlight w:val="none"/>
              </w:rPr>
              <w:t>技术要求评审中允许负偏离的条款数为</w:t>
            </w:r>
            <w:r>
              <w:rPr>
                <w:rFonts w:hint="eastAsia" w:ascii="宋体" w:hAnsi="宋体" w:eastAsia="宋体" w:cs="宋体"/>
                <w:color w:val="FF0000"/>
                <w:sz w:val="21"/>
                <w:szCs w:val="21"/>
                <w:highlight w:val="none"/>
                <w:u w:val="single"/>
              </w:rPr>
              <w:t xml:space="preserve"> </w:t>
            </w:r>
            <w:r>
              <w:rPr>
                <w:rFonts w:hint="eastAsia" w:ascii="宋体" w:hAnsi="宋体" w:cs="宋体"/>
                <w:color w:val="FF0000"/>
                <w:sz w:val="21"/>
                <w:szCs w:val="21"/>
                <w:highlight w:val="none"/>
                <w:u w:val="single"/>
                <w:lang w:val="en-US" w:eastAsia="zh-CN"/>
              </w:rPr>
              <w:t>0</w:t>
            </w:r>
            <w:r>
              <w:rPr>
                <w:rFonts w:hint="eastAsia" w:ascii="宋体" w:hAnsi="宋体" w:eastAsia="宋体" w:cs="宋体"/>
                <w:color w:val="FF0000"/>
                <w:sz w:val="21"/>
                <w:szCs w:val="21"/>
                <w:highlight w:val="none"/>
                <w:u w:val="single"/>
              </w:rPr>
              <w:t xml:space="preserve"> </w:t>
            </w:r>
            <w:r>
              <w:rPr>
                <w:rFonts w:hint="eastAsia" w:ascii="宋体" w:hAnsi="宋体" w:eastAsia="宋体" w:cs="宋体"/>
                <w:color w:val="FF0000"/>
                <w:sz w:val="21"/>
                <w:szCs w:val="21"/>
                <w:highlight w:val="none"/>
              </w:rPr>
              <w:t>项。</w:t>
            </w:r>
          </w:p>
        </w:tc>
      </w:tr>
      <w:tr w14:paraId="76C57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B166E3A">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28.1</w:t>
            </w:r>
          </w:p>
        </w:tc>
        <w:tc>
          <w:tcPr>
            <w:tcW w:w="7912" w:type="dxa"/>
            <w:vAlign w:val="center"/>
          </w:tcPr>
          <w:p w14:paraId="0CFE0327">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本项目不收取履约保证金。</w:t>
            </w:r>
          </w:p>
          <w:p w14:paraId="2987A4D4">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eastAsia="宋体" w:cs="宋体"/>
                <w:color w:val="auto"/>
                <w:sz w:val="21"/>
                <w:szCs w:val="21"/>
              </w:rPr>
              <w:t>本项目收取履约保证金，具体规定如下：</w:t>
            </w:r>
          </w:p>
          <w:p w14:paraId="3ECA8977">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履约保证金金额：按成交金额的</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372B28A7">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rPr>
            </w:pPr>
            <w:r>
              <w:rPr>
                <w:rFonts w:hint="eastAsia" w:ascii="宋体" w:hAnsi="宋体" w:eastAsia="宋体" w:cs="宋体"/>
                <w:color w:val="auto"/>
                <w:sz w:val="21"/>
                <w:szCs w:val="21"/>
              </w:rPr>
              <w:t>履约保证金提交方式：银行转账、支票、汇票、本票或者银行、保险机构出具的保函等非现金方式。</w:t>
            </w:r>
          </w:p>
          <w:p w14:paraId="49031BD1">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u w:val="single"/>
              </w:rPr>
            </w:pPr>
            <w:r>
              <w:rPr>
                <w:rFonts w:hint="eastAsia" w:ascii="宋体" w:hAnsi="宋体" w:eastAsia="宋体" w:cs="宋体"/>
                <w:color w:val="auto"/>
                <w:sz w:val="21"/>
                <w:szCs w:val="21"/>
              </w:rPr>
              <w:t>履约保证金退付方式、时间及条件：</w:t>
            </w:r>
            <w:r>
              <w:rPr>
                <w:rFonts w:hint="eastAsia" w:ascii="宋体" w:hAnsi="宋体" w:eastAsia="宋体" w:cs="宋体"/>
                <w:color w:val="auto"/>
                <w:sz w:val="21"/>
                <w:szCs w:val="21"/>
                <w:u w:val="single"/>
              </w:rPr>
              <w:t>保证金收取单位在收到合格材料后退还。</w:t>
            </w:r>
          </w:p>
          <w:p w14:paraId="2B7825CA">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rPr>
            </w:pPr>
            <w:r>
              <w:rPr>
                <w:rFonts w:hint="eastAsia" w:ascii="宋体" w:hAnsi="宋体" w:eastAsia="宋体" w:cs="宋体"/>
                <w:color w:val="auto"/>
                <w:sz w:val="21"/>
                <w:szCs w:val="21"/>
              </w:rPr>
              <w:t>如：由成交供应商向履约保证金收取单位提供《广西壮族自治区政府采购项目合同验收书》（详见桂财采〔2015〕22号），保证金收取单位在收到合格材料后5个工作日内办理退还手续（不计利息）。</w:t>
            </w:r>
          </w:p>
          <w:p w14:paraId="3F804DC9">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rPr>
            </w:pPr>
            <w:r>
              <w:rPr>
                <w:rFonts w:hint="eastAsia" w:ascii="宋体" w:hAnsi="宋体" w:eastAsia="宋体" w:cs="宋体"/>
                <w:color w:val="auto"/>
                <w:sz w:val="21"/>
                <w:szCs w:val="21"/>
              </w:rPr>
              <w:t>履约保证金指定账户：</w:t>
            </w:r>
          </w:p>
          <w:p w14:paraId="138A4116">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rPr>
            </w:pPr>
            <w:r>
              <w:rPr>
                <w:rFonts w:hint="eastAsia" w:ascii="宋体" w:hAnsi="宋体" w:eastAsia="宋体" w:cs="宋体"/>
                <w:color w:val="auto"/>
                <w:sz w:val="21"/>
                <w:szCs w:val="21"/>
              </w:rPr>
              <w:t>开户名称：</w:t>
            </w:r>
          </w:p>
          <w:p w14:paraId="41923112">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p w14:paraId="6D8F410B">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p w14:paraId="7D08D4C5">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rPr>
            </w:pPr>
            <w:r>
              <w:rPr>
                <w:rFonts w:hint="eastAsia" w:ascii="宋体" w:hAnsi="宋体" w:eastAsia="宋体" w:cs="宋体"/>
                <w:color w:val="auto"/>
                <w:sz w:val="21"/>
                <w:szCs w:val="21"/>
              </w:rPr>
              <w:t>备注：</w:t>
            </w:r>
          </w:p>
          <w:p w14:paraId="3DD6517A">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bookmarkStart w:id="60" w:name="_Hlk54170335"/>
            <w:r>
              <w:rPr>
                <w:rFonts w:hint="eastAsia" w:ascii="宋体" w:hAnsi="宋体" w:eastAsia="宋体" w:cs="宋体"/>
                <w:b/>
                <w:color w:val="000000" w:themeColor="text1"/>
                <w:sz w:val="21"/>
                <w:szCs w:val="21"/>
                <w14:textFill>
                  <w14:solidFill>
                    <w14:schemeClr w14:val="tx1"/>
                  </w14:solidFill>
                </w14:textFill>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60"/>
          </w:p>
          <w:p w14:paraId="04033601">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2.履约保证金不足额缴纳的，或者银行、保险机构出具的保函额度不足的或者保函有效期低于合同履行期限（即签订采购合同之日起至履行完合同约定的权利及义务之日止）的，不予签订合同。</w:t>
            </w:r>
          </w:p>
          <w:p w14:paraId="4B30FD19">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3.采用银行、保险机构出具的保函的，必须为无条件保函，否则不予签订合同。</w:t>
            </w:r>
          </w:p>
          <w:p w14:paraId="289F1105">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4.供应商为联合体的，由联合体任意一方按规定提交的履约保证金，视为有效履约保证金。</w:t>
            </w:r>
          </w:p>
        </w:tc>
      </w:tr>
      <w:tr w14:paraId="08AAD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5C2F94C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29.1</w:t>
            </w:r>
          </w:p>
        </w:tc>
        <w:tc>
          <w:tcPr>
            <w:tcW w:w="7912" w:type="dxa"/>
            <w:vAlign w:val="center"/>
          </w:tcPr>
          <w:p w14:paraId="5DBD71CD">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签订合同携带的证明材料：</w:t>
            </w:r>
          </w:p>
          <w:p w14:paraId="14A6A9C0">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委托代理人负责签订合同的，须携带授权委托书及委托代理人身份证原件等其他资格证件。</w:t>
            </w:r>
          </w:p>
          <w:p w14:paraId="162F1642">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法定代表人负责签订合同的，须携带法定代表人身份证明原件及身份证原件等其他证明材料。</w:t>
            </w:r>
          </w:p>
        </w:tc>
      </w:tr>
      <w:tr w14:paraId="599F4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061EA28">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31.2</w:t>
            </w:r>
          </w:p>
        </w:tc>
        <w:tc>
          <w:tcPr>
            <w:tcW w:w="7912" w:type="dxa"/>
            <w:vAlign w:val="center"/>
          </w:tcPr>
          <w:p w14:paraId="683E7BE0">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接收质疑函方式：以书面形式。</w:t>
            </w:r>
          </w:p>
          <w:p w14:paraId="08A7E021">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质疑联系部门及联系方式：</w:t>
            </w:r>
            <w:r>
              <w:rPr>
                <w:rFonts w:hint="eastAsia" w:hAnsi="宋体" w:cs="宋体"/>
                <w:color w:val="000000" w:themeColor="text1"/>
                <w:kern w:val="2"/>
                <w:sz w:val="21"/>
                <w:szCs w:val="21"/>
                <w:u w:val="single"/>
                <w:lang w:eastAsia="zh-CN"/>
                <w14:textFill>
                  <w14:solidFill>
                    <w14:schemeClr w14:val="tx1"/>
                  </w14:solidFill>
                </w14:textFill>
              </w:rPr>
              <w:t>广西汉昌工程咨询有限公司</w:t>
            </w:r>
            <w:r>
              <w:rPr>
                <w:rFonts w:hint="eastAsia" w:ascii="宋体" w:hAnsi="宋体" w:eastAsia="宋体" w:cs="宋体"/>
                <w:color w:val="000000" w:themeColor="text1"/>
                <w:kern w:val="2"/>
                <w:sz w:val="21"/>
                <w:szCs w:val="21"/>
                <w14:textFill>
                  <w14:solidFill>
                    <w14:schemeClr w14:val="tx1"/>
                  </w14:solidFill>
                </w14:textFill>
              </w:rPr>
              <w:t>，联系电话：</w:t>
            </w:r>
            <w:r>
              <w:rPr>
                <w:rFonts w:hint="eastAsia" w:hAnsi="宋体" w:cs="宋体"/>
                <w:color w:val="000000" w:themeColor="text1"/>
                <w:kern w:val="2"/>
                <w:sz w:val="21"/>
                <w:szCs w:val="21"/>
                <w:lang w:eastAsia="zh-CN"/>
                <w14:textFill>
                  <w14:solidFill>
                    <w14:schemeClr w14:val="tx1"/>
                  </w14:solidFill>
                </w14:textFill>
              </w:rPr>
              <w:t>0771-5718293</w:t>
            </w:r>
            <w:r>
              <w:rPr>
                <w:rFonts w:hint="eastAsia" w:ascii="宋体" w:hAnsi="宋体" w:eastAsia="宋体" w:cs="宋体"/>
                <w:color w:val="000000" w:themeColor="text1"/>
                <w:kern w:val="2"/>
                <w:sz w:val="21"/>
                <w:szCs w:val="21"/>
                <w14:textFill>
                  <w14:solidFill>
                    <w14:schemeClr w14:val="tx1"/>
                  </w14:solidFill>
                </w14:textFill>
              </w:rPr>
              <w:t>，通讯地址：</w:t>
            </w:r>
            <w:r>
              <w:rPr>
                <w:rFonts w:hint="eastAsia" w:hAnsi="宋体" w:cs="宋体"/>
                <w:color w:val="000000" w:themeColor="text1"/>
                <w:kern w:val="2"/>
                <w:sz w:val="21"/>
                <w:szCs w:val="21"/>
                <w:lang w:eastAsia="zh-CN"/>
                <w14:textFill>
                  <w14:solidFill>
                    <w14:schemeClr w14:val="tx1"/>
                  </w14:solidFill>
                </w14:textFill>
              </w:rPr>
              <w:t>南宁市青秀区仙葫大道16号鼎丰广场A座11楼HC区域</w:t>
            </w:r>
          </w:p>
          <w:p w14:paraId="2C29DCAC">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业务时间：工作日每天上午</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时</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0分到12时00分，下午1</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时</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0分到17时</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0分。</w:t>
            </w:r>
          </w:p>
        </w:tc>
      </w:tr>
      <w:tr w14:paraId="67585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AA2E1A0">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32.1</w:t>
            </w:r>
          </w:p>
        </w:tc>
        <w:tc>
          <w:tcPr>
            <w:tcW w:w="7912" w:type="dxa"/>
            <w:vAlign w:val="center"/>
          </w:tcPr>
          <w:p w14:paraId="75B3601E">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1.采购代理费支付方式：</w:t>
            </w:r>
          </w:p>
          <w:p w14:paraId="24C00C13">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☑本项目代理服务费按如下规定由</w:t>
            </w:r>
            <w:r>
              <w:rPr>
                <w:rFonts w:hint="eastAsia" w:ascii="宋体" w:hAnsi="宋体" w:eastAsia="宋体" w:cs="宋体"/>
                <w:color w:val="000000" w:themeColor="text1"/>
                <w:sz w:val="21"/>
                <w:szCs w:val="21"/>
                <w:u w:val="single"/>
                <w14:textFill>
                  <w14:solidFill>
                    <w14:schemeClr w14:val="tx1"/>
                  </w14:solidFill>
                </w14:textFill>
              </w:rPr>
              <w:t>成交供应商</w:t>
            </w:r>
            <w:r>
              <w:rPr>
                <w:rFonts w:hint="eastAsia" w:ascii="宋体" w:hAnsi="宋体" w:eastAsia="宋体" w:cs="宋体"/>
                <w:color w:val="000000" w:themeColor="text1"/>
                <w:sz w:val="21"/>
                <w:szCs w:val="21"/>
                <w14:textFill>
                  <w14:solidFill>
                    <w14:schemeClr w14:val="tx1"/>
                  </w14:solidFill>
                </w14:textFill>
              </w:rPr>
              <w:t>在领取成交通知书前，一次性向采购代理机构支付。</w:t>
            </w:r>
          </w:p>
          <w:p w14:paraId="788EF0B6">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□采购人支付。</w:t>
            </w:r>
          </w:p>
          <w:p w14:paraId="6D22B4FE">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2.采购代理费收取标准：</w:t>
            </w:r>
          </w:p>
          <w:p w14:paraId="44E6356D">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以分标（</w:t>
            </w:r>
            <w:r>
              <w:rPr>
                <w:rFonts w:hint="eastAsia"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成交金额/</w:t>
            </w:r>
            <w:bookmarkStart w:id="61" w:name="OLE_LINK17"/>
            <w:r>
              <w:rPr>
                <w:rFonts w:hint="eastAsia" w:ascii="宋体" w:hAnsi="宋体" w:eastAsia="宋体" w:cs="宋体"/>
                <w:color w:val="000000" w:themeColor="text1"/>
                <w:sz w:val="21"/>
                <w:szCs w:val="21"/>
                <w14:textFill>
                  <w14:solidFill>
                    <w14:schemeClr w14:val="tx1"/>
                  </w14:solidFill>
                </w14:textFill>
              </w:rPr>
              <w:t>□</w:t>
            </w:r>
            <w:bookmarkEnd w:id="61"/>
            <w:r>
              <w:rPr>
                <w:rFonts w:hint="eastAsia" w:ascii="宋体" w:hAnsi="宋体" w:eastAsia="宋体" w:cs="宋体"/>
                <w:color w:val="000000" w:themeColor="text1"/>
                <w:sz w:val="21"/>
                <w:szCs w:val="21"/>
                <w14:textFill>
                  <w14:solidFill>
                    <w14:schemeClr w14:val="tx1"/>
                  </w14:solidFill>
                </w14:textFill>
              </w:rPr>
              <w:t>采购预算/□暂定成交金额/□其他）为计费额，按本须知正文第35.1条规定的（</w:t>
            </w:r>
            <w:r>
              <w:rPr>
                <w:rFonts w:hint="eastAsia"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货物类/□服务类/□工程类）标准采用差额定率累进法计算出收费基准价格，采购代理收费以（</w:t>
            </w:r>
            <w:r>
              <w:rPr>
                <w:rFonts w:hint="eastAsia"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收费基准价格/</w:t>
            </w:r>
            <w:r>
              <w:rPr>
                <w:rFonts w:hint="eastAsia"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收费基准价格下浮</w:t>
            </w:r>
            <w:r>
              <w:rPr>
                <w:rFonts w:hint="eastAsia" w:hAnsi="宋体" w:cs="宋体"/>
                <w:color w:val="000000" w:themeColor="text1"/>
                <w:sz w:val="21"/>
                <w:szCs w:val="21"/>
                <w:u w:val="single"/>
                <w:lang w:val="en-US" w:eastAsia="zh-CN"/>
                <w14:textFill>
                  <w14:solidFill>
                    <w14:schemeClr w14:val="tx1"/>
                  </w14:solidFill>
                </w14:textFill>
              </w:rPr>
              <w:t>20</w:t>
            </w:r>
            <w:r>
              <w:rPr>
                <w:rFonts w:hint="eastAsia" w:ascii="宋体" w:hAnsi="宋体" w:eastAsia="宋体" w:cs="宋体"/>
                <w:color w:val="000000" w:themeColor="text1"/>
                <w:sz w:val="21"/>
                <w:szCs w:val="21"/>
                <w:u w:val="single"/>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/□收费基准价格上浮</w:t>
            </w:r>
            <w:r>
              <w:rPr>
                <w:rFonts w:hint="eastAsia" w:ascii="宋体" w:hAnsi="宋体" w:eastAsia="宋体" w:cs="宋体"/>
                <w:color w:val="000000" w:themeColor="text1"/>
                <w:sz w:val="21"/>
                <w:szCs w:val="21"/>
                <w:u w:val="single"/>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）收取。</w:t>
            </w:r>
          </w:p>
          <w:p w14:paraId="30472824">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u w:val="single"/>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固定采购代理收费。</w:t>
            </w:r>
          </w:p>
          <w:p w14:paraId="6587CBD1">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3.采购代理费收取银行账户</w:t>
            </w:r>
          </w:p>
          <w:p w14:paraId="39806532">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开户名称：</w:t>
            </w:r>
            <w:r>
              <w:rPr>
                <w:rFonts w:hint="eastAsia" w:hAnsi="宋体" w:cs="宋体"/>
                <w:color w:val="000000" w:themeColor="text1"/>
                <w:sz w:val="21"/>
                <w:szCs w:val="21"/>
                <w:lang w:eastAsia="zh-CN"/>
                <w14:textFill>
                  <w14:solidFill>
                    <w14:schemeClr w14:val="tx1"/>
                  </w14:solidFill>
                </w14:textFill>
              </w:rPr>
              <w:t>广西汉昌工程咨询有限公司南宁第十八分公司</w:t>
            </w:r>
          </w:p>
          <w:p w14:paraId="09944963">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开户银行：</w:t>
            </w:r>
            <w:r>
              <w:rPr>
                <w:rFonts w:hint="eastAsia" w:hAnsi="宋体" w:cs="宋体"/>
                <w:color w:val="000000" w:themeColor="text1"/>
                <w:sz w:val="21"/>
                <w:szCs w:val="21"/>
                <w:lang w:eastAsia="zh-CN"/>
                <w14:textFill>
                  <w14:solidFill>
                    <w14:schemeClr w14:val="tx1"/>
                  </w14:solidFill>
                </w14:textFill>
              </w:rPr>
              <w:t>招商银行股份有限公司南宁分行</w:t>
            </w:r>
          </w:p>
          <w:p w14:paraId="41AA04A0">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u w:val="single"/>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银行账号：</w:t>
            </w:r>
            <w:r>
              <w:rPr>
                <w:rFonts w:hint="eastAsia" w:hAnsi="宋体" w:cs="宋体"/>
                <w:color w:val="000000" w:themeColor="text1"/>
                <w:sz w:val="21"/>
                <w:szCs w:val="21"/>
                <w:lang w:eastAsia="zh-CN"/>
                <w14:textFill>
                  <w14:solidFill>
                    <w14:schemeClr w14:val="tx1"/>
                  </w14:solidFill>
                </w14:textFill>
              </w:rPr>
              <w:t>771903123610828</w:t>
            </w:r>
          </w:p>
        </w:tc>
      </w:tr>
      <w:tr w14:paraId="5F6BA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B67C18D">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33.1</w:t>
            </w:r>
          </w:p>
        </w:tc>
        <w:tc>
          <w:tcPr>
            <w:tcW w:w="7912" w:type="dxa"/>
            <w:vAlign w:val="center"/>
          </w:tcPr>
          <w:p w14:paraId="2D8A0C7B">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解释：构成本谈判文件的各个组成文件应互为解释，互为说明；除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14:paraId="460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040B8888">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33.2</w:t>
            </w:r>
          </w:p>
        </w:tc>
        <w:tc>
          <w:tcPr>
            <w:tcW w:w="7912" w:type="dxa"/>
            <w:vAlign w:val="center"/>
          </w:tcPr>
          <w:p w14:paraId="321AFA0B">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21258C07">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2.本谈判文件所称的“</w:t>
            </w:r>
            <w:r>
              <w:rPr>
                <w:rFonts w:hint="eastAsia" w:ascii="宋体" w:hAnsi="宋体" w:eastAsia="宋体" w:cs="宋体"/>
                <w:color w:val="000000" w:themeColor="text1"/>
                <w:sz w:val="21"/>
                <w:szCs w:val="21"/>
                <w14:textFill>
                  <w14:solidFill>
                    <w14:schemeClr w14:val="tx1"/>
                  </w14:solidFill>
                </w14:textFill>
              </w:rPr>
              <w:t>电子签章</w:t>
            </w:r>
            <w:r>
              <w:rPr>
                <w:rFonts w:hint="eastAsia" w:ascii="宋体" w:hAnsi="宋体" w:eastAsia="宋体" w:cs="宋体"/>
                <w:bCs/>
                <w:color w:val="000000" w:themeColor="text1"/>
                <w:sz w:val="21"/>
                <w:szCs w:val="21"/>
                <w14:textFill>
                  <w14:solidFill>
                    <w14:schemeClr w14:val="tx1"/>
                  </w14:solidFill>
                </w14:textFill>
              </w:rPr>
              <w:t>”、“电子签名”</w:t>
            </w:r>
            <w:r>
              <w:rPr>
                <w:rFonts w:hint="eastAsia" w:ascii="宋体" w:hAnsi="宋体" w:eastAsia="宋体" w:cs="宋体"/>
                <w:color w:val="000000" w:themeColor="text1"/>
                <w:sz w:val="21"/>
                <w:szCs w:val="21"/>
                <w14:textFill>
                  <w14:solidFill>
                    <w14:schemeClr w14:val="tx1"/>
                  </w14:solidFill>
                </w14:textFill>
              </w:rPr>
              <w:t>，是指经</w:t>
            </w:r>
            <w:r>
              <w:rPr>
                <w:rFonts w:hint="eastAsia" w:hAnsi="宋体" w:cs="宋体"/>
                <w:color w:val="000000" w:themeColor="text1"/>
                <w:sz w:val="21"/>
                <w:szCs w:val="21"/>
                <w:lang w:eastAsia="zh-CN"/>
                <w14:textFill>
                  <w14:solidFill>
                    <w14:schemeClr w14:val="tx1"/>
                  </w14:solidFill>
                </w14:textFill>
              </w:rPr>
              <w:t>广西政府采购云平台</w:t>
            </w:r>
            <w:r>
              <w:rPr>
                <w:rFonts w:hint="eastAsia" w:ascii="宋体" w:hAnsi="宋体" w:eastAsia="宋体" w:cs="宋体"/>
                <w:color w:val="000000" w:themeColor="text1"/>
                <w:sz w:val="21"/>
                <w:szCs w:val="21"/>
                <w14:textFill>
                  <w14:solidFill>
                    <w14:schemeClr w14:val="tx1"/>
                  </w14:solidFill>
                </w14:textFill>
              </w:rPr>
              <w:t>认可的CA认证的电子签名数据为表现形式的印章，可用于签署电子响应文件，电子印章与实物印章具有同等法律效力，不因其采用电子化表现形式而否定其法律效力。</w:t>
            </w:r>
          </w:p>
          <w:p w14:paraId="04881196">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3.供应商为其他组织或者自然人时，本谈判文件规定的法定代表人指负责人或者自然人。本谈判文件所称负责人是指参加竞标的其他组织</w:t>
            </w:r>
            <w:r>
              <w:rPr>
                <w:rFonts w:hint="eastAsia" w:ascii="宋体" w:hAnsi="宋体" w:eastAsia="宋体" w:cs="宋体"/>
                <w:bCs/>
                <w:color w:val="000000" w:themeColor="text1"/>
                <w:sz w:val="21"/>
                <w:szCs w:val="21"/>
                <w14:textFill>
                  <w14:solidFill>
                    <w14:schemeClr w14:val="tx1"/>
                  </w14:solidFill>
                </w14:textFill>
              </w:rPr>
              <w:t>营业执照或者执业许可证等证照上</w:t>
            </w:r>
            <w:r>
              <w:rPr>
                <w:rFonts w:hint="eastAsia" w:ascii="宋体" w:hAnsi="宋体" w:eastAsia="宋体" w:cs="宋体"/>
                <w:color w:val="000000" w:themeColor="text1"/>
                <w:sz w:val="21"/>
                <w:szCs w:val="21"/>
                <w14:textFill>
                  <w14:solidFill>
                    <w14:schemeClr w14:val="tx1"/>
                  </w14:solidFill>
                </w14:textFill>
              </w:rPr>
              <w:t>的负责人，本谈判文件所称自然人指参与竞标的自然人本人，</w:t>
            </w:r>
            <w:r>
              <w:rPr>
                <w:rFonts w:hint="eastAsia" w:ascii="宋体" w:hAnsi="宋体" w:eastAsia="宋体" w:cs="宋体"/>
                <w:bCs/>
                <w:color w:val="000000" w:themeColor="text1"/>
                <w:sz w:val="21"/>
                <w:szCs w:val="21"/>
                <w14:textFill>
                  <w14:solidFill>
                    <w14:schemeClr w14:val="tx1"/>
                  </w14:solidFill>
                </w14:textFill>
              </w:rPr>
              <w:t>且应具备独立承担民事责任能力，自然人应当为年满18岁以上成年人（十六周岁以上的未成年人，以自己的劳动收入为主要生活来源的，视为完全民事行为能力人）。</w:t>
            </w:r>
          </w:p>
          <w:p w14:paraId="38595BF3">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4.本谈判文件中描述供应商的“签字”是指供应商的法定代表人或者委托代理人亲自在文件规定签署处亲笔写上个人的名字的行为，私章、签字章、印鉴、影印等其他形式均不能代替亲笔签字。</w:t>
            </w:r>
          </w:p>
          <w:p w14:paraId="47244A00">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5.本谈判文件所称的“以上”“以下”“以内”“届满”，包括本数；所称的“不满”“超过”“以外”，不包括本数。</w:t>
            </w:r>
          </w:p>
        </w:tc>
      </w:tr>
    </w:tbl>
    <w:p w14:paraId="5F1C7FE4">
      <w:pPr>
        <w:spacing w:line="40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r>
        <w:rPr>
          <w:rFonts w:hint="eastAsia" w:ascii="宋体" w:hAnsi="宋体" w:eastAsia="宋体" w:cs="宋体"/>
          <w:b/>
          <w:color w:val="000000" w:themeColor="text1"/>
          <w:sz w:val="32"/>
          <w:szCs w:val="32"/>
          <w14:textFill>
            <w14:solidFill>
              <w14:schemeClr w14:val="tx1"/>
            </w14:solidFill>
          </w14:textFill>
        </w:rPr>
        <w:t>供应商须知正文</w:t>
      </w:r>
    </w:p>
    <w:p w14:paraId="153E442F">
      <w:pPr>
        <w:spacing w:line="400" w:lineRule="exact"/>
        <w:jc w:val="center"/>
        <w:rPr>
          <w:rFonts w:hint="eastAsia" w:ascii="宋体" w:hAnsi="宋体" w:eastAsia="宋体" w:cs="宋体"/>
          <w:b/>
          <w:color w:val="000000" w:themeColor="text1"/>
          <w:sz w:val="32"/>
          <w:szCs w:val="32"/>
          <w14:textFill>
            <w14:solidFill>
              <w14:schemeClr w14:val="tx1"/>
            </w14:solidFill>
          </w14:textFill>
        </w:rPr>
      </w:pPr>
    </w:p>
    <w:p w14:paraId="6DFB56CE">
      <w:pPr>
        <w:spacing w:line="40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一、总则</w:t>
      </w:r>
    </w:p>
    <w:p w14:paraId="25A75D5A">
      <w:pPr>
        <w:spacing w:line="400" w:lineRule="exact"/>
        <w:rPr>
          <w:rFonts w:hint="eastAsia" w:ascii="宋体" w:hAnsi="宋体" w:eastAsia="宋体" w:cs="宋体"/>
          <w:color w:val="000000" w:themeColor="text1"/>
          <w:szCs w:val="21"/>
          <w14:textFill>
            <w14:solidFill>
              <w14:schemeClr w14:val="tx1"/>
            </w14:solidFill>
          </w14:textFill>
        </w:rPr>
      </w:pPr>
    </w:p>
    <w:p w14:paraId="6E5D1A7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1.适用范围</w:t>
      </w:r>
    </w:p>
    <w:p w14:paraId="7BC4E3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54718D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r>
        <w:rPr>
          <w:rFonts w:hint="eastAsia" w:ascii="宋体" w:hAnsi="宋体" w:eastAsia="宋体" w:cs="宋体"/>
          <w:color w:val="000000" w:themeColor="text1"/>
          <w:spacing w:val="-6"/>
          <w:szCs w:val="21"/>
          <w14:textFill>
            <w14:solidFill>
              <w14:schemeClr w14:val="tx1"/>
            </w14:solidFill>
          </w14:textFill>
        </w:rPr>
        <w:t>本竞争性谈判文件（以下简称谈判文件）适用于本项目的所有采购程序和环节（法律、法规另有规定的，从其规定）。</w:t>
      </w:r>
    </w:p>
    <w:p w14:paraId="1F356E2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2.定义</w:t>
      </w:r>
    </w:p>
    <w:p w14:paraId="77AF090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2.1“采购人”是指依法进行采购的国家机关、事业单位、团体组织。</w:t>
      </w:r>
    </w:p>
    <w:p w14:paraId="26C98CC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2.2“采购代理机构”是指政府采购集中采购机构和集中采购机构以外的采购代理机构。</w:t>
      </w:r>
    </w:p>
    <w:p w14:paraId="79090C2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2.3“供应商”是指向采购人提供货物、工程或者服务的法人、其他组织或者自然人。</w:t>
      </w:r>
    </w:p>
    <w:p w14:paraId="7008BBB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2.4“货物”是指各种形态和种类的物品，包括原材料、燃料、设备、产品等。</w:t>
      </w:r>
    </w:p>
    <w:p w14:paraId="7D9DE99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2.5“竞标”是指按照本项目竞争性谈判公告或者邀请函规定的方式供应商获取谈判文件、提交响应文件并希望获得标的的行为。</w:t>
      </w:r>
    </w:p>
    <w:p w14:paraId="28C92A5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2.6“售后服务”是指包含但不限于供应商须承担的备品备件、包装、运输、装卸、保险、货到就位以及安装、调试、培训、保修和其他类似的义务。</w:t>
      </w:r>
    </w:p>
    <w:p w14:paraId="5EC3BF6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2.7“书面形式”是指合同书、信件和数据电文（包括电报、电传、传真、电子数据交换和电子邮件）等可以有形地表现所载内容的形式。</w:t>
      </w:r>
    </w:p>
    <w:p w14:paraId="182E2CC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2.8“响应文件”</w:t>
      </w:r>
      <w:r>
        <w:rPr>
          <w:rFonts w:hint="eastAsia" w:ascii="宋体" w:hAnsi="宋体" w:eastAsia="宋体" w:cs="宋体"/>
          <w:color w:val="000000" w:themeColor="text1"/>
          <w:spacing w:val="-6"/>
          <w:szCs w:val="21"/>
          <w14:textFill>
            <w14:solidFill>
              <w14:schemeClr w14:val="tx1"/>
            </w14:solidFill>
          </w14:textFill>
        </w:rPr>
        <w:t>是指：供应商根据本谈判文件要求，编制包含资格证明、报价、商务技术等所有内容的文件。</w:t>
      </w:r>
    </w:p>
    <w:p w14:paraId="16F8614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2.9“实质性要求”是指采购需求中带“</w:t>
      </w:r>
      <w:r>
        <w:rPr>
          <w:rFonts w:hint="eastAsia" w:ascii="宋体" w:hAnsi="宋体" w:eastAsia="宋体" w:cs="宋体"/>
          <w:kern w:val="0"/>
          <w:sz w:val="21"/>
          <w:szCs w:val="21"/>
          <w:lang w:bidi="ar"/>
        </w:rPr>
        <w:t>▲</w:t>
      </w:r>
      <w:r>
        <w:rPr>
          <w:rFonts w:hint="eastAsia" w:ascii="宋体" w:hAnsi="宋体" w:eastAsia="宋体" w:cs="宋体"/>
          <w:color w:val="000000" w:themeColor="text1"/>
          <w:szCs w:val="21"/>
          <w14:textFill>
            <w14:solidFill>
              <w14:schemeClr w14:val="tx1"/>
            </w14:solidFill>
          </w14:textFill>
        </w:rPr>
        <w:t>”的条款或者不能负偏离的条款或者已经指明不满足按响应文件按无效处理的条款。</w:t>
      </w:r>
    </w:p>
    <w:p w14:paraId="4A87BF9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2.10“正偏离”，是指响应文件对谈判文件“采购需求”中有关条款作出优于条款要求并有利于采购人的响应情形；</w:t>
      </w:r>
    </w:p>
    <w:p w14:paraId="31906D8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2.11“负偏离”，是指响应文件对谈判文件“采购需求”中有关条款作出的响应不满足条款要求，导致采购人要求不能得到满足的情形。</w:t>
      </w:r>
    </w:p>
    <w:p w14:paraId="697B171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2.12“允许负偏离的条款”是指采购需求中的不属于“实质性要求”的条款。</w:t>
      </w:r>
    </w:p>
    <w:p w14:paraId="28A5BBC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2.13“首次报价”是指供应商提交的首次响应文件中的竞标报价。</w:t>
      </w:r>
    </w:p>
    <w:p w14:paraId="1C114A9B">
      <w:pPr>
        <w:keepNext w:val="0"/>
        <w:keepLines w:val="0"/>
        <w:pageBreakBefore w:val="0"/>
        <w:widowControl w:val="0"/>
        <w:kinsoku/>
        <w:wordWrap/>
        <w:overflowPunct/>
        <w:topLinePunct w:val="0"/>
        <w:autoSpaceDE/>
        <w:autoSpaceDN/>
        <w:bidi w:val="0"/>
        <w:spacing w:line="400" w:lineRule="exact"/>
        <w:ind w:firstLine="482" w:firstLineChars="200"/>
        <w:contextualSpacing/>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3.供应商的资格条件</w:t>
      </w:r>
    </w:p>
    <w:p w14:paraId="41797631">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供应商的资格条件详见“供应商须知前附表”。</w:t>
      </w:r>
    </w:p>
    <w:p w14:paraId="4623C33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4.竞标费用</w:t>
      </w:r>
    </w:p>
    <w:p w14:paraId="212BC97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竞标费用：供应商应承担参与本次采购活动有关的所有费用，包括但不限于获取谈判文件、勘查现场、编制和提交响应文件、参加谈判与应答、签订合同等，不论竞标结果如何，均应自行承担。</w:t>
      </w:r>
    </w:p>
    <w:p w14:paraId="3295E76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5.联合体竞标</w:t>
      </w:r>
    </w:p>
    <w:p w14:paraId="254192D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5.1本项目是否接受联合体竞标，详见“供应商须知前附表”。</w:t>
      </w:r>
    </w:p>
    <w:p w14:paraId="45579EB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5.2</w:t>
      </w:r>
      <w:r>
        <w:rPr>
          <w:rFonts w:hint="eastAsia" w:ascii="宋体" w:hAnsi="宋体" w:eastAsia="宋体" w:cs="宋体"/>
          <w:bCs/>
          <w:color w:val="000000" w:themeColor="text1"/>
          <w:szCs w:val="21"/>
          <w14:textFill>
            <w14:solidFill>
              <w14:schemeClr w14:val="tx1"/>
            </w14:solidFill>
          </w14:textFill>
        </w:rPr>
        <w:t>如接受联合体竞标，</w:t>
      </w:r>
      <w:r>
        <w:rPr>
          <w:rFonts w:hint="eastAsia" w:ascii="宋体" w:hAnsi="宋体" w:eastAsia="宋体" w:cs="宋体"/>
          <w:color w:val="000000" w:themeColor="text1"/>
          <w:szCs w:val="21"/>
          <w14:textFill>
            <w14:solidFill>
              <w14:schemeClr w14:val="tx1"/>
            </w14:solidFill>
          </w14:textFill>
        </w:rPr>
        <w:t>联合体竞标要求详见“供应商须知前附表”。</w:t>
      </w:r>
    </w:p>
    <w:p w14:paraId="49159D4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5.3</w:t>
      </w:r>
      <w:bookmarkStart w:id="62" w:name="_Hlk65857072"/>
      <w:r>
        <w:rPr>
          <w:rFonts w:hint="eastAsia" w:ascii="宋体" w:hAnsi="宋体" w:eastAsia="宋体" w:cs="宋体"/>
          <w:color w:val="000000" w:themeColor="text1"/>
          <w:szCs w:val="21"/>
          <w14:textFill>
            <w14:solidFill>
              <w14:schemeClr w14:val="tx1"/>
            </w14:solidFill>
          </w14:textFill>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%的扣除，用扣除后的价格参加评审。</w:t>
      </w:r>
      <w:bookmarkEnd w:id="62"/>
    </w:p>
    <w:p w14:paraId="22044C4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6.转包与分包</w:t>
      </w:r>
    </w:p>
    <w:p w14:paraId="61F5139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bookmarkStart w:id="63" w:name="_Toc254970673"/>
      <w:bookmarkStart w:id="64" w:name="_Toc254970532"/>
      <w:r>
        <w:rPr>
          <w:rFonts w:hint="eastAsia" w:ascii="宋体" w:hAnsi="宋体" w:eastAsia="宋体" w:cs="宋体"/>
          <w:color w:val="000000" w:themeColor="text1"/>
          <w:szCs w:val="21"/>
          <w14:textFill>
            <w14:solidFill>
              <w14:schemeClr w14:val="tx1"/>
            </w14:solidFill>
          </w14:textFill>
        </w:rPr>
        <w:t>6.1本项目不允许转包。</w:t>
      </w:r>
    </w:p>
    <w:p w14:paraId="675869A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9D05BC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592880C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7.特别说明</w:t>
      </w:r>
      <w:bookmarkEnd w:id="63"/>
      <w:bookmarkEnd w:id="64"/>
    </w:p>
    <w:p w14:paraId="7EBCFF3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bookmarkStart w:id="65" w:name="_8.1提供相同品牌产品且通过资格审查、符合性审查的不同投标人参加同一合"/>
      <w:bookmarkEnd w:id="65"/>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\l "_8.1"</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7.1</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2997A83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非单一产品采购项目，多家供应商提供的核心产品品牌相同的，按前款规定处理。</w:t>
      </w:r>
    </w:p>
    <w:p w14:paraId="35B23CE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7.2如果本谈判文件要求提供供应商或制造商的资格、信誉、荣誉、业绩与企业认证等材料的，资格、信誉、荣誉、业绩与企业认证等必须为供应商或者制造商所拥有或自身获得。</w:t>
      </w:r>
    </w:p>
    <w:p w14:paraId="0EE55AC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7.3供应商应仔细阅读谈判文件的所有内容，按照谈判文件的要求提交响应文件，并对所提供的全部资料的真实性承担法律责任。</w:t>
      </w:r>
    </w:p>
    <w:p w14:paraId="3451687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49535FC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7.5在政府采购活动中，采购人员及相关人员与供应商有下列利害关系之一的，应当回避：</w:t>
      </w:r>
    </w:p>
    <w:p w14:paraId="0587437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（1）参加采购活动前3年内与供应商存在劳动关系；</w:t>
      </w:r>
    </w:p>
    <w:p w14:paraId="3A87C4B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（2）参加采购活动前3年内担任供应商的董事、监事；</w:t>
      </w:r>
    </w:p>
    <w:p w14:paraId="2877EC4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（3）参加采购活动前3年内是供应商的控股股东或者实际控制人；</w:t>
      </w:r>
    </w:p>
    <w:p w14:paraId="4649619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（4）与供应商的法定代表人或者负责人有夫妻、直系血亲、三代以内旁系血亲或者近姻亲关系；</w:t>
      </w:r>
    </w:p>
    <w:p w14:paraId="4D75B61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（5）与供应商有其他可能影响政府采购活动公平、公正进行的关系。</w:t>
      </w:r>
    </w:p>
    <w:p w14:paraId="51C0695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660C1B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7.6有下列情形之一的视为供应商相互串通竞标，响应文件将被视为无效：</w:t>
      </w:r>
    </w:p>
    <w:p w14:paraId="69832BE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（1）不同供应商的响应文件由同一单位或者个人编制；</w:t>
      </w:r>
    </w:p>
    <w:p w14:paraId="26F19AA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（2）不同供应商委托同一单位或者个人办理竞标事宜；</w:t>
      </w:r>
    </w:p>
    <w:p w14:paraId="05BAF34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（3）不同的供应商的响应文件载明的项目管理员为同一个人；</w:t>
      </w:r>
    </w:p>
    <w:p w14:paraId="156CEA6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（4）不同供应商的响应文件异常一致或者报价呈规律性差异；</w:t>
      </w:r>
    </w:p>
    <w:p w14:paraId="2598EA6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（5）不同供应商的响应文件相互混装；</w:t>
      </w:r>
    </w:p>
    <w:p w14:paraId="36736AF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（6）不同供应商的竞标保证金从同一单位或者个人账户转出。</w:t>
      </w:r>
    </w:p>
    <w:p w14:paraId="3B8AE20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7.7供应商有下列情形之一的，属于恶意串通行为</w:t>
      </w:r>
      <w:bookmarkStart w:id="66" w:name="_Hlk54682620"/>
      <w:r>
        <w:rPr>
          <w:rFonts w:hint="eastAsia" w:ascii="宋体" w:hAnsi="宋体" w:eastAsia="宋体" w:cs="宋体"/>
          <w:color w:val="000000" w:themeColor="text1"/>
          <w:szCs w:val="21"/>
          <w14:textFill>
            <w14:solidFill>
              <w14:schemeClr w14:val="tx1"/>
            </w14:solidFill>
          </w14:textFill>
        </w:rPr>
        <w:t>，将报同级监督管理部门</w:t>
      </w:r>
      <w:bookmarkEnd w:id="66"/>
      <w:r>
        <w:rPr>
          <w:rFonts w:hint="eastAsia" w:ascii="宋体" w:hAnsi="宋体" w:eastAsia="宋体" w:cs="宋体"/>
          <w:color w:val="000000" w:themeColor="text1"/>
          <w:szCs w:val="21"/>
          <w14:textFill>
            <w14:solidFill>
              <w14:schemeClr w14:val="tx1"/>
            </w14:solidFill>
          </w14:textFill>
        </w:rPr>
        <w:t>：</w:t>
      </w:r>
    </w:p>
    <w:p w14:paraId="271AB7E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（1）供应商直接或者间接从采购人或者采购代理机构处获得其他供应商的相关信息并修改其响应文件；</w:t>
      </w:r>
    </w:p>
    <w:p w14:paraId="0C200E1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（2）供应商按照采购人或者采购代理机构的授意撤换、修改响应文件；</w:t>
      </w:r>
    </w:p>
    <w:p w14:paraId="2090690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（3）供应商之间协商报价、技术方案等响应文件或者响应文件的实质性内容；</w:t>
      </w:r>
    </w:p>
    <w:p w14:paraId="1A301F9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（4）属于同一集团、协会、商会等组织成员的供应商按照该组织要求协同参加政府采购活动；</w:t>
      </w:r>
    </w:p>
    <w:p w14:paraId="4915763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4FD6300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（6）供应商之间商定部分供应商放弃参加政府采购活动或者放弃成交；</w:t>
      </w:r>
    </w:p>
    <w:p w14:paraId="09CCFEF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（7）供应商与采购人或者采购代理机构之间、供应商相互之间，为谋求特定供应商成交或者排斥其他供应商的其他串通行为。</w:t>
      </w:r>
    </w:p>
    <w:p w14:paraId="01CEBD05">
      <w:pPr>
        <w:keepNext w:val="0"/>
        <w:keepLines w:val="0"/>
        <w:pageBreakBefore w:val="0"/>
        <w:widowControl w:val="0"/>
        <w:kinsoku/>
        <w:wordWrap/>
        <w:overflowPunct/>
        <w:topLinePunct w:val="0"/>
        <w:autoSpaceDE/>
        <w:autoSpaceDN/>
        <w:bidi w:val="0"/>
        <w:spacing w:line="400" w:lineRule="exact"/>
        <w:ind w:left="1" w:firstLine="417" w:firstLineChars="199"/>
        <w:jc w:val="center"/>
        <w:textAlignment w:val="auto"/>
        <w:rPr>
          <w:rFonts w:hint="eastAsia" w:ascii="宋体" w:hAnsi="宋体" w:eastAsia="宋体" w:cs="宋体"/>
          <w:color w:val="000000" w:themeColor="text1"/>
          <w14:textFill>
            <w14:solidFill>
              <w14:schemeClr w14:val="tx1"/>
            </w14:solidFill>
          </w14:textFill>
        </w:rPr>
      </w:pPr>
      <w:bookmarkStart w:id="67" w:name="_Toc254970675"/>
      <w:bookmarkStart w:id="68" w:name="_Toc254970534"/>
    </w:p>
    <w:p w14:paraId="2B8FA2D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二、谈判文件</w:t>
      </w:r>
      <w:bookmarkEnd w:id="67"/>
      <w:bookmarkEnd w:id="68"/>
    </w:p>
    <w:p w14:paraId="6CBFAD3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p w14:paraId="6655058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8.谈判文件的构成</w:t>
      </w:r>
    </w:p>
    <w:p w14:paraId="41A33585">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（1）竞争性谈判公告/竞标邀请函；</w:t>
      </w:r>
    </w:p>
    <w:p w14:paraId="72DCDC3B">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（2）供应商须知；</w:t>
      </w:r>
    </w:p>
    <w:p w14:paraId="43F5C27B">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（3）采购需求；</w:t>
      </w:r>
    </w:p>
    <w:p w14:paraId="4F9D3C68">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（4）响应文件格式</w:t>
      </w:r>
    </w:p>
    <w:p w14:paraId="19C9CAAF">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（5）合同文本；</w:t>
      </w:r>
    </w:p>
    <w:p w14:paraId="496E1BFE">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（6）评审程序和评定成交的标准；</w:t>
      </w:r>
    </w:p>
    <w:p w14:paraId="691D2A5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9.供应商的询问</w:t>
      </w:r>
    </w:p>
    <w:p w14:paraId="791D0B4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供应商应认真阅读谈判文件的采购需求，如供应商对谈判文件有疑问的，如要求采购人作出澄清或者修改的，供应商尽可能在提交首次响应文件截止之日前，以书面形式向采购人、采购代理机构提出。</w:t>
      </w:r>
    </w:p>
    <w:p w14:paraId="01664DC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10.谈判文件的澄清和修改</w:t>
      </w:r>
    </w:p>
    <w:p w14:paraId="0983AF8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168B14B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三、响应文件的编制</w:t>
      </w:r>
    </w:p>
    <w:p w14:paraId="289B64C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p>
    <w:p w14:paraId="4E46712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11.响应文件的编制原则</w:t>
      </w:r>
    </w:p>
    <w:p w14:paraId="73BDD64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供应商必须按照谈判文件的要求编制响应文件，并对其提交的响应文件的真实性、合法性承担法律责任。响应文件必须对谈判文件作出实质性响应。</w:t>
      </w:r>
    </w:p>
    <w:p w14:paraId="200AB4B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12.响应文件的组成</w:t>
      </w:r>
    </w:p>
    <w:p w14:paraId="3CDC436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12.1响应文件由资格证明文件、报价文件、商务技术文件三部分组成。</w:t>
      </w:r>
    </w:p>
    <w:p w14:paraId="6D279F13">
      <w:pPr>
        <w:keepNext w:val="0"/>
        <w:keepLines w:val="0"/>
        <w:pageBreakBefore w:val="0"/>
        <w:widowControl w:val="0"/>
        <w:kinsoku/>
        <w:wordWrap/>
        <w:overflowPunct/>
        <w:topLinePunct w:val="0"/>
        <w:autoSpaceDE/>
        <w:autoSpaceDN/>
        <w:bidi w:val="0"/>
        <w:spacing w:line="400" w:lineRule="exact"/>
        <w:ind w:left="840" w:leftChars="200" w:hanging="420" w:hanging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12.1.1资格证明文件：详见“供应商须知前附表”</w:t>
      </w:r>
    </w:p>
    <w:p w14:paraId="3549815F">
      <w:pPr>
        <w:keepNext w:val="0"/>
        <w:keepLines w:val="0"/>
        <w:pageBreakBefore w:val="0"/>
        <w:widowControl w:val="0"/>
        <w:kinsoku/>
        <w:wordWrap/>
        <w:overflowPunct/>
        <w:topLinePunct w:val="0"/>
        <w:autoSpaceDE/>
        <w:autoSpaceDN/>
        <w:bidi w:val="0"/>
        <w:spacing w:line="400" w:lineRule="exact"/>
        <w:ind w:left="840" w:leftChars="200" w:hanging="420" w:hanging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12.1.2报价文件：详见“供应商须知前附表”</w:t>
      </w:r>
    </w:p>
    <w:p w14:paraId="150F86D8">
      <w:pPr>
        <w:keepNext w:val="0"/>
        <w:keepLines w:val="0"/>
        <w:pageBreakBefore w:val="0"/>
        <w:widowControl w:val="0"/>
        <w:kinsoku/>
        <w:wordWrap/>
        <w:overflowPunct/>
        <w:topLinePunct w:val="0"/>
        <w:autoSpaceDE/>
        <w:autoSpaceDN/>
        <w:bidi w:val="0"/>
        <w:spacing w:line="400" w:lineRule="exact"/>
        <w:ind w:left="840" w:leftChars="200" w:hanging="420" w:hanging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12.1.3商务技术文件：详见“供应商须知前附表”</w:t>
      </w:r>
    </w:p>
    <w:p w14:paraId="4A8A408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13.计量单位</w:t>
      </w:r>
    </w:p>
    <w:p w14:paraId="56C9D37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谈判文件已有明确规定的，使用谈判文件规定的计量单位；谈判文件没有规定的，应采用中华人民共和国法定计量单位，货币种类为人民币，否则视同未响应。</w:t>
      </w:r>
    </w:p>
    <w:p w14:paraId="7E59399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14.竞标的风险</w:t>
      </w:r>
    </w:p>
    <w:p w14:paraId="3B16685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供应商没有按照谈判文件要求提供全部资料，或者供应商没有对谈判文件在各方面作出实质性响应可能导致其响应文件按无效处理，是供应商应当考虑的风险。</w:t>
      </w:r>
    </w:p>
    <w:p w14:paraId="5576F3B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15.竞标报价</w:t>
      </w:r>
    </w:p>
    <w:p w14:paraId="308431E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15.1竞标报价应按谈判文件中“竞标报价表”格式填写。</w:t>
      </w:r>
    </w:p>
    <w:p w14:paraId="5CCE38E2">
      <w:pPr>
        <w:keepNext w:val="0"/>
        <w:keepLines w:val="0"/>
        <w:pageBreakBefore w:val="0"/>
        <w:widowControl w:val="0"/>
        <w:tabs>
          <w:tab w:val="left" w:pos="2492"/>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15.2竞标报价的内容详见“供应商须知前附表”。</w:t>
      </w:r>
    </w:p>
    <w:p w14:paraId="553EA729">
      <w:pPr>
        <w:keepNext w:val="0"/>
        <w:keepLines w:val="0"/>
        <w:pageBreakBefore w:val="0"/>
        <w:widowControl w:val="0"/>
        <w:kinsoku/>
        <w:wordWrap/>
        <w:overflowPunct/>
        <w:topLinePunct w:val="0"/>
        <w:autoSpaceDE/>
        <w:autoSpaceDN/>
        <w:bidi w:val="0"/>
        <w:spacing w:line="400" w:lineRule="exact"/>
        <w:ind w:left="426" w:leftChars="203"/>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15.3竞标报价要求</w:t>
      </w:r>
    </w:p>
    <w:p w14:paraId="47BB6E7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15.3.1供应商的竞标报价应符合以下要求，否则响应文件按无效响应处理：</w:t>
      </w:r>
    </w:p>
    <w:p w14:paraId="31C8246C">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（1）供应商必须就“采购需求”中所竞标的每个分标的全部内容分别作完整唯一总价报价，</w:t>
      </w:r>
    </w:p>
    <w:p w14:paraId="0C36D8A2">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不得存在漏项报价；</w:t>
      </w:r>
    </w:p>
    <w:p w14:paraId="33C9207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（2）供应商必须就所竞标的分标的单项内容作唯一报价。</w:t>
      </w:r>
    </w:p>
    <w:p w14:paraId="0A55BE7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15.3.2竞标报价（包含首次报价、最后报价）超过所竞标分标规定的采购预算金额或者最高限价的，其响应文件将按无效处理。</w:t>
      </w:r>
    </w:p>
    <w:p w14:paraId="2C5C672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15.3.3竞标报价（包含首次报价、最后报价）超过分项采购预算金额或者最高限价的，其响应文件将按无效处理。</w:t>
      </w:r>
    </w:p>
    <w:p w14:paraId="78BA9ED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16.竞标有效期</w:t>
      </w:r>
    </w:p>
    <w:p w14:paraId="613EA91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0F521BC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16.2竞标有效期应由供应商按“供应商须知前附表”规定的期限作出响应。</w:t>
      </w:r>
    </w:p>
    <w:p w14:paraId="7CA3D2D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16.3供应商的响应文件在竞标有效期内均保持有效。</w:t>
      </w:r>
    </w:p>
    <w:p w14:paraId="2637C0D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17.竞标保证金</w:t>
      </w:r>
    </w:p>
    <w:p w14:paraId="75B0AF78">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17.1供应商须按“供应商须知前附表”的规定提交竞标保证金。</w:t>
      </w:r>
    </w:p>
    <w:p w14:paraId="7B893EBC">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17.2竞标保证金的退还</w:t>
      </w:r>
    </w:p>
    <w:p w14:paraId="1536AA4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未</w:t>
      </w:r>
      <w:r>
        <w:rPr>
          <w:rFonts w:hint="eastAsia" w:ascii="宋体" w:hAnsi="宋体" w:eastAsia="宋体" w:cs="宋体"/>
          <w:color w:val="000000" w:themeColor="text1"/>
          <w:spacing w:val="-6"/>
          <w:szCs w:val="21"/>
          <w14:textFill>
            <w14:solidFill>
              <w14:schemeClr w14:val="tx1"/>
            </w14:solidFill>
          </w14:textFill>
        </w:rPr>
        <w:t>成交供应商的竞标保证金自成交通知书发出之日起5个工作日内退还</w:t>
      </w:r>
      <w:r>
        <w:rPr>
          <w:rFonts w:hint="eastAsia" w:ascii="宋体" w:hAnsi="宋体" w:eastAsia="宋体" w:cs="宋体"/>
          <w:color w:val="000000" w:themeColor="text1"/>
          <w:szCs w:val="21"/>
          <w14:textFill>
            <w14:solidFill>
              <w14:schemeClr w14:val="tx1"/>
            </w14:solidFill>
          </w14:textFill>
        </w:rPr>
        <w:t>；成交供应商的竞标保证金自签订合同之日起5个工作日内退还。</w:t>
      </w:r>
    </w:p>
    <w:p w14:paraId="05B3D7EE">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17.3竞标保证金不计息。</w:t>
      </w:r>
    </w:p>
    <w:p w14:paraId="1EE7E764">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17.4供应商有下列情形之一的，竞标保证金将不予退还：</w:t>
      </w:r>
    </w:p>
    <w:p w14:paraId="3AD14F15">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（1）供应商在提交响应文件截止时间后撤回响应文件的；</w:t>
      </w:r>
    </w:p>
    <w:p w14:paraId="30F01B69">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（2）未按规定提交履约保证金的；</w:t>
      </w:r>
    </w:p>
    <w:p w14:paraId="30E55C85">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（3）供应商在响应文件中提供虚假材料的；</w:t>
      </w:r>
    </w:p>
    <w:p w14:paraId="0D8B0B8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（4）除因不可抗力或者谈判文件认可的情形以外，成交供应商不与采购人签订合同的；</w:t>
      </w:r>
    </w:p>
    <w:p w14:paraId="5C6A5C0B">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（5）供应商与采购人、其他供应商或者采购代理机构恶意串通的；</w:t>
      </w:r>
    </w:p>
    <w:p w14:paraId="665FBFA2">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（6）法律法规规定的其他情形。</w:t>
      </w:r>
    </w:p>
    <w:p w14:paraId="6FBC81C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18.响应文件编制的要求</w:t>
      </w:r>
    </w:p>
    <w:p w14:paraId="46D5466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18.1供应商应先安装“政采云电子交易客户端”（请自行前往</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eastAsia="宋体" w:cs="宋体"/>
          <w:color w:val="000000" w:themeColor="text1"/>
          <w:szCs w:val="21"/>
          <w14:textFill>
            <w14:solidFill>
              <w14:schemeClr w14:val="tx1"/>
            </w14:solidFill>
          </w14:textFill>
        </w:rPr>
        <w:t>进行下载），并按照本项目谈判文件规定的格式和顺序和</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eastAsia="宋体" w:cs="宋体"/>
          <w:color w:val="000000" w:themeColor="text1"/>
          <w:szCs w:val="21"/>
          <w14:textFill>
            <w14:solidFill>
              <w14:schemeClr w14:val="tx1"/>
            </w14:solidFill>
          </w14:textFill>
        </w:rPr>
        <w:t>的要求编制并加密。响应文件内容不完整、编排混乱导致响应文件被误读、漏读或者查找不到相关内容的，由此引发的后果由供应商承担。</w:t>
      </w:r>
    </w:p>
    <w:p w14:paraId="4047804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18.2为确保网上操作合法、有效和安全，供应商应当在提交响应文件截止时间前完成在</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eastAsia="宋体" w:cs="宋体"/>
          <w:color w:val="000000" w:themeColor="text1"/>
          <w:szCs w:val="21"/>
          <w14:textFill>
            <w14:solidFill>
              <w14:schemeClr w14:val="tx1"/>
            </w14:solidFill>
          </w14:textFill>
        </w:rPr>
        <w:t>的身份认证，确保在电子竞标过程中能够对相关数据电文进行加密和使用电子签章。</w:t>
      </w:r>
    </w:p>
    <w:p w14:paraId="67F57EA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18.3响应文件须由供应商在规定位置签字、盖章（具体以供应商须知前附表或响应文件格式规定为准），否则按无效响应处理。</w:t>
      </w:r>
    </w:p>
    <w:p w14:paraId="3B4170D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6499DB2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D5D941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19.电子</w:t>
      </w:r>
      <w:r>
        <w:rPr>
          <w:rFonts w:hint="eastAsia" w:ascii="宋体" w:hAnsi="宋体" w:eastAsia="宋体" w:cs="宋体"/>
          <w:b/>
          <w:color w:val="000000" w:themeColor="text1"/>
          <w:sz w:val="24"/>
          <w14:textFill>
            <w14:solidFill>
              <w14:schemeClr w14:val="tx1"/>
            </w14:solidFill>
          </w14:textFill>
        </w:rPr>
        <w:t>备份响应文件</w:t>
      </w:r>
    </w:p>
    <w:p w14:paraId="0F5E98E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电子备份响应文件是指通过“政采云电子投标客户端”在线编制生成且后缀名为“bfbs”的文件，是否接受电子备份响应文件</w:t>
      </w:r>
      <w:r>
        <w:rPr>
          <w:rFonts w:hint="eastAsia" w:ascii="宋体" w:hAnsi="宋体" w:eastAsia="宋体" w:cs="宋体"/>
          <w:bCs/>
          <w:color w:val="000000" w:themeColor="text1"/>
          <w:szCs w:val="21"/>
          <w14:textFill>
            <w14:solidFill>
              <w14:schemeClr w14:val="tx1"/>
            </w14:solidFill>
          </w14:textFill>
        </w:rPr>
        <w:t>详见在“供应商须知前附表”。</w:t>
      </w:r>
    </w:p>
    <w:p w14:paraId="1596CDF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20.响应文件的提交</w:t>
      </w:r>
    </w:p>
    <w:p w14:paraId="26809DE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20.1供应商必须按“供应商须知前附表”规定的</w:t>
      </w:r>
      <w:r>
        <w:rPr>
          <w:rFonts w:hint="eastAsia" w:ascii="宋体" w:hAnsi="宋体" w:eastAsia="宋体" w:cs="宋体"/>
          <w:color w:val="000000" w:themeColor="text1"/>
          <w:szCs w:val="21"/>
          <w14:textFill>
            <w14:solidFill>
              <w14:schemeClr w14:val="tx1"/>
            </w14:solidFill>
          </w14:textFill>
        </w:rPr>
        <w:t>时间及</w:t>
      </w:r>
      <w:r>
        <w:rPr>
          <w:rFonts w:hint="eastAsia" w:ascii="宋体" w:hAnsi="宋体" w:eastAsia="宋体" w:cs="宋体"/>
          <w:bCs/>
          <w:color w:val="000000" w:themeColor="text1"/>
          <w:szCs w:val="21"/>
          <w14:textFill>
            <w14:solidFill>
              <w14:schemeClr w14:val="tx1"/>
            </w14:solidFill>
          </w14:textFill>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eastAsia="宋体" w:cs="宋体"/>
          <w:bCs/>
          <w:color w:val="000000" w:themeColor="text1"/>
          <w:szCs w:val="21"/>
          <w14:textFill>
            <w14:solidFill>
              <w14:schemeClr w14:val="tx1"/>
            </w14:solidFill>
          </w14:textFill>
        </w:rPr>
        <w:t>。</w:t>
      </w:r>
    </w:p>
    <w:p w14:paraId="34FF70A1">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000000" w:themeColor="text1"/>
          <w:szCs w:val="20"/>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20.2未在规定时间内提交或者未按照谈判文件要求加密的电子响应文件，</w:t>
      </w:r>
      <w:r>
        <w:rPr>
          <w:rFonts w:hint="eastAsia" w:ascii="宋体" w:hAnsi="宋体" w:cs="宋体"/>
          <w:b/>
          <w:color w:val="000000" w:themeColor="text1"/>
          <w:szCs w:val="21"/>
          <w:lang w:eastAsia="zh-CN"/>
          <w14:textFill>
            <w14:solidFill>
              <w14:schemeClr w14:val="tx1"/>
            </w14:solidFill>
          </w14:textFill>
        </w:rPr>
        <w:t>广西政府采购云平台</w:t>
      </w:r>
      <w:r>
        <w:rPr>
          <w:rFonts w:hint="eastAsia" w:ascii="宋体" w:hAnsi="宋体" w:eastAsia="宋体" w:cs="宋体"/>
          <w:b/>
          <w:color w:val="000000" w:themeColor="text1"/>
          <w:szCs w:val="21"/>
          <w14:textFill>
            <w14:solidFill>
              <w14:schemeClr w14:val="tx1"/>
            </w14:solidFill>
          </w14:textFill>
        </w:rPr>
        <w:t>将拒收。</w:t>
      </w:r>
    </w:p>
    <w:p w14:paraId="6C00B4E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21.首次响应文件的补充、修改与撤回</w:t>
      </w:r>
    </w:p>
    <w:p w14:paraId="01A2AEE0">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000000" w:themeColor="text1"/>
          <w:szCs w:val="21"/>
          <w14:textFill>
            <w14:solidFill>
              <w14:schemeClr w14:val="tx1"/>
            </w14:solidFill>
          </w14:textFill>
        </w:rPr>
      </w:pPr>
      <w:bookmarkStart w:id="69" w:name="_Toc254970684"/>
      <w:bookmarkStart w:id="70" w:name="_Toc254970543"/>
      <w:r>
        <w:rPr>
          <w:rFonts w:hint="eastAsia" w:ascii="宋体" w:hAnsi="宋体" w:eastAsia="宋体" w:cs="宋体"/>
          <w:color w:val="000000" w:themeColor="text1"/>
          <w:szCs w:val="21"/>
          <w14:textFill>
            <w14:solidFill>
              <w14:schemeClr w14:val="tx1"/>
            </w14:solidFill>
          </w14:textFill>
        </w:rPr>
        <w:t>21.1</w:t>
      </w:r>
      <w:r>
        <w:rPr>
          <w:rFonts w:hint="eastAsia" w:ascii="宋体" w:hAnsi="宋体" w:eastAsia="宋体" w:cs="宋体"/>
          <w:bCs/>
          <w:color w:val="000000" w:themeColor="text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bCs/>
          <w:color w:val="000000" w:themeColor="text1"/>
          <w:szCs w:val="21"/>
          <w:lang w:eastAsia="zh-CN"/>
          <w14:textFill>
            <w14:solidFill>
              <w14:schemeClr w14:val="tx1"/>
            </w14:solidFill>
          </w14:textFill>
        </w:rPr>
        <w:t>广西政府采购云平台</w:t>
      </w:r>
      <w:r>
        <w:rPr>
          <w:rFonts w:hint="eastAsia" w:ascii="宋体" w:hAnsi="宋体" w:eastAsia="宋体" w:cs="宋体"/>
          <w:bCs/>
          <w:color w:val="000000" w:themeColor="text1"/>
          <w:szCs w:val="21"/>
          <w14:textFill>
            <w14:solidFill>
              <w14:schemeClr w14:val="tx1"/>
            </w14:solidFill>
          </w14:textFill>
        </w:rPr>
        <w:t>将予以拒收。</w:t>
      </w:r>
      <w:r>
        <w:rPr>
          <w:rFonts w:hint="eastAsia" w:ascii="宋体" w:hAnsi="宋体" w:eastAsia="宋体" w:cs="宋体"/>
          <w:color w:val="000000" w:themeColor="text1"/>
          <w:szCs w:val="21"/>
          <w14:textFill>
            <w14:solidFill>
              <w14:schemeClr w14:val="tx1"/>
            </w14:solidFill>
          </w14:textFill>
        </w:rPr>
        <w:t>（补充、修改或者撤回方式可登陆</w:t>
      </w:r>
      <w:r>
        <w:rPr>
          <w:rFonts w:hint="eastAsia" w:ascii="宋体" w:hAnsi="宋体" w:cs="宋体"/>
          <w:color w:val="000000" w:themeColor="text1"/>
          <w:kern w:val="0"/>
          <w:szCs w:val="21"/>
          <w:lang w:eastAsia="zh-CN"/>
          <w14:textFill>
            <w14:solidFill>
              <w14:schemeClr w14:val="tx1"/>
            </w14:solidFill>
          </w14:textFill>
        </w:rPr>
        <w:t>广西政府采购云平台</w:t>
      </w: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进入“服务中心”中查看“电子投标文件制作与投送教程”）</w:t>
      </w:r>
    </w:p>
    <w:bookmarkEnd w:id="69"/>
    <w:bookmarkEnd w:id="70"/>
    <w:p w14:paraId="08B8FF6F">
      <w:pPr>
        <w:pStyle w:val="61"/>
        <w:keepNext w:val="0"/>
        <w:keepLines w:val="0"/>
        <w:pageBreakBefore w:val="0"/>
        <w:widowControl w:val="0"/>
        <w:kinsoku/>
        <w:wordWrap/>
        <w:overflowPunct/>
        <w:topLinePunct w:val="0"/>
        <w:autoSpaceDE/>
        <w:autoSpaceDN/>
        <w:bidi w:val="0"/>
        <w:spacing w:before="0" w:line="400" w:lineRule="exact"/>
        <w:ind w:firstLine="42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21.2在提交响应文件截止时间前，除供应商补充、修改或者撤回响应文件外，任何单位和个人不得解密或提取响应文件。</w:t>
      </w:r>
    </w:p>
    <w:p w14:paraId="20C09E1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22.响应文件的退回</w:t>
      </w:r>
    </w:p>
    <w:p w14:paraId="0E26261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采购人和采购代理机构对已提交的响应文件概不退回。</w:t>
      </w:r>
    </w:p>
    <w:p w14:paraId="1309265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23.截止时间后的撤回</w:t>
      </w:r>
    </w:p>
    <w:p w14:paraId="5B62339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供应商在响应文件提交截止时间后向采购人、采购代理机构书面申请撤回响应文件的，将根据本须知正文第17.4条的规定不予退还其竞标保证金。</w:t>
      </w:r>
    </w:p>
    <w:p w14:paraId="6F8E9DF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14:paraId="1C3E58F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四、评审及谈判</w:t>
      </w:r>
    </w:p>
    <w:p w14:paraId="395A780D">
      <w:pPr>
        <w:keepNext w:val="0"/>
        <w:keepLines w:val="0"/>
        <w:pageBreakBefore w:val="0"/>
        <w:widowControl w:val="0"/>
        <w:kinsoku/>
        <w:wordWrap/>
        <w:overflowPunct/>
        <w:topLinePunct w:val="0"/>
        <w:autoSpaceDE/>
        <w:autoSpaceDN/>
        <w:bidi w:val="0"/>
        <w:spacing w:line="400" w:lineRule="exact"/>
        <w:ind w:left="420" w:firstLine="420"/>
        <w:textAlignment w:val="auto"/>
        <w:rPr>
          <w:rFonts w:hint="eastAsia" w:ascii="宋体" w:hAnsi="宋体" w:eastAsia="宋体" w:cs="宋体"/>
          <w:color w:val="000000" w:themeColor="text1"/>
          <w:szCs w:val="21"/>
          <w14:textFill>
            <w14:solidFill>
              <w14:schemeClr w14:val="tx1"/>
            </w14:solidFill>
          </w14:textFill>
        </w:rPr>
      </w:pPr>
    </w:p>
    <w:p w14:paraId="116A89A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24.谈判小组成立</w:t>
      </w:r>
    </w:p>
    <w:p w14:paraId="3C85F84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656DE7A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07A1F0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24.3</w:t>
      </w:r>
      <w:r>
        <w:rPr>
          <w:rFonts w:hint="eastAsia" w:ascii="宋体" w:hAnsi="宋体" w:eastAsia="宋体" w:cs="宋体"/>
          <w:bCs/>
          <w:color w:val="000000" w:themeColor="text1"/>
          <w:szCs w:val="21"/>
          <w14:textFill>
            <w14:solidFill>
              <w14:schemeClr w14:val="tx1"/>
            </w14:solidFill>
          </w14:textFill>
        </w:rPr>
        <w:t>采购代理机构</w:t>
      </w:r>
      <w:r>
        <w:rPr>
          <w:rFonts w:hint="eastAsia" w:ascii="宋体" w:hAnsi="宋体" w:eastAsia="宋体" w:cs="宋体"/>
          <w:bCs/>
          <w:color w:val="000000" w:themeColor="text1"/>
          <w14:textFill>
            <w14:solidFill>
              <w14:schemeClr w14:val="tx1"/>
            </w14:solidFill>
          </w14:textFill>
        </w:rPr>
        <w:t>应当</w:t>
      </w:r>
      <w:r>
        <w:rPr>
          <w:rFonts w:hint="eastAsia" w:ascii="宋体" w:hAnsi="宋体" w:eastAsia="宋体" w:cs="宋体"/>
          <w:bCs/>
          <w:color w:val="000000" w:themeColor="text1"/>
          <w:szCs w:val="21"/>
          <w14:textFill>
            <w14:solidFill>
              <w14:schemeClr w14:val="tx1"/>
            </w14:solidFill>
          </w14:textFill>
        </w:rPr>
        <w:t>基于</w:t>
      </w:r>
      <w:r>
        <w:rPr>
          <w:rFonts w:hint="eastAsia" w:ascii="宋体" w:hAnsi="宋体" w:cs="宋体"/>
          <w:bCs/>
          <w:color w:val="000000" w:themeColor="text1"/>
          <w:szCs w:val="21"/>
          <w:lang w:eastAsia="zh-CN"/>
          <w14:textFill>
            <w14:solidFill>
              <w14:schemeClr w14:val="tx1"/>
            </w14:solidFill>
          </w14:textFill>
        </w:rPr>
        <w:t>广西政府采购云平台</w:t>
      </w:r>
      <w:r>
        <w:rPr>
          <w:rFonts w:hint="eastAsia" w:ascii="宋体" w:hAnsi="宋体" w:eastAsia="宋体" w:cs="宋体"/>
          <w:bCs/>
          <w:color w:val="000000" w:themeColor="text1"/>
          <w14:textFill>
            <w14:solidFill>
              <w14:schemeClr w14:val="tx1"/>
            </w14:solidFill>
          </w14:textFill>
        </w:rPr>
        <w:t>抽（选）取</w:t>
      </w:r>
      <w:r>
        <w:rPr>
          <w:rFonts w:hint="eastAsia" w:ascii="宋体" w:hAnsi="宋体" w:eastAsia="宋体" w:cs="宋体"/>
          <w:bCs/>
          <w:color w:val="000000" w:themeColor="text1"/>
          <w:szCs w:val="21"/>
          <w14:textFill>
            <w14:solidFill>
              <w14:schemeClr w14:val="tx1"/>
            </w14:solidFill>
          </w14:textFill>
        </w:rPr>
        <w:t>评审专家。</w:t>
      </w:r>
    </w:p>
    <w:p w14:paraId="4371DE0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25.首次响应文件的开启和解密</w:t>
      </w:r>
    </w:p>
    <w:p w14:paraId="63C0CDAC">
      <w:pPr>
        <w:keepNext w:val="0"/>
        <w:keepLines w:val="0"/>
        <w:pageBreakBefore w:val="0"/>
        <w:widowControl w:val="0"/>
        <w:kinsoku/>
        <w:wordWrap/>
        <w:overflowPunct/>
        <w:topLinePunct w:val="0"/>
        <w:autoSpaceDE/>
        <w:autoSpaceDN/>
        <w:bidi w:val="0"/>
        <w:spacing w:line="400" w:lineRule="exact"/>
        <w:ind w:firstLine="42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采购代理机构将在“供应商须知前附表”规定的时</w:t>
      </w:r>
      <w:r>
        <w:rPr>
          <w:rFonts w:hint="eastAsia" w:ascii="宋体" w:hAnsi="宋体" w:eastAsia="宋体" w:cs="宋体"/>
          <w:color w:val="000000" w:themeColor="text1"/>
          <w14:textFill>
            <w14:solidFill>
              <w14:schemeClr w14:val="tx1"/>
            </w14:solidFill>
          </w14:textFill>
        </w:rPr>
        <w:t>间通过电子交易平台组织响应文件开启，供应商的法定代表人或其委托代理人须携带加密时所用的CA锁，按平台提示和谈判文件的规定登录到</w:t>
      </w:r>
      <w:r>
        <w:rPr>
          <w:rFonts w:hint="eastAsia" w:ascii="宋体" w:hAnsi="宋体" w:cs="宋体"/>
          <w:color w:val="000000" w:themeColor="text1"/>
          <w:lang w:eastAsia="zh-CN"/>
          <w14:textFill>
            <w14:solidFill>
              <w14:schemeClr w14:val="tx1"/>
            </w14:solidFill>
          </w14:textFill>
        </w:rPr>
        <w:t>广西政府采购云平台</w:t>
      </w:r>
      <w:r>
        <w:rPr>
          <w:rFonts w:hint="eastAsia" w:ascii="宋体" w:hAnsi="宋体" w:eastAsia="宋体" w:cs="宋体"/>
          <w:color w:val="000000" w:themeColor="text1"/>
          <w14:textFill>
            <w14:solidFill>
              <w14:schemeClr w14:val="tx1"/>
            </w14:solidFill>
          </w14:textFill>
        </w:rPr>
        <w:t>电子开标大厅签到，采购代理机构依托</w:t>
      </w:r>
      <w:r>
        <w:rPr>
          <w:rFonts w:hint="eastAsia" w:ascii="宋体" w:hAnsi="宋体" w:cs="宋体"/>
          <w:color w:val="000000" w:themeColor="text1"/>
          <w:lang w:eastAsia="zh-CN"/>
          <w14:textFill>
            <w14:solidFill>
              <w14:schemeClr w14:val="tx1"/>
            </w14:solidFill>
          </w14:textFill>
        </w:rPr>
        <w:t>广西政府采购云平台</w:t>
      </w:r>
      <w:r>
        <w:rPr>
          <w:rFonts w:hint="eastAsia" w:ascii="宋体" w:hAnsi="宋体" w:eastAsia="宋体" w:cs="宋体"/>
          <w:color w:val="000000" w:themeColor="text1"/>
          <w14:textFill>
            <w14:solidFill>
              <w14:schemeClr w14:val="tx1"/>
            </w14:solidFill>
          </w14:textFill>
        </w:rPr>
        <w:t>向各供应商发出电子加密响应文件【开始解密】通知，由供应商按</w:t>
      </w:r>
      <w:r>
        <w:rPr>
          <w:rFonts w:hint="eastAsia" w:ascii="宋体" w:hAnsi="宋体" w:eastAsia="宋体" w:cs="宋体"/>
          <w:bCs/>
          <w:color w:val="000000" w:themeColor="text1"/>
          <w:szCs w:val="21"/>
          <w14:textFill>
            <w14:solidFill>
              <w14:schemeClr w14:val="tx1"/>
            </w14:solidFill>
          </w14:textFill>
        </w:rPr>
        <w:t>“供应商须知前附表”</w:t>
      </w:r>
      <w:r>
        <w:rPr>
          <w:rFonts w:hint="eastAsia" w:ascii="宋体" w:hAnsi="宋体" w:eastAsia="宋体" w:cs="宋体"/>
          <w:color w:val="000000" w:themeColor="text1"/>
          <w14:textFill>
            <w14:solidFill>
              <w14:schemeClr w14:val="tx1"/>
            </w14:solidFill>
          </w14:textFill>
        </w:rPr>
        <w:t>规定的时间内自行进行响应文件解密。</w:t>
      </w:r>
      <w:r>
        <w:rPr>
          <w:rFonts w:hint="eastAsia" w:ascii="宋体" w:hAnsi="宋体" w:eastAsia="宋体" w:cs="宋体"/>
          <w:b/>
          <w:color w:val="000000" w:themeColor="text1"/>
          <w14:textFill>
            <w14:solidFill>
              <w14:schemeClr w14:val="tx1"/>
            </w14:solidFill>
          </w14:textFill>
        </w:rPr>
        <w:t>供应商未在规定的时间内解密响应文件或者解密失败的，供应商</w:t>
      </w:r>
      <w:r>
        <w:rPr>
          <w:rFonts w:hint="eastAsia" w:ascii="宋体" w:hAnsi="宋体" w:eastAsia="宋体" w:cs="宋体"/>
          <w:b/>
          <w:color w:val="000000" w:themeColor="text1"/>
          <w:szCs w:val="21"/>
          <w14:textFill>
            <w14:solidFill>
              <w14:schemeClr w14:val="tx1"/>
            </w14:solidFill>
          </w14:textFill>
        </w:rPr>
        <w:t>的响应文件作无效处理</w:t>
      </w:r>
      <w:r>
        <w:rPr>
          <w:rFonts w:hint="eastAsia" w:ascii="宋体" w:hAnsi="宋体" w:eastAsia="宋体" w:cs="宋体"/>
          <w:b/>
          <w:color w:val="000000" w:themeColor="text1"/>
          <w14:textFill>
            <w14:solidFill>
              <w14:schemeClr w14:val="tx1"/>
            </w14:solidFill>
          </w14:textFill>
        </w:rPr>
        <w:t>。</w:t>
      </w:r>
    </w:p>
    <w:p w14:paraId="492EDE1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26.评审程序和评定成交的标准</w:t>
      </w:r>
    </w:p>
    <w:p w14:paraId="3D786A9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26.1谈判小组按照“第四章评审程序和评定成交的标准”规定的评审程序对响应文件进行评审，并按照评定成交的标准推荐成交候选供应商。评审价相同时，成交候选供应商推荐顺序见</w:t>
      </w:r>
      <w:r>
        <w:rPr>
          <w:rFonts w:hint="eastAsia" w:ascii="宋体" w:hAnsi="宋体" w:eastAsia="宋体" w:cs="宋体"/>
          <w:color w:val="000000" w:themeColor="text1"/>
          <w:szCs w:val="21"/>
          <w14:textFill>
            <w14:solidFill>
              <w14:schemeClr w14:val="tx1"/>
            </w14:solidFill>
          </w14:textFill>
        </w:rPr>
        <w:t>“供应商须知前附表”。</w:t>
      </w:r>
    </w:p>
    <w:p w14:paraId="523D6EA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26.2商务/技术要求允许负偏离的条款数详见“供应商须知前附表”。</w:t>
      </w:r>
    </w:p>
    <w:p w14:paraId="2F74E5A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7595341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26.4电子交易活动的中止。采购过程中出现以下情形，导致电子交易平台无法正常运行，或者无法保证电子交易的公平、公正和安全时，采购机构可中止电子交易活动：</w:t>
      </w:r>
    </w:p>
    <w:p w14:paraId="477ADA1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（1）电子交易平台发生故障而无法登录访问的；</w:t>
      </w:r>
    </w:p>
    <w:p w14:paraId="3A9B41B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（2）电子交易平台应用或数据库出现错误，不能进行正常操作的；</w:t>
      </w:r>
    </w:p>
    <w:p w14:paraId="75BD6DD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（3）电子交易平台发现严重安全漏洞，有潜在泄密危险的；</w:t>
      </w:r>
    </w:p>
    <w:p w14:paraId="3FD9395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（4）病毒发作导致不能进行正常操作的；</w:t>
      </w:r>
    </w:p>
    <w:p w14:paraId="2120D66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（5）其他无法保证电子交易的公平、公正和安全的情况。</w:t>
      </w:r>
    </w:p>
    <w:p w14:paraId="38D8B35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5F565F8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27.确定成交供应商及结果公告</w:t>
      </w:r>
    </w:p>
    <w:p w14:paraId="5F963BE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27.1</w:t>
      </w:r>
      <w:r>
        <w:rPr>
          <w:rFonts w:hint="eastAsia" w:ascii="宋体" w:hAnsi="宋体" w:eastAsia="宋体" w:cs="宋体"/>
          <w:color w:val="000000" w:themeColor="text1"/>
          <w:kern w:val="0"/>
          <w:szCs w:val="21"/>
          <w14:textFill>
            <w14:solidFill>
              <w14:schemeClr w14:val="tx1"/>
            </w14:solidFill>
          </w14:textFill>
        </w:rPr>
        <w:t>采购</w:t>
      </w:r>
      <w:r>
        <w:rPr>
          <w:rFonts w:hint="eastAsia" w:ascii="宋体" w:hAnsi="宋体" w:eastAsia="宋体" w:cs="宋体"/>
          <w:color w:val="000000" w:themeColor="text1"/>
          <w:szCs w:val="21"/>
          <w14:textFill>
            <w14:solidFill>
              <w14:schemeClr w14:val="tx1"/>
            </w14:solidFill>
          </w14:textFill>
        </w:rPr>
        <w:t>代理</w:t>
      </w:r>
      <w:r>
        <w:rPr>
          <w:rFonts w:hint="eastAsia" w:ascii="宋体" w:hAnsi="宋体" w:eastAsia="宋体" w:cs="宋体"/>
          <w:color w:val="000000" w:themeColor="text1"/>
          <w:kern w:val="0"/>
          <w:szCs w:val="21"/>
          <w14:textFill>
            <w14:solidFill>
              <w14:schemeClr w14:val="tx1"/>
            </w14:solidFill>
          </w14:textFill>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0513707D">
      <w:pPr>
        <w:pStyle w:val="8"/>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eastAsia="宋体" w:cs="宋体"/>
          <w:color w:val="000000" w:themeColor="text1"/>
          <w:szCs w:val="21"/>
          <w14:textFill>
            <w14:solidFill>
              <w14:schemeClr w14:val="tx1"/>
            </w14:solidFill>
          </w14:textFill>
        </w:rPr>
        <w:t>成交供应商享受《政府采购促进中小企业发展管理办法》（财库〔2020〕46号）规定的中小企业扶持政策的，采购人、采购代理机构应当随成交结果公开成交供应商的《中小企业声明函》。</w:t>
      </w:r>
    </w:p>
    <w:p w14:paraId="229D35FC">
      <w:pPr>
        <w:pStyle w:val="8"/>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27.3出现下列情形之一的，采购人或者采购代理机构应当终止竞争性谈判采购活动，发布项目终止公告并说明原因，重新开展采购活动：</w:t>
      </w:r>
    </w:p>
    <w:p w14:paraId="728660BE">
      <w:pPr>
        <w:pStyle w:val="8"/>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（1）因情况变化，不再符合规定的竞争性谈判采购方式适用情形的；</w:t>
      </w:r>
    </w:p>
    <w:p w14:paraId="4A8467D1">
      <w:pPr>
        <w:pStyle w:val="8"/>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（2）出现影响采购公正的违法、违规行为的；</w:t>
      </w:r>
    </w:p>
    <w:p w14:paraId="27547B5B">
      <w:pPr>
        <w:pStyle w:val="8"/>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（3）在采购过程中符合竞争要求的供应商或者报价未超过采购预算的供应商不足3家的，但“第四章评审程序和评定成交的标准”第3.7条规定的情形除外。</w:t>
      </w:r>
    </w:p>
    <w:p w14:paraId="3EF79AA3">
      <w:pPr>
        <w:pStyle w:val="8"/>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27.4在采购活动中因重大变故，采购任务取消的，采购人或者采购代理机构应当终止采购活动，通知所有参加采购活动的供应商，并将项目实施情况和采购任务取消原因报送本级财政部门。</w:t>
      </w:r>
    </w:p>
    <w:p w14:paraId="7958804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28.履约保证金</w:t>
      </w:r>
    </w:p>
    <w:p w14:paraId="73FE73A5">
      <w:pPr>
        <w:pStyle w:val="8"/>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28.1履约保证金的金额、提交方式、退付的时间和条件详见“供应商须知前附表”。成交供应商未按规定提交履约保证金的，视为拒绝</w:t>
      </w:r>
      <w:r>
        <w:rPr>
          <w:rFonts w:hint="eastAsia" w:ascii="宋体" w:hAnsi="宋体" w:eastAsia="宋体" w:cs="宋体"/>
          <w:color w:val="000000" w:themeColor="text1"/>
          <w14:textFill>
            <w14:solidFill>
              <w14:schemeClr w14:val="tx1"/>
            </w14:solidFill>
          </w14:textFill>
        </w:rPr>
        <w:t>与采购人</w:t>
      </w:r>
      <w:r>
        <w:rPr>
          <w:rFonts w:hint="eastAsia" w:ascii="宋体" w:hAnsi="宋体" w:eastAsia="宋体" w:cs="宋体"/>
          <w:color w:val="000000" w:themeColor="text1"/>
          <w:szCs w:val="21"/>
          <w14:textFill>
            <w14:solidFill>
              <w14:schemeClr w14:val="tx1"/>
            </w14:solidFill>
          </w14:textFill>
        </w:rPr>
        <w:t>签订合同。</w:t>
      </w:r>
    </w:p>
    <w:p w14:paraId="02D20F44">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28.2在履约保证金退还日期前，若成交供应商的开户名称、开户银行、帐号有变动的，请以书面形式通知履约保证金收取单位，否则由此产生的后果由成交供应商自负。</w:t>
      </w:r>
    </w:p>
    <w:p w14:paraId="117A716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29.签订合同</w:t>
      </w:r>
    </w:p>
    <w:p w14:paraId="112E99FD">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29.1签订电子采购合同：成交供应商领取电子成交通知书后，在</w:t>
      </w:r>
      <w:r>
        <w:rPr>
          <w:rFonts w:hint="eastAsia" w:ascii="宋体" w:hAnsi="宋体" w:eastAsia="宋体" w:cs="宋体"/>
          <w:color w:val="000000" w:themeColor="text1"/>
          <w:szCs w:val="21"/>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1F2690C0">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线下签订纸质合同：供应商领取成交通知书后，按“供应商须知前附表”规定向采购人出示相关证明材料，经采购人核验合格后方可签订合同。</w:t>
      </w:r>
    </w:p>
    <w:p w14:paraId="496F4B6E">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29.2签订合同时间：按成交通知书规定的时间与采购人签订合同。</w:t>
      </w:r>
    </w:p>
    <w:p w14:paraId="37FD61AC">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777E4E06">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865CB66">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29.5采购人或成交供应商不得单方面向合同另一方提出任何谈判文件没有约定的条件或不合理的要求，作为签订合同的条件；也不得协商另行订立背离谈判文件和合同实质性内容的协议。</w:t>
      </w:r>
    </w:p>
    <w:p w14:paraId="5D7132E9">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29.6如签订合同并生效后，供应商无故拒绝或延期，除按照合同条款处理外，将承担相应的法律责任。</w:t>
      </w:r>
    </w:p>
    <w:p w14:paraId="643410F5">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062340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30.政府采购合同公告</w:t>
      </w:r>
    </w:p>
    <w:p w14:paraId="6CB63B5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592C43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31.询问、质疑和投诉</w:t>
      </w:r>
    </w:p>
    <w:p w14:paraId="3571B91B">
      <w:pPr>
        <w:pStyle w:val="6"/>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宋体"/>
          <w:color w:val="000000" w:themeColor="text1"/>
          <w:szCs w:val="21"/>
          <w14:textFill>
            <w14:solidFill>
              <w14:schemeClr w14:val="tx1"/>
            </w14:solidFill>
          </w14:textFill>
        </w:rPr>
        <w:t>但答复的内容不得涉及商业秘密。</w:t>
      </w:r>
    </w:p>
    <w:p w14:paraId="5F4ECB1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000000" w:themeColor="text1"/>
          <w:shd w:val="clear" w:color="auto" w:fill="FFFFFF"/>
          <w14:textFill>
            <w14:solidFill>
              <w14:schemeClr w14:val="tx1"/>
            </w14:solidFill>
          </w14:textFill>
        </w:rPr>
        <w:t>接收质疑函的方式、联系部门、联系电话和通讯地址等信息</w:t>
      </w:r>
      <w:r>
        <w:rPr>
          <w:rFonts w:hint="eastAsia" w:ascii="宋体" w:hAnsi="宋体" w:eastAsia="宋体" w:cs="宋体"/>
          <w:color w:val="000000" w:themeColor="text1"/>
          <w:szCs w:val="21"/>
          <w14:textFill>
            <w14:solidFill>
              <w14:schemeClr w14:val="tx1"/>
            </w14:solidFill>
          </w14:textFill>
        </w:rPr>
        <w:t>详见“供应商须知前附表”</w:t>
      </w:r>
      <w:r>
        <w:rPr>
          <w:rFonts w:hint="eastAsia" w:ascii="宋体" w:hAnsi="宋体" w:eastAsia="宋体" w:cs="宋体"/>
          <w:color w:val="000000" w:themeColor="text1"/>
          <w14:textFill>
            <w14:solidFill>
              <w14:schemeClr w14:val="tx1"/>
            </w14:solidFill>
          </w14:textFill>
        </w:rPr>
        <w:t>。具体质疑起算时间如下：</w:t>
      </w:r>
    </w:p>
    <w:p w14:paraId="515272B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（1）对可以质疑的谈判文件提出质疑的，为获取谈判文件之日；</w:t>
      </w:r>
    </w:p>
    <w:p w14:paraId="51D47EF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（2）对采购过程提出质疑的，为各采购程序环节结束之日；</w:t>
      </w:r>
    </w:p>
    <w:p w14:paraId="0752F2B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（3）对成交结果提出质疑的，为成交结果公告期限届满之日。</w:t>
      </w:r>
    </w:p>
    <w:p w14:paraId="5CB197F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6ECBB4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31.4供应商提出质疑应当提交质疑函和必要的证明材料，针对同一采购程序环节的质疑必须在法定质疑期内一次性提出。质疑函应当包括下列内容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000000" w:themeColor="text1"/>
          <w14:textFill>
            <w14:solidFill>
              <w14:schemeClr w14:val="tx1"/>
            </w14:solidFill>
          </w14:textFill>
        </w:rPr>
        <w:t>（质疑函格式后附）</w:t>
      </w:r>
      <w:r>
        <w:rPr>
          <w:rFonts w:hint="eastAsia" w:ascii="宋体" w:hAnsi="宋体" w:eastAsia="宋体" w:cs="宋体"/>
          <w:color w:val="000000" w:themeColor="text1"/>
          <w14:textFill>
            <w14:solidFill>
              <w14:schemeClr w14:val="tx1"/>
            </w14:solidFill>
          </w14:textFill>
        </w:rPr>
        <w:t>：</w:t>
      </w:r>
    </w:p>
    <w:p w14:paraId="0D64391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（1）供应商的姓名或者名称、地址、邮编、联系人及联系电话；</w:t>
      </w:r>
    </w:p>
    <w:p w14:paraId="6C66EEC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（2）质疑项目的名称、编号；</w:t>
      </w:r>
    </w:p>
    <w:p w14:paraId="691E4C6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（3）具体、明确的质疑事项和与质疑事项相关的请求；</w:t>
      </w:r>
    </w:p>
    <w:p w14:paraId="4029500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（4）事实依据；</w:t>
      </w:r>
    </w:p>
    <w:p w14:paraId="11A9B54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（5）必要的法律依据；</w:t>
      </w:r>
    </w:p>
    <w:p w14:paraId="2835885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（6）提出质疑的日期。</w:t>
      </w:r>
    </w:p>
    <w:p w14:paraId="6EFA741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1A74476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31.5采购人、采购代理机构认为供应商质疑不成立，或者成立但未对成交结果构成影响的，继续开展采购活动；认为供应商质疑成立且影响或者可能影响成交结果的，按照下列情况处理：</w:t>
      </w:r>
    </w:p>
    <w:p w14:paraId="555BB73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0FA9333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2B3FB9B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质疑答复导致成交结果改变的，采购人或者采购代理机构应当将有关情况书面报告本级财政部门。</w:t>
      </w:r>
    </w:p>
    <w:p w14:paraId="580F7CE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6AFB26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32.其他内容</w:t>
      </w:r>
    </w:p>
    <w:p w14:paraId="7A8378AA">
      <w:pPr>
        <w:keepNext w:val="0"/>
        <w:keepLines w:val="0"/>
        <w:pageBreakBefore w:val="0"/>
        <w:widowControl w:val="0"/>
        <w:tabs>
          <w:tab w:val="left" w:pos="2835"/>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32.1代理服务收取标准详见“供应商须知前附表”，供应商为联合体的，可以由联合体中的一方或者多方共同交纳代理服务费：</w:t>
      </w:r>
    </w:p>
    <w:tbl>
      <w:tblPr>
        <w:tblStyle w:val="24"/>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5"/>
        <w:gridCol w:w="1807"/>
        <w:gridCol w:w="1669"/>
        <w:gridCol w:w="1685"/>
      </w:tblGrid>
      <w:tr w14:paraId="7C0B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Borders>
              <w:tl2br w:val="single" w:color="auto" w:sz="4" w:space="0"/>
            </w:tcBorders>
          </w:tcPr>
          <w:p w14:paraId="50311D16">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费率</w:t>
            </w:r>
          </w:p>
          <w:p w14:paraId="0681745D">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金额</w:t>
            </w:r>
          </w:p>
        </w:tc>
        <w:tc>
          <w:tcPr>
            <w:tcW w:w="1807" w:type="dxa"/>
            <w:vAlign w:val="center"/>
          </w:tcPr>
          <w:p w14:paraId="1ADD0EA5">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货物类</w:t>
            </w:r>
          </w:p>
        </w:tc>
        <w:tc>
          <w:tcPr>
            <w:tcW w:w="1669" w:type="dxa"/>
            <w:vAlign w:val="center"/>
          </w:tcPr>
          <w:p w14:paraId="606AC35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服务类</w:t>
            </w:r>
          </w:p>
        </w:tc>
        <w:tc>
          <w:tcPr>
            <w:tcW w:w="1685" w:type="dxa"/>
            <w:vAlign w:val="center"/>
          </w:tcPr>
          <w:p w14:paraId="6EDCBB8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工程类</w:t>
            </w:r>
          </w:p>
        </w:tc>
      </w:tr>
      <w:tr w14:paraId="408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55941BC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100万元以下</w:t>
            </w:r>
          </w:p>
        </w:tc>
        <w:tc>
          <w:tcPr>
            <w:tcW w:w="1807" w:type="dxa"/>
          </w:tcPr>
          <w:p w14:paraId="73A26DB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1.5%                </w:t>
            </w:r>
          </w:p>
        </w:tc>
        <w:tc>
          <w:tcPr>
            <w:tcW w:w="1669" w:type="dxa"/>
          </w:tcPr>
          <w:p w14:paraId="34F8D8B7">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1.5%</w:t>
            </w:r>
          </w:p>
        </w:tc>
        <w:tc>
          <w:tcPr>
            <w:tcW w:w="1685" w:type="dxa"/>
          </w:tcPr>
          <w:p w14:paraId="498A2651">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1.0% </w:t>
            </w:r>
          </w:p>
        </w:tc>
      </w:tr>
      <w:tr w14:paraId="3FF5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7542CC98">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100～500万元</w:t>
            </w:r>
          </w:p>
        </w:tc>
        <w:tc>
          <w:tcPr>
            <w:tcW w:w="1807" w:type="dxa"/>
          </w:tcPr>
          <w:p w14:paraId="1926C3A3">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1.1%                 </w:t>
            </w:r>
          </w:p>
        </w:tc>
        <w:tc>
          <w:tcPr>
            <w:tcW w:w="1669" w:type="dxa"/>
          </w:tcPr>
          <w:p w14:paraId="69458BC4">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0.8%</w:t>
            </w:r>
          </w:p>
        </w:tc>
        <w:tc>
          <w:tcPr>
            <w:tcW w:w="1685" w:type="dxa"/>
          </w:tcPr>
          <w:p w14:paraId="54256E84">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0.7% </w:t>
            </w:r>
          </w:p>
        </w:tc>
      </w:tr>
      <w:tr w14:paraId="64F4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30CCCEE8">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500～1000万元</w:t>
            </w:r>
          </w:p>
        </w:tc>
        <w:tc>
          <w:tcPr>
            <w:tcW w:w="1807" w:type="dxa"/>
          </w:tcPr>
          <w:p w14:paraId="5A1E0B9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0.8%                </w:t>
            </w:r>
          </w:p>
        </w:tc>
        <w:tc>
          <w:tcPr>
            <w:tcW w:w="1669" w:type="dxa"/>
          </w:tcPr>
          <w:p w14:paraId="56147895">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0.45%</w:t>
            </w:r>
          </w:p>
        </w:tc>
        <w:tc>
          <w:tcPr>
            <w:tcW w:w="1685" w:type="dxa"/>
          </w:tcPr>
          <w:p w14:paraId="28A40A86">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0.55%</w:t>
            </w:r>
          </w:p>
        </w:tc>
      </w:tr>
      <w:tr w14:paraId="75FD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761D1182">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1000～5000万元</w:t>
            </w:r>
          </w:p>
        </w:tc>
        <w:tc>
          <w:tcPr>
            <w:tcW w:w="1807" w:type="dxa"/>
          </w:tcPr>
          <w:p w14:paraId="18E14BE0">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0.5%                </w:t>
            </w:r>
          </w:p>
        </w:tc>
        <w:tc>
          <w:tcPr>
            <w:tcW w:w="1669" w:type="dxa"/>
          </w:tcPr>
          <w:p w14:paraId="3A2B7169">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0.25%</w:t>
            </w:r>
          </w:p>
        </w:tc>
        <w:tc>
          <w:tcPr>
            <w:tcW w:w="1685" w:type="dxa"/>
          </w:tcPr>
          <w:p w14:paraId="283A4BC2">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0.35% </w:t>
            </w:r>
          </w:p>
        </w:tc>
      </w:tr>
      <w:tr w14:paraId="282B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6A8D923B">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5000万元～1亿元</w:t>
            </w:r>
          </w:p>
        </w:tc>
        <w:tc>
          <w:tcPr>
            <w:tcW w:w="1807" w:type="dxa"/>
          </w:tcPr>
          <w:p w14:paraId="05E7501A">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0.25%                 </w:t>
            </w:r>
          </w:p>
        </w:tc>
        <w:tc>
          <w:tcPr>
            <w:tcW w:w="1669" w:type="dxa"/>
          </w:tcPr>
          <w:p w14:paraId="0E9B6FC5">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0.1%</w:t>
            </w:r>
          </w:p>
        </w:tc>
        <w:tc>
          <w:tcPr>
            <w:tcW w:w="1685" w:type="dxa"/>
          </w:tcPr>
          <w:p w14:paraId="0911B36A">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0.2%</w:t>
            </w:r>
          </w:p>
        </w:tc>
      </w:tr>
      <w:tr w14:paraId="4637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70C51A82">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1～5亿元</w:t>
            </w:r>
          </w:p>
        </w:tc>
        <w:tc>
          <w:tcPr>
            <w:tcW w:w="1807" w:type="dxa"/>
          </w:tcPr>
          <w:p w14:paraId="77A6A398">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0.05%</w:t>
            </w:r>
          </w:p>
        </w:tc>
        <w:tc>
          <w:tcPr>
            <w:tcW w:w="1669" w:type="dxa"/>
          </w:tcPr>
          <w:p w14:paraId="6750A61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0.05%</w:t>
            </w:r>
          </w:p>
        </w:tc>
        <w:tc>
          <w:tcPr>
            <w:tcW w:w="1685" w:type="dxa"/>
          </w:tcPr>
          <w:p w14:paraId="50D2AB5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0.05%</w:t>
            </w:r>
          </w:p>
        </w:tc>
      </w:tr>
      <w:tr w14:paraId="7F62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3B04D89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5～10亿元</w:t>
            </w:r>
          </w:p>
        </w:tc>
        <w:tc>
          <w:tcPr>
            <w:tcW w:w="1807" w:type="dxa"/>
          </w:tcPr>
          <w:p w14:paraId="7A47CA93">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0.035%</w:t>
            </w:r>
          </w:p>
        </w:tc>
        <w:tc>
          <w:tcPr>
            <w:tcW w:w="1669" w:type="dxa"/>
          </w:tcPr>
          <w:p w14:paraId="70421E86">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0.035%</w:t>
            </w:r>
          </w:p>
        </w:tc>
        <w:tc>
          <w:tcPr>
            <w:tcW w:w="1685" w:type="dxa"/>
          </w:tcPr>
          <w:p w14:paraId="52845CB4">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0.035%</w:t>
            </w:r>
          </w:p>
        </w:tc>
      </w:tr>
      <w:tr w14:paraId="517F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6AB26E0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10～50亿元</w:t>
            </w:r>
          </w:p>
        </w:tc>
        <w:tc>
          <w:tcPr>
            <w:tcW w:w="1807" w:type="dxa"/>
          </w:tcPr>
          <w:p w14:paraId="2E43B16F">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0.008%</w:t>
            </w:r>
          </w:p>
        </w:tc>
        <w:tc>
          <w:tcPr>
            <w:tcW w:w="1669" w:type="dxa"/>
          </w:tcPr>
          <w:p w14:paraId="179E1367">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0.008%</w:t>
            </w:r>
          </w:p>
        </w:tc>
        <w:tc>
          <w:tcPr>
            <w:tcW w:w="1685" w:type="dxa"/>
          </w:tcPr>
          <w:p w14:paraId="38509B40">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0.008%</w:t>
            </w:r>
          </w:p>
        </w:tc>
      </w:tr>
      <w:tr w14:paraId="6CB7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75277AFE">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50～100亿元</w:t>
            </w:r>
          </w:p>
        </w:tc>
        <w:tc>
          <w:tcPr>
            <w:tcW w:w="1807" w:type="dxa"/>
          </w:tcPr>
          <w:p w14:paraId="0665FC5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0.006%</w:t>
            </w:r>
          </w:p>
        </w:tc>
        <w:tc>
          <w:tcPr>
            <w:tcW w:w="1669" w:type="dxa"/>
          </w:tcPr>
          <w:p w14:paraId="10CE6606">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0.006%</w:t>
            </w:r>
          </w:p>
        </w:tc>
        <w:tc>
          <w:tcPr>
            <w:tcW w:w="1685" w:type="dxa"/>
          </w:tcPr>
          <w:p w14:paraId="6A555E59">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0.006%</w:t>
            </w:r>
          </w:p>
        </w:tc>
      </w:tr>
      <w:tr w14:paraId="1AEF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506FCD7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100亿以上</w:t>
            </w:r>
          </w:p>
        </w:tc>
        <w:tc>
          <w:tcPr>
            <w:tcW w:w="1807" w:type="dxa"/>
          </w:tcPr>
          <w:p w14:paraId="4E06E643">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0.004%</w:t>
            </w:r>
          </w:p>
        </w:tc>
        <w:tc>
          <w:tcPr>
            <w:tcW w:w="1669" w:type="dxa"/>
          </w:tcPr>
          <w:p w14:paraId="750808D8">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0.004%</w:t>
            </w:r>
          </w:p>
        </w:tc>
        <w:tc>
          <w:tcPr>
            <w:tcW w:w="1685" w:type="dxa"/>
          </w:tcPr>
          <w:p w14:paraId="2D7CCCE7">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0.004%</w:t>
            </w:r>
          </w:p>
        </w:tc>
      </w:tr>
    </w:tbl>
    <w:p w14:paraId="77ECE674">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w:t>
      </w:r>
    </w:p>
    <w:p w14:paraId="53E8BADD">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（1）按本表费率计算的收费为采购代理的收费基准价格；</w:t>
      </w:r>
    </w:p>
    <w:p w14:paraId="212E71C3">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（2）采购代理收费按差额定率累进法计算。</w:t>
      </w:r>
    </w:p>
    <w:p w14:paraId="5F81ABC8">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例如：某货物采购代理业务成交金额或者暂定价为150万元，计算采购代理收费额如下：</w:t>
      </w:r>
    </w:p>
    <w:p w14:paraId="66007C98">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100万元×l.5%＝1.5万元</w:t>
      </w:r>
    </w:p>
    <w:p w14:paraId="286AA403">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（150－100）万元×1.1%＝0.55万元</w:t>
      </w:r>
    </w:p>
    <w:p w14:paraId="6072952A">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合计收费＝1.5＋0.55＝ 2.05（万元）</w:t>
      </w:r>
    </w:p>
    <w:p w14:paraId="2E2F6230">
      <w:pPr>
        <w:keepNext w:val="0"/>
        <w:keepLines w:val="0"/>
        <w:pageBreakBefore w:val="0"/>
        <w:widowControl w:val="0"/>
        <w:kinsoku/>
        <w:wordWrap/>
        <w:overflowPunct/>
        <w:topLinePunct w:val="0"/>
        <w:autoSpaceDE/>
        <w:autoSpaceDN/>
        <w:bidi w:val="0"/>
        <w:spacing w:line="400" w:lineRule="exact"/>
        <w:ind w:firstLine="482" w:firstLineChars="200"/>
        <w:contextualSpacing/>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33.需要补充的其他内容</w:t>
      </w:r>
    </w:p>
    <w:p w14:paraId="19650088">
      <w:pPr>
        <w:pStyle w:val="14"/>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33.1本谈判文件解释规则详见“供应商须知前附表”。</w:t>
      </w:r>
    </w:p>
    <w:p w14:paraId="6AD5EEA2">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33.2其他事</w:t>
      </w:r>
      <w:r>
        <w:rPr>
          <w:rFonts w:hint="eastAsia" w:ascii="宋体" w:hAnsi="宋体" w:eastAsia="宋体" w:cs="宋体"/>
          <w:color w:val="000000" w:themeColor="text1"/>
          <w14:textFill>
            <w14:solidFill>
              <w14:schemeClr w14:val="tx1"/>
            </w14:solidFill>
          </w14:textFill>
        </w:rPr>
        <w:t>项详见“供应商须知前附表”。</w:t>
      </w:r>
    </w:p>
    <w:p w14:paraId="534AAB92">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33.3</w:t>
      </w:r>
      <w:bookmarkStart w:id="71" w:name="_Hlk65857140"/>
      <w:r>
        <w:rPr>
          <w:rFonts w:hint="eastAsia" w:ascii="宋体" w:hAnsi="宋体" w:eastAsia="宋体" w:cs="宋体"/>
          <w:color w:val="000000" w:themeColor="text1"/>
          <w:kern w:val="0"/>
          <w:szCs w:val="21"/>
          <w14:textFill>
            <w14:solidFill>
              <w14:schemeClr w14:val="tx1"/>
            </w14:solidFill>
          </w14:textFill>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35E1657A">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6BC81D67">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（2）在工程采购项目中，工程由中小企业承建，即工程施工单位为中小企业，不对其中涉及的货物的制造商和服务的承接商作出要求；</w:t>
      </w:r>
    </w:p>
    <w:p w14:paraId="7186B549">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10C6D64E">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2D642F33">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依据本谈判文件规定享受扶持政策获得政府采购合同的，小微企业不得将合同分包给大中型企业，中型企业不得将合同分包给大型企业。</w:t>
      </w:r>
      <w:bookmarkEnd w:id="71"/>
    </w:p>
    <w:p w14:paraId="747A2117">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33.4政采贷相关说明</w:t>
      </w:r>
    </w:p>
    <w:p w14:paraId="1F7D2311">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线上“政采贷”是中国人民银行南宁中心支行和广西壮族自治区财政厅共同支持企业发展，针对参与政府采购活动的企业融资难、融资贵、融资慢、融资繁问题推出的一项融资政策。供应商若成为本次政府采购项目的中标（成交）供应商，可凭中标（成交）通知书或政府采购合同等在内的相关材料通过中征应收账款融资服务平台向银行业金融机构在线申请“政采贷”融资，融资机构将根据《中国人民银行南宁中心支行 广西壮族自治区财政厅关于推广线上“政采贷”融资模式的通知》（南宁银发〔2021〕258号），按照双方自愿的原则提供便捷、优惠的贷款服务。</w:t>
      </w:r>
    </w:p>
    <w:p w14:paraId="008E376D">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相关金融产品和银行业金融机构联系方式，可在中征应收账款融资服务平台查询（网址：https</w:t>
      </w:r>
      <w:r>
        <w:rPr>
          <w:rFonts w:hint="eastAsia" w:ascii="宋体" w:hAnsi="宋体" w:cs="宋体"/>
          <w:color w:val="000000" w:themeColor="text1"/>
          <w:kern w:val="0"/>
          <w:szCs w:val="21"/>
          <w:lang w:val="en-US"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//www.crcrfsp.com/，客服电话：400-009-0001）。</w:t>
      </w:r>
      <w:r>
        <w:rPr>
          <w:rFonts w:hint="eastAsia" w:ascii="宋体" w:hAnsi="宋体" w:eastAsia="宋体" w:cs="宋体"/>
          <w:bCs/>
          <w:color w:val="000000" w:themeColor="text1"/>
          <w:sz w:val="32"/>
          <w:szCs w:val="32"/>
          <w14:textFill>
            <w14:solidFill>
              <w14:schemeClr w14:val="tx1"/>
            </w14:solidFill>
          </w14:textFill>
        </w:rPr>
        <w:br w:type="page"/>
      </w:r>
    </w:p>
    <w:p w14:paraId="7F9E6E63">
      <w:pPr>
        <w:pStyle w:val="2"/>
        <w:jc w:val="center"/>
        <w:rPr>
          <w:rFonts w:hint="eastAsia" w:ascii="宋体" w:hAnsi="宋体" w:eastAsia="宋体" w:cs="宋体"/>
          <w:color w:val="000000" w:themeColor="text1"/>
          <w14:textFill>
            <w14:solidFill>
              <w14:schemeClr w14:val="tx1"/>
            </w14:solidFill>
          </w14:textFill>
        </w:rPr>
      </w:pPr>
      <w:bookmarkStart w:id="72" w:name="_Toc100252372"/>
      <w:r>
        <w:rPr>
          <w:rFonts w:hint="eastAsia" w:ascii="宋体" w:hAnsi="宋体" w:eastAsia="宋体" w:cs="宋体"/>
          <w:color w:val="000000" w:themeColor="text1"/>
          <w14:textFill>
            <w14:solidFill>
              <w14:schemeClr w14:val="tx1"/>
            </w14:solidFill>
          </w14:textFill>
        </w:rPr>
        <w:t>第三章</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采购需求</w:t>
      </w:r>
      <w:bookmarkEnd w:id="72"/>
    </w:p>
    <w:p w14:paraId="4231486A">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采购项目技术规格、参数及要求</w:t>
      </w:r>
    </w:p>
    <w:p w14:paraId="608F9D81">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说明：</w:t>
      </w:r>
    </w:p>
    <w:p w14:paraId="23FD8868">
      <w:pPr>
        <w:keepNext w:val="0"/>
        <w:keepLines w:val="0"/>
        <w:pageBreakBefore w:val="0"/>
        <w:kinsoku/>
        <w:wordWrap/>
        <w:overflowPunct/>
        <w:topLinePunct w:val="0"/>
        <w:autoSpaceDE/>
        <w:autoSpaceDN/>
        <w:bidi w:val="0"/>
        <w:adjustRightInd/>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1.为落实政府采购政策需满足的要求：</w:t>
      </w:r>
    </w:p>
    <w:p w14:paraId="12A372A3">
      <w:pPr>
        <w:keepNext w:val="0"/>
        <w:keepLines w:val="0"/>
        <w:pageBreakBefore w:val="0"/>
        <w:kinsoku/>
        <w:wordWrap/>
        <w:overflowPunct/>
        <w:topLinePunct w:val="0"/>
        <w:autoSpaceDE/>
        <w:autoSpaceDN/>
        <w:bidi w:val="0"/>
        <w:adjustRightInd/>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（1）本竞争性谈判采购文件所称中小企业必须符合《政府采购促进中小企业发展管理办法》（财库〔2020〕46号）的规定。</w:t>
      </w:r>
    </w:p>
    <w:p w14:paraId="0E5592D2">
      <w:pPr>
        <w:keepNext w:val="0"/>
        <w:keepLines w:val="0"/>
        <w:pageBreakBefore w:val="0"/>
        <w:kinsoku/>
        <w:wordWrap/>
        <w:overflowPunct/>
        <w:topLinePunct w:val="0"/>
        <w:autoSpaceDE/>
        <w:autoSpaceDN/>
        <w:bidi w:val="0"/>
        <w:adjustRightInd/>
        <w:spacing w:line="400" w:lineRule="exact"/>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”的，供应商必须在响应文件中提供所竞标产品的节能产品认证证书复印件（加盖供应商电子签章），否则响应文件按无效处理。如本项目包含的货物属于品目清单内非标注“</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”的产品时，应优先采购，具体详见“第四章评审程序和评定成交的标准”。</w:t>
      </w:r>
    </w:p>
    <w:p w14:paraId="28501A7B">
      <w:pPr>
        <w:keepNext w:val="0"/>
        <w:keepLines w:val="0"/>
        <w:pageBreakBefore w:val="0"/>
        <w:kinsoku/>
        <w:wordWrap/>
        <w:overflowPunct/>
        <w:topLinePunct w:val="0"/>
        <w:autoSpaceDE/>
        <w:autoSpaceDN/>
        <w:bidi w:val="0"/>
        <w:adjustRightInd/>
        <w:spacing w:line="400" w:lineRule="exact"/>
        <w:ind w:firstLine="426" w:firstLineChars="202"/>
        <w:jc w:val="left"/>
        <w:rPr>
          <w:rFonts w:hint="eastAsia" w:ascii="宋体" w:hAnsi="宋体" w:eastAsia="宋体" w:cs="宋体"/>
        </w:rPr>
      </w:pPr>
      <w:r>
        <w:rPr>
          <w:rFonts w:hint="eastAsia" w:ascii="宋体" w:hAnsi="宋体" w:eastAsia="宋体" w:cs="宋体"/>
          <w:b/>
          <w:color w:val="000000" w:themeColor="text1"/>
          <w:szCs w:val="21"/>
          <w14:textFill>
            <w14:solidFill>
              <w14:schemeClr w14:val="tx1"/>
            </w14:solidFill>
          </w14:textFill>
        </w:rPr>
        <w:t>（3）</w:t>
      </w:r>
      <w:r>
        <w:rPr>
          <w:rFonts w:hint="eastAsia" w:ascii="宋体" w:hAnsi="宋体" w:eastAsia="宋体" w:cs="宋体"/>
          <w:b/>
          <w:szCs w:val="21"/>
        </w:rPr>
        <w:t>本项目为货物类项目，供应商在出具《中小企业声明函》时，只需对本项目中的货物的制造商做出规模承诺，不对其中涉及的服务承接商作出要求。</w:t>
      </w:r>
    </w:p>
    <w:p w14:paraId="7CB7F2F2">
      <w:pPr>
        <w:keepNext w:val="0"/>
        <w:keepLines w:val="0"/>
        <w:pageBreakBefore w:val="0"/>
        <w:kinsoku/>
        <w:wordWrap/>
        <w:overflowPunct/>
        <w:topLinePunct w:val="0"/>
        <w:autoSpaceDE/>
        <w:autoSpaceDN/>
        <w:bidi w:val="0"/>
        <w:adjustRightInd/>
        <w:spacing w:line="400" w:lineRule="exact"/>
        <w:ind w:firstLine="424" w:firstLineChars="202"/>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2.“实质性要求”是指采购需求中带“</w:t>
      </w:r>
      <w:r>
        <w:rPr>
          <w:rFonts w:hint="eastAsia" w:ascii="宋体" w:hAnsi="宋体" w:eastAsia="宋体" w:cs="宋体"/>
          <w:kern w:val="0"/>
          <w:sz w:val="21"/>
          <w:szCs w:val="21"/>
          <w:lang w:bidi="ar"/>
        </w:rPr>
        <w:t>▲</w:t>
      </w:r>
      <w:r>
        <w:rPr>
          <w:rFonts w:hint="eastAsia" w:ascii="宋体" w:hAnsi="宋体" w:eastAsia="宋体" w:cs="宋体"/>
          <w:color w:val="000000" w:themeColor="text1"/>
          <w:szCs w:val="21"/>
          <w14:textFill>
            <w14:solidFill>
              <w14:schemeClr w14:val="tx1"/>
            </w14:solidFill>
          </w14:textFill>
        </w:rPr>
        <w:t>”的条款或者不能负偏离的条款或者已经指明不满足按响应文件按无效处理的条款。</w:t>
      </w:r>
    </w:p>
    <w:p w14:paraId="72135B2F">
      <w:pPr>
        <w:keepNext w:val="0"/>
        <w:keepLines w:val="0"/>
        <w:pageBreakBefore w:val="0"/>
        <w:kinsoku/>
        <w:wordWrap/>
        <w:overflowPunct/>
        <w:topLinePunct w:val="0"/>
        <w:autoSpaceDE/>
        <w:autoSpaceDN/>
        <w:bidi w:val="0"/>
        <w:adjustRightInd/>
        <w:spacing w:line="400" w:lineRule="exact"/>
        <w:ind w:firstLine="424" w:firstLineChars="202"/>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3.采购需求中出现的品牌、型号或者生产供应商仅起参考作用，不属于指定品牌、型号或者生产供应商的情形。供应商可参照或者选用其他相当的品牌、型号或者生产供应商替代。</w:t>
      </w:r>
    </w:p>
    <w:p w14:paraId="3F2BF7F2">
      <w:pPr>
        <w:keepNext w:val="0"/>
        <w:keepLines w:val="0"/>
        <w:pageBreakBefore w:val="0"/>
        <w:kinsoku/>
        <w:wordWrap/>
        <w:overflowPunct/>
        <w:topLinePunct w:val="0"/>
        <w:autoSpaceDE/>
        <w:autoSpaceDN/>
        <w:bidi w:val="0"/>
        <w:adjustRightInd/>
        <w:spacing w:line="400" w:lineRule="exact"/>
        <w:ind w:firstLine="424" w:firstLineChars="202"/>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供应商必须自行为其竞标产品侵犯他人的知识产权或者专利成果的行为承担相应法律责任。</w:t>
      </w:r>
    </w:p>
    <w:p w14:paraId="0D918013">
      <w:pPr>
        <w:keepNext w:val="0"/>
        <w:keepLines w:val="0"/>
        <w:pageBreakBefore w:val="0"/>
        <w:kinsoku/>
        <w:wordWrap/>
        <w:overflowPunct/>
        <w:topLinePunct w:val="0"/>
        <w:autoSpaceDE/>
        <w:autoSpaceDN/>
        <w:bidi w:val="0"/>
        <w:adjustRightInd/>
        <w:spacing w:line="400" w:lineRule="exact"/>
        <w:ind w:firstLine="426" w:firstLineChars="202"/>
        <w:jc w:val="left"/>
        <w:rPr>
          <w:rFonts w:hint="default"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5.本项目标</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第1项产品（</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持续血液透析机</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）为核心产品，</w:t>
      </w:r>
      <w:r>
        <w:rPr>
          <w:rFonts w:hint="eastAsia" w:ascii="宋体" w:hAnsi="宋体" w:cs="宋体"/>
          <w:b/>
          <w:bCs/>
          <w:color w:val="000000"/>
          <w:szCs w:val="21"/>
          <w:highlight w:val="none"/>
          <w:lang w:val="en-US" w:eastAsia="zh-CN"/>
        </w:rPr>
        <w:t>提供相同品牌产品的不同供应商参加同一合同项下谈判的，以其中通过资格审查、符合性审查且报价最低的参加谈判；报价相同的，</w:t>
      </w:r>
      <w:r>
        <w:rPr>
          <w:rFonts w:hint="eastAsia" w:ascii="宋体" w:hAnsi="宋体" w:eastAsia="宋体" w:cs="宋体"/>
          <w:b/>
          <w:bCs/>
          <w:color w:val="000000" w:themeColor="text1"/>
          <w:sz w:val="21"/>
          <w:szCs w:val="21"/>
          <w:highlight w:val="none"/>
          <w14:textFill>
            <w14:solidFill>
              <w14:schemeClr w14:val="tx1"/>
            </w14:solidFill>
          </w14:textFill>
        </w:rPr>
        <w:t>由采购人自主选择确定一家供应商参加评审，其他竞标无效。</w:t>
      </w:r>
    </w:p>
    <w:p w14:paraId="4EA14B79">
      <w:pPr>
        <w:keepNext w:val="0"/>
        <w:keepLines w:val="0"/>
        <w:pageBreakBefore w:val="0"/>
        <w:kinsoku/>
        <w:wordWrap/>
        <w:overflowPunct/>
        <w:topLinePunct w:val="0"/>
        <w:autoSpaceDE/>
        <w:autoSpaceDN/>
        <w:bidi w:val="0"/>
        <w:adjustRightInd/>
        <w:spacing w:line="400" w:lineRule="exact"/>
        <w:ind w:firstLine="424" w:firstLineChars="202"/>
        <w:jc w:val="left"/>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供应商应根据自身实际情况如实响应</w:t>
      </w:r>
      <w:r>
        <w:rPr>
          <w:rFonts w:hint="eastAsia" w:ascii="宋体" w:hAnsi="宋体" w:eastAsia="宋体" w:cs="宋体"/>
          <w:color w:val="000000"/>
          <w:szCs w:val="21"/>
          <w:highlight w:val="none"/>
          <w:lang w:eastAsia="zh-CN"/>
        </w:rPr>
        <w:t>谈判文件</w:t>
      </w:r>
      <w:r>
        <w:rPr>
          <w:rFonts w:hint="eastAsia" w:ascii="宋体" w:hAnsi="宋体" w:eastAsia="宋体" w:cs="宋体"/>
          <w:color w:val="000000"/>
          <w:szCs w:val="21"/>
          <w:highlight w:val="none"/>
        </w:rPr>
        <w:t>，不得仅将</w:t>
      </w:r>
      <w:r>
        <w:rPr>
          <w:rFonts w:hint="eastAsia" w:ascii="宋体" w:hAnsi="宋体" w:eastAsia="宋体" w:cs="宋体"/>
          <w:color w:val="000000"/>
          <w:szCs w:val="21"/>
          <w:highlight w:val="none"/>
          <w:lang w:eastAsia="zh-CN"/>
        </w:rPr>
        <w:t>谈判</w:t>
      </w:r>
      <w:r>
        <w:rPr>
          <w:rFonts w:hint="eastAsia" w:ascii="宋体" w:hAnsi="宋体" w:eastAsia="宋体" w:cs="宋体"/>
          <w:color w:val="000000"/>
          <w:szCs w:val="21"/>
          <w:highlight w:val="none"/>
        </w:rPr>
        <w:t>文件</w:t>
      </w:r>
      <w:r>
        <w:rPr>
          <w:rFonts w:hint="eastAsia" w:ascii="宋体" w:hAnsi="宋体" w:eastAsia="宋体" w:cs="宋体"/>
          <w:color w:val="000000"/>
          <w:szCs w:val="21"/>
          <w:highlight w:val="none"/>
          <w:lang w:eastAsia="zh-CN"/>
        </w:rPr>
        <w:t>中“</w:t>
      </w:r>
      <w:r>
        <w:rPr>
          <w:rFonts w:hint="eastAsia" w:ascii="宋体" w:hAnsi="宋体" w:eastAsia="宋体" w:cs="宋体"/>
          <w:color w:val="000000"/>
          <w:sz w:val="21"/>
          <w:szCs w:val="21"/>
          <w:highlight w:val="none"/>
          <w:lang w:eastAsia="zh-CN"/>
        </w:rPr>
        <w:t>技术参数要求</w:t>
      </w:r>
      <w:r>
        <w:rPr>
          <w:rFonts w:hint="eastAsia" w:ascii="宋体" w:hAnsi="宋体" w:eastAsia="宋体" w:cs="宋体"/>
          <w:color w:val="000000"/>
          <w:szCs w:val="21"/>
          <w:highlight w:val="none"/>
          <w:lang w:eastAsia="zh-CN"/>
        </w:rPr>
        <w:t>”或“商务要求”</w:t>
      </w:r>
      <w:r>
        <w:rPr>
          <w:rFonts w:hint="eastAsia" w:ascii="宋体" w:hAnsi="宋体" w:eastAsia="宋体" w:cs="宋体"/>
          <w:color w:val="000000"/>
          <w:szCs w:val="21"/>
          <w:highlight w:val="none"/>
        </w:rPr>
        <w:t>内容简单复制粘贴作为</w:t>
      </w:r>
      <w:r>
        <w:rPr>
          <w:rFonts w:hint="eastAsia" w:ascii="宋体" w:hAnsi="宋体" w:eastAsia="宋体" w:cs="宋体"/>
          <w:color w:val="000000"/>
          <w:szCs w:val="21"/>
          <w:highlight w:val="none"/>
          <w:lang w:eastAsia="zh-CN"/>
        </w:rPr>
        <w:t>投标</w:t>
      </w:r>
      <w:r>
        <w:rPr>
          <w:rFonts w:hint="eastAsia" w:ascii="宋体" w:hAnsi="宋体" w:eastAsia="宋体" w:cs="宋体"/>
          <w:color w:val="000000"/>
          <w:szCs w:val="21"/>
          <w:highlight w:val="none"/>
        </w:rPr>
        <w:t>响应，</w:t>
      </w:r>
      <w:r>
        <w:rPr>
          <w:rFonts w:hint="eastAsia" w:ascii="宋体" w:hAnsi="宋体" w:eastAsia="宋体" w:cs="宋体"/>
          <w:b/>
          <w:bCs/>
          <w:color w:val="000000"/>
          <w:szCs w:val="21"/>
          <w:highlight w:val="none"/>
        </w:rPr>
        <w:t>否则将按无效响应处理</w:t>
      </w:r>
      <w:r>
        <w:rPr>
          <w:rFonts w:hint="eastAsia" w:ascii="宋体" w:hAnsi="宋体" w:eastAsia="宋体" w:cs="宋体"/>
          <w:color w:val="000000"/>
          <w:szCs w:val="21"/>
          <w:highlight w:val="none"/>
        </w:rPr>
        <w:t>。</w:t>
      </w:r>
      <w:r>
        <w:rPr>
          <w:rFonts w:hint="eastAsia" w:ascii="宋体" w:hAnsi="宋体" w:eastAsia="宋体" w:cs="宋体"/>
          <w:color w:val="000000"/>
          <w:highlight w:val="none"/>
        </w:rPr>
        <w:t>对于重要技术条款或技术参数应当在</w:t>
      </w:r>
      <w:r>
        <w:rPr>
          <w:rFonts w:hint="eastAsia" w:ascii="宋体" w:hAnsi="宋体" w:eastAsia="宋体" w:cs="宋体"/>
          <w:color w:val="000000"/>
          <w:highlight w:val="none"/>
          <w:lang w:eastAsia="zh-CN"/>
        </w:rPr>
        <w:t>响应文件</w:t>
      </w:r>
      <w:r>
        <w:rPr>
          <w:rFonts w:hint="eastAsia" w:ascii="宋体" w:hAnsi="宋体" w:eastAsia="宋体" w:cs="宋体"/>
          <w:color w:val="000000"/>
          <w:highlight w:val="none"/>
        </w:rPr>
        <w:t>中提供技</w:t>
      </w:r>
      <w:r>
        <w:rPr>
          <w:rFonts w:hint="eastAsia" w:ascii="宋体" w:hAnsi="宋体" w:eastAsia="宋体" w:cs="宋体"/>
          <w:szCs w:val="21"/>
          <w:highlight w:val="none"/>
          <w:lang w:val="en-US" w:eastAsia="zh-CN"/>
        </w:rPr>
        <w:t>术支持资料（如有），技术支持资料以投标文件中规定的形式为准，</w:t>
      </w:r>
      <w:r>
        <w:rPr>
          <w:rFonts w:hint="eastAsia" w:ascii="宋体" w:hAnsi="宋体" w:eastAsia="宋体" w:cs="宋体"/>
          <w:b w:val="0"/>
          <w:bCs w:val="0"/>
          <w:szCs w:val="21"/>
          <w:highlight w:val="none"/>
          <w:lang w:val="en-US" w:eastAsia="zh-CN"/>
        </w:rPr>
        <w:t>否则将视为无效技术支持资料</w:t>
      </w:r>
      <w:r>
        <w:rPr>
          <w:rFonts w:hint="eastAsia" w:ascii="宋体" w:hAnsi="宋体" w:eastAsia="宋体" w:cs="宋体"/>
          <w:szCs w:val="21"/>
          <w:highlight w:val="none"/>
          <w:lang w:val="en-US" w:eastAsia="zh-CN"/>
        </w:rPr>
        <w:t>。</w:t>
      </w:r>
    </w:p>
    <w:p w14:paraId="06548CDC">
      <w:pPr>
        <w:keepNext w:val="0"/>
        <w:keepLines w:val="0"/>
        <w:pageBreakBefore w:val="0"/>
        <w:kinsoku/>
        <w:wordWrap/>
        <w:overflowPunct/>
        <w:topLinePunct w:val="0"/>
        <w:autoSpaceDE/>
        <w:autoSpaceDN/>
        <w:bidi w:val="0"/>
        <w:adjustRightInd/>
        <w:spacing w:line="400" w:lineRule="exact"/>
        <w:ind w:firstLine="310" w:firstLineChars="147"/>
        <w:jc w:val="left"/>
        <w:rPr>
          <w:rFonts w:hint="eastAsia" w:ascii="宋体" w:hAnsi="宋体" w:eastAsia="宋体" w:cs="宋体"/>
          <w:b/>
          <w:color w:val="000000" w:themeColor="text1"/>
          <w:szCs w:val="21"/>
          <w:u w:val="single"/>
          <w:lang w:eastAsia="zh-CN"/>
          <w14:textFill>
            <w14:solidFill>
              <w14:schemeClr w14:val="tx1"/>
            </w14:solidFill>
          </w14:textFill>
        </w:rPr>
      </w:pPr>
      <w:bookmarkStart w:id="73" w:name="_Hlk48036094"/>
      <w:bookmarkStart w:id="74" w:name="OLE_LINK37"/>
      <w:r>
        <w:rPr>
          <w:rFonts w:hint="eastAsia" w:ascii="宋体" w:hAnsi="宋体" w:eastAsia="宋体" w:cs="宋体"/>
          <w:b/>
          <w:color w:val="000000" w:themeColor="text1"/>
          <w:szCs w:val="21"/>
          <w14:textFill>
            <w14:solidFill>
              <w14:schemeClr w14:val="tx1"/>
            </w14:solidFill>
          </w14:textFill>
        </w:rPr>
        <w:t>采购预算：213.8</w:t>
      </w:r>
      <w:r>
        <w:rPr>
          <w:rFonts w:hint="eastAsia" w:ascii="宋体" w:hAnsi="宋体" w:cs="宋体"/>
          <w:b/>
          <w:color w:val="000000" w:themeColor="text1"/>
          <w:szCs w:val="21"/>
          <w:u w:val="none"/>
          <w:lang w:eastAsia="zh-CN"/>
          <w14:textFill>
            <w14:solidFill>
              <w14:schemeClr w14:val="tx1"/>
            </w14:solidFill>
          </w14:textFill>
        </w:rPr>
        <w:t>万元</w:t>
      </w:r>
    </w:p>
    <w:bookmarkEnd w:id="73"/>
    <w:bookmarkEnd w:id="74"/>
    <w:tbl>
      <w:tblPr>
        <w:tblStyle w:val="24"/>
        <w:tblW w:w="10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8"/>
        <w:gridCol w:w="802"/>
        <w:gridCol w:w="268"/>
        <w:gridCol w:w="915"/>
        <w:gridCol w:w="780"/>
        <w:gridCol w:w="6720"/>
      </w:tblGrid>
      <w:tr w14:paraId="49072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739E3817">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70" w:type="dxa"/>
            <w:gridSpan w:val="2"/>
            <w:vAlign w:val="center"/>
          </w:tcPr>
          <w:p w14:paraId="727E410D">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标的名称</w:t>
            </w:r>
          </w:p>
        </w:tc>
        <w:tc>
          <w:tcPr>
            <w:tcW w:w="915" w:type="dxa"/>
            <w:vAlign w:val="center"/>
          </w:tcPr>
          <w:p w14:paraId="13AE2280">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780" w:type="dxa"/>
            <w:vAlign w:val="center"/>
          </w:tcPr>
          <w:p w14:paraId="4F6DED41">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6720" w:type="dxa"/>
            <w:vAlign w:val="center"/>
          </w:tcPr>
          <w:p w14:paraId="7E23F686">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eastAsia="zh-CN"/>
              </w:rPr>
              <w:t>参数</w:t>
            </w:r>
            <w:r>
              <w:rPr>
                <w:rFonts w:hint="eastAsia" w:ascii="宋体" w:hAnsi="宋体" w:eastAsia="宋体" w:cs="宋体"/>
                <w:color w:val="auto"/>
                <w:sz w:val="21"/>
                <w:szCs w:val="21"/>
                <w:highlight w:val="none"/>
              </w:rPr>
              <w:t>要求</w:t>
            </w:r>
          </w:p>
        </w:tc>
      </w:tr>
      <w:tr w14:paraId="050FD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35F3D80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bookmarkStart w:id="75" w:name="_Hlk100245950"/>
            <w:r>
              <w:rPr>
                <w:rFonts w:hint="eastAsia" w:ascii="宋体" w:hAnsi="宋体" w:eastAsia="宋体" w:cs="宋体"/>
                <w:color w:val="auto"/>
                <w:sz w:val="21"/>
                <w:szCs w:val="21"/>
                <w:highlight w:val="none"/>
              </w:rPr>
              <w:t>1</w:t>
            </w:r>
          </w:p>
        </w:tc>
        <w:tc>
          <w:tcPr>
            <w:tcW w:w="1070" w:type="dxa"/>
            <w:gridSpan w:val="2"/>
            <w:shd w:val="clear" w:color="auto" w:fill="auto"/>
            <w:vAlign w:val="center"/>
          </w:tcPr>
          <w:p w14:paraId="549ED03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持续血液透析机</w:t>
            </w:r>
          </w:p>
        </w:tc>
        <w:tc>
          <w:tcPr>
            <w:tcW w:w="915" w:type="dxa"/>
            <w:shd w:val="clear" w:color="auto" w:fill="auto"/>
            <w:vAlign w:val="center"/>
          </w:tcPr>
          <w:p w14:paraId="432C7C7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ascii="宋体" w:hAnsi="宋体" w:cs="宋体"/>
                <w:color w:val="auto"/>
                <w:kern w:val="2"/>
                <w:sz w:val="21"/>
                <w:szCs w:val="21"/>
                <w:highlight w:val="none"/>
                <w:lang w:eastAsia="zh-CN" w:bidi="ar-SA"/>
              </w:rPr>
              <w:t>2</w:t>
            </w:r>
            <w:r>
              <w:rPr>
                <w:rFonts w:hint="default" w:ascii="宋体" w:hAnsi="宋体" w:cs="宋体"/>
                <w:color w:val="000000" w:themeColor="text1"/>
                <w:sz w:val="21"/>
                <w:szCs w:val="21"/>
                <w14:textFill>
                  <w14:solidFill>
                    <w14:schemeClr w14:val="tx1"/>
                  </w14:solidFill>
                </w14:textFill>
              </w:rPr>
              <w:t>台</w:t>
            </w:r>
          </w:p>
        </w:tc>
        <w:tc>
          <w:tcPr>
            <w:tcW w:w="780" w:type="dxa"/>
            <w:vAlign w:val="center"/>
          </w:tcPr>
          <w:p w14:paraId="78B018C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工业</w:t>
            </w:r>
          </w:p>
        </w:tc>
        <w:tc>
          <w:tcPr>
            <w:tcW w:w="6720" w:type="dxa"/>
            <w:shd w:val="clear" w:color="auto" w:fill="auto"/>
            <w:vAlign w:val="center"/>
          </w:tcPr>
          <w:p w14:paraId="76F20EA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1.产品技术参数</w:t>
            </w:r>
          </w:p>
          <w:p w14:paraId="692DA6C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1.1主机</w:t>
            </w:r>
          </w:p>
          <w:p w14:paraId="540DB4C2">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1.1.1全中文引导式的操作指引。</w:t>
            </w:r>
          </w:p>
          <w:p w14:paraId="671054E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1.1.2 7泵（含一个肝素泵/钙泵），提供全面CRRT治疗方案。</w:t>
            </w:r>
          </w:p>
          <w:p w14:paraId="75E5092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1.1.3 5个独立高精度电子秤（颜色标识），分别监控血泵，血泵前泵，置换液泵，透析液泵，废液泵和自动废液系统泵。</w:t>
            </w:r>
          </w:p>
          <w:p w14:paraId="723B3BE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1.1.4配置不少于4个夹管阀，2个用于治疗中前后稀释置换液的转换，单独使一个时可以用于所有治疗模式。2个自动废液系统夹管阀用于切换两个废液泵，无间断泵出废液。</w:t>
            </w:r>
          </w:p>
          <w:p w14:paraId="1C458E1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1.1.5采用一体化整机和预连接管路，可视觉检测配套部件安装是否到位。</w:t>
            </w:r>
          </w:p>
          <w:p w14:paraId="79DD9F82">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1.1.6具备防静电装置，能对心电监护的静电干扰降至最低、防除颤CF型应用部分。</w:t>
            </w:r>
          </w:p>
          <w:p w14:paraId="3C2F723E">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1.1.7配置条形码阅读器，自动识别配套型号、追踪配套使用情况，自动设定治疗设定范围。</w:t>
            </w:r>
          </w:p>
          <w:p w14:paraId="0A39FF0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1.2操作屏幕</w:t>
            </w:r>
          </w:p>
          <w:p w14:paraId="4413C060">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1.2.1彩色液晶触摸屏≥15寸，显示关键治疗数据（处方，流量，压力，抗凝等）。</w:t>
            </w:r>
          </w:p>
          <w:p w14:paraId="42B1DD92">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1.2.2快速自动预充程序时间≤5分钟。上机自动视觉检测配套部件安装是否到位。</w:t>
            </w:r>
          </w:p>
          <w:p w14:paraId="178E8A3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1.2.3可实时显示治疗历史的总滤过量，置换液量，透析液量，血泵前液量和治疗时间。</w:t>
            </w:r>
          </w:p>
          <w:p w14:paraId="522B7206">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1.2.4主界面可显示所有治疗参数，包括以图形显示的压力值，比如滤器压力降和TMP（跨膜压）。</w:t>
            </w:r>
          </w:p>
          <w:p w14:paraId="74F23963">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1.3治疗模式</w:t>
            </w:r>
          </w:p>
          <w:p w14:paraId="4215781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1.3.1可选择的CRRT治疗方式≥4种，包括连续静脉血液滤过（CVVH）、连续静脉血液透析（CVVHD）、连续静脉血液透析滤过（CVVHDF）、缓慢持续超滤（SCUF）。</w:t>
            </w:r>
          </w:p>
          <w:p w14:paraId="5C028C2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1.3.2采用开放式系统，可联合不同的滤器扩展新的治疗，包括血液灌流（HP）、血浆置换（TPE）、吸附、ECMO等。</w:t>
            </w:r>
          </w:p>
          <w:p w14:paraId="3A09AE76">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1.3.3在不更换、不手动分离配套管路下实行包括前稀释CVVH/CVVHDF、后稀释CVVH/CVVHDF、前加后稀释CVVH/CVVHDF。</w:t>
            </w:r>
          </w:p>
          <w:p w14:paraId="0EADE759">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1.3.4抗凝方式选择应包括无抗凝、肝素、枸橼酸/钙、奈莫斯他。</w:t>
            </w:r>
          </w:p>
          <w:p w14:paraId="0DA77EC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1.4流速范围</w:t>
            </w:r>
          </w:p>
          <w:p w14:paraId="610F28D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1.4.1置换液速度：0～8000ml/h；增量：10ml/h。</w:t>
            </w:r>
          </w:p>
          <w:p w14:paraId="034C7AE1">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1.4.2血液流速：10～450ml/min；增量：1ml/min。</w:t>
            </w:r>
          </w:p>
          <w:p w14:paraId="614E68A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1.4.3透析液速度：0～8000ml/h；增量：10ml/h。</w:t>
            </w:r>
          </w:p>
          <w:p w14:paraId="7F9A1831">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1.4.4废液速度：0～10000ml/h，（置换液+透析液+血泵前补液+滤出液≤10000ml/h）。</w:t>
            </w:r>
          </w:p>
          <w:p w14:paraId="53E596C3">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1.4.5血泵前泵（PBP）：0，10～4000ml/h；增量：2ml/h。</w:t>
            </w:r>
          </w:p>
          <w:p w14:paraId="04B1C20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1.4.6患者脱水：0，10～2000ml/h；增量：5ml/h。</w:t>
            </w:r>
          </w:p>
          <w:p w14:paraId="48EE70C0">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1.4.7精确度：±10%。</w:t>
            </w:r>
          </w:p>
          <w:p w14:paraId="40F90979">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1.5压力监测范围</w:t>
            </w:r>
          </w:p>
          <w:p w14:paraId="34C0BA9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1.5.1输入压：-250～+450mmHg，精准度：±15mmHg。</w:t>
            </w:r>
          </w:p>
          <w:p w14:paraId="4188C893">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1.5.2回输压：-50～+350mmHg，精准度：±5mmHg。</w:t>
            </w:r>
          </w:p>
          <w:p w14:paraId="1EDE5719">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1.5.3滤器前压：-50～+450mmHg，精准度：±15mmHg。</w:t>
            </w:r>
          </w:p>
          <w:p w14:paraId="617E2BD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1.5.4废液压：-350～+400mmHg，精准度：±15mmHg。</w:t>
            </w:r>
          </w:p>
          <w:p w14:paraId="2FF69C8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1.6液体控制</w:t>
            </w:r>
          </w:p>
          <w:p w14:paraId="25B1FFC1">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1.6.1液体平衡秤：不少于5个电子秤，可分别监测透析液、置换液、血泵前输液的使用和排出的废液量，以及自动废液系统的废液量；称重范围：0～11kg；精度：0～5200g±7.0g，5200～11000g±14.0g。</w:t>
            </w:r>
          </w:p>
          <w:p w14:paraId="57707073">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1.6.2直接静脉血液加温，避免产生气泡。</w:t>
            </w:r>
          </w:p>
          <w:p w14:paraId="221C3E0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1.7报警及安全系统</w:t>
            </w:r>
          </w:p>
          <w:p w14:paraId="37E8DD5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1.7.1具备不少于4个独立检测压力传感器，包括滤器前压力传感器、废液压力传感器、血液入口压力传感器、血液回路压力传感器</w:t>
            </w:r>
            <w:r>
              <w:rPr>
                <w:rFonts w:hint="eastAsia" w:ascii="宋体" w:hAnsi="宋体" w:cs="宋体"/>
                <w:b w:val="0"/>
                <w:bCs w:val="0"/>
                <w:color w:val="auto"/>
                <w:sz w:val="21"/>
                <w:szCs w:val="21"/>
                <w:highlight w:val="none"/>
                <w:lang w:val="en-US" w:eastAsia="zh-CN"/>
              </w:rPr>
              <w:t>。</w:t>
            </w:r>
          </w:p>
          <w:p w14:paraId="276DC5B3">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1.7.2静脉壶≥8m1，后置换模式无气-血界面。静脉壶液位传感器，自动维持液面高度</w:t>
            </w:r>
            <w:r>
              <w:rPr>
                <w:rFonts w:hint="eastAsia" w:ascii="宋体" w:hAnsi="宋体" w:cs="宋体"/>
                <w:b w:val="0"/>
                <w:bCs w:val="0"/>
                <w:color w:val="auto"/>
                <w:sz w:val="21"/>
                <w:szCs w:val="21"/>
                <w:highlight w:val="none"/>
                <w:lang w:val="en-US" w:eastAsia="zh-CN"/>
              </w:rPr>
              <w:t>。</w:t>
            </w:r>
          </w:p>
          <w:p w14:paraId="42085B1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1.7.3软件智能调节废液泵转速，脱水量自动补偿功能，CRRT达成剂量≥处方剂量99.8%以上。</w:t>
            </w:r>
          </w:p>
          <w:p w14:paraId="5BF7AA3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1.7.4采用自动废液系统。</w:t>
            </w:r>
          </w:p>
          <w:p w14:paraId="57A5AFB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1.7.5内置抗静电装置，避免对ECG（心电图）、监护仪的干扰，防除颤CF型应用部分。</w:t>
            </w:r>
          </w:p>
          <w:p w14:paraId="3DECD1D4">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1.7.6采用自动回血，可预设回血量、回血速度、一键触控，可临时中断循环程序。</w:t>
            </w:r>
          </w:p>
          <w:p w14:paraId="65E9F251">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1.7.7智能报警系统配备报警解除的图文提示，提供自清除压力报警供临床参考。</w:t>
            </w:r>
          </w:p>
          <w:p w14:paraId="45E5C364">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1.7.8漏血探测器：当废液流速低于5500ml/h时，Hct25%，漏血＞0.35ml/min；当废液流速最高时，Hct32%，漏血＞0.50ml/min。</w:t>
            </w:r>
          </w:p>
          <w:p w14:paraId="26238363">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1.7.9超声空气探测器：可探测单个容积≥20μl气泡。</w:t>
            </w:r>
          </w:p>
          <w:p w14:paraId="00D93A7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1</w:t>
            </w:r>
            <w:r>
              <w:rPr>
                <w:rFonts w:hint="eastAsia" w:ascii="宋体" w:hAnsi="宋体" w:eastAsia="宋体" w:cs="宋体"/>
                <w:b/>
                <w:bCs/>
                <w:color w:val="auto"/>
                <w:sz w:val="21"/>
                <w:szCs w:val="21"/>
                <w:highlight w:val="none"/>
                <w:lang w:val="en-US" w:eastAsia="zh-CN"/>
              </w:rPr>
              <w:t>.7.10底座漏液探测器：漏液监测精度≤50ml。</w:t>
            </w:r>
          </w:p>
          <w:p w14:paraId="4C303E2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1.7.11配备后备电源：电池充满电可维持治疗30分钟以上；在断电模式下，血泵、置换液泵、透析液泵、废液泵、血泵前泵、肝素泵均能运转。</w:t>
            </w:r>
          </w:p>
          <w:p w14:paraId="441B83E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1.7.12具备手持扫描枪：可扫描配套管路、患者手腕ID条形码、一次性血液加温管路和自动废液收集配套和自动废液延长管。确保患者与耗材、疗法匹配。</w:t>
            </w:r>
          </w:p>
          <w:p w14:paraId="482A0C6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1.8耗材及管路安装</w:t>
            </w:r>
          </w:p>
          <w:p w14:paraId="6DD4797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sz w:val="21"/>
                <w:szCs w:val="21"/>
                <w:highlight w:val="none"/>
                <w:lang w:val="en-US" w:eastAsia="zh-CN"/>
              </w:rPr>
              <w:t>1.8.1采用一体化耗材，具有颜色标识避免误操作，上机自动检测配套部件安装是否到位。</w:t>
            </w:r>
          </w:p>
          <w:p w14:paraId="7B57AFB2">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b w:val="0"/>
                <w:bCs w:val="0"/>
                <w:color w:val="auto"/>
                <w:sz w:val="21"/>
                <w:szCs w:val="21"/>
                <w:highlight w:val="none"/>
                <w:lang w:val="en-US" w:eastAsia="zh-CN"/>
              </w:rPr>
              <w:t>.8.2使用能吸附清除血液内细胞因子等炎症介质的滤器和管路配套，可以进行无抗凝治疗，有吸附内毒素配套耗材。</w:t>
            </w:r>
          </w:p>
          <w:p w14:paraId="796C0A8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1.8.3条形码阅读器：自动识别配套管路型号、追踪使用情况；自动设定治疗设定范围。</w:t>
            </w:r>
          </w:p>
          <w:p w14:paraId="7D85BEB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1.8.4一体化预连接管路，全自动安装泵管、配套快速预冲和自检。</w:t>
            </w:r>
          </w:p>
          <w:p w14:paraId="63BE8AE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1.8.5滤器与管路总容量58m1-189m1。</w:t>
            </w:r>
          </w:p>
          <w:p w14:paraId="18BBA3E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1.8.6采用全血管路减少血液与空气接触，降低凝血风险，减少血液丢失。</w:t>
            </w:r>
          </w:p>
          <w:p w14:paraId="7E9DE840">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1.8.7可满足从小儿到成人不同年龄段的治疗模式。</w:t>
            </w:r>
          </w:p>
          <w:p w14:paraId="114FB65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1.8.8处方保存功能，可一键调出已存处方，缩短上机时间。</w:t>
            </w:r>
          </w:p>
          <w:p w14:paraId="2F299B6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1.8.9无需增加其他设备/配件就可以使用枸橼酸或者肝素抗凝。</w:t>
            </w:r>
          </w:p>
          <w:p w14:paraId="6DA8D3B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1.9加温器：一体化智能血液加温仪</w:t>
            </w:r>
          </w:p>
          <w:p w14:paraId="4BCDC7D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1.9.1血液加温仪直接加热静脉血液，不受治疗流速影响，治疗中断期间加热不中断。</w:t>
            </w:r>
          </w:p>
          <w:p w14:paraId="28B76D2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1.9.2血液加温仪与系统联动控制。设定目标温度后，可依据参数变化自动调整回血温度。</w:t>
            </w:r>
          </w:p>
          <w:p w14:paraId="71BB2A1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1.9.3精确控制回血温度35～38℃，降低连续性血液净化的低体温发生率。</w:t>
            </w:r>
          </w:p>
          <w:p w14:paraId="2AD638F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1.10计算机网络接口</w:t>
            </w:r>
          </w:p>
          <w:p w14:paraId="4269DEC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1.10.1具备不少于2个RS232接口，可实现远程故障处理及网络数据传输；宽带接口保障对网络的需要。</w:t>
            </w:r>
          </w:p>
          <w:p w14:paraId="6EB5DE52">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1.10.2内置数据存储容量≥32GB，在存储器中可以记录不低于10年的正常使用数据（以每年使用1200小时计算）。</w:t>
            </w:r>
          </w:p>
          <w:p w14:paraId="688E48E3">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1.10.3软件操作系统提供终身免费升级。</w:t>
            </w:r>
          </w:p>
          <w:p w14:paraId="573A528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设备基础</w:t>
            </w:r>
            <w:r>
              <w:rPr>
                <w:rFonts w:hint="eastAsia" w:ascii="宋体" w:hAnsi="宋体" w:eastAsia="宋体" w:cs="宋体"/>
                <w:b/>
                <w:bCs/>
                <w:color w:val="auto"/>
                <w:sz w:val="21"/>
                <w:szCs w:val="21"/>
                <w:highlight w:val="none"/>
                <w:lang w:val="en-US" w:eastAsia="zh-CN"/>
              </w:rPr>
              <w:t>配置清单</w:t>
            </w:r>
          </w:p>
          <w:tbl>
            <w:tblPr>
              <w:tblStyle w:val="25"/>
              <w:tblW w:w="5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385"/>
              <w:gridCol w:w="1315"/>
              <w:gridCol w:w="1315"/>
            </w:tblGrid>
            <w:tr w14:paraId="30A9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09CE694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序号</w:t>
                  </w:r>
                </w:p>
              </w:tc>
              <w:tc>
                <w:tcPr>
                  <w:tcW w:w="2385" w:type="dxa"/>
                  <w:vAlign w:val="center"/>
                </w:tcPr>
                <w:p w14:paraId="018E6F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rPr>
                    <w:t>名称</w:t>
                  </w:r>
                </w:p>
              </w:tc>
              <w:tc>
                <w:tcPr>
                  <w:tcW w:w="1315" w:type="dxa"/>
                  <w:vAlign w:val="center"/>
                </w:tcPr>
                <w:p w14:paraId="542F6FDF">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15" w:type="dxa"/>
                  <w:vAlign w:val="center"/>
                </w:tcPr>
                <w:p w14:paraId="6EBB19FF">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单位</w:t>
                  </w:r>
                </w:p>
              </w:tc>
            </w:tr>
            <w:tr w14:paraId="604C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0EE6E8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w:t>
                  </w:r>
                </w:p>
              </w:tc>
              <w:tc>
                <w:tcPr>
                  <w:tcW w:w="2385" w:type="dxa"/>
                  <w:vAlign w:val="center"/>
                </w:tcPr>
                <w:p w14:paraId="0A1B2E21">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主机</w:t>
                  </w:r>
                </w:p>
              </w:tc>
              <w:tc>
                <w:tcPr>
                  <w:tcW w:w="1315" w:type="dxa"/>
                  <w:vAlign w:val="center"/>
                </w:tcPr>
                <w:p w14:paraId="5CB28EDA">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1</w:t>
                  </w:r>
                </w:p>
              </w:tc>
              <w:tc>
                <w:tcPr>
                  <w:tcW w:w="1315" w:type="dxa"/>
                  <w:vAlign w:val="center"/>
                </w:tcPr>
                <w:p w14:paraId="4B390095">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台</w:t>
                  </w:r>
                </w:p>
              </w:tc>
            </w:tr>
            <w:tr w14:paraId="693D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19FDD66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w:t>
                  </w:r>
                </w:p>
              </w:tc>
              <w:tc>
                <w:tcPr>
                  <w:tcW w:w="2385" w:type="dxa"/>
                  <w:vAlign w:val="center"/>
                </w:tcPr>
                <w:p w14:paraId="6CA9EEAA">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血液加温仪</w:t>
                  </w:r>
                </w:p>
              </w:tc>
              <w:tc>
                <w:tcPr>
                  <w:tcW w:w="1315" w:type="dxa"/>
                  <w:vAlign w:val="center"/>
                </w:tcPr>
                <w:p w14:paraId="681EE270">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1</w:t>
                  </w:r>
                </w:p>
              </w:tc>
              <w:tc>
                <w:tcPr>
                  <w:tcW w:w="1315" w:type="dxa"/>
                  <w:vAlign w:val="center"/>
                </w:tcPr>
                <w:p w14:paraId="35756E51">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个</w:t>
                  </w:r>
                </w:p>
              </w:tc>
            </w:tr>
            <w:tr w14:paraId="1769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09B3F4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3</w:t>
                  </w:r>
                </w:p>
              </w:tc>
              <w:tc>
                <w:tcPr>
                  <w:tcW w:w="2385" w:type="dxa"/>
                  <w:vAlign w:val="center"/>
                </w:tcPr>
                <w:p w14:paraId="0800B96D">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加温套管</w:t>
                  </w:r>
                </w:p>
              </w:tc>
              <w:tc>
                <w:tcPr>
                  <w:tcW w:w="1315" w:type="dxa"/>
                  <w:vAlign w:val="center"/>
                </w:tcPr>
                <w:p w14:paraId="5E497535">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1</w:t>
                  </w:r>
                </w:p>
              </w:tc>
              <w:tc>
                <w:tcPr>
                  <w:tcW w:w="1315" w:type="dxa"/>
                  <w:vAlign w:val="center"/>
                </w:tcPr>
                <w:p w14:paraId="625E6063">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个</w:t>
                  </w:r>
                </w:p>
              </w:tc>
            </w:tr>
            <w:tr w14:paraId="62B1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713172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4</w:t>
                  </w:r>
                </w:p>
              </w:tc>
              <w:tc>
                <w:tcPr>
                  <w:tcW w:w="2385" w:type="dxa"/>
                  <w:vAlign w:val="center"/>
                </w:tcPr>
                <w:p w14:paraId="027BE844">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加温器支架</w:t>
                  </w:r>
                </w:p>
              </w:tc>
              <w:tc>
                <w:tcPr>
                  <w:tcW w:w="1315" w:type="dxa"/>
                  <w:vAlign w:val="center"/>
                </w:tcPr>
                <w:p w14:paraId="2A35505A">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1</w:t>
                  </w:r>
                </w:p>
              </w:tc>
              <w:tc>
                <w:tcPr>
                  <w:tcW w:w="1315" w:type="dxa"/>
                  <w:vAlign w:val="center"/>
                </w:tcPr>
                <w:p w14:paraId="1F8DBD7F">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个</w:t>
                  </w:r>
                </w:p>
              </w:tc>
            </w:tr>
            <w:tr w14:paraId="2F25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20BFAC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5</w:t>
                  </w:r>
                </w:p>
              </w:tc>
              <w:tc>
                <w:tcPr>
                  <w:tcW w:w="2385" w:type="dxa"/>
                  <w:vAlign w:val="center"/>
                </w:tcPr>
                <w:p w14:paraId="7DB4E8A0">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eastAsia="zh-CN"/>
                    </w:rPr>
                    <w:t>秤调教套件</w:t>
                  </w:r>
                </w:p>
              </w:tc>
              <w:tc>
                <w:tcPr>
                  <w:tcW w:w="1315" w:type="dxa"/>
                  <w:vAlign w:val="center"/>
                </w:tcPr>
                <w:p w14:paraId="791CEBF6">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1</w:t>
                  </w:r>
                </w:p>
              </w:tc>
              <w:tc>
                <w:tcPr>
                  <w:tcW w:w="1315" w:type="dxa"/>
                  <w:vAlign w:val="center"/>
                </w:tcPr>
                <w:p w14:paraId="7D95E865">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个</w:t>
                  </w:r>
                </w:p>
              </w:tc>
            </w:tr>
            <w:tr w14:paraId="56C3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5C9546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6</w:t>
                  </w:r>
                </w:p>
              </w:tc>
              <w:tc>
                <w:tcPr>
                  <w:tcW w:w="2385" w:type="dxa"/>
                  <w:vAlign w:val="center"/>
                </w:tcPr>
                <w:p w14:paraId="0F9EBAE4">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质保期≥</w:t>
                  </w:r>
                </w:p>
              </w:tc>
              <w:tc>
                <w:tcPr>
                  <w:tcW w:w="1315" w:type="dxa"/>
                  <w:vAlign w:val="center"/>
                </w:tcPr>
                <w:p w14:paraId="2E018FFE">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3</w:t>
                  </w:r>
                </w:p>
              </w:tc>
              <w:tc>
                <w:tcPr>
                  <w:tcW w:w="1315" w:type="dxa"/>
                  <w:vAlign w:val="center"/>
                </w:tcPr>
                <w:p w14:paraId="71F6C0E1">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年</w:t>
                  </w:r>
                </w:p>
              </w:tc>
            </w:tr>
          </w:tbl>
          <w:p w14:paraId="03535B59">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p>
        </w:tc>
      </w:tr>
      <w:tr w14:paraId="7C688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39AF0AB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70" w:type="dxa"/>
            <w:gridSpan w:val="2"/>
            <w:shd w:val="clear" w:color="auto" w:fill="auto"/>
            <w:vAlign w:val="center"/>
          </w:tcPr>
          <w:p w14:paraId="717AFD1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电子支气管镜</w:t>
            </w:r>
          </w:p>
        </w:tc>
        <w:tc>
          <w:tcPr>
            <w:tcW w:w="915" w:type="dxa"/>
            <w:shd w:val="clear" w:color="auto" w:fill="auto"/>
            <w:vAlign w:val="center"/>
          </w:tcPr>
          <w:p w14:paraId="054F393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1套</w:t>
            </w:r>
          </w:p>
        </w:tc>
        <w:tc>
          <w:tcPr>
            <w:tcW w:w="780" w:type="dxa"/>
            <w:vAlign w:val="center"/>
          </w:tcPr>
          <w:p w14:paraId="0B4FF14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工业</w:t>
            </w:r>
          </w:p>
        </w:tc>
        <w:tc>
          <w:tcPr>
            <w:tcW w:w="6720" w:type="dxa"/>
            <w:shd w:val="clear" w:color="auto" w:fill="auto"/>
            <w:vAlign w:val="center"/>
          </w:tcPr>
          <w:p w14:paraId="7836952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1.电子支气管内窥镜技术参数</w:t>
            </w:r>
          </w:p>
          <w:p w14:paraId="732BC5C2">
            <w:pPr>
              <w:keepNext w:val="0"/>
              <w:keepLines w:val="0"/>
              <w:pageBreakBefore w:val="0"/>
              <w:numPr>
                <w:ilvl w:val="0"/>
                <w:numId w:val="2"/>
              </w:numPr>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操作手柄（含插入管）：</w:t>
            </w:r>
          </w:p>
          <w:p w14:paraId="36DA1A8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1.1适用范围：适用于气管、支气管及肺的观察、诊断、摄影或辅助治疗。</w:t>
            </w:r>
          </w:p>
          <w:p w14:paraId="255EC031">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▲1.2成像原理：电子成像技术，先端头内含LED发光二极管，产品不含导像、导光纤维。</w:t>
            </w:r>
          </w:p>
          <w:p w14:paraId="177D9E11">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1.3含有LED发光光源，光束角≤120°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波长范围380～780nm、功耗≤95mW。</w:t>
            </w:r>
          </w:p>
          <w:p w14:paraId="2E2D7654">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▲1.4软镜插入管外径≤4.9mm，工作管道内径≥2.6mm。</w:t>
            </w:r>
          </w:p>
          <w:p w14:paraId="78EB3CFE">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1.5插入部有效长度≥6</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自带有白色刻度标识，有利于操作者辨别诊治时的插入长度。</w:t>
            </w:r>
          </w:p>
          <w:p w14:paraId="27A90765">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1.6视场角≥120°。</w:t>
            </w:r>
          </w:p>
          <w:p w14:paraId="1DB88C68">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1.7景深：3～100mm。</w:t>
            </w:r>
          </w:p>
          <w:p w14:paraId="6F599A1A">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1.8插入管软管前端弯曲角度：向上弯曲≥180°，向下弯曲≥130°，双向弯曲≥310°。</w:t>
            </w:r>
          </w:p>
          <w:p w14:paraId="47D9E900">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1.9弯角手轮上应有操作方向U、D标记，角度把手调节至D处时，弯曲部向下弯曲，角度把手调节至U处时，弯曲部向上弯曲。</w:t>
            </w:r>
          </w:p>
          <w:p w14:paraId="0B5D0CC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1.10操作手柄具备左右旋转关节和转轴定位点白色刻度标识，可带动插入软管部先端左右旋转，向左≥120°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向右≥120°。</w:t>
            </w:r>
          </w:p>
          <w:p w14:paraId="380F5BB1">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1.11吸引阀座一体式防脱设计，解决吸引按钮易脱落的临床风险，无需专机专用耗材。</w:t>
            </w:r>
          </w:p>
          <w:p w14:paraId="56BE6E08">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▲1.12操作手柄具有≥</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个具备独立电子功能的按键。本条款所述参数内容应体现于产品说明书之中。</w:t>
            </w:r>
          </w:p>
          <w:p w14:paraId="759E9B9E">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1.13操作手柄上按键可控制大小屏切换功能</w:t>
            </w:r>
            <w:r>
              <w:rPr>
                <w:rFonts w:hint="eastAsia" w:ascii="宋体" w:hAnsi="宋体" w:eastAsia="宋体" w:cs="宋体"/>
                <w:color w:val="auto"/>
                <w:sz w:val="21"/>
                <w:szCs w:val="21"/>
                <w:highlight w:val="none"/>
                <w:lang w:eastAsia="zh-CN"/>
              </w:rPr>
              <w:t>。</w:t>
            </w:r>
          </w:p>
          <w:p w14:paraId="338686C6">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1.14操作手柄上按键可控制拍照录像功能，可在图像冻结或录像的同时进行拍照</w:t>
            </w:r>
            <w:r>
              <w:rPr>
                <w:rFonts w:hint="eastAsia" w:ascii="宋体" w:hAnsi="宋体" w:eastAsia="宋体" w:cs="宋体"/>
                <w:color w:val="auto"/>
                <w:sz w:val="21"/>
                <w:szCs w:val="21"/>
                <w:highlight w:val="none"/>
                <w:lang w:eastAsia="zh-CN"/>
              </w:rPr>
              <w:t>。</w:t>
            </w:r>
          </w:p>
          <w:p w14:paraId="373288CB">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1.15操作手柄上按键可控制图像冻结和解冻功能，提升病灶部位诊断精确度。</w:t>
            </w:r>
          </w:p>
          <w:p w14:paraId="29066B85">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1.16内镜镜头具备防雾功能，无需预热即可观察。</w:t>
            </w:r>
          </w:p>
          <w:p w14:paraId="471C2A51">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1.17连接方式：采用与同类进口产品相同的立体式航空插座技术连接，有效避免传统点触式连接长时间使用后接触不良造成死机、卡屏。</w:t>
            </w:r>
          </w:p>
          <w:p w14:paraId="53E2F0CE">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1.18具备手柄连接座结构，应可用于连接防水盖以及视频连接头。</w:t>
            </w:r>
          </w:p>
          <w:p w14:paraId="4B8C1713">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1.19操作部防水等级：IPX7。配备防水盖，可进行全浸泡消毒。</w:t>
            </w:r>
          </w:p>
          <w:p w14:paraId="02B7AA41">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1.20消毒灭菌无需ETO帽、NT阀，无需更换配件。</w:t>
            </w:r>
          </w:p>
          <w:p w14:paraId="670E5281">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1.21能通过5.5号及以上气管导管。</w:t>
            </w:r>
          </w:p>
          <w:p w14:paraId="353C3F03">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sz w:val="21"/>
                <w:szCs w:val="21"/>
                <w:highlight w:val="none"/>
                <w:lang w:val="en-US" w:eastAsia="zh-CN"/>
              </w:rPr>
              <w:t>1.22设备</w:t>
            </w:r>
            <w:r>
              <w:rPr>
                <w:rFonts w:hint="eastAsia" w:ascii="宋体" w:hAnsi="宋体" w:eastAsia="宋体" w:cs="宋体"/>
                <w:b/>
                <w:bCs/>
                <w:color w:val="auto"/>
                <w:sz w:val="21"/>
                <w:szCs w:val="21"/>
                <w:highlight w:val="none"/>
              </w:rPr>
              <w:t>配置清单</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包括但不限于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p>
          <w:tbl>
            <w:tblPr>
              <w:tblStyle w:val="25"/>
              <w:tblW w:w="5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385"/>
              <w:gridCol w:w="1315"/>
              <w:gridCol w:w="1315"/>
            </w:tblGrid>
            <w:tr w14:paraId="4F83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584E454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序号</w:t>
                  </w:r>
                </w:p>
              </w:tc>
              <w:tc>
                <w:tcPr>
                  <w:tcW w:w="2385" w:type="dxa"/>
                  <w:vAlign w:val="center"/>
                </w:tcPr>
                <w:p w14:paraId="0E4504D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rPr>
                    <w:t>名称</w:t>
                  </w:r>
                </w:p>
              </w:tc>
              <w:tc>
                <w:tcPr>
                  <w:tcW w:w="1315" w:type="dxa"/>
                  <w:vAlign w:val="center"/>
                </w:tcPr>
                <w:p w14:paraId="0B34E882">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15" w:type="dxa"/>
                  <w:vAlign w:val="center"/>
                </w:tcPr>
                <w:p w14:paraId="17449E54">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单位</w:t>
                  </w:r>
                </w:p>
              </w:tc>
            </w:tr>
            <w:tr w14:paraId="7ACF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7C1289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w:t>
                  </w:r>
                </w:p>
              </w:tc>
              <w:tc>
                <w:tcPr>
                  <w:tcW w:w="2385" w:type="dxa"/>
                  <w:vAlign w:val="center"/>
                </w:tcPr>
                <w:p w14:paraId="078A373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bidi="ar"/>
                    </w:rPr>
                    <w:t>电子支气管内窥镜操作部</w:t>
                  </w: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bidi="ar"/>
                    </w:rPr>
                    <w:t>含内窥镜主控软件</w:t>
                  </w:r>
                  <w:r>
                    <w:rPr>
                      <w:rFonts w:hint="eastAsia" w:ascii="宋体" w:hAnsi="宋体" w:eastAsia="宋体" w:cs="宋体"/>
                      <w:b/>
                      <w:bCs/>
                      <w:color w:val="auto"/>
                      <w:kern w:val="0"/>
                      <w:sz w:val="21"/>
                      <w:szCs w:val="21"/>
                      <w:highlight w:val="none"/>
                      <w:lang w:eastAsia="zh-CN" w:bidi="ar"/>
                    </w:rPr>
                    <w:t>）</w:t>
                  </w:r>
                </w:p>
              </w:tc>
              <w:tc>
                <w:tcPr>
                  <w:tcW w:w="1315" w:type="dxa"/>
                  <w:vAlign w:val="center"/>
                </w:tcPr>
                <w:p w14:paraId="6A452F9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bidi="ar"/>
                    </w:rPr>
                    <w:t>1</w:t>
                  </w:r>
                </w:p>
              </w:tc>
              <w:tc>
                <w:tcPr>
                  <w:tcW w:w="1315" w:type="dxa"/>
                  <w:vAlign w:val="center"/>
                </w:tcPr>
                <w:p w14:paraId="1CC2C8D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bidi="ar"/>
                    </w:rPr>
                    <w:t>条</w:t>
                  </w:r>
                </w:p>
              </w:tc>
            </w:tr>
            <w:tr w14:paraId="4F6C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5CAC51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w:t>
                  </w:r>
                </w:p>
              </w:tc>
              <w:tc>
                <w:tcPr>
                  <w:tcW w:w="2385" w:type="dxa"/>
                  <w:vAlign w:val="center"/>
                </w:tcPr>
                <w:p w14:paraId="02653D3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bidi="ar"/>
                    </w:rPr>
                    <w:t>防水盖</w:t>
                  </w:r>
                </w:p>
              </w:tc>
              <w:tc>
                <w:tcPr>
                  <w:tcW w:w="1315" w:type="dxa"/>
                  <w:vAlign w:val="center"/>
                </w:tcPr>
                <w:p w14:paraId="128A6C2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bidi="ar"/>
                    </w:rPr>
                    <w:t>1</w:t>
                  </w:r>
                </w:p>
              </w:tc>
              <w:tc>
                <w:tcPr>
                  <w:tcW w:w="1315" w:type="dxa"/>
                  <w:vAlign w:val="center"/>
                </w:tcPr>
                <w:p w14:paraId="49FDF18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bidi="ar"/>
                    </w:rPr>
                    <w:t>个</w:t>
                  </w:r>
                </w:p>
              </w:tc>
            </w:tr>
            <w:tr w14:paraId="37AC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7C06FB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3</w:t>
                  </w:r>
                </w:p>
              </w:tc>
              <w:tc>
                <w:tcPr>
                  <w:tcW w:w="2385" w:type="dxa"/>
                  <w:vAlign w:val="center"/>
                </w:tcPr>
                <w:p w14:paraId="65501AA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bidi="ar"/>
                    </w:rPr>
                    <w:t>活检阀帽</w:t>
                  </w:r>
                </w:p>
              </w:tc>
              <w:tc>
                <w:tcPr>
                  <w:tcW w:w="1315" w:type="dxa"/>
                  <w:vAlign w:val="center"/>
                </w:tcPr>
                <w:p w14:paraId="0392D88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bidi="ar"/>
                    </w:rPr>
                    <w:t>5</w:t>
                  </w:r>
                </w:p>
              </w:tc>
              <w:tc>
                <w:tcPr>
                  <w:tcW w:w="1315" w:type="dxa"/>
                  <w:vAlign w:val="center"/>
                </w:tcPr>
                <w:p w14:paraId="457820B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bidi="ar"/>
                    </w:rPr>
                    <w:t>个</w:t>
                  </w:r>
                </w:p>
              </w:tc>
            </w:tr>
            <w:tr w14:paraId="6E1E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4B190D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4</w:t>
                  </w:r>
                </w:p>
              </w:tc>
              <w:tc>
                <w:tcPr>
                  <w:tcW w:w="2385" w:type="dxa"/>
                  <w:vAlign w:val="center"/>
                </w:tcPr>
                <w:p w14:paraId="54370F1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bidi="ar"/>
                    </w:rPr>
                    <w:t>吸引按钮</w:t>
                  </w:r>
                </w:p>
              </w:tc>
              <w:tc>
                <w:tcPr>
                  <w:tcW w:w="1315" w:type="dxa"/>
                  <w:vAlign w:val="center"/>
                </w:tcPr>
                <w:p w14:paraId="0F6F883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bidi="ar"/>
                    </w:rPr>
                    <w:t>2</w:t>
                  </w:r>
                </w:p>
              </w:tc>
              <w:tc>
                <w:tcPr>
                  <w:tcW w:w="1315" w:type="dxa"/>
                  <w:vAlign w:val="center"/>
                </w:tcPr>
                <w:p w14:paraId="41B4968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bidi="ar"/>
                    </w:rPr>
                    <w:t>个</w:t>
                  </w:r>
                </w:p>
              </w:tc>
            </w:tr>
            <w:tr w14:paraId="4556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14C043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5</w:t>
                  </w:r>
                </w:p>
              </w:tc>
              <w:tc>
                <w:tcPr>
                  <w:tcW w:w="2385" w:type="dxa"/>
                  <w:vAlign w:val="center"/>
                </w:tcPr>
                <w:p w14:paraId="1023EE2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bidi="ar"/>
                    </w:rPr>
                    <w:t>便携测漏器</w:t>
                  </w:r>
                </w:p>
              </w:tc>
              <w:tc>
                <w:tcPr>
                  <w:tcW w:w="1315" w:type="dxa"/>
                  <w:vAlign w:val="center"/>
                </w:tcPr>
                <w:p w14:paraId="7D9C8BA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Style w:val="128"/>
                      <w:rFonts w:hint="eastAsia" w:ascii="宋体" w:hAnsi="宋体" w:eastAsia="宋体" w:cs="宋体"/>
                      <w:b/>
                      <w:bCs/>
                      <w:color w:val="auto"/>
                      <w:sz w:val="21"/>
                      <w:szCs w:val="21"/>
                      <w:highlight w:val="none"/>
                      <w:lang w:bidi="ar"/>
                    </w:rPr>
                    <w:t>1</w:t>
                  </w:r>
                </w:p>
              </w:tc>
              <w:tc>
                <w:tcPr>
                  <w:tcW w:w="1315" w:type="dxa"/>
                  <w:vAlign w:val="center"/>
                </w:tcPr>
                <w:p w14:paraId="627F6ED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bidi="ar"/>
                    </w:rPr>
                    <w:t>个</w:t>
                  </w:r>
                </w:p>
              </w:tc>
            </w:tr>
            <w:tr w14:paraId="68E5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298A33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6</w:t>
                  </w:r>
                </w:p>
              </w:tc>
              <w:tc>
                <w:tcPr>
                  <w:tcW w:w="2385" w:type="dxa"/>
                  <w:vAlign w:val="center"/>
                </w:tcPr>
                <w:p w14:paraId="6487F4E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bidi="ar"/>
                    </w:rPr>
                    <w:t>管道冲洗器</w:t>
                  </w:r>
                </w:p>
              </w:tc>
              <w:tc>
                <w:tcPr>
                  <w:tcW w:w="1315" w:type="dxa"/>
                  <w:vAlign w:val="center"/>
                </w:tcPr>
                <w:p w14:paraId="33A072C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Style w:val="128"/>
                      <w:rFonts w:hint="eastAsia" w:ascii="宋体" w:hAnsi="宋体" w:eastAsia="宋体" w:cs="宋体"/>
                      <w:b/>
                      <w:bCs/>
                      <w:color w:val="auto"/>
                      <w:sz w:val="21"/>
                      <w:szCs w:val="21"/>
                      <w:highlight w:val="none"/>
                      <w:lang w:bidi="ar"/>
                    </w:rPr>
                    <w:t>1</w:t>
                  </w:r>
                </w:p>
              </w:tc>
              <w:tc>
                <w:tcPr>
                  <w:tcW w:w="1315" w:type="dxa"/>
                  <w:vAlign w:val="center"/>
                </w:tcPr>
                <w:p w14:paraId="6C9A16F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bidi="ar"/>
                    </w:rPr>
                    <w:t>个</w:t>
                  </w:r>
                </w:p>
              </w:tc>
            </w:tr>
            <w:tr w14:paraId="3407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7CED92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7</w:t>
                  </w:r>
                </w:p>
              </w:tc>
              <w:tc>
                <w:tcPr>
                  <w:tcW w:w="2385" w:type="dxa"/>
                  <w:vAlign w:val="center"/>
                </w:tcPr>
                <w:p w14:paraId="750239D8">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bidi="ar"/>
                    </w:rPr>
                    <w:t>清洗刷</w:t>
                  </w:r>
                </w:p>
              </w:tc>
              <w:tc>
                <w:tcPr>
                  <w:tcW w:w="1315" w:type="dxa"/>
                  <w:vAlign w:val="center"/>
                </w:tcPr>
                <w:p w14:paraId="767793F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w:t>
                  </w:r>
                </w:p>
              </w:tc>
              <w:tc>
                <w:tcPr>
                  <w:tcW w:w="1315" w:type="dxa"/>
                  <w:vAlign w:val="center"/>
                </w:tcPr>
                <w:p w14:paraId="0A66DB9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bidi="ar"/>
                    </w:rPr>
                    <w:t>套</w:t>
                  </w:r>
                </w:p>
              </w:tc>
            </w:tr>
            <w:tr w14:paraId="5359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63C303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8</w:t>
                  </w:r>
                </w:p>
              </w:tc>
              <w:tc>
                <w:tcPr>
                  <w:tcW w:w="2385" w:type="dxa"/>
                  <w:vAlign w:val="center"/>
                </w:tcPr>
                <w:p w14:paraId="4EA53B98">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bidi="ar"/>
                    </w:rPr>
                    <w:t>导管固定器</w:t>
                  </w:r>
                </w:p>
              </w:tc>
              <w:tc>
                <w:tcPr>
                  <w:tcW w:w="1315" w:type="dxa"/>
                  <w:vAlign w:val="center"/>
                </w:tcPr>
                <w:p w14:paraId="0624546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bidi="ar"/>
                    </w:rPr>
                    <w:t>2</w:t>
                  </w:r>
                </w:p>
              </w:tc>
              <w:tc>
                <w:tcPr>
                  <w:tcW w:w="1315" w:type="dxa"/>
                  <w:vAlign w:val="center"/>
                </w:tcPr>
                <w:p w14:paraId="4BE21CF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bidi="ar"/>
                    </w:rPr>
                    <w:t>个</w:t>
                  </w:r>
                </w:p>
              </w:tc>
            </w:tr>
          </w:tbl>
          <w:p w14:paraId="6FBEB60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2.电子内窥镜图像处理器技术参数</w:t>
            </w:r>
          </w:p>
          <w:p w14:paraId="28CFC37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图像处理器</w:t>
            </w:r>
          </w:p>
          <w:p w14:paraId="458B4E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具备医疗器械注册证。</w:t>
            </w:r>
          </w:p>
          <w:p w14:paraId="0C44072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配备≥10英寸显示屏，支持电容触控，可进入设置菜单对图像处理内置功能进行设置，实现智能交互。</w:t>
            </w:r>
          </w:p>
          <w:p w14:paraId="28D3D42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显示屏：TFT-LCD，液晶玻璃。</w:t>
            </w:r>
          </w:p>
          <w:p w14:paraId="617E228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.4显示屏高宽比为16：10，最大视野可达170°。</w:t>
            </w:r>
          </w:p>
          <w:p w14:paraId="3F003AE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.5高清视频信号输出分辨率：1280×800。</w:t>
            </w:r>
          </w:p>
          <w:p w14:paraId="06E0E59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开机时间≤5秒，一键开机即能使用。</w:t>
            </w:r>
          </w:p>
          <w:p w14:paraId="7CD5CA9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主机可实现至少3种图像比例设置，包括16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10、16.9和4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p>
          <w:p w14:paraId="30CA0E2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具有≥3种图像形状。</w:t>
            </w:r>
          </w:p>
          <w:p w14:paraId="528D950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具有图像翻转功能，可上下、左右180°翻转。</w:t>
            </w:r>
          </w:p>
          <w:p w14:paraId="1C9C1E5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数据导出：可将录像视频导出至存储卡，方便医护人员对检查患者资料的管理。</w:t>
            </w:r>
          </w:p>
          <w:p w14:paraId="2C44CAC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具有可实时观察与记录功能，且可一键隐藏所有按键功能。</w:t>
            </w:r>
          </w:p>
          <w:p w14:paraId="6624A9C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具备录像，录音功能，可以实现带音频录像的实时存储。</w:t>
            </w:r>
          </w:p>
          <w:p w14:paraId="279153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具有摄录时间长短提示功能与循环摄录功能及电量智能检测指示标示（用于显示充电电量或适配器连接充电提示）。</w:t>
            </w:r>
          </w:p>
          <w:p w14:paraId="0D39DE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图像可全屏显示。</w:t>
            </w:r>
          </w:p>
          <w:p w14:paraId="0018C7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亮度调节：3级亮度调节，可调节配套使用的电子内窥镜上的LED灯的亮度（非仅调节显示屏幕亮度）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且具备关灯功能。本条款所述参数内容应体现于产品说明书之中。</w:t>
            </w:r>
          </w:p>
          <w:p w14:paraId="51A6DFD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16 </w:t>
            </w:r>
            <w:r>
              <w:rPr>
                <w:rFonts w:hint="eastAsia" w:ascii="宋体" w:hAnsi="宋体" w:eastAsia="宋体" w:cs="宋体"/>
                <w:color w:val="auto"/>
                <w:sz w:val="21"/>
                <w:szCs w:val="21"/>
                <w:highlight w:val="none"/>
              </w:rPr>
              <w:t>TV输出制式：可选PAL与NTSC，兼容不同地区的电视标准。</w:t>
            </w:r>
          </w:p>
          <w:p w14:paraId="09E6D72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可进行色彩参数调节，包括对比度、饱和度及亮度，0～15级可调。</w:t>
            </w:r>
          </w:p>
          <w:p w14:paraId="77D9180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可设置开机后输入管理用户的账号密码，输入正确可查看产品的实时图像及更改系统设置。</w:t>
            </w:r>
          </w:p>
          <w:p w14:paraId="5E7AF5F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具有CVBS、DVI两种信号输出方式，可通过转接头兼容其他常规信号接口接入。</w:t>
            </w:r>
          </w:p>
          <w:p w14:paraId="2E3A0A1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能够同时连接两条内窥镜，具备2路信号输入接口及双镜切换物理按键，</w:t>
            </w:r>
            <w:r>
              <w:rPr>
                <w:rFonts w:hint="eastAsia" w:ascii="宋体" w:hAnsi="宋体" w:eastAsia="宋体" w:cs="宋体"/>
                <w:b/>
                <w:bCs/>
                <w:color w:val="auto"/>
                <w:sz w:val="21"/>
                <w:szCs w:val="21"/>
                <w:highlight w:val="none"/>
                <w:lang w:val="en-US" w:eastAsia="zh-CN"/>
              </w:rPr>
              <w:t>可</w:t>
            </w:r>
            <w:r>
              <w:rPr>
                <w:rFonts w:hint="eastAsia" w:ascii="宋体" w:hAnsi="宋体" w:eastAsia="宋体" w:cs="宋体"/>
                <w:b/>
                <w:bCs/>
                <w:color w:val="auto"/>
                <w:sz w:val="21"/>
                <w:szCs w:val="21"/>
                <w:highlight w:val="none"/>
              </w:rPr>
              <w:t>切换实时视频输入信号。本条款所述参数内容应体现于产品说明书之中。</w:t>
            </w:r>
          </w:p>
          <w:p w14:paraId="03A1477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采用与同类进口产品相同的立体式航空插座技术连接，有效避免传统点触式连接长时间使用后接触不良造成死机、卡屏。</w:t>
            </w:r>
          </w:p>
          <w:p w14:paraId="5D40059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w:t>
            </w:r>
            <w:r>
              <w:rPr>
                <w:rFonts w:hint="eastAsia" w:ascii="宋体" w:hAnsi="宋体" w:eastAsia="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rPr>
              <w:t>具有内存卡插槽，最高可支持插入容量为128G的标准SD存储卡。本条款所述参数内容应体现于产品说明书之中。</w:t>
            </w:r>
          </w:p>
          <w:p w14:paraId="7C23256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可选配视频转接线：搭配指定型号内镜时可选配180度可旋转的视频转接线，调整视频线方向，配合更多诊疗操作。</w:t>
            </w:r>
          </w:p>
          <w:p w14:paraId="6B5EDF6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兼容同一品牌内窥镜接入使用，应至少包括鼻咽喉镜、支气管镜、胸腔内窥镜、输尿管肾盂镜。</w:t>
            </w:r>
          </w:p>
          <w:p w14:paraId="31AE07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供电方式</w:t>
            </w:r>
          </w:p>
          <w:p w14:paraId="7C658E6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1电池供电：具有内置可充电电池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一次充满电的内部电源连续工作时间不小于4小时。</w:t>
            </w:r>
          </w:p>
          <w:p w14:paraId="5DDFC16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2交流电供电：可通过接入DC适配器连接交流电使用，可通过适配器实现24小时连续工作。</w:t>
            </w:r>
          </w:p>
          <w:p w14:paraId="47F5D98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sz w:val="21"/>
                <w:szCs w:val="21"/>
                <w:highlight w:val="none"/>
                <w:lang w:val="en-US" w:eastAsia="zh-CN"/>
              </w:rPr>
              <w:t>2.3设备</w:t>
            </w:r>
            <w:r>
              <w:rPr>
                <w:rFonts w:hint="eastAsia" w:ascii="宋体" w:hAnsi="宋体" w:eastAsia="宋体" w:cs="宋体"/>
                <w:b/>
                <w:bCs/>
                <w:color w:val="auto"/>
                <w:sz w:val="21"/>
                <w:szCs w:val="21"/>
                <w:highlight w:val="none"/>
              </w:rPr>
              <w:t>配置清单</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包括但不限于</w:t>
            </w:r>
            <w:r>
              <w:rPr>
                <w:rFonts w:hint="eastAsia" w:ascii="宋体" w:hAnsi="宋体" w:eastAsia="宋体" w:cs="宋体"/>
                <w:b/>
                <w:bCs/>
                <w:color w:val="auto"/>
                <w:sz w:val="21"/>
                <w:szCs w:val="21"/>
                <w:highlight w:val="none"/>
                <w:lang w:eastAsia="zh-CN"/>
              </w:rPr>
              <w:t>）</w:t>
            </w:r>
          </w:p>
          <w:tbl>
            <w:tblPr>
              <w:tblStyle w:val="25"/>
              <w:tblW w:w="5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761"/>
              <w:gridCol w:w="1127"/>
              <w:gridCol w:w="1127"/>
            </w:tblGrid>
            <w:tr w14:paraId="36D3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2AF84C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序号</w:t>
                  </w:r>
                </w:p>
              </w:tc>
              <w:tc>
                <w:tcPr>
                  <w:tcW w:w="2761" w:type="dxa"/>
                  <w:vAlign w:val="center"/>
                </w:tcPr>
                <w:p w14:paraId="7736AA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rPr>
                    <w:t>名称</w:t>
                  </w:r>
                </w:p>
              </w:tc>
              <w:tc>
                <w:tcPr>
                  <w:tcW w:w="1127" w:type="dxa"/>
                  <w:vAlign w:val="center"/>
                </w:tcPr>
                <w:p w14:paraId="1FF52780">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127" w:type="dxa"/>
                  <w:vAlign w:val="center"/>
                </w:tcPr>
                <w:p w14:paraId="6D7AE685">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单位</w:t>
                  </w:r>
                </w:p>
              </w:tc>
            </w:tr>
            <w:tr w14:paraId="5AD9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7FECD1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w:t>
                  </w:r>
                </w:p>
              </w:tc>
              <w:tc>
                <w:tcPr>
                  <w:tcW w:w="2761" w:type="dxa"/>
                  <w:shd w:val="clear" w:color="auto" w:fill="auto"/>
                  <w:vAlign w:val="center"/>
                </w:tcPr>
                <w:p w14:paraId="3DC1E1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电子内窥镜图像处理器</w:t>
                  </w:r>
                </w:p>
                <w:p w14:paraId="650C6A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含主控软件）</w:t>
                  </w:r>
                </w:p>
              </w:tc>
              <w:tc>
                <w:tcPr>
                  <w:tcW w:w="1127" w:type="dxa"/>
                  <w:shd w:val="clear" w:color="auto" w:fill="auto"/>
                  <w:vAlign w:val="center"/>
                </w:tcPr>
                <w:p w14:paraId="3A0EF6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1</w:t>
                  </w:r>
                </w:p>
              </w:tc>
              <w:tc>
                <w:tcPr>
                  <w:tcW w:w="1127" w:type="dxa"/>
                  <w:vAlign w:val="center"/>
                </w:tcPr>
                <w:p w14:paraId="08E3088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rPr>
                    <w:t>台</w:t>
                  </w:r>
                </w:p>
              </w:tc>
            </w:tr>
            <w:tr w14:paraId="77AF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1BE1A9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w:t>
                  </w:r>
                </w:p>
              </w:tc>
              <w:tc>
                <w:tcPr>
                  <w:tcW w:w="2761" w:type="dxa"/>
                  <w:shd w:val="clear" w:color="auto" w:fill="auto"/>
                  <w:vAlign w:val="center"/>
                </w:tcPr>
                <w:p w14:paraId="556BEC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电源适配器（含电源线）</w:t>
                  </w:r>
                </w:p>
              </w:tc>
              <w:tc>
                <w:tcPr>
                  <w:tcW w:w="1127" w:type="dxa"/>
                  <w:shd w:val="clear" w:color="auto" w:fill="auto"/>
                  <w:vAlign w:val="center"/>
                </w:tcPr>
                <w:p w14:paraId="5E20DE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1</w:t>
                  </w:r>
                </w:p>
              </w:tc>
              <w:tc>
                <w:tcPr>
                  <w:tcW w:w="1127" w:type="dxa"/>
                  <w:vAlign w:val="center"/>
                </w:tcPr>
                <w:p w14:paraId="2BD3E44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rPr>
                    <w:t>套</w:t>
                  </w:r>
                </w:p>
              </w:tc>
            </w:tr>
            <w:tr w14:paraId="4EB6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5C30A3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3</w:t>
                  </w:r>
                </w:p>
              </w:tc>
              <w:tc>
                <w:tcPr>
                  <w:tcW w:w="2761" w:type="dxa"/>
                  <w:shd w:val="clear" w:color="auto" w:fill="auto"/>
                  <w:vAlign w:val="center"/>
                </w:tcPr>
                <w:p w14:paraId="62CD88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SD存储卡_64G</w:t>
                  </w:r>
                </w:p>
              </w:tc>
              <w:tc>
                <w:tcPr>
                  <w:tcW w:w="1127" w:type="dxa"/>
                  <w:shd w:val="clear" w:color="auto" w:fill="auto"/>
                  <w:vAlign w:val="center"/>
                </w:tcPr>
                <w:p w14:paraId="0A102A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1</w:t>
                  </w:r>
                </w:p>
              </w:tc>
              <w:tc>
                <w:tcPr>
                  <w:tcW w:w="1127" w:type="dxa"/>
                  <w:vAlign w:val="center"/>
                </w:tcPr>
                <w:p w14:paraId="3CD749B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rPr>
                    <w:t>个</w:t>
                  </w:r>
                </w:p>
              </w:tc>
            </w:tr>
            <w:tr w14:paraId="2079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677F83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4</w:t>
                  </w:r>
                </w:p>
              </w:tc>
              <w:tc>
                <w:tcPr>
                  <w:tcW w:w="2761" w:type="dxa"/>
                  <w:shd w:val="clear" w:color="auto" w:fill="auto"/>
                  <w:vAlign w:val="center"/>
                </w:tcPr>
                <w:p w14:paraId="2A6F73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SD卡读卡器</w:t>
                  </w:r>
                </w:p>
              </w:tc>
              <w:tc>
                <w:tcPr>
                  <w:tcW w:w="1127" w:type="dxa"/>
                  <w:shd w:val="clear" w:color="auto" w:fill="auto"/>
                  <w:vAlign w:val="center"/>
                </w:tcPr>
                <w:p w14:paraId="5242E8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1</w:t>
                  </w:r>
                </w:p>
              </w:tc>
              <w:tc>
                <w:tcPr>
                  <w:tcW w:w="1127" w:type="dxa"/>
                  <w:vAlign w:val="center"/>
                </w:tcPr>
                <w:p w14:paraId="0A1B565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rPr>
                    <w:t>个</w:t>
                  </w:r>
                </w:p>
              </w:tc>
            </w:tr>
            <w:tr w14:paraId="30D0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1822D67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5</w:t>
                  </w:r>
                </w:p>
              </w:tc>
              <w:tc>
                <w:tcPr>
                  <w:tcW w:w="2761" w:type="dxa"/>
                  <w:shd w:val="clear" w:color="auto" w:fill="auto"/>
                  <w:vAlign w:val="center"/>
                </w:tcPr>
                <w:p w14:paraId="555F05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视频转接线</w:t>
                  </w:r>
                </w:p>
              </w:tc>
              <w:tc>
                <w:tcPr>
                  <w:tcW w:w="1127" w:type="dxa"/>
                  <w:shd w:val="clear" w:color="auto" w:fill="auto"/>
                  <w:vAlign w:val="center"/>
                </w:tcPr>
                <w:p w14:paraId="2704B5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1</w:t>
                  </w:r>
                </w:p>
              </w:tc>
              <w:tc>
                <w:tcPr>
                  <w:tcW w:w="1127" w:type="dxa"/>
                  <w:vAlign w:val="center"/>
                </w:tcPr>
                <w:p w14:paraId="70FC133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rPr>
                    <w:t>条</w:t>
                  </w:r>
                </w:p>
              </w:tc>
            </w:tr>
            <w:tr w14:paraId="6873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79A682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6</w:t>
                  </w:r>
                </w:p>
              </w:tc>
              <w:tc>
                <w:tcPr>
                  <w:tcW w:w="2761" w:type="dxa"/>
                  <w:shd w:val="clear" w:color="auto" w:fill="auto"/>
                  <w:vAlign w:val="center"/>
                </w:tcPr>
                <w:p w14:paraId="07C4FE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DVI-DVI视频线</w:t>
                  </w:r>
                </w:p>
              </w:tc>
              <w:tc>
                <w:tcPr>
                  <w:tcW w:w="1127" w:type="dxa"/>
                  <w:shd w:val="clear" w:color="auto" w:fill="auto"/>
                  <w:vAlign w:val="center"/>
                </w:tcPr>
                <w:p w14:paraId="17B6D6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1</w:t>
                  </w:r>
                </w:p>
              </w:tc>
              <w:tc>
                <w:tcPr>
                  <w:tcW w:w="1127" w:type="dxa"/>
                  <w:vAlign w:val="center"/>
                </w:tcPr>
                <w:p w14:paraId="32AD1D1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rPr>
                    <w:t>条</w:t>
                  </w:r>
                </w:p>
              </w:tc>
            </w:tr>
            <w:tr w14:paraId="5105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50567D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7</w:t>
                  </w:r>
                </w:p>
              </w:tc>
              <w:tc>
                <w:tcPr>
                  <w:tcW w:w="2761" w:type="dxa"/>
                  <w:shd w:val="clear" w:color="auto" w:fill="auto"/>
                  <w:vAlign w:val="center"/>
                </w:tcPr>
                <w:p w14:paraId="133723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BNC-BNC视频线</w:t>
                  </w:r>
                </w:p>
              </w:tc>
              <w:tc>
                <w:tcPr>
                  <w:tcW w:w="1127" w:type="dxa"/>
                  <w:shd w:val="clear" w:color="auto" w:fill="auto"/>
                  <w:vAlign w:val="center"/>
                </w:tcPr>
                <w:p w14:paraId="52AA2C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1</w:t>
                  </w:r>
                </w:p>
              </w:tc>
              <w:tc>
                <w:tcPr>
                  <w:tcW w:w="1127" w:type="dxa"/>
                  <w:vAlign w:val="center"/>
                </w:tcPr>
                <w:p w14:paraId="2403882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rPr>
                    <w:t>条</w:t>
                  </w:r>
                </w:p>
              </w:tc>
            </w:tr>
            <w:tr w14:paraId="51B3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65A11E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8</w:t>
                  </w:r>
                </w:p>
              </w:tc>
              <w:tc>
                <w:tcPr>
                  <w:tcW w:w="2761" w:type="dxa"/>
                  <w:shd w:val="clear" w:color="auto" w:fill="auto"/>
                  <w:vAlign w:val="center"/>
                </w:tcPr>
                <w:p w14:paraId="73E000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音频收集器</w:t>
                  </w:r>
                </w:p>
              </w:tc>
              <w:tc>
                <w:tcPr>
                  <w:tcW w:w="1127" w:type="dxa"/>
                  <w:shd w:val="clear" w:color="auto" w:fill="auto"/>
                  <w:vAlign w:val="center"/>
                </w:tcPr>
                <w:p w14:paraId="39727B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1</w:t>
                  </w:r>
                </w:p>
              </w:tc>
              <w:tc>
                <w:tcPr>
                  <w:tcW w:w="1127" w:type="dxa"/>
                  <w:vAlign w:val="center"/>
                </w:tcPr>
                <w:p w14:paraId="307C632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rPr>
                    <w:t>个</w:t>
                  </w:r>
                </w:p>
              </w:tc>
            </w:tr>
            <w:tr w14:paraId="796A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0CC8DB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9</w:t>
                  </w:r>
                </w:p>
              </w:tc>
              <w:tc>
                <w:tcPr>
                  <w:tcW w:w="2761" w:type="dxa"/>
                  <w:shd w:val="clear" w:color="auto" w:fill="auto"/>
                  <w:vAlign w:val="center"/>
                </w:tcPr>
                <w:p w14:paraId="46E3396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便携式内镜图文管理工作站</w:t>
                  </w:r>
                </w:p>
              </w:tc>
              <w:tc>
                <w:tcPr>
                  <w:tcW w:w="1127" w:type="dxa"/>
                  <w:shd w:val="clear" w:color="auto" w:fill="auto"/>
                  <w:vAlign w:val="center"/>
                </w:tcPr>
                <w:p w14:paraId="6CB3A17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1</w:t>
                  </w:r>
                </w:p>
              </w:tc>
              <w:tc>
                <w:tcPr>
                  <w:tcW w:w="1127" w:type="dxa"/>
                  <w:vAlign w:val="center"/>
                </w:tcPr>
                <w:p w14:paraId="0FB26B3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套</w:t>
                  </w:r>
                </w:p>
              </w:tc>
            </w:tr>
          </w:tbl>
          <w:p w14:paraId="0EC4824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p>
        </w:tc>
      </w:tr>
      <w:tr w14:paraId="1A5AC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402ADEB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70" w:type="dxa"/>
            <w:gridSpan w:val="2"/>
            <w:shd w:val="clear" w:color="auto" w:fill="auto"/>
            <w:vAlign w:val="center"/>
          </w:tcPr>
          <w:p w14:paraId="734300E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血液透析机</w:t>
            </w:r>
          </w:p>
        </w:tc>
        <w:tc>
          <w:tcPr>
            <w:tcW w:w="915" w:type="dxa"/>
            <w:shd w:val="clear" w:color="auto" w:fill="auto"/>
            <w:vAlign w:val="center"/>
          </w:tcPr>
          <w:p w14:paraId="0F98F39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ascii="宋体" w:hAnsi="宋体" w:cs="宋体"/>
                <w:color w:val="auto"/>
                <w:kern w:val="2"/>
                <w:sz w:val="21"/>
                <w:szCs w:val="21"/>
                <w:highlight w:val="none"/>
                <w:lang w:eastAsia="zh-CN" w:bidi="ar-SA"/>
              </w:rPr>
              <w:t>3</w:t>
            </w:r>
            <w:r>
              <w:rPr>
                <w:rFonts w:hint="default" w:ascii="宋体" w:hAnsi="宋体" w:cs="宋体"/>
                <w:color w:val="000000" w:themeColor="text1"/>
                <w:sz w:val="21"/>
                <w:szCs w:val="21"/>
                <w14:textFill>
                  <w14:solidFill>
                    <w14:schemeClr w14:val="tx1"/>
                  </w14:solidFill>
                </w14:textFill>
              </w:rPr>
              <w:t>台</w:t>
            </w:r>
          </w:p>
        </w:tc>
        <w:tc>
          <w:tcPr>
            <w:tcW w:w="780" w:type="dxa"/>
            <w:vAlign w:val="center"/>
          </w:tcPr>
          <w:p w14:paraId="1405831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工业</w:t>
            </w:r>
          </w:p>
        </w:tc>
        <w:tc>
          <w:tcPr>
            <w:tcW w:w="6720" w:type="dxa"/>
            <w:shd w:val="clear" w:color="auto" w:fill="auto"/>
            <w:vAlign w:val="center"/>
          </w:tcPr>
          <w:p w14:paraId="2D4D999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1.产品技术参数</w:t>
            </w:r>
          </w:p>
          <w:p w14:paraId="4E7DEA4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▲1.1机身尺寸：机身宽度≤450mm，深度≤520mm。</w:t>
            </w:r>
          </w:p>
          <w:p w14:paraId="538DCE34">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1.2设备使用年限：≥10年。</w:t>
            </w:r>
          </w:p>
          <w:p w14:paraId="380E60D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1.3供水：压力范围：1～6.5bar；温度范围：5℃～30℃。</w:t>
            </w:r>
          </w:p>
          <w:p w14:paraId="4463F406">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1.4透析液流速：测量范围：300～700mL/min。</w:t>
            </w:r>
          </w:p>
          <w:p w14:paraId="438DDC8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1.5透析液温度：测量范围：33.0～40.0℃，具备超温保护。</w:t>
            </w:r>
          </w:p>
          <w:p w14:paraId="5ADA5581">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1.6超滤速度：测量范围：0.50～4.00L/h。</w:t>
            </w:r>
          </w:p>
          <w:p w14:paraId="17F2E57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1.7动脉血泵：测量范围：40～600mL/min。</w:t>
            </w:r>
          </w:p>
          <w:p w14:paraId="35C00E29">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1.8肝素泵：测量范围：0.0～9.0mL/h。</w:t>
            </w:r>
          </w:p>
          <w:p w14:paraId="066E7B5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1.9空气监测器：超声波检测；检测精度：≤0.03mL。</w:t>
            </w:r>
          </w:p>
          <w:p w14:paraId="39392C5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1.10动脉压：测量范围：-300～+450mmHg；测量精确度：±10mmHg。</w:t>
            </w:r>
          </w:p>
          <w:p w14:paraId="2908FA51">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1.11静脉压：测量范围：-300～+450mmHg；测量精确度：±10mmHg。</w:t>
            </w:r>
          </w:p>
          <w:p w14:paraId="776107E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▲1.12透析器血液入口压：测量范围：0～+500mmHg。透析器血液入口压测量精度：±10mmHg。</w:t>
            </w:r>
          </w:p>
          <w:p w14:paraId="2F87489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 TMP：测量范围：-100～+450mmHg；测量精确度：±10mmHg。</w:t>
            </w:r>
          </w:p>
          <w:p w14:paraId="272FE53E">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1.14透析液浓度：测量范围：12.5～16.0mS/cm。</w:t>
            </w:r>
          </w:p>
          <w:p w14:paraId="245F243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2.功能配置</w:t>
            </w:r>
          </w:p>
          <w:p w14:paraId="3E7BC8D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2.1治疗模式：用于血液净化治疗，支持血液透析、单纯超滤。</w:t>
            </w:r>
          </w:p>
          <w:p w14:paraId="502005D0">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2.2人机交互：≥15英寸彩色液晶显示器。</w:t>
            </w:r>
          </w:p>
          <w:p w14:paraId="4CDE11CE">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▲2.3双动脉压力监测：具备动脉压和透析器血液入口压力监测。</w:t>
            </w:r>
          </w:p>
          <w:p w14:paraId="0D49E72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▲2.4漏血检测器：采用红、绿双色光监测。</w:t>
            </w:r>
          </w:p>
          <w:p w14:paraId="461FABE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2.5治疗界面显示：包括动脉压、透析器血液入口压、静脉压、跨膜压、超滤速度等。</w:t>
            </w:r>
          </w:p>
          <w:p w14:paraId="2A4047E6">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2.6报警功能：具有声光报警指示，采用多种颜色报警指示灯。</w:t>
            </w:r>
          </w:p>
          <w:p w14:paraId="2666E8F4">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2.7消毒模式：支持使用柠檬酸、次氯酸钠、过氧乙酸等多种消毒液。热水柠檬酸消毒温度最高可达90℃。</w:t>
            </w:r>
          </w:p>
          <w:p w14:paraId="07CE2DC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2.8后备电池：停电时自动跳转后备电池供电，支持体外循环监测，报警系统。运行时间≥20分钟</w:t>
            </w:r>
            <w:r>
              <w:rPr>
                <w:rFonts w:hint="eastAsia" w:ascii="宋体" w:hAnsi="宋体" w:cs="宋体"/>
                <w:color w:val="auto"/>
                <w:sz w:val="21"/>
                <w:szCs w:val="21"/>
                <w:highlight w:val="none"/>
                <w:lang w:val="en-US" w:eastAsia="zh-CN"/>
              </w:rPr>
              <w:t>。</w:t>
            </w:r>
          </w:p>
          <w:p w14:paraId="20B4F136">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2.9个性化透析：可预存≥8条透析液浓度曲线，实现个性化透析。</w:t>
            </w:r>
          </w:p>
          <w:p w14:paraId="53E095F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2.10透析液过滤：标配透析液过滤器支架组件。</w:t>
            </w:r>
          </w:p>
          <w:p w14:paraId="12B56AF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2.11液面调整：具备动静脉壶液面电动调整功能。</w:t>
            </w:r>
          </w:p>
          <w:p w14:paraId="037177AE">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2.12通讯组件：标配网络接口。</w:t>
            </w:r>
          </w:p>
          <w:p w14:paraId="20F9A0C0">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2.13血压计：标配在线血压计组件，支持多种测量模式。</w:t>
            </w:r>
          </w:p>
          <w:p w14:paraId="57F7199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sz w:val="21"/>
                <w:szCs w:val="21"/>
                <w:highlight w:val="none"/>
                <w:lang w:val="en-US" w:eastAsia="zh-CN"/>
              </w:rPr>
              <w:t>3.</w:t>
            </w:r>
            <w:r>
              <w:rPr>
                <w:rFonts w:hint="eastAsia" w:ascii="宋体" w:hAnsi="宋体" w:cs="宋体"/>
                <w:b/>
                <w:bCs/>
                <w:color w:val="auto"/>
                <w:sz w:val="21"/>
                <w:szCs w:val="21"/>
                <w:highlight w:val="none"/>
                <w:lang w:val="en-US" w:eastAsia="zh-CN"/>
              </w:rPr>
              <w:t>设备基础</w:t>
            </w:r>
            <w:r>
              <w:rPr>
                <w:rFonts w:hint="eastAsia" w:ascii="宋体" w:hAnsi="宋体" w:eastAsia="宋体" w:cs="宋体"/>
                <w:b/>
                <w:bCs/>
                <w:color w:val="auto"/>
                <w:sz w:val="21"/>
                <w:szCs w:val="21"/>
                <w:highlight w:val="none"/>
                <w:lang w:val="en-US" w:eastAsia="zh-CN"/>
              </w:rPr>
              <w:t>配置清单</w:t>
            </w:r>
          </w:p>
          <w:tbl>
            <w:tblPr>
              <w:tblStyle w:val="25"/>
              <w:tblW w:w="5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2775"/>
              <w:gridCol w:w="1200"/>
              <w:gridCol w:w="1167"/>
            </w:tblGrid>
            <w:tr w14:paraId="24F2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shd w:val="clear" w:color="auto" w:fill="auto"/>
                  <w:vAlign w:val="center"/>
                </w:tcPr>
                <w:p w14:paraId="0FFA465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序号</w:t>
                  </w:r>
                </w:p>
              </w:tc>
              <w:tc>
                <w:tcPr>
                  <w:tcW w:w="2775" w:type="dxa"/>
                  <w:vAlign w:val="center"/>
                </w:tcPr>
                <w:p w14:paraId="3ED6A63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rPr>
                    <w:t>名称</w:t>
                  </w:r>
                </w:p>
              </w:tc>
              <w:tc>
                <w:tcPr>
                  <w:tcW w:w="1200" w:type="dxa"/>
                  <w:vAlign w:val="center"/>
                </w:tcPr>
                <w:p w14:paraId="5044DB0B">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167" w:type="dxa"/>
                  <w:vAlign w:val="center"/>
                </w:tcPr>
                <w:p w14:paraId="21B6DFF8">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单位</w:t>
                  </w:r>
                </w:p>
              </w:tc>
            </w:tr>
            <w:tr w14:paraId="02D7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shd w:val="clear" w:color="auto" w:fill="auto"/>
                  <w:vAlign w:val="center"/>
                </w:tcPr>
                <w:p w14:paraId="09CEB1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w:t>
                  </w:r>
                </w:p>
              </w:tc>
              <w:tc>
                <w:tcPr>
                  <w:tcW w:w="2775" w:type="dxa"/>
                  <w:shd w:val="clear" w:color="auto" w:fill="auto"/>
                  <w:vAlign w:val="center"/>
                </w:tcPr>
                <w:p w14:paraId="19BE6090">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主机</w:t>
                  </w:r>
                </w:p>
              </w:tc>
              <w:tc>
                <w:tcPr>
                  <w:tcW w:w="1200" w:type="dxa"/>
                  <w:vAlign w:val="center"/>
                </w:tcPr>
                <w:p w14:paraId="565C55C9">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1</w:t>
                  </w:r>
                </w:p>
              </w:tc>
              <w:tc>
                <w:tcPr>
                  <w:tcW w:w="1167" w:type="dxa"/>
                  <w:vAlign w:val="center"/>
                </w:tcPr>
                <w:p w14:paraId="28CCAE00">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台</w:t>
                  </w:r>
                </w:p>
              </w:tc>
            </w:tr>
            <w:tr w14:paraId="17F9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shd w:val="clear" w:color="auto" w:fill="auto"/>
                  <w:vAlign w:val="center"/>
                </w:tcPr>
                <w:p w14:paraId="3A6EEA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w:t>
                  </w:r>
                </w:p>
              </w:tc>
              <w:tc>
                <w:tcPr>
                  <w:tcW w:w="2775" w:type="dxa"/>
                  <w:shd w:val="clear" w:color="auto" w:fill="auto"/>
                  <w:vAlign w:val="center"/>
                </w:tcPr>
                <w:p w14:paraId="4D2D0F84">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透析液过滤器</w:t>
                  </w:r>
                </w:p>
              </w:tc>
              <w:tc>
                <w:tcPr>
                  <w:tcW w:w="1200" w:type="dxa"/>
                  <w:vAlign w:val="center"/>
                </w:tcPr>
                <w:p w14:paraId="236392BA">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1</w:t>
                  </w:r>
                </w:p>
              </w:tc>
              <w:tc>
                <w:tcPr>
                  <w:tcW w:w="1167" w:type="dxa"/>
                  <w:vAlign w:val="center"/>
                </w:tcPr>
                <w:p w14:paraId="78143C3B">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个</w:t>
                  </w:r>
                </w:p>
              </w:tc>
            </w:tr>
            <w:tr w14:paraId="44A6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shd w:val="clear" w:color="auto" w:fill="auto"/>
                  <w:vAlign w:val="center"/>
                </w:tcPr>
                <w:p w14:paraId="4E2E03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3</w:t>
                  </w:r>
                </w:p>
              </w:tc>
              <w:tc>
                <w:tcPr>
                  <w:tcW w:w="2775" w:type="dxa"/>
                  <w:shd w:val="clear" w:color="auto" w:fill="auto"/>
                  <w:vAlign w:val="center"/>
                </w:tcPr>
                <w:p w14:paraId="639FC30E">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vertAlign w:val="baseline"/>
                      <w:lang w:val="en-US" w:eastAsia="zh-CN" w:bidi="ar-SA"/>
                    </w:rPr>
                  </w:pPr>
                  <w:r>
                    <w:rPr>
                      <w:rFonts w:hint="eastAsia" w:ascii="宋体" w:hAnsi="宋体" w:eastAsia="宋体" w:cs="宋体"/>
                      <w:b/>
                      <w:bCs/>
                      <w:color w:val="auto"/>
                      <w:spacing w:val="10"/>
                      <w:kern w:val="0"/>
                      <w:sz w:val="21"/>
                      <w:szCs w:val="21"/>
                      <w:highlight w:val="none"/>
                      <w:lang w:val="en-US" w:eastAsia="zh-CN" w:bidi="ar-SA"/>
                    </w:rPr>
                    <w:t>盐水挂件（指示灯）组</w:t>
                  </w:r>
                </w:p>
              </w:tc>
              <w:tc>
                <w:tcPr>
                  <w:tcW w:w="1200" w:type="dxa"/>
                  <w:vAlign w:val="center"/>
                </w:tcPr>
                <w:p w14:paraId="2A77BDC8">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1</w:t>
                  </w:r>
                </w:p>
              </w:tc>
              <w:tc>
                <w:tcPr>
                  <w:tcW w:w="1167" w:type="dxa"/>
                  <w:vAlign w:val="center"/>
                </w:tcPr>
                <w:p w14:paraId="03B0CD86">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套</w:t>
                  </w:r>
                </w:p>
              </w:tc>
            </w:tr>
            <w:tr w14:paraId="7F7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shd w:val="clear" w:color="auto" w:fill="auto"/>
                  <w:vAlign w:val="center"/>
                </w:tcPr>
                <w:p w14:paraId="702660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4</w:t>
                  </w:r>
                </w:p>
              </w:tc>
              <w:tc>
                <w:tcPr>
                  <w:tcW w:w="2775" w:type="dxa"/>
                  <w:shd w:val="clear" w:color="auto" w:fill="auto"/>
                  <w:vAlign w:val="center"/>
                </w:tcPr>
                <w:p w14:paraId="4C7AE0CD">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供水管组件</w:t>
                  </w:r>
                </w:p>
              </w:tc>
              <w:tc>
                <w:tcPr>
                  <w:tcW w:w="1200" w:type="dxa"/>
                  <w:vAlign w:val="center"/>
                </w:tcPr>
                <w:p w14:paraId="071AA182">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1</w:t>
                  </w:r>
                </w:p>
              </w:tc>
              <w:tc>
                <w:tcPr>
                  <w:tcW w:w="1167" w:type="dxa"/>
                  <w:vAlign w:val="center"/>
                </w:tcPr>
                <w:p w14:paraId="6EEFEA6A">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套</w:t>
                  </w:r>
                </w:p>
              </w:tc>
            </w:tr>
            <w:tr w14:paraId="379A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shd w:val="clear" w:color="auto" w:fill="auto"/>
                  <w:vAlign w:val="center"/>
                </w:tcPr>
                <w:p w14:paraId="3E116A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5</w:t>
                  </w:r>
                </w:p>
              </w:tc>
              <w:tc>
                <w:tcPr>
                  <w:tcW w:w="2775" w:type="dxa"/>
                  <w:shd w:val="clear" w:color="auto" w:fill="auto"/>
                  <w:vAlign w:val="center"/>
                </w:tcPr>
                <w:p w14:paraId="3C2F737E">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血泵手柄组件</w:t>
                  </w:r>
                </w:p>
              </w:tc>
              <w:tc>
                <w:tcPr>
                  <w:tcW w:w="1200" w:type="dxa"/>
                  <w:vAlign w:val="center"/>
                </w:tcPr>
                <w:p w14:paraId="7485848C">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1</w:t>
                  </w:r>
                </w:p>
              </w:tc>
              <w:tc>
                <w:tcPr>
                  <w:tcW w:w="1167" w:type="dxa"/>
                  <w:vAlign w:val="center"/>
                </w:tcPr>
                <w:p w14:paraId="6DA60BD3">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套</w:t>
                  </w:r>
                </w:p>
              </w:tc>
            </w:tr>
            <w:tr w14:paraId="3970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shd w:val="clear" w:color="auto" w:fill="auto"/>
                  <w:vAlign w:val="center"/>
                </w:tcPr>
                <w:p w14:paraId="646E721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6</w:t>
                  </w:r>
                </w:p>
              </w:tc>
              <w:tc>
                <w:tcPr>
                  <w:tcW w:w="2775" w:type="dxa"/>
                  <w:shd w:val="clear" w:color="auto" w:fill="auto"/>
                  <w:vAlign w:val="center"/>
                </w:tcPr>
                <w:p w14:paraId="24159898">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采样口组件</w:t>
                  </w:r>
                </w:p>
              </w:tc>
              <w:tc>
                <w:tcPr>
                  <w:tcW w:w="1200" w:type="dxa"/>
                  <w:vAlign w:val="center"/>
                </w:tcPr>
                <w:p w14:paraId="300530DF">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1</w:t>
                  </w:r>
                </w:p>
              </w:tc>
              <w:tc>
                <w:tcPr>
                  <w:tcW w:w="1167" w:type="dxa"/>
                  <w:vAlign w:val="center"/>
                </w:tcPr>
                <w:p w14:paraId="62D15DC1">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套</w:t>
                  </w:r>
                </w:p>
              </w:tc>
            </w:tr>
            <w:tr w14:paraId="6071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shd w:val="clear" w:color="auto" w:fill="auto"/>
                  <w:vAlign w:val="center"/>
                </w:tcPr>
                <w:p w14:paraId="323ECC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7</w:t>
                  </w:r>
                </w:p>
              </w:tc>
              <w:tc>
                <w:tcPr>
                  <w:tcW w:w="2775" w:type="dxa"/>
                  <w:shd w:val="clear" w:color="auto" w:fill="auto"/>
                  <w:vAlign w:val="center"/>
                </w:tcPr>
                <w:p w14:paraId="13C69527">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药液吸管组件（次氯酸钠）</w:t>
                  </w:r>
                </w:p>
              </w:tc>
              <w:tc>
                <w:tcPr>
                  <w:tcW w:w="1200" w:type="dxa"/>
                  <w:vAlign w:val="center"/>
                </w:tcPr>
                <w:p w14:paraId="0F1DE895">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167" w:type="dxa"/>
                  <w:vAlign w:val="center"/>
                </w:tcPr>
                <w:p w14:paraId="28269DBC">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r>
            <w:tr w14:paraId="4EEA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shd w:val="clear" w:color="auto" w:fill="auto"/>
                  <w:vAlign w:val="center"/>
                </w:tcPr>
                <w:p w14:paraId="57D45F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8</w:t>
                  </w:r>
                </w:p>
              </w:tc>
              <w:tc>
                <w:tcPr>
                  <w:tcW w:w="2775" w:type="dxa"/>
                  <w:shd w:val="clear" w:color="auto" w:fill="auto"/>
                  <w:vAlign w:val="center"/>
                </w:tcPr>
                <w:p w14:paraId="3B6EEC8A">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药液吸管组件（消毒液）</w:t>
                  </w:r>
                </w:p>
              </w:tc>
              <w:tc>
                <w:tcPr>
                  <w:tcW w:w="1200" w:type="dxa"/>
                  <w:vAlign w:val="center"/>
                </w:tcPr>
                <w:p w14:paraId="4756F8BC">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167" w:type="dxa"/>
                  <w:vAlign w:val="center"/>
                </w:tcPr>
                <w:p w14:paraId="2E78C703">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r>
            <w:tr w14:paraId="0B5C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shd w:val="clear" w:color="auto" w:fill="auto"/>
                  <w:vAlign w:val="center"/>
                </w:tcPr>
                <w:p w14:paraId="17B61F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9</w:t>
                  </w:r>
                </w:p>
              </w:tc>
              <w:tc>
                <w:tcPr>
                  <w:tcW w:w="2775" w:type="dxa"/>
                  <w:shd w:val="clear" w:color="auto" w:fill="auto"/>
                  <w:vAlign w:val="center"/>
                </w:tcPr>
                <w:p w14:paraId="1CD6A15B">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透析器接头组件</w:t>
                  </w:r>
                </w:p>
              </w:tc>
              <w:tc>
                <w:tcPr>
                  <w:tcW w:w="1200" w:type="dxa"/>
                  <w:vAlign w:val="center"/>
                </w:tcPr>
                <w:p w14:paraId="3FF13A69">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167" w:type="dxa"/>
                  <w:vAlign w:val="center"/>
                </w:tcPr>
                <w:p w14:paraId="51092DAF">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r>
            <w:tr w14:paraId="6D56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shd w:val="clear" w:color="auto" w:fill="auto"/>
                  <w:vAlign w:val="center"/>
                </w:tcPr>
                <w:p w14:paraId="46E9C6D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10</w:t>
                  </w:r>
                </w:p>
              </w:tc>
              <w:tc>
                <w:tcPr>
                  <w:tcW w:w="2775" w:type="dxa"/>
                  <w:shd w:val="clear" w:color="auto" w:fill="auto"/>
                  <w:vAlign w:val="center"/>
                </w:tcPr>
                <w:p w14:paraId="0C7796DC">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透析器支架组件</w:t>
                  </w:r>
                </w:p>
              </w:tc>
              <w:tc>
                <w:tcPr>
                  <w:tcW w:w="1200" w:type="dxa"/>
                  <w:vAlign w:val="center"/>
                </w:tcPr>
                <w:p w14:paraId="55024AC9">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167" w:type="dxa"/>
                  <w:vAlign w:val="center"/>
                </w:tcPr>
                <w:p w14:paraId="3F9B6458">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个</w:t>
                  </w:r>
                </w:p>
              </w:tc>
            </w:tr>
            <w:tr w14:paraId="4815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shd w:val="clear" w:color="auto" w:fill="auto"/>
                  <w:vAlign w:val="center"/>
                </w:tcPr>
                <w:p w14:paraId="01611B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11</w:t>
                  </w:r>
                </w:p>
              </w:tc>
              <w:tc>
                <w:tcPr>
                  <w:tcW w:w="2775" w:type="dxa"/>
                  <w:shd w:val="clear" w:color="auto" w:fill="auto"/>
                  <w:vAlign w:val="center"/>
                </w:tcPr>
                <w:p w14:paraId="128EA6EA">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在线血压计组件</w:t>
                  </w:r>
                </w:p>
              </w:tc>
              <w:tc>
                <w:tcPr>
                  <w:tcW w:w="1200" w:type="dxa"/>
                  <w:vAlign w:val="center"/>
                </w:tcPr>
                <w:p w14:paraId="0DC033FC">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167" w:type="dxa"/>
                  <w:vAlign w:val="center"/>
                </w:tcPr>
                <w:p w14:paraId="716D729B">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r>
            <w:tr w14:paraId="51C9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shd w:val="clear" w:color="auto" w:fill="auto"/>
                  <w:vAlign w:val="center"/>
                </w:tcPr>
                <w:p w14:paraId="7C8E05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12</w:t>
                  </w:r>
                </w:p>
              </w:tc>
              <w:tc>
                <w:tcPr>
                  <w:tcW w:w="2775" w:type="dxa"/>
                  <w:shd w:val="clear" w:color="auto" w:fill="auto"/>
                  <w:vAlign w:val="center"/>
                </w:tcPr>
                <w:p w14:paraId="63274E39">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数据通信服务器</w:t>
                  </w:r>
                </w:p>
              </w:tc>
              <w:tc>
                <w:tcPr>
                  <w:tcW w:w="1200" w:type="dxa"/>
                  <w:vAlign w:val="center"/>
                </w:tcPr>
                <w:p w14:paraId="40D2BE4F">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167" w:type="dxa"/>
                  <w:vAlign w:val="center"/>
                </w:tcPr>
                <w:p w14:paraId="2552B4EF">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r>
            <w:tr w14:paraId="179D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shd w:val="clear" w:color="auto" w:fill="auto"/>
                  <w:vAlign w:val="center"/>
                </w:tcPr>
                <w:p w14:paraId="62AB69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13</w:t>
                  </w:r>
                </w:p>
              </w:tc>
              <w:tc>
                <w:tcPr>
                  <w:tcW w:w="2775" w:type="dxa"/>
                  <w:shd w:val="clear" w:color="auto" w:fill="auto"/>
                  <w:vAlign w:val="center"/>
                </w:tcPr>
                <w:p w14:paraId="3292A179">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通信组件</w:t>
                  </w:r>
                </w:p>
              </w:tc>
              <w:tc>
                <w:tcPr>
                  <w:tcW w:w="1200" w:type="dxa"/>
                  <w:vAlign w:val="center"/>
                </w:tcPr>
                <w:p w14:paraId="75764584">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167" w:type="dxa"/>
                  <w:vAlign w:val="center"/>
                </w:tcPr>
                <w:p w14:paraId="2B542A5B">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r>
            <w:tr w14:paraId="65DC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shd w:val="clear" w:color="auto" w:fill="auto"/>
                  <w:vAlign w:val="center"/>
                </w:tcPr>
                <w:p w14:paraId="4DBCC8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14</w:t>
                  </w:r>
                </w:p>
              </w:tc>
              <w:tc>
                <w:tcPr>
                  <w:tcW w:w="2775" w:type="dxa"/>
                  <w:shd w:val="clear" w:color="auto" w:fill="auto"/>
                  <w:vAlign w:val="center"/>
                </w:tcPr>
                <w:p w14:paraId="48BD88E4">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质保期≥</w:t>
                  </w:r>
                </w:p>
              </w:tc>
              <w:tc>
                <w:tcPr>
                  <w:tcW w:w="1200" w:type="dxa"/>
                  <w:vAlign w:val="center"/>
                </w:tcPr>
                <w:p w14:paraId="2458E603">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1167" w:type="dxa"/>
                  <w:vAlign w:val="center"/>
                </w:tcPr>
                <w:p w14:paraId="2F7B32A4">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年</w:t>
                  </w:r>
                </w:p>
              </w:tc>
            </w:tr>
          </w:tbl>
          <w:p w14:paraId="629BDB0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p>
        </w:tc>
      </w:tr>
      <w:tr w14:paraId="36F06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399386B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70" w:type="dxa"/>
            <w:gridSpan w:val="2"/>
            <w:shd w:val="clear" w:color="auto" w:fill="auto"/>
            <w:vAlign w:val="center"/>
          </w:tcPr>
          <w:p w14:paraId="43FD62C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除颤仪</w:t>
            </w:r>
          </w:p>
        </w:tc>
        <w:tc>
          <w:tcPr>
            <w:tcW w:w="915" w:type="dxa"/>
            <w:shd w:val="clear" w:color="auto" w:fill="auto"/>
            <w:vAlign w:val="center"/>
          </w:tcPr>
          <w:p w14:paraId="3A34746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default" w:ascii="宋体" w:hAnsi="宋体" w:cs="宋体"/>
                <w:color w:val="000000" w:themeColor="text1"/>
                <w:sz w:val="21"/>
                <w:szCs w:val="21"/>
                <w14:textFill>
                  <w14:solidFill>
                    <w14:schemeClr w14:val="tx1"/>
                  </w14:solidFill>
                </w14:textFill>
              </w:rPr>
              <w:t>台</w:t>
            </w:r>
          </w:p>
        </w:tc>
        <w:tc>
          <w:tcPr>
            <w:tcW w:w="780" w:type="dxa"/>
            <w:vAlign w:val="center"/>
          </w:tcPr>
          <w:p w14:paraId="6E7595A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工业</w:t>
            </w:r>
          </w:p>
        </w:tc>
        <w:tc>
          <w:tcPr>
            <w:tcW w:w="6720" w:type="dxa"/>
            <w:shd w:val="clear" w:color="auto" w:fill="auto"/>
            <w:vAlign w:val="center"/>
          </w:tcPr>
          <w:p w14:paraId="0368CFE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1.产品技术参数</w:t>
            </w:r>
          </w:p>
          <w:p w14:paraId="289B3C2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▲1.1适用人群：成人、儿童、新生儿。</w:t>
            </w:r>
          </w:p>
          <w:p w14:paraId="15E67DD2">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1.2显示器：≥6.5英寸，高背光显示，屏幕亮度≥1000cd/m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，可显示ECG，SpO2，EtCO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等四通道波形，支持数字放大，波形冻结。</w:t>
            </w:r>
          </w:p>
          <w:p w14:paraId="2CB04FD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▲1.3最快完成开机时间≤1秒，含最高能量选择，智能自检等三个项目，以最快速度实施除颤。</w:t>
            </w:r>
          </w:p>
          <w:p w14:paraId="7E86222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▲1.4除颤电流波形：采用双相波技术，最大程度降低患者的心肌损伤程度。</w:t>
            </w:r>
          </w:p>
          <w:p w14:paraId="3659BAF3">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1.5手动除颤电极板：标配成人、儿童各一副。</w:t>
            </w:r>
          </w:p>
          <w:p w14:paraId="72CCCF31">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1.6标配工作模式：手动除颤，AED自动除颤模式，同步复率，生命体征监护，内部放电，机器智能自检。</w:t>
            </w:r>
          </w:p>
          <w:p w14:paraId="5553F0F9">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1.7除颤最大能量≤300J，≥12档能量选择。</w:t>
            </w:r>
          </w:p>
          <w:p w14:paraId="4D5F97C3">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1.8能量及工作模式选择：一体旋扭式，快速，直观。</w:t>
            </w:r>
          </w:p>
          <w:p w14:paraId="60FE50C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▲1.9快速充电：充电到200J能量≤4秒（包括使用交流电时），充电到最大能量≤5秒，可在屏幕上显示当前能量值。</w:t>
            </w:r>
          </w:p>
          <w:p w14:paraId="7E68312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▲1.10 ECG波形恢复时间：除颤放电后，心电波形恢复≤3秒。</w:t>
            </w:r>
          </w:p>
          <w:p w14:paraId="10973082">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1.11心电导联：标配三导联，可选配6芯心电导联线。</w:t>
            </w:r>
          </w:p>
          <w:p w14:paraId="170627F6">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1.12心电共模抑制比：≥100dB。</w:t>
            </w:r>
          </w:p>
          <w:p w14:paraId="2EF33DD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1.13电容：高性能集合式电容。</w:t>
            </w:r>
          </w:p>
          <w:p w14:paraId="61D213C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▲1.14可升级主流法呼吸末二氧化碳监测，既能用于插管病人，又能用于非插管病人，IPX7 防水等级，耐摔。</w:t>
            </w:r>
          </w:p>
          <w:p w14:paraId="7EBCF15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1.15可升级血氧饱和度监测，血氧饱和度探头可水洗浸泡消毒。</w:t>
            </w:r>
          </w:p>
          <w:p w14:paraId="4B6E7C9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1.16自检指示：带有自检指示灯，关机状态下可每天自动自检，并更新状态灯颜色（绿色代表一切正常，红色代表有异常），清晰指示仪器状态，并自动保存自检结果。</w:t>
            </w:r>
          </w:p>
          <w:p w14:paraId="28CF2E9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1.17电池：充满电时间≤3小时，在满电情况下，支持最大能量次数100次，或至少3小时连续监护。</w:t>
            </w:r>
          </w:p>
          <w:p w14:paraId="07C57581">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▲1.18使用环境：工作温度：-5℃到45℃，储存温度：-25℃至70℃；通过MIL-STD-810F 514.5 Category 4及MIL-STD-810F 514.5 Category 9等振动冲击及跌落认证，可用于救护车及急救直升机。</w:t>
            </w:r>
          </w:p>
          <w:p w14:paraId="245E1E0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1.19仪器内置屏幕智能操作指导，带有电极板放置架，具有报警指示灯。</w:t>
            </w:r>
          </w:p>
          <w:p w14:paraId="3E92929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▲1.20数据存储：可存储≥160小时心电图连续波形，可存储周围环境音，可通过SD卡和蓝牙功能转移除颤器内部数据。</w:t>
            </w:r>
          </w:p>
          <w:p w14:paraId="5BB05E31">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设备基础</w:t>
            </w:r>
            <w:r>
              <w:rPr>
                <w:rFonts w:hint="eastAsia" w:ascii="宋体" w:hAnsi="宋体" w:eastAsia="宋体" w:cs="宋体"/>
                <w:b/>
                <w:bCs/>
                <w:color w:val="auto"/>
                <w:sz w:val="21"/>
                <w:szCs w:val="21"/>
                <w:highlight w:val="none"/>
                <w:lang w:val="en-US" w:eastAsia="zh-CN"/>
              </w:rPr>
              <w:t>配置清单</w:t>
            </w:r>
          </w:p>
          <w:tbl>
            <w:tblPr>
              <w:tblStyle w:val="25"/>
              <w:tblW w:w="5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385"/>
              <w:gridCol w:w="1315"/>
              <w:gridCol w:w="1315"/>
            </w:tblGrid>
            <w:tr w14:paraId="79A5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771AD1E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序号</w:t>
                  </w:r>
                </w:p>
              </w:tc>
              <w:tc>
                <w:tcPr>
                  <w:tcW w:w="2385" w:type="dxa"/>
                  <w:vAlign w:val="center"/>
                </w:tcPr>
                <w:p w14:paraId="5A3ADD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rPr>
                    <w:t>名称</w:t>
                  </w:r>
                </w:p>
              </w:tc>
              <w:tc>
                <w:tcPr>
                  <w:tcW w:w="1315" w:type="dxa"/>
                  <w:vAlign w:val="center"/>
                </w:tcPr>
                <w:p w14:paraId="70DF28CE">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15" w:type="dxa"/>
                  <w:vAlign w:val="center"/>
                </w:tcPr>
                <w:p w14:paraId="076407B8">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单位</w:t>
                  </w:r>
                </w:p>
              </w:tc>
            </w:tr>
            <w:tr w14:paraId="3108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1582E2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w:t>
                  </w:r>
                </w:p>
              </w:tc>
              <w:tc>
                <w:tcPr>
                  <w:tcW w:w="2385" w:type="dxa"/>
                  <w:shd w:val="clear" w:color="auto" w:fill="auto"/>
                  <w:vAlign w:val="center"/>
                </w:tcPr>
                <w:p w14:paraId="6C8D89EF">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除颤监护仪</w:t>
                  </w:r>
                </w:p>
              </w:tc>
              <w:tc>
                <w:tcPr>
                  <w:tcW w:w="1315" w:type="dxa"/>
                  <w:vAlign w:val="center"/>
                </w:tcPr>
                <w:p w14:paraId="154D93C6">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1</w:t>
                  </w:r>
                </w:p>
              </w:tc>
              <w:tc>
                <w:tcPr>
                  <w:tcW w:w="1315" w:type="dxa"/>
                  <w:vAlign w:val="center"/>
                </w:tcPr>
                <w:p w14:paraId="2D99AE31">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台</w:t>
                  </w:r>
                </w:p>
              </w:tc>
            </w:tr>
            <w:tr w14:paraId="1015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0EEDD2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w:t>
                  </w:r>
                </w:p>
              </w:tc>
              <w:tc>
                <w:tcPr>
                  <w:tcW w:w="2385" w:type="dxa"/>
                  <w:shd w:val="clear" w:color="auto" w:fill="auto"/>
                  <w:vAlign w:val="center"/>
                </w:tcPr>
                <w:p w14:paraId="6DF0DD18">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ECG连接线</w:t>
                  </w:r>
                </w:p>
              </w:tc>
              <w:tc>
                <w:tcPr>
                  <w:tcW w:w="1315" w:type="dxa"/>
                  <w:vAlign w:val="center"/>
                </w:tcPr>
                <w:p w14:paraId="2E66599B">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1</w:t>
                  </w:r>
                </w:p>
              </w:tc>
              <w:tc>
                <w:tcPr>
                  <w:tcW w:w="1315" w:type="dxa"/>
                  <w:vAlign w:val="center"/>
                </w:tcPr>
                <w:p w14:paraId="64254DE0">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条</w:t>
                  </w:r>
                </w:p>
              </w:tc>
            </w:tr>
            <w:tr w14:paraId="63E8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283CF76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3</w:t>
                  </w:r>
                </w:p>
              </w:tc>
              <w:tc>
                <w:tcPr>
                  <w:tcW w:w="2385" w:type="dxa"/>
                  <w:shd w:val="clear" w:color="auto" w:fill="auto"/>
                  <w:vAlign w:val="center"/>
                </w:tcPr>
                <w:p w14:paraId="3B1D71CB">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vertAlign w:val="baseline"/>
                      <w:lang w:val="en-US" w:eastAsia="zh-CN" w:bidi="ar-SA"/>
                    </w:rPr>
                  </w:pPr>
                  <w:r>
                    <w:rPr>
                      <w:rFonts w:hint="eastAsia" w:ascii="宋体" w:hAnsi="宋体" w:eastAsia="宋体" w:cs="宋体"/>
                      <w:b/>
                      <w:bCs/>
                      <w:color w:val="auto"/>
                      <w:spacing w:val="10"/>
                      <w:kern w:val="0"/>
                      <w:sz w:val="21"/>
                      <w:szCs w:val="21"/>
                      <w:highlight w:val="none"/>
                      <w:lang w:val="en-US" w:eastAsia="zh-CN" w:bidi="ar-SA"/>
                    </w:rPr>
                    <w:t>ECG导联线</w:t>
                  </w:r>
                </w:p>
              </w:tc>
              <w:tc>
                <w:tcPr>
                  <w:tcW w:w="1315" w:type="dxa"/>
                  <w:vAlign w:val="center"/>
                </w:tcPr>
                <w:p w14:paraId="39C4491B">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1</w:t>
                  </w:r>
                </w:p>
              </w:tc>
              <w:tc>
                <w:tcPr>
                  <w:tcW w:w="1315" w:type="dxa"/>
                  <w:vAlign w:val="center"/>
                </w:tcPr>
                <w:p w14:paraId="221DC84D">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条</w:t>
                  </w:r>
                </w:p>
              </w:tc>
            </w:tr>
            <w:tr w14:paraId="115A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3B418F2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4</w:t>
                  </w:r>
                </w:p>
              </w:tc>
              <w:tc>
                <w:tcPr>
                  <w:tcW w:w="2385" w:type="dxa"/>
                  <w:shd w:val="clear" w:color="auto" w:fill="auto"/>
                  <w:vAlign w:val="center"/>
                </w:tcPr>
                <w:p w14:paraId="3EA7C6A9">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可充电电池</w:t>
                  </w:r>
                </w:p>
              </w:tc>
              <w:tc>
                <w:tcPr>
                  <w:tcW w:w="1315" w:type="dxa"/>
                  <w:vAlign w:val="center"/>
                </w:tcPr>
                <w:p w14:paraId="2D528F13">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1</w:t>
                  </w:r>
                </w:p>
              </w:tc>
              <w:tc>
                <w:tcPr>
                  <w:tcW w:w="1315" w:type="dxa"/>
                  <w:vAlign w:val="center"/>
                </w:tcPr>
                <w:p w14:paraId="30FE14A8">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块</w:t>
                  </w:r>
                </w:p>
              </w:tc>
            </w:tr>
            <w:tr w14:paraId="3B8C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0BDA0E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5</w:t>
                  </w:r>
                </w:p>
              </w:tc>
              <w:tc>
                <w:tcPr>
                  <w:tcW w:w="2385" w:type="dxa"/>
                  <w:shd w:val="clear" w:color="auto" w:fill="auto"/>
                  <w:vAlign w:val="center"/>
                </w:tcPr>
                <w:p w14:paraId="45990757">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记录纸</w:t>
                  </w:r>
                </w:p>
              </w:tc>
              <w:tc>
                <w:tcPr>
                  <w:tcW w:w="1315" w:type="dxa"/>
                  <w:vAlign w:val="center"/>
                </w:tcPr>
                <w:p w14:paraId="5EE36701">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5</w:t>
                  </w:r>
                </w:p>
              </w:tc>
              <w:tc>
                <w:tcPr>
                  <w:tcW w:w="1315" w:type="dxa"/>
                  <w:vAlign w:val="center"/>
                </w:tcPr>
                <w:p w14:paraId="34B1B5FD">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本</w:t>
                  </w:r>
                </w:p>
              </w:tc>
            </w:tr>
            <w:tr w14:paraId="5C45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shd w:val="clear" w:color="auto" w:fill="auto"/>
                  <w:vAlign w:val="center"/>
                </w:tcPr>
                <w:p w14:paraId="1A14CC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6</w:t>
                  </w:r>
                </w:p>
              </w:tc>
              <w:tc>
                <w:tcPr>
                  <w:tcW w:w="2385" w:type="dxa"/>
                  <w:shd w:val="clear" w:color="auto" w:fill="auto"/>
                  <w:vAlign w:val="center"/>
                </w:tcPr>
                <w:p w14:paraId="02DC1F7B">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设备质保期≥</w:t>
                  </w:r>
                </w:p>
              </w:tc>
              <w:tc>
                <w:tcPr>
                  <w:tcW w:w="1315" w:type="dxa"/>
                  <w:vAlign w:val="center"/>
                </w:tcPr>
                <w:p w14:paraId="45F8A5E1">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2</w:t>
                  </w:r>
                </w:p>
              </w:tc>
              <w:tc>
                <w:tcPr>
                  <w:tcW w:w="1315" w:type="dxa"/>
                  <w:vAlign w:val="center"/>
                </w:tcPr>
                <w:p w14:paraId="3C223DD6">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年</w:t>
                  </w:r>
                </w:p>
              </w:tc>
            </w:tr>
          </w:tbl>
          <w:p w14:paraId="3063E442">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p>
        </w:tc>
      </w:tr>
      <w:tr w14:paraId="1163C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194516A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70" w:type="dxa"/>
            <w:gridSpan w:val="2"/>
            <w:shd w:val="clear" w:color="auto" w:fill="auto"/>
            <w:vAlign w:val="center"/>
          </w:tcPr>
          <w:p w14:paraId="7FF9588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综合电动手术床</w:t>
            </w:r>
          </w:p>
        </w:tc>
        <w:tc>
          <w:tcPr>
            <w:tcW w:w="915" w:type="dxa"/>
            <w:shd w:val="clear" w:color="auto" w:fill="auto"/>
            <w:vAlign w:val="center"/>
          </w:tcPr>
          <w:p w14:paraId="08FA20D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default" w:ascii="宋体" w:hAnsi="宋体" w:cs="宋体"/>
                <w:color w:val="000000" w:themeColor="text1"/>
                <w:sz w:val="21"/>
                <w:szCs w:val="21"/>
                <w14:textFill>
                  <w14:solidFill>
                    <w14:schemeClr w14:val="tx1"/>
                  </w14:solidFill>
                </w14:textFill>
              </w:rPr>
              <w:t>张</w:t>
            </w:r>
            <w:bookmarkStart w:id="92" w:name="_GoBack"/>
            <w:bookmarkEnd w:id="92"/>
          </w:p>
        </w:tc>
        <w:tc>
          <w:tcPr>
            <w:tcW w:w="780" w:type="dxa"/>
            <w:vAlign w:val="center"/>
          </w:tcPr>
          <w:p w14:paraId="3AD0FE4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工业</w:t>
            </w:r>
          </w:p>
        </w:tc>
        <w:tc>
          <w:tcPr>
            <w:tcW w:w="6720" w:type="dxa"/>
            <w:shd w:val="clear" w:color="auto" w:fill="auto"/>
            <w:vAlign w:val="center"/>
          </w:tcPr>
          <w:p w14:paraId="775507F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1.产品技术参数</w:t>
            </w:r>
          </w:p>
          <w:p w14:paraId="1A3FBE30">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1.1床面为四段式设计，手术台升降、纵转、横转、背部、平移等动作采用电动油压系统操作。</w:t>
            </w:r>
          </w:p>
          <w:p w14:paraId="65990083">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1.2床面尺寸：长度≥2100mm，宽≥500mm。</w:t>
            </w:r>
          </w:p>
          <w:p w14:paraId="2C35FDB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1.3手术台床面升降行程≥300mm，最低高度≤600mm。</w:t>
            </w:r>
          </w:p>
          <w:p w14:paraId="324C2F70">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1.4手术台升降柱及底座均采用SUS304或更优级别不锈钢制成，耐酸碱、抗污、易清洁、不生锈。</w:t>
            </w:r>
          </w:p>
          <w:p w14:paraId="05A57DB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1.5采用8cm高密度海绵床垫 ，可释放长时间手术所造成病人躯体与床面接触所造成的压力，防止产生褥疮。</w:t>
            </w:r>
          </w:p>
          <w:p w14:paraId="72EDD583">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 T型底座设计，可方便医生站立。</w:t>
            </w:r>
          </w:p>
          <w:p w14:paraId="37FE14E3">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▲1.7手术台标配头和脚板位置对调、安装功能，加大床身C型臂透视面积。</w:t>
            </w:r>
          </w:p>
          <w:p w14:paraId="5D7EEA26">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1.8手术台搭配紧急断电开关，当手术台发生紧急故障时，可以立即切断电源。</w:t>
            </w:r>
          </w:p>
          <w:p w14:paraId="7AC8443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▲1.9内建电动液压式肾桥，顶举高度≥100mm。</w:t>
            </w:r>
          </w:p>
          <w:p w14:paraId="24BB3CD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1.10床面全部采用X-ray可透视材质制成。</w:t>
            </w:r>
          </w:p>
          <w:p w14:paraId="1C9D10C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1.11头板、脚板关节采用快拆系统设计。</w:t>
            </w:r>
          </w:p>
          <w:p w14:paraId="67BDCFA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▲1.12头板、脚板采用气压棒设计。</w:t>
            </w:r>
          </w:p>
          <w:p w14:paraId="3267EDA2">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1.13手术台采用4点式电动油压刹车。</w:t>
            </w:r>
          </w:p>
          <w:p w14:paraId="042093D1">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1.14床面可双向（向头、向脚）平移≥320mm，方便手术时C型臂运用，提供X光大面积透视。</w:t>
            </w:r>
          </w:p>
          <w:p w14:paraId="1AD1581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1.15最大承载重量≥250kg。</w:t>
            </w:r>
          </w:p>
          <w:p w14:paraId="69DEBBC1">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1.16标配背光手控器、升降柱辅控器。</w:t>
            </w:r>
          </w:p>
          <w:p w14:paraId="50CDF259">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1.17标配铅酸蓄电池，实现刷手区无线化管理。</w:t>
            </w:r>
          </w:p>
          <w:p w14:paraId="11609379">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设备基础</w:t>
            </w:r>
            <w:r>
              <w:rPr>
                <w:rFonts w:hint="eastAsia" w:ascii="宋体" w:hAnsi="宋体" w:eastAsia="宋体" w:cs="宋体"/>
                <w:b/>
                <w:bCs/>
                <w:color w:val="auto"/>
                <w:sz w:val="21"/>
                <w:szCs w:val="21"/>
                <w:highlight w:val="none"/>
                <w:lang w:val="en-US" w:eastAsia="zh-CN"/>
              </w:rPr>
              <w:t>配置清单</w:t>
            </w:r>
          </w:p>
          <w:tbl>
            <w:tblPr>
              <w:tblStyle w:val="25"/>
              <w:tblW w:w="5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3150"/>
              <w:gridCol w:w="1035"/>
              <w:gridCol w:w="1017"/>
            </w:tblGrid>
            <w:tr w14:paraId="2E82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shd w:val="clear" w:color="auto" w:fill="auto"/>
                  <w:vAlign w:val="center"/>
                </w:tcPr>
                <w:p w14:paraId="39417C0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序号</w:t>
                  </w:r>
                </w:p>
              </w:tc>
              <w:tc>
                <w:tcPr>
                  <w:tcW w:w="3150" w:type="dxa"/>
                  <w:vAlign w:val="center"/>
                </w:tcPr>
                <w:p w14:paraId="5AB319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rPr>
                    <w:t>名称</w:t>
                  </w:r>
                </w:p>
              </w:tc>
              <w:tc>
                <w:tcPr>
                  <w:tcW w:w="1035" w:type="dxa"/>
                  <w:vAlign w:val="center"/>
                </w:tcPr>
                <w:p w14:paraId="656B3BB8">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017" w:type="dxa"/>
                  <w:vAlign w:val="center"/>
                </w:tcPr>
                <w:p w14:paraId="74883629">
                  <w:pPr>
                    <w:pStyle w:val="127"/>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单位</w:t>
                  </w:r>
                </w:p>
              </w:tc>
            </w:tr>
            <w:tr w14:paraId="345F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shd w:val="clear" w:color="auto" w:fill="auto"/>
                  <w:vAlign w:val="center"/>
                </w:tcPr>
                <w:p w14:paraId="1FA6A8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w:t>
                  </w:r>
                </w:p>
              </w:tc>
              <w:tc>
                <w:tcPr>
                  <w:tcW w:w="3150" w:type="dxa"/>
                  <w:shd w:val="clear" w:color="auto" w:fill="auto"/>
                  <w:vAlign w:val="center"/>
                </w:tcPr>
                <w:p w14:paraId="663C1015">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主机</w:t>
                  </w:r>
                </w:p>
              </w:tc>
              <w:tc>
                <w:tcPr>
                  <w:tcW w:w="1035" w:type="dxa"/>
                  <w:vAlign w:val="center"/>
                </w:tcPr>
                <w:p w14:paraId="3400121E">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1</w:t>
                  </w:r>
                </w:p>
              </w:tc>
              <w:tc>
                <w:tcPr>
                  <w:tcW w:w="1017" w:type="dxa"/>
                  <w:vAlign w:val="center"/>
                </w:tcPr>
                <w:p w14:paraId="07783233">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台</w:t>
                  </w:r>
                </w:p>
              </w:tc>
            </w:tr>
            <w:tr w14:paraId="009D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shd w:val="clear" w:color="auto" w:fill="auto"/>
                  <w:vAlign w:val="center"/>
                </w:tcPr>
                <w:p w14:paraId="100D50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w:t>
                  </w:r>
                </w:p>
              </w:tc>
              <w:tc>
                <w:tcPr>
                  <w:tcW w:w="3150" w:type="dxa"/>
                  <w:shd w:val="clear" w:color="auto" w:fill="auto"/>
                  <w:vAlign w:val="center"/>
                </w:tcPr>
                <w:p w14:paraId="7A0FF39A">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头板</w:t>
                  </w:r>
                </w:p>
              </w:tc>
              <w:tc>
                <w:tcPr>
                  <w:tcW w:w="1035" w:type="dxa"/>
                  <w:vAlign w:val="center"/>
                </w:tcPr>
                <w:p w14:paraId="16C9D0CA">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1</w:t>
                  </w:r>
                </w:p>
              </w:tc>
              <w:tc>
                <w:tcPr>
                  <w:tcW w:w="1017" w:type="dxa"/>
                  <w:vAlign w:val="center"/>
                </w:tcPr>
                <w:p w14:paraId="6B22DE8E">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个</w:t>
                  </w:r>
                </w:p>
              </w:tc>
            </w:tr>
            <w:tr w14:paraId="7579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shd w:val="clear" w:color="auto" w:fill="auto"/>
                  <w:vAlign w:val="center"/>
                </w:tcPr>
                <w:p w14:paraId="75DA49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3</w:t>
                  </w:r>
                </w:p>
              </w:tc>
              <w:tc>
                <w:tcPr>
                  <w:tcW w:w="3150" w:type="dxa"/>
                  <w:shd w:val="clear" w:color="auto" w:fill="auto"/>
                  <w:vAlign w:val="center"/>
                </w:tcPr>
                <w:p w14:paraId="5BCE788C">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vertAlign w:val="baseline"/>
                      <w:lang w:val="en-US" w:eastAsia="zh-CN" w:bidi="ar-SA"/>
                    </w:rPr>
                  </w:pPr>
                  <w:r>
                    <w:rPr>
                      <w:rFonts w:hint="eastAsia" w:ascii="宋体" w:hAnsi="宋体" w:eastAsia="宋体" w:cs="宋体"/>
                      <w:b/>
                      <w:bCs/>
                      <w:color w:val="auto"/>
                      <w:spacing w:val="10"/>
                      <w:kern w:val="0"/>
                      <w:sz w:val="21"/>
                      <w:szCs w:val="21"/>
                      <w:highlight w:val="none"/>
                      <w:lang w:val="en-US" w:eastAsia="zh-CN" w:bidi="ar-SA"/>
                    </w:rPr>
                    <w:t>腿板</w:t>
                  </w:r>
                </w:p>
              </w:tc>
              <w:tc>
                <w:tcPr>
                  <w:tcW w:w="1035" w:type="dxa"/>
                  <w:vAlign w:val="center"/>
                </w:tcPr>
                <w:p w14:paraId="5A33B371">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1</w:t>
                  </w:r>
                </w:p>
              </w:tc>
              <w:tc>
                <w:tcPr>
                  <w:tcW w:w="1017" w:type="dxa"/>
                  <w:vAlign w:val="center"/>
                </w:tcPr>
                <w:p w14:paraId="28F32745">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对</w:t>
                  </w:r>
                </w:p>
              </w:tc>
            </w:tr>
            <w:tr w14:paraId="397B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shd w:val="clear" w:color="auto" w:fill="auto"/>
                  <w:vAlign w:val="center"/>
                </w:tcPr>
                <w:p w14:paraId="768390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4</w:t>
                  </w:r>
                </w:p>
              </w:tc>
              <w:tc>
                <w:tcPr>
                  <w:tcW w:w="3150" w:type="dxa"/>
                  <w:shd w:val="clear" w:color="auto" w:fill="auto"/>
                  <w:vAlign w:val="center"/>
                </w:tcPr>
                <w:p w14:paraId="195FCFF3">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手臂板</w:t>
                  </w:r>
                </w:p>
              </w:tc>
              <w:tc>
                <w:tcPr>
                  <w:tcW w:w="1035" w:type="dxa"/>
                  <w:vAlign w:val="center"/>
                </w:tcPr>
                <w:p w14:paraId="0D73D879">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1</w:t>
                  </w:r>
                </w:p>
              </w:tc>
              <w:tc>
                <w:tcPr>
                  <w:tcW w:w="1017" w:type="dxa"/>
                  <w:vAlign w:val="center"/>
                </w:tcPr>
                <w:p w14:paraId="762D8E67">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对</w:t>
                  </w:r>
                </w:p>
              </w:tc>
            </w:tr>
            <w:tr w14:paraId="2E2F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shd w:val="clear" w:color="auto" w:fill="auto"/>
                  <w:vAlign w:val="center"/>
                </w:tcPr>
                <w:p w14:paraId="0A257B2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5</w:t>
                  </w:r>
                </w:p>
              </w:tc>
              <w:tc>
                <w:tcPr>
                  <w:tcW w:w="3150" w:type="dxa"/>
                  <w:shd w:val="clear" w:color="auto" w:fill="auto"/>
                  <w:vAlign w:val="center"/>
                </w:tcPr>
                <w:p w14:paraId="4804F3B0">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手控器</w:t>
                  </w:r>
                </w:p>
              </w:tc>
              <w:tc>
                <w:tcPr>
                  <w:tcW w:w="1035" w:type="dxa"/>
                  <w:vAlign w:val="center"/>
                </w:tcPr>
                <w:p w14:paraId="2D31F221">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1</w:t>
                  </w:r>
                </w:p>
              </w:tc>
              <w:tc>
                <w:tcPr>
                  <w:tcW w:w="1017" w:type="dxa"/>
                  <w:vAlign w:val="center"/>
                </w:tcPr>
                <w:p w14:paraId="3DEA1799">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个</w:t>
                  </w:r>
                </w:p>
              </w:tc>
            </w:tr>
            <w:tr w14:paraId="140E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shd w:val="clear" w:color="auto" w:fill="auto"/>
                  <w:vAlign w:val="center"/>
                </w:tcPr>
                <w:p w14:paraId="2429FB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6</w:t>
                  </w:r>
                </w:p>
              </w:tc>
              <w:tc>
                <w:tcPr>
                  <w:tcW w:w="3150" w:type="dxa"/>
                  <w:shd w:val="clear" w:color="auto" w:fill="auto"/>
                  <w:vAlign w:val="center"/>
                </w:tcPr>
                <w:p w14:paraId="2580C55C">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海绵床垫</w:t>
                  </w:r>
                </w:p>
              </w:tc>
              <w:tc>
                <w:tcPr>
                  <w:tcW w:w="1035" w:type="dxa"/>
                  <w:vAlign w:val="center"/>
                </w:tcPr>
                <w:p w14:paraId="5906829A">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1</w:t>
                  </w:r>
                </w:p>
              </w:tc>
              <w:tc>
                <w:tcPr>
                  <w:tcW w:w="1017" w:type="dxa"/>
                  <w:vAlign w:val="center"/>
                </w:tcPr>
                <w:p w14:paraId="68EF903A">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套</w:t>
                  </w:r>
                </w:p>
              </w:tc>
            </w:tr>
            <w:tr w14:paraId="1E00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shd w:val="clear" w:color="auto" w:fill="auto"/>
                  <w:vAlign w:val="center"/>
                </w:tcPr>
                <w:p w14:paraId="015B61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7</w:t>
                  </w:r>
                </w:p>
              </w:tc>
              <w:tc>
                <w:tcPr>
                  <w:tcW w:w="3150" w:type="dxa"/>
                  <w:shd w:val="clear" w:color="auto" w:fill="auto"/>
                  <w:vAlign w:val="center"/>
                </w:tcPr>
                <w:p w14:paraId="574E556D">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电动肾桥</w:t>
                  </w:r>
                </w:p>
              </w:tc>
              <w:tc>
                <w:tcPr>
                  <w:tcW w:w="1035" w:type="dxa"/>
                  <w:vAlign w:val="center"/>
                </w:tcPr>
                <w:p w14:paraId="187CBDFF">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017" w:type="dxa"/>
                  <w:vAlign w:val="center"/>
                </w:tcPr>
                <w:p w14:paraId="269E7734">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r>
            <w:tr w14:paraId="2219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shd w:val="clear" w:color="auto" w:fill="auto"/>
                  <w:vAlign w:val="center"/>
                </w:tcPr>
                <w:p w14:paraId="115E6E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8</w:t>
                  </w:r>
                </w:p>
              </w:tc>
              <w:tc>
                <w:tcPr>
                  <w:tcW w:w="3150" w:type="dxa"/>
                  <w:shd w:val="clear" w:color="auto" w:fill="auto"/>
                  <w:vAlign w:val="center"/>
                </w:tcPr>
                <w:p w14:paraId="60C4BC5D">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pacing w:val="10"/>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床身控制器</w:t>
                  </w:r>
                </w:p>
              </w:tc>
              <w:tc>
                <w:tcPr>
                  <w:tcW w:w="1035" w:type="dxa"/>
                  <w:vAlign w:val="center"/>
                </w:tcPr>
                <w:p w14:paraId="5768AACB">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017" w:type="dxa"/>
                  <w:vAlign w:val="center"/>
                </w:tcPr>
                <w:p w14:paraId="3BEDD250">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r>
            <w:tr w14:paraId="4CB2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shd w:val="clear" w:color="auto" w:fill="auto"/>
                  <w:vAlign w:val="center"/>
                </w:tcPr>
                <w:p w14:paraId="4EBE07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9</w:t>
                  </w:r>
                </w:p>
              </w:tc>
              <w:tc>
                <w:tcPr>
                  <w:tcW w:w="3150" w:type="dxa"/>
                  <w:shd w:val="clear" w:color="auto" w:fill="auto"/>
                  <w:vAlign w:val="center"/>
                </w:tcPr>
                <w:p w14:paraId="0F6D701C">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麻醉布帘架（含钢轨固定器）</w:t>
                  </w:r>
                </w:p>
              </w:tc>
              <w:tc>
                <w:tcPr>
                  <w:tcW w:w="1035" w:type="dxa"/>
                  <w:vAlign w:val="center"/>
                </w:tcPr>
                <w:p w14:paraId="0B44DCED">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017" w:type="dxa"/>
                  <w:vAlign w:val="center"/>
                </w:tcPr>
                <w:p w14:paraId="2DA89A85">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r>
            <w:tr w14:paraId="363C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shd w:val="clear" w:color="auto" w:fill="auto"/>
                  <w:vAlign w:val="center"/>
                </w:tcPr>
                <w:p w14:paraId="08DC11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10</w:t>
                  </w:r>
                </w:p>
              </w:tc>
              <w:tc>
                <w:tcPr>
                  <w:tcW w:w="3150" w:type="dxa"/>
                  <w:shd w:val="clear" w:color="auto" w:fill="auto"/>
                  <w:vAlign w:val="center"/>
                </w:tcPr>
                <w:p w14:paraId="65EAD5C3">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托手架（含钢轨固定器）</w:t>
                  </w:r>
                </w:p>
              </w:tc>
              <w:tc>
                <w:tcPr>
                  <w:tcW w:w="1035" w:type="dxa"/>
                  <w:vAlign w:val="center"/>
                </w:tcPr>
                <w:p w14:paraId="017BCC72">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017" w:type="dxa"/>
                  <w:vAlign w:val="center"/>
                </w:tcPr>
                <w:p w14:paraId="7DAE1A5F">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r>
            <w:tr w14:paraId="0000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shd w:val="clear" w:color="auto" w:fill="auto"/>
                  <w:vAlign w:val="center"/>
                </w:tcPr>
                <w:p w14:paraId="4395D8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11</w:t>
                  </w:r>
                </w:p>
              </w:tc>
              <w:tc>
                <w:tcPr>
                  <w:tcW w:w="3150" w:type="dxa"/>
                  <w:shd w:val="clear" w:color="auto" w:fill="auto"/>
                  <w:vAlign w:val="center"/>
                </w:tcPr>
                <w:p w14:paraId="06A108CC">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腰架（含钢轨固定夹）</w:t>
                  </w:r>
                </w:p>
              </w:tc>
              <w:tc>
                <w:tcPr>
                  <w:tcW w:w="1035" w:type="dxa"/>
                  <w:vAlign w:val="center"/>
                </w:tcPr>
                <w:p w14:paraId="714F34BD">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017" w:type="dxa"/>
                  <w:vAlign w:val="center"/>
                </w:tcPr>
                <w:p w14:paraId="2F9CECD6">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w:t>
                  </w:r>
                </w:p>
              </w:tc>
            </w:tr>
            <w:tr w14:paraId="240C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shd w:val="clear" w:color="auto" w:fill="auto"/>
                  <w:vAlign w:val="center"/>
                </w:tcPr>
                <w:p w14:paraId="57D111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12</w:t>
                  </w:r>
                </w:p>
              </w:tc>
              <w:tc>
                <w:tcPr>
                  <w:tcW w:w="3150" w:type="dxa"/>
                  <w:shd w:val="clear" w:color="auto" w:fill="auto"/>
                  <w:vAlign w:val="center"/>
                </w:tcPr>
                <w:p w14:paraId="33F7E725">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肩架（含钢轨固定夹）</w:t>
                  </w:r>
                </w:p>
              </w:tc>
              <w:tc>
                <w:tcPr>
                  <w:tcW w:w="1035" w:type="dxa"/>
                  <w:vAlign w:val="center"/>
                </w:tcPr>
                <w:p w14:paraId="5D461C52">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017" w:type="dxa"/>
                  <w:vAlign w:val="center"/>
                </w:tcPr>
                <w:p w14:paraId="0D9C0D55">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w:t>
                  </w:r>
                </w:p>
              </w:tc>
            </w:tr>
            <w:tr w14:paraId="12F0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shd w:val="clear" w:color="auto" w:fill="auto"/>
                  <w:vAlign w:val="center"/>
                </w:tcPr>
                <w:p w14:paraId="4E4813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13</w:t>
                  </w:r>
                </w:p>
              </w:tc>
              <w:tc>
                <w:tcPr>
                  <w:tcW w:w="3150" w:type="dxa"/>
                  <w:shd w:val="clear" w:color="auto" w:fill="auto"/>
                  <w:vAlign w:val="center"/>
                </w:tcPr>
                <w:p w14:paraId="227B53C1">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大腿架（含钢轨固定器）</w:t>
                  </w:r>
                </w:p>
              </w:tc>
              <w:tc>
                <w:tcPr>
                  <w:tcW w:w="1035" w:type="dxa"/>
                  <w:vAlign w:val="center"/>
                </w:tcPr>
                <w:p w14:paraId="250B9640">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017" w:type="dxa"/>
                  <w:vAlign w:val="center"/>
                </w:tcPr>
                <w:p w14:paraId="4BEFD7F8">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w:t>
                  </w:r>
                </w:p>
              </w:tc>
            </w:tr>
            <w:tr w14:paraId="161A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6" w:type="dxa"/>
                  <w:shd w:val="clear" w:color="auto" w:fill="auto"/>
                  <w:vAlign w:val="center"/>
                </w:tcPr>
                <w:p w14:paraId="709191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14</w:t>
                  </w:r>
                </w:p>
              </w:tc>
              <w:tc>
                <w:tcPr>
                  <w:tcW w:w="3150" w:type="dxa"/>
                  <w:shd w:val="clear" w:color="auto" w:fill="auto"/>
                  <w:vAlign w:val="center"/>
                </w:tcPr>
                <w:p w14:paraId="65681ED0">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质保期≥</w:t>
                  </w:r>
                </w:p>
              </w:tc>
              <w:tc>
                <w:tcPr>
                  <w:tcW w:w="1035" w:type="dxa"/>
                  <w:vAlign w:val="center"/>
                </w:tcPr>
                <w:p w14:paraId="2F3F846A">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1017" w:type="dxa"/>
                  <w:vAlign w:val="center"/>
                </w:tcPr>
                <w:p w14:paraId="55BA4B9E">
                  <w:pPr>
                    <w:pStyle w:val="127"/>
                    <w:keepNext w:val="0"/>
                    <w:keepLines w:val="0"/>
                    <w:pageBreakBefore w:val="0"/>
                    <w:kinsoku/>
                    <w:wordWrap/>
                    <w:overflowPunct/>
                    <w:topLinePunct w:val="0"/>
                    <w:autoSpaceDE/>
                    <w:autoSpaceDN/>
                    <w:bidi w:val="0"/>
                    <w:adjustRightInd/>
                    <w:spacing w:before="0" w:after="0" w:line="40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年</w:t>
                  </w:r>
                </w:p>
              </w:tc>
            </w:tr>
          </w:tbl>
          <w:p w14:paraId="53B080C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lang w:val="en-US" w:eastAsia="zh-CN"/>
              </w:rPr>
            </w:pPr>
          </w:p>
        </w:tc>
      </w:tr>
      <w:bookmarkEnd w:id="75"/>
      <w:tr w14:paraId="2F7C3AF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tcBorders>
              <w:top w:val="single" w:color="auto" w:sz="4" w:space="0"/>
              <w:left w:val="single" w:color="auto" w:sz="4" w:space="0"/>
              <w:bottom w:val="single" w:color="auto" w:sz="4" w:space="0"/>
              <w:right w:val="single" w:color="auto" w:sz="4" w:space="0"/>
            </w:tcBorders>
            <w:vAlign w:val="center"/>
          </w:tcPr>
          <w:p w14:paraId="729FB78F">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color w:val="auto"/>
                <w:sz w:val="21"/>
                <w:szCs w:val="21"/>
                <w:highlight w:val="none"/>
              </w:rPr>
              <w:t>一、商务要求</w:t>
            </w:r>
          </w:p>
        </w:tc>
      </w:tr>
      <w:tr w14:paraId="54A237E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74CAA4B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质量保证</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03F0860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按国家有关规定或厂家承诺实行“三包”，质保期从验收合格之日起不少于1年（如采购需求中有特殊要求的，按特殊要求执行</w:t>
            </w:r>
            <w:r>
              <w:rPr>
                <w:rFonts w:hint="eastAsia" w:ascii="宋体" w:hAnsi="宋体" w:eastAsia="宋体" w:cs="宋体"/>
                <w:b/>
                <w:bCs/>
                <w:color w:val="auto"/>
                <w:sz w:val="21"/>
                <w:szCs w:val="21"/>
                <w:highlight w:val="none"/>
                <w:lang w:eastAsia="zh-CN"/>
              </w:rPr>
              <w:t>，如厂家承诺质保期大于供应商承诺质保期，按厂家质保期执行</w:t>
            </w:r>
            <w:r>
              <w:rPr>
                <w:rFonts w:hint="eastAsia" w:ascii="宋体" w:hAnsi="宋体" w:eastAsia="宋体" w:cs="宋体"/>
                <w:b/>
                <w:bCs/>
                <w:color w:val="auto"/>
                <w:sz w:val="21"/>
                <w:szCs w:val="21"/>
                <w:highlight w:val="none"/>
              </w:rPr>
              <w:t>），所提供的货物必须是全新的合格产品，质保期内全免费上门维修、免费更换零部件；质保期过后提供终身维护。</w:t>
            </w:r>
          </w:p>
        </w:tc>
      </w:tr>
      <w:tr w14:paraId="13279B0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6C6CCBB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交货时间及地点</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635650D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交货时间：进口</w:t>
            </w:r>
            <w:r>
              <w:rPr>
                <w:rFonts w:hint="eastAsia" w:ascii="宋体" w:hAnsi="宋体" w:cs="宋体"/>
                <w:b/>
                <w:bCs/>
                <w:color w:val="auto"/>
                <w:sz w:val="21"/>
                <w:szCs w:val="21"/>
                <w:highlight w:val="none"/>
                <w:lang w:eastAsia="zh-CN"/>
              </w:rPr>
              <w:t>设备</w:t>
            </w:r>
            <w:r>
              <w:rPr>
                <w:rFonts w:hint="eastAsia" w:ascii="宋体" w:hAnsi="宋体" w:eastAsia="宋体" w:cs="宋体"/>
                <w:b/>
                <w:bCs/>
                <w:color w:val="auto"/>
                <w:sz w:val="21"/>
                <w:szCs w:val="21"/>
                <w:highlight w:val="none"/>
                <w:lang w:eastAsia="zh-CN"/>
              </w:rPr>
              <w:t>：自签订合同之日起90日（日历日）内交货、安装调试完毕并通过验收；国产设备：自签订合同之日起</w:t>
            </w:r>
            <w:r>
              <w:rPr>
                <w:rFonts w:hint="eastAsia" w:ascii="宋体" w:hAnsi="宋体" w:eastAsia="宋体" w:cs="宋体"/>
                <w:b/>
                <w:bCs/>
                <w:color w:val="auto"/>
                <w:sz w:val="21"/>
                <w:szCs w:val="21"/>
                <w:highlight w:val="none"/>
                <w:lang w:val="en-US" w:eastAsia="zh-CN"/>
              </w:rPr>
              <w:t>60</w:t>
            </w:r>
            <w:r>
              <w:rPr>
                <w:rFonts w:hint="eastAsia" w:ascii="宋体" w:hAnsi="宋体" w:eastAsia="宋体" w:cs="宋体"/>
                <w:b/>
                <w:bCs/>
                <w:color w:val="auto"/>
                <w:sz w:val="21"/>
                <w:szCs w:val="21"/>
                <w:highlight w:val="none"/>
                <w:lang w:eastAsia="zh-CN"/>
              </w:rPr>
              <w:t>个日历日内交货、安装调试完毕并通过验收。</w:t>
            </w:r>
          </w:p>
          <w:p w14:paraId="097DA6E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交货地点：灵山县人民医院</w:t>
            </w:r>
          </w:p>
        </w:tc>
      </w:tr>
      <w:tr w14:paraId="64156C0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5D591A8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63A5751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项目验收合格正常使用后，成交人10日内开具全额发票给采购人，采购人</w:t>
            </w:r>
            <w:r>
              <w:rPr>
                <w:rFonts w:hint="eastAsia" w:ascii="宋体" w:hAnsi="宋体" w:eastAsia="宋体" w:cs="宋体"/>
                <w:b/>
                <w:bCs/>
                <w:color w:val="auto"/>
                <w:sz w:val="21"/>
                <w:szCs w:val="21"/>
                <w:highlight w:val="none"/>
              </w:rPr>
              <w:t>在</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个月内支付</w:t>
            </w:r>
            <w:r>
              <w:rPr>
                <w:rFonts w:hint="eastAsia" w:ascii="宋体" w:hAnsi="宋体" w:eastAsia="宋体" w:cs="宋体"/>
                <w:b/>
                <w:bCs/>
                <w:color w:val="auto"/>
                <w:sz w:val="21"/>
                <w:szCs w:val="21"/>
                <w:highlight w:val="none"/>
                <w:lang w:eastAsia="zh-CN"/>
              </w:rPr>
              <w:t>完成交金额的</w:t>
            </w:r>
            <w:r>
              <w:rPr>
                <w:rFonts w:hint="eastAsia" w:ascii="宋体" w:hAnsi="宋体" w:eastAsia="宋体" w:cs="宋体"/>
                <w:b/>
                <w:bCs/>
                <w:color w:val="auto"/>
                <w:sz w:val="21"/>
                <w:szCs w:val="21"/>
                <w:highlight w:val="none"/>
                <w:lang w:val="en-US" w:eastAsia="zh-CN"/>
              </w:rPr>
              <w:t>100%</w:t>
            </w:r>
            <w:r>
              <w:rPr>
                <w:rFonts w:hint="eastAsia" w:ascii="宋体" w:hAnsi="宋体" w:eastAsia="宋体" w:cs="宋体"/>
                <w:b/>
                <w:bCs/>
                <w:color w:val="auto"/>
                <w:sz w:val="21"/>
                <w:szCs w:val="21"/>
                <w:highlight w:val="none"/>
                <w:lang w:val="en-US"/>
              </w:rPr>
              <w:t>。</w:t>
            </w:r>
          </w:p>
        </w:tc>
      </w:tr>
      <w:tr w14:paraId="492BE95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7A31AC7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售后服务要求</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790F110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竞标产品必须是按厂家出厂标准配置提供的整套具备全新正规合法经销渠道的符合国家各项有关质量标准的合格产品。相关部件及服务须满足本表中各项要求。若产品在运输过程中损坏或擦伤须无偿调换同样产品；</w:t>
            </w:r>
          </w:p>
          <w:p w14:paraId="7F8E473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供应商应保证所提供的货物或其任何一部分（包括软件）均为正版，不会侵犯任何第三方的专利权、商标权等着作权，如在使用过程中出现的一切经济和法律责任均由供应商负责，并负责赔偿给使用方造成的一切损失。</w:t>
            </w:r>
          </w:p>
          <w:p w14:paraId="02265B11">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供应商免费送货上门，产品到达现场后，供应商应在采购单位人员在场情况下当面开箱，共同清点、检查外观，作出开箱记录，双方签字确认，成交供应商应保证货物到达采购人指定地点完好无损，如有缺漏、损坏，由供应商负责调换、补齐或赔偿。</w:t>
            </w:r>
          </w:p>
          <w:p w14:paraId="02AE8E52">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供应商负责设备安装调试，直至设备验收合格（期间所需器材及费用均由供应商承担），产品或服务在安装调试井试运行符合要求后，才作为最终验收。</w:t>
            </w:r>
          </w:p>
          <w:p w14:paraId="7710CF6F">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本项目应提供技术援助电话，解答采购人在使用中遇到的问题，及时为采购人提出解决问题的建议：提供专业维保人员不少于1人。</w:t>
            </w:r>
          </w:p>
          <w:p w14:paraId="09D9CC59">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在使用过程中发生质量问题或故障，供应商接到通知后1小时内响应，4小时内到达现场处理，一般故障处理时限不超过12小时修复，如果故障在检修24小时后故障仍无法排除，供应商应在48小时内提供不低于故障设备规格型号档次的备用设备供采购人使用，直至故障设备修复。</w:t>
            </w:r>
          </w:p>
          <w:p w14:paraId="7DBD6616">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对采购人进行设备操作、日常维护等技术培训，</w:t>
            </w:r>
            <w:r>
              <w:rPr>
                <w:rFonts w:hint="eastAsia" w:ascii="宋体" w:hAnsi="宋体" w:eastAsia="宋体" w:cs="宋体"/>
                <w:b/>
                <w:bCs/>
                <w:color w:val="auto"/>
                <w:sz w:val="21"/>
                <w:szCs w:val="21"/>
                <w:highlight w:val="none"/>
                <w:lang w:val="en-US" w:eastAsia="zh-CN"/>
              </w:rPr>
              <w:t>地点在</w:t>
            </w:r>
            <w:r>
              <w:rPr>
                <w:rFonts w:hint="eastAsia" w:ascii="宋体" w:hAnsi="宋体" w:eastAsia="宋体" w:cs="宋体"/>
                <w:b/>
                <w:bCs/>
                <w:color w:val="auto"/>
                <w:sz w:val="21"/>
                <w:szCs w:val="21"/>
                <w:highlight w:val="none"/>
              </w:rPr>
              <w:t>采购人</w:t>
            </w:r>
            <w:r>
              <w:rPr>
                <w:rFonts w:hint="eastAsia" w:ascii="宋体" w:hAnsi="宋体" w:eastAsia="宋体" w:cs="宋体"/>
                <w:b/>
                <w:bCs/>
                <w:color w:val="auto"/>
                <w:sz w:val="21"/>
                <w:szCs w:val="21"/>
                <w:highlight w:val="none"/>
                <w:lang w:eastAsia="zh-CN"/>
              </w:rPr>
              <w:t>指定地点</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时间不少于2天，所有培训所涉及的费用均由供应商承担。</w:t>
            </w:r>
          </w:p>
          <w:p w14:paraId="62A12036">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保修期内非用户原因引起的质量事故供应商应负全部责任；所有非故意性坏以及在要求质量标准范围内的正常使用造成的损坏均要免费维修。</w:t>
            </w:r>
          </w:p>
          <w:p w14:paraId="3ADBBD0D">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设备维修或更换后其保修期相应顺延；</w:t>
            </w:r>
          </w:p>
          <w:p w14:paraId="69F546E2">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对因采购方人员的不正当使用所造成的损坏不归供应商负责保修，但成交人也要积极帮助采购人修理，并保证提供优惠价格的配件和服务。</w:t>
            </w:r>
          </w:p>
          <w:p w14:paraId="3E4B20F9">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售后服务中，维修使用的备品备件及易损件应为原厂配件，未经采购人同意不得使用非原厂配件。</w:t>
            </w:r>
          </w:p>
          <w:p w14:paraId="088A6EAD">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供应商验收完成后须提供完整的安装、操作、使用和维护手册及设备位置图等所有技术资料、图纸。</w:t>
            </w:r>
          </w:p>
        </w:tc>
      </w:tr>
      <w:tr w14:paraId="26B666C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7630CFB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报价及其他要求</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7D54179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竞标报价为采购人指定地点的现场交货价，包括：</w:t>
            </w:r>
          </w:p>
          <w:p w14:paraId="375AB88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货物的价格：包括货款、杂配件、安装调试费、验收费；</w:t>
            </w:r>
          </w:p>
          <w:p w14:paraId="269C276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货物的标准附件、备品备件、专用工具的价格。</w:t>
            </w:r>
          </w:p>
          <w:p w14:paraId="14816AE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运输、装卸、调试、培训、技术支持、售后服务费。</w:t>
            </w:r>
          </w:p>
          <w:p w14:paraId="1D05EFF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招标代理服务费、保险费和各项税金。</w:t>
            </w:r>
          </w:p>
          <w:p w14:paraId="47D4934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注：竞标人自行考虑完成项目所需的辅材、杂配件等数量，竞标报价中应包含全部内容，成交后采购人不再另行支付额外费用。</w:t>
            </w:r>
          </w:p>
        </w:tc>
      </w:tr>
      <w:tr w14:paraId="2808792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114DFEA5">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验收要求</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2B07B79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1、验收过程中所产生的一切费用均由</w:t>
            </w:r>
            <w:r>
              <w:rPr>
                <w:rFonts w:hint="eastAsia" w:ascii="宋体" w:hAnsi="宋体" w:eastAsia="宋体" w:cs="宋体"/>
                <w:b/>
                <w:bCs/>
                <w:color w:val="auto"/>
                <w:sz w:val="21"/>
                <w:szCs w:val="21"/>
                <w:highlight w:val="none"/>
                <w:lang w:eastAsia="zh-CN"/>
              </w:rPr>
              <w:t>成交人</w:t>
            </w:r>
            <w:r>
              <w:rPr>
                <w:rFonts w:hint="eastAsia" w:ascii="宋体" w:hAnsi="宋体" w:eastAsia="宋体" w:cs="宋体"/>
                <w:b/>
                <w:bCs/>
                <w:color w:val="auto"/>
                <w:sz w:val="21"/>
                <w:szCs w:val="21"/>
                <w:highlight w:val="none"/>
              </w:rPr>
              <w:t>承担。报价时应考虑相关费用。</w:t>
            </w:r>
          </w:p>
          <w:p w14:paraId="617A1D0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成交人</w:t>
            </w:r>
            <w:r>
              <w:rPr>
                <w:rFonts w:hint="eastAsia" w:ascii="宋体" w:hAnsi="宋体" w:eastAsia="宋体" w:cs="宋体"/>
                <w:b/>
                <w:bCs/>
                <w:color w:val="auto"/>
                <w:sz w:val="21"/>
                <w:szCs w:val="21"/>
                <w:highlight w:val="none"/>
              </w:rPr>
              <w:t>在货物验收时由采购单位对照</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的功能目标及技术指标全面核对检验，包括但不限于提供产品注册检测报告、产品注册技术要求、产品彩页等原件进行核查，如不符合</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的技术需求及要求以及提供虚假承诺的，包括拒不提供的，按相关规定做退货处理及违约处理，同时视为虚假应标。</w:t>
            </w:r>
            <w:r>
              <w:rPr>
                <w:rFonts w:hint="eastAsia" w:ascii="宋体" w:hAnsi="宋体" w:eastAsia="宋体" w:cs="宋体"/>
                <w:b/>
                <w:bCs/>
                <w:color w:val="auto"/>
                <w:sz w:val="21"/>
                <w:szCs w:val="21"/>
                <w:highlight w:val="none"/>
                <w:lang w:eastAsia="zh-CN"/>
              </w:rPr>
              <w:t>成交人</w:t>
            </w:r>
            <w:r>
              <w:rPr>
                <w:rFonts w:hint="eastAsia" w:ascii="宋体" w:hAnsi="宋体" w:eastAsia="宋体" w:cs="宋体"/>
                <w:b/>
                <w:bCs/>
                <w:color w:val="auto"/>
                <w:sz w:val="21"/>
                <w:szCs w:val="21"/>
                <w:highlight w:val="none"/>
              </w:rPr>
              <w:t>承担所有责任和费用，采购人保留进一步追究责任的权利。</w:t>
            </w:r>
          </w:p>
          <w:p w14:paraId="787083E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验收工作由医学装备科技术人员、设备使用科室负责人、财务科工作人员组成的小组与供应商负责安装的技术人员按照灵山县人民医院医疗验收安装验收合格证标明的内容及技术参数表逐条进行验收。验收标准：采购标的需执行国家标准、行业标准、地方标准或者其他标准、规范，同时也应符合厂家或医疗器械厂家提供的技术资料中各项技术指标和参数要求，参数要求必须符合采购参数规定，不能以“标准配置”、“选购配置”为由与采购参数不符，如有最新的按最新的执行。</w:t>
            </w:r>
          </w:p>
          <w:p w14:paraId="0F9099F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4.招标项目有其他要求的按其要求：</w:t>
            </w:r>
          </w:p>
          <w:p w14:paraId="14FBA129">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4.1开箱验收：在设备科技术员、供应商人员、使用科室负责人在场的情况下，才允许开箱。</w:t>
            </w:r>
          </w:p>
          <w:p w14:paraId="12E16271">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4.1.1开箱前首先查看包装是否破损，如有破损，应拍照留存或双方签字的文字记录。</w:t>
            </w:r>
          </w:p>
          <w:p w14:paraId="09E6A4E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4.1.2开箱后，检查设备部件有否损伤，如有损伤，拍照留存，并作无条件更换处理。</w:t>
            </w:r>
          </w:p>
          <w:p w14:paraId="1C334411">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4.2资料接收：以下资料在验收时由供应商提交医疗设备科查验合格后接收存档；</w:t>
            </w:r>
          </w:p>
          <w:p w14:paraId="1BEAFDA0">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验收时设备科验收人员应携带纸质合同现场核验以下材料是否与合同一致，供应商需提前提供合同PDF文档1份给设备科技术人员存档，如PDF文档与纸质合同不符的，不予验收。</w:t>
            </w:r>
          </w:p>
          <w:p w14:paraId="544106A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4.2.1设备的合法性证明材料：</w:t>
            </w:r>
          </w:p>
          <w:p w14:paraId="772C9EC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①提供设备的生产许可证明材料（适用于国产品牌）：</w:t>
            </w:r>
          </w:p>
          <w:p w14:paraId="0D71512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②具有医疗器械属性的设备：医疗器械生产企业许可证复印件1份及PDF文档1份。</w:t>
            </w:r>
          </w:p>
          <w:p w14:paraId="2199C9F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③具有特种设备属性的设备：特种设备生产许可复印件1份及PDF文档1份。</w:t>
            </w:r>
          </w:p>
          <w:p w14:paraId="008F5973">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④具有计量仪器属性的设备：制造计量器具许可证复印件1份及PDF文档1份。</w:t>
            </w:r>
          </w:p>
          <w:p w14:paraId="062BE003">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4.2.2提供设备生产合格证明</w:t>
            </w:r>
          </w:p>
          <w:p w14:paraId="1CFFB629">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①出厂合格证明：原件及PDF文档各1份</w:t>
            </w:r>
          </w:p>
          <w:p w14:paraId="1D3F037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②特种设备检验合格证：原件及PDF文档各1份（指特种设备整机）</w:t>
            </w:r>
          </w:p>
          <w:p w14:paraId="7D0F2723">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③特种设备所用材料合格证明：复印件及PDF文档各1份（指特种设备所用的配件）</w:t>
            </w:r>
          </w:p>
          <w:p w14:paraId="1CAA7A8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4.2.3医疗器械市场监管合法证明材料</w:t>
            </w:r>
          </w:p>
          <w:p w14:paraId="5A8F9040">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①医疗器械注册证（如涉及2类、3类医疗器械时必须提供，1类如有请提供）复印件1件及PDF文档1份。</w:t>
            </w:r>
          </w:p>
          <w:p w14:paraId="5C7E064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②进口产品（</w:t>
            </w:r>
            <w:r>
              <w:rPr>
                <w:rFonts w:hint="eastAsia" w:ascii="宋体" w:hAnsi="宋体" w:eastAsia="宋体" w:cs="宋体"/>
                <w:b/>
                <w:bCs/>
                <w:color w:val="auto"/>
                <w:sz w:val="21"/>
                <w:szCs w:val="21"/>
                <w:highlight w:val="none"/>
                <w:lang w:eastAsia="zh-CN"/>
              </w:rPr>
              <w:t>竞标产品</w:t>
            </w:r>
            <w:r>
              <w:rPr>
                <w:rFonts w:hint="eastAsia" w:ascii="宋体" w:hAnsi="宋体" w:eastAsia="宋体" w:cs="宋体"/>
                <w:b/>
                <w:bCs/>
                <w:color w:val="auto"/>
                <w:sz w:val="21"/>
                <w:szCs w:val="21"/>
                <w:highlight w:val="none"/>
              </w:rPr>
              <w:t>为进口产品时提供，国产不须提供）：海关进货单复印件1份及PDF文档1份。</w:t>
            </w:r>
          </w:p>
          <w:p w14:paraId="7097751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4.2.4经销商的合法性证明材料：</w:t>
            </w:r>
          </w:p>
          <w:p w14:paraId="53813ED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①营业执照复印件及PDF文档各1份，经营范围必须与所经营的类别相符，并在有效期内。</w:t>
            </w:r>
          </w:p>
          <w:p w14:paraId="3442FC72">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②医疗器械经营企业许可证或属于二类的备案凭证复印件1份及PDF文档1份，经营医疗器械级别及经营类别必须与设备的医疗器械注册证相符（如涉及2类、3类医疗器械时必须提供，1类如有请提供）。</w:t>
            </w:r>
          </w:p>
          <w:p w14:paraId="6698776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③生产厂给经销商的授权书复印件1份及PDF文档1份。</w:t>
            </w:r>
          </w:p>
          <w:p w14:paraId="2B13220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4.2.5.设备随机资料：</w:t>
            </w:r>
          </w:p>
          <w:p w14:paraId="344785B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①《使用说明书》提供原版纸质一式两份，PDF文档一份，一份留使用科室，一份存档案室，不能提供两份原版的，可提供一份原版。</w:t>
            </w:r>
          </w:p>
          <w:p w14:paraId="2553DA82">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②电路图、其它技术文件、软件光盘、系统光盘、视频光盘及其它电子版原件资料，设备安装调试结束后必须存放医疗设备科。</w:t>
            </w:r>
          </w:p>
          <w:p w14:paraId="58FD613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③计量仪器必须提供相关计量仪器检定合格证明材料原件及PDF文档各1份。</w:t>
            </w:r>
          </w:p>
          <w:p w14:paraId="68828733">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4.2.6设备装箱单、配置清单</w:t>
            </w:r>
          </w:p>
          <w:p w14:paraId="468F1F94">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①每台设备1份操作规定程序（操作规程）卡片，由厂方制作的质量好耐用纸质版。</w:t>
            </w:r>
          </w:p>
          <w:p w14:paraId="1A4D089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②送货清单，清单包括设备名称、型号、单价，总金额，送货公司与合同公司一致。</w:t>
            </w:r>
          </w:p>
          <w:p w14:paraId="12EC7F6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4.3技术性能验收：</w:t>
            </w:r>
          </w:p>
          <w:p w14:paraId="71F9296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4.3.1以采购参数为依据，以满足使用要求为原则，验收由设备使用科室人员负责，</w:t>
            </w:r>
            <w:r>
              <w:rPr>
                <w:rFonts w:hint="eastAsia" w:ascii="宋体" w:hAnsi="宋体" w:eastAsia="宋体" w:cs="宋体"/>
                <w:b/>
                <w:bCs/>
                <w:color w:val="auto"/>
                <w:sz w:val="21"/>
                <w:szCs w:val="21"/>
                <w:highlight w:val="none"/>
                <w:lang w:eastAsia="zh-CN"/>
              </w:rPr>
              <w:t>竞标参数</w:t>
            </w:r>
            <w:r>
              <w:rPr>
                <w:rFonts w:hint="eastAsia" w:ascii="宋体" w:hAnsi="宋体" w:eastAsia="宋体" w:cs="宋体"/>
                <w:b/>
                <w:bCs/>
                <w:color w:val="auto"/>
                <w:sz w:val="21"/>
                <w:szCs w:val="21"/>
                <w:highlight w:val="none"/>
              </w:rPr>
              <w:t>是否符合采购参数要求以验收实际结果为准。</w:t>
            </w:r>
          </w:p>
          <w:p w14:paraId="0449536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4.3.2设备清单必须与采购参数相符合，如有出入，以</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参数为准。</w:t>
            </w:r>
          </w:p>
          <w:p w14:paraId="09673969">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4.3.3验收必须以采购参数为基准，对投标技术响应表逐条进行验收，对于技术响应表与采购技术参数不符的，作如下处理：</w:t>
            </w:r>
          </w:p>
          <w:p w14:paraId="78139031">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1.技术响应表与采购参数比较有漏项的，以非实质响应采购要求论处。</w:t>
            </w:r>
          </w:p>
          <w:p w14:paraId="4A9BC234">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2.实际是负偏离的参数，响应表成交为负偏离的，经评标仍然中标的，说明不影响设备质量、使用与档次，验收时以负偏离验收，设备视为接受。如果</w:t>
            </w:r>
            <w:r>
              <w:rPr>
                <w:rFonts w:hint="eastAsia" w:ascii="宋体" w:hAnsi="宋体" w:eastAsia="宋体" w:cs="宋体"/>
                <w:b/>
                <w:bCs/>
                <w:color w:val="auto"/>
                <w:sz w:val="21"/>
                <w:szCs w:val="21"/>
                <w:highlight w:val="none"/>
                <w:lang w:eastAsia="zh-CN"/>
              </w:rPr>
              <w:t>合同</w:t>
            </w:r>
            <w:r>
              <w:rPr>
                <w:rFonts w:hint="eastAsia" w:ascii="宋体" w:hAnsi="宋体" w:eastAsia="宋体" w:cs="宋体"/>
                <w:b/>
                <w:bCs/>
                <w:color w:val="auto"/>
                <w:sz w:val="21"/>
                <w:szCs w:val="21"/>
                <w:highlight w:val="none"/>
              </w:rPr>
              <w:t>对质量、使用与档次有</w:t>
            </w:r>
            <w:r>
              <w:rPr>
                <w:rFonts w:hint="eastAsia" w:ascii="宋体" w:hAnsi="宋体" w:eastAsia="宋体" w:cs="宋体"/>
                <w:b/>
                <w:bCs/>
                <w:color w:val="auto"/>
                <w:sz w:val="21"/>
                <w:szCs w:val="21"/>
                <w:highlight w:val="none"/>
                <w:lang w:eastAsia="zh-CN"/>
              </w:rPr>
              <w:t>相应约定</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按合同约定的相关条款来处理。</w:t>
            </w:r>
          </w:p>
          <w:p w14:paraId="41760CF1">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3.实际是负偏离的参数，在响应文件</w:t>
            </w:r>
            <w:r>
              <w:rPr>
                <w:rFonts w:hint="eastAsia" w:ascii="宋体" w:hAnsi="宋体" w:eastAsia="宋体" w:cs="宋体"/>
                <w:b/>
                <w:bCs/>
                <w:color w:val="auto"/>
                <w:sz w:val="21"/>
                <w:szCs w:val="21"/>
                <w:highlight w:val="none"/>
                <w:lang w:eastAsia="zh-CN"/>
              </w:rPr>
              <w:t>注明</w:t>
            </w:r>
            <w:r>
              <w:rPr>
                <w:rFonts w:hint="eastAsia" w:ascii="宋体" w:hAnsi="宋体" w:eastAsia="宋体" w:cs="宋体"/>
                <w:b/>
                <w:bCs/>
                <w:color w:val="auto"/>
                <w:sz w:val="21"/>
                <w:szCs w:val="21"/>
                <w:highlight w:val="none"/>
              </w:rPr>
              <w:t>为无偏离或正偏离，视为虚假应标。</w:t>
            </w:r>
          </w:p>
          <w:p w14:paraId="1CAAB75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4.实际是正偏离参数，但验收时并没有达到响应表</w:t>
            </w:r>
            <w:r>
              <w:rPr>
                <w:rFonts w:hint="eastAsia" w:ascii="宋体" w:hAnsi="宋体" w:eastAsia="宋体" w:cs="宋体"/>
                <w:b/>
                <w:bCs/>
                <w:color w:val="auto"/>
                <w:sz w:val="21"/>
                <w:szCs w:val="21"/>
                <w:highlight w:val="none"/>
                <w:lang w:eastAsia="zh-CN"/>
              </w:rPr>
              <w:t>标</w:t>
            </w:r>
            <w:r>
              <w:rPr>
                <w:rFonts w:hint="eastAsia" w:ascii="宋体" w:hAnsi="宋体" w:eastAsia="宋体" w:cs="宋体"/>
                <w:b/>
                <w:bCs/>
                <w:color w:val="auto"/>
                <w:sz w:val="21"/>
                <w:szCs w:val="21"/>
                <w:highlight w:val="none"/>
              </w:rPr>
              <w:t>明的正偏离幅度，视为虚假应标。</w:t>
            </w:r>
          </w:p>
          <w:p w14:paraId="33BF871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5.备用功能。是指设备主机具备相应的功能，但需要增加相应的软件硬件配件才能实现，除非需要在使用期限内升级，本次投标中不设“备用功能”参数，需要这种功能时，</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必须有明确注明“备用功能”。验收时供应商必须携带相关部件进行验收，以证明设备确实具备相关功能，验收完成后相关部件供应商带回，如果拒绝携带相关部件验收，以虚假应标论处。</w:t>
            </w:r>
          </w:p>
          <w:p w14:paraId="554EBD10">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6.对于</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只要求具备的功能或性能，但</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没有详细标明硬件配置参数，同时</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也没有注明“ 备用功能”字样，供应商必须无条件配齐相关软件硬件后，予以接受，凡出现“可配”等不明确意义字样，以虚假应标论处。</w:t>
            </w:r>
          </w:p>
          <w:p w14:paraId="6643E272">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如是“可配可不配的必须配”，不得以“必须增购相关软硬件才能具备”或者以此为“选配，必须加钱另买”为由要求医院方额外开支才能达到相应功能项。如果供应商不愿意提供相关软硬件配置，以虚假应标论处。</w:t>
            </w:r>
          </w:p>
          <w:p w14:paraId="4B09E743">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7.对于以采购参数不同的参数概念，应标时出现张冠李戴现象，如以“速度”参数响应“长度”参数等，按虚假应标论处。</w:t>
            </w:r>
          </w:p>
          <w:p w14:paraId="26C933F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替代技术或同类技术，指用另一种与采购参数完全不一样的技术应标，验收时必须提供技术白皮书，说明与采购参数原理不同但目的与效果相同，验收时实际使用效果与采购参数一样，并得到使用科室验收专家的认可，才能判定无偏离，否则判定为负偏离，如果达不到相应使用效果，响应文件却以无偏离甚至以正偏离响应，以虚假应标论处。</w:t>
            </w:r>
          </w:p>
          <w:p w14:paraId="2B2AC97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对于以含义相同而名字不同的参数名称响应，供应商必须提供白皮书等有效证明材料，并得到医院有关专业人员的认可，以无偏离论处，否则判定为负偏离，负偏离情况下，如果响应文件标明为无偏离或正偏离响应，以虚假应标论处。</w:t>
            </w:r>
          </w:p>
          <w:p w14:paraId="68C8A42E">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10.复合参数，一个参数有多个技术指标，必须全部响应。如果只响应其中一部份指标，以负偏离论处，如果响应文件标明为无偏离或正偏离，以虚假应标论处。</w:t>
            </w:r>
          </w:p>
          <w:p w14:paraId="03D20C1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11.对于区间涵盖值参数，如“频率范围为 x-y，”等，其下界值更低，上界值更高，才能判定正偏离；其中一端负偏离，不管另一端实际情况如何，均判定负偏离，如果响应文件还标明正偏离，以虚假应标论处。</w:t>
            </w:r>
          </w:p>
          <w:p w14:paraId="60880960">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12.对于区间任意值参数，如“a≤××尺寸≤b”，“ ××尺寸”在区间 a-b 内任意一个数值均为无偏离，超出约定区间范围为负偏离，此类参数没有正偏离，如果为负偏离者，如果响应文件仍标明为无偏离以虚假应标论处，此类参数出现正偏离，也以虚假应标论处。</w:t>
            </w:r>
          </w:p>
          <w:p w14:paraId="492EA54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对于指定值参数：不是大于值也不是小于值，更不是区间值，只有应标数据一致，才能定为无偏离，应标参数不一致，为负偏离，此参数没有正偏离。如果与应标参数不一致，而响应为“无偏离”，以虚假应标论处。</w:t>
            </w:r>
          </w:p>
          <w:p w14:paraId="680659D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按常识，设备特殊的工作环境工作条件必须配置的软硬件才能发挥设备效用的，即使采购技术参数表没有表明，供应商也必须提供，不能以采购参数没有要求而拒绝提供。（如：除颤器有可能在远离电源的情况下使用，必须配置电池，即使</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没有明确标明电池，供应商也不能以此为由拒绝提供电池）。</w:t>
            </w:r>
          </w:p>
          <w:p w14:paraId="7DF104B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15.为防止虚假应标，如有必要，</w:t>
            </w:r>
            <w:r>
              <w:rPr>
                <w:rFonts w:hint="eastAsia" w:ascii="宋体" w:hAnsi="宋体" w:eastAsia="宋体" w:cs="宋体"/>
                <w:b/>
                <w:bCs/>
                <w:color w:val="auto"/>
                <w:sz w:val="21"/>
                <w:szCs w:val="21"/>
                <w:highlight w:val="none"/>
                <w:lang w:eastAsia="zh-CN"/>
              </w:rPr>
              <w:t>成交供应商</w:t>
            </w:r>
            <w:r>
              <w:rPr>
                <w:rFonts w:hint="eastAsia" w:ascii="宋体" w:hAnsi="宋体" w:eastAsia="宋体" w:cs="宋体"/>
                <w:b/>
                <w:bCs/>
                <w:color w:val="auto"/>
                <w:sz w:val="21"/>
                <w:szCs w:val="21"/>
                <w:highlight w:val="none"/>
              </w:rPr>
              <w:t>需配合院方联合院方指定的第三方或该项目其他</w:t>
            </w:r>
            <w:r>
              <w:rPr>
                <w:rFonts w:hint="eastAsia" w:ascii="宋体" w:hAnsi="宋体" w:eastAsia="宋体" w:cs="宋体"/>
                <w:b/>
                <w:bCs/>
                <w:color w:val="auto"/>
                <w:sz w:val="21"/>
                <w:szCs w:val="21"/>
                <w:highlight w:val="none"/>
                <w:lang w:eastAsia="zh-CN"/>
              </w:rPr>
              <w:t>竞标供应商</w:t>
            </w:r>
            <w:r>
              <w:rPr>
                <w:rFonts w:hint="eastAsia" w:ascii="宋体" w:hAnsi="宋体" w:eastAsia="宋体" w:cs="宋体"/>
                <w:b/>
                <w:bCs/>
                <w:color w:val="auto"/>
                <w:sz w:val="21"/>
                <w:szCs w:val="21"/>
                <w:highlight w:val="none"/>
              </w:rPr>
              <w:t>对</w:t>
            </w:r>
            <w:r>
              <w:rPr>
                <w:rFonts w:hint="eastAsia" w:ascii="宋体" w:hAnsi="宋体" w:eastAsia="宋体" w:cs="宋体"/>
                <w:b/>
                <w:bCs/>
                <w:color w:val="auto"/>
                <w:sz w:val="21"/>
                <w:szCs w:val="21"/>
                <w:highlight w:val="none"/>
                <w:lang w:eastAsia="zh-CN"/>
              </w:rPr>
              <w:t>成交供应商</w:t>
            </w:r>
            <w:r>
              <w:rPr>
                <w:rFonts w:hint="eastAsia" w:ascii="宋体" w:hAnsi="宋体" w:eastAsia="宋体" w:cs="宋体"/>
                <w:b/>
                <w:bCs/>
                <w:color w:val="auto"/>
                <w:sz w:val="21"/>
                <w:szCs w:val="21"/>
                <w:highlight w:val="none"/>
              </w:rPr>
              <w:t>提供产品的技术参数逐一验收，如发现提供产品的实际技术参数与</w:t>
            </w:r>
            <w:r>
              <w:rPr>
                <w:rFonts w:hint="eastAsia" w:ascii="宋体" w:hAnsi="宋体" w:eastAsia="宋体" w:cs="宋体"/>
                <w:b/>
                <w:bCs/>
                <w:color w:val="auto"/>
                <w:sz w:val="21"/>
                <w:szCs w:val="21"/>
                <w:highlight w:val="none"/>
                <w:lang w:eastAsia="zh-CN"/>
              </w:rPr>
              <w:t>竞标参数</w:t>
            </w:r>
            <w:r>
              <w:rPr>
                <w:rFonts w:hint="eastAsia" w:ascii="宋体" w:hAnsi="宋体" w:eastAsia="宋体" w:cs="宋体"/>
                <w:b/>
                <w:bCs/>
                <w:color w:val="auto"/>
                <w:sz w:val="21"/>
                <w:szCs w:val="21"/>
                <w:highlight w:val="none"/>
              </w:rPr>
              <w:t>不符，则视为虚假应标。</w:t>
            </w:r>
          </w:p>
          <w:p w14:paraId="44052314">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4.3.4试运行：设备使用科室验收人员按设备说明书要求在供应商指导下，常规负荷试运行七个工作日，没有出现异常者，为合格。</w:t>
            </w:r>
          </w:p>
          <w:p w14:paraId="145EAAC6">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4.4设备符合下列情形的，不予接收。</w:t>
            </w:r>
          </w:p>
          <w:p w14:paraId="00300934">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①设备部件损伤，影响整机外观或性能，供应商又不愿意更换的不予接收。</w:t>
            </w:r>
          </w:p>
          <w:p w14:paraId="7869211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②带▲号的参数，必须百分之百满足，验收发现是负偏离，不予接收。</w:t>
            </w:r>
          </w:p>
          <w:p w14:paraId="425C7AB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③对于标准功能或者常规操作所必须的软硬件配置，设备安全必须的软硬件配置，国家相关标准规定配置，行业内认可的配置，如果不配置，即使采购参数没有标明详细配置，供应商必须无条件提供，如不提供，设备不予接收。</w:t>
            </w:r>
          </w:p>
          <w:p w14:paraId="71809A99">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④验收时出现一项不实质性响应采购要求或一项验收条款规定的虚假应标情形者，设备不予接收。</w:t>
            </w:r>
          </w:p>
          <w:p w14:paraId="32514909">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⑤设备使用没有完成，使用人员还未能独立使用，供应商必须按合同要求提供培训，否则不予接收。</w:t>
            </w:r>
          </w:p>
          <w:p w14:paraId="5748BFD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⑥设备属于不予接收的情形，视为设备没有交接，供应商不得将设备放在医院任何场地，无条件搬走。</w:t>
            </w:r>
          </w:p>
          <w:p w14:paraId="2B272E2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4.5培训条款验收：设备安装结束后，供应商必须培训使用科室的操作人员，直到熟悉掌握机器性能及操作。</w:t>
            </w:r>
          </w:p>
          <w:p w14:paraId="6BFD1A6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4.6验收合格证签署：设备经供应商安装人员、设备科工程技术人员、使用科室负责人、验收人员均认为合格并全部签署验收合格证后，验收合格证生效。</w:t>
            </w:r>
          </w:p>
          <w:p w14:paraId="156B329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4.6.1验收合格生效：验收合格日期以最后验收完成项目为准，设备验收时间计算在供货期内，按合同相关规定执行，由于供应商原因造成不按时完成验收造成逾期供货事实，由供应商承担相关合同责任。</w:t>
            </w:r>
          </w:p>
          <w:p w14:paraId="1CAA998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4.6.2设备交接：验收合格后视为设备交接，在验收合格前设备属于供应商，所有运输、仓储、装卸、保管、搬运等其相关责任由供应商负责。</w:t>
            </w:r>
          </w:p>
        </w:tc>
      </w:tr>
      <w:tr w14:paraId="2A69762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tcBorders>
              <w:top w:val="single" w:color="auto" w:sz="4" w:space="0"/>
              <w:left w:val="single" w:color="auto" w:sz="4" w:space="0"/>
              <w:bottom w:val="single" w:color="auto" w:sz="4" w:space="0"/>
              <w:right w:val="single" w:color="auto" w:sz="4" w:space="0"/>
            </w:tcBorders>
            <w:vAlign w:val="center"/>
          </w:tcPr>
          <w:p w14:paraId="1B4E352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二、与实现项目目标相关的其他要求</w:t>
            </w:r>
          </w:p>
        </w:tc>
      </w:tr>
      <w:tr w14:paraId="62393D6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3CAFBB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一</w:t>
            </w:r>
            <w:r>
              <w:rPr>
                <w:rFonts w:hint="eastAsia" w:ascii="宋体" w:hAnsi="宋体" w:eastAsia="宋体" w:cs="宋体"/>
                <w:b/>
                <w:color w:val="auto"/>
                <w:sz w:val="21"/>
                <w:szCs w:val="21"/>
                <w:highlight w:val="none"/>
              </w:rPr>
              <w:t>）进口产品说明</w:t>
            </w:r>
          </w:p>
        </w:tc>
      </w:tr>
      <w:tr w14:paraId="482C2C1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2CF6F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sz w:val="21"/>
                <w:szCs w:val="21"/>
                <w:highlight w:val="none"/>
              </w:rPr>
              <w:t>进口产品说明</w:t>
            </w:r>
          </w:p>
        </w:tc>
        <w:tc>
          <w:tcPr>
            <w:tcW w:w="868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74BAA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本表的第</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项货物</w:t>
            </w:r>
            <w:r>
              <w:rPr>
                <w:rFonts w:hint="eastAsia" w:ascii="宋体" w:hAnsi="宋体" w:cs="宋体"/>
                <w:b/>
                <w:bCs/>
                <w:color w:val="auto"/>
                <w:sz w:val="21"/>
                <w:szCs w:val="21"/>
                <w:highlight w:val="none"/>
                <w:lang w:eastAsia="zh-CN"/>
              </w:rPr>
              <w:t>（持续血液透析机）</w:t>
            </w:r>
            <w:r>
              <w:rPr>
                <w:rFonts w:hint="eastAsia" w:ascii="宋体" w:hAnsi="宋体" w:eastAsia="宋体" w:cs="宋体"/>
                <w:b/>
                <w:bCs/>
                <w:color w:val="auto"/>
                <w:sz w:val="21"/>
                <w:szCs w:val="21"/>
                <w:highlight w:val="none"/>
              </w:rPr>
              <w:t>已按规定办妥进口产品采购审核手续，竞标产品可选用进口产品；但如选用进口产品时必须为全套原装进口产品（即通过中国海关报关验放进入中国境内且产自关境外的产品），同时供应商必须负责办理进口产品所有相关手续并承担所有费用。优先采购向我国企业转让技术、与我国企业签订消化吸收再创新方案的供应商的进口产品。其他货物不接受进口产品参与竞标，否则其响应文件按无效处理。</w:t>
            </w:r>
          </w:p>
          <w:p w14:paraId="7C4E458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本</w:t>
            </w:r>
            <w:r>
              <w:rPr>
                <w:rFonts w:hint="eastAsia" w:ascii="宋体" w:hAnsi="宋体" w:eastAsia="宋体" w:cs="宋体"/>
                <w:b/>
                <w:bCs/>
                <w:color w:val="auto"/>
                <w:sz w:val="21"/>
                <w:szCs w:val="21"/>
                <w:highlight w:val="none"/>
                <w:lang w:eastAsia="zh-CN"/>
              </w:rPr>
              <w:t>项目</w:t>
            </w:r>
            <w:r>
              <w:rPr>
                <w:rFonts w:hint="eastAsia" w:ascii="宋体" w:hAnsi="宋体" w:eastAsia="宋体" w:cs="宋体"/>
                <w:b/>
                <w:bCs/>
                <w:color w:val="auto"/>
                <w:sz w:val="21"/>
                <w:szCs w:val="21"/>
                <w:highlight w:val="none"/>
              </w:rPr>
              <w:t>货物不接受进口产品（即通过中国海关报关验放进入中国境内且产自关境外的产品）参与竞标，如有进口产品参与竞标的，其响应文件按无效处理。</w:t>
            </w:r>
          </w:p>
        </w:tc>
      </w:tr>
      <w:tr w14:paraId="7003904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tcBorders>
              <w:top w:val="single" w:color="auto" w:sz="4" w:space="0"/>
              <w:left w:val="single" w:color="auto" w:sz="4" w:space="0"/>
              <w:bottom w:val="single" w:color="auto" w:sz="4" w:space="0"/>
              <w:right w:val="single" w:color="auto" w:sz="4" w:space="0"/>
            </w:tcBorders>
            <w:vAlign w:val="center"/>
          </w:tcPr>
          <w:p w14:paraId="45E1F1F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）其他要求</w:t>
            </w:r>
          </w:p>
        </w:tc>
      </w:tr>
      <w:tr w14:paraId="6EF5A5C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tcBorders>
              <w:top w:val="single" w:color="auto" w:sz="4" w:space="0"/>
              <w:left w:val="single" w:color="auto" w:sz="4" w:space="0"/>
              <w:bottom w:val="single" w:color="auto" w:sz="4" w:space="0"/>
              <w:right w:val="single" w:color="auto" w:sz="4" w:space="0"/>
            </w:tcBorders>
            <w:vAlign w:val="center"/>
          </w:tcPr>
          <w:p w14:paraId="1798E0C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产品证明文件</w:t>
            </w:r>
          </w:p>
          <w:p w14:paraId="2F972908">
            <w:pPr>
              <w:pStyle w:val="10"/>
              <w:keepNext w:val="0"/>
              <w:keepLines w:val="0"/>
              <w:pageBreakBefore w:val="0"/>
              <w:widowControl w:val="0"/>
              <w:kinsoku/>
              <w:wordWrap/>
              <w:overflowPunct/>
              <w:topLinePunct w:val="0"/>
              <w:autoSpaceDE/>
              <w:autoSpaceDN/>
              <w:bidi w:val="0"/>
              <w:adjustRightInd/>
              <w:snapToGrid/>
              <w:spacing w:after="0" w:line="400" w:lineRule="exact"/>
              <w:ind w:left="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以上货物供应商所竞产品属于第二、三类医疗器械产品的，响应文件中须按《医疗器械注册管理办法》（国家食品药品监督管理总局令第4号）提供该设备有效的医疗器械注册证或医疗器械经营备案凭证复印件，否则竞标无效；</w:t>
            </w:r>
          </w:p>
          <w:p w14:paraId="0475D3FB">
            <w:pPr>
              <w:pStyle w:val="10"/>
              <w:keepNext w:val="0"/>
              <w:keepLines w:val="0"/>
              <w:pageBreakBefore w:val="0"/>
              <w:widowControl w:val="0"/>
              <w:kinsoku/>
              <w:wordWrap/>
              <w:overflowPunct/>
              <w:topLinePunct w:val="0"/>
              <w:autoSpaceDE/>
              <w:autoSpaceDN/>
              <w:bidi w:val="0"/>
              <w:adjustRightInd/>
              <w:snapToGrid/>
              <w:spacing w:after="0" w:line="400" w:lineRule="exact"/>
              <w:ind w:lef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）竞标时，如各分项要求必须提供产品认证证书复印件、相关证明复印件的，须在响应文件中相应提供</w:t>
            </w:r>
            <w:r>
              <w:rPr>
                <w:rFonts w:hint="eastAsia" w:ascii="宋体" w:hAnsi="宋体" w:eastAsia="宋体" w:cs="宋体"/>
                <w:color w:val="auto"/>
                <w:sz w:val="21"/>
                <w:szCs w:val="21"/>
                <w:highlight w:val="none"/>
                <w:lang w:eastAsia="zh-CN"/>
              </w:rPr>
              <w:t>；</w:t>
            </w:r>
          </w:p>
          <w:p w14:paraId="551FF478">
            <w:pPr>
              <w:pStyle w:val="10"/>
              <w:keepNext w:val="0"/>
              <w:keepLines w:val="0"/>
              <w:pageBreakBefore w:val="0"/>
              <w:widowControl w:val="0"/>
              <w:kinsoku/>
              <w:wordWrap/>
              <w:overflowPunct/>
              <w:topLinePunct w:val="0"/>
              <w:autoSpaceDE/>
              <w:autoSpaceDN/>
              <w:bidi w:val="0"/>
              <w:adjustRightInd/>
              <w:snapToGrid/>
              <w:spacing w:after="0"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时若有，请提供由产品厂家编写的、完整的、中文版的性能参数描述等有关说明文件或产品彩页（各分项另有要求的以各分项要求为准）。当投标时承诺的设备性能参数与该设备厂家提供的性能参数不符合时，以厂家出具的为准。符合要求的产品说明文件必须是出厂装箱的产品说明书，或厂家编写的公开发行宣传册，或厂家编写由供应商自行打印的彩色说明文件；符合要求的产品彩页必须是厂家编写印刷的公开发行宣传铜版彩页，或从产品厂家官方网页下载的相关的PDF、HTML文件或产品彩页的彩打文件（打印时必须保留页面页脚的网址链接内容）。</w:t>
            </w:r>
          </w:p>
          <w:p w14:paraId="5041C04B">
            <w:pPr>
              <w:pStyle w:val="10"/>
              <w:keepNext w:val="0"/>
              <w:keepLines w:val="0"/>
              <w:pageBreakBefore w:val="0"/>
              <w:widowControl w:val="0"/>
              <w:kinsoku/>
              <w:wordWrap/>
              <w:overflowPunct/>
              <w:topLinePunct w:val="0"/>
              <w:autoSpaceDE/>
              <w:autoSpaceDN/>
              <w:bidi w:val="0"/>
              <w:adjustRightInd/>
              <w:snapToGrid/>
              <w:spacing w:after="0" w:line="400" w:lineRule="exact"/>
              <w:ind w:lef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）供应商必须应对照</w:t>
            </w: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文件“技术需求”的采购项目技术规格、技术参数及要求，在技术响应表中逐条说明所提供货物和服务已对招标采购文件的技术要求做出了实质性的响应，并如实申明与技术要求条文的响应和偏离情况。</w:t>
            </w:r>
          </w:p>
          <w:p w14:paraId="369AAEC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产品验收达不到采购文件要求的视为产品不合格，有权按虚假应标上报财政监督管理部门并有权解除采购合同。追究成交供应商的一切相关责任，造成的损失及一切费用由成交人负责。</w:t>
            </w:r>
          </w:p>
        </w:tc>
      </w:tr>
    </w:tbl>
    <w:p w14:paraId="68248C1F">
      <w:pPr>
        <w:pStyle w:val="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187A9823">
      <w:pPr>
        <w:spacing w:line="428" w:lineRule="exact"/>
        <w:ind w:left="119"/>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附件1：</w:t>
      </w:r>
    </w:p>
    <w:p w14:paraId="4F01FBC4">
      <w:pPr>
        <w:spacing w:before="7"/>
        <w:rPr>
          <w:rFonts w:hint="eastAsia" w:ascii="宋体" w:hAnsi="宋体" w:eastAsia="宋体" w:cs="宋体"/>
          <w:color w:val="000000" w:themeColor="text1"/>
          <w:sz w:val="17"/>
          <w:szCs w:val="17"/>
          <w14:textFill>
            <w14:solidFill>
              <w14:schemeClr w14:val="tx1"/>
            </w14:solidFill>
          </w14:textFill>
        </w:rPr>
      </w:pPr>
    </w:p>
    <w:p w14:paraId="72437B0E">
      <w:pPr>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节能产品政府采购品目清单</w:t>
      </w:r>
    </w:p>
    <w:tbl>
      <w:tblPr>
        <w:tblStyle w:val="25"/>
        <w:tblW w:w="0" w:type="auto"/>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956"/>
        <w:gridCol w:w="1770"/>
        <w:gridCol w:w="1886"/>
        <w:gridCol w:w="4293"/>
      </w:tblGrid>
      <w:tr w14:paraId="1680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442667D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Cs w:val="21"/>
                <w:highlight w:val="none"/>
              </w:rPr>
              <w:t>品目序号</w:t>
            </w:r>
          </w:p>
        </w:tc>
        <w:tc>
          <w:tcPr>
            <w:tcW w:w="4612" w:type="dxa"/>
            <w:gridSpan w:val="3"/>
            <w:shd w:val="clear" w:color="auto" w:fill="auto"/>
            <w:vAlign w:val="center"/>
          </w:tcPr>
          <w:p w14:paraId="7F64EAB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b/>
                <w:bCs/>
                <w:kern w:val="0"/>
                <w:szCs w:val="21"/>
                <w:highlight w:val="none"/>
              </w:rPr>
              <w:t>名称</w:t>
            </w:r>
          </w:p>
        </w:tc>
        <w:tc>
          <w:tcPr>
            <w:tcW w:w="4293" w:type="dxa"/>
            <w:vAlign w:val="center"/>
          </w:tcPr>
          <w:p w14:paraId="4C79396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b/>
                <w:bCs/>
                <w:kern w:val="0"/>
                <w:szCs w:val="21"/>
                <w:highlight w:val="none"/>
              </w:rPr>
              <w:t>依据的标准</w:t>
            </w:r>
          </w:p>
        </w:tc>
      </w:tr>
      <w:tr w14:paraId="6633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restart"/>
            <w:shd w:val="clear" w:color="auto" w:fill="auto"/>
            <w:vAlign w:val="center"/>
          </w:tcPr>
          <w:p w14:paraId="405387C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1</w:t>
            </w:r>
          </w:p>
        </w:tc>
        <w:tc>
          <w:tcPr>
            <w:tcW w:w="956" w:type="dxa"/>
            <w:vMerge w:val="restart"/>
            <w:shd w:val="clear" w:color="auto" w:fill="auto"/>
            <w:vAlign w:val="center"/>
          </w:tcPr>
          <w:p w14:paraId="5E31177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A020101计算机设备</w:t>
            </w:r>
          </w:p>
        </w:tc>
        <w:tc>
          <w:tcPr>
            <w:tcW w:w="1770" w:type="dxa"/>
            <w:shd w:val="clear" w:color="auto" w:fill="auto"/>
            <w:vAlign w:val="center"/>
          </w:tcPr>
          <w:p w14:paraId="7E66857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A02010104台式计算机</w:t>
            </w:r>
          </w:p>
        </w:tc>
        <w:tc>
          <w:tcPr>
            <w:tcW w:w="1886" w:type="dxa"/>
            <w:shd w:val="clear" w:color="auto" w:fill="auto"/>
            <w:vAlign w:val="center"/>
          </w:tcPr>
          <w:p w14:paraId="0D4EFD0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2C36AAB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《微型计算机能效限定值及能效等级》（GB28380）</w:t>
            </w:r>
          </w:p>
        </w:tc>
      </w:tr>
      <w:tr w14:paraId="59BF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5CB9DA8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7B9CA10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shd w:val="clear" w:color="auto" w:fill="auto"/>
            <w:vAlign w:val="center"/>
          </w:tcPr>
          <w:p w14:paraId="37FBFAD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A02010105便携式计算机</w:t>
            </w:r>
          </w:p>
        </w:tc>
        <w:tc>
          <w:tcPr>
            <w:tcW w:w="1886" w:type="dxa"/>
            <w:shd w:val="clear" w:color="auto" w:fill="auto"/>
            <w:vAlign w:val="center"/>
          </w:tcPr>
          <w:p w14:paraId="413E0B5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4194EA7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《微型计算机能效限定值及能效等级》（GB28380）</w:t>
            </w:r>
          </w:p>
        </w:tc>
      </w:tr>
      <w:tr w14:paraId="2CAA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42026C9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6E293BD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shd w:val="clear" w:color="auto" w:fill="auto"/>
            <w:vAlign w:val="center"/>
          </w:tcPr>
          <w:p w14:paraId="3451D8B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A02010107平板式微型计算机</w:t>
            </w:r>
          </w:p>
        </w:tc>
        <w:tc>
          <w:tcPr>
            <w:tcW w:w="1886" w:type="dxa"/>
            <w:shd w:val="clear" w:color="auto" w:fill="auto"/>
            <w:vAlign w:val="center"/>
          </w:tcPr>
          <w:p w14:paraId="573AA2B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p>
        </w:tc>
        <w:tc>
          <w:tcPr>
            <w:tcW w:w="4293" w:type="dxa"/>
            <w:shd w:val="clear" w:color="auto" w:fill="auto"/>
            <w:vAlign w:val="center"/>
          </w:tcPr>
          <w:p w14:paraId="3D4D7A1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《微型计算机能效限定值及能效等级》（GB28380）</w:t>
            </w:r>
          </w:p>
        </w:tc>
      </w:tr>
      <w:tr w14:paraId="7E1C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restart"/>
            <w:shd w:val="clear" w:color="auto" w:fill="auto"/>
            <w:vAlign w:val="center"/>
          </w:tcPr>
          <w:p w14:paraId="3106551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2</w:t>
            </w:r>
          </w:p>
        </w:tc>
        <w:tc>
          <w:tcPr>
            <w:tcW w:w="956" w:type="dxa"/>
            <w:vMerge w:val="restart"/>
            <w:shd w:val="clear" w:color="auto" w:fill="auto"/>
            <w:vAlign w:val="center"/>
          </w:tcPr>
          <w:p w14:paraId="765B837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A020106输入输出设备</w:t>
            </w:r>
          </w:p>
        </w:tc>
        <w:tc>
          <w:tcPr>
            <w:tcW w:w="1770" w:type="dxa"/>
            <w:vMerge w:val="restart"/>
            <w:shd w:val="clear" w:color="auto" w:fill="auto"/>
            <w:vAlign w:val="center"/>
          </w:tcPr>
          <w:p w14:paraId="2E3D35D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A02010601打印设备</w:t>
            </w:r>
          </w:p>
        </w:tc>
        <w:tc>
          <w:tcPr>
            <w:tcW w:w="1886" w:type="dxa"/>
            <w:shd w:val="clear" w:color="auto" w:fill="auto"/>
            <w:vAlign w:val="center"/>
          </w:tcPr>
          <w:p w14:paraId="76E16C0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A0201060101喷墨打印机</w:t>
            </w:r>
          </w:p>
        </w:tc>
        <w:tc>
          <w:tcPr>
            <w:tcW w:w="4293" w:type="dxa"/>
            <w:shd w:val="clear" w:color="auto" w:fill="auto"/>
            <w:vAlign w:val="center"/>
          </w:tcPr>
          <w:p w14:paraId="28E9B92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《复印机、打印机和传真机能效限定值及能效等级》（GB21521）</w:t>
            </w:r>
          </w:p>
        </w:tc>
      </w:tr>
      <w:tr w14:paraId="1F9B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4463D65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4D78360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3E2A541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shd w:val="clear" w:color="auto" w:fill="auto"/>
            <w:vAlign w:val="center"/>
          </w:tcPr>
          <w:p w14:paraId="660DF49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A0201060102激光打印机</w:t>
            </w:r>
          </w:p>
        </w:tc>
        <w:tc>
          <w:tcPr>
            <w:tcW w:w="4293" w:type="dxa"/>
            <w:shd w:val="clear" w:color="auto" w:fill="auto"/>
            <w:vAlign w:val="center"/>
          </w:tcPr>
          <w:p w14:paraId="54F2D39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《复印机、打印机和传真机能效限定值及能效等级》（GB21521）</w:t>
            </w:r>
          </w:p>
        </w:tc>
      </w:tr>
      <w:tr w14:paraId="2465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2060C31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44B6499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1B1B6B5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shd w:val="clear" w:color="auto" w:fill="auto"/>
            <w:vAlign w:val="center"/>
          </w:tcPr>
          <w:p w14:paraId="3082B90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A0201060104针式打印机</w:t>
            </w:r>
          </w:p>
        </w:tc>
        <w:tc>
          <w:tcPr>
            <w:tcW w:w="4293" w:type="dxa"/>
            <w:shd w:val="clear" w:color="auto" w:fill="auto"/>
            <w:vAlign w:val="center"/>
          </w:tcPr>
          <w:p w14:paraId="4FA2C935">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《复印机、打印机和传真机能效限定值及能效等级》（GB21521）</w:t>
            </w:r>
          </w:p>
        </w:tc>
      </w:tr>
      <w:tr w14:paraId="2490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38A8F03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4504907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shd w:val="clear" w:color="auto" w:fill="auto"/>
            <w:vAlign w:val="center"/>
          </w:tcPr>
          <w:p w14:paraId="7199254D">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A02010604显示设备</w:t>
            </w:r>
          </w:p>
        </w:tc>
        <w:tc>
          <w:tcPr>
            <w:tcW w:w="1886" w:type="dxa"/>
            <w:shd w:val="clear" w:color="auto" w:fill="auto"/>
            <w:vAlign w:val="center"/>
          </w:tcPr>
          <w:p w14:paraId="5E4C02D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A0201060401液晶显示器</w:t>
            </w:r>
          </w:p>
        </w:tc>
        <w:tc>
          <w:tcPr>
            <w:tcW w:w="4293" w:type="dxa"/>
            <w:shd w:val="clear" w:color="auto" w:fill="auto"/>
            <w:vAlign w:val="center"/>
          </w:tcPr>
          <w:p w14:paraId="049949D5">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《计算机显示器能效限定值及能效等级》（GB21520）</w:t>
            </w:r>
          </w:p>
        </w:tc>
      </w:tr>
      <w:tr w14:paraId="609E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7E2F88E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7110E0B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shd w:val="clear" w:color="auto" w:fill="auto"/>
            <w:vAlign w:val="center"/>
          </w:tcPr>
          <w:p w14:paraId="5CBEA38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A02010609图形图像输入设备</w:t>
            </w:r>
          </w:p>
        </w:tc>
        <w:tc>
          <w:tcPr>
            <w:tcW w:w="1886" w:type="dxa"/>
            <w:shd w:val="clear" w:color="auto" w:fill="auto"/>
            <w:vAlign w:val="center"/>
          </w:tcPr>
          <w:p w14:paraId="0EE0AC6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A0201060901扫描仪</w:t>
            </w:r>
          </w:p>
        </w:tc>
        <w:tc>
          <w:tcPr>
            <w:tcW w:w="4293" w:type="dxa"/>
            <w:shd w:val="clear" w:color="auto" w:fill="auto"/>
            <w:vAlign w:val="center"/>
          </w:tcPr>
          <w:p w14:paraId="0DAFA06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参照《复印机、打印机和传真机能效限定值及能效等级》（GB21521）中打印速度为15页/分的针式打印机相关要求</w:t>
            </w:r>
          </w:p>
        </w:tc>
      </w:tr>
      <w:tr w14:paraId="797E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32D1F97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3</w:t>
            </w:r>
          </w:p>
        </w:tc>
        <w:tc>
          <w:tcPr>
            <w:tcW w:w="956" w:type="dxa"/>
            <w:shd w:val="clear" w:color="auto" w:fill="auto"/>
            <w:vAlign w:val="center"/>
          </w:tcPr>
          <w:p w14:paraId="574A8D8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A020202投影仪</w:t>
            </w:r>
          </w:p>
        </w:tc>
        <w:tc>
          <w:tcPr>
            <w:tcW w:w="1770" w:type="dxa"/>
            <w:shd w:val="clear" w:color="auto" w:fill="auto"/>
            <w:vAlign w:val="center"/>
          </w:tcPr>
          <w:p w14:paraId="674A6B9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1886" w:type="dxa"/>
            <w:shd w:val="clear" w:color="auto" w:fill="auto"/>
            <w:vAlign w:val="center"/>
          </w:tcPr>
          <w:p w14:paraId="4963F20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723FCD0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《投影机能效限定值及能效等级（GB32028）</w:t>
            </w:r>
          </w:p>
        </w:tc>
      </w:tr>
      <w:tr w14:paraId="67A4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3E7EA4D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4</w:t>
            </w:r>
          </w:p>
        </w:tc>
        <w:tc>
          <w:tcPr>
            <w:tcW w:w="956" w:type="dxa"/>
            <w:shd w:val="clear" w:color="auto" w:fill="auto"/>
            <w:vAlign w:val="center"/>
          </w:tcPr>
          <w:p w14:paraId="095A28FD">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A020204多功能一体机</w:t>
            </w:r>
          </w:p>
        </w:tc>
        <w:tc>
          <w:tcPr>
            <w:tcW w:w="1770" w:type="dxa"/>
            <w:shd w:val="clear" w:color="auto" w:fill="auto"/>
            <w:vAlign w:val="center"/>
          </w:tcPr>
          <w:p w14:paraId="1EA5CAB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1886" w:type="dxa"/>
            <w:shd w:val="clear" w:color="auto" w:fill="auto"/>
            <w:vAlign w:val="center"/>
          </w:tcPr>
          <w:p w14:paraId="0EACB0B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7669731F">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《复印机、打印机和传真机能效限定值及能效等级》（GB21521）</w:t>
            </w:r>
          </w:p>
        </w:tc>
      </w:tr>
      <w:tr w14:paraId="6B3A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24102D1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5</w:t>
            </w:r>
          </w:p>
        </w:tc>
        <w:tc>
          <w:tcPr>
            <w:tcW w:w="956" w:type="dxa"/>
            <w:shd w:val="clear" w:color="auto" w:fill="auto"/>
            <w:vAlign w:val="center"/>
          </w:tcPr>
          <w:p w14:paraId="3B31CE65">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A020519泵</w:t>
            </w:r>
          </w:p>
        </w:tc>
        <w:tc>
          <w:tcPr>
            <w:tcW w:w="1770" w:type="dxa"/>
            <w:shd w:val="clear" w:color="auto" w:fill="auto"/>
            <w:vAlign w:val="center"/>
          </w:tcPr>
          <w:p w14:paraId="7181D85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A02051901离心泵</w:t>
            </w:r>
          </w:p>
        </w:tc>
        <w:tc>
          <w:tcPr>
            <w:tcW w:w="1886" w:type="dxa"/>
            <w:shd w:val="clear" w:color="auto" w:fill="auto"/>
            <w:vAlign w:val="center"/>
          </w:tcPr>
          <w:p w14:paraId="4445DBC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4137863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《清水离心泵能效限定值及节能评价值》（GB19762）</w:t>
            </w:r>
          </w:p>
        </w:tc>
      </w:tr>
      <w:tr w14:paraId="5FB1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restart"/>
            <w:vAlign w:val="center"/>
          </w:tcPr>
          <w:p w14:paraId="1A4509B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6</w:t>
            </w:r>
          </w:p>
        </w:tc>
        <w:tc>
          <w:tcPr>
            <w:tcW w:w="956" w:type="dxa"/>
            <w:vMerge w:val="restart"/>
            <w:vAlign w:val="center"/>
          </w:tcPr>
          <w:p w14:paraId="025358CF">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A020523制冷空调设备</w:t>
            </w:r>
          </w:p>
        </w:tc>
        <w:tc>
          <w:tcPr>
            <w:tcW w:w="1770" w:type="dxa"/>
            <w:vMerge w:val="restart"/>
            <w:vAlign w:val="center"/>
          </w:tcPr>
          <w:p w14:paraId="1FC8725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A02052301制冷压缩机</w:t>
            </w:r>
          </w:p>
        </w:tc>
        <w:tc>
          <w:tcPr>
            <w:tcW w:w="1886" w:type="dxa"/>
            <w:vAlign w:val="center"/>
          </w:tcPr>
          <w:p w14:paraId="7620BA8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冷水机组</w:t>
            </w:r>
          </w:p>
        </w:tc>
        <w:tc>
          <w:tcPr>
            <w:tcW w:w="4293" w:type="dxa"/>
            <w:vAlign w:val="center"/>
          </w:tcPr>
          <w:p w14:paraId="096FA04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《冷水机组能效限定值及能效等级》（GB19577），《低环境温度空气源热泵（冷水）机组能效限定值及能效等级》（GB37480）</w:t>
            </w:r>
          </w:p>
        </w:tc>
      </w:tr>
      <w:tr w14:paraId="565F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1C14F7F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1B5DE78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3C75DEF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vAlign w:val="center"/>
          </w:tcPr>
          <w:p w14:paraId="1E35B9F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水源热泵机组</w:t>
            </w:r>
          </w:p>
        </w:tc>
        <w:tc>
          <w:tcPr>
            <w:tcW w:w="4293" w:type="dxa"/>
            <w:vAlign w:val="center"/>
          </w:tcPr>
          <w:p w14:paraId="2506482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《水（地）源热泵机组能效限定值及能效等级》（GB30721）</w:t>
            </w:r>
          </w:p>
        </w:tc>
      </w:tr>
      <w:tr w14:paraId="1599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6F20291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79D218A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535A0B2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vAlign w:val="center"/>
          </w:tcPr>
          <w:p w14:paraId="050C680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溴化锂吸收式冷水机组</w:t>
            </w:r>
          </w:p>
        </w:tc>
        <w:tc>
          <w:tcPr>
            <w:tcW w:w="4293" w:type="dxa"/>
            <w:vAlign w:val="center"/>
          </w:tcPr>
          <w:p w14:paraId="3A96D4C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《溴化锂吸收式冷水机组能效限定值及能效等级》（GB29540）</w:t>
            </w:r>
          </w:p>
        </w:tc>
      </w:tr>
      <w:tr w14:paraId="74B6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2D01EAF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062074A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restart"/>
            <w:vAlign w:val="center"/>
          </w:tcPr>
          <w:p w14:paraId="67E616FD">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A02052305空调机组</w:t>
            </w:r>
          </w:p>
        </w:tc>
        <w:tc>
          <w:tcPr>
            <w:tcW w:w="1886" w:type="dxa"/>
            <w:vAlign w:val="center"/>
          </w:tcPr>
          <w:p w14:paraId="214F1A7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多联式空调（热泵）机组</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制量</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14000W</w:t>
            </w:r>
            <w:r>
              <w:rPr>
                <w:rFonts w:hint="eastAsia" w:ascii="宋体" w:hAnsi="宋体" w:eastAsia="宋体" w:cs="宋体"/>
                <w:kern w:val="0"/>
                <w:szCs w:val="21"/>
                <w:highlight w:val="none"/>
                <w:lang w:eastAsia="zh-CN"/>
              </w:rPr>
              <w:t>）</w:t>
            </w:r>
          </w:p>
        </w:tc>
        <w:tc>
          <w:tcPr>
            <w:tcW w:w="4293" w:type="dxa"/>
            <w:vAlign w:val="center"/>
          </w:tcPr>
          <w:p w14:paraId="0AF18E8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《多联式空调（热泵）机组能效限定值及能源效率等级》（GB21454）</w:t>
            </w:r>
          </w:p>
        </w:tc>
      </w:tr>
      <w:tr w14:paraId="4B21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212764E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4FC6335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646A698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vAlign w:val="center"/>
          </w:tcPr>
          <w:p w14:paraId="2E0DCC8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单元式空气调节机</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制冷量</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14000W</w:t>
            </w:r>
            <w:r>
              <w:rPr>
                <w:rFonts w:hint="eastAsia" w:ascii="宋体" w:hAnsi="宋体" w:eastAsia="宋体" w:cs="宋体"/>
                <w:kern w:val="0"/>
                <w:szCs w:val="21"/>
                <w:highlight w:val="none"/>
                <w:lang w:eastAsia="zh-CN"/>
              </w:rPr>
              <w:t>）</w:t>
            </w:r>
          </w:p>
        </w:tc>
        <w:tc>
          <w:tcPr>
            <w:tcW w:w="4293" w:type="dxa"/>
            <w:vAlign w:val="center"/>
          </w:tcPr>
          <w:p w14:paraId="5D4224F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《单元式空气调节机能效限定值及能效等级》（GB19576）《风管送风式空调机组能效限定值及能效等级》（GB37479）</w:t>
            </w:r>
          </w:p>
        </w:tc>
      </w:tr>
      <w:tr w14:paraId="3D8A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20B3754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02E5560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Align w:val="center"/>
          </w:tcPr>
          <w:p w14:paraId="2684238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A02052309专用制冷、空调设备</w:t>
            </w:r>
          </w:p>
        </w:tc>
        <w:tc>
          <w:tcPr>
            <w:tcW w:w="1886" w:type="dxa"/>
            <w:vAlign w:val="center"/>
          </w:tcPr>
          <w:p w14:paraId="06A7596F">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机房空调</w:t>
            </w:r>
          </w:p>
        </w:tc>
        <w:tc>
          <w:tcPr>
            <w:tcW w:w="4293" w:type="dxa"/>
            <w:vAlign w:val="center"/>
          </w:tcPr>
          <w:p w14:paraId="7DEA7DC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《单元式空气调节机能效限定值及能效等级》（GB19576）</w:t>
            </w:r>
          </w:p>
        </w:tc>
      </w:tr>
      <w:tr w14:paraId="2EA7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329FF4B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306665F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Align w:val="center"/>
          </w:tcPr>
          <w:p w14:paraId="4AA41D7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A02052399其他制冷空调设备</w:t>
            </w:r>
          </w:p>
        </w:tc>
        <w:tc>
          <w:tcPr>
            <w:tcW w:w="1886" w:type="dxa"/>
            <w:vAlign w:val="center"/>
          </w:tcPr>
          <w:p w14:paraId="71F3F70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冷却塔</w:t>
            </w:r>
          </w:p>
        </w:tc>
        <w:tc>
          <w:tcPr>
            <w:tcW w:w="4293" w:type="dxa"/>
            <w:vAlign w:val="center"/>
          </w:tcPr>
          <w:p w14:paraId="4D0760A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《机械通风冷却塔第1部分：中小型开式冷却塔》（GB/T7190.1）</w:t>
            </w:r>
          </w:p>
          <w:p w14:paraId="6C446A0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《机械通风冷却塔第2部分：大型开式冷却塔》（GB/T7190.2）</w:t>
            </w:r>
          </w:p>
        </w:tc>
      </w:tr>
      <w:tr w14:paraId="1406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65FB77F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7</w:t>
            </w:r>
          </w:p>
        </w:tc>
        <w:tc>
          <w:tcPr>
            <w:tcW w:w="956" w:type="dxa"/>
            <w:shd w:val="clear" w:color="auto" w:fill="auto"/>
            <w:vAlign w:val="center"/>
          </w:tcPr>
          <w:p w14:paraId="474E3A2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A020601电机</w:t>
            </w:r>
          </w:p>
        </w:tc>
        <w:tc>
          <w:tcPr>
            <w:tcW w:w="1770" w:type="dxa"/>
            <w:shd w:val="clear" w:color="auto" w:fill="auto"/>
            <w:vAlign w:val="center"/>
          </w:tcPr>
          <w:p w14:paraId="4385BF95">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1886" w:type="dxa"/>
            <w:shd w:val="clear" w:color="auto" w:fill="auto"/>
            <w:vAlign w:val="center"/>
          </w:tcPr>
          <w:p w14:paraId="716301D5">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68DE73E5">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《中小型三相异步电动机能效限定值及能效等级》（GB18613）</w:t>
            </w:r>
          </w:p>
        </w:tc>
      </w:tr>
      <w:tr w14:paraId="6F41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66764D1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8</w:t>
            </w:r>
          </w:p>
        </w:tc>
        <w:tc>
          <w:tcPr>
            <w:tcW w:w="956" w:type="dxa"/>
            <w:shd w:val="clear" w:color="auto" w:fill="auto"/>
            <w:vAlign w:val="center"/>
          </w:tcPr>
          <w:p w14:paraId="051B2A5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A020602变压器</w:t>
            </w:r>
          </w:p>
        </w:tc>
        <w:tc>
          <w:tcPr>
            <w:tcW w:w="1770" w:type="dxa"/>
            <w:shd w:val="clear" w:color="auto" w:fill="auto"/>
            <w:vAlign w:val="center"/>
          </w:tcPr>
          <w:p w14:paraId="51ACD62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配电变压器</w:t>
            </w:r>
          </w:p>
        </w:tc>
        <w:tc>
          <w:tcPr>
            <w:tcW w:w="1886" w:type="dxa"/>
            <w:shd w:val="clear" w:color="auto" w:fill="auto"/>
            <w:vAlign w:val="center"/>
          </w:tcPr>
          <w:p w14:paraId="3699699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71A5E35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《三相配电变压器能效限定值及能效等级》（GB20052）</w:t>
            </w:r>
          </w:p>
        </w:tc>
      </w:tr>
      <w:tr w14:paraId="17D2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6C10596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9</w:t>
            </w:r>
          </w:p>
        </w:tc>
        <w:tc>
          <w:tcPr>
            <w:tcW w:w="956" w:type="dxa"/>
            <w:shd w:val="clear" w:color="auto" w:fill="auto"/>
            <w:vAlign w:val="center"/>
          </w:tcPr>
          <w:p w14:paraId="0B65FD2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A020609镇流器</w:t>
            </w:r>
          </w:p>
        </w:tc>
        <w:tc>
          <w:tcPr>
            <w:tcW w:w="1770" w:type="dxa"/>
            <w:shd w:val="clear" w:color="auto" w:fill="auto"/>
            <w:vAlign w:val="center"/>
          </w:tcPr>
          <w:p w14:paraId="5A15A3F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管型荧光灯镇流器</w:t>
            </w:r>
          </w:p>
        </w:tc>
        <w:tc>
          <w:tcPr>
            <w:tcW w:w="1886" w:type="dxa"/>
            <w:shd w:val="clear" w:color="auto" w:fill="auto"/>
            <w:vAlign w:val="center"/>
          </w:tcPr>
          <w:p w14:paraId="4C6D43F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2B4AC8D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《管形荧光灯镇流器能效限定值及能效等级》（GB17896）</w:t>
            </w:r>
          </w:p>
        </w:tc>
      </w:tr>
      <w:tr w14:paraId="326F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restart"/>
            <w:vAlign w:val="center"/>
          </w:tcPr>
          <w:p w14:paraId="0DD8ACA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10</w:t>
            </w:r>
          </w:p>
        </w:tc>
        <w:tc>
          <w:tcPr>
            <w:tcW w:w="956" w:type="dxa"/>
            <w:vMerge w:val="restart"/>
            <w:vAlign w:val="center"/>
          </w:tcPr>
          <w:p w14:paraId="49F1EE2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A020618生活用电器</w:t>
            </w:r>
          </w:p>
        </w:tc>
        <w:tc>
          <w:tcPr>
            <w:tcW w:w="1770" w:type="dxa"/>
            <w:vAlign w:val="center"/>
          </w:tcPr>
          <w:p w14:paraId="574868E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A0206180101电冰箱</w:t>
            </w:r>
          </w:p>
        </w:tc>
        <w:tc>
          <w:tcPr>
            <w:tcW w:w="1886" w:type="dxa"/>
            <w:vAlign w:val="center"/>
          </w:tcPr>
          <w:p w14:paraId="0C7B5E7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4293" w:type="dxa"/>
            <w:vAlign w:val="center"/>
          </w:tcPr>
          <w:p w14:paraId="73C3657D">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《家用电冰箱耗电量限定值及能效等级》（GB12021.2）</w:t>
            </w:r>
          </w:p>
        </w:tc>
      </w:tr>
      <w:tr w14:paraId="622F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4F0CB87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0A6AE4B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restart"/>
            <w:vAlign w:val="center"/>
          </w:tcPr>
          <w:p w14:paraId="1C0DEE3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A0206180203空调机</w:t>
            </w:r>
          </w:p>
        </w:tc>
        <w:tc>
          <w:tcPr>
            <w:tcW w:w="1886" w:type="dxa"/>
            <w:vAlign w:val="center"/>
          </w:tcPr>
          <w:p w14:paraId="051F94F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房间空气调节器</w:t>
            </w:r>
          </w:p>
        </w:tc>
        <w:tc>
          <w:tcPr>
            <w:tcW w:w="4293" w:type="dxa"/>
            <w:vAlign w:val="center"/>
          </w:tcPr>
          <w:p w14:paraId="3EE189E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《转速可控型房间空气调节器能效限定值及能效等级》（GB21455-2013），待2019年修订发布后，按《房间空气调节器能效限定值及能效等级》（GB21455-2019实施。</w:t>
            </w:r>
          </w:p>
        </w:tc>
      </w:tr>
      <w:tr w14:paraId="407B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4813293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5D9B157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0C979F8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vAlign w:val="center"/>
          </w:tcPr>
          <w:p w14:paraId="16246D4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多联式空调（热泵）机组（制冷量</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14000W）</w:t>
            </w:r>
          </w:p>
        </w:tc>
        <w:tc>
          <w:tcPr>
            <w:tcW w:w="4293" w:type="dxa"/>
            <w:vAlign w:val="center"/>
          </w:tcPr>
          <w:p w14:paraId="28D1381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《多联式空调（热泵）机组能效限定值及能源效率等级》（GB21454）</w:t>
            </w:r>
          </w:p>
        </w:tc>
      </w:tr>
      <w:tr w14:paraId="7865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30F22F6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0C04745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4F74B41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vAlign w:val="center"/>
          </w:tcPr>
          <w:p w14:paraId="0927E97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单元式空气调节机</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制冷量≤14000W</w:t>
            </w:r>
            <w:r>
              <w:rPr>
                <w:rFonts w:hint="eastAsia" w:ascii="宋体" w:hAnsi="宋体" w:eastAsia="宋体" w:cs="宋体"/>
                <w:kern w:val="0"/>
                <w:szCs w:val="21"/>
                <w:highlight w:val="none"/>
                <w:lang w:eastAsia="zh-CN"/>
              </w:rPr>
              <w:t>）</w:t>
            </w:r>
          </w:p>
        </w:tc>
        <w:tc>
          <w:tcPr>
            <w:tcW w:w="4293" w:type="dxa"/>
            <w:vAlign w:val="center"/>
          </w:tcPr>
          <w:p w14:paraId="01DDF98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《单元式空气调节机能效限定值及能源效率等级》（GB19576）</w:t>
            </w:r>
          </w:p>
          <w:p w14:paraId="0E598FA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《风管送风式空调机组能效限定值及能效等级》（GB37479）</w:t>
            </w:r>
          </w:p>
        </w:tc>
      </w:tr>
      <w:tr w14:paraId="573A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793C05D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0DDA966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Align w:val="center"/>
          </w:tcPr>
          <w:p w14:paraId="45D3712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A0206180301洗衣机</w:t>
            </w:r>
          </w:p>
        </w:tc>
        <w:tc>
          <w:tcPr>
            <w:tcW w:w="1886" w:type="dxa"/>
            <w:vAlign w:val="center"/>
          </w:tcPr>
          <w:p w14:paraId="1D2E4A0D">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4293" w:type="dxa"/>
            <w:vAlign w:val="center"/>
          </w:tcPr>
          <w:p w14:paraId="5D34FB6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《电动洗衣机能效水效限定值及等级》（GB12021.4）</w:t>
            </w:r>
          </w:p>
        </w:tc>
      </w:tr>
      <w:tr w14:paraId="6DB6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3C804AF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2DAA731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restart"/>
            <w:vAlign w:val="center"/>
          </w:tcPr>
          <w:p w14:paraId="3C3BA6B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A02061808热水器</w:t>
            </w:r>
          </w:p>
        </w:tc>
        <w:tc>
          <w:tcPr>
            <w:tcW w:w="1886" w:type="dxa"/>
            <w:vAlign w:val="center"/>
          </w:tcPr>
          <w:p w14:paraId="38A891A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电热水器</w:t>
            </w:r>
          </w:p>
        </w:tc>
        <w:tc>
          <w:tcPr>
            <w:tcW w:w="4293" w:type="dxa"/>
            <w:vAlign w:val="center"/>
          </w:tcPr>
          <w:p w14:paraId="2643A73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《储水式电热水器能效限定值及能效等级》（GB21519）</w:t>
            </w:r>
          </w:p>
        </w:tc>
      </w:tr>
      <w:tr w14:paraId="20C1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5674EBE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0E90C55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0575B1A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vAlign w:val="center"/>
          </w:tcPr>
          <w:p w14:paraId="77D0CF6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燃气热水器</w:t>
            </w:r>
          </w:p>
        </w:tc>
        <w:tc>
          <w:tcPr>
            <w:tcW w:w="4293" w:type="dxa"/>
            <w:vAlign w:val="center"/>
          </w:tcPr>
          <w:p w14:paraId="5F11139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《家用燃气快速热水器和燃气采暖热水炉能效限定值及能效等级》（GB20665）</w:t>
            </w:r>
          </w:p>
        </w:tc>
      </w:tr>
      <w:tr w14:paraId="5701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209D074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054C83B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5F8651BD">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vAlign w:val="center"/>
          </w:tcPr>
          <w:p w14:paraId="6B6BCB15">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热泵热水器</w:t>
            </w:r>
          </w:p>
        </w:tc>
        <w:tc>
          <w:tcPr>
            <w:tcW w:w="4293" w:type="dxa"/>
            <w:vAlign w:val="center"/>
          </w:tcPr>
          <w:p w14:paraId="7B545765">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《热泵热水机（器）能效限定值及能效等级》（GB29541）</w:t>
            </w:r>
          </w:p>
        </w:tc>
      </w:tr>
      <w:tr w14:paraId="5FC1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55EB7A4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7364DAE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59A4B16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vAlign w:val="center"/>
          </w:tcPr>
          <w:p w14:paraId="654C401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太阳能热水系统</w:t>
            </w:r>
          </w:p>
        </w:tc>
        <w:tc>
          <w:tcPr>
            <w:tcW w:w="4293" w:type="dxa"/>
            <w:vAlign w:val="center"/>
          </w:tcPr>
          <w:p w14:paraId="482E674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《家用太阳能热水系统能效限定值及能效等级》（GB26969）</w:t>
            </w:r>
          </w:p>
        </w:tc>
      </w:tr>
      <w:tr w14:paraId="6BA9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restart"/>
            <w:shd w:val="clear" w:color="auto" w:fill="auto"/>
            <w:vAlign w:val="center"/>
          </w:tcPr>
          <w:p w14:paraId="114B8C5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11</w:t>
            </w:r>
          </w:p>
        </w:tc>
        <w:tc>
          <w:tcPr>
            <w:tcW w:w="956" w:type="dxa"/>
            <w:vMerge w:val="restart"/>
            <w:shd w:val="clear" w:color="auto" w:fill="auto"/>
            <w:vAlign w:val="center"/>
          </w:tcPr>
          <w:p w14:paraId="2B534BD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A020619照明设备</w:t>
            </w:r>
          </w:p>
        </w:tc>
        <w:tc>
          <w:tcPr>
            <w:tcW w:w="1770" w:type="dxa"/>
            <w:shd w:val="clear" w:color="auto" w:fill="auto"/>
            <w:vAlign w:val="center"/>
          </w:tcPr>
          <w:p w14:paraId="569D9EE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普通照明用双端荧光灯</w:t>
            </w:r>
          </w:p>
        </w:tc>
        <w:tc>
          <w:tcPr>
            <w:tcW w:w="1886" w:type="dxa"/>
            <w:shd w:val="clear" w:color="auto" w:fill="auto"/>
            <w:vAlign w:val="center"/>
          </w:tcPr>
          <w:p w14:paraId="22F4157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p>
        </w:tc>
        <w:tc>
          <w:tcPr>
            <w:tcW w:w="4293" w:type="dxa"/>
            <w:shd w:val="clear" w:color="auto" w:fill="auto"/>
            <w:vAlign w:val="center"/>
          </w:tcPr>
          <w:p w14:paraId="40F86E0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《普通照明用双端荧光灯能效限定值及能效等级》（GB19043）</w:t>
            </w:r>
          </w:p>
        </w:tc>
      </w:tr>
      <w:tr w14:paraId="5371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4575FF6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0589957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shd w:val="clear" w:color="auto" w:fill="auto"/>
            <w:vAlign w:val="center"/>
          </w:tcPr>
          <w:p w14:paraId="1F25474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LED道路/隧道照明产品</w:t>
            </w:r>
          </w:p>
        </w:tc>
        <w:tc>
          <w:tcPr>
            <w:tcW w:w="1886" w:type="dxa"/>
            <w:shd w:val="clear" w:color="auto" w:fill="auto"/>
            <w:vAlign w:val="center"/>
          </w:tcPr>
          <w:p w14:paraId="112BBDD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3907E17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《道路和隧道照明用LED灯具能效限定值及能效等级》（GB37478）</w:t>
            </w:r>
          </w:p>
        </w:tc>
      </w:tr>
      <w:tr w14:paraId="7AC9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7DB807F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587C049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shd w:val="clear" w:color="auto" w:fill="auto"/>
            <w:vAlign w:val="center"/>
          </w:tcPr>
          <w:p w14:paraId="269F66E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LED筒灯</w:t>
            </w:r>
          </w:p>
        </w:tc>
        <w:tc>
          <w:tcPr>
            <w:tcW w:w="1886" w:type="dxa"/>
            <w:shd w:val="clear" w:color="auto" w:fill="auto"/>
            <w:vAlign w:val="center"/>
          </w:tcPr>
          <w:p w14:paraId="537B6A0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000DD21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《室内照明用LED产品能效限定值及能效等级》（GB30255）</w:t>
            </w:r>
          </w:p>
        </w:tc>
      </w:tr>
      <w:tr w14:paraId="0C59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3A72E40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099C08C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shd w:val="clear" w:color="auto" w:fill="auto"/>
            <w:vAlign w:val="center"/>
          </w:tcPr>
          <w:p w14:paraId="68CB748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普通照明用非定向自镇流LED灯</w:t>
            </w:r>
          </w:p>
        </w:tc>
        <w:tc>
          <w:tcPr>
            <w:tcW w:w="1886" w:type="dxa"/>
            <w:shd w:val="clear" w:color="auto" w:fill="auto"/>
            <w:vAlign w:val="center"/>
          </w:tcPr>
          <w:p w14:paraId="64F5170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p>
        </w:tc>
        <w:tc>
          <w:tcPr>
            <w:tcW w:w="4293" w:type="dxa"/>
            <w:shd w:val="clear" w:color="auto" w:fill="auto"/>
            <w:vAlign w:val="center"/>
          </w:tcPr>
          <w:p w14:paraId="7DDB890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《室内照明用LED产品能效限定值及能效等级》（GB30255）</w:t>
            </w:r>
          </w:p>
        </w:tc>
      </w:tr>
      <w:tr w14:paraId="0220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2027A06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12</w:t>
            </w:r>
          </w:p>
        </w:tc>
        <w:tc>
          <w:tcPr>
            <w:tcW w:w="956" w:type="dxa"/>
            <w:shd w:val="clear" w:color="auto" w:fill="auto"/>
            <w:vAlign w:val="center"/>
          </w:tcPr>
          <w:p w14:paraId="3422D40F">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A020910电视设备</w:t>
            </w:r>
          </w:p>
        </w:tc>
        <w:tc>
          <w:tcPr>
            <w:tcW w:w="1770" w:type="dxa"/>
            <w:shd w:val="clear" w:color="auto" w:fill="auto"/>
            <w:vAlign w:val="center"/>
          </w:tcPr>
          <w:p w14:paraId="4C674DA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A02091001普通电视设备（电视机）</w:t>
            </w:r>
          </w:p>
        </w:tc>
        <w:tc>
          <w:tcPr>
            <w:tcW w:w="1886" w:type="dxa"/>
            <w:shd w:val="clear" w:color="auto" w:fill="auto"/>
            <w:vAlign w:val="center"/>
          </w:tcPr>
          <w:p w14:paraId="3903618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p>
        </w:tc>
        <w:tc>
          <w:tcPr>
            <w:tcW w:w="4293" w:type="dxa"/>
            <w:shd w:val="clear" w:color="auto" w:fill="auto"/>
            <w:vAlign w:val="center"/>
          </w:tcPr>
          <w:p w14:paraId="13D2E13D">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《平板电视能效限定值及能效等级》（GB24850）</w:t>
            </w:r>
          </w:p>
        </w:tc>
      </w:tr>
      <w:tr w14:paraId="46C1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108EE1F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13</w:t>
            </w:r>
          </w:p>
        </w:tc>
        <w:tc>
          <w:tcPr>
            <w:tcW w:w="956" w:type="dxa"/>
            <w:shd w:val="clear" w:color="auto" w:fill="auto"/>
            <w:vAlign w:val="center"/>
          </w:tcPr>
          <w:p w14:paraId="41F6992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A020911视频设备</w:t>
            </w:r>
          </w:p>
        </w:tc>
        <w:tc>
          <w:tcPr>
            <w:tcW w:w="1770" w:type="dxa"/>
            <w:shd w:val="clear" w:color="auto" w:fill="auto"/>
            <w:vAlign w:val="center"/>
          </w:tcPr>
          <w:p w14:paraId="2F1B470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A02091107视频监控设备</w:t>
            </w:r>
          </w:p>
        </w:tc>
        <w:tc>
          <w:tcPr>
            <w:tcW w:w="1886" w:type="dxa"/>
            <w:shd w:val="clear" w:color="auto" w:fill="auto"/>
            <w:vAlign w:val="center"/>
          </w:tcPr>
          <w:p w14:paraId="3779B37D">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监视器</w:t>
            </w:r>
          </w:p>
        </w:tc>
        <w:tc>
          <w:tcPr>
            <w:tcW w:w="4293" w:type="dxa"/>
            <w:shd w:val="clear" w:color="auto" w:fill="auto"/>
            <w:vAlign w:val="center"/>
          </w:tcPr>
          <w:p w14:paraId="1BEFF145">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3AE2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577EA8E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14</w:t>
            </w:r>
          </w:p>
        </w:tc>
        <w:tc>
          <w:tcPr>
            <w:tcW w:w="956" w:type="dxa"/>
            <w:shd w:val="clear" w:color="auto" w:fill="auto"/>
            <w:vAlign w:val="center"/>
          </w:tcPr>
          <w:p w14:paraId="1D0DEE8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A031210饮食炊事机械</w:t>
            </w:r>
          </w:p>
        </w:tc>
        <w:tc>
          <w:tcPr>
            <w:tcW w:w="1770" w:type="dxa"/>
            <w:shd w:val="clear" w:color="auto" w:fill="auto"/>
            <w:vAlign w:val="center"/>
          </w:tcPr>
          <w:p w14:paraId="32EFEDD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商用燃气灶具</w:t>
            </w:r>
          </w:p>
        </w:tc>
        <w:tc>
          <w:tcPr>
            <w:tcW w:w="1886" w:type="dxa"/>
            <w:shd w:val="clear" w:color="auto" w:fill="auto"/>
            <w:vAlign w:val="center"/>
          </w:tcPr>
          <w:p w14:paraId="5C749E2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0404BE7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《商用燃气灶具能效限定值及能效等级》（GB30531）</w:t>
            </w:r>
          </w:p>
        </w:tc>
      </w:tr>
      <w:tr w14:paraId="2C55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restart"/>
            <w:shd w:val="clear" w:color="auto" w:fill="auto"/>
            <w:vAlign w:val="center"/>
          </w:tcPr>
          <w:p w14:paraId="5FD28F2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15</w:t>
            </w:r>
          </w:p>
        </w:tc>
        <w:tc>
          <w:tcPr>
            <w:tcW w:w="956" w:type="dxa"/>
            <w:vMerge w:val="restart"/>
            <w:shd w:val="clear" w:color="auto" w:fill="auto"/>
            <w:vAlign w:val="center"/>
          </w:tcPr>
          <w:p w14:paraId="54F13BCF">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A060805便器</w:t>
            </w:r>
          </w:p>
        </w:tc>
        <w:tc>
          <w:tcPr>
            <w:tcW w:w="1770" w:type="dxa"/>
            <w:shd w:val="clear" w:color="auto" w:fill="auto"/>
            <w:vAlign w:val="center"/>
          </w:tcPr>
          <w:p w14:paraId="410F6AC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坐便器</w:t>
            </w:r>
          </w:p>
        </w:tc>
        <w:tc>
          <w:tcPr>
            <w:tcW w:w="1886" w:type="dxa"/>
            <w:shd w:val="clear" w:color="auto" w:fill="auto"/>
            <w:vAlign w:val="center"/>
          </w:tcPr>
          <w:p w14:paraId="0ACC9A3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53CD239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《坐便器水效限定值及水效等级》（GB25502）</w:t>
            </w:r>
          </w:p>
        </w:tc>
      </w:tr>
      <w:tr w14:paraId="141B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11497F2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2352BB3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shd w:val="clear" w:color="auto" w:fill="auto"/>
            <w:vAlign w:val="center"/>
          </w:tcPr>
          <w:p w14:paraId="3449B09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蹲便器</w:t>
            </w:r>
          </w:p>
        </w:tc>
        <w:tc>
          <w:tcPr>
            <w:tcW w:w="1886" w:type="dxa"/>
            <w:shd w:val="clear" w:color="auto" w:fill="auto"/>
            <w:vAlign w:val="center"/>
          </w:tcPr>
          <w:p w14:paraId="07EF0D3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475944A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《蹲便器用水效率限定值及用水效率等级》（GB30717）</w:t>
            </w:r>
          </w:p>
        </w:tc>
      </w:tr>
      <w:tr w14:paraId="79D9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41CF7F0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3AAE322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shd w:val="clear" w:color="auto" w:fill="auto"/>
            <w:vAlign w:val="center"/>
          </w:tcPr>
          <w:p w14:paraId="74D6A21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小便器</w:t>
            </w:r>
          </w:p>
        </w:tc>
        <w:tc>
          <w:tcPr>
            <w:tcW w:w="1886" w:type="dxa"/>
            <w:shd w:val="clear" w:color="auto" w:fill="auto"/>
            <w:vAlign w:val="center"/>
          </w:tcPr>
          <w:p w14:paraId="5EE2BA3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402161B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《小便器用水效率限定值及用水效率等级》（GB28377）</w:t>
            </w:r>
          </w:p>
        </w:tc>
      </w:tr>
      <w:tr w14:paraId="4610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744A329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16</w:t>
            </w:r>
          </w:p>
        </w:tc>
        <w:tc>
          <w:tcPr>
            <w:tcW w:w="956" w:type="dxa"/>
            <w:shd w:val="clear" w:color="auto" w:fill="auto"/>
            <w:vAlign w:val="center"/>
          </w:tcPr>
          <w:p w14:paraId="37CD3A0D">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A060806水嘴</w:t>
            </w:r>
          </w:p>
        </w:tc>
        <w:tc>
          <w:tcPr>
            <w:tcW w:w="1770" w:type="dxa"/>
            <w:shd w:val="clear" w:color="auto" w:fill="auto"/>
            <w:vAlign w:val="center"/>
          </w:tcPr>
          <w:p w14:paraId="3C61C3B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1886" w:type="dxa"/>
            <w:shd w:val="clear" w:color="auto" w:fill="auto"/>
            <w:vAlign w:val="center"/>
          </w:tcPr>
          <w:p w14:paraId="662B2C2F">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1576517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《水嘴用水效率限定值及用水效率等级》（GB 25501）</w:t>
            </w:r>
          </w:p>
        </w:tc>
      </w:tr>
      <w:tr w14:paraId="442D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58BBC7D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17</w:t>
            </w:r>
          </w:p>
        </w:tc>
        <w:tc>
          <w:tcPr>
            <w:tcW w:w="956" w:type="dxa"/>
            <w:shd w:val="clear" w:color="auto" w:fill="auto"/>
            <w:vAlign w:val="center"/>
          </w:tcPr>
          <w:p w14:paraId="6B8877C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A060807便器冲洗阀</w:t>
            </w:r>
          </w:p>
        </w:tc>
        <w:tc>
          <w:tcPr>
            <w:tcW w:w="1770" w:type="dxa"/>
            <w:shd w:val="clear" w:color="auto" w:fill="auto"/>
            <w:vAlign w:val="center"/>
          </w:tcPr>
          <w:p w14:paraId="1F87699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1886" w:type="dxa"/>
            <w:shd w:val="clear" w:color="auto" w:fill="auto"/>
            <w:vAlign w:val="center"/>
          </w:tcPr>
          <w:p w14:paraId="6EC488AF">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405F22E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《便器冲洗阀用水效率限定值及用水效率等级》（GB28379）</w:t>
            </w:r>
          </w:p>
        </w:tc>
      </w:tr>
      <w:tr w14:paraId="283E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316C33F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18</w:t>
            </w:r>
          </w:p>
        </w:tc>
        <w:tc>
          <w:tcPr>
            <w:tcW w:w="956" w:type="dxa"/>
            <w:shd w:val="clear" w:color="auto" w:fill="auto"/>
            <w:vAlign w:val="center"/>
          </w:tcPr>
          <w:p w14:paraId="31FDF92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A060810淋浴器</w:t>
            </w:r>
          </w:p>
        </w:tc>
        <w:tc>
          <w:tcPr>
            <w:tcW w:w="1770" w:type="dxa"/>
            <w:shd w:val="clear" w:color="auto" w:fill="auto"/>
            <w:vAlign w:val="center"/>
          </w:tcPr>
          <w:p w14:paraId="0E51CB3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1886" w:type="dxa"/>
            <w:shd w:val="clear" w:color="auto" w:fill="auto"/>
            <w:vAlign w:val="center"/>
          </w:tcPr>
          <w:p w14:paraId="5FC2624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37FF169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《淋浴器用水效率限定值及用水效率等级》（GB28378）</w:t>
            </w:r>
          </w:p>
        </w:tc>
      </w:tr>
    </w:tbl>
    <w:p w14:paraId="7548A1C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w:t>
      </w:r>
    </w:p>
    <w:p w14:paraId="29C5F89D">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1.节能产品认证应依据相关国家标准的最新版本，依据国家标准中二级能效（水效）指标。</w:t>
      </w:r>
    </w:p>
    <w:p w14:paraId="45AE4242">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2.以“★”标注的为政府强制采购产品。</w:t>
      </w:r>
    </w:p>
    <w:p w14:paraId="7665E856">
      <w:pPr>
        <w:jc w:val="center"/>
        <w:rPr>
          <w:rFonts w:hint="eastAsia" w:ascii="宋体" w:hAnsi="宋体" w:eastAsia="宋体" w:cs="宋体"/>
          <w:b/>
          <w:bCs/>
          <w:color w:val="000000" w:themeColor="text1"/>
          <w:sz w:val="32"/>
          <w:szCs w:val="32"/>
          <w14:textFill>
            <w14:solidFill>
              <w14:schemeClr w14:val="tx1"/>
            </w14:solidFill>
          </w14:textFill>
        </w:rPr>
      </w:pPr>
    </w:p>
    <w:p w14:paraId="07A81F1D">
      <w:pPr>
        <w:widowControl/>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br w:type="page"/>
      </w:r>
    </w:p>
    <w:p w14:paraId="62559A27">
      <w:pPr>
        <w:pStyle w:val="14"/>
        <w:jc w:val="left"/>
        <w:rPr>
          <w:rFonts w:hint="eastAsia" w:ascii="宋体" w:hAnsi="宋体" w:eastAsia="宋体" w:cs="宋体"/>
          <w:sz w:val="36"/>
          <w:szCs w:val="32"/>
        </w:rPr>
      </w:pPr>
      <w:r>
        <w:rPr>
          <w:rFonts w:hint="eastAsia" w:ascii="宋体" w:hAnsi="宋体" w:eastAsia="宋体" w:cs="宋体"/>
          <w:sz w:val="36"/>
          <w:szCs w:val="32"/>
        </w:rPr>
        <w:t>附件2：</w:t>
      </w:r>
    </w:p>
    <w:p w14:paraId="4724DFD3">
      <w:pPr>
        <w:spacing w:line="528" w:lineRule="exact"/>
        <w:ind w:left="2055" w:hanging="2054" w:hangingChars="467"/>
        <w:jc w:val="center"/>
        <w:rPr>
          <w:rFonts w:hint="eastAsia" w:ascii="宋体" w:hAnsi="宋体" w:eastAsia="宋体" w:cs="宋体"/>
          <w:sz w:val="44"/>
          <w:szCs w:val="40"/>
        </w:rPr>
      </w:pPr>
      <w:r>
        <w:rPr>
          <w:rFonts w:hint="eastAsia" w:ascii="宋体" w:hAnsi="宋体" w:eastAsia="宋体" w:cs="宋体"/>
          <w:sz w:val="44"/>
          <w:szCs w:val="40"/>
        </w:rPr>
        <w:t>中小微企业划型标准</w:t>
      </w:r>
    </w:p>
    <w:tbl>
      <w:tblPr>
        <w:tblStyle w:val="24"/>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984"/>
        <w:gridCol w:w="851"/>
        <w:gridCol w:w="1842"/>
        <w:gridCol w:w="1701"/>
        <w:gridCol w:w="1134"/>
      </w:tblGrid>
      <w:tr w14:paraId="29AF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tcBorders>
              <w:tl2br w:val="nil"/>
              <w:tr2bl w:val="nil"/>
            </w:tcBorders>
            <w:vAlign w:val="center"/>
          </w:tcPr>
          <w:p w14:paraId="123462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8"/>
              </w:rPr>
            </w:pPr>
            <w:r>
              <w:rPr>
                <w:rFonts w:hint="eastAsia" w:ascii="宋体" w:hAnsi="宋体" w:eastAsia="宋体" w:cs="宋体"/>
                <w:b/>
                <w:kern w:val="0"/>
                <w:sz w:val="28"/>
              </w:rPr>
              <w:t>行业名称</w:t>
            </w:r>
          </w:p>
        </w:tc>
        <w:tc>
          <w:tcPr>
            <w:tcW w:w="1984" w:type="dxa"/>
            <w:tcBorders>
              <w:tl2br w:val="nil"/>
              <w:tr2bl w:val="nil"/>
            </w:tcBorders>
            <w:vAlign w:val="center"/>
          </w:tcPr>
          <w:p w14:paraId="3AB932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8"/>
              </w:rPr>
            </w:pPr>
            <w:r>
              <w:rPr>
                <w:rFonts w:hint="eastAsia" w:ascii="宋体" w:hAnsi="宋体" w:eastAsia="宋体" w:cs="宋体"/>
                <w:b/>
                <w:kern w:val="0"/>
                <w:sz w:val="28"/>
              </w:rPr>
              <w:t>指标名称</w:t>
            </w:r>
          </w:p>
        </w:tc>
        <w:tc>
          <w:tcPr>
            <w:tcW w:w="851" w:type="dxa"/>
            <w:tcBorders>
              <w:tl2br w:val="nil"/>
              <w:tr2bl w:val="nil"/>
            </w:tcBorders>
            <w:vAlign w:val="center"/>
          </w:tcPr>
          <w:p w14:paraId="50DFC3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8"/>
              </w:rPr>
            </w:pPr>
            <w:r>
              <w:rPr>
                <w:rFonts w:hint="eastAsia" w:ascii="宋体" w:hAnsi="宋体" w:eastAsia="宋体" w:cs="宋体"/>
                <w:b/>
                <w:kern w:val="0"/>
                <w:sz w:val="28"/>
              </w:rPr>
              <w:t>计量单位</w:t>
            </w:r>
          </w:p>
        </w:tc>
        <w:tc>
          <w:tcPr>
            <w:tcW w:w="1842" w:type="dxa"/>
            <w:tcBorders>
              <w:tl2br w:val="nil"/>
              <w:tr2bl w:val="nil"/>
            </w:tcBorders>
            <w:vAlign w:val="center"/>
          </w:tcPr>
          <w:p w14:paraId="66F4D7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8"/>
              </w:rPr>
            </w:pPr>
            <w:r>
              <w:rPr>
                <w:rFonts w:hint="eastAsia" w:ascii="宋体" w:hAnsi="宋体" w:eastAsia="宋体" w:cs="宋体"/>
                <w:b/>
                <w:kern w:val="0"/>
                <w:sz w:val="28"/>
              </w:rPr>
              <w:t>中型</w:t>
            </w:r>
          </w:p>
        </w:tc>
        <w:tc>
          <w:tcPr>
            <w:tcW w:w="1701" w:type="dxa"/>
            <w:tcBorders>
              <w:tl2br w:val="nil"/>
              <w:tr2bl w:val="nil"/>
            </w:tcBorders>
            <w:vAlign w:val="center"/>
          </w:tcPr>
          <w:p w14:paraId="5373DC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8"/>
              </w:rPr>
            </w:pPr>
            <w:r>
              <w:rPr>
                <w:rFonts w:hint="eastAsia" w:ascii="宋体" w:hAnsi="宋体" w:eastAsia="宋体" w:cs="宋体"/>
                <w:b/>
                <w:kern w:val="0"/>
                <w:sz w:val="28"/>
              </w:rPr>
              <w:t>小型</w:t>
            </w:r>
          </w:p>
        </w:tc>
        <w:tc>
          <w:tcPr>
            <w:tcW w:w="1134" w:type="dxa"/>
            <w:tcBorders>
              <w:tl2br w:val="nil"/>
              <w:tr2bl w:val="nil"/>
            </w:tcBorders>
            <w:vAlign w:val="center"/>
          </w:tcPr>
          <w:p w14:paraId="179D31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8"/>
              </w:rPr>
            </w:pPr>
            <w:r>
              <w:rPr>
                <w:rFonts w:hint="eastAsia" w:ascii="宋体" w:hAnsi="宋体" w:eastAsia="宋体" w:cs="宋体"/>
                <w:b/>
                <w:kern w:val="0"/>
                <w:sz w:val="28"/>
              </w:rPr>
              <w:t>微型</w:t>
            </w:r>
          </w:p>
        </w:tc>
      </w:tr>
      <w:tr w14:paraId="29DF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tcBorders>
              <w:tl2br w:val="nil"/>
              <w:tr2bl w:val="nil"/>
            </w:tcBorders>
            <w:vAlign w:val="center"/>
          </w:tcPr>
          <w:p w14:paraId="4872C0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r>
              <w:rPr>
                <w:rFonts w:hint="eastAsia" w:ascii="宋体" w:hAnsi="宋体" w:eastAsia="宋体" w:cs="宋体"/>
                <w:b/>
                <w:bCs/>
                <w:kern w:val="0"/>
                <w:szCs w:val="18"/>
              </w:rPr>
              <w:t>农、林、牧、渔</w:t>
            </w:r>
          </w:p>
        </w:tc>
        <w:tc>
          <w:tcPr>
            <w:tcW w:w="1984" w:type="dxa"/>
            <w:tcBorders>
              <w:tl2br w:val="nil"/>
              <w:tr2bl w:val="nil"/>
            </w:tcBorders>
            <w:vAlign w:val="center"/>
          </w:tcPr>
          <w:p w14:paraId="2EC5CF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营业收入（Y）</w:t>
            </w:r>
          </w:p>
        </w:tc>
        <w:tc>
          <w:tcPr>
            <w:tcW w:w="851" w:type="dxa"/>
            <w:tcBorders>
              <w:tl2br w:val="nil"/>
              <w:tr2bl w:val="nil"/>
            </w:tcBorders>
            <w:vAlign w:val="center"/>
          </w:tcPr>
          <w:p w14:paraId="3DAD7E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万元</w:t>
            </w:r>
          </w:p>
        </w:tc>
        <w:tc>
          <w:tcPr>
            <w:tcW w:w="1842" w:type="dxa"/>
            <w:tcBorders>
              <w:tl2br w:val="nil"/>
              <w:tr2bl w:val="nil"/>
            </w:tcBorders>
            <w:vAlign w:val="center"/>
          </w:tcPr>
          <w:p w14:paraId="7BA280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500≤Y＜20000</w:t>
            </w:r>
          </w:p>
        </w:tc>
        <w:tc>
          <w:tcPr>
            <w:tcW w:w="1701" w:type="dxa"/>
            <w:tcBorders>
              <w:tl2br w:val="nil"/>
              <w:tr2bl w:val="nil"/>
            </w:tcBorders>
            <w:vAlign w:val="center"/>
          </w:tcPr>
          <w:p w14:paraId="6ED061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50≤Y＜500</w:t>
            </w:r>
          </w:p>
        </w:tc>
        <w:tc>
          <w:tcPr>
            <w:tcW w:w="1134" w:type="dxa"/>
            <w:tcBorders>
              <w:tl2br w:val="nil"/>
              <w:tr2bl w:val="nil"/>
            </w:tcBorders>
            <w:vAlign w:val="center"/>
          </w:tcPr>
          <w:p w14:paraId="2B6624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Y＜50</w:t>
            </w:r>
          </w:p>
        </w:tc>
      </w:tr>
      <w:tr w14:paraId="448D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restart"/>
            <w:tcBorders>
              <w:tl2br w:val="nil"/>
              <w:tr2bl w:val="nil"/>
            </w:tcBorders>
            <w:vAlign w:val="center"/>
          </w:tcPr>
          <w:p w14:paraId="7DC1D7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r>
              <w:rPr>
                <w:rFonts w:hint="eastAsia" w:ascii="宋体" w:hAnsi="宋体" w:eastAsia="宋体" w:cs="宋体"/>
                <w:b/>
                <w:bCs/>
                <w:kern w:val="0"/>
                <w:szCs w:val="18"/>
              </w:rPr>
              <w:t>工业</w:t>
            </w:r>
          </w:p>
        </w:tc>
        <w:tc>
          <w:tcPr>
            <w:tcW w:w="1984" w:type="dxa"/>
            <w:tcBorders>
              <w:tl2br w:val="nil"/>
              <w:tr2bl w:val="nil"/>
            </w:tcBorders>
            <w:vAlign w:val="center"/>
          </w:tcPr>
          <w:p w14:paraId="66DD6C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从业人员（X）</w:t>
            </w:r>
          </w:p>
        </w:tc>
        <w:tc>
          <w:tcPr>
            <w:tcW w:w="851" w:type="dxa"/>
            <w:tcBorders>
              <w:tl2br w:val="nil"/>
              <w:tr2bl w:val="nil"/>
            </w:tcBorders>
            <w:vAlign w:val="center"/>
          </w:tcPr>
          <w:p w14:paraId="751F47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人</w:t>
            </w:r>
          </w:p>
        </w:tc>
        <w:tc>
          <w:tcPr>
            <w:tcW w:w="1842" w:type="dxa"/>
            <w:tcBorders>
              <w:tl2br w:val="nil"/>
              <w:tr2bl w:val="nil"/>
            </w:tcBorders>
            <w:vAlign w:val="center"/>
          </w:tcPr>
          <w:p w14:paraId="05B9B3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300≤X＜1000</w:t>
            </w:r>
          </w:p>
        </w:tc>
        <w:tc>
          <w:tcPr>
            <w:tcW w:w="1701" w:type="dxa"/>
            <w:tcBorders>
              <w:tl2br w:val="nil"/>
              <w:tr2bl w:val="nil"/>
            </w:tcBorders>
            <w:vAlign w:val="center"/>
          </w:tcPr>
          <w:p w14:paraId="380909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20≤X＜300</w:t>
            </w:r>
          </w:p>
        </w:tc>
        <w:tc>
          <w:tcPr>
            <w:tcW w:w="1134" w:type="dxa"/>
            <w:tcBorders>
              <w:tl2br w:val="nil"/>
              <w:tr2bl w:val="nil"/>
            </w:tcBorders>
            <w:vAlign w:val="center"/>
          </w:tcPr>
          <w:p w14:paraId="251B2B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X＜20</w:t>
            </w:r>
          </w:p>
        </w:tc>
      </w:tr>
      <w:tr w14:paraId="19B8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continue"/>
            <w:tcBorders>
              <w:tl2br w:val="nil"/>
              <w:tr2bl w:val="nil"/>
            </w:tcBorders>
            <w:vAlign w:val="center"/>
          </w:tcPr>
          <w:p w14:paraId="124C63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p>
        </w:tc>
        <w:tc>
          <w:tcPr>
            <w:tcW w:w="1984" w:type="dxa"/>
            <w:tcBorders>
              <w:tl2br w:val="nil"/>
              <w:tr2bl w:val="nil"/>
            </w:tcBorders>
            <w:vAlign w:val="center"/>
          </w:tcPr>
          <w:p w14:paraId="738E9E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营业收入（Y）</w:t>
            </w:r>
          </w:p>
        </w:tc>
        <w:tc>
          <w:tcPr>
            <w:tcW w:w="851" w:type="dxa"/>
            <w:tcBorders>
              <w:tl2br w:val="nil"/>
              <w:tr2bl w:val="nil"/>
            </w:tcBorders>
            <w:vAlign w:val="center"/>
          </w:tcPr>
          <w:p w14:paraId="309B79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万元</w:t>
            </w:r>
          </w:p>
        </w:tc>
        <w:tc>
          <w:tcPr>
            <w:tcW w:w="1842" w:type="dxa"/>
            <w:tcBorders>
              <w:tl2br w:val="nil"/>
              <w:tr2bl w:val="nil"/>
            </w:tcBorders>
            <w:vAlign w:val="center"/>
          </w:tcPr>
          <w:p w14:paraId="531770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2000≤Y＜40000</w:t>
            </w:r>
          </w:p>
        </w:tc>
        <w:tc>
          <w:tcPr>
            <w:tcW w:w="1701" w:type="dxa"/>
            <w:tcBorders>
              <w:tl2br w:val="nil"/>
              <w:tr2bl w:val="nil"/>
            </w:tcBorders>
            <w:vAlign w:val="center"/>
          </w:tcPr>
          <w:p w14:paraId="7E0727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300≤Y＜2000</w:t>
            </w:r>
          </w:p>
        </w:tc>
        <w:tc>
          <w:tcPr>
            <w:tcW w:w="1134" w:type="dxa"/>
            <w:tcBorders>
              <w:tl2br w:val="nil"/>
              <w:tr2bl w:val="nil"/>
            </w:tcBorders>
            <w:vAlign w:val="center"/>
          </w:tcPr>
          <w:p w14:paraId="5FAE68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Y＜300</w:t>
            </w:r>
          </w:p>
        </w:tc>
      </w:tr>
      <w:tr w14:paraId="55CD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restart"/>
            <w:tcBorders>
              <w:tl2br w:val="nil"/>
              <w:tr2bl w:val="nil"/>
            </w:tcBorders>
            <w:vAlign w:val="center"/>
          </w:tcPr>
          <w:p w14:paraId="282B74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r>
              <w:rPr>
                <w:rFonts w:hint="eastAsia" w:ascii="宋体" w:hAnsi="宋体" w:eastAsia="宋体" w:cs="宋体"/>
                <w:b/>
                <w:bCs/>
                <w:kern w:val="0"/>
                <w:szCs w:val="18"/>
              </w:rPr>
              <w:t>建筑业</w:t>
            </w:r>
          </w:p>
        </w:tc>
        <w:tc>
          <w:tcPr>
            <w:tcW w:w="1984" w:type="dxa"/>
            <w:tcBorders>
              <w:tl2br w:val="nil"/>
              <w:tr2bl w:val="nil"/>
            </w:tcBorders>
            <w:vAlign w:val="center"/>
          </w:tcPr>
          <w:p w14:paraId="70F22C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营业收入（Y）</w:t>
            </w:r>
          </w:p>
        </w:tc>
        <w:tc>
          <w:tcPr>
            <w:tcW w:w="851" w:type="dxa"/>
            <w:tcBorders>
              <w:tl2br w:val="nil"/>
              <w:tr2bl w:val="nil"/>
            </w:tcBorders>
            <w:vAlign w:val="center"/>
          </w:tcPr>
          <w:p w14:paraId="12137F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万元</w:t>
            </w:r>
          </w:p>
        </w:tc>
        <w:tc>
          <w:tcPr>
            <w:tcW w:w="1842" w:type="dxa"/>
            <w:tcBorders>
              <w:tl2br w:val="nil"/>
              <w:tr2bl w:val="nil"/>
            </w:tcBorders>
            <w:vAlign w:val="center"/>
          </w:tcPr>
          <w:p w14:paraId="18EA2D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6000≤Y＜80000</w:t>
            </w:r>
          </w:p>
        </w:tc>
        <w:tc>
          <w:tcPr>
            <w:tcW w:w="1701" w:type="dxa"/>
            <w:tcBorders>
              <w:tl2br w:val="nil"/>
              <w:tr2bl w:val="nil"/>
            </w:tcBorders>
            <w:vAlign w:val="center"/>
          </w:tcPr>
          <w:p w14:paraId="119F59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300≤Y＜6000</w:t>
            </w:r>
          </w:p>
        </w:tc>
        <w:tc>
          <w:tcPr>
            <w:tcW w:w="1134" w:type="dxa"/>
            <w:tcBorders>
              <w:tl2br w:val="nil"/>
              <w:tr2bl w:val="nil"/>
            </w:tcBorders>
            <w:vAlign w:val="center"/>
          </w:tcPr>
          <w:p w14:paraId="232FBB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Y＜300</w:t>
            </w:r>
          </w:p>
        </w:tc>
      </w:tr>
      <w:tr w14:paraId="0067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continue"/>
            <w:tcBorders>
              <w:tl2br w:val="nil"/>
              <w:tr2bl w:val="nil"/>
            </w:tcBorders>
            <w:vAlign w:val="center"/>
          </w:tcPr>
          <w:p w14:paraId="2213CE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p>
        </w:tc>
        <w:tc>
          <w:tcPr>
            <w:tcW w:w="1984" w:type="dxa"/>
            <w:tcBorders>
              <w:tl2br w:val="nil"/>
              <w:tr2bl w:val="nil"/>
            </w:tcBorders>
            <w:vAlign w:val="center"/>
          </w:tcPr>
          <w:p w14:paraId="46E976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资产总额（Z）</w:t>
            </w:r>
          </w:p>
        </w:tc>
        <w:tc>
          <w:tcPr>
            <w:tcW w:w="851" w:type="dxa"/>
            <w:tcBorders>
              <w:tl2br w:val="nil"/>
              <w:tr2bl w:val="nil"/>
            </w:tcBorders>
            <w:vAlign w:val="center"/>
          </w:tcPr>
          <w:p w14:paraId="5D2988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万元</w:t>
            </w:r>
          </w:p>
        </w:tc>
        <w:tc>
          <w:tcPr>
            <w:tcW w:w="1842" w:type="dxa"/>
            <w:tcBorders>
              <w:tl2br w:val="nil"/>
              <w:tr2bl w:val="nil"/>
            </w:tcBorders>
            <w:vAlign w:val="center"/>
          </w:tcPr>
          <w:p w14:paraId="19CC91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5000≤Z＜80000</w:t>
            </w:r>
          </w:p>
        </w:tc>
        <w:tc>
          <w:tcPr>
            <w:tcW w:w="1701" w:type="dxa"/>
            <w:tcBorders>
              <w:tl2br w:val="nil"/>
              <w:tr2bl w:val="nil"/>
            </w:tcBorders>
            <w:vAlign w:val="center"/>
          </w:tcPr>
          <w:p w14:paraId="4DFDA0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300≤Z＜5000</w:t>
            </w:r>
          </w:p>
        </w:tc>
        <w:tc>
          <w:tcPr>
            <w:tcW w:w="1134" w:type="dxa"/>
            <w:tcBorders>
              <w:tl2br w:val="nil"/>
              <w:tr2bl w:val="nil"/>
            </w:tcBorders>
            <w:vAlign w:val="center"/>
          </w:tcPr>
          <w:p w14:paraId="54A9D4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Z＜300</w:t>
            </w:r>
          </w:p>
        </w:tc>
      </w:tr>
      <w:tr w14:paraId="2B4B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restart"/>
            <w:tcBorders>
              <w:tl2br w:val="nil"/>
              <w:tr2bl w:val="nil"/>
            </w:tcBorders>
            <w:vAlign w:val="center"/>
          </w:tcPr>
          <w:p w14:paraId="3E76B8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r>
              <w:rPr>
                <w:rFonts w:hint="eastAsia" w:ascii="宋体" w:hAnsi="宋体" w:eastAsia="宋体" w:cs="宋体"/>
                <w:b/>
                <w:bCs/>
                <w:kern w:val="0"/>
                <w:szCs w:val="18"/>
              </w:rPr>
              <w:t>批发业</w:t>
            </w:r>
          </w:p>
        </w:tc>
        <w:tc>
          <w:tcPr>
            <w:tcW w:w="1984" w:type="dxa"/>
            <w:tcBorders>
              <w:tl2br w:val="nil"/>
              <w:tr2bl w:val="nil"/>
            </w:tcBorders>
            <w:vAlign w:val="center"/>
          </w:tcPr>
          <w:p w14:paraId="470831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从业人员（X）</w:t>
            </w:r>
          </w:p>
        </w:tc>
        <w:tc>
          <w:tcPr>
            <w:tcW w:w="851" w:type="dxa"/>
            <w:tcBorders>
              <w:tl2br w:val="nil"/>
              <w:tr2bl w:val="nil"/>
            </w:tcBorders>
            <w:vAlign w:val="center"/>
          </w:tcPr>
          <w:p w14:paraId="30D364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人</w:t>
            </w:r>
          </w:p>
        </w:tc>
        <w:tc>
          <w:tcPr>
            <w:tcW w:w="1842" w:type="dxa"/>
            <w:tcBorders>
              <w:tl2br w:val="nil"/>
              <w:tr2bl w:val="nil"/>
            </w:tcBorders>
            <w:vAlign w:val="center"/>
          </w:tcPr>
          <w:p w14:paraId="37028A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20≤X＜200</w:t>
            </w:r>
          </w:p>
        </w:tc>
        <w:tc>
          <w:tcPr>
            <w:tcW w:w="1701" w:type="dxa"/>
            <w:tcBorders>
              <w:tl2br w:val="nil"/>
              <w:tr2bl w:val="nil"/>
            </w:tcBorders>
            <w:vAlign w:val="center"/>
          </w:tcPr>
          <w:p w14:paraId="3BD9A0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5≤X＜20</w:t>
            </w:r>
          </w:p>
        </w:tc>
        <w:tc>
          <w:tcPr>
            <w:tcW w:w="1134" w:type="dxa"/>
            <w:tcBorders>
              <w:tl2br w:val="nil"/>
              <w:tr2bl w:val="nil"/>
            </w:tcBorders>
            <w:vAlign w:val="center"/>
          </w:tcPr>
          <w:p w14:paraId="016A99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X＜5</w:t>
            </w:r>
          </w:p>
        </w:tc>
      </w:tr>
      <w:tr w14:paraId="7484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continue"/>
            <w:tcBorders>
              <w:tl2br w:val="nil"/>
              <w:tr2bl w:val="nil"/>
            </w:tcBorders>
            <w:vAlign w:val="center"/>
          </w:tcPr>
          <w:p w14:paraId="0E0566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p>
        </w:tc>
        <w:tc>
          <w:tcPr>
            <w:tcW w:w="1984" w:type="dxa"/>
            <w:tcBorders>
              <w:tl2br w:val="nil"/>
              <w:tr2bl w:val="nil"/>
            </w:tcBorders>
            <w:vAlign w:val="center"/>
          </w:tcPr>
          <w:p w14:paraId="58D98A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营业收入（Y）</w:t>
            </w:r>
          </w:p>
        </w:tc>
        <w:tc>
          <w:tcPr>
            <w:tcW w:w="851" w:type="dxa"/>
            <w:tcBorders>
              <w:tl2br w:val="nil"/>
              <w:tr2bl w:val="nil"/>
            </w:tcBorders>
            <w:vAlign w:val="center"/>
          </w:tcPr>
          <w:p w14:paraId="78DD16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万元</w:t>
            </w:r>
          </w:p>
        </w:tc>
        <w:tc>
          <w:tcPr>
            <w:tcW w:w="1842" w:type="dxa"/>
            <w:tcBorders>
              <w:tl2br w:val="nil"/>
              <w:tr2bl w:val="nil"/>
            </w:tcBorders>
            <w:vAlign w:val="center"/>
          </w:tcPr>
          <w:p w14:paraId="0BA8A3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5000≤Y＜40000</w:t>
            </w:r>
          </w:p>
        </w:tc>
        <w:tc>
          <w:tcPr>
            <w:tcW w:w="1701" w:type="dxa"/>
            <w:tcBorders>
              <w:tl2br w:val="nil"/>
              <w:tr2bl w:val="nil"/>
            </w:tcBorders>
            <w:vAlign w:val="center"/>
          </w:tcPr>
          <w:p w14:paraId="4B4378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1000≤Y＜5000</w:t>
            </w:r>
          </w:p>
        </w:tc>
        <w:tc>
          <w:tcPr>
            <w:tcW w:w="1134" w:type="dxa"/>
            <w:tcBorders>
              <w:tl2br w:val="nil"/>
              <w:tr2bl w:val="nil"/>
            </w:tcBorders>
            <w:vAlign w:val="center"/>
          </w:tcPr>
          <w:p w14:paraId="3A3B9C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Y＜1000</w:t>
            </w:r>
          </w:p>
        </w:tc>
      </w:tr>
      <w:tr w14:paraId="38F6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restart"/>
            <w:tcBorders>
              <w:tl2br w:val="nil"/>
              <w:tr2bl w:val="nil"/>
            </w:tcBorders>
            <w:vAlign w:val="center"/>
          </w:tcPr>
          <w:p w14:paraId="0BB5DF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r>
              <w:rPr>
                <w:rFonts w:hint="eastAsia" w:ascii="宋体" w:hAnsi="宋体" w:eastAsia="宋体" w:cs="宋体"/>
                <w:b/>
                <w:bCs/>
                <w:kern w:val="0"/>
                <w:szCs w:val="18"/>
              </w:rPr>
              <w:t>零售业</w:t>
            </w:r>
          </w:p>
        </w:tc>
        <w:tc>
          <w:tcPr>
            <w:tcW w:w="1984" w:type="dxa"/>
            <w:tcBorders>
              <w:tl2br w:val="nil"/>
              <w:tr2bl w:val="nil"/>
            </w:tcBorders>
            <w:vAlign w:val="center"/>
          </w:tcPr>
          <w:p w14:paraId="38950C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从业人员（X）</w:t>
            </w:r>
          </w:p>
        </w:tc>
        <w:tc>
          <w:tcPr>
            <w:tcW w:w="851" w:type="dxa"/>
            <w:tcBorders>
              <w:tl2br w:val="nil"/>
              <w:tr2bl w:val="nil"/>
            </w:tcBorders>
            <w:vAlign w:val="center"/>
          </w:tcPr>
          <w:p w14:paraId="73753A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人</w:t>
            </w:r>
          </w:p>
        </w:tc>
        <w:tc>
          <w:tcPr>
            <w:tcW w:w="1842" w:type="dxa"/>
            <w:tcBorders>
              <w:tl2br w:val="nil"/>
              <w:tr2bl w:val="nil"/>
            </w:tcBorders>
            <w:vAlign w:val="center"/>
          </w:tcPr>
          <w:p w14:paraId="781915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50≤X＜300</w:t>
            </w:r>
          </w:p>
        </w:tc>
        <w:tc>
          <w:tcPr>
            <w:tcW w:w="1701" w:type="dxa"/>
            <w:tcBorders>
              <w:tl2br w:val="nil"/>
              <w:tr2bl w:val="nil"/>
            </w:tcBorders>
            <w:vAlign w:val="center"/>
          </w:tcPr>
          <w:p w14:paraId="4DD570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10≤X＜50</w:t>
            </w:r>
          </w:p>
        </w:tc>
        <w:tc>
          <w:tcPr>
            <w:tcW w:w="1134" w:type="dxa"/>
            <w:tcBorders>
              <w:tl2br w:val="nil"/>
              <w:tr2bl w:val="nil"/>
            </w:tcBorders>
            <w:vAlign w:val="center"/>
          </w:tcPr>
          <w:p w14:paraId="00777B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X＜10</w:t>
            </w:r>
          </w:p>
        </w:tc>
      </w:tr>
      <w:tr w14:paraId="79DA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continue"/>
            <w:tcBorders>
              <w:tl2br w:val="nil"/>
              <w:tr2bl w:val="nil"/>
            </w:tcBorders>
            <w:vAlign w:val="center"/>
          </w:tcPr>
          <w:p w14:paraId="0D3A18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p>
        </w:tc>
        <w:tc>
          <w:tcPr>
            <w:tcW w:w="1984" w:type="dxa"/>
            <w:tcBorders>
              <w:tl2br w:val="nil"/>
              <w:tr2bl w:val="nil"/>
            </w:tcBorders>
            <w:vAlign w:val="center"/>
          </w:tcPr>
          <w:p w14:paraId="1A2B7F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营业收入（Y）</w:t>
            </w:r>
          </w:p>
        </w:tc>
        <w:tc>
          <w:tcPr>
            <w:tcW w:w="851" w:type="dxa"/>
            <w:tcBorders>
              <w:tl2br w:val="nil"/>
              <w:tr2bl w:val="nil"/>
            </w:tcBorders>
            <w:vAlign w:val="center"/>
          </w:tcPr>
          <w:p w14:paraId="79DE52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万元</w:t>
            </w:r>
          </w:p>
        </w:tc>
        <w:tc>
          <w:tcPr>
            <w:tcW w:w="1842" w:type="dxa"/>
            <w:tcBorders>
              <w:tl2br w:val="nil"/>
              <w:tr2bl w:val="nil"/>
            </w:tcBorders>
            <w:vAlign w:val="center"/>
          </w:tcPr>
          <w:p w14:paraId="59A745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500≤Y＜20000</w:t>
            </w:r>
          </w:p>
        </w:tc>
        <w:tc>
          <w:tcPr>
            <w:tcW w:w="1701" w:type="dxa"/>
            <w:tcBorders>
              <w:tl2br w:val="nil"/>
              <w:tr2bl w:val="nil"/>
            </w:tcBorders>
            <w:vAlign w:val="center"/>
          </w:tcPr>
          <w:p w14:paraId="3AFAB0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100≤Y＜500</w:t>
            </w:r>
          </w:p>
        </w:tc>
        <w:tc>
          <w:tcPr>
            <w:tcW w:w="1134" w:type="dxa"/>
            <w:tcBorders>
              <w:tl2br w:val="nil"/>
              <w:tr2bl w:val="nil"/>
            </w:tcBorders>
            <w:vAlign w:val="center"/>
          </w:tcPr>
          <w:p w14:paraId="4A83F1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Y＜100</w:t>
            </w:r>
          </w:p>
        </w:tc>
      </w:tr>
      <w:tr w14:paraId="7486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restart"/>
            <w:tcBorders>
              <w:tl2br w:val="nil"/>
              <w:tr2bl w:val="nil"/>
            </w:tcBorders>
            <w:vAlign w:val="center"/>
          </w:tcPr>
          <w:p w14:paraId="5B7BB8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r>
              <w:rPr>
                <w:rFonts w:hint="eastAsia" w:ascii="宋体" w:hAnsi="宋体" w:eastAsia="宋体" w:cs="宋体"/>
                <w:b/>
                <w:bCs/>
                <w:kern w:val="0"/>
                <w:szCs w:val="18"/>
              </w:rPr>
              <w:t>交通运输业</w:t>
            </w:r>
          </w:p>
        </w:tc>
        <w:tc>
          <w:tcPr>
            <w:tcW w:w="1984" w:type="dxa"/>
            <w:tcBorders>
              <w:tl2br w:val="nil"/>
              <w:tr2bl w:val="nil"/>
            </w:tcBorders>
            <w:vAlign w:val="center"/>
          </w:tcPr>
          <w:p w14:paraId="33571F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从业人员（X）</w:t>
            </w:r>
          </w:p>
        </w:tc>
        <w:tc>
          <w:tcPr>
            <w:tcW w:w="851" w:type="dxa"/>
            <w:tcBorders>
              <w:tl2br w:val="nil"/>
              <w:tr2bl w:val="nil"/>
            </w:tcBorders>
            <w:vAlign w:val="center"/>
          </w:tcPr>
          <w:p w14:paraId="6CB150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人</w:t>
            </w:r>
          </w:p>
        </w:tc>
        <w:tc>
          <w:tcPr>
            <w:tcW w:w="1842" w:type="dxa"/>
            <w:tcBorders>
              <w:tl2br w:val="nil"/>
              <w:tr2bl w:val="nil"/>
            </w:tcBorders>
            <w:vAlign w:val="center"/>
          </w:tcPr>
          <w:p w14:paraId="4D50EE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300≤X＜1000</w:t>
            </w:r>
          </w:p>
        </w:tc>
        <w:tc>
          <w:tcPr>
            <w:tcW w:w="1701" w:type="dxa"/>
            <w:tcBorders>
              <w:tl2br w:val="nil"/>
              <w:tr2bl w:val="nil"/>
            </w:tcBorders>
            <w:vAlign w:val="center"/>
          </w:tcPr>
          <w:p w14:paraId="2A3930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20≤X＜300</w:t>
            </w:r>
          </w:p>
        </w:tc>
        <w:tc>
          <w:tcPr>
            <w:tcW w:w="1134" w:type="dxa"/>
            <w:tcBorders>
              <w:tl2br w:val="nil"/>
              <w:tr2bl w:val="nil"/>
            </w:tcBorders>
            <w:vAlign w:val="center"/>
          </w:tcPr>
          <w:p w14:paraId="36C9A4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X＜20</w:t>
            </w:r>
          </w:p>
        </w:tc>
      </w:tr>
      <w:tr w14:paraId="2ECA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continue"/>
            <w:tcBorders>
              <w:tl2br w:val="nil"/>
              <w:tr2bl w:val="nil"/>
            </w:tcBorders>
            <w:vAlign w:val="center"/>
          </w:tcPr>
          <w:p w14:paraId="45E8D3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p>
        </w:tc>
        <w:tc>
          <w:tcPr>
            <w:tcW w:w="1984" w:type="dxa"/>
            <w:tcBorders>
              <w:tl2br w:val="nil"/>
              <w:tr2bl w:val="nil"/>
            </w:tcBorders>
            <w:vAlign w:val="center"/>
          </w:tcPr>
          <w:p w14:paraId="22417F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营业收入（Y）</w:t>
            </w:r>
          </w:p>
        </w:tc>
        <w:tc>
          <w:tcPr>
            <w:tcW w:w="851" w:type="dxa"/>
            <w:tcBorders>
              <w:tl2br w:val="nil"/>
              <w:tr2bl w:val="nil"/>
            </w:tcBorders>
            <w:vAlign w:val="center"/>
          </w:tcPr>
          <w:p w14:paraId="44C1F1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万元</w:t>
            </w:r>
          </w:p>
        </w:tc>
        <w:tc>
          <w:tcPr>
            <w:tcW w:w="1842" w:type="dxa"/>
            <w:tcBorders>
              <w:tl2br w:val="nil"/>
              <w:tr2bl w:val="nil"/>
            </w:tcBorders>
            <w:vAlign w:val="center"/>
          </w:tcPr>
          <w:p w14:paraId="58BD9F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3000≤Y＜30000</w:t>
            </w:r>
          </w:p>
        </w:tc>
        <w:tc>
          <w:tcPr>
            <w:tcW w:w="1701" w:type="dxa"/>
            <w:tcBorders>
              <w:tl2br w:val="nil"/>
              <w:tr2bl w:val="nil"/>
            </w:tcBorders>
            <w:vAlign w:val="center"/>
          </w:tcPr>
          <w:p w14:paraId="4BB410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200≤Y＜3000</w:t>
            </w:r>
          </w:p>
        </w:tc>
        <w:tc>
          <w:tcPr>
            <w:tcW w:w="1134" w:type="dxa"/>
            <w:tcBorders>
              <w:tl2br w:val="nil"/>
              <w:tr2bl w:val="nil"/>
            </w:tcBorders>
            <w:vAlign w:val="center"/>
          </w:tcPr>
          <w:p w14:paraId="4DB89B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Y＜200</w:t>
            </w:r>
          </w:p>
        </w:tc>
      </w:tr>
      <w:tr w14:paraId="0427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restart"/>
            <w:tcBorders>
              <w:tl2br w:val="nil"/>
              <w:tr2bl w:val="nil"/>
            </w:tcBorders>
            <w:vAlign w:val="center"/>
          </w:tcPr>
          <w:p w14:paraId="5C0BA2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r>
              <w:rPr>
                <w:rFonts w:hint="eastAsia" w:ascii="宋体" w:hAnsi="宋体" w:eastAsia="宋体" w:cs="宋体"/>
                <w:b/>
                <w:bCs/>
                <w:kern w:val="0"/>
                <w:szCs w:val="18"/>
              </w:rPr>
              <w:t>仓储业</w:t>
            </w:r>
          </w:p>
        </w:tc>
        <w:tc>
          <w:tcPr>
            <w:tcW w:w="1984" w:type="dxa"/>
            <w:tcBorders>
              <w:tl2br w:val="nil"/>
              <w:tr2bl w:val="nil"/>
            </w:tcBorders>
            <w:vAlign w:val="center"/>
          </w:tcPr>
          <w:p w14:paraId="16D8BB1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从业人员（X）</w:t>
            </w:r>
          </w:p>
        </w:tc>
        <w:tc>
          <w:tcPr>
            <w:tcW w:w="851" w:type="dxa"/>
            <w:tcBorders>
              <w:tl2br w:val="nil"/>
              <w:tr2bl w:val="nil"/>
            </w:tcBorders>
            <w:vAlign w:val="center"/>
          </w:tcPr>
          <w:p w14:paraId="375830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人</w:t>
            </w:r>
          </w:p>
        </w:tc>
        <w:tc>
          <w:tcPr>
            <w:tcW w:w="1842" w:type="dxa"/>
            <w:tcBorders>
              <w:tl2br w:val="nil"/>
              <w:tr2bl w:val="nil"/>
            </w:tcBorders>
            <w:vAlign w:val="center"/>
          </w:tcPr>
          <w:p w14:paraId="594710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100≤X＜200</w:t>
            </w:r>
          </w:p>
        </w:tc>
        <w:tc>
          <w:tcPr>
            <w:tcW w:w="1701" w:type="dxa"/>
            <w:tcBorders>
              <w:tl2br w:val="nil"/>
              <w:tr2bl w:val="nil"/>
            </w:tcBorders>
            <w:vAlign w:val="center"/>
          </w:tcPr>
          <w:p w14:paraId="36DF9B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20≤X＜100</w:t>
            </w:r>
          </w:p>
        </w:tc>
        <w:tc>
          <w:tcPr>
            <w:tcW w:w="1134" w:type="dxa"/>
            <w:tcBorders>
              <w:tl2br w:val="nil"/>
              <w:tr2bl w:val="nil"/>
            </w:tcBorders>
            <w:vAlign w:val="center"/>
          </w:tcPr>
          <w:p w14:paraId="215A45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X＜20</w:t>
            </w:r>
          </w:p>
        </w:tc>
      </w:tr>
      <w:tr w14:paraId="5327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continue"/>
            <w:tcBorders>
              <w:tl2br w:val="nil"/>
              <w:tr2bl w:val="nil"/>
            </w:tcBorders>
            <w:vAlign w:val="center"/>
          </w:tcPr>
          <w:p w14:paraId="445E5E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p>
        </w:tc>
        <w:tc>
          <w:tcPr>
            <w:tcW w:w="1984" w:type="dxa"/>
            <w:tcBorders>
              <w:tl2br w:val="nil"/>
              <w:tr2bl w:val="nil"/>
            </w:tcBorders>
            <w:vAlign w:val="center"/>
          </w:tcPr>
          <w:p w14:paraId="4A4D15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营业收入（Y）</w:t>
            </w:r>
          </w:p>
        </w:tc>
        <w:tc>
          <w:tcPr>
            <w:tcW w:w="851" w:type="dxa"/>
            <w:tcBorders>
              <w:tl2br w:val="nil"/>
              <w:tr2bl w:val="nil"/>
            </w:tcBorders>
            <w:vAlign w:val="center"/>
          </w:tcPr>
          <w:p w14:paraId="6829F2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万元</w:t>
            </w:r>
          </w:p>
        </w:tc>
        <w:tc>
          <w:tcPr>
            <w:tcW w:w="1842" w:type="dxa"/>
            <w:tcBorders>
              <w:tl2br w:val="nil"/>
              <w:tr2bl w:val="nil"/>
            </w:tcBorders>
            <w:vAlign w:val="center"/>
          </w:tcPr>
          <w:p w14:paraId="7CEA44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1000≤Y＜30000</w:t>
            </w:r>
          </w:p>
        </w:tc>
        <w:tc>
          <w:tcPr>
            <w:tcW w:w="1701" w:type="dxa"/>
            <w:tcBorders>
              <w:tl2br w:val="nil"/>
              <w:tr2bl w:val="nil"/>
            </w:tcBorders>
            <w:vAlign w:val="center"/>
          </w:tcPr>
          <w:p w14:paraId="290F22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100≤Y＜1000</w:t>
            </w:r>
          </w:p>
        </w:tc>
        <w:tc>
          <w:tcPr>
            <w:tcW w:w="1134" w:type="dxa"/>
            <w:tcBorders>
              <w:tl2br w:val="nil"/>
              <w:tr2bl w:val="nil"/>
            </w:tcBorders>
            <w:vAlign w:val="center"/>
          </w:tcPr>
          <w:p w14:paraId="205151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Y＜100</w:t>
            </w:r>
          </w:p>
        </w:tc>
      </w:tr>
      <w:tr w14:paraId="2C43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restart"/>
            <w:tcBorders>
              <w:tl2br w:val="nil"/>
              <w:tr2bl w:val="nil"/>
            </w:tcBorders>
            <w:vAlign w:val="center"/>
          </w:tcPr>
          <w:p w14:paraId="78DB0A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r>
              <w:rPr>
                <w:rFonts w:hint="eastAsia" w:ascii="宋体" w:hAnsi="宋体" w:eastAsia="宋体" w:cs="宋体"/>
                <w:b/>
                <w:bCs/>
                <w:kern w:val="0"/>
                <w:szCs w:val="18"/>
              </w:rPr>
              <w:t>邮政业</w:t>
            </w:r>
          </w:p>
        </w:tc>
        <w:tc>
          <w:tcPr>
            <w:tcW w:w="1984" w:type="dxa"/>
            <w:tcBorders>
              <w:tl2br w:val="nil"/>
              <w:tr2bl w:val="nil"/>
            </w:tcBorders>
            <w:vAlign w:val="center"/>
          </w:tcPr>
          <w:p w14:paraId="1D60A9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从业人员（X）</w:t>
            </w:r>
          </w:p>
        </w:tc>
        <w:tc>
          <w:tcPr>
            <w:tcW w:w="851" w:type="dxa"/>
            <w:tcBorders>
              <w:tl2br w:val="nil"/>
              <w:tr2bl w:val="nil"/>
            </w:tcBorders>
            <w:vAlign w:val="center"/>
          </w:tcPr>
          <w:p w14:paraId="5BB912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人</w:t>
            </w:r>
          </w:p>
        </w:tc>
        <w:tc>
          <w:tcPr>
            <w:tcW w:w="1842" w:type="dxa"/>
            <w:tcBorders>
              <w:tl2br w:val="nil"/>
              <w:tr2bl w:val="nil"/>
            </w:tcBorders>
            <w:vAlign w:val="center"/>
          </w:tcPr>
          <w:p w14:paraId="52838E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300≤X＜1000</w:t>
            </w:r>
          </w:p>
        </w:tc>
        <w:tc>
          <w:tcPr>
            <w:tcW w:w="1701" w:type="dxa"/>
            <w:tcBorders>
              <w:tl2br w:val="nil"/>
              <w:tr2bl w:val="nil"/>
            </w:tcBorders>
            <w:vAlign w:val="center"/>
          </w:tcPr>
          <w:p w14:paraId="0E61EF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20≤X＜300</w:t>
            </w:r>
          </w:p>
        </w:tc>
        <w:tc>
          <w:tcPr>
            <w:tcW w:w="1134" w:type="dxa"/>
            <w:tcBorders>
              <w:tl2br w:val="nil"/>
              <w:tr2bl w:val="nil"/>
            </w:tcBorders>
            <w:vAlign w:val="center"/>
          </w:tcPr>
          <w:p w14:paraId="4011B6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X＜20</w:t>
            </w:r>
          </w:p>
        </w:tc>
      </w:tr>
      <w:tr w14:paraId="38D6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continue"/>
            <w:tcBorders>
              <w:tl2br w:val="nil"/>
              <w:tr2bl w:val="nil"/>
            </w:tcBorders>
            <w:vAlign w:val="center"/>
          </w:tcPr>
          <w:p w14:paraId="471F34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p>
        </w:tc>
        <w:tc>
          <w:tcPr>
            <w:tcW w:w="1984" w:type="dxa"/>
            <w:tcBorders>
              <w:tl2br w:val="nil"/>
              <w:tr2bl w:val="nil"/>
            </w:tcBorders>
            <w:vAlign w:val="center"/>
          </w:tcPr>
          <w:p w14:paraId="08F541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营业收入（Y）</w:t>
            </w:r>
          </w:p>
        </w:tc>
        <w:tc>
          <w:tcPr>
            <w:tcW w:w="851" w:type="dxa"/>
            <w:tcBorders>
              <w:tl2br w:val="nil"/>
              <w:tr2bl w:val="nil"/>
            </w:tcBorders>
            <w:vAlign w:val="center"/>
          </w:tcPr>
          <w:p w14:paraId="17CC9D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万元</w:t>
            </w:r>
          </w:p>
        </w:tc>
        <w:tc>
          <w:tcPr>
            <w:tcW w:w="1842" w:type="dxa"/>
            <w:tcBorders>
              <w:tl2br w:val="nil"/>
              <w:tr2bl w:val="nil"/>
            </w:tcBorders>
            <w:vAlign w:val="center"/>
          </w:tcPr>
          <w:p w14:paraId="6488B2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2000≤Y＜30000</w:t>
            </w:r>
          </w:p>
        </w:tc>
        <w:tc>
          <w:tcPr>
            <w:tcW w:w="1701" w:type="dxa"/>
            <w:tcBorders>
              <w:tl2br w:val="nil"/>
              <w:tr2bl w:val="nil"/>
            </w:tcBorders>
            <w:vAlign w:val="center"/>
          </w:tcPr>
          <w:p w14:paraId="69BE74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100≤Y＜2000</w:t>
            </w:r>
          </w:p>
        </w:tc>
        <w:tc>
          <w:tcPr>
            <w:tcW w:w="1134" w:type="dxa"/>
            <w:tcBorders>
              <w:tl2br w:val="nil"/>
              <w:tr2bl w:val="nil"/>
            </w:tcBorders>
            <w:vAlign w:val="center"/>
          </w:tcPr>
          <w:p w14:paraId="59D4E9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Y＜100</w:t>
            </w:r>
          </w:p>
        </w:tc>
      </w:tr>
      <w:tr w14:paraId="7D0F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restart"/>
            <w:tcBorders>
              <w:tl2br w:val="nil"/>
              <w:tr2bl w:val="nil"/>
            </w:tcBorders>
            <w:vAlign w:val="center"/>
          </w:tcPr>
          <w:p w14:paraId="22C7A1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r>
              <w:rPr>
                <w:rFonts w:hint="eastAsia" w:ascii="宋体" w:hAnsi="宋体" w:eastAsia="宋体" w:cs="宋体"/>
                <w:b/>
                <w:bCs/>
                <w:kern w:val="0"/>
                <w:szCs w:val="18"/>
              </w:rPr>
              <w:t>住宿业</w:t>
            </w:r>
          </w:p>
        </w:tc>
        <w:tc>
          <w:tcPr>
            <w:tcW w:w="1984" w:type="dxa"/>
            <w:tcBorders>
              <w:tl2br w:val="nil"/>
              <w:tr2bl w:val="nil"/>
            </w:tcBorders>
            <w:vAlign w:val="center"/>
          </w:tcPr>
          <w:p w14:paraId="17A194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从业人员（X）</w:t>
            </w:r>
          </w:p>
        </w:tc>
        <w:tc>
          <w:tcPr>
            <w:tcW w:w="851" w:type="dxa"/>
            <w:tcBorders>
              <w:tl2br w:val="nil"/>
              <w:tr2bl w:val="nil"/>
            </w:tcBorders>
            <w:vAlign w:val="center"/>
          </w:tcPr>
          <w:p w14:paraId="0A626D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人</w:t>
            </w:r>
          </w:p>
        </w:tc>
        <w:tc>
          <w:tcPr>
            <w:tcW w:w="1842" w:type="dxa"/>
            <w:tcBorders>
              <w:tl2br w:val="nil"/>
              <w:tr2bl w:val="nil"/>
            </w:tcBorders>
            <w:vAlign w:val="center"/>
          </w:tcPr>
          <w:p w14:paraId="67F066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100≤X＜300</w:t>
            </w:r>
          </w:p>
        </w:tc>
        <w:tc>
          <w:tcPr>
            <w:tcW w:w="1701" w:type="dxa"/>
            <w:tcBorders>
              <w:tl2br w:val="nil"/>
              <w:tr2bl w:val="nil"/>
            </w:tcBorders>
            <w:vAlign w:val="center"/>
          </w:tcPr>
          <w:p w14:paraId="09D454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10≤X＜100</w:t>
            </w:r>
          </w:p>
        </w:tc>
        <w:tc>
          <w:tcPr>
            <w:tcW w:w="1134" w:type="dxa"/>
            <w:tcBorders>
              <w:tl2br w:val="nil"/>
              <w:tr2bl w:val="nil"/>
            </w:tcBorders>
            <w:vAlign w:val="center"/>
          </w:tcPr>
          <w:p w14:paraId="16A740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X＜10</w:t>
            </w:r>
          </w:p>
        </w:tc>
      </w:tr>
      <w:tr w14:paraId="2B8D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continue"/>
            <w:tcBorders>
              <w:tl2br w:val="nil"/>
              <w:tr2bl w:val="nil"/>
            </w:tcBorders>
            <w:vAlign w:val="center"/>
          </w:tcPr>
          <w:p w14:paraId="020E9D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p>
        </w:tc>
        <w:tc>
          <w:tcPr>
            <w:tcW w:w="1984" w:type="dxa"/>
            <w:tcBorders>
              <w:tl2br w:val="nil"/>
              <w:tr2bl w:val="nil"/>
            </w:tcBorders>
            <w:vAlign w:val="center"/>
          </w:tcPr>
          <w:p w14:paraId="33D79B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营业收入（Y）</w:t>
            </w:r>
          </w:p>
        </w:tc>
        <w:tc>
          <w:tcPr>
            <w:tcW w:w="851" w:type="dxa"/>
            <w:tcBorders>
              <w:tl2br w:val="nil"/>
              <w:tr2bl w:val="nil"/>
            </w:tcBorders>
            <w:vAlign w:val="center"/>
          </w:tcPr>
          <w:p w14:paraId="566416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万元</w:t>
            </w:r>
          </w:p>
        </w:tc>
        <w:tc>
          <w:tcPr>
            <w:tcW w:w="1842" w:type="dxa"/>
            <w:tcBorders>
              <w:tl2br w:val="nil"/>
              <w:tr2bl w:val="nil"/>
            </w:tcBorders>
            <w:vAlign w:val="center"/>
          </w:tcPr>
          <w:p w14:paraId="7F5605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2000≤Y＜10000</w:t>
            </w:r>
          </w:p>
        </w:tc>
        <w:tc>
          <w:tcPr>
            <w:tcW w:w="1701" w:type="dxa"/>
            <w:tcBorders>
              <w:tl2br w:val="nil"/>
              <w:tr2bl w:val="nil"/>
            </w:tcBorders>
            <w:vAlign w:val="center"/>
          </w:tcPr>
          <w:p w14:paraId="27B510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100≤Y＜2000</w:t>
            </w:r>
          </w:p>
        </w:tc>
        <w:tc>
          <w:tcPr>
            <w:tcW w:w="1134" w:type="dxa"/>
            <w:tcBorders>
              <w:tl2br w:val="nil"/>
              <w:tr2bl w:val="nil"/>
            </w:tcBorders>
            <w:vAlign w:val="center"/>
          </w:tcPr>
          <w:p w14:paraId="4EB609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Y＜100</w:t>
            </w:r>
          </w:p>
        </w:tc>
      </w:tr>
      <w:tr w14:paraId="2FEF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restart"/>
            <w:tcBorders>
              <w:tl2br w:val="nil"/>
              <w:tr2bl w:val="nil"/>
            </w:tcBorders>
            <w:vAlign w:val="center"/>
          </w:tcPr>
          <w:p w14:paraId="600E3F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r>
              <w:rPr>
                <w:rFonts w:hint="eastAsia" w:ascii="宋体" w:hAnsi="宋体" w:eastAsia="宋体" w:cs="宋体"/>
                <w:b/>
                <w:bCs/>
                <w:kern w:val="0"/>
                <w:szCs w:val="18"/>
              </w:rPr>
              <w:t>餐饮业</w:t>
            </w:r>
          </w:p>
        </w:tc>
        <w:tc>
          <w:tcPr>
            <w:tcW w:w="1984" w:type="dxa"/>
            <w:tcBorders>
              <w:tl2br w:val="nil"/>
              <w:tr2bl w:val="nil"/>
            </w:tcBorders>
            <w:vAlign w:val="center"/>
          </w:tcPr>
          <w:p w14:paraId="0055D4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从业人员（X）</w:t>
            </w:r>
          </w:p>
        </w:tc>
        <w:tc>
          <w:tcPr>
            <w:tcW w:w="851" w:type="dxa"/>
            <w:tcBorders>
              <w:tl2br w:val="nil"/>
              <w:tr2bl w:val="nil"/>
            </w:tcBorders>
            <w:vAlign w:val="center"/>
          </w:tcPr>
          <w:p w14:paraId="2329AA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人</w:t>
            </w:r>
          </w:p>
        </w:tc>
        <w:tc>
          <w:tcPr>
            <w:tcW w:w="1842" w:type="dxa"/>
            <w:tcBorders>
              <w:tl2br w:val="nil"/>
              <w:tr2bl w:val="nil"/>
            </w:tcBorders>
            <w:vAlign w:val="center"/>
          </w:tcPr>
          <w:p w14:paraId="5A70EE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100≤X＜300</w:t>
            </w:r>
          </w:p>
        </w:tc>
        <w:tc>
          <w:tcPr>
            <w:tcW w:w="1701" w:type="dxa"/>
            <w:tcBorders>
              <w:tl2br w:val="nil"/>
              <w:tr2bl w:val="nil"/>
            </w:tcBorders>
            <w:vAlign w:val="center"/>
          </w:tcPr>
          <w:p w14:paraId="1B621D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10≤X＜100</w:t>
            </w:r>
          </w:p>
        </w:tc>
        <w:tc>
          <w:tcPr>
            <w:tcW w:w="1134" w:type="dxa"/>
            <w:tcBorders>
              <w:tl2br w:val="nil"/>
              <w:tr2bl w:val="nil"/>
            </w:tcBorders>
            <w:vAlign w:val="center"/>
          </w:tcPr>
          <w:p w14:paraId="0AC2B1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X＜10</w:t>
            </w:r>
          </w:p>
        </w:tc>
      </w:tr>
      <w:tr w14:paraId="0D29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continue"/>
            <w:tcBorders>
              <w:tl2br w:val="nil"/>
              <w:tr2bl w:val="nil"/>
            </w:tcBorders>
            <w:vAlign w:val="center"/>
          </w:tcPr>
          <w:p w14:paraId="420679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p>
        </w:tc>
        <w:tc>
          <w:tcPr>
            <w:tcW w:w="1984" w:type="dxa"/>
            <w:tcBorders>
              <w:tl2br w:val="nil"/>
              <w:tr2bl w:val="nil"/>
            </w:tcBorders>
            <w:vAlign w:val="center"/>
          </w:tcPr>
          <w:p w14:paraId="30FD4C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营业收入（Y）</w:t>
            </w:r>
          </w:p>
        </w:tc>
        <w:tc>
          <w:tcPr>
            <w:tcW w:w="851" w:type="dxa"/>
            <w:tcBorders>
              <w:tl2br w:val="nil"/>
              <w:tr2bl w:val="nil"/>
            </w:tcBorders>
            <w:vAlign w:val="center"/>
          </w:tcPr>
          <w:p w14:paraId="7C7A2C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万元</w:t>
            </w:r>
          </w:p>
        </w:tc>
        <w:tc>
          <w:tcPr>
            <w:tcW w:w="1842" w:type="dxa"/>
            <w:tcBorders>
              <w:tl2br w:val="nil"/>
              <w:tr2bl w:val="nil"/>
            </w:tcBorders>
            <w:vAlign w:val="center"/>
          </w:tcPr>
          <w:p w14:paraId="3A4140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2000≤Y＜10000</w:t>
            </w:r>
          </w:p>
        </w:tc>
        <w:tc>
          <w:tcPr>
            <w:tcW w:w="1701" w:type="dxa"/>
            <w:tcBorders>
              <w:tl2br w:val="nil"/>
              <w:tr2bl w:val="nil"/>
            </w:tcBorders>
            <w:vAlign w:val="center"/>
          </w:tcPr>
          <w:p w14:paraId="1941D2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100≤Y＜2000</w:t>
            </w:r>
          </w:p>
        </w:tc>
        <w:tc>
          <w:tcPr>
            <w:tcW w:w="1134" w:type="dxa"/>
            <w:tcBorders>
              <w:tl2br w:val="nil"/>
              <w:tr2bl w:val="nil"/>
            </w:tcBorders>
            <w:vAlign w:val="center"/>
          </w:tcPr>
          <w:p w14:paraId="1CE7EF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Y＜100</w:t>
            </w:r>
          </w:p>
        </w:tc>
      </w:tr>
      <w:tr w14:paraId="11D9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restart"/>
            <w:tcBorders>
              <w:tl2br w:val="nil"/>
              <w:tr2bl w:val="nil"/>
            </w:tcBorders>
            <w:vAlign w:val="center"/>
          </w:tcPr>
          <w:p w14:paraId="54638D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r>
              <w:rPr>
                <w:rFonts w:hint="eastAsia" w:ascii="宋体" w:hAnsi="宋体" w:eastAsia="宋体" w:cs="宋体"/>
                <w:b/>
                <w:bCs/>
                <w:kern w:val="0"/>
                <w:szCs w:val="18"/>
              </w:rPr>
              <w:t>信息传输业</w:t>
            </w:r>
          </w:p>
        </w:tc>
        <w:tc>
          <w:tcPr>
            <w:tcW w:w="1984" w:type="dxa"/>
            <w:tcBorders>
              <w:tl2br w:val="nil"/>
              <w:tr2bl w:val="nil"/>
            </w:tcBorders>
            <w:vAlign w:val="center"/>
          </w:tcPr>
          <w:p w14:paraId="0B4DB8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从业人员（X）</w:t>
            </w:r>
          </w:p>
        </w:tc>
        <w:tc>
          <w:tcPr>
            <w:tcW w:w="851" w:type="dxa"/>
            <w:tcBorders>
              <w:tl2br w:val="nil"/>
              <w:tr2bl w:val="nil"/>
            </w:tcBorders>
            <w:vAlign w:val="center"/>
          </w:tcPr>
          <w:p w14:paraId="551B97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人</w:t>
            </w:r>
          </w:p>
        </w:tc>
        <w:tc>
          <w:tcPr>
            <w:tcW w:w="1842" w:type="dxa"/>
            <w:tcBorders>
              <w:tl2br w:val="nil"/>
              <w:tr2bl w:val="nil"/>
            </w:tcBorders>
            <w:vAlign w:val="center"/>
          </w:tcPr>
          <w:p w14:paraId="7FC0C3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100≤X＜2000</w:t>
            </w:r>
          </w:p>
        </w:tc>
        <w:tc>
          <w:tcPr>
            <w:tcW w:w="1701" w:type="dxa"/>
            <w:tcBorders>
              <w:tl2br w:val="nil"/>
              <w:tr2bl w:val="nil"/>
            </w:tcBorders>
            <w:vAlign w:val="center"/>
          </w:tcPr>
          <w:p w14:paraId="37501D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10≤X＜100</w:t>
            </w:r>
          </w:p>
        </w:tc>
        <w:tc>
          <w:tcPr>
            <w:tcW w:w="1134" w:type="dxa"/>
            <w:tcBorders>
              <w:tl2br w:val="nil"/>
              <w:tr2bl w:val="nil"/>
            </w:tcBorders>
            <w:vAlign w:val="center"/>
          </w:tcPr>
          <w:p w14:paraId="33281E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X＜10</w:t>
            </w:r>
          </w:p>
        </w:tc>
      </w:tr>
      <w:tr w14:paraId="7D8F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continue"/>
            <w:tcBorders>
              <w:tl2br w:val="nil"/>
              <w:tr2bl w:val="nil"/>
            </w:tcBorders>
            <w:vAlign w:val="center"/>
          </w:tcPr>
          <w:p w14:paraId="14083A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p>
        </w:tc>
        <w:tc>
          <w:tcPr>
            <w:tcW w:w="1984" w:type="dxa"/>
            <w:tcBorders>
              <w:tl2br w:val="nil"/>
              <w:tr2bl w:val="nil"/>
            </w:tcBorders>
            <w:vAlign w:val="center"/>
          </w:tcPr>
          <w:p w14:paraId="61EBA0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营业收入（Y）</w:t>
            </w:r>
          </w:p>
        </w:tc>
        <w:tc>
          <w:tcPr>
            <w:tcW w:w="851" w:type="dxa"/>
            <w:tcBorders>
              <w:tl2br w:val="nil"/>
              <w:tr2bl w:val="nil"/>
            </w:tcBorders>
            <w:vAlign w:val="center"/>
          </w:tcPr>
          <w:p w14:paraId="2BF1DE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万元</w:t>
            </w:r>
          </w:p>
        </w:tc>
        <w:tc>
          <w:tcPr>
            <w:tcW w:w="1842" w:type="dxa"/>
            <w:tcBorders>
              <w:tl2br w:val="nil"/>
              <w:tr2bl w:val="nil"/>
            </w:tcBorders>
            <w:vAlign w:val="center"/>
          </w:tcPr>
          <w:p w14:paraId="156D6A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1000≤Y＜100000</w:t>
            </w:r>
          </w:p>
        </w:tc>
        <w:tc>
          <w:tcPr>
            <w:tcW w:w="1701" w:type="dxa"/>
            <w:tcBorders>
              <w:tl2br w:val="nil"/>
              <w:tr2bl w:val="nil"/>
            </w:tcBorders>
            <w:vAlign w:val="center"/>
          </w:tcPr>
          <w:p w14:paraId="78FA44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100≤Y＜1000</w:t>
            </w:r>
          </w:p>
        </w:tc>
        <w:tc>
          <w:tcPr>
            <w:tcW w:w="1134" w:type="dxa"/>
            <w:tcBorders>
              <w:tl2br w:val="nil"/>
              <w:tr2bl w:val="nil"/>
            </w:tcBorders>
            <w:vAlign w:val="center"/>
          </w:tcPr>
          <w:p w14:paraId="1CD166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Y＜100</w:t>
            </w:r>
          </w:p>
        </w:tc>
      </w:tr>
      <w:tr w14:paraId="0EC1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restart"/>
            <w:tcBorders>
              <w:tl2br w:val="nil"/>
              <w:tr2bl w:val="nil"/>
            </w:tcBorders>
            <w:vAlign w:val="center"/>
          </w:tcPr>
          <w:p w14:paraId="2FFCB6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r>
              <w:rPr>
                <w:rFonts w:hint="eastAsia" w:ascii="宋体" w:hAnsi="宋体" w:eastAsia="宋体" w:cs="宋体"/>
                <w:b/>
                <w:bCs/>
                <w:kern w:val="0"/>
                <w:szCs w:val="18"/>
              </w:rPr>
              <w:t>软件和信息技术服务业</w:t>
            </w:r>
          </w:p>
        </w:tc>
        <w:tc>
          <w:tcPr>
            <w:tcW w:w="1984" w:type="dxa"/>
            <w:tcBorders>
              <w:tl2br w:val="nil"/>
              <w:tr2bl w:val="nil"/>
            </w:tcBorders>
            <w:vAlign w:val="center"/>
          </w:tcPr>
          <w:p w14:paraId="380E9C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从业人员（X）</w:t>
            </w:r>
          </w:p>
        </w:tc>
        <w:tc>
          <w:tcPr>
            <w:tcW w:w="851" w:type="dxa"/>
            <w:tcBorders>
              <w:tl2br w:val="nil"/>
              <w:tr2bl w:val="nil"/>
            </w:tcBorders>
            <w:vAlign w:val="center"/>
          </w:tcPr>
          <w:p w14:paraId="45CE3E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人</w:t>
            </w:r>
          </w:p>
        </w:tc>
        <w:tc>
          <w:tcPr>
            <w:tcW w:w="1842" w:type="dxa"/>
            <w:tcBorders>
              <w:tl2br w:val="nil"/>
              <w:tr2bl w:val="nil"/>
            </w:tcBorders>
            <w:vAlign w:val="center"/>
          </w:tcPr>
          <w:p w14:paraId="3BEE2E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100≤X＜300</w:t>
            </w:r>
          </w:p>
        </w:tc>
        <w:tc>
          <w:tcPr>
            <w:tcW w:w="1701" w:type="dxa"/>
            <w:tcBorders>
              <w:tl2br w:val="nil"/>
              <w:tr2bl w:val="nil"/>
            </w:tcBorders>
            <w:vAlign w:val="center"/>
          </w:tcPr>
          <w:p w14:paraId="19344E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10≤X＜100</w:t>
            </w:r>
          </w:p>
        </w:tc>
        <w:tc>
          <w:tcPr>
            <w:tcW w:w="1134" w:type="dxa"/>
            <w:tcBorders>
              <w:tl2br w:val="nil"/>
              <w:tr2bl w:val="nil"/>
            </w:tcBorders>
            <w:vAlign w:val="center"/>
          </w:tcPr>
          <w:p w14:paraId="32D6D3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X＜10</w:t>
            </w:r>
          </w:p>
        </w:tc>
      </w:tr>
      <w:tr w14:paraId="2CA9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continue"/>
            <w:tcBorders>
              <w:tl2br w:val="nil"/>
              <w:tr2bl w:val="nil"/>
            </w:tcBorders>
            <w:vAlign w:val="center"/>
          </w:tcPr>
          <w:p w14:paraId="7A8A14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p>
        </w:tc>
        <w:tc>
          <w:tcPr>
            <w:tcW w:w="1984" w:type="dxa"/>
            <w:tcBorders>
              <w:tl2br w:val="nil"/>
              <w:tr2bl w:val="nil"/>
            </w:tcBorders>
            <w:vAlign w:val="center"/>
          </w:tcPr>
          <w:p w14:paraId="76928A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营业收入（Y）</w:t>
            </w:r>
          </w:p>
        </w:tc>
        <w:tc>
          <w:tcPr>
            <w:tcW w:w="851" w:type="dxa"/>
            <w:tcBorders>
              <w:tl2br w:val="nil"/>
              <w:tr2bl w:val="nil"/>
            </w:tcBorders>
            <w:vAlign w:val="center"/>
          </w:tcPr>
          <w:p w14:paraId="35506F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万元</w:t>
            </w:r>
          </w:p>
        </w:tc>
        <w:tc>
          <w:tcPr>
            <w:tcW w:w="1842" w:type="dxa"/>
            <w:tcBorders>
              <w:tl2br w:val="nil"/>
              <w:tr2bl w:val="nil"/>
            </w:tcBorders>
            <w:vAlign w:val="center"/>
          </w:tcPr>
          <w:p w14:paraId="5E751F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1000≤Y＜10000</w:t>
            </w:r>
          </w:p>
        </w:tc>
        <w:tc>
          <w:tcPr>
            <w:tcW w:w="1701" w:type="dxa"/>
            <w:tcBorders>
              <w:tl2br w:val="nil"/>
              <w:tr2bl w:val="nil"/>
            </w:tcBorders>
            <w:vAlign w:val="center"/>
          </w:tcPr>
          <w:p w14:paraId="6E80B3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50≤Y＜1000</w:t>
            </w:r>
          </w:p>
        </w:tc>
        <w:tc>
          <w:tcPr>
            <w:tcW w:w="1134" w:type="dxa"/>
            <w:tcBorders>
              <w:tl2br w:val="nil"/>
              <w:tr2bl w:val="nil"/>
            </w:tcBorders>
            <w:vAlign w:val="center"/>
          </w:tcPr>
          <w:p w14:paraId="144E93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Y＜50</w:t>
            </w:r>
          </w:p>
        </w:tc>
      </w:tr>
      <w:tr w14:paraId="594C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restart"/>
            <w:tcBorders>
              <w:tl2br w:val="nil"/>
              <w:tr2bl w:val="nil"/>
            </w:tcBorders>
            <w:vAlign w:val="center"/>
          </w:tcPr>
          <w:p w14:paraId="12D5A4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r>
              <w:rPr>
                <w:rFonts w:hint="eastAsia" w:ascii="宋体" w:hAnsi="宋体" w:eastAsia="宋体" w:cs="宋体"/>
                <w:b/>
                <w:bCs/>
                <w:kern w:val="0"/>
                <w:szCs w:val="18"/>
              </w:rPr>
              <w:t>房地产开发经营</w:t>
            </w:r>
          </w:p>
        </w:tc>
        <w:tc>
          <w:tcPr>
            <w:tcW w:w="1984" w:type="dxa"/>
            <w:tcBorders>
              <w:tl2br w:val="nil"/>
              <w:tr2bl w:val="nil"/>
            </w:tcBorders>
            <w:vAlign w:val="center"/>
          </w:tcPr>
          <w:p w14:paraId="73E18F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营业收入（Y）</w:t>
            </w:r>
          </w:p>
        </w:tc>
        <w:tc>
          <w:tcPr>
            <w:tcW w:w="851" w:type="dxa"/>
            <w:tcBorders>
              <w:tl2br w:val="nil"/>
              <w:tr2bl w:val="nil"/>
            </w:tcBorders>
            <w:vAlign w:val="center"/>
          </w:tcPr>
          <w:p w14:paraId="226234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万元</w:t>
            </w:r>
          </w:p>
        </w:tc>
        <w:tc>
          <w:tcPr>
            <w:tcW w:w="1842" w:type="dxa"/>
            <w:tcBorders>
              <w:tl2br w:val="nil"/>
              <w:tr2bl w:val="nil"/>
            </w:tcBorders>
            <w:vAlign w:val="center"/>
          </w:tcPr>
          <w:p w14:paraId="6511F1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1000≤Y＜200000</w:t>
            </w:r>
          </w:p>
        </w:tc>
        <w:tc>
          <w:tcPr>
            <w:tcW w:w="1701" w:type="dxa"/>
            <w:tcBorders>
              <w:tl2br w:val="nil"/>
              <w:tr2bl w:val="nil"/>
            </w:tcBorders>
            <w:vAlign w:val="center"/>
          </w:tcPr>
          <w:p w14:paraId="17AEBF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100≤X＜1000</w:t>
            </w:r>
          </w:p>
        </w:tc>
        <w:tc>
          <w:tcPr>
            <w:tcW w:w="1134" w:type="dxa"/>
            <w:tcBorders>
              <w:tl2br w:val="nil"/>
              <w:tr2bl w:val="nil"/>
            </w:tcBorders>
            <w:vAlign w:val="center"/>
          </w:tcPr>
          <w:p w14:paraId="5A2490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X＜100</w:t>
            </w:r>
          </w:p>
        </w:tc>
      </w:tr>
      <w:tr w14:paraId="5859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continue"/>
            <w:tcBorders>
              <w:tl2br w:val="nil"/>
              <w:tr2bl w:val="nil"/>
            </w:tcBorders>
            <w:vAlign w:val="center"/>
          </w:tcPr>
          <w:p w14:paraId="70BC02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p>
        </w:tc>
        <w:tc>
          <w:tcPr>
            <w:tcW w:w="1984" w:type="dxa"/>
            <w:tcBorders>
              <w:tl2br w:val="nil"/>
              <w:tr2bl w:val="nil"/>
            </w:tcBorders>
            <w:vAlign w:val="center"/>
          </w:tcPr>
          <w:p w14:paraId="1BE96D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资产总额（Z）</w:t>
            </w:r>
          </w:p>
        </w:tc>
        <w:tc>
          <w:tcPr>
            <w:tcW w:w="851" w:type="dxa"/>
            <w:tcBorders>
              <w:tl2br w:val="nil"/>
              <w:tr2bl w:val="nil"/>
            </w:tcBorders>
            <w:vAlign w:val="center"/>
          </w:tcPr>
          <w:p w14:paraId="455212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万元</w:t>
            </w:r>
          </w:p>
        </w:tc>
        <w:tc>
          <w:tcPr>
            <w:tcW w:w="1842" w:type="dxa"/>
            <w:tcBorders>
              <w:tl2br w:val="nil"/>
              <w:tr2bl w:val="nil"/>
            </w:tcBorders>
            <w:vAlign w:val="center"/>
          </w:tcPr>
          <w:p w14:paraId="683D07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5000≤Z＜10000</w:t>
            </w:r>
          </w:p>
        </w:tc>
        <w:tc>
          <w:tcPr>
            <w:tcW w:w="1701" w:type="dxa"/>
            <w:tcBorders>
              <w:tl2br w:val="nil"/>
              <w:tr2bl w:val="nil"/>
            </w:tcBorders>
            <w:vAlign w:val="center"/>
          </w:tcPr>
          <w:p w14:paraId="190D64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2000≤Y＜5000</w:t>
            </w:r>
          </w:p>
        </w:tc>
        <w:tc>
          <w:tcPr>
            <w:tcW w:w="1134" w:type="dxa"/>
            <w:tcBorders>
              <w:tl2br w:val="nil"/>
              <w:tr2bl w:val="nil"/>
            </w:tcBorders>
            <w:vAlign w:val="center"/>
          </w:tcPr>
          <w:p w14:paraId="27E23F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Y＜2000</w:t>
            </w:r>
          </w:p>
        </w:tc>
      </w:tr>
      <w:tr w14:paraId="24B1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restart"/>
            <w:tcBorders>
              <w:tl2br w:val="nil"/>
              <w:tr2bl w:val="nil"/>
            </w:tcBorders>
            <w:vAlign w:val="center"/>
          </w:tcPr>
          <w:p w14:paraId="0695E2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r>
              <w:rPr>
                <w:rFonts w:hint="eastAsia" w:ascii="宋体" w:hAnsi="宋体" w:eastAsia="宋体" w:cs="宋体"/>
                <w:b/>
                <w:bCs/>
                <w:kern w:val="0"/>
                <w:szCs w:val="18"/>
              </w:rPr>
              <w:t>物业管理</w:t>
            </w:r>
          </w:p>
        </w:tc>
        <w:tc>
          <w:tcPr>
            <w:tcW w:w="1984" w:type="dxa"/>
            <w:tcBorders>
              <w:tl2br w:val="nil"/>
              <w:tr2bl w:val="nil"/>
            </w:tcBorders>
            <w:vAlign w:val="center"/>
          </w:tcPr>
          <w:p w14:paraId="5C0591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从业人员（X）</w:t>
            </w:r>
          </w:p>
        </w:tc>
        <w:tc>
          <w:tcPr>
            <w:tcW w:w="851" w:type="dxa"/>
            <w:tcBorders>
              <w:tl2br w:val="nil"/>
              <w:tr2bl w:val="nil"/>
            </w:tcBorders>
            <w:vAlign w:val="center"/>
          </w:tcPr>
          <w:p w14:paraId="484348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人</w:t>
            </w:r>
          </w:p>
        </w:tc>
        <w:tc>
          <w:tcPr>
            <w:tcW w:w="1842" w:type="dxa"/>
            <w:tcBorders>
              <w:tl2br w:val="nil"/>
              <w:tr2bl w:val="nil"/>
            </w:tcBorders>
            <w:vAlign w:val="center"/>
          </w:tcPr>
          <w:p w14:paraId="2920BE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300≤X＜1000</w:t>
            </w:r>
          </w:p>
        </w:tc>
        <w:tc>
          <w:tcPr>
            <w:tcW w:w="1701" w:type="dxa"/>
            <w:tcBorders>
              <w:tl2br w:val="nil"/>
              <w:tr2bl w:val="nil"/>
            </w:tcBorders>
            <w:vAlign w:val="center"/>
          </w:tcPr>
          <w:p w14:paraId="63E6A7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100≤X＜300</w:t>
            </w:r>
          </w:p>
        </w:tc>
        <w:tc>
          <w:tcPr>
            <w:tcW w:w="1134" w:type="dxa"/>
            <w:tcBorders>
              <w:tl2br w:val="nil"/>
              <w:tr2bl w:val="nil"/>
            </w:tcBorders>
            <w:vAlign w:val="center"/>
          </w:tcPr>
          <w:p w14:paraId="1DA5FA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X＜100</w:t>
            </w:r>
          </w:p>
        </w:tc>
      </w:tr>
      <w:tr w14:paraId="468C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continue"/>
            <w:tcBorders>
              <w:tl2br w:val="nil"/>
              <w:tr2bl w:val="nil"/>
            </w:tcBorders>
            <w:vAlign w:val="center"/>
          </w:tcPr>
          <w:p w14:paraId="668233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p>
        </w:tc>
        <w:tc>
          <w:tcPr>
            <w:tcW w:w="1984" w:type="dxa"/>
            <w:tcBorders>
              <w:tl2br w:val="nil"/>
              <w:tr2bl w:val="nil"/>
            </w:tcBorders>
            <w:vAlign w:val="center"/>
          </w:tcPr>
          <w:p w14:paraId="61683B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营业收入（Y）</w:t>
            </w:r>
          </w:p>
        </w:tc>
        <w:tc>
          <w:tcPr>
            <w:tcW w:w="851" w:type="dxa"/>
            <w:tcBorders>
              <w:tl2br w:val="nil"/>
              <w:tr2bl w:val="nil"/>
            </w:tcBorders>
            <w:vAlign w:val="center"/>
          </w:tcPr>
          <w:p w14:paraId="269A6F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万元</w:t>
            </w:r>
          </w:p>
        </w:tc>
        <w:tc>
          <w:tcPr>
            <w:tcW w:w="1842" w:type="dxa"/>
            <w:tcBorders>
              <w:tl2br w:val="nil"/>
              <w:tr2bl w:val="nil"/>
            </w:tcBorders>
            <w:vAlign w:val="center"/>
          </w:tcPr>
          <w:p w14:paraId="388971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1000≤Y＜5000</w:t>
            </w:r>
          </w:p>
        </w:tc>
        <w:tc>
          <w:tcPr>
            <w:tcW w:w="1701" w:type="dxa"/>
            <w:tcBorders>
              <w:tl2br w:val="nil"/>
              <w:tr2bl w:val="nil"/>
            </w:tcBorders>
            <w:vAlign w:val="center"/>
          </w:tcPr>
          <w:p w14:paraId="719627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500≤Y＜1000</w:t>
            </w:r>
          </w:p>
        </w:tc>
        <w:tc>
          <w:tcPr>
            <w:tcW w:w="1134" w:type="dxa"/>
            <w:tcBorders>
              <w:tl2br w:val="nil"/>
              <w:tr2bl w:val="nil"/>
            </w:tcBorders>
            <w:vAlign w:val="center"/>
          </w:tcPr>
          <w:p w14:paraId="7B74E3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Y＜500</w:t>
            </w:r>
          </w:p>
        </w:tc>
      </w:tr>
      <w:tr w14:paraId="2DCE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restart"/>
            <w:tcBorders>
              <w:tl2br w:val="nil"/>
              <w:tr2bl w:val="nil"/>
            </w:tcBorders>
            <w:vAlign w:val="center"/>
          </w:tcPr>
          <w:p w14:paraId="47EA1F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r>
              <w:rPr>
                <w:rFonts w:hint="eastAsia" w:ascii="宋体" w:hAnsi="宋体" w:eastAsia="宋体" w:cs="宋体"/>
                <w:b/>
                <w:bCs/>
                <w:kern w:val="0"/>
                <w:szCs w:val="18"/>
              </w:rPr>
              <w:t>租赁和商务服务业</w:t>
            </w:r>
          </w:p>
        </w:tc>
        <w:tc>
          <w:tcPr>
            <w:tcW w:w="1984" w:type="dxa"/>
            <w:tcBorders>
              <w:tl2br w:val="nil"/>
              <w:tr2bl w:val="nil"/>
            </w:tcBorders>
            <w:vAlign w:val="center"/>
          </w:tcPr>
          <w:p w14:paraId="26FE0E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从业人员（X）</w:t>
            </w:r>
          </w:p>
        </w:tc>
        <w:tc>
          <w:tcPr>
            <w:tcW w:w="851" w:type="dxa"/>
            <w:tcBorders>
              <w:tl2br w:val="nil"/>
              <w:tr2bl w:val="nil"/>
            </w:tcBorders>
            <w:vAlign w:val="center"/>
          </w:tcPr>
          <w:p w14:paraId="4B6E18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人</w:t>
            </w:r>
          </w:p>
        </w:tc>
        <w:tc>
          <w:tcPr>
            <w:tcW w:w="1842" w:type="dxa"/>
            <w:tcBorders>
              <w:tl2br w:val="nil"/>
              <w:tr2bl w:val="nil"/>
            </w:tcBorders>
            <w:vAlign w:val="center"/>
          </w:tcPr>
          <w:p w14:paraId="58106B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100≤X＜300</w:t>
            </w:r>
          </w:p>
        </w:tc>
        <w:tc>
          <w:tcPr>
            <w:tcW w:w="1701" w:type="dxa"/>
            <w:tcBorders>
              <w:tl2br w:val="nil"/>
              <w:tr2bl w:val="nil"/>
            </w:tcBorders>
            <w:vAlign w:val="center"/>
          </w:tcPr>
          <w:p w14:paraId="1F7D81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10≤X＜100</w:t>
            </w:r>
          </w:p>
        </w:tc>
        <w:tc>
          <w:tcPr>
            <w:tcW w:w="1134" w:type="dxa"/>
            <w:tcBorders>
              <w:tl2br w:val="nil"/>
              <w:tr2bl w:val="nil"/>
            </w:tcBorders>
            <w:vAlign w:val="center"/>
          </w:tcPr>
          <w:p w14:paraId="199627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X＜10</w:t>
            </w:r>
          </w:p>
        </w:tc>
      </w:tr>
      <w:tr w14:paraId="2701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Merge w:val="continue"/>
            <w:tcBorders>
              <w:tl2br w:val="nil"/>
              <w:tr2bl w:val="nil"/>
            </w:tcBorders>
            <w:vAlign w:val="center"/>
          </w:tcPr>
          <w:p w14:paraId="4AD54D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p>
        </w:tc>
        <w:tc>
          <w:tcPr>
            <w:tcW w:w="1984" w:type="dxa"/>
            <w:tcBorders>
              <w:tl2br w:val="nil"/>
              <w:tr2bl w:val="nil"/>
            </w:tcBorders>
            <w:vAlign w:val="center"/>
          </w:tcPr>
          <w:p w14:paraId="25AAF3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资产总额（Z）</w:t>
            </w:r>
          </w:p>
        </w:tc>
        <w:tc>
          <w:tcPr>
            <w:tcW w:w="851" w:type="dxa"/>
            <w:tcBorders>
              <w:tl2br w:val="nil"/>
              <w:tr2bl w:val="nil"/>
            </w:tcBorders>
            <w:vAlign w:val="center"/>
          </w:tcPr>
          <w:p w14:paraId="56FD2D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万元</w:t>
            </w:r>
          </w:p>
        </w:tc>
        <w:tc>
          <w:tcPr>
            <w:tcW w:w="1842" w:type="dxa"/>
            <w:tcBorders>
              <w:tl2br w:val="nil"/>
              <w:tr2bl w:val="nil"/>
            </w:tcBorders>
            <w:vAlign w:val="center"/>
          </w:tcPr>
          <w:p w14:paraId="0282AF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8000≤Z＜120000</w:t>
            </w:r>
          </w:p>
        </w:tc>
        <w:tc>
          <w:tcPr>
            <w:tcW w:w="1701" w:type="dxa"/>
            <w:tcBorders>
              <w:tl2br w:val="nil"/>
              <w:tr2bl w:val="nil"/>
            </w:tcBorders>
            <w:vAlign w:val="center"/>
          </w:tcPr>
          <w:p w14:paraId="6FBAEF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100≤Z＜8000</w:t>
            </w:r>
          </w:p>
        </w:tc>
        <w:tc>
          <w:tcPr>
            <w:tcW w:w="1134" w:type="dxa"/>
            <w:tcBorders>
              <w:tl2br w:val="nil"/>
              <w:tr2bl w:val="nil"/>
            </w:tcBorders>
            <w:vAlign w:val="center"/>
          </w:tcPr>
          <w:p w14:paraId="13BA4D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Y＜100</w:t>
            </w:r>
          </w:p>
        </w:tc>
      </w:tr>
      <w:tr w14:paraId="368E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tcBorders>
              <w:tl2br w:val="nil"/>
              <w:tr2bl w:val="nil"/>
            </w:tcBorders>
            <w:vAlign w:val="center"/>
          </w:tcPr>
          <w:p w14:paraId="02A05C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Cs w:val="18"/>
              </w:rPr>
            </w:pPr>
            <w:r>
              <w:rPr>
                <w:rFonts w:hint="eastAsia" w:ascii="宋体" w:hAnsi="宋体" w:eastAsia="宋体" w:cs="宋体"/>
                <w:b/>
                <w:bCs/>
                <w:kern w:val="0"/>
                <w:szCs w:val="18"/>
              </w:rPr>
              <w:t>其他未列明行业</w:t>
            </w:r>
          </w:p>
        </w:tc>
        <w:tc>
          <w:tcPr>
            <w:tcW w:w="1984" w:type="dxa"/>
            <w:tcBorders>
              <w:tl2br w:val="nil"/>
              <w:tr2bl w:val="nil"/>
            </w:tcBorders>
            <w:vAlign w:val="center"/>
          </w:tcPr>
          <w:p w14:paraId="525C52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从业人员（X）</w:t>
            </w:r>
          </w:p>
        </w:tc>
        <w:tc>
          <w:tcPr>
            <w:tcW w:w="851" w:type="dxa"/>
            <w:tcBorders>
              <w:tl2br w:val="nil"/>
              <w:tr2bl w:val="nil"/>
            </w:tcBorders>
            <w:vAlign w:val="center"/>
          </w:tcPr>
          <w:p w14:paraId="05C5F0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人</w:t>
            </w:r>
          </w:p>
        </w:tc>
        <w:tc>
          <w:tcPr>
            <w:tcW w:w="1842" w:type="dxa"/>
            <w:tcBorders>
              <w:tl2br w:val="nil"/>
              <w:tr2bl w:val="nil"/>
            </w:tcBorders>
            <w:vAlign w:val="center"/>
          </w:tcPr>
          <w:p w14:paraId="122713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100≤X＜300</w:t>
            </w:r>
          </w:p>
        </w:tc>
        <w:tc>
          <w:tcPr>
            <w:tcW w:w="1701" w:type="dxa"/>
            <w:tcBorders>
              <w:tl2br w:val="nil"/>
              <w:tr2bl w:val="nil"/>
            </w:tcBorders>
            <w:vAlign w:val="center"/>
          </w:tcPr>
          <w:p w14:paraId="04F0B4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10≤X＜100</w:t>
            </w:r>
          </w:p>
        </w:tc>
        <w:tc>
          <w:tcPr>
            <w:tcW w:w="1134" w:type="dxa"/>
            <w:tcBorders>
              <w:tl2br w:val="nil"/>
              <w:tr2bl w:val="nil"/>
            </w:tcBorders>
            <w:vAlign w:val="center"/>
          </w:tcPr>
          <w:p w14:paraId="75821D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Cs w:val="18"/>
              </w:rPr>
            </w:pPr>
            <w:r>
              <w:rPr>
                <w:rFonts w:hint="eastAsia" w:ascii="宋体" w:hAnsi="宋体" w:eastAsia="宋体" w:cs="宋体"/>
                <w:kern w:val="0"/>
                <w:szCs w:val="18"/>
              </w:rPr>
              <w:t>X＜10</w:t>
            </w:r>
          </w:p>
        </w:tc>
      </w:tr>
    </w:tbl>
    <w:p w14:paraId="3A630C74">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1"/>
        </w:rPr>
      </w:pPr>
      <w:r>
        <w:rPr>
          <w:rFonts w:hint="eastAsia" w:ascii="宋体" w:hAnsi="宋体" w:eastAsia="宋体" w:cs="宋体"/>
          <w:sz w:val="2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08D2152">
      <w:pPr>
        <w:pStyle w:val="21"/>
        <w:rPr>
          <w:rFonts w:hint="eastAsia" w:ascii="宋体" w:hAnsi="宋体" w:eastAsia="宋体" w:cs="宋体"/>
        </w:rPr>
      </w:pPr>
    </w:p>
    <w:p w14:paraId="7F9121A9">
      <w:pPr>
        <w:pStyle w:val="10"/>
        <w:rPr>
          <w:rFonts w:hint="eastAsia" w:ascii="宋体" w:hAnsi="宋体" w:eastAsia="宋体" w:cs="宋体"/>
        </w:rPr>
      </w:pPr>
    </w:p>
    <w:p w14:paraId="3330E5C3">
      <w:pPr>
        <w:pStyle w:val="2"/>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br w:type="page"/>
      </w:r>
      <w:bookmarkStart w:id="76" w:name="_Toc100252374"/>
      <w:r>
        <w:rPr>
          <w:rFonts w:hint="eastAsia" w:ascii="宋体" w:hAnsi="宋体" w:eastAsia="宋体" w:cs="宋体"/>
          <w:color w:val="000000" w:themeColor="text1"/>
          <w14:textFill>
            <w14:solidFill>
              <w14:schemeClr w14:val="tx1"/>
            </w14:solidFill>
          </w14:textFill>
        </w:rPr>
        <w:t>第四章</w:t>
      </w:r>
      <w:bookmarkStart w:id="77" w:name="_Hlk68601507"/>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评审程序和评定成交的标准</w:t>
      </w:r>
      <w:bookmarkEnd w:id="76"/>
      <w:bookmarkEnd w:id="77"/>
    </w:p>
    <w:p w14:paraId="59185AF7">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一、评审程序</w:t>
      </w:r>
    </w:p>
    <w:p w14:paraId="782035A2">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1.确认谈判文件</w:t>
      </w:r>
    </w:p>
    <w:p w14:paraId="149F3EE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由谈判小组确认谈判文件。</w:t>
      </w:r>
    </w:p>
    <w:p w14:paraId="58F53632">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2.资格审查</w:t>
      </w:r>
    </w:p>
    <w:p w14:paraId="159A09A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2.1响应文件开启后，谈判小组依法对供应商的资格证明文件进行审查。</w:t>
      </w:r>
    </w:p>
    <w:p w14:paraId="52231F2B">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w:t>
      </w:r>
      <w:r>
        <w:rPr>
          <w:rFonts w:hint="eastAsia" w:ascii="宋体" w:hAnsi="宋体" w:eastAsia="宋体" w:cs="宋体"/>
          <w:color w:val="000000" w:themeColor="text1"/>
          <w14:textFill>
            <w14:solidFill>
              <w14:schemeClr w14:val="tx1"/>
            </w14:solidFill>
          </w14:textFill>
        </w:rPr>
        <w:t>谈判小组</w:t>
      </w:r>
      <w:r>
        <w:rPr>
          <w:rFonts w:hint="eastAsia" w:ascii="宋体" w:hAnsi="宋体" w:eastAsia="宋体" w:cs="宋体"/>
          <w:color w:val="000000" w:themeColor="text1"/>
          <w:szCs w:val="21"/>
          <w14:textFill>
            <w14:solidFill>
              <w14:schemeClr w14:val="tx1"/>
            </w14:solidFill>
          </w14:textFill>
        </w:rPr>
        <w:t>在资格审查结束前，对供应商进行信用查询。</w:t>
      </w:r>
    </w:p>
    <w:p w14:paraId="65AA6E92">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（1）查询渠道：</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eastAsia="宋体" w:cs="宋体"/>
          <w:color w:val="000000" w:themeColor="text1"/>
          <w:szCs w:val="21"/>
          <w14:textFill>
            <w14:solidFill>
              <w14:schemeClr w14:val="tx1"/>
            </w14:solidFill>
          </w14:textFill>
        </w:rPr>
        <w:t>“信用中国”网站</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www.creditchina.gov.cn</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、中国政府采购网</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www.ccgp.gov.cn</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链接入口。</w:t>
      </w:r>
    </w:p>
    <w:p w14:paraId="4A591592">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（2）信用查询截止时点：资格审查结束前。</w:t>
      </w:r>
    </w:p>
    <w:p w14:paraId="0AAC5CDF">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（3）查询记录和证据留存方式：在查询网站中直接查询，截图另存为电子文档作为评审资料保存。</w:t>
      </w:r>
    </w:p>
    <w:p w14:paraId="5A39EA0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信用信息使用规则：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25755E8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2.2资格审查标准为本谈判文件中载明对供应商资格要求的条件。本项目资格审查采用合格制，凡符合谈判文件规定的供应商资格要求的供应商均通过资格审查。</w:t>
      </w:r>
    </w:p>
    <w:p w14:paraId="5A2375F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 供应商有下列情形之一的，资格审查不通过，其响应文件按无效处理：</w:t>
      </w:r>
    </w:p>
    <w:p w14:paraId="21901E2C">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（1）不具备谈判文件中规定的资格要求的；</w:t>
      </w:r>
    </w:p>
    <w:p w14:paraId="7F10C3B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（2）未按谈判文件规定的方式获取本谈判文件的供应商；</w:t>
      </w:r>
    </w:p>
    <w:p w14:paraId="6CE0B159">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（3）响应文件中的资格证明文件缺少任一项“供应商须知前附表”资格证明文件规定的“必须提供”的文件资料的；</w:t>
      </w:r>
    </w:p>
    <w:p w14:paraId="189EA1C6">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（4）响应文件中的资格证明文件出现任一项不符合“供应商须知前附表”资格证明文件规定的“必须提供”的文件资料要求或者无效的；</w:t>
      </w:r>
    </w:p>
    <w:p w14:paraId="15106D9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（5）同一合同项下的不同供应商，单位负责人为同一人或者存在直接控股、管理关系的；为本项目提供过整体设计、规范编制或者项目管理、监理、检测等服务的供应商，再参加该采购项目的其他采购活动的。</w:t>
      </w:r>
    </w:p>
    <w:p w14:paraId="642E33D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2.4通过资格审查的合格供应商不足3家（本章3.7条规定除外）的，不得进入符合性审查环节，应当重新开展采购活动。</w:t>
      </w:r>
    </w:p>
    <w:p w14:paraId="0336654C">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3.符合性审查</w:t>
      </w:r>
    </w:p>
    <w:p w14:paraId="6D040E4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3.1谈判小组应当对符合资格的供应商的响应文件进行竞标报价、商务、技术等实质性要求符合性审查，以确定其是否满足谈判文件的实质性要求。</w:t>
      </w:r>
    </w:p>
    <w:p w14:paraId="4D1BFBD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87DD1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pacing w:val="-6"/>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ascii="宋体" w:hAnsi="宋体" w:eastAsia="宋体" w:cs="宋体"/>
          <w:color w:val="000000" w:themeColor="text1"/>
          <w14:textFill>
            <w14:solidFill>
              <w14:schemeClr w14:val="tx1"/>
            </w14:solidFill>
          </w14:textFill>
        </w:rPr>
        <w:t>签章</w:t>
      </w:r>
      <w:r>
        <w:rPr>
          <w:rFonts w:hint="eastAsia" w:ascii="宋体" w:hAnsi="宋体" w:eastAsia="宋体" w:cs="宋体"/>
          <w:color w:val="000000" w:themeColor="text1"/>
          <w:spacing w:val="-6"/>
          <w:szCs w:val="21"/>
          <w14:textFill>
            <w14:solidFill>
              <w14:schemeClr w14:val="tx1"/>
            </w14:solidFill>
          </w14:textFill>
        </w:rPr>
        <w:t>。</w:t>
      </w:r>
    </w:p>
    <w:p w14:paraId="6ABBAB5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4911289A">
      <w:pPr>
        <w:keepNext w:val="0"/>
        <w:keepLines w:val="0"/>
        <w:pageBreakBefore w:val="0"/>
        <w:kinsoku/>
        <w:wordWrap/>
        <w:overflowPunct/>
        <w:topLinePunct w:val="0"/>
        <w:autoSpaceDE/>
        <w:autoSpaceDN/>
        <w:bidi w:val="0"/>
        <w:adjustRightInd/>
        <w:spacing w:line="400" w:lineRule="exact"/>
        <w:ind w:firstLine="396"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pacing w:val="-6"/>
          <w:szCs w:val="21"/>
          <w14:textFill>
            <w14:solidFill>
              <w14:schemeClr w14:val="tx1"/>
            </w14:solidFill>
          </w14:textFill>
        </w:rPr>
        <w:t>3.4</w:t>
      </w:r>
      <w:r>
        <w:rPr>
          <w:rFonts w:hint="eastAsia" w:ascii="宋体" w:hAnsi="宋体" w:eastAsia="宋体" w:cs="宋体"/>
          <w:color w:val="000000" w:themeColor="text1"/>
          <w:szCs w:val="21"/>
          <w14:textFill>
            <w14:solidFill>
              <w14:schemeClr w14:val="tx1"/>
            </w14:solidFill>
          </w14:textFill>
        </w:rPr>
        <w:t>首次响应文件报价出现前后不一致的，按照下列规定修正：</w:t>
      </w:r>
    </w:p>
    <w:p w14:paraId="051F376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（1）响应文件中报价表内容与响应文件中相应内容不一致的，以报价表为准；</w:t>
      </w:r>
    </w:p>
    <w:p w14:paraId="4F6A3E5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（2）大写金额和小写金额不一致的，以大写金额为准；</w:t>
      </w:r>
    </w:p>
    <w:p w14:paraId="114BEBA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（3）单价金额小数点或者百分比有明显错位的，以报价表的总价为准，并修改单价；</w:t>
      </w:r>
    </w:p>
    <w:p w14:paraId="22789AA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（4）总价金额与按单价汇总金额不一致的，以单价金额计算结果为准。</w:t>
      </w:r>
    </w:p>
    <w:p w14:paraId="23115EA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2136D46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3.5商务技术报价评审</w:t>
      </w:r>
    </w:p>
    <w:p w14:paraId="2B6C6D2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在评审时，如发现下列情形之一的，将被视为响应文件无效处理：</w:t>
      </w:r>
    </w:p>
    <w:p w14:paraId="7849BDA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（1）商务技术评审</w:t>
      </w:r>
    </w:p>
    <w:p w14:paraId="0F385DF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1）响应文件未按谈判文件要求签署、盖章的；</w:t>
      </w:r>
    </w:p>
    <w:p w14:paraId="34AC393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2）委托代理人未能出具有效身份证或者出具的身份证与授权委托书中的信息不符的；</w:t>
      </w:r>
    </w:p>
    <w:p w14:paraId="3FD84D5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3）提交的竞标保证金无效的或者未按照谈判文件的规定提交竞标保证金；</w:t>
      </w:r>
    </w:p>
    <w:p w14:paraId="23440BE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7EFD31C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5）商务要求允许负偏离的条款数超过“供应商须知前附表”规定项数的；</w:t>
      </w:r>
    </w:p>
    <w:p w14:paraId="7D7E55B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6）未对竞标有效期作出响应或者响应文件承诺的竞标有效期不满足谈判文件要求；</w:t>
      </w:r>
    </w:p>
    <w:p w14:paraId="3897991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7）响应文件的实质性内容未使用中文表述、使用计量单位不符合谈判文件要求的；</w:t>
      </w:r>
    </w:p>
    <w:p w14:paraId="2F416B5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8）响应文件中的文件资料因填写不齐全或者内容虚假或者出现其他情形而导致被谈判小组认定无效的；</w:t>
      </w:r>
    </w:p>
    <w:p w14:paraId="2D652AA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9）响应文件含有采购人不能接受的附加条件的；</w:t>
      </w:r>
    </w:p>
    <w:p w14:paraId="048BBF0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10）属于“供应商须知正文”第7.5条的情形的；</w:t>
      </w:r>
    </w:p>
    <w:p w14:paraId="0C3E9E5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11）技术评审允许负偏离的条款数超过“供应商须知前附表”规定项数的；</w:t>
      </w:r>
    </w:p>
    <w:p w14:paraId="7D6CA0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12）虚假竞标，或者出现其他情形而导致被谈判小组认定无效的；</w:t>
      </w:r>
    </w:p>
    <w:p w14:paraId="0E894F1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w:t>
      </w:r>
      <w:bookmarkStart w:id="78" w:name="_Hlk71704147"/>
      <w:r>
        <w:rPr>
          <w:rFonts w:hint="eastAsia" w:ascii="宋体" w:hAnsi="宋体" w:eastAsia="宋体" w:cs="宋体"/>
          <w:color w:val="000000" w:themeColor="text1"/>
          <w:szCs w:val="21"/>
          <w14:textFill>
            <w14:solidFill>
              <w14:schemeClr w14:val="tx1"/>
            </w14:solidFill>
          </w14:textFill>
        </w:rPr>
        <w:t>谈判文件未载明允许提供备选（替代）竞标方案或明确不允许提供备选（替代）竞标方案时，供应商提供了备选（替代）竞标方案的；</w:t>
      </w:r>
      <w:bookmarkEnd w:id="78"/>
    </w:p>
    <w:p w14:paraId="38C92B5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14）响应文件标注的项目名称或者项目编号与谈判文件标注的项目名称或者项目编号不一致的；</w:t>
      </w:r>
    </w:p>
    <w:p w14:paraId="454A674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15）谈判文件明确不允许分包，响应文件拟分包的；</w:t>
      </w:r>
    </w:p>
    <w:p w14:paraId="6553CAA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16）未响应谈判文件实质性要求；</w:t>
      </w:r>
    </w:p>
    <w:p w14:paraId="39E16E7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17）法律、法规和谈判文件规定的其他无效情形。</w:t>
      </w:r>
    </w:p>
    <w:p w14:paraId="5ABFEFE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（2）报价评审</w:t>
      </w:r>
    </w:p>
    <w:p w14:paraId="5A5BB84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1）响应文件未提供“供应商须知前附表”报价文件中规定的“竞标报价表”的；</w:t>
      </w:r>
    </w:p>
    <w:p w14:paraId="334F55B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2）未采用人民币报价或者未按照谈判文件标明的币种报价的；</w:t>
      </w:r>
    </w:p>
    <w:p w14:paraId="5E24D4B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5039781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5357C6E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27508B0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6）响应文件响应的标的数量及单位与竞争性谈判采购文件要求实质性不一致的。</w:t>
      </w:r>
    </w:p>
    <w:p w14:paraId="347F656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0C6F0D7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7A6A980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3.8除本章3.7条规定的情形外，通过符合性审查的合格供应商不足3家的，不得进入谈判环节，应当重新开展采购活动。</w:t>
      </w:r>
    </w:p>
    <w:p w14:paraId="43EA425C">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4.谈判程序</w:t>
      </w:r>
    </w:p>
    <w:p w14:paraId="6D508CD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4.1谈判小组</w:t>
      </w:r>
      <w:r>
        <w:rPr>
          <w:rFonts w:hint="eastAsia" w:ascii="宋体" w:hAnsi="宋体" w:eastAsia="宋体" w:cs="宋体"/>
          <w:color w:val="000000" w:themeColor="text1"/>
          <w:szCs w:val="21"/>
          <w14:textFill>
            <w14:solidFill>
              <w14:schemeClr w14:val="tx1"/>
            </w14:solidFill>
          </w14:textFill>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1517DEF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0DD3479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4.3对谈判文件作出的实质性变动是谈判文件的有效组成部分，由谈判小组及时以电子澄清函形式同时通知所有参加谈判的供应商。</w:t>
      </w:r>
    </w:p>
    <w:p w14:paraId="77ACEAC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4.4供应商必须按照谈判文件的变动情况和谈判小组的要求以回函的形式重新提交响应文件，并加盖电子签章。参加谈判的供应商未在规定时间内重新提交响应文件的，视同退出谈判，其响应文件按无效处理。</w:t>
      </w:r>
    </w:p>
    <w:p w14:paraId="3BF20D0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4.5谈判中，谈判的任何一方不得透露与谈判有关的其他供应商的技术资料、价格和其他信息。</w:t>
      </w:r>
    </w:p>
    <w:p w14:paraId="0CC42A9B">
      <w:pPr>
        <w:keepNext w:val="0"/>
        <w:keepLines w:val="0"/>
        <w:pageBreakBefore w:val="0"/>
        <w:widowControl/>
        <w:tabs>
          <w:tab w:val="left" w:pos="540"/>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4.6谈判小组应对谈判过程和重要谈判内容进行记录。</w:t>
      </w:r>
    </w:p>
    <w:p w14:paraId="3205C7CD">
      <w:pPr>
        <w:keepNext w:val="0"/>
        <w:keepLines w:val="0"/>
        <w:pageBreakBefore w:val="0"/>
        <w:tabs>
          <w:tab w:val="left" w:pos="2835"/>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4.7除本章第3.7条外，对谈判过程提交的响应文件进行有效性、完整性和响应程度审查，通过审查的合格供应商不足3家的，采购人或者采购代理机构应当重新开展采购活动。</w:t>
      </w:r>
    </w:p>
    <w:p w14:paraId="0D391A64">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5.最后报价</w:t>
      </w:r>
    </w:p>
    <w:p w14:paraId="7DAC1C3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5.1谈判文件能够详细列明采购标的的技术、服务要求的，谈判结束后，谈判小组应当要求所有继续参加谈判的供应商在规定时间内在</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eastAsia="宋体" w:cs="宋体"/>
          <w:color w:val="000000" w:themeColor="text1"/>
          <w:szCs w:val="21"/>
          <w14:textFill>
            <w14:solidFill>
              <w14:schemeClr w14:val="tx1"/>
            </w14:solidFill>
          </w14:textFill>
        </w:rPr>
        <w:t>开标大厅提交最后报价，除本章第3.7条外，提交最后报价的供应商不得少于3家，否则应当重新采购。</w:t>
      </w:r>
    </w:p>
    <w:p w14:paraId="233E4F0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eastAsia="宋体" w:cs="宋体"/>
          <w:color w:val="000000" w:themeColor="text1"/>
          <w:szCs w:val="21"/>
          <w14:textFill>
            <w14:solidFill>
              <w14:schemeClr w14:val="tx1"/>
            </w14:solidFill>
          </w14:textFill>
        </w:rPr>
        <w:t>开标大厅提交最后报价。</w:t>
      </w:r>
    </w:p>
    <w:p w14:paraId="1237F51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5.3最后报价是供应商响应文件的有效组成部分。</w:t>
      </w:r>
    </w:p>
    <w:p w14:paraId="34FDA74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5.4已经提交响应文件的供应商，在提交最后报价之前，可以根据谈判情况退出谈判，退出谈判的供应商的响应文件按无效响应处理。采购人、采购代理机构将退还退出谈判的供应商的保证金。</w:t>
      </w:r>
    </w:p>
    <w:p w14:paraId="4D1A251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5.5供应商未在规定时间内提交最后报价的，视为退出谈判，其响应文件按无效处理。</w:t>
      </w:r>
    </w:p>
    <w:p w14:paraId="1B92A7C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5.6最后报价统一开启后，谈判小组对最后报价进行有效性、完整性和响应程度的审查。</w:t>
      </w:r>
    </w:p>
    <w:p w14:paraId="1B0B95A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5.7最后报价出现前后不一致的，按照本章第3.4条的规定修正。</w:t>
      </w:r>
    </w:p>
    <w:p w14:paraId="6E8938F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5.8修正后的报价出现下列情形的，按无效响应处理：</w:t>
      </w:r>
    </w:p>
    <w:p w14:paraId="0CBC5B6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（1）供应商不确认的（全流程电子化评标采取在线确认）；</w:t>
      </w:r>
    </w:p>
    <w:p w14:paraId="70EEAED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（2）经供应商确认修正后的竞标报价（包含首次报价、最后报价）超过所竞标分标规定的采购预算金额或者最高限价的（如本项目公布了最高限价）；</w:t>
      </w:r>
    </w:p>
    <w:p w14:paraId="6764E57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（3）经供应商确认修正后的竞标报价（包含首次报价、最后报价）超过分项采购预算金额或者最高限价的（如本项目公布了最高限价）。</w:t>
      </w:r>
    </w:p>
    <w:p w14:paraId="75958FE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5.9经供应商确认修正后的最后报价作为评审及签订合同的依据。</w:t>
      </w:r>
    </w:p>
    <w:p w14:paraId="54A606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5.10供应商出现最后报价按无效响应处理或者响应文件按无效处理时</w:t>
      </w:r>
      <w:r>
        <w:rPr>
          <w:rFonts w:hint="eastAsia" w:ascii="宋体" w:hAnsi="宋体" w:eastAsia="宋体" w:cs="宋体"/>
          <w:color w:val="000000" w:themeColor="text1"/>
          <w:sz w:val="22"/>
          <w:szCs w:val="22"/>
          <w14:textFill>
            <w14:solidFill>
              <w14:schemeClr w14:val="tx1"/>
            </w14:solidFill>
          </w14:textFill>
        </w:rPr>
        <w:t>，谈判小组应当告知有关供应商</w:t>
      </w:r>
      <w:r>
        <w:rPr>
          <w:rFonts w:hint="eastAsia" w:ascii="宋体" w:hAnsi="宋体" w:eastAsia="宋体" w:cs="宋体"/>
          <w:color w:val="000000" w:themeColor="text1"/>
          <w:szCs w:val="21"/>
          <w14:textFill>
            <w14:solidFill>
              <w14:schemeClr w14:val="tx1"/>
            </w14:solidFill>
          </w14:textFill>
        </w:rPr>
        <w:t>。</w:t>
      </w:r>
    </w:p>
    <w:p w14:paraId="6CDC128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5.11最后报价结束后，谈判小组不得再与供应商进行任何形式的商谈。</w:t>
      </w:r>
    </w:p>
    <w:p w14:paraId="043544CF">
      <w:pPr>
        <w:keepNext w:val="0"/>
        <w:keepLines w:val="0"/>
        <w:pageBreakBefore w:val="0"/>
        <w:kinsoku/>
        <w:wordWrap/>
        <w:overflowPunct/>
        <w:topLinePunct w:val="0"/>
        <w:autoSpaceDE/>
        <w:autoSpaceDN/>
        <w:bidi w:val="0"/>
        <w:adjustRightInd/>
        <w:spacing w:line="400" w:lineRule="exact"/>
        <w:ind w:firstLine="472" w:firstLineChars="196"/>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6.最后报价政府采购政策性扣除</w:t>
      </w:r>
    </w:p>
    <w:p w14:paraId="7A5DD01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6.1评审价为供应商的最后报价进行政策性扣除后的价格，评审价只是作为评审时使用。最终成交供应商的成交金额等于最后报价（如有修正，以确认修正后的最后报价为准）。</w:t>
      </w:r>
    </w:p>
    <w:p w14:paraId="1E78C03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6.2</w:t>
      </w:r>
      <w:r>
        <w:rPr>
          <w:rFonts w:hint="eastAsia" w:ascii="宋体" w:hAnsi="宋体" w:eastAsia="宋体" w:cs="宋体"/>
          <w:color w:val="000000" w:themeColor="text1"/>
          <w14:textFill>
            <w14:solidFill>
              <w14:schemeClr w14:val="tx1"/>
            </w14:solidFill>
          </w14:textFill>
        </w:rPr>
        <w:t>政策性扣除计算方法。</w:t>
      </w:r>
    </w:p>
    <w:p w14:paraId="2DC811E3">
      <w:pPr>
        <w:keepNext w:val="0"/>
        <w:keepLines w:val="0"/>
        <w:pageBreakBefore w:val="0"/>
        <w:kinsoku/>
        <w:wordWrap/>
        <w:overflowPunct/>
        <w:topLinePunct w:val="0"/>
        <w:autoSpaceDE/>
        <w:autoSpaceDN/>
        <w:bidi w:val="0"/>
        <w:adjustRightInd/>
        <w:spacing w:line="400" w:lineRule="exact"/>
        <w:ind w:firstLine="369" w:firstLineChars="176"/>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根据《政府采购促进中小企业发展管理办法》（财库〔2020〕46号）的规定，供应商在其响应文件中提供《中小企业声明函》，</w:t>
      </w:r>
      <w:r>
        <w:rPr>
          <w:rFonts w:hint="eastAsia" w:ascii="宋体" w:hAnsi="宋体" w:eastAsia="宋体" w:cs="宋体"/>
          <w:bCs/>
          <w:color w:val="000000" w:themeColor="text1"/>
          <w:szCs w:val="21"/>
          <w14:textFill>
            <w14:solidFill>
              <w14:schemeClr w14:val="tx1"/>
            </w14:solidFill>
          </w14:textFill>
        </w:rPr>
        <w:t>且其竞标全部货物由小微企业制造的</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对供应商的竞标报价给予</w:t>
      </w:r>
      <w:r>
        <w:rPr>
          <w:rFonts w:hint="eastAsia" w:ascii="宋体" w:hAnsi="宋体" w:cs="宋体"/>
          <w:bCs/>
          <w:color w:val="000000" w:themeColor="text1"/>
          <w:szCs w:val="21"/>
          <w:lang w:val="en-US" w:eastAsia="zh-CN"/>
          <w14:textFill>
            <w14:solidFill>
              <w14:schemeClr w14:val="tx1"/>
            </w14:solidFill>
          </w14:textFill>
        </w:rPr>
        <w:t>2</w:t>
      </w:r>
      <w:r>
        <w:rPr>
          <w:rFonts w:hint="eastAsia" w:ascii="宋体" w:hAnsi="宋体" w:eastAsia="宋体" w:cs="宋体"/>
          <w:bCs/>
          <w:color w:val="000000" w:themeColor="text1"/>
          <w:szCs w:val="21"/>
          <w14:textFill>
            <w14:solidFill>
              <w14:schemeClr w14:val="tx1"/>
            </w14:solidFill>
          </w14:textFill>
        </w:rPr>
        <w:t>0%的扣除，扣除后的价格为评审价，即评审价=竞标报价×（1-</w:t>
      </w:r>
      <w:r>
        <w:rPr>
          <w:rFonts w:hint="eastAsia" w:ascii="宋体" w:hAnsi="宋体" w:cs="宋体"/>
          <w:bCs/>
          <w:color w:val="000000" w:themeColor="text1"/>
          <w:szCs w:val="21"/>
          <w:lang w:val="en-US" w:eastAsia="zh-CN"/>
          <w14:textFill>
            <w14:solidFill>
              <w14:schemeClr w14:val="tx1"/>
            </w14:solidFill>
          </w14:textFill>
        </w:rPr>
        <w:t>2</w:t>
      </w:r>
      <w:r>
        <w:rPr>
          <w:rFonts w:hint="eastAsia" w:ascii="宋体" w:hAnsi="宋体" w:eastAsia="宋体" w:cs="宋体"/>
          <w:bCs/>
          <w:color w:val="000000" w:themeColor="text1"/>
          <w:szCs w:val="21"/>
          <w14:textFill>
            <w14:solidFill>
              <w14:schemeClr w14:val="tx1"/>
            </w14:solidFill>
          </w14:textFill>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范围为</w:t>
      </w:r>
      <w:r>
        <w:rPr>
          <w:rFonts w:hint="eastAsia" w:ascii="宋体" w:hAnsi="宋体" w:cs="宋体"/>
          <w:bCs/>
          <w:color w:val="000000" w:themeColor="text1"/>
          <w:szCs w:val="21"/>
          <w:lang w:val="en-US" w:eastAsia="zh-CN"/>
          <w14:textFill>
            <w14:solidFill>
              <w14:schemeClr w14:val="tx1"/>
            </w14:solidFill>
          </w14:textFill>
        </w:rPr>
        <w:t>4</w:t>
      </w:r>
      <w:r>
        <w:rPr>
          <w:rFonts w:hint="eastAsia" w:ascii="宋体" w:hAnsi="宋体" w:eastAsia="宋体" w:cs="宋体"/>
          <w:bCs/>
          <w:color w:val="000000" w:themeColor="text1"/>
          <w:szCs w:val="21"/>
          <w14:textFill>
            <w14:solidFill>
              <w14:schemeClr w14:val="tx1"/>
            </w14:solidFill>
          </w14:textFill>
        </w:rPr>
        <w:t>%-</w:t>
      </w:r>
      <w:r>
        <w:rPr>
          <w:rFonts w:hint="eastAsia" w:ascii="宋体" w:hAnsi="宋体" w:cs="宋体"/>
          <w:bCs/>
          <w:color w:val="000000" w:themeColor="text1"/>
          <w:szCs w:val="21"/>
          <w:lang w:val="en-US" w:eastAsia="zh-CN"/>
          <w14:textFill>
            <w14:solidFill>
              <w14:schemeClr w14:val="tx1"/>
            </w14:solidFill>
          </w14:textFill>
        </w:rPr>
        <w:t>6</w:t>
      </w:r>
      <w:r>
        <w:rPr>
          <w:rFonts w:hint="eastAsia" w:ascii="宋体" w:hAnsi="宋体" w:eastAsia="宋体" w:cs="宋体"/>
          <w:bCs/>
          <w:color w:val="000000" w:themeColor="text1"/>
          <w:szCs w:val="21"/>
          <w14:textFill>
            <w14:solidFill>
              <w14:schemeClr w14:val="tx1"/>
            </w14:solidFill>
          </w14:textFill>
        </w:rPr>
        <w:t>%）的扣除，用扣除后的价格参加评审，扣除后的价格为评审价，即评审价=竞标报价×（1-</w:t>
      </w:r>
      <w:r>
        <w:rPr>
          <w:rFonts w:hint="eastAsia" w:ascii="宋体" w:hAnsi="宋体" w:cs="宋体"/>
          <w:bCs/>
          <w:color w:val="000000" w:themeColor="text1"/>
          <w:szCs w:val="21"/>
          <w:lang w:val="en-US" w:eastAsia="zh-CN"/>
          <w14:textFill>
            <w14:solidFill>
              <w14:schemeClr w14:val="tx1"/>
            </w14:solidFill>
          </w14:textFill>
        </w:rPr>
        <w:t>4</w:t>
      </w:r>
      <w:r>
        <w:rPr>
          <w:rFonts w:hint="eastAsia" w:ascii="宋体" w:hAnsi="宋体" w:eastAsia="宋体" w:cs="宋体"/>
          <w:bCs/>
          <w:color w:val="000000" w:themeColor="text1"/>
          <w:szCs w:val="21"/>
          <w14:textFill>
            <w14:solidFill>
              <w14:schemeClr w14:val="tx1"/>
            </w14:solidFill>
          </w14:textFill>
        </w:rPr>
        <w:t>%）。</w:t>
      </w:r>
    </w:p>
    <w:p w14:paraId="280C40D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eastAsia="宋体" w:cs="宋体"/>
          <w:bCs/>
          <w:color w:val="000000" w:themeColor="text1"/>
          <w:szCs w:val="21"/>
          <w14:textFill>
            <w14:solidFill>
              <w14:schemeClr w14:val="tx1"/>
            </w14:solidFill>
          </w14:textFill>
        </w:rPr>
        <w:t>监狱企业属于小型、微型企业的，</w:t>
      </w:r>
      <w:r>
        <w:rPr>
          <w:rFonts w:hint="eastAsia" w:ascii="宋体" w:hAnsi="宋体" w:eastAsia="宋体" w:cs="宋体"/>
          <w:color w:val="000000" w:themeColor="text1"/>
          <w:szCs w:val="21"/>
          <w14:textFill>
            <w14:solidFill>
              <w14:schemeClr w14:val="tx1"/>
            </w14:solidFill>
          </w14:textFill>
        </w:rPr>
        <w:t>不重复享受政策。</w:t>
      </w:r>
    </w:p>
    <w:p w14:paraId="330F387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6.4按照《关于促进残疾人就业政府采购政策的通知》（财库〔2017〕141号）的规定，残疾人福利性单位视同小型、微型企业，享受预留份额、评审中价格扣除等</w:t>
      </w:r>
      <w:r>
        <w:rPr>
          <w:rFonts w:hint="eastAsia" w:ascii="宋体" w:hAnsi="宋体" w:eastAsia="宋体" w:cs="宋体"/>
          <w:color w:val="000000" w:themeColor="text1"/>
          <w14:textFill>
            <w14:solidFill>
              <w14:schemeClr w14:val="tx1"/>
            </w14:solidFill>
          </w14:textFill>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AF6138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6.5除上述情况外，评审价＝最后报价。</w:t>
      </w:r>
    </w:p>
    <w:p w14:paraId="3DCF16B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二、评定成交的标准</w:t>
      </w:r>
    </w:p>
    <w:p w14:paraId="0D515219">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7.成交候选人推荐</w:t>
      </w:r>
    </w:p>
    <w:p w14:paraId="4F12EAE1">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评审报告通过电子交易平台向采购人、采购代理机构提交。</w:t>
      </w:r>
      <w:r>
        <w:rPr>
          <w:rFonts w:hint="eastAsia" w:ascii="宋体" w:hAnsi="宋体" w:eastAsia="宋体" w:cs="宋体"/>
          <w:color w:val="000000" w:themeColor="text1"/>
          <w14:textFill>
            <w14:solidFill>
              <w14:schemeClr w14:val="tx1"/>
            </w14:solidFill>
          </w14:textFill>
        </w:rPr>
        <w:br w:type="page"/>
      </w:r>
    </w:p>
    <w:p w14:paraId="304B5878">
      <w:pPr>
        <w:pStyle w:val="10"/>
        <w:rPr>
          <w:rFonts w:hint="eastAsia" w:ascii="宋体" w:hAnsi="宋体" w:eastAsia="宋体" w:cs="宋体"/>
        </w:rPr>
      </w:pPr>
    </w:p>
    <w:p w14:paraId="7A70C3A9">
      <w:pPr>
        <w:rPr>
          <w:rFonts w:hint="eastAsia" w:ascii="宋体" w:hAnsi="宋体" w:eastAsia="宋体" w:cs="宋体"/>
          <w:color w:val="000000" w:themeColor="text1"/>
          <w14:textFill>
            <w14:solidFill>
              <w14:schemeClr w14:val="tx1"/>
            </w14:solidFill>
          </w14:textFill>
        </w:rPr>
      </w:pPr>
    </w:p>
    <w:p w14:paraId="4F9A4F62">
      <w:pPr>
        <w:rPr>
          <w:rFonts w:hint="eastAsia" w:ascii="宋体" w:hAnsi="宋体" w:eastAsia="宋体" w:cs="宋体"/>
          <w:color w:val="000000" w:themeColor="text1"/>
          <w14:textFill>
            <w14:solidFill>
              <w14:schemeClr w14:val="tx1"/>
            </w14:solidFill>
          </w14:textFill>
        </w:rPr>
      </w:pPr>
    </w:p>
    <w:p w14:paraId="6F156A6C">
      <w:pPr>
        <w:rPr>
          <w:rFonts w:hint="eastAsia" w:ascii="宋体" w:hAnsi="宋体" w:eastAsia="宋体" w:cs="宋体"/>
          <w:color w:val="000000" w:themeColor="text1"/>
          <w14:textFill>
            <w14:solidFill>
              <w14:schemeClr w14:val="tx1"/>
            </w14:solidFill>
          </w14:textFill>
        </w:rPr>
      </w:pPr>
    </w:p>
    <w:p w14:paraId="5E83F256">
      <w:pPr>
        <w:rPr>
          <w:rFonts w:hint="eastAsia" w:ascii="宋体" w:hAnsi="宋体" w:eastAsia="宋体" w:cs="宋体"/>
          <w:color w:val="000000" w:themeColor="text1"/>
          <w14:textFill>
            <w14:solidFill>
              <w14:schemeClr w14:val="tx1"/>
            </w14:solidFill>
          </w14:textFill>
        </w:rPr>
      </w:pPr>
    </w:p>
    <w:p w14:paraId="1BC3B1BD">
      <w:pPr>
        <w:rPr>
          <w:rFonts w:hint="eastAsia" w:ascii="宋体" w:hAnsi="宋体" w:eastAsia="宋体" w:cs="宋体"/>
          <w:color w:val="000000" w:themeColor="text1"/>
          <w14:textFill>
            <w14:solidFill>
              <w14:schemeClr w14:val="tx1"/>
            </w14:solidFill>
          </w14:textFill>
        </w:rPr>
      </w:pPr>
    </w:p>
    <w:p w14:paraId="36D1A040">
      <w:pPr>
        <w:rPr>
          <w:rFonts w:hint="eastAsia" w:ascii="宋体" w:hAnsi="宋体" w:eastAsia="宋体" w:cs="宋体"/>
          <w:color w:val="000000" w:themeColor="text1"/>
          <w14:textFill>
            <w14:solidFill>
              <w14:schemeClr w14:val="tx1"/>
            </w14:solidFill>
          </w14:textFill>
        </w:rPr>
      </w:pPr>
    </w:p>
    <w:p w14:paraId="472E3678">
      <w:pPr>
        <w:rPr>
          <w:rFonts w:hint="eastAsia" w:ascii="宋体" w:hAnsi="宋体" w:eastAsia="宋体" w:cs="宋体"/>
          <w:color w:val="000000" w:themeColor="text1"/>
          <w14:textFill>
            <w14:solidFill>
              <w14:schemeClr w14:val="tx1"/>
            </w14:solidFill>
          </w14:textFill>
        </w:rPr>
      </w:pPr>
    </w:p>
    <w:p w14:paraId="4BF50F7E">
      <w:pPr>
        <w:rPr>
          <w:rFonts w:hint="eastAsia" w:ascii="宋体" w:hAnsi="宋体" w:eastAsia="宋体" w:cs="宋体"/>
          <w:color w:val="000000" w:themeColor="text1"/>
          <w14:textFill>
            <w14:solidFill>
              <w14:schemeClr w14:val="tx1"/>
            </w14:solidFill>
          </w14:textFill>
        </w:rPr>
      </w:pPr>
    </w:p>
    <w:p w14:paraId="1E18A53E">
      <w:pPr>
        <w:rPr>
          <w:rFonts w:hint="eastAsia" w:ascii="宋体" w:hAnsi="宋体" w:eastAsia="宋体" w:cs="宋体"/>
          <w:color w:val="000000" w:themeColor="text1"/>
          <w14:textFill>
            <w14:solidFill>
              <w14:schemeClr w14:val="tx1"/>
            </w14:solidFill>
          </w14:textFill>
        </w:rPr>
      </w:pPr>
    </w:p>
    <w:p w14:paraId="1E02498A">
      <w:pPr>
        <w:rPr>
          <w:rFonts w:hint="eastAsia" w:ascii="宋体" w:hAnsi="宋体" w:eastAsia="宋体" w:cs="宋体"/>
          <w:color w:val="000000" w:themeColor="text1"/>
          <w14:textFill>
            <w14:solidFill>
              <w14:schemeClr w14:val="tx1"/>
            </w14:solidFill>
          </w14:textFill>
        </w:rPr>
      </w:pPr>
    </w:p>
    <w:p w14:paraId="6EFD0F18">
      <w:pPr>
        <w:rPr>
          <w:rFonts w:hint="eastAsia" w:ascii="宋体" w:hAnsi="宋体" w:eastAsia="宋体" w:cs="宋体"/>
          <w:color w:val="000000" w:themeColor="text1"/>
          <w14:textFill>
            <w14:solidFill>
              <w14:schemeClr w14:val="tx1"/>
            </w14:solidFill>
          </w14:textFill>
        </w:rPr>
      </w:pPr>
    </w:p>
    <w:p w14:paraId="5CE81547">
      <w:pPr>
        <w:rPr>
          <w:rFonts w:hint="eastAsia" w:ascii="宋体" w:hAnsi="宋体" w:eastAsia="宋体" w:cs="宋体"/>
          <w:color w:val="000000" w:themeColor="text1"/>
          <w14:textFill>
            <w14:solidFill>
              <w14:schemeClr w14:val="tx1"/>
            </w14:solidFill>
          </w14:textFill>
        </w:rPr>
      </w:pPr>
    </w:p>
    <w:p w14:paraId="53A842C0">
      <w:pPr>
        <w:rPr>
          <w:rFonts w:hint="eastAsia" w:ascii="宋体" w:hAnsi="宋体" w:eastAsia="宋体" w:cs="宋体"/>
          <w:color w:val="000000" w:themeColor="text1"/>
          <w14:textFill>
            <w14:solidFill>
              <w14:schemeClr w14:val="tx1"/>
            </w14:solidFill>
          </w14:textFill>
        </w:rPr>
      </w:pPr>
    </w:p>
    <w:p w14:paraId="3FB42631">
      <w:pPr>
        <w:pStyle w:val="2"/>
        <w:jc w:val="center"/>
        <w:rPr>
          <w:rFonts w:hint="eastAsia" w:ascii="宋体" w:hAnsi="宋体" w:eastAsia="宋体" w:cs="宋体"/>
          <w:color w:val="000000" w:themeColor="text1"/>
          <w14:textFill>
            <w14:solidFill>
              <w14:schemeClr w14:val="tx1"/>
            </w14:solidFill>
          </w14:textFill>
        </w:rPr>
      </w:pPr>
      <w:bookmarkStart w:id="79" w:name="_Toc100252375"/>
      <w:r>
        <w:rPr>
          <w:rFonts w:hint="eastAsia" w:ascii="宋体" w:hAnsi="宋体" w:eastAsia="宋体" w:cs="宋体"/>
          <w:color w:val="000000" w:themeColor="text1"/>
          <w14:textFill>
            <w14:solidFill>
              <w14:schemeClr w14:val="tx1"/>
            </w14:solidFill>
          </w14:textFill>
        </w:rPr>
        <w:t>第五章</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响应文件格式</w:t>
      </w:r>
      <w:bookmarkEnd w:id="79"/>
    </w:p>
    <w:p w14:paraId="14F2044F">
      <w:pPr>
        <w:spacing w:line="240" w:lineRule="atLeast"/>
        <w:rPr>
          <w:rFonts w:hint="eastAsia" w:ascii="宋体" w:hAnsi="宋体" w:eastAsia="宋体" w:cs="宋体"/>
          <w:b/>
          <w:color w:val="000000" w:themeColor="text1"/>
          <w:sz w:val="32"/>
          <w:szCs w:val="32"/>
          <w14:textFill>
            <w14:solidFill>
              <w14:schemeClr w14:val="tx1"/>
            </w14:solidFill>
          </w14:textFill>
        </w:rPr>
      </w:pPr>
    </w:p>
    <w:p w14:paraId="4FF3C83C">
      <w:pPr>
        <w:spacing w:line="240" w:lineRule="atLeast"/>
        <w:rPr>
          <w:rFonts w:hint="eastAsia" w:ascii="宋体" w:hAnsi="宋体" w:eastAsia="宋体" w:cs="宋体"/>
          <w:b/>
          <w:color w:val="000000" w:themeColor="text1"/>
          <w:sz w:val="32"/>
          <w:szCs w:val="32"/>
          <w14:textFill>
            <w14:solidFill>
              <w14:schemeClr w14:val="tx1"/>
            </w14:solidFill>
          </w14:textFill>
        </w:rPr>
      </w:pPr>
    </w:p>
    <w:p w14:paraId="4BAC81E7">
      <w:pPr>
        <w:spacing w:line="240" w:lineRule="atLeast"/>
        <w:rPr>
          <w:rFonts w:hint="eastAsia" w:ascii="宋体" w:hAnsi="宋体" w:eastAsia="宋体" w:cs="宋体"/>
          <w:b/>
          <w:color w:val="000000" w:themeColor="text1"/>
          <w:sz w:val="32"/>
          <w:szCs w:val="32"/>
          <w14:textFill>
            <w14:solidFill>
              <w14:schemeClr w14:val="tx1"/>
            </w14:solidFill>
          </w14:textFill>
        </w:rPr>
      </w:pPr>
    </w:p>
    <w:p w14:paraId="75DE2CC5">
      <w:pPr>
        <w:spacing w:line="240" w:lineRule="atLeast"/>
        <w:rPr>
          <w:rFonts w:hint="eastAsia" w:ascii="宋体" w:hAnsi="宋体" w:eastAsia="宋体" w:cs="宋体"/>
          <w:b/>
          <w:color w:val="000000" w:themeColor="text1"/>
          <w:sz w:val="32"/>
          <w:szCs w:val="32"/>
          <w14:textFill>
            <w14:solidFill>
              <w14:schemeClr w14:val="tx1"/>
            </w14:solidFill>
          </w14:textFill>
        </w:rPr>
      </w:pPr>
    </w:p>
    <w:p w14:paraId="791BDB71">
      <w:pPr>
        <w:spacing w:line="240" w:lineRule="atLeast"/>
        <w:rPr>
          <w:rFonts w:hint="eastAsia" w:ascii="宋体" w:hAnsi="宋体" w:eastAsia="宋体" w:cs="宋体"/>
          <w:b/>
          <w:color w:val="000000" w:themeColor="text1"/>
          <w:sz w:val="32"/>
          <w:szCs w:val="32"/>
          <w14:textFill>
            <w14:solidFill>
              <w14:schemeClr w14:val="tx1"/>
            </w14:solidFill>
          </w14:textFill>
        </w:rPr>
      </w:pPr>
    </w:p>
    <w:p w14:paraId="43931D58">
      <w:pPr>
        <w:spacing w:line="240" w:lineRule="atLeast"/>
        <w:rPr>
          <w:rFonts w:hint="eastAsia" w:ascii="宋体" w:hAnsi="宋体" w:eastAsia="宋体" w:cs="宋体"/>
          <w:b/>
          <w:color w:val="000000" w:themeColor="text1"/>
          <w:sz w:val="32"/>
          <w:szCs w:val="32"/>
          <w14:textFill>
            <w14:solidFill>
              <w14:schemeClr w14:val="tx1"/>
            </w14:solidFill>
          </w14:textFill>
        </w:rPr>
      </w:pPr>
    </w:p>
    <w:p w14:paraId="720A3064">
      <w:pPr>
        <w:spacing w:line="240" w:lineRule="atLeast"/>
        <w:rPr>
          <w:rFonts w:hint="eastAsia" w:ascii="宋体" w:hAnsi="宋体" w:eastAsia="宋体" w:cs="宋体"/>
          <w:b/>
          <w:color w:val="000000" w:themeColor="text1"/>
          <w:sz w:val="32"/>
          <w:szCs w:val="32"/>
          <w14:textFill>
            <w14:solidFill>
              <w14:schemeClr w14:val="tx1"/>
            </w14:solidFill>
          </w14:textFill>
        </w:rPr>
      </w:pPr>
    </w:p>
    <w:p w14:paraId="0685D162">
      <w:pPr>
        <w:spacing w:line="240" w:lineRule="atLeast"/>
        <w:rPr>
          <w:rFonts w:hint="eastAsia" w:ascii="宋体" w:hAnsi="宋体" w:eastAsia="宋体" w:cs="宋体"/>
          <w:b/>
          <w:color w:val="000000" w:themeColor="text1"/>
          <w:sz w:val="32"/>
          <w:szCs w:val="32"/>
          <w14:textFill>
            <w14:solidFill>
              <w14:schemeClr w14:val="tx1"/>
            </w14:solidFill>
          </w14:textFill>
        </w:rPr>
      </w:pPr>
    </w:p>
    <w:p w14:paraId="79E037A1">
      <w:pPr>
        <w:spacing w:line="240" w:lineRule="atLeast"/>
        <w:rPr>
          <w:rFonts w:hint="eastAsia" w:ascii="宋体" w:hAnsi="宋体" w:eastAsia="宋体" w:cs="宋体"/>
          <w:b/>
          <w:color w:val="000000" w:themeColor="text1"/>
          <w:sz w:val="32"/>
          <w:szCs w:val="32"/>
          <w14:textFill>
            <w14:solidFill>
              <w14:schemeClr w14:val="tx1"/>
            </w14:solidFill>
          </w14:textFill>
        </w:rPr>
      </w:pPr>
    </w:p>
    <w:p w14:paraId="0802C7BA">
      <w:pPr>
        <w:spacing w:line="240" w:lineRule="atLeast"/>
        <w:rPr>
          <w:rFonts w:hint="eastAsia" w:ascii="宋体" w:hAnsi="宋体" w:eastAsia="宋体" w:cs="宋体"/>
          <w:b/>
          <w:color w:val="000000" w:themeColor="text1"/>
          <w:sz w:val="32"/>
          <w:szCs w:val="32"/>
          <w14:textFill>
            <w14:solidFill>
              <w14:schemeClr w14:val="tx1"/>
            </w14:solidFill>
          </w14:textFill>
        </w:rPr>
      </w:pPr>
    </w:p>
    <w:p w14:paraId="2AD18E01">
      <w:pPr>
        <w:spacing w:line="240" w:lineRule="atLeast"/>
        <w:rPr>
          <w:rFonts w:hint="eastAsia" w:ascii="宋体" w:hAnsi="宋体" w:eastAsia="宋体" w:cs="宋体"/>
          <w:b/>
          <w:color w:val="000000" w:themeColor="text1"/>
          <w:sz w:val="32"/>
          <w:szCs w:val="32"/>
          <w14:textFill>
            <w14:solidFill>
              <w14:schemeClr w14:val="tx1"/>
            </w14:solidFill>
          </w14:textFill>
        </w:rPr>
      </w:pPr>
    </w:p>
    <w:p w14:paraId="3E57164D">
      <w:pPr>
        <w:spacing w:line="240" w:lineRule="atLeast"/>
        <w:rPr>
          <w:rFonts w:hint="eastAsia" w:ascii="宋体" w:hAnsi="宋体" w:eastAsia="宋体" w:cs="宋体"/>
          <w:b/>
          <w:color w:val="000000" w:themeColor="text1"/>
          <w:sz w:val="32"/>
          <w:szCs w:val="32"/>
          <w14:textFill>
            <w14:solidFill>
              <w14:schemeClr w14:val="tx1"/>
            </w14:solidFill>
          </w14:textFill>
        </w:rPr>
      </w:pPr>
    </w:p>
    <w:p w14:paraId="7A3699F2">
      <w:pPr>
        <w:rPr>
          <w:rFonts w:hint="eastAsia" w:ascii="宋体" w:hAnsi="宋体" w:eastAsia="宋体" w:cs="宋体"/>
          <w:color w:val="000000" w:themeColor="text1"/>
          <w14:textFill>
            <w14:solidFill>
              <w14:schemeClr w14:val="tx1"/>
            </w14:solidFill>
          </w14:textFill>
        </w:rPr>
      </w:pPr>
    </w:p>
    <w:p w14:paraId="77110799">
      <w:pPr>
        <w:rPr>
          <w:rFonts w:hint="eastAsia" w:ascii="宋体" w:hAnsi="宋体" w:eastAsia="宋体" w:cs="宋体"/>
          <w:color w:val="000000" w:themeColor="text1"/>
          <w14:textFill>
            <w14:solidFill>
              <w14:schemeClr w14:val="tx1"/>
            </w14:solidFill>
          </w14:textFill>
        </w:rPr>
      </w:pPr>
    </w:p>
    <w:p w14:paraId="76110594">
      <w:pPr>
        <w:rPr>
          <w:rFonts w:hint="eastAsia" w:ascii="宋体" w:hAnsi="宋体" w:eastAsia="宋体" w:cs="宋体"/>
          <w:color w:val="000000" w:themeColor="text1"/>
          <w14:textFill>
            <w14:solidFill>
              <w14:schemeClr w14:val="tx1"/>
            </w14:solidFill>
          </w14:textFill>
        </w:rPr>
      </w:pPr>
    </w:p>
    <w:p w14:paraId="73A54F21">
      <w:pP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br w:type="page"/>
      </w:r>
      <w:bookmarkStart w:id="80" w:name="_Toc71366060"/>
      <w:bookmarkStart w:id="81" w:name="_Toc71365382"/>
      <w:r>
        <w:rPr>
          <w:rFonts w:hint="eastAsia" w:ascii="宋体" w:hAnsi="宋体" w:eastAsia="宋体" w:cs="宋体"/>
          <w:b/>
          <w:color w:val="000000" w:themeColor="text1"/>
          <w:sz w:val="32"/>
          <w:szCs w:val="32"/>
          <w14:textFill>
            <w14:solidFill>
              <w14:schemeClr w14:val="tx1"/>
            </w14:solidFill>
          </w14:textFill>
        </w:rPr>
        <w:t>一、资格证明文件格式</w:t>
      </w:r>
      <w:bookmarkEnd w:id="80"/>
      <w:bookmarkEnd w:id="81"/>
    </w:p>
    <w:p w14:paraId="6BECE3D5">
      <w:pPr>
        <w:snapToGrid w:val="0"/>
        <w:spacing w:beforeLines="50" w:after="50" w:line="360" w:lineRule="auto"/>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1.资格证明文件封面格式：</w:t>
      </w:r>
    </w:p>
    <w:p w14:paraId="01F3748C">
      <w:pPr>
        <w:snapToGrid w:val="0"/>
        <w:spacing w:beforeLines="50" w:after="50"/>
        <w:rPr>
          <w:rFonts w:hint="eastAsia" w:ascii="宋体" w:hAnsi="宋体" w:eastAsia="宋体" w:cs="宋体"/>
          <w:bCs/>
          <w:color w:val="000000" w:themeColor="text1"/>
          <w:sz w:val="32"/>
          <w:szCs w:val="20"/>
          <w14:textFill>
            <w14:solidFill>
              <w14:schemeClr w14:val="tx1"/>
            </w14:solidFill>
          </w14:textFill>
        </w:rPr>
      </w:pPr>
    </w:p>
    <w:p w14:paraId="3B0BC4C5">
      <w:pPr>
        <w:snapToGrid w:val="0"/>
        <w:spacing w:beforeLines="50" w:after="5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电子响应文件</w:t>
      </w:r>
    </w:p>
    <w:p w14:paraId="2B935C09">
      <w:pPr>
        <w:snapToGrid w:val="0"/>
        <w:spacing w:beforeLines="50" w:after="50"/>
        <w:rPr>
          <w:rFonts w:hint="eastAsia" w:ascii="宋体" w:hAnsi="宋体" w:eastAsia="宋体" w:cs="宋体"/>
          <w:color w:val="000000" w:themeColor="text1"/>
          <w:sz w:val="24"/>
          <w:szCs w:val="20"/>
          <w14:textFill>
            <w14:solidFill>
              <w14:schemeClr w14:val="tx1"/>
            </w14:solidFill>
          </w14:textFill>
        </w:rPr>
      </w:pPr>
    </w:p>
    <w:p w14:paraId="5C37485B">
      <w:pPr>
        <w:snapToGrid w:val="0"/>
        <w:spacing w:beforeLines="50" w:after="50"/>
        <w:jc w:val="center"/>
        <w:rPr>
          <w:rFonts w:hint="eastAsia" w:ascii="宋体" w:hAnsi="宋体" w:eastAsia="宋体" w:cs="宋体"/>
          <w:bCs/>
          <w:color w:val="000000" w:themeColor="text1"/>
          <w:sz w:val="44"/>
          <w:szCs w:val="44"/>
          <w14:textFill>
            <w14:solidFill>
              <w14:schemeClr w14:val="tx1"/>
            </w14:solidFill>
          </w14:textFill>
        </w:rPr>
      </w:pPr>
      <w:r>
        <w:rPr>
          <w:rFonts w:hint="eastAsia" w:ascii="宋体" w:hAnsi="宋体" w:eastAsia="宋体" w:cs="宋体"/>
          <w:bCs/>
          <w:color w:val="000000" w:themeColor="text1"/>
          <w:sz w:val="44"/>
          <w:szCs w:val="44"/>
          <w14:textFill>
            <w14:solidFill>
              <w14:schemeClr w14:val="tx1"/>
            </w14:solidFill>
          </w14:textFill>
        </w:rPr>
        <w:t>资格证明文件</w:t>
      </w:r>
    </w:p>
    <w:p w14:paraId="4F6AED1D">
      <w:pPr>
        <w:snapToGrid w:val="0"/>
        <w:spacing w:beforeLines="50" w:after="50"/>
        <w:rPr>
          <w:rFonts w:hint="eastAsia" w:ascii="宋体" w:hAnsi="宋体" w:eastAsia="宋体" w:cs="宋体"/>
          <w:bCs/>
          <w:color w:val="000000" w:themeColor="text1"/>
          <w:sz w:val="24"/>
          <w:szCs w:val="20"/>
          <w14:textFill>
            <w14:solidFill>
              <w14:schemeClr w14:val="tx1"/>
            </w14:solidFill>
          </w14:textFill>
        </w:rPr>
      </w:pPr>
    </w:p>
    <w:p w14:paraId="3654CA7D">
      <w:pPr>
        <w:snapToGrid w:val="0"/>
        <w:spacing w:beforeLines="50" w:after="50"/>
        <w:rPr>
          <w:rFonts w:hint="eastAsia" w:ascii="宋体" w:hAnsi="宋体" w:eastAsia="宋体" w:cs="宋体"/>
          <w:bCs/>
          <w:color w:val="000000" w:themeColor="text1"/>
          <w:sz w:val="24"/>
          <w:szCs w:val="20"/>
          <w14:textFill>
            <w14:solidFill>
              <w14:schemeClr w14:val="tx1"/>
            </w14:solidFill>
          </w14:textFill>
        </w:rPr>
      </w:pPr>
    </w:p>
    <w:p w14:paraId="7B2F9478">
      <w:pPr>
        <w:snapToGrid w:val="0"/>
        <w:spacing w:beforeLines="50" w:after="50"/>
        <w:rPr>
          <w:rFonts w:hint="eastAsia" w:ascii="宋体" w:hAnsi="宋体" w:eastAsia="宋体" w:cs="宋体"/>
          <w:bCs/>
          <w:color w:val="000000" w:themeColor="text1"/>
          <w:sz w:val="24"/>
          <w:szCs w:val="20"/>
          <w14:textFill>
            <w14:solidFill>
              <w14:schemeClr w14:val="tx1"/>
            </w14:solidFill>
          </w14:textFill>
        </w:rPr>
      </w:pPr>
    </w:p>
    <w:p w14:paraId="67FAC867">
      <w:pPr>
        <w:snapToGrid w:val="0"/>
        <w:spacing w:beforeLines="50" w:after="50"/>
        <w:rPr>
          <w:rFonts w:hint="eastAsia" w:ascii="宋体" w:hAnsi="宋体" w:eastAsia="宋体" w:cs="宋体"/>
          <w:bCs/>
          <w:color w:val="000000" w:themeColor="text1"/>
          <w:sz w:val="24"/>
          <w:szCs w:val="20"/>
          <w14:textFill>
            <w14:solidFill>
              <w14:schemeClr w14:val="tx1"/>
            </w14:solidFill>
          </w14:textFill>
        </w:rPr>
      </w:pPr>
    </w:p>
    <w:p w14:paraId="743DBAF4">
      <w:pPr>
        <w:snapToGrid w:val="0"/>
        <w:spacing w:beforeLines="50" w:after="50"/>
        <w:rPr>
          <w:rFonts w:hint="eastAsia" w:ascii="宋体" w:hAnsi="宋体" w:eastAsia="宋体" w:cs="宋体"/>
          <w:bCs/>
          <w:color w:val="000000" w:themeColor="text1"/>
          <w:sz w:val="24"/>
          <w:szCs w:val="20"/>
          <w14:textFill>
            <w14:solidFill>
              <w14:schemeClr w14:val="tx1"/>
            </w14:solidFill>
          </w14:textFill>
        </w:rPr>
      </w:pPr>
    </w:p>
    <w:p w14:paraId="1161DAB8">
      <w:pPr>
        <w:snapToGrid w:val="0"/>
        <w:spacing w:beforeLines="50" w:after="50"/>
        <w:ind w:firstLine="640" w:firstLineChars="20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项目名称：</w:t>
      </w:r>
    </w:p>
    <w:p w14:paraId="2F1D7001">
      <w:pPr>
        <w:snapToGrid w:val="0"/>
        <w:spacing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14:paraId="2FEE6DFF">
      <w:pPr>
        <w:snapToGrid w:val="0"/>
        <w:spacing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p>
    <w:p w14:paraId="3399F136">
      <w:pPr>
        <w:snapToGrid w:val="0"/>
        <w:spacing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14:paraId="36FAA0CB">
      <w:pPr>
        <w:snapToGrid w:val="0"/>
        <w:spacing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所竞分标（如有则填写，无分标时填写“无”或者留空）：</w:t>
      </w:r>
    </w:p>
    <w:p w14:paraId="2237D6E2">
      <w:pPr>
        <w:snapToGrid w:val="0"/>
        <w:spacing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14:paraId="42139234">
      <w:pPr>
        <w:pStyle w:val="6"/>
        <w:snapToGrid w:val="0"/>
        <w:spacing w:before="50" w:after="50"/>
        <w:ind w:firstLine="720" w:firstLineChars="225"/>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供应商名称：</w:t>
      </w:r>
    </w:p>
    <w:p w14:paraId="34AF938E">
      <w:pPr>
        <w:snapToGrid w:val="0"/>
        <w:spacing w:beforeLines="50" w:after="50"/>
        <w:ind w:firstLine="640" w:firstLineChars="200"/>
        <w:rPr>
          <w:rFonts w:hint="eastAsia" w:ascii="宋体" w:hAnsi="宋体" w:eastAsia="宋体" w:cs="宋体"/>
          <w:bCs/>
          <w:color w:val="000000" w:themeColor="text1"/>
          <w:sz w:val="32"/>
          <w:szCs w:val="32"/>
          <w14:textFill>
            <w14:solidFill>
              <w14:schemeClr w14:val="tx1"/>
            </w14:solidFill>
          </w14:textFill>
        </w:rPr>
      </w:pPr>
    </w:p>
    <w:p w14:paraId="43C5E836">
      <w:pPr>
        <w:pStyle w:val="6"/>
        <w:snapToGrid w:val="0"/>
        <w:spacing w:before="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14:paraId="1788ED41">
      <w:pPr>
        <w:pStyle w:val="6"/>
        <w:snapToGrid w:val="0"/>
        <w:spacing w:before="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14:paraId="62966446">
      <w:pPr>
        <w:pStyle w:val="6"/>
        <w:snapToGrid w:val="0"/>
        <w:spacing w:before="50" w:after="50"/>
        <w:ind w:firstLine="1280" w:firstLineChars="400"/>
        <w:rPr>
          <w:rFonts w:hint="eastAsia" w:ascii="宋体" w:hAnsi="宋体" w:eastAsia="宋体" w:cs="宋体"/>
          <w:bCs/>
          <w:color w:val="000000" w:themeColor="text1"/>
          <w:sz w:val="32"/>
          <w:szCs w:val="32"/>
          <w14:textFill>
            <w14:solidFill>
              <w14:schemeClr w14:val="tx1"/>
            </w14:solidFill>
          </w14:textFill>
        </w:rPr>
      </w:pPr>
    </w:p>
    <w:p w14:paraId="363C625A">
      <w:pPr>
        <w:snapToGrid w:val="0"/>
        <w:spacing w:beforeLines="50" w:after="5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年月日</w:t>
      </w:r>
    </w:p>
    <w:p w14:paraId="595F44F1">
      <w:pPr>
        <w:snapToGrid w:val="0"/>
        <w:spacing w:beforeLines="50" w:after="50" w:line="360" w:lineRule="auto"/>
        <w:ind w:left="142"/>
        <w:jc w:val="left"/>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bCs/>
          <w:color w:val="000000" w:themeColor="text1"/>
          <w:sz w:val="32"/>
          <w:szCs w:val="32"/>
          <w14:textFill>
            <w14:solidFill>
              <w14:schemeClr w14:val="tx1"/>
            </w14:solidFill>
          </w14:textFill>
        </w:rPr>
        <w:t>2.资格证明文件目录</w:t>
      </w:r>
    </w:p>
    <w:p w14:paraId="7FAC180A">
      <w:pPr>
        <w:snapToGrid w:val="0"/>
        <w:spacing w:beforeLines="50" w:after="50" w:line="360" w:lineRule="auto"/>
        <w:ind w:firstLine="64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根据谈判文件规定及供应商提供的材料自行编写目录（部分格式后附）。</w:t>
      </w:r>
    </w:p>
    <w:p w14:paraId="5980C969">
      <w:pPr>
        <w:snapToGrid w:val="0"/>
        <w:spacing w:beforeLines="50" w:after="50" w:line="360" w:lineRule="auto"/>
        <w:rPr>
          <w:rFonts w:hint="eastAsia" w:ascii="宋体" w:hAnsi="宋体" w:eastAsia="宋体" w:cs="宋体"/>
          <w:color w:val="000000" w:themeColor="text1"/>
          <w:sz w:val="24"/>
          <w:szCs w:val="20"/>
          <w14:textFill>
            <w14:solidFill>
              <w14:schemeClr w14:val="tx1"/>
            </w14:solidFill>
          </w14:textFill>
        </w:rPr>
      </w:pPr>
    </w:p>
    <w:p w14:paraId="724774BE">
      <w:pPr>
        <w:spacing w:line="360" w:lineRule="auto"/>
        <w:rPr>
          <w:rFonts w:hint="eastAsia" w:ascii="宋体" w:hAnsi="宋体" w:eastAsia="宋体" w:cs="宋体"/>
          <w:color w:val="000000" w:themeColor="text1"/>
          <w:szCs w:val="21"/>
          <w14:textFill>
            <w14:solidFill>
              <w14:schemeClr w14:val="tx1"/>
            </w14:solidFill>
          </w14:textFill>
        </w:rPr>
      </w:pPr>
    </w:p>
    <w:p w14:paraId="0F2AA89C">
      <w:pPr>
        <w:spacing w:line="360" w:lineRule="auto"/>
        <w:rPr>
          <w:rFonts w:hint="eastAsia" w:ascii="宋体" w:hAnsi="宋体" w:eastAsia="宋体" w:cs="宋体"/>
          <w:color w:val="000000" w:themeColor="text1"/>
          <w:szCs w:val="21"/>
          <w14:textFill>
            <w14:solidFill>
              <w14:schemeClr w14:val="tx1"/>
            </w14:solidFill>
          </w14:textFill>
        </w:rPr>
      </w:pPr>
    </w:p>
    <w:p w14:paraId="5249A0FC">
      <w:pPr>
        <w:spacing w:line="360" w:lineRule="auto"/>
        <w:rPr>
          <w:rFonts w:hint="eastAsia" w:ascii="宋体" w:hAnsi="宋体" w:eastAsia="宋体" w:cs="宋体"/>
          <w:color w:val="000000" w:themeColor="text1"/>
          <w:szCs w:val="21"/>
          <w14:textFill>
            <w14:solidFill>
              <w14:schemeClr w14:val="tx1"/>
            </w14:solidFill>
          </w14:textFill>
        </w:rPr>
      </w:pPr>
    </w:p>
    <w:p w14:paraId="367E5048">
      <w:pPr>
        <w:spacing w:line="360" w:lineRule="auto"/>
        <w:rPr>
          <w:rFonts w:hint="eastAsia" w:ascii="宋体" w:hAnsi="宋体" w:eastAsia="宋体" w:cs="宋体"/>
          <w:color w:val="000000" w:themeColor="text1"/>
          <w:szCs w:val="21"/>
          <w14:textFill>
            <w14:solidFill>
              <w14:schemeClr w14:val="tx1"/>
            </w14:solidFill>
          </w14:textFill>
        </w:rPr>
      </w:pPr>
    </w:p>
    <w:p w14:paraId="48410F79">
      <w:pPr>
        <w:spacing w:line="300" w:lineRule="auto"/>
        <w:rPr>
          <w:rFonts w:hint="eastAsia" w:ascii="宋体" w:hAnsi="宋体" w:eastAsia="宋体" w:cs="宋体"/>
          <w:color w:val="000000" w:themeColor="text1"/>
          <w:szCs w:val="21"/>
          <w14:textFill>
            <w14:solidFill>
              <w14:schemeClr w14:val="tx1"/>
            </w14:solidFill>
          </w14:textFill>
        </w:rPr>
      </w:pPr>
    </w:p>
    <w:p w14:paraId="01C341C7">
      <w:pPr>
        <w:spacing w:line="300" w:lineRule="auto"/>
        <w:rPr>
          <w:rFonts w:hint="eastAsia" w:ascii="宋体" w:hAnsi="宋体" w:eastAsia="宋体" w:cs="宋体"/>
          <w:color w:val="000000" w:themeColor="text1"/>
          <w:szCs w:val="21"/>
          <w14:textFill>
            <w14:solidFill>
              <w14:schemeClr w14:val="tx1"/>
            </w14:solidFill>
          </w14:textFill>
        </w:rPr>
      </w:pPr>
    </w:p>
    <w:p w14:paraId="5FD68B9B">
      <w:pPr>
        <w:spacing w:line="300" w:lineRule="auto"/>
        <w:rPr>
          <w:rFonts w:hint="eastAsia" w:ascii="宋体" w:hAnsi="宋体" w:eastAsia="宋体" w:cs="宋体"/>
          <w:color w:val="000000" w:themeColor="text1"/>
          <w:szCs w:val="21"/>
          <w14:textFill>
            <w14:solidFill>
              <w14:schemeClr w14:val="tx1"/>
            </w14:solidFill>
          </w14:textFill>
        </w:rPr>
      </w:pPr>
    </w:p>
    <w:p w14:paraId="4D2EC18D">
      <w:pPr>
        <w:spacing w:line="300" w:lineRule="auto"/>
        <w:rPr>
          <w:rFonts w:hint="eastAsia" w:ascii="宋体" w:hAnsi="宋体" w:eastAsia="宋体" w:cs="宋体"/>
          <w:color w:val="000000" w:themeColor="text1"/>
          <w:szCs w:val="21"/>
          <w14:textFill>
            <w14:solidFill>
              <w14:schemeClr w14:val="tx1"/>
            </w14:solidFill>
          </w14:textFill>
        </w:rPr>
      </w:pPr>
    </w:p>
    <w:p w14:paraId="1BEA74E9">
      <w:pPr>
        <w:spacing w:line="300" w:lineRule="auto"/>
        <w:rPr>
          <w:rFonts w:hint="eastAsia" w:ascii="宋体" w:hAnsi="宋体" w:eastAsia="宋体" w:cs="宋体"/>
          <w:color w:val="000000" w:themeColor="text1"/>
          <w:szCs w:val="21"/>
          <w14:textFill>
            <w14:solidFill>
              <w14:schemeClr w14:val="tx1"/>
            </w14:solidFill>
          </w14:textFill>
        </w:rPr>
      </w:pPr>
    </w:p>
    <w:p w14:paraId="1CF70E73">
      <w:pPr>
        <w:spacing w:line="300" w:lineRule="auto"/>
        <w:rPr>
          <w:rFonts w:hint="eastAsia" w:ascii="宋体" w:hAnsi="宋体" w:eastAsia="宋体" w:cs="宋体"/>
          <w:color w:val="000000" w:themeColor="text1"/>
          <w:szCs w:val="21"/>
          <w14:textFill>
            <w14:solidFill>
              <w14:schemeClr w14:val="tx1"/>
            </w14:solidFill>
          </w14:textFill>
        </w:rPr>
      </w:pPr>
    </w:p>
    <w:p w14:paraId="0CD0C7A3">
      <w:pPr>
        <w:spacing w:line="300" w:lineRule="auto"/>
        <w:rPr>
          <w:rFonts w:hint="eastAsia" w:ascii="宋体" w:hAnsi="宋体" w:eastAsia="宋体" w:cs="宋体"/>
          <w:color w:val="000000" w:themeColor="text1"/>
          <w:szCs w:val="21"/>
          <w14:textFill>
            <w14:solidFill>
              <w14:schemeClr w14:val="tx1"/>
            </w14:solidFill>
          </w14:textFill>
        </w:rPr>
      </w:pPr>
    </w:p>
    <w:p w14:paraId="2A30A955">
      <w:pPr>
        <w:spacing w:line="300" w:lineRule="auto"/>
        <w:rPr>
          <w:rFonts w:hint="eastAsia" w:ascii="宋体" w:hAnsi="宋体" w:eastAsia="宋体" w:cs="宋体"/>
          <w:color w:val="000000" w:themeColor="text1"/>
          <w:szCs w:val="21"/>
          <w14:textFill>
            <w14:solidFill>
              <w14:schemeClr w14:val="tx1"/>
            </w14:solidFill>
          </w14:textFill>
        </w:rPr>
      </w:pPr>
    </w:p>
    <w:p w14:paraId="2A885F30">
      <w:pPr>
        <w:spacing w:line="300" w:lineRule="auto"/>
        <w:rPr>
          <w:rFonts w:hint="eastAsia" w:ascii="宋体" w:hAnsi="宋体" w:eastAsia="宋体" w:cs="宋体"/>
          <w:color w:val="000000" w:themeColor="text1"/>
          <w:szCs w:val="21"/>
          <w14:textFill>
            <w14:solidFill>
              <w14:schemeClr w14:val="tx1"/>
            </w14:solidFill>
          </w14:textFill>
        </w:rPr>
      </w:pPr>
    </w:p>
    <w:p w14:paraId="2FC3C180">
      <w:pPr>
        <w:spacing w:line="300" w:lineRule="auto"/>
        <w:rPr>
          <w:rFonts w:hint="eastAsia" w:ascii="宋体" w:hAnsi="宋体" w:eastAsia="宋体" w:cs="宋体"/>
          <w:color w:val="000000" w:themeColor="text1"/>
          <w:szCs w:val="21"/>
          <w14:textFill>
            <w14:solidFill>
              <w14:schemeClr w14:val="tx1"/>
            </w14:solidFill>
          </w14:textFill>
        </w:rPr>
      </w:pPr>
    </w:p>
    <w:p w14:paraId="6A0714FF">
      <w:pPr>
        <w:spacing w:line="300" w:lineRule="auto"/>
        <w:rPr>
          <w:rFonts w:hint="eastAsia" w:ascii="宋体" w:hAnsi="宋体" w:eastAsia="宋体" w:cs="宋体"/>
          <w:color w:val="000000" w:themeColor="text1"/>
          <w:szCs w:val="21"/>
          <w14:textFill>
            <w14:solidFill>
              <w14:schemeClr w14:val="tx1"/>
            </w14:solidFill>
          </w14:textFill>
        </w:rPr>
      </w:pPr>
    </w:p>
    <w:p w14:paraId="1672DABD">
      <w:pPr>
        <w:spacing w:line="320" w:lineRule="exact"/>
        <w:jc w:val="left"/>
        <w:rPr>
          <w:rFonts w:hint="eastAsia" w:ascii="宋体" w:hAnsi="宋体" w:eastAsia="宋体" w:cs="宋体"/>
          <w:color w:val="000000" w:themeColor="text1"/>
          <w:szCs w:val="21"/>
          <w14:textFill>
            <w14:solidFill>
              <w14:schemeClr w14:val="tx1"/>
            </w14:solidFill>
          </w14:textFill>
        </w:rPr>
      </w:pPr>
    </w:p>
    <w:p w14:paraId="519F5F0C">
      <w:pPr>
        <w:snapToGrid w:val="0"/>
        <w:spacing w:beforeLines="50" w:after="50"/>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r>
        <w:rPr>
          <w:rFonts w:hint="eastAsia" w:ascii="宋体" w:hAnsi="宋体" w:eastAsia="宋体" w:cs="宋体"/>
          <w:b/>
          <w:color w:val="000000" w:themeColor="text1"/>
          <w:sz w:val="32"/>
          <w:szCs w:val="32"/>
          <w14:textFill>
            <w14:solidFill>
              <w14:schemeClr w14:val="tx1"/>
            </w14:solidFill>
          </w14:textFill>
        </w:rPr>
        <w:t>供应商直接控股、管理关系信息表</w:t>
      </w:r>
    </w:p>
    <w:p w14:paraId="4CF25761">
      <w:pPr>
        <w:snapToGrid w:val="0"/>
        <w:spacing w:beforeLines="50" w:after="50"/>
        <w:jc w:val="center"/>
        <w:rPr>
          <w:rFonts w:hint="eastAsia" w:ascii="宋体" w:hAnsi="宋体" w:eastAsia="宋体" w:cs="宋体"/>
          <w:b/>
          <w:color w:val="000000" w:themeColor="text1"/>
          <w:sz w:val="32"/>
          <w:szCs w:val="32"/>
          <w14:textFill>
            <w14:solidFill>
              <w14:schemeClr w14:val="tx1"/>
            </w14:solidFill>
          </w14:textFill>
        </w:rPr>
      </w:pPr>
    </w:p>
    <w:p w14:paraId="37160477">
      <w:pPr>
        <w:snapToGrid w:val="0"/>
        <w:spacing w:beforeLines="50" w:after="50"/>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供应商直接控股股东信息表</w:t>
      </w:r>
    </w:p>
    <w:p w14:paraId="50D29CD9">
      <w:pPr>
        <w:snapToGrid w:val="0"/>
        <w:spacing w:before="50" w:afterLines="50"/>
        <w:jc w:val="center"/>
        <w:rPr>
          <w:rFonts w:hint="eastAsia" w:ascii="宋体" w:hAnsi="宋体" w:eastAsia="宋体" w:cs="宋体"/>
          <w:b/>
          <w:color w:val="000000" w:themeColor="text1"/>
          <w:sz w:val="32"/>
          <w:szCs w:val="32"/>
          <w14:textFill>
            <w14:solidFill>
              <w14:schemeClr w14:val="tx1"/>
            </w14:solidFill>
          </w14:textFill>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C6C9DBA">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B25D82">
            <w:pPr>
              <w:widowControl/>
              <w:spacing w:line="360" w:lineRule="auto"/>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0A0F4F">
            <w:pPr>
              <w:widowControl/>
              <w:spacing w:line="360" w:lineRule="auto"/>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C5F7E5">
            <w:pPr>
              <w:widowControl/>
              <w:spacing w:line="360" w:lineRule="auto"/>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362124">
            <w:pPr>
              <w:widowControl/>
              <w:spacing w:line="360" w:lineRule="auto"/>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3863C5">
            <w:pPr>
              <w:widowControl/>
              <w:spacing w:line="360" w:lineRule="auto"/>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备注</w:t>
            </w:r>
          </w:p>
        </w:tc>
      </w:tr>
      <w:tr w14:paraId="37DA24D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8CE8CD">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E0D6A8">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82B5B6">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A054A5">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5D5083">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tc>
      </w:tr>
      <w:tr w14:paraId="60F018E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A31449">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8E5DD8">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35203E">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1827B2">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BB5008">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tc>
      </w:tr>
      <w:tr w14:paraId="6C96B33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966704">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9D3202">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C5F824">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0E6FC3">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2180C9">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tc>
      </w:tr>
      <w:tr w14:paraId="4A7992F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095104">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AD294D">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913E6B">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769FB9">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E2E720">
            <w:pPr>
              <w:widowControl/>
              <w:spacing w:line="360" w:lineRule="auto"/>
              <w:jc w:val="center"/>
              <w:rPr>
                <w:rFonts w:hint="eastAsia" w:ascii="宋体" w:hAnsi="宋体" w:eastAsia="宋体" w:cs="宋体"/>
                <w:color w:val="000000" w:themeColor="text1"/>
                <w:kern w:val="0"/>
                <w:sz w:val="28"/>
                <w:szCs w:val="28"/>
                <w14:textFill>
                  <w14:solidFill>
                    <w14:schemeClr w14:val="tx1"/>
                  </w14:solidFill>
                </w14:textFill>
              </w:rPr>
            </w:pPr>
          </w:p>
        </w:tc>
      </w:tr>
    </w:tbl>
    <w:p w14:paraId="06F336AA">
      <w:pPr>
        <w:spacing w:line="360" w:lineRule="auto"/>
        <w:contextualSpacing/>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p>
    <w:p w14:paraId="5A9B856E">
      <w:pPr>
        <w:spacing w:line="360" w:lineRule="auto"/>
        <w:ind w:firstLine="480" w:firstLineChars="200"/>
        <w:contextualSpacing/>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9693F78">
      <w:pPr>
        <w:spacing w:line="360" w:lineRule="auto"/>
        <w:ind w:firstLine="480" w:firstLineChars="200"/>
        <w:contextualSpacing/>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2.本表所指的控股关系仅限于直接控股关系，不包括间接的控股关系。公司实际控制人与公司之间的关系不属于本表所指的直接控股关系。</w:t>
      </w:r>
    </w:p>
    <w:p w14:paraId="7BAAFF2D">
      <w:pPr>
        <w:spacing w:line="360" w:lineRule="auto"/>
        <w:ind w:firstLine="480" w:firstLineChars="200"/>
        <w:contextualSpacing/>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3.供应商不存在直接控股股东的，则在“直接控股股东名称”填“无”。</w:t>
      </w:r>
    </w:p>
    <w:p w14:paraId="1EC0F68A">
      <w:pPr>
        <w:spacing w:line="360" w:lineRule="auto"/>
        <w:ind w:firstLine="420" w:firstLineChars="200"/>
        <w:contextualSpacing/>
        <w:jc w:val="left"/>
        <w:rPr>
          <w:rFonts w:hint="eastAsia" w:ascii="宋体" w:hAnsi="宋体" w:eastAsia="宋体" w:cs="宋体"/>
          <w:color w:val="000000" w:themeColor="text1"/>
          <w:szCs w:val="21"/>
          <w14:textFill>
            <w14:solidFill>
              <w14:schemeClr w14:val="tx1"/>
            </w14:solidFill>
          </w14:textFill>
        </w:rPr>
      </w:pPr>
    </w:p>
    <w:p w14:paraId="084D8DA3">
      <w:pPr>
        <w:spacing w:line="360" w:lineRule="auto"/>
        <w:ind w:firstLine="560" w:firstLineChars="200"/>
        <w:contextualSpacing/>
        <w:jc w:val="left"/>
        <w:rPr>
          <w:rFonts w:hint="eastAsia" w:ascii="宋体" w:hAnsi="宋体" w:eastAsia="宋体" w:cs="宋体"/>
          <w:color w:val="000000" w:themeColor="text1"/>
          <w:sz w:val="28"/>
          <w:szCs w:val="28"/>
          <w14:textFill>
            <w14:solidFill>
              <w14:schemeClr w14:val="tx1"/>
            </w14:solidFill>
          </w14:textFill>
        </w:rPr>
      </w:pPr>
    </w:p>
    <w:p w14:paraId="022AB681">
      <w:pPr>
        <w:spacing w:line="360" w:lineRule="auto"/>
        <w:ind w:right="480"/>
        <w:contextualSpacing/>
        <w:jc w:val="center"/>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法定代表人或者委托代理人（签字或者电子签名）：</w:t>
      </w:r>
    </w:p>
    <w:p w14:paraId="2980B772">
      <w:pPr>
        <w:spacing w:line="360" w:lineRule="auto"/>
        <w:ind w:right="480" w:firstLine="3000" w:firstLineChars="1250"/>
        <w:contextualSpacing/>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供应商（电子签章）：</w:t>
      </w:r>
    </w:p>
    <w:p w14:paraId="59D40C60">
      <w:pPr>
        <w:spacing w:line="360" w:lineRule="auto"/>
        <w:ind w:right="480" w:firstLine="5280" w:firstLineChars="2200"/>
        <w:contextualSpacing/>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年月日</w:t>
      </w:r>
    </w:p>
    <w:p w14:paraId="477CD1DE">
      <w:pPr>
        <w:snapToGrid w:val="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0830FDB4">
      <w:pPr>
        <w:snapToGrid w:val="0"/>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供应商直接管理关系信息表</w:t>
      </w:r>
    </w:p>
    <w:p w14:paraId="34296993">
      <w:pPr>
        <w:snapToGrid w:val="0"/>
        <w:jc w:val="center"/>
        <w:rPr>
          <w:rFonts w:hint="eastAsia" w:ascii="宋体" w:hAnsi="宋体" w:eastAsia="宋体" w:cs="宋体"/>
          <w:b/>
          <w:color w:val="000000" w:themeColor="text1"/>
          <w:sz w:val="32"/>
          <w:szCs w:val="32"/>
          <w14:textFill>
            <w14:solidFill>
              <w14:schemeClr w14:val="tx1"/>
            </w14:solidFill>
          </w14:textFill>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4A314E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609E4C3">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24EA5E7">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5273BC">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3D9555D">
            <w:pPr>
              <w:widowControl/>
              <w:jc w:val="cente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备注</w:t>
            </w:r>
          </w:p>
        </w:tc>
      </w:tr>
      <w:tr w14:paraId="473ADB1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0D4437">
            <w:pPr>
              <w:widowControl/>
              <w:wordWrap w:val="0"/>
              <w:spacing w:line="200" w:lineRule="atLeast"/>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730734">
            <w:pPr>
              <w:widowControl/>
              <w:wordWrap w:val="0"/>
              <w:spacing w:line="200" w:lineRule="atLeast"/>
              <w:jc w:val="center"/>
              <w:rPr>
                <w:rFonts w:hint="eastAsia" w:ascii="宋体" w:hAnsi="宋体" w:eastAsia="宋体" w:cs="宋体"/>
                <w:color w:val="000000" w:themeColor="text1"/>
                <w:kern w:val="0"/>
                <w:sz w:val="28"/>
                <w:szCs w:val="28"/>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BF8FE5">
            <w:pPr>
              <w:widowControl/>
              <w:wordWrap w:val="0"/>
              <w:spacing w:line="200" w:lineRule="atLeast"/>
              <w:jc w:val="center"/>
              <w:rPr>
                <w:rFonts w:hint="eastAsia" w:ascii="宋体" w:hAnsi="宋体" w:eastAsia="宋体" w:cs="宋体"/>
                <w:color w:val="000000" w:themeColor="text1"/>
                <w:kern w:val="0"/>
                <w:sz w:val="28"/>
                <w:szCs w:val="28"/>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179F9A">
            <w:pPr>
              <w:widowControl/>
              <w:wordWrap w:val="0"/>
              <w:spacing w:line="200" w:lineRule="atLeast"/>
              <w:jc w:val="center"/>
              <w:rPr>
                <w:rFonts w:hint="eastAsia" w:ascii="宋体" w:hAnsi="宋体" w:eastAsia="宋体" w:cs="宋体"/>
                <w:color w:val="000000" w:themeColor="text1"/>
                <w:kern w:val="0"/>
                <w:sz w:val="28"/>
                <w:szCs w:val="28"/>
                <w14:textFill>
                  <w14:solidFill>
                    <w14:schemeClr w14:val="tx1"/>
                  </w14:solidFill>
                </w14:textFill>
              </w:rPr>
            </w:pPr>
          </w:p>
        </w:tc>
      </w:tr>
      <w:tr w14:paraId="04DA44B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2BD7CC">
            <w:pPr>
              <w:widowControl/>
              <w:wordWrap w:val="0"/>
              <w:spacing w:line="200" w:lineRule="atLeast"/>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61C888">
            <w:pPr>
              <w:widowControl/>
              <w:wordWrap w:val="0"/>
              <w:spacing w:line="200" w:lineRule="atLeast"/>
              <w:jc w:val="center"/>
              <w:rPr>
                <w:rFonts w:hint="eastAsia" w:ascii="宋体" w:hAnsi="宋体" w:eastAsia="宋体" w:cs="宋体"/>
                <w:color w:val="000000" w:themeColor="text1"/>
                <w:kern w:val="0"/>
                <w:sz w:val="28"/>
                <w:szCs w:val="28"/>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997023">
            <w:pPr>
              <w:widowControl/>
              <w:wordWrap w:val="0"/>
              <w:spacing w:line="200" w:lineRule="atLeast"/>
              <w:jc w:val="center"/>
              <w:rPr>
                <w:rFonts w:hint="eastAsia" w:ascii="宋体" w:hAnsi="宋体" w:eastAsia="宋体" w:cs="宋体"/>
                <w:color w:val="000000" w:themeColor="text1"/>
                <w:kern w:val="0"/>
                <w:sz w:val="28"/>
                <w:szCs w:val="28"/>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F1B1D1">
            <w:pPr>
              <w:widowControl/>
              <w:wordWrap w:val="0"/>
              <w:spacing w:line="200" w:lineRule="atLeast"/>
              <w:jc w:val="center"/>
              <w:rPr>
                <w:rFonts w:hint="eastAsia" w:ascii="宋体" w:hAnsi="宋体" w:eastAsia="宋体" w:cs="宋体"/>
                <w:color w:val="000000" w:themeColor="text1"/>
                <w:kern w:val="0"/>
                <w:sz w:val="28"/>
                <w:szCs w:val="28"/>
                <w14:textFill>
                  <w14:solidFill>
                    <w14:schemeClr w14:val="tx1"/>
                  </w14:solidFill>
                </w14:textFill>
              </w:rPr>
            </w:pPr>
          </w:p>
        </w:tc>
      </w:tr>
      <w:tr w14:paraId="701C972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2CCD4B">
            <w:pPr>
              <w:widowControl/>
              <w:wordWrap w:val="0"/>
              <w:spacing w:line="200" w:lineRule="atLeast"/>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17F83B">
            <w:pPr>
              <w:widowControl/>
              <w:wordWrap w:val="0"/>
              <w:spacing w:line="200" w:lineRule="atLeast"/>
              <w:jc w:val="center"/>
              <w:rPr>
                <w:rFonts w:hint="eastAsia" w:ascii="宋体" w:hAnsi="宋体" w:eastAsia="宋体" w:cs="宋体"/>
                <w:color w:val="000000" w:themeColor="text1"/>
                <w:kern w:val="0"/>
                <w:sz w:val="28"/>
                <w:szCs w:val="28"/>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A1ED2D">
            <w:pPr>
              <w:widowControl/>
              <w:wordWrap w:val="0"/>
              <w:spacing w:line="200" w:lineRule="atLeast"/>
              <w:jc w:val="center"/>
              <w:rPr>
                <w:rFonts w:hint="eastAsia" w:ascii="宋体" w:hAnsi="宋体" w:eastAsia="宋体" w:cs="宋体"/>
                <w:color w:val="000000" w:themeColor="text1"/>
                <w:kern w:val="0"/>
                <w:sz w:val="28"/>
                <w:szCs w:val="28"/>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FFCA3B">
            <w:pPr>
              <w:widowControl/>
              <w:wordWrap w:val="0"/>
              <w:spacing w:line="200" w:lineRule="atLeast"/>
              <w:jc w:val="center"/>
              <w:rPr>
                <w:rFonts w:hint="eastAsia" w:ascii="宋体" w:hAnsi="宋体" w:eastAsia="宋体" w:cs="宋体"/>
                <w:color w:val="000000" w:themeColor="text1"/>
                <w:kern w:val="0"/>
                <w:sz w:val="28"/>
                <w:szCs w:val="28"/>
                <w14:textFill>
                  <w14:solidFill>
                    <w14:schemeClr w14:val="tx1"/>
                  </w14:solidFill>
                </w14:textFill>
              </w:rPr>
            </w:pPr>
          </w:p>
        </w:tc>
      </w:tr>
      <w:tr w14:paraId="669C87A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E4A554">
            <w:pPr>
              <w:widowControl/>
              <w:wordWrap w:val="0"/>
              <w:spacing w:line="200" w:lineRule="atLeast"/>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E3FEBA">
            <w:pPr>
              <w:widowControl/>
              <w:wordWrap w:val="0"/>
              <w:spacing w:line="200" w:lineRule="atLeast"/>
              <w:jc w:val="center"/>
              <w:rPr>
                <w:rFonts w:hint="eastAsia" w:ascii="宋体" w:hAnsi="宋体" w:eastAsia="宋体" w:cs="宋体"/>
                <w:color w:val="000000" w:themeColor="text1"/>
                <w:kern w:val="0"/>
                <w:sz w:val="28"/>
                <w:szCs w:val="28"/>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B550B9">
            <w:pPr>
              <w:widowControl/>
              <w:wordWrap w:val="0"/>
              <w:spacing w:line="200" w:lineRule="atLeast"/>
              <w:jc w:val="center"/>
              <w:rPr>
                <w:rFonts w:hint="eastAsia" w:ascii="宋体" w:hAnsi="宋体" w:eastAsia="宋体" w:cs="宋体"/>
                <w:color w:val="000000" w:themeColor="text1"/>
                <w:kern w:val="0"/>
                <w:sz w:val="28"/>
                <w:szCs w:val="28"/>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2DD504">
            <w:pPr>
              <w:widowControl/>
              <w:wordWrap w:val="0"/>
              <w:spacing w:line="200" w:lineRule="atLeast"/>
              <w:jc w:val="center"/>
              <w:rPr>
                <w:rFonts w:hint="eastAsia" w:ascii="宋体" w:hAnsi="宋体" w:eastAsia="宋体" w:cs="宋体"/>
                <w:color w:val="000000" w:themeColor="text1"/>
                <w:kern w:val="0"/>
                <w:sz w:val="28"/>
                <w:szCs w:val="28"/>
                <w14:textFill>
                  <w14:solidFill>
                    <w14:schemeClr w14:val="tx1"/>
                  </w14:solidFill>
                </w14:textFill>
              </w:rPr>
            </w:pPr>
          </w:p>
        </w:tc>
      </w:tr>
    </w:tbl>
    <w:p w14:paraId="7097327D">
      <w:pPr>
        <w:spacing w:line="360" w:lineRule="auto"/>
        <w:contextualSpacing/>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p>
    <w:p w14:paraId="76CDAE53">
      <w:pPr>
        <w:spacing w:line="360" w:lineRule="auto"/>
        <w:ind w:firstLine="480" w:firstLineChars="200"/>
        <w:contextualSpacing/>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1.管理关系：是指不具有出资持股关系的其他单位之间存在的管理与被管理关系，如一些上下级关系的事业单位和团体组织。</w:t>
      </w:r>
    </w:p>
    <w:p w14:paraId="57E81741">
      <w:pPr>
        <w:spacing w:line="360" w:lineRule="auto"/>
        <w:ind w:firstLine="480" w:firstLineChars="200"/>
        <w:contextualSpacing/>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pacing w:val="-6"/>
          <w:sz w:val="24"/>
          <w14:textFill>
            <w14:solidFill>
              <w14:schemeClr w14:val="tx1"/>
            </w14:solidFill>
          </w14:textFill>
        </w:rPr>
        <w:t>本表所指的管理关系仅限于直接管理关系，不包括间接的管理关系。</w:t>
      </w:r>
    </w:p>
    <w:p w14:paraId="3E238E26">
      <w:pPr>
        <w:spacing w:line="360" w:lineRule="auto"/>
        <w:ind w:firstLine="480" w:firstLineChars="200"/>
        <w:contextualSpacing/>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3.供应商不存在直接管理关系的，则在“直接管理关系单位名称”填“无”。</w:t>
      </w:r>
    </w:p>
    <w:p w14:paraId="3D12D432">
      <w:pPr>
        <w:spacing w:line="360" w:lineRule="auto"/>
        <w:contextualSpacing/>
        <w:jc w:val="left"/>
        <w:rPr>
          <w:rFonts w:hint="eastAsia" w:ascii="宋体" w:hAnsi="宋体" w:eastAsia="宋体" w:cs="宋体"/>
          <w:color w:val="000000" w:themeColor="text1"/>
          <w:sz w:val="28"/>
          <w:szCs w:val="28"/>
          <w14:textFill>
            <w14:solidFill>
              <w14:schemeClr w14:val="tx1"/>
            </w14:solidFill>
          </w14:textFill>
        </w:rPr>
      </w:pPr>
    </w:p>
    <w:p w14:paraId="065E4C94">
      <w:pPr>
        <w:spacing w:line="360" w:lineRule="auto"/>
        <w:contextualSpacing/>
        <w:jc w:val="left"/>
        <w:rPr>
          <w:rFonts w:hint="eastAsia" w:ascii="宋体" w:hAnsi="宋体" w:eastAsia="宋体" w:cs="宋体"/>
          <w:color w:val="000000" w:themeColor="text1"/>
          <w:sz w:val="28"/>
          <w:szCs w:val="28"/>
          <w14:textFill>
            <w14:solidFill>
              <w14:schemeClr w14:val="tx1"/>
            </w14:solidFill>
          </w14:textFill>
        </w:rPr>
      </w:pPr>
    </w:p>
    <w:p w14:paraId="5E095360">
      <w:pPr>
        <w:spacing w:line="360" w:lineRule="auto"/>
        <w:contextualSpacing/>
        <w:jc w:val="left"/>
        <w:rPr>
          <w:rFonts w:hint="eastAsia" w:ascii="宋体" w:hAnsi="宋体" w:eastAsia="宋体" w:cs="宋体"/>
          <w:color w:val="000000" w:themeColor="text1"/>
          <w:sz w:val="28"/>
          <w:szCs w:val="28"/>
          <w14:textFill>
            <w14:solidFill>
              <w14:schemeClr w14:val="tx1"/>
            </w14:solidFill>
          </w14:textFill>
        </w:rPr>
      </w:pPr>
    </w:p>
    <w:p w14:paraId="617F6A99">
      <w:pPr>
        <w:spacing w:line="360" w:lineRule="auto"/>
        <w:contextualSpacing/>
        <w:jc w:val="left"/>
        <w:rPr>
          <w:rFonts w:hint="eastAsia" w:ascii="宋体" w:hAnsi="宋体" w:eastAsia="宋体" w:cs="宋体"/>
          <w:color w:val="000000" w:themeColor="text1"/>
          <w:sz w:val="28"/>
          <w:szCs w:val="28"/>
          <w14:textFill>
            <w14:solidFill>
              <w14:schemeClr w14:val="tx1"/>
            </w14:solidFill>
          </w14:textFill>
        </w:rPr>
      </w:pPr>
    </w:p>
    <w:p w14:paraId="33A4D39D">
      <w:pPr>
        <w:spacing w:line="360" w:lineRule="auto"/>
        <w:contextualSpacing/>
        <w:jc w:val="left"/>
        <w:rPr>
          <w:rFonts w:hint="eastAsia" w:ascii="宋体" w:hAnsi="宋体" w:eastAsia="宋体" w:cs="宋体"/>
          <w:color w:val="000000" w:themeColor="text1"/>
          <w:sz w:val="28"/>
          <w:szCs w:val="28"/>
          <w14:textFill>
            <w14:solidFill>
              <w14:schemeClr w14:val="tx1"/>
            </w14:solidFill>
          </w14:textFill>
        </w:rPr>
      </w:pPr>
    </w:p>
    <w:p w14:paraId="3C16B451">
      <w:pPr>
        <w:spacing w:line="360" w:lineRule="auto"/>
        <w:contextualSpacing/>
        <w:jc w:val="left"/>
        <w:rPr>
          <w:rFonts w:hint="eastAsia" w:ascii="宋体" w:hAnsi="宋体" w:eastAsia="宋体" w:cs="宋体"/>
          <w:color w:val="000000" w:themeColor="text1"/>
          <w:sz w:val="28"/>
          <w:szCs w:val="28"/>
          <w14:textFill>
            <w14:solidFill>
              <w14:schemeClr w14:val="tx1"/>
            </w14:solidFill>
          </w14:textFill>
        </w:rPr>
      </w:pPr>
    </w:p>
    <w:p w14:paraId="242A21D3">
      <w:pPr>
        <w:spacing w:line="360" w:lineRule="auto"/>
        <w:ind w:right="480"/>
        <w:contextualSpacing/>
        <w:jc w:val="center"/>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法定代表人或者委托代理人（签字或者电子签名）：</w:t>
      </w:r>
    </w:p>
    <w:p w14:paraId="5E65B89A">
      <w:pPr>
        <w:spacing w:line="360" w:lineRule="auto"/>
        <w:ind w:right="480" w:firstLine="3360" w:firstLineChars="14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供应商（电子签章）：</w:t>
      </w:r>
    </w:p>
    <w:p w14:paraId="683FE2ED">
      <w:pPr>
        <w:spacing w:line="360" w:lineRule="auto"/>
        <w:ind w:right="480" w:firstLine="240" w:firstLineChars="100"/>
        <w:contextualSpacing/>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年月日</w:t>
      </w:r>
    </w:p>
    <w:p w14:paraId="29ECAE50">
      <w:pPr>
        <w:spacing w:line="50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r>
        <w:rPr>
          <w:rFonts w:hint="eastAsia" w:ascii="宋体" w:hAnsi="宋体" w:eastAsia="宋体" w:cs="宋体"/>
          <w:b/>
          <w:color w:val="000000" w:themeColor="text1"/>
          <w:sz w:val="32"/>
          <w:szCs w:val="32"/>
          <w14:textFill>
            <w14:solidFill>
              <w14:schemeClr w14:val="tx1"/>
            </w14:solidFill>
          </w14:textFill>
        </w:rPr>
        <w:t>竞标声明</w:t>
      </w:r>
    </w:p>
    <w:p w14:paraId="786AFB5F">
      <w:pPr>
        <w:spacing w:line="320" w:lineRule="exact"/>
        <w:jc w:val="center"/>
        <w:rPr>
          <w:rFonts w:hint="eastAsia" w:ascii="宋体" w:hAnsi="宋体" w:eastAsia="宋体" w:cs="宋体"/>
          <w:color w:val="000000" w:themeColor="text1"/>
          <w:sz w:val="24"/>
          <w:szCs w:val="20"/>
          <w14:textFill>
            <w14:solidFill>
              <w14:schemeClr w14:val="tx1"/>
            </w14:solidFill>
          </w14:textFill>
        </w:rPr>
      </w:pPr>
    </w:p>
    <w:p w14:paraId="15605869">
      <w:pPr>
        <w:spacing w:line="360" w:lineRule="auto"/>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致：</w:t>
      </w:r>
      <w:r>
        <w:rPr>
          <w:rFonts w:hint="eastAsia" w:ascii="宋体" w:hAnsi="宋体" w:eastAsia="宋体" w:cs="宋体"/>
          <w:color w:val="000000" w:themeColor="text1"/>
          <w:sz w:val="24"/>
          <w:u w:val="single"/>
          <w14:textFill>
            <w14:solidFill>
              <w14:schemeClr w14:val="tx1"/>
            </w14:solidFill>
          </w14:textFill>
        </w:rPr>
        <w:t>（采购人名称）</w:t>
      </w:r>
      <w:r>
        <w:rPr>
          <w:rFonts w:hint="eastAsia" w:ascii="宋体" w:hAnsi="宋体" w:eastAsia="宋体" w:cs="宋体"/>
          <w:color w:val="000000" w:themeColor="text1"/>
          <w:sz w:val="24"/>
          <w14:textFill>
            <w14:solidFill>
              <w14:schemeClr w14:val="tx1"/>
            </w14:solidFill>
          </w14:textFill>
        </w:rPr>
        <w:t>：</w:t>
      </w:r>
    </w:p>
    <w:p w14:paraId="05C9A90C">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我方</w:t>
      </w:r>
      <w:r>
        <w:rPr>
          <w:rFonts w:hint="eastAsia" w:ascii="宋体" w:hAnsi="宋体" w:eastAsia="宋体" w:cs="宋体"/>
          <w:color w:val="000000" w:themeColor="text1"/>
          <w:sz w:val="24"/>
          <w:u w:val="single"/>
          <w14:textFill>
            <w14:solidFill>
              <w14:schemeClr w14:val="tx1"/>
            </w14:solidFill>
          </w14:textFill>
        </w:rPr>
        <w:t>（供应商名称）</w:t>
      </w:r>
      <w:r>
        <w:rPr>
          <w:rFonts w:hint="eastAsia" w:ascii="宋体" w:hAnsi="宋体" w:eastAsia="宋体" w:cs="宋体"/>
          <w:color w:val="000000" w:themeColor="text1"/>
          <w:sz w:val="24"/>
          <w14:textFill>
            <w14:solidFill>
              <w14:schemeClr w14:val="tx1"/>
            </w14:solidFill>
          </w14:textFill>
        </w:rPr>
        <w:t>系中华人民共和国合法供应商，经营地址。</w:t>
      </w:r>
    </w:p>
    <w:p w14:paraId="3C5B76FB">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我方愿意参加贵方组织的</w:t>
      </w:r>
      <w:r>
        <w:rPr>
          <w:rFonts w:hint="eastAsia" w:ascii="宋体" w:hAnsi="宋体" w:eastAsia="宋体" w:cs="宋体"/>
          <w:color w:val="000000" w:themeColor="text1"/>
          <w:sz w:val="24"/>
          <w:u w:val="single"/>
          <w14:textFill>
            <w14:solidFill>
              <w14:schemeClr w14:val="tx1"/>
            </w14:solidFill>
          </w14:textFill>
        </w:rPr>
        <w:t>（项目名称）</w:t>
      </w:r>
      <w:r>
        <w:rPr>
          <w:rFonts w:hint="eastAsia" w:ascii="宋体" w:hAnsi="宋体" w:eastAsia="宋体" w:cs="宋体"/>
          <w:color w:val="000000" w:themeColor="text1"/>
          <w:sz w:val="24"/>
          <w14:textFill>
            <w14:solidFill>
              <w14:schemeClr w14:val="tx1"/>
            </w14:solidFill>
          </w14:textFill>
        </w:rPr>
        <w:t>项目的竞标，为便于贵方公正、择优地确定成交供应商及其竞标产品和服务，我方就本次竞标有关事项郑重声明如下：</w:t>
      </w:r>
    </w:p>
    <w:p w14:paraId="6FFCBA4C">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1.我方向贵方提交的所有响应文件、资料都是准确的和真实的。</w:t>
      </w:r>
    </w:p>
    <w:p w14:paraId="373780CB">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2.我方不是为本次采购项目提供整体设计、规范编制或者项目管理、监理、检测等服务的供应商。</w:t>
      </w:r>
    </w:p>
    <w:p w14:paraId="7828789C">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3.在此，我方宣布同意如下：</w:t>
      </w:r>
    </w:p>
    <w:p w14:paraId="63F30A56">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（1）将按谈判文件的约定履行合同责任和义务；</w:t>
      </w:r>
    </w:p>
    <w:p w14:paraId="79064FE5">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（2）已详细审查全部谈判文件，包括补遗文件（如有）；</w:t>
      </w:r>
    </w:p>
    <w:p w14:paraId="68D0B641">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（3）同意提供按照贵方可能要求的与谈判有关的一切数据或者资料；</w:t>
      </w:r>
    </w:p>
    <w:p w14:paraId="19B4EF6B">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（4）响应谈判文件规定的竞标有效期。</w:t>
      </w:r>
    </w:p>
    <w:p w14:paraId="6BF8208D">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4.我方承诺符合《中华人民共和国政府采购法》第二十二条规定：</w:t>
      </w:r>
    </w:p>
    <w:p w14:paraId="78A4D250">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（1）具有独立承担民事责任的能力；</w:t>
      </w:r>
    </w:p>
    <w:p w14:paraId="2D3FBDF6">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（2）具有良好的商业信誉和健全的财务会计制度；</w:t>
      </w:r>
    </w:p>
    <w:p w14:paraId="0F6E7560">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（3）具有履行合同所必需的设备和专业技术能力；</w:t>
      </w:r>
    </w:p>
    <w:p w14:paraId="30F51F2D">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（4）有依法缴纳税收和社会保障资金的良好记录；</w:t>
      </w:r>
    </w:p>
    <w:p w14:paraId="2397C896">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（5）参加政府采购活动前三年内，在经营活动中没有重大违法记录；</w:t>
      </w:r>
    </w:p>
    <w:p w14:paraId="57D7ED65">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（6）法律、行政法规规定的其他条件。</w:t>
      </w:r>
    </w:p>
    <w:p w14:paraId="7400D44B">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ED3DFFD">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BFF9865">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□我方本次响应文件</w:t>
      </w:r>
      <w:r>
        <w:rPr>
          <w:rFonts w:hint="eastAsia" w:ascii="宋体" w:hAnsi="宋体" w:eastAsia="宋体" w:cs="宋体"/>
          <w:color w:val="000000" w:themeColor="text1"/>
          <w:kern w:val="0"/>
          <w:sz w:val="24"/>
          <w14:textFill>
            <w14:solidFill>
              <w14:schemeClr w14:val="tx1"/>
            </w14:solidFill>
          </w14:textFill>
        </w:rPr>
        <w:t>内容中</w:t>
      </w:r>
      <w:r>
        <w:rPr>
          <w:rFonts w:hint="eastAsia" w:ascii="宋体" w:hAnsi="宋体" w:eastAsia="宋体" w:cs="宋体"/>
          <w:color w:val="000000" w:themeColor="text1"/>
          <w:sz w:val="24"/>
          <w14:textFill>
            <w14:solidFill>
              <w14:schemeClr w14:val="tx1"/>
            </w14:solidFill>
          </w14:textFill>
        </w:rPr>
        <w:t>未</w:t>
      </w:r>
      <w:r>
        <w:rPr>
          <w:rFonts w:hint="eastAsia" w:ascii="宋体" w:hAnsi="宋体" w:eastAsia="宋体" w:cs="宋体"/>
          <w:color w:val="000000" w:themeColor="text1"/>
          <w:kern w:val="0"/>
          <w:sz w:val="24"/>
          <w14:textFill>
            <w14:solidFill>
              <w14:schemeClr w14:val="tx1"/>
            </w14:solidFill>
          </w14:textFill>
        </w:rPr>
        <w:t>涉及商业秘密；</w:t>
      </w:r>
    </w:p>
    <w:p w14:paraId="10BEFA31">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□我方本次响应文件</w:t>
      </w:r>
      <w:r>
        <w:rPr>
          <w:rFonts w:hint="eastAsia" w:ascii="宋体" w:hAnsi="宋体" w:eastAsia="宋体" w:cs="宋体"/>
          <w:color w:val="000000" w:themeColor="text1"/>
          <w:kern w:val="0"/>
          <w:sz w:val="24"/>
          <w14:textFill>
            <w14:solidFill>
              <w14:schemeClr w14:val="tx1"/>
            </w14:solidFill>
          </w14:textFill>
        </w:rPr>
        <w:t>涉及商业秘密的内容有：；</w:t>
      </w:r>
    </w:p>
    <w:p w14:paraId="389E740F">
      <w:pPr>
        <w:pStyle w:val="14"/>
        <w:spacing w:line="360" w:lineRule="auto"/>
        <w:ind w:firstLine="480" w:firstLineChars="200"/>
        <w:contextualSpacing/>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7.与本谈判有关的一切正式往来信函请寄：邮政编号：</w:t>
      </w:r>
    </w:p>
    <w:p w14:paraId="0C53E9C6">
      <w:pPr>
        <w:pStyle w:val="14"/>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电话/传真：电子邮箱：</w:t>
      </w:r>
    </w:p>
    <w:p w14:paraId="57D15164">
      <w:pPr>
        <w:pStyle w:val="12"/>
        <w:tabs>
          <w:tab w:val="left" w:pos="939"/>
        </w:tabs>
        <w:spacing w:line="360" w:lineRule="auto"/>
        <w:ind w:left="141" w:leftChars="67" w:firstLine="360" w:firstLineChars="1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开户银行：帐号/行号：</w:t>
      </w:r>
    </w:p>
    <w:p w14:paraId="473B1DFB">
      <w:pPr>
        <w:pStyle w:val="12"/>
        <w:tabs>
          <w:tab w:val="left" w:pos="939"/>
        </w:tabs>
        <w:spacing w:line="360" w:lineRule="auto"/>
        <w:ind w:left="141" w:leftChars="67" w:firstLine="360" w:firstLineChars="1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8.以上事项如有虚假或者隐瞒，我方愿意承担一切后果，并不再寻求任何旨在减轻或者免除法律责任的辩解。</w:t>
      </w:r>
    </w:p>
    <w:p w14:paraId="61B967ED">
      <w:pPr>
        <w:pStyle w:val="12"/>
        <w:tabs>
          <w:tab w:val="left" w:pos="939"/>
        </w:tabs>
        <w:spacing w:line="360" w:lineRule="auto"/>
        <w:ind w:left="141" w:leftChars="67" w:firstLine="360" w:firstLineChars="15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特此承诺。</w:t>
      </w:r>
    </w:p>
    <w:p w14:paraId="33FBFF47">
      <w:pPr>
        <w:spacing w:line="360" w:lineRule="auto"/>
        <w:contextualSpacing/>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注：如为联合体竞标，盖章处须加盖联合体牵头人电子签章并由联合体牵头人法定代表人分别签字或者盖章或者电子签名，否则响应文件按无效处理。</w:t>
      </w:r>
    </w:p>
    <w:p w14:paraId="795CA716">
      <w:pPr>
        <w:spacing w:line="360" w:lineRule="auto"/>
        <w:contextualSpacing/>
        <w:jc w:val="left"/>
        <w:rPr>
          <w:rFonts w:hint="eastAsia" w:ascii="宋体" w:hAnsi="宋体" w:eastAsia="宋体" w:cs="宋体"/>
          <w:color w:val="000000" w:themeColor="text1"/>
          <w:szCs w:val="21"/>
          <w14:textFill>
            <w14:solidFill>
              <w14:schemeClr w14:val="tx1"/>
            </w14:solidFill>
          </w14:textFill>
        </w:rPr>
      </w:pPr>
    </w:p>
    <w:p w14:paraId="75008C3C">
      <w:pPr>
        <w:keepNext w:val="0"/>
        <w:keepLines w:val="0"/>
        <w:pageBreakBefore w:val="0"/>
        <w:widowControl w:val="0"/>
        <w:kinsoku/>
        <w:wordWrap/>
        <w:overflowPunct/>
        <w:topLinePunct w:val="0"/>
        <w:autoSpaceDE/>
        <w:autoSpaceDN/>
        <w:bidi w:val="0"/>
        <w:adjustRightInd/>
        <w:snapToGrid/>
        <w:spacing w:line="360" w:lineRule="auto"/>
        <w:ind w:firstLine="1800" w:firstLineChars="750"/>
        <w:contextualSpacing/>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法定代表人（签字或者盖章或者电子签名）：</w:t>
      </w:r>
    </w:p>
    <w:p w14:paraId="71337059">
      <w:pPr>
        <w:keepNext w:val="0"/>
        <w:keepLines w:val="0"/>
        <w:pageBreakBefore w:val="0"/>
        <w:widowControl w:val="0"/>
        <w:kinsoku/>
        <w:wordWrap/>
        <w:overflowPunct/>
        <w:topLinePunct w:val="0"/>
        <w:autoSpaceDE/>
        <w:autoSpaceDN/>
        <w:bidi w:val="0"/>
        <w:adjustRightInd/>
        <w:snapToGrid/>
        <w:spacing w:line="360" w:lineRule="auto"/>
        <w:ind w:firstLine="4320" w:firstLineChars="1800"/>
        <w:contextualSpacing/>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供应商（电子签章）：</w:t>
      </w:r>
    </w:p>
    <w:p w14:paraId="4BBFAF01">
      <w:pPr>
        <w:keepNext w:val="0"/>
        <w:keepLines w:val="0"/>
        <w:pageBreakBefore w:val="0"/>
        <w:widowControl w:val="0"/>
        <w:kinsoku/>
        <w:wordWrap/>
        <w:overflowPunct/>
        <w:topLinePunct w:val="0"/>
        <w:autoSpaceDE/>
        <w:autoSpaceDN/>
        <w:bidi w:val="0"/>
        <w:adjustRightInd/>
        <w:snapToGrid/>
        <w:spacing w:line="360" w:lineRule="auto"/>
        <w:ind w:right="482" w:firstLine="240" w:firstLineChars="100"/>
        <w:contextualSpacing/>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年月日</w:t>
      </w:r>
    </w:p>
    <w:p w14:paraId="07223630">
      <w:pPr>
        <w:pStyle w:val="6"/>
        <w:overflowPunct w:val="0"/>
        <w:spacing w:line="520" w:lineRule="exact"/>
        <w:ind w:firstLine="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r>
        <w:rPr>
          <w:rFonts w:hint="eastAsia" w:ascii="宋体" w:hAnsi="宋体" w:eastAsia="宋体" w:cs="宋体"/>
          <w:color w:val="000000" w:themeColor="text1"/>
          <w:sz w:val="32"/>
          <w:szCs w:val="32"/>
          <w14:textFill>
            <w14:solidFill>
              <w14:schemeClr w14:val="tx1"/>
            </w14:solidFill>
          </w14:textFill>
        </w:rPr>
        <w:t>联合体竞标协议书</w:t>
      </w:r>
    </w:p>
    <w:p w14:paraId="63C69176">
      <w:pPr>
        <w:pStyle w:val="6"/>
        <w:overflowPunct w:val="0"/>
        <w:spacing w:line="360" w:lineRule="auto"/>
        <w:ind w:firstLine="0"/>
        <w:contextualSpacing/>
        <w:rPr>
          <w:rFonts w:hint="eastAsia" w:ascii="宋体" w:hAnsi="宋体" w:eastAsia="宋体" w:cs="宋体"/>
          <w:color w:val="000000" w:themeColor="text1"/>
          <w:sz w:val="24"/>
          <w:szCs w:val="24"/>
          <w14:textFill>
            <w14:solidFill>
              <w14:schemeClr w14:val="tx1"/>
            </w14:solidFill>
          </w14:textFill>
        </w:rPr>
      </w:pPr>
    </w:p>
    <w:p w14:paraId="42225DC1">
      <w:pPr>
        <w:pStyle w:val="6"/>
        <w:overflowPunct w:val="0"/>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（所有成员单位名称）自愿组成（联合体名称）联合体，共同参加（项目名称）采购项目竞标。现就联合体竞标事宜订立如下协议。</w:t>
      </w:r>
    </w:p>
    <w:p w14:paraId="78700D15">
      <w:pPr>
        <w:pStyle w:val="6"/>
        <w:overflowPunct w:val="0"/>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1.（某成员单位名称）为（联合体名称）牵头人。</w:t>
      </w:r>
    </w:p>
    <w:p w14:paraId="6C37CB48">
      <w:pPr>
        <w:pStyle w:val="6"/>
        <w:overflowPunct w:val="0"/>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2E5A8B85">
      <w:pPr>
        <w:pStyle w:val="6"/>
        <w:overflowPunct w:val="0"/>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3.联合体牵头人在本项目中签署和盖章的一切文件和处理的一切事宜，联合体各成员均予以承认。联合体各成员将严格按照谈判文件、响应文件和合同的要求全面履行义务，并向采购人承担连带责任。</w:t>
      </w:r>
    </w:p>
    <w:p w14:paraId="33F68D60">
      <w:pPr>
        <w:pStyle w:val="6"/>
        <w:overflowPunct w:val="0"/>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4.联合体各成员单位内部的职责分工如下：。</w:t>
      </w:r>
    </w:p>
    <w:p w14:paraId="51566672">
      <w:pPr>
        <w:pStyle w:val="6"/>
        <w:overflowPunct w:val="0"/>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5.本</w:t>
      </w:r>
      <w:r>
        <w:rPr>
          <w:rFonts w:hint="eastAsia" w:ascii="宋体" w:hAnsi="宋体" w:eastAsia="宋体" w:cs="宋体"/>
          <w:color w:val="000000" w:themeColor="text1"/>
          <w:spacing w:val="-6"/>
          <w:sz w:val="24"/>
          <w:szCs w:val="24"/>
          <w14:textFill>
            <w14:solidFill>
              <w14:schemeClr w14:val="tx1"/>
            </w14:solidFill>
          </w14:textFill>
        </w:rPr>
        <w:t>协议书自所有成员单位法定代表人或者其委托代理人签字或者盖单位章之日起生效，合同履行完毕后自动失效。</w:t>
      </w:r>
    </w:p>
    <w:p w14:paraId="06AC1DBE">
      <w:pPr>
        <w:pStyle w:val="6"/>
        <w:overflowPunct w:val="0"/>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6.本协议书一式份，联合体成员和采购人各执一份。</w:t>
      </w:r>
    </w:p>
    <w:p w14:paraId="51269D8B">
      <w:pPr>
        <w:pStyle w:val="6"/>
        <w:overflowPunct w:val="0"/>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注：本协议书应附法定代表人身份证明书；有委托代理的，应附权委托书（格式自拟）。</w:t>
      </w:r>
    </w:p>
    <w:p w14:paraId="4EA72C3A">
      <w:pPr>
        <w:pStyle w:val="6"/>
        <w:overflowPunct w:val="0"/>
        <w:spacing w:line="360" w:lineRule="auto"/>
        <w:ind w:firstLineChars="175"/>
        <w:contextualSpacing/>
        <w:rPr>
          <w:rFonts w:hint="eastAsia" w:ascii="宋体" w:hAnsi="宋体" w:eastAsia="宋体" w:cs="宋体"/>
          <w:color w:val="000000" w:themeColor="text1"/>
          <w:sz w:val="24"/>
          <w:szCs w:val="24"/>
          <w14:textFill>
            <w14:solidFill>
              <w14:schemeClr w14:val="tx1"/>
            </w14:solidFill>
          </w14:textFill>
        </w:rPr>
      </w:pPr>
    </w:p>
    <w:p w14:paraId="3E63D1BD">
      <w:pPr>
        <w:pStyle w:val="6"/>
        <w:overflowPunct w:val="0"/>
        <w:spacing w:line="360" w:lineRule="auto"/>
        <w:ind w:firstLine="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联合体牵头人名称（电子签章）：</w:t>
      </w:r>
    </w:p>
    <w:p w14:paraId="733A8C45">
      <w:pPr>
        <w:pStyle w:val="6"/>
        <w:overflowPunct w:val="0"/>
        <w:spacing w:line="360" w:lineRule="auto"/>
        <w:ind w:firstLine="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法定代表人或者其委托代理人（签字或者电子签名）：</w:t>
      </w:r>
    </w:p>
    <w:p w14:paraId="1B4236DC">
      <w:pPr>
        <w:pStyle w:val="6"/>
        <w:overflowPunct w:val="0"/>
        <w:spacing w:line="360" w:lineRule="auto"/>
        <w:ind w:firstLine="0"/>
        <w:contextualSpacing/>
        <w:rPr>
          <w:rFonts w:hint="eastAsia" w:ascii="宋体" w:hAnsi="宋体" w:eastAsia="宋体" w:cs="宋体"/>
          <w:color w:val="000000" w:themeColor="text1"/>
          <w:sz w:val="24"/>
          <w:szCs w:val="24"/>
          <w14:textFill>
            <w14:solidFill>
              <w14:schemeClr w14:val="tx1"/>
            </w14:solidFill>
          </w14:textFill>
        </w:rPr>
      </w:pPr>
    </w:p>
    <w:p w14:paraId="6FA95F4E">
      <w:pPr>
        <w:pStyle w:val="6"/>
        <w:overflowPunct w:val="0"/>
        <w:spacing w:line="360" w:lineRule="auto"/>
        <w:ind w:firstLine="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联合体成员名称（盖公章或者电子签章）：</w:t>
      </w:r>
    </w:p>
    <w:p w14:paraId="2FAF9163">
      <w:pPr>
        <w:pStyle w:val="6"/>
        <w:overflowPunct w:val="0"/>
        <w:spacing w:line="360" w:lineRule="auto"/>
        <w:ind w:firstLine="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法定代表人或者其委托代理人（签字或者电子签名）：</w:t>
      </w:r>
    </w:p>
    <w:p w14:paraId="4438E84C">
      <w:pPr>
        <w:pStyle w:val="6"/>
        <w:overflowPunct w:val="0"/>
        <w:spacing w:line="360" w:lineRule="auto"/>
        <w:ind w:firstLine="0"/>
        <w:contextualSpacing/>
        <w:rPr>
          <w:rFonts w:hint="eastAsia" w:ascii="宋体" w:hAnsi="宋体" w:eastAsia="宋体" w:cs="宋体"/>
          <w:color w:val="000000" w:themeColor="text1"/>
          <w:sz w:val="24"/>
          <w:szCs w:val="24"/>
          <w14:textFill>
            <w14:solidFill>
              <w14:schemeClr w14:val="tx1"/>
            </w14:solidFill>
          </w14:textFill>
        </w:rPr>
      </w:pPr>
    </w:p>
    <w:p w14:paraId="08CA17E2">
      <w:pPr>
        <w:pStyle w:val="6"/>
        <w:overflowPunct w:val="0"/>
        <w:spacing w:line="360" w:lineRule="auto"/>
        <w:ind w:firstLine="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联合体成员名称（盖公章或者电子签章）：</w:t>
      </w:r>
    </w:p>
    <w:p w14:paraId="75C5BB8E">
      <w:pPr>
        <w:pStyle w:val="6"/>
        <w:overflowPunct w:val="0"/>
        <w:spacing w:line="360" w:lineRule="auto"/>
        <w:ind w:firstLine="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法定代表人或者其委托代理人（签字或者电子签名）：</w:t>
      </w:r>
    </w:p>
    <w:p w14:paraId="32BC2942">
      <w:pPr>
        <w:pStyle w:val="6"/>
        <w:overflowPunct w:val="0"/>
        <w:spacing w:line="360" w:lineRule="auto"/>
        <w:ind w:firstLine="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663CA7CA">
      <w:pPr>
        <w:spacing w:line="360" w:lineRule="auto"/>
        <w:contextualSpacing/>
        <w:rPr>
          <w:rFonts w:hint="eastAsia" w:ascii="宋体" w:hAnsi="宋体" w:eastAsia="宋体" w:cs="宋体"/>
          <w:color w:val="000000" w:themeColor="text1"/>
          <w:sz w:val="24"/>
          <w14:textFill>
            <w14:solidFill>
              <w14:schemeClr w14:val="tx1"/>
            </w14:solidFill>
          </w14:textFill>
        </w:rPr>
      </w:pPr>
    </w:p>
    <w:p w14:paraId="0381B21F">
      <w:pPr>
        <w:spacing w:line="360" w:lineRule="auto"/>
        <w:contextualSpacing/>
        <w:rPr>
          <w:rFonts w:hint="eastAsia" w:ascii="宋体" w:hAnsi="宋体" w:eastAsia="宋体" w:cs="宋体"/>
          <w:color w:val="000000" w:themeColor="text1"/>
          <w:sz w:val="24"/>
          <w14:textFill>
            <w14:solidFill>
              <w14:schemeClr w14:val="tx1"/>
            </w14:solidFill>
          </w14:textFill>
        </w:rPr>
      </w:pPr>
    </w:p>
    <w:p w14:paraId="6FC6A534">
      <w:pPr>
        <w:spacing w:line="360" w:lineRule="auto"/>
        <w:contextualSpacing/>
        <w:jc w:val="righ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日期：年月日</w:t>
      </w:r>
    </w:p>
    <w:p w14:paraId="753CC81C">
      <w:pPr>
        <w:spacing w:line="360" w:lineRule="auto"/>
        <w:ind w:right="420"/>
        <w:contextualSpacing/>
        <w:jc w:val="lef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r>
        <w:rPr>
          <w:rFonts w:hint="eastAsia" w:ascii="宋体" w:hAnsi="宋体" w:eastAsia="宋体" w:cs="宋体"/>
          <w:b/>
          <w:bCs/>
          <w:color w:val="000000" w:themeColor="text1"/>
          <w:sz w:val="32"/>
          <w:szCs w:val="32"/>
          <w14:textFill>
            <w14:solidFill>
              <w14:schemeClr w14:val="tx1"/>
            </w14:solidFill>
          </w14:textFill>
        </w:rPr>
        <w:t>二、</w:t>
      </w:r>
      <w:r>
        <w:rPr>
          <w:rFonts w:hint="eastAsia" w:ascii="宋体" w:hAnsi="宋体" w:eastAsia="宋体" w:cs="宋体"/>
          <w:b/>
          <w:color w:val="000000" w:themeColor="text1"/>
          <w:sz w:val="32"/>
          <w:szCs w:val="32"/>
          <w14:textFill>
            <w14:solidFill>
              <w14:schemeClr w14:val="tx1"/>
            </w14:solidFill>
          </w14:textFill>
        </w:rPr>
        <w:t>报价文件格式</w:t>
      </w:r>
    </w:p>
    <w:p w14:paraId="7C4C091F">
      <w:pPr>
        <w:snapToGrid w:val="0"/>
        <w:spacing w:beforeLines="50" w:after="50" w:line="360" w:lineRule="auto"/>
        <w:jc w:val="lef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1.报价文件封面格式</w:t>
      </w:r>
    </w:p>
    <w:p w14:paraId="4C4EAD1C">
      <w:pPr>
        <w:snapToGrid w:val="0"/>
        <w:spacing w:beforeLines="50" w:after="50"/>
        <w:rPr>
          <w:rFonts w:hint="eastAsia" w:ascii="宋体" w:hAnsi="宋体" w:eastAsia="宋体" w:cs="宋体"/>
          <w:bCs/>
          <w:color w:val="000000" w:themeColor="text1"/>
          <w:sz w:val="32"/>
          <w:szCs w:val="20"/>
          <w14:textFill>
            <w14:solidFill>
              <w14:schemeClr w14:val="tx1"/>
            </w14:solidFill>
          </w14:textFill>
        </w:rPr>
      </w:pPr>
    </w:p>
    <w:p w14:paraId="4C15AC5D">
      <w:pPr>
        <w:snapToGrid w:val="0"/>
        <w:spacing w:beforeLines="50" w:after="50"/>
        <w:jc w:val="center"/>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电子响应文件</w:t>
      </w:r>
    </w:p>
    <w:p w14:paraId="534B44A7">
      <w:pPr>
        <w:snapToGrid w:val="0"/>
        <w:spacing w:beforeLines="50" w:after="50"/>
        <w:rPr>
          <w:rFonts w:hint="eastAsia" w:ascii="宋体" w:hAnsi="宋体" w:eastAsia="宋体" w:cs="宋体"/>
          <w:color w:val="000000" w:themeColor="text1"/>
          <w:sz w:val="24"/>
          <w:szCs w:val="20"/>
          <w14:textFill>
            <w14:solidFill>
              <w14:schemeClr w14:val="tx1"/>
            </w14:solidFill>
          </w14:textFill>
        </w:rPr>
      </w:pPr>
    </w:p>
    <w:p w14:paraId="0C6C4CD2">
      <w:pPr>
        <w:snapToGrid w:val="0"/>
        <w:spacing w:beforeLines="50" w:after="50"/>
        <w:rPr>
          <w:rFonts w:hint="eastAsia" w:ascii="宋体" w:hAnsi="宋体" w:eastAsia="宋体" w:cs="宋体"/>
          <w:color w:val="000000" w:themeColor="text1"/>
          <w:sz w:val="24"/>
          <w:szCs w:val="20"/>
          <w14:textFill>
            <w14:solidFill>
              <w14:schemeClr w14:val="tx1"/>
            </w14:solidFill>
          </w14:textFill>
        </w:rPr>
      </w:pPr>
    </w:p>
    <w:p w14:paraId="418CF2D0">
      <w:pPr>
        <w:snapToGrid w:val="0"/>
        <w:spacing w:beforeLines="50" w:after="50"/>
        <w:jc w:val="center"/>
        <w:rPr>
          <w:rFonts w:hint="eastAsia" w:ascii="宋体" w:hAnsi="宋体" w:eastAsia="宋体" w:cs="宋体"/>
          <w:bCs/>
          <w:color w:val="000000" w:themeColor="text1"/>
          <w:sz w:val="44"/>
          <w:szCs w:val="44"/>
          <w14:textFill>
            <w14:solidFill>
              <w14:schemeClr w14:val="tx1"/>
            </w14:solidFill>
          </w14:textFill>
        </w:rPr>
      </w:pPr>
      <w:r>
        <w:rPr>
          <w:rFonts w:hint="eastAsia" w:ascii="宋体" w:hAnsi="宋体" w:eastAsia="宋体" w:cs="宋体"/>
          <w:bCs/>
          <w:color w:val="000000" w:themeColor="text1"/>
          <w:sz w:val="44"/>
          <w:szCs w:val="44"/>
          <w14:textFill>
            <w14:solidFill>
              <w14:schemeClr w14:val="tx1"/>
            </w14:solidFill>
          </w14:textFill>
        </w:rPr>
        <w:t>报价文件</w:t>
      </w:r>
    </w:p>
    <w:p w14:paraId="79078D5A">
      <w:pPr>
        <w:snapToGrid w:val="0"/>
        <w:spacing w:beforeLines="50" w:after="50"/>
        <w:rPr>
          <w:rFonts w:hint="eastAsia" w:ascii="宋体" w:hAnsi="宋体" w:eastAsia="宋体" w:cs="宋体"/>
          <w:bCs/>
          <w:color w:val="000000" w:themeColor="text1"/>
          <w:sz w:val="24"/>
          <w:szCs w:val="20"/>
          <w14:textFill>
            <w14:solidFill>
              <w14:schemeClr w14:val="tx1"/>
            </w14:solidFill>
          </w14:textFill>
        </w:rPr>
      </w:pPr>
    </w:p>
    <w:p w14:paraId="5418CEE9">
      <w:pPr>
        <w:snapToGrid w:val="0"/>
        <w:spacing w:beforeLines="50" w:after="50"/>
        <w:rPr>
          <w:rFonts w:hint="eastAsia" w:ascii="宋体" w:hAnsi="宋体" w:eastAsia="宋体" w:cs="宋体"/>
          <w:bCs/>
          <w:color w:val="000000" w:themeColor="text1"/>
          <w:sz w:val="24"/>
          <w:szCs w:val="20"/>
          <w14:textFill>
            <w14:solidFill>
              <w14:schemeClr w14:val="tx1"/>
            </w14:solidFill>
          </w14:textFill>
        </w:rPr>
      </w:pPr>
    </w:p>
    <w:p w14:paraId="51F30C46">
      <w:pPr>
        <w:snapToGrid w:val="0"/>
        <w:spacing w:beforeLines="50" w:after="50"/>
        <w:rPr>
          <w:rFonts w:hint="eastAsia" w:ascii="宋体" w:hAnsi="宋体" w:eastAsia="宋体" w:cs="宋体"/>
          <w:bCs/>
          <w:color w:val="000000" w:themeColor="text1"/>
          <w:sz w:val="24"/>
          <w:szCs w:val="20"/>
          <w14:textFill>
            <w14:solidFill>
              <w14:schemeClr w14:val="tx1"/>
            </w14:solidFill>
          </w14:textFill>
        </w:rPr>
      </w:pPr>
    </w:p>
    <w:p w14:paraId="47B02B6E">
      <w:pPr>
        <w:snapToGrid w:val="0"/>
        <w:spacing w:beforeLines="50" w:after="50"/>
        <w:rPr>
          <w:rFonts w:hint="eastAsia" w:ascii="宋体" w:hAnsi="宋体" w:eastAsia="宋体" w:cs="宋体"/>
          <w:bCs/>
          <w:color w:val="000000" w:themeColor="text1"/>
          <w:sz w:val="24"/>
          <w:szCs w:val="20"/>
          <w14:textFill>
            <w14:solidFill>
              <w14:schemeClr w14:val="tx1"/>
            </w14:solidFill>
          </w14:textFill>
        </w:rPr>
      </w:pPr>
    </w:p>
    <w:p w14:paraId="52CD391D">
      <w:pPr>
        <w:snapToGrid w:val="0"/>
        <w:spacing w:beforeLines="50" w:after="50"/>
        <w:rPr>
          <w:rFonts w:hint="eastAsia" w:ascii="宋体" w:hAnsi="宋体" w:eastAsia="宋体" w:cs="宋体"/>
          <w:bCs/>
          <w:color w:val="000000" w:themeColor="text1"/>
          <w:sz w:val="24"/>
          <w:szCs w:val="20"/>
          <w14:textFill>
            <w14:solidFill>
              <w14:schemeClr w14:val="tx1"/>
            </w14:solidFill>
          </w14:textFill>
        </w:rPr>
      </w:pPr>
    </w:p>
    <w:p w14:paraId="43B7FF44">
      <w:pPr>
        <w:snapToGrid w:val="0"/>
        <w:spacing w:beforeLines="50" w:after="50"/>
        <w:ind w:firstLine="640" w:firstLineChars="20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项目名称：</w:t>
      </w:r>
    </w:p>
    <w:p w14:paraId="7FF13FF8">
      <w:pPr>
        <w:snapToGrid w:val="0"/>
        <w:spacing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14:paraId="78B524C9">
      <w:pPr>
        <w:snapToGrid w:val="0"/>
        <w:spacing w:beforeLines="50" w:after="50"/>
        <w:ind w:firstLine="640" w:firstLineChars="20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p>
    <w:p w14:paraId="520DEDA8">
      <w:pPr>
        <w:snapToGrid w:val="0"/>
        <w:spacing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14:paraId="27AB6923">
      <w:pPr>
        <w:snapToGrid w:val="0"/>
        <w:spacing w:beforeLines="50" w:after="50"/>
        <w:ind w:firstLine="640" w:firstLineChars="20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所竞分标（如有则填写，无分标时填写“无”或者留空）：</w:t>
      </w:r>
    </w:p>
    <w:p w14:paraId="46A6624D">
      <w:pPr>
        <w:snapToGrid w:val="0"/>
        <w:spacing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14:paraId="7D31A926">
      <w:pPr>
        <w:pStyle w:val="6"/>
        <w:snapToGrid w:val="0"/>
        <w:spacing w:before="50" w:after="50"/>
        <w:ind w:firstLine="640" w:firstLineChars="20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供应商名称：</w:t>
      </w:r>
    </w:p>
    <w:p w14:paraId="3B2DA2A8">
      <w:pPr>
        <w:pStyle w:val="6"/>
        <w:snapToGrid w:val="0"/>
        <w:spacing w:before="50" w:after="50"/>
        <w:ind w:firstLine="640" w:firstLineChars="200"/>
        <w:rPr>
          <w:rFonts w:hint="eastAsia" w:ascii="宋体" w:hAnsi="宋体" w:eastAsia="宋体" w:cs="宋体"/>
          <w:bCs/>
          <w:color w:val="000000" w:themeColor="text1"/>
          <w:sz w:val="32"/>
          <w:szCs w:val="32"/>
          <w14:textFill>
            <w14:solidFill>
              <w14:schemeClr w14:val="tx1"/>
            </w14:solidFill>
          </w14:textFill>
        </w:rPr>
      </w:pPr>
    </w:p>
    <w:p w14:paraId="13BD7F01">
      <w:pPr>
        <w:pStyle w:val="6"/>
        <w:snapToGrid w:val="0"/>
        <w:spacing w:before="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14:paraId="3F18A151">
      <w:pPr>
        <w:pStyle w:val="6"/>
        <w:snapToGrid w:val="0"/>
        <w:spacing w:before="50" w:after="50"/>
        <w:ind w:firstLine="0"/>
        <w:rPr>
          <w:rFonts w:hint="eastAsia" w:ascii="宋体" w:hAnsi="宋体" w:eastAsia="宋体" w:cs="宋体"/>
          <w:bCs/>
          <w:color w:val="000000" w:themeColor="text1"/>
          <w:sz w:val="32"/>
          <w:szCs w:val="32"/>
          <w14:textFill>
            <w14:solidFill>
              <w14:schemeClr w14:val="tx1"/>
            </w14:solidFill>
          </w14:textFill>
        </w:rPr>
      </w:pPr>
    </w:p>
    <w:p w14:paraId="3C18641B">
      <w:pPr>
        <w:pStyle w:val="6"/>
        <w:snapToGrid w:val="0"/>
        <w:spacing w:before="50" w:after="50"/>
        <w:ind w:firstLine="1280" w:firstLineChars="400"/>
        <w:rPr>
          <w:rFonts w:hint="eastAsia" w:ascii="宋体" w:hAnsi="宋体" w:eastAsia="宋体" w:cs="宋体"/>
          <w:bCs/>
          <w:color w:val="000000" w:themeColor="text1"/>
          <w:sz w:val="32"/>
          <w:szCs w:val="32"/>
          <w14:textFill>
            <w14:solidFill>
              <w14:schemeClr w14:val="tx1"/>
            </w14:solidFill>
          </w14:textFill>
        </w:rPr>
      </w:pPr>
    </w:p>
    <w:p w14:paraId="73F47687">
      <w:pPr>
        <w:snapToGrid w:val="0"/>
        <w:spacing w:beforeLines="50" w:after="5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年月日</w:t>
      </w:r>
    </w:p>
    <w:p w14:paraId="4A7D892F">
      <w:pPr>
        <w:snapToGrid w:val="0"/>
        <w:spacing w:beforeLines="50" w:after="50" w:line="360" w:lineRule="auto"/>
        <w:ind w:left="142"/>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r>
        <w:rPr>
          <w:rFonts w:hint="eastAsia" w:ascii="宋体" w:hAnsi="宋体" w:eastAsia="宋体" w:cs="宋体"/>
          <w:b/>
          <w:bCs/>
          <w:color w:val="000000" w:themeColor="text1"/>
          <w:sz w:val="32"/>
          <w:szCs w:val="32"/>
          <w14:textFill>
            <w14:solidFill>
              <w14:schemeClr w14:val="tx1"/>
            </w14:solidFill>
          </w14:textFill>
        </w:rPr>
        <w:t>2.报价文件目录</w:t>
      </w:r>
    </w:p>
    <w:p w14:paraId="1ED6CFFC">
      <w:pPr>
        <w:tabs>
          <w:tab w:val="left" w:pos="3479"/>
        </w:tabs>
        <w:spacing w:line="520" w:lineRule="exact"/>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根据谈判文件规定及供应商提供的材料自行编写目录（部分格式后附）。</w:t>
      </w:r>
    </w:p>
    <w:p w14:paraId="428D53D9">
      <w:pPr>
        <w:tabs>
          <w:tab w:val="left" w:pos="3479"/>
        </w:tabs>
        <w:spacing w:line="520" w:lineRule="exact"/>
        <w:jc w:val="center"/>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r>
        <w:rPr>
          <w:rFonts w:hint="eastAsia" w:ascii="宋体" w:hAnsi="宋体" w:eastAsia="宋体" w:cs="宋体"/>
          <w:bCs/>
          <w:color w:val="000000" w:themeColor="text1"/>
          <w:sz w:val="44"/>
          <w:szCs w:val="44"/>
          <w14:textFill>
            <w14:solidFill>
              <w14:schemeClr w14:val="tx1"/>
            </w14:solidFill>
          </w14:textFill>
        </w:rPr>
        <w:t>竞标报价表</w:t>
      </w:r>
    </w:p>
    <w:p w14:paraId="1AF592B8">
      <w:pPr>
        <w:spacing w:line="520" w:lineRule="exact"/>
        <w:jc w:val="center"/>
        <w:rPr>
          <w:rFonts w:hint="eastAsia" w:ascii="宋体" w:hAnsi="宋体" w:eastAsia="宋体" w:cs="宋体"/>
          <w:bCs/>
          <w:color w:val="000000" w:themeColor="text1"/>
          <w:sz w:val="32"/>
          <w:szCs w:val="32"/>
          <w14:textFill>
            <w14:solidFill>
              <w14:schemeClr w14:val="tx1"/>
            </w14:solidFill>
          </w14:textFill>
        </w:rPr>
      </w:pPr>
    </w:p>
    <w:p w14:paraId="72DF6446">
      <w:pPr>
        <w:snapToGrid w:val="0"/>
        <w:spacing w:before="50" w:after="50"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项目编号</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分标（如有）：</w:t>
      </w:r>
    </w:p>
    <w:p w14:paraId="6DCD9731">
      <w:pPr>
        <w:snapToGrid w:val="0"/>
        <w:spacing w:before="50" w:after="50"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w:t>
      </w:r>
    </w:p>
    <w:p w14:paraId="30B60033">
      <w:pPr>
        <w:snapToGrid w:val="0"/>
        <w:spacing w:before="50" w:after="50" w:line="360" w:lineRule="auto"/>
        <w:ind w:firstLine="5520" w:firstLineChars="2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单位：元</w:t>
      </w:r>
    </w:p>
    <w:tbl>
      <w:tblPr>
        <w:tblStyle w:val="24"/>
        <w:tblW w:w="105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504"/>
        <w:gridCol w:w="414"/>
        <w:gridCol w:w="1065"/>
        <w:gridCol w:w="1200"/>
        <w:gridCol w:w="1095"/>
        <w:gridCol w:w="1095"/>
        <w:gridCol w:w="780"/>
        <w:gridCol w:w="1725"/>
      </w:tblGrid>
      <w:tr w14:paraId="2AA22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1E84238C">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项号</w:t>
            </w:r>
          </w:p>
        </w:tc>
        <w:tc>
          <w:tcPr>
            <w:tcW w:w="1065" w:type="dxa"/>
            <w:tcBorders>
              <w:top w:val="single" w:color="auto" w:sz="4" w:space="0"/>
              <w:left w:val="single" w:color="auto" w:sz="4" w:space="0"/>
              <w:bottom w:val="single" w:color="auto" w:sz="4" w:space="0"/>
              <w:right w:val="single" w:color="auto" w:sz="4" w:space="0"/>
            </w:tcBorders>
            <w:vAlign w:val="center"/>
          </w:tcPr>
          <w:p w14:paraId="34338902">
            <w:pPr>
              <w:spacing w:line="360" w:lineRule="auto"/>
              <w:jc w:val="center"/>
              <w:rPr>
                <w:rFonts w:hint="eastAsia" w:ascii="宋体" w:hAnsi="宋体" w:eastAsia="宋体" w:cs="宋体"/>
                <w:b/>
                <w:bCs/>
                <w:color w:val="000000" w:themeColor="text1"/>
                <w:sz w:val="24"/>
                <w:lang w:eastAsia="zh-CN"/>
                <w14:textFill>
                  <w14:solidFill>
                    <w14:schemeClr w14:val="tx1"/>
                  </w14:solidFill>
                </w14:textFill>
              </w:rPr>
            </w:pPr>
            <w:r>
              <w:rPr>
                <w:rFonts w:hint="eastAsia" w:ascii="宋体" w:hAnsi="宋体" w:cs="宋体"/>
                <w:b/>
                <w:bCs/>
                <w:color w:val="000000" w:themeColor="text1"/>
                <w:sz w:val="24"/>
                <w:lang w:eastAsia="zh-CN"/>
                <w14:textFill>
                  <w14:solidFill>
                    <w14:schemeClr w14:val="tx1"/>
                  </w14:solidFill>
                </w14:textFill>
              </w:rPr>
              <w:t>标的名称</w:t>
            </w:r>
          </w:p>
        </w:tc>
        <w:tc>
          <w:tcPr>
            <w:tcW w:w="1005" w:type="dxa"/>
            <w:tcBorders>
              <w:top w:val="single" w:color="auto" w:sz="4" w:space="0"/>
              <w:left w:val="single" w:color="auto" w:sz="4" w:space="0"/>
              <w:bottom w:val="single" w:color="auto" w:sz="4" w:space="0"/>
              <w:right w:val="single" w:color="auto" w:sz="4" w:space="0"/>
            </w:tcBorders>
            <w:vAlign w:val="center"/>
          </w:tcPr>
          <w:p w14:paraId="5E70879C">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数量</w:t>
            </w:r>
          </w:p>
          <w:p w14:paraId="69618EF8">
            <w:pPr>
              <w:pStyle w:val="53"/>
              <w:numPr>
                <w:ilvl w:val="0"/>
                <w:numId w:val="3"/>
              </w:numPr>
              <w:spacing w:line="360" w:lineRule="auto"/>
              <w:ind w:firstLineChars="0"/>
              <w:jc w:val="center"/>
              <w:rPr>
                <w:rFonts w:hint="eastAsia" w:ascii="宋体" w:hAnsi="宋体" w:eastAsia="宋体" w:cs="宋体"/>
                <w:b/>
                <w:bCs/>
                <w:color w:val="000000" w:themeColor="text1"/>
                <w:sz w:val="24"/>
                <w14:textFill>
                  <w14:solidFill>
                    <w14:schemeClr w14:val="tx1"/>
                  </w14:solidFill>
                </w14:textFill>
              </w:rPr>
            </w:pPr>
          </w:p>
        </w:tc>
        <w:tc>
          <w:tcPr>
            <w:tcW w:w="504" w:type="dxa"/>
            <w:tcBorders>
              <w:top w:val="single" w:color="auto" w:sz="4" w:space="0"/>
              <w:left w:val="single" w:color="auto" w:sz="4" w:space="0"/>
              <w:bottom w:val="single" w:color="auto" w:sz="4" w:space="0"/>
              <w:right w:val="single" w:color="auto" w:sz="4" w:space="0"/>
            </w:tcBorders>
            <w:vAlign w:val="center"/>
          </w:tcPr>
          <w:p w14:paraId="2F57F6EE">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单位</w:t>
            </w:r>
          </w:p>
        </w:tc>
        <w:tc>
          <w:tcPr>
            <w:tcW w:w="414" w:type="dxa"/>
            <w:tcBorders>
              <w:top w:val="single" w:color="auto" w:sz="4" w:space="0"/>
              <w:left w:val="single" w:color="auto" w:sz="4" w:space="0"/>
              <w:bottom w:val="single" w:color="auto" w:sz="4" w:space="0"/>
              <w:right w:val="single" w:color="auto" w:sz="4" w:space="0"/>
            </w:tcBorders>
            <w:vAlign w:val="center"/>
          </w:tcPr>
          <w:p w14:paraId="77D9A3D8">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品牌</w:t>
            </w:r>
          </w:p>
        </w:tc>
        <w:tc>
          <w:tcPr>
            <w:tcW w:w="1065" w:type="dxa"/>
            <w:tcBorders>
              <w:top w:val="single" w:color="auto" w:sz="4" w:space="0"/>
              <w:left w:val="single" w:color="auto" w:sz="4" w:space="0"/>
              <w:bottom w:val="single" w:color="auto" w:sz="4" w:space="0"/>
              <w:right w:val="single" w:color="auto" w:sz="4" w:space="0"/>
            </w:tcBorders>
            <w:vAlign w:val="center"/>
          </w:tcPr>
          <w:p w14:paraId="299E3158">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规格</w:t>
            </w:r>
          </w:p>
          <w:p w14:paraId="23205791">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型号</w:t>
            </w:r>
          </w:p>
        </w:tc>
        <w:tc>
          <w:tcPr>
            <w:tcW w:w="1200" w:type="dxa"/>
            <w:tcBorders>
              <w:top w:val="single" w:color="auto" w:sz="4" w:space="0"/>
              <w:left w:val="single" w:color="auto" w:sz="4" w:space="0"/>
              <w:bottom w:val="single" w:color="auto" w:sz="4" w:space="0"/>
              <w:right w:val="single" w:color="auto" w:sz="4" w:space="0"/>
            </w:tcBorders>
            <w:vAlign w:val="center"/>
          </w:tcPr>
          <w:p w14:paraId="0A7BE59B">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制造商</w:t>
            </w:r>
          </w:p>
        </w:tc>
        <w:tc>
          <w:tcPr>
            <w:tcW w:w="1095" w:type="dxa"/>
            <w:tcBorders>
              <w:top w:val="single" w:color="auto" w:sz="4" w:space="0"/>
              <w:left w:val="single" w:color="auto" w:sz="4" w:space="0"/>
              <w:bottom w:val="single" w:color="auto" w:sz="4" w:space="0"/>
              <w:right w:val="single" w:color="auto" w:sz="4" w:space="0"/>
            </w:tcBorders>
            <w:vAlign w:val="center"/>
          </w:tcPr>
          <w:p w14:paraId="4311113F">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原产地</w:t>
            </w:r>
          </w:p>
        </w:tc>
        <w:tc>
          <w:tcPr>
            <w:tcW w:w="1095" w:type="dxa"/>
            <w:tcBorders>
              <w:top w:val="single" w:color="auto" w:sz="4" w:space="0"/>
              <w:left w:val="single" w:color="auto" w:sz="4" w:space="0"/>
              <w:bottom w:val="single" w:color="auto" w:sz="4" w:space="0"/>
              <w:right w:val="single" w:color="auto" w:sz="4" w:space="0"/>
            </w:tcBorders>
            <w:vAlign w:val="center"/>
          </w:tcPr>
          <w:p w14:paraId="6C4602DA">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参数性能、指标及配置</w:t>
            </w:r>
          </w:p>
        </w:tc>
        <w:tc>
          <w:tcPr>
            <w:tcW w:w="780" w:type="dxa"/>
            <w:tcBorders>
              <w:top w:val="single" w:color="auto" w:sz="4" w:space="0"/>
              <w:left w:val="single" w:color="auto" w:sz="4" w:space="0"/>
              <w:bottom w:val="single" w:color="auto" w:sz="4" w:space="0"/>
              <w:right w:val="single" w:color="auto" w:sz="4" w:space="0"/>
            </w:tcBorders>
            <w:vAlign w:val="center"/>
          </w:tcPr>
          <w:p w14:paraId="68EA7581">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单价</w:t>
            </w:r>
          </w:p>
          <w:p w14:paraId="098AFFAA">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②</w:t>
            </w:r>
          </w:p>
        </w:tc>
        <w:tc>
          <w:tcPr>
            <w:tcW w:w="1725" w:type="dxa"/>
            <w:tcBorders>
              <w:top w:val="single" w:color="auto" w:sz="4" w:space="0"/>
              <w:left w:val="single" w:color="auto" w:sz="4" w:space="0"/>
              <w:bottom w:val="single" w:color="auto" w:sz="4" w:space="0"/>
              <w:right w:val="single" w:color="auto" w:sz="4" w:space="0"/>
            </w:tcBorders>
            <w:vAlign w:val="center"/>
          </w:tcPr>
          <w:p w14:paraId="47D8979A">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竞标报价</w:t>
            </w:r>
          </w:p>
          <w:p w14:paraId="01D38124">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③=①×②</w:t>
            </w:r>
          </w:p>
        </w:tc>
      </w:tr>
      <w:tr w14:paraId="02661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44AEA1C0">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1065" w:type="dxa"/>
            <w:tcBorders>
              <w:top w:val="single" w:color="auto" w:sz="4" w:space="0"/>
              <w:left w:val="single" w:color="auto" w:sz="4" w:space="0"/>
              <w:bottom w:val="single" w:color="auto" w:sz="4" w:space="0"/>
              <w:right w:val="single" w:color="auto" w:sz="4" w:space="0"/>
            </w:tcBorders>
            <w:vAlign w:val="center"/>
          </w:tcPr>
          <w:p w14:paraId="5056F0DC">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14:paraId="3796401F">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504" w:type="dxa"/>
            <w:tcBorders>
              <w:top w:val="single" w:color="auto" w:sz="4" w:space="0"/>
              <w:left w:val="single" w:color="auto" w:sz="4" w:space="0"/>
              <w:bottom w:val="single" w:color="auto" w:sz="4" w:space="0"/>
              <w:right w:val="single" w:color="auto" w:sz="4" w:space="0"/>
            </w:tcBorders>
            <w:vAlign w:val="center"/>
          </w:tcPr>
          <w:p w14:paraId="419F3F53">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414" w:type="dxa"/>
            <w:tcBorders>
              <w:top w:val="single" w:color="auto" w:sz="4" w:space="0"/>
              <w:left w:val="single" w:color="auto" w:sz="4" w:space="0"/>
              <w:bottom w:val="single" w:color="auto" w:sz="4" w:space="0"/>
              <w:right w:val="single" w:color="auto" w:sz="4" w:space="0"/>
            </w:tcBorders>
            <w:vAlign w:val="center"/>
          </w:tcPr>
          <w:p w14:paraId="078F3EDE">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vAlign w:val="center"/>
          </w:tcPr>
          <w:p w14:paraId="27D592B4">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6835B3E0">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tcPr>
          <w:p w14:paraId="38166201">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376240EB">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vAlign w:val="center"/>
          </w:tcPr>
          <w:p w14:paraId="0335B11D">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4" w:space="0"/>
            </w:tcBorders>
            <w:vAlign w:val="center"/>
          </w:tcPr>
          <w:p w14:paraId="6A3D30AA">
            <w:pPr>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758BF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75F9814C">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1065" w:type="dxa"/>
            <w:tcBorders>
              <w:top w:val="single" w:color="auto" w:sz="4" w:space="0"/>
              <w:left w:val="single" w:color="auto" w:sz="4" w:space="0"/>
              <w:bottom w:val="single" w:color="auto" w:sz="4" w:space="0"/>
              <w:right w:val="single" w:color="auto" w:sz="4" w:space="0"/>
            </w:tcBorders>
            <w:vAlign w:val="center"/>
          </w:tcPr>
          <w:p w14:paraId="538453FA">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14:paraId="5428F4A3">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504" w:type="dxa"/>
            <w:tcBorders>
              <w:top w:val="single" w:color="auto" w:sz="4" w:space="0"/>
              <w:left w:val="single" w:color="auto" w:sz="4" w:space="0"/>
              <w:bottom w:val="single" w:color="auto" w:sz="4" w:space="0"/>
              <w:right w:val="single" w:color="auto" w:sz="4" w:space="0"/>
            </w:tcBorders>
            <w:vAlign w:val="center"/>
          </w:tcPr>
          <w:p w14:paraId="130EF732">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414" w:type="dxa"/>
            <w:tcBorders>
              <w:top w:val="single" w:color="auto" w:sz="4" w:space="0"/>
              <w:left w:val="single" w:color="auto" w:sz="4" w:space="0"/>
              <w:bottom w:val="single" w:color="auto" w:sz="4" w:space="0"/>
              <w:right w:val="single" w:color="auto" w:sz="4" w:space="0"/>
            </w:tcBorders>
            <w:vAlign w:val="center"/>
          </w:tcPr>
          <w:p w14:paraId="25E3FB3F">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vAlign w:val="center"/>
          </w:tcPr>
          <w:p w14:paraId="53F71438">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3CB59C13">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tcPr>
          <w:p w14:paraId="288177E2">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0C7E026B">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vAlign w:val="center"/>
          </w:tcPr>
          <w:p w14:paraId="55D79643">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4" w:space="0"/>
            </w:tcBorders>
            <w:vAlign w:val="center"/>
          </w:tcPr>
          <w:p w14:paraId="5998C5A6">
            <w:pPr>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6B1EF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59BFB40">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tc>
        <w:tc>
          <w:tcPr>
            <w:tcW w:w="1065" w:type="dxa"/>
            <w:tcBorders>
              <w:top w:val="single" w:color="auto" w:sz="4" w:space="0"/>
              <w:left w:val="single" w:color="auto" w:sz="4" w:space="0"/>
              <w:bottom w:val="single" w:color="auto" w:sz="4" w:space="0"/>
              <w:right w:val="single" w:color="auto" w:sz="4" w:space="0"/>
            </w:tcBorders>
            <w:vAlign w:val="center"/>
          </w:tcPr>
          <w:p w14:paraId="27E4FCE4">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tc>
        <w:tc>
          <w:tcPr>
            <w:tcW w:w="1005" w:type="dxa"/>
            <w:tcBorders>
              <w:top w:val="single" w:color="auto" w:sz="4" w:space="0"/>
              <w:left w:val="single" w:color="auto" w:sz="4" w:space="0"/>
              <w:bottom w:val="single" w:color="auto" w:sz="4" w:space="0"/>
              <w:right w:val="single" w:color="auto" w:sz="4" w:space="0"/>
            </w:tcBorders>
            <w:vAlign w:val="center"/>
          </w:tcPr>
          <w:p w14:paraId="20251D40">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504" w:type="dxa"/>
            <w:tcBorders>
              <w:top w:val="single" w:color="auto" w:sz="4" w:space="0"/>
              <w:left w:val="single" w:color="auto" w:sz="4" w:space="0"/>
              <w:bottom w:val="single" w:color="auto" w:sz="4" w:space="0"/>
              <w:right w:val="single" w:color="auto" w:sz="4" w:space="0"/>
            </w:tcBorders>
            <w:vAlign w:val="center"/>
          </w:tcPr>
          <w:p w14:paraId="300C8CBF">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414" w:type="dxa"/>
            <w:tcBorders>
              <w:top w:val="single" w:color="auto" w:sz="4" w:space="0"/>
              <w:left w:val="single" w:color="auto" w:sz="4" w:space="0"/>
              <w:bottom w:val="single" w:color="auto" w:sz="4" w:space="0"/>
              <w:right w:val="single" w:color="auto" w:sz="4" w:space="0"/>
            </w:tcBorders>
            <w:vAlign w:val="center"/>
          </w:tcPr>
          <w:p w14:paraId="60D0AB0F">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vAlign w:val="center"/>
          </w:tcPr>
          <w:p w14:paraId="2CE03763">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33DEE159">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tcPr>
          <w:p w14:paraId="172DE302">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7A381689">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vAlign w:val="center"/>
          </w:tcPr>
          <w:p w14:paraId="2C53EA12">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4" w:space="0"/>
            </w:tcBorders>
            <w:vAlign w:val="center"/>
          </w:tcPr>
          <w:p w14:paraId="5BE60A7D">
            <w:pPr>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5F44F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555" w:type="dxa"/>
            <w:gridSpan w:val="11"/>
            <w:tcBorders>
              <w:top w:val="single" w:color="auto" w:sz="4" w:space="0"/>
              <w:left w:val="single" w:color="auto" w:sz="4" w:space="0"/>
              <w:bottom w:val="single" w:color="auto" w:sz="4" w:space="0"/>
              <w:right w:val="single" w:color="auto" w:sz="4" w:space="0"/>
            </w:tcBorders>
          </w:tcPr>
          <w:p w14:paraId="402F7B1F">
            <w:pPr>
              <w:snapToGrid w:val="0"/>
              <w:spacing w:before="50" w:after="50"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合计金额大写：人民币（￥）</w:t>
            </w:r>
          </w:p>
          <w:p w14:paraId="10B5CD5D">
            <w:pPr>
              <w:snapToGrid w:val="0"/>
              <w:spacing w:before="50" w:after="50"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竞标货物中，属于优先采购节能产品总值为￥（具体明细详见附表，附表格式自拟），占本竞标报价的比例为    %；属于优先采购环境标志产品总值为￥（具体明细详见附表，附表格式自拟），占本竞标报价的比例为   %。</w:t>
            </w:r>
          </w:p>
        </w:tc>
      </w:tr>
    </w:tbl>
    <w:p w14:paraId="66D02B08">
      <w:pPr>
        <w:spacing w:line="360" w:lineRule="auto"/>
        <w:contextualSpacing/>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r>
        <w:rPr>
          <w:rFonts w:hint="eastAsia" w:ascii="宋体" w:hAnsi="宋体" w:cs="宋体"/>
          <w:color w:val="000000" w:themeColor="text1"/>
          <w:sz w:val="24"/>
          <w:lang w:eastAsia="zh-CN"/>
          <w14:textFill>
            <w14:solidFill>
              <w14:schemeClr w14:val="tx1"/>
            </w14:solidFill>
          </w14:textFill>
        </w:rPr>
        <w:t>：</w:t>
      </w:r>
    </w:p>
    <w:p w14:paraId="55BF3310">
      <w:pPr>
        <w:spacing w:line="360" w:lineRule="auto"/>
        <w:ind w:firstLine="480" w:firstLineChars="200"/>
        <w:contextualSpacing/>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1.以上竞标报价表中“货物名称、数量及单位、品牌、规格型号、制造商、原产地、参数性能、指标及配置”必须如实填写完整，品牌、规格型号没有则填无，填写有缺漏</w:t>
      </w:r>
      <w:r>
        <w:rPr>
          <w:rFonts w:hint="eastAsia" w:ascii="宋体" w:hAnsi="宋体" w:eastAsia="宋体" w:cs="宋体"/>
          <w:bCs/>
          <w:color w:val="000000" w:themeColor="text1"/>
          <w:sz w:val="24"/>
          <w14:textFill>
            <w14:solidFill>
              <w14:schemeClr w14:val="tx1"/>
            </w14:solidFill>
          </w14:textFill>
        </w:rPr>
        <w:t>的，</w:t>
      </w:r>
      <w:r>
        <w:rPr>
          <w:rFonts w:hint="eastAsia" w:ascii="宋体" w:hAnsi="宋体" w:eastAsia="宋体" w:cs="宋体"/>
          <w:b/>
          <w:color w:val="000000" w:themeColor="text1"/>
          <w:sz w:val="24"/>
          <w14:textFill>
            <w14:solidFill>
              <w14:schemeClr w14:val="tx1"/>
            </w14:solidFill>
          </w14:textFill>
        </w:rPr>
        <w:t>其响应文件按无效处理。</w:t>
      </w:r>
    </w:p>
    <w:p w14:paraId="24D35F7F">
      <w:pPr>
        <w:spacing w:line="360" w:lineRule="auto"/>
        <w:ind w:firstLine="480" w:firstLineChars="200"/>
        <w:contextualSpacing/>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2.供应商的报价表必须加盖供应商电子签章并由法定代表人或者委托代理人签字或者电子签名，</w:t>
      </w:r>
      <w:r>
        <w:rPr>
          <w:rFonts w:hint="eastAsia" w:ascii="宋体" w:hAnsi="宋体" w:eastAsia="宋体" w:cs="宋体"/>
          <w:b/>
          <w:color w:val="000000" w:themeColor="text1"/>
          <w:sz w:val="24"/>
          <w14:textFill>
            <w14:solidFill>
              <w14:schemeClr w14:val="tx1"/>
            </w14:solidFill>
          </w14:textFill>
        </w:rPr>
        <w:t>否则其响应文件按无效处理</w:t>
      </w:r>
      <w:r>
        <w:rPr>
          <w:rFonts w:hint="eastAsia" w:ascii="宋体" w:hAnsi="宋体" w:eastAsia="宋体" w:cs="宋体"/>
          <w:color w:val="000000" w:themeColor="text1"/>
          <w:sz w:val="24"/>
          <w14:textFill>
            <w14:solidFill>
              <w14:schemeClr w14:val="tx1"/>
            </w14:solidFill>
          </w14:textFill>
        </w:rPr>
        <w:t>。</w:t>
      </w:r>
    </w:p>
    <w:p w14:paraId="48DA3D2A">
      <w:pPr>
        <w:spacing w:line="360" w:lineRule="auto"/>
        <w:ind w:firstLine="480" w:firstLineChars="200"/>
        <w:contextualSpacing/>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报价一经涂改，应在涂改处加盖供应商公章或者加盖电子签章或者由法定代表人或者授权委托人签字（或者电子签名）</w:t>
      </w:r>
      <w:r>
        <w:rPr>
          <w:rFonts w:hint="eastAsia" w:ascii="宋体" w:hAnsi="宋体" w:eastAsia="宋体" w:cs="宋体"/>
          <w:b/>
          <w:color w:val="000000" w:themeColor="text1"/>
          <w:sz w:val="24"/>
          <w14:textFill>
            <w14:solidFill>
              <w14:schemeClr w14:val="tx1"/>
            </w14:solidFill>
          </w14:textFill>
        </w:rPr>
        <w:t>，否则其响应文件按无效处理。</w:t>
      </w:r>
    </w:p>
    <w:p w14:paraId="31F1EA08">
      <w:pPr>
        <w:spacing w:line="360" w:lineRule="auto"/>
        <w:ind w:firstLine="480" w:firstLineChars="200"/>
        <w:contextualSpacing/>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4.谈判文件中列明采购专用耗材的，应按谈判文件规定的耗材量或者按耗材的常规试用量提供报价。</w:t>
      </w:r>
    </w:p>
    <w:p w14:paraId="5721D1FA">
      <w:pPr>
        <w:spacing w:line="360" w:lineRule="auto"/>
        <w:ind w:firstLine="480" w:firstLineChars="200"/>
        <w:contextualSpacing/>
        <w:jc w:val="left"/>
        <w:rPr>
          <w:rFonts w:hint="eastAsia" w:ascii="宋体" w:hAnsi="宋体" w:eastAsia="宋体" w:cs="宋体"/>
          <w:i/>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5.如为联合体竞标，“供应商名称”处必须列明联合体各方名称，标注联合体牵头人名称，</w:t>
      </w:r>
      <w:r>
        <w:rPr>
          <w:rFonts w:hint="eastAsia" w:ascii="宋体" w:hAnsi="宋体" w:eastAsia="宋体" w:cs="宋体"/>
          <w:b/>
          <w:color w:val="000000" w:themeColor="text1"/>
          <w:sz w:val="24"/>
          <w14:textFill>
            <w14:solidFill>
              <w14:schemeClr w14:val="tx1"/>
            </w14:solidFill>
          </w14:textFill>
        </w:rPr>
        <w:t>否则其响应文件按无效处理。</w:t>
      </w:r>
    </w:p>
    <w:p w14:paraId="1760F2AD">
      <w:pPr>
        <w:spacing w:line="360" w:lineRule="auto"/>
        <w:ind w:firstLine="480" w:firstLineChars="200"/>
        <w:contextualSpacing/>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6.如为联合体竞标，</w:t>
      </w:r>
      <w:r>
        <w:rPr>
          <w:rFonts w:hint="eastAsia" w:ascii="宋体" w:hAnsi="宋体" w:eastAsia="宋体" w:cs="宋体"/>
          <w:color w:val="000000" w:themeColor="text1"/>
          <w:spacing w:val="-6"/>
          <w:sz w:val="24"/>
          <w14:textFill>
            <w14:solidFill>
              <w14:schemeClr w14:val="tx1"/>
            </w14:solidFill>
          </w14:textFill>
        </w:rPr>
        <w:t>盖章处须加盖联合体牵头人电子签章</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否则其响应文件按无效处理。</w:t>
      </w:r>
    </w:p>
    <w:p w14:paraId="77BE36F9">
      <w:pPr>
        <w:spacing w:line="360" w:lineRule="auto"/>
        <w:ind w:firstLine="480" w:firstLineChars="200"/>
        <w:contextualSpacing/>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r>
        <w:rPr>
          <w:rFonts w:hint="eastAsia" w:ascii="宋体" w:hAnsi="宋体" w:eastAsia="宋体" w:cs="宋体"/>
          <w:color w:val="000000" w:themeColor="text1"/>
          <w:spacing w:val="-6"/>
          <w:sz w:val="24"/>
          <w14:textFill>
            <w14:solidFill>
              <w14:schemeClr w14:val="tx1"/>
            </w14:solidFill>
          </w14:textFill>
        </w:rPr>
        <w:t>如有多分标，分别列明各分标的报价表，</w:t>
      </w:r>
      <w:r>
        <w:rPr>
          <w:rFonts w:hint="eastAsia" w:ascii="宋体" w:hAnsi="宋体" w:eastAsia="宋体" w:cs="宋体"/>
          <w:b/>
          <w:color w:val="000000" w:themeColor="text1"/>
          <w:spacing w:val="-6"/>
          <w:sz w:val="24"/>
          <w14:textFill>
            <w14:solidFill>
              <w14:schemeClr w14:val="tx1"/>
            </w14:solidFill>
          </w14:textFill>
        </w:rPr>
        <w:t>否则其响应文件按无效处理。</w:t>
      </w:r>
    </w:p>
    <w:p w14:paraId="24D341E4">
      <w:pPr>
        <w:spacing w:line="360" w:lineRule="auto"/>
        <w:ind w:right="-817" w:rightChars="-389" w:firstLine="2640" w:firstLineChars="1100"/>
        <w:contextualSpacing/>
        <w:rPr>
          <w:rFonts w:hint="eastAsia" w:ascii="宋体" w:hAnsi="宋体" w:eastAsia="宋体" w:cs="宋体"/>
          <w:color w:val="000000" w:themeColor="text1"/>
          <w:sz w:val="24"/>
          <w14:textFill>
            <w14:solidFill>
              <w14:schemeClr w14:val="tx1"/>
            </w14:solidFill>
          </w14:textFill>
        </w:rPr>
      </w:pPr>
    </w:p>
    <w:p w14:paraId="28284C99">
      <w:pPr>
        <w:spacing w:line="360" w:lineRule="auto"/>
        <w:ind w:right="-817" w:rightChars="-389" w:firstLine="2640" w:firstLineChars="11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法定代表人或者委托代理人（签字或者电子签名）：</w:t>
      </w:r>
    </w:p>
    <w:p w14:paraId="0AE1C195">
      <w:pPr>
        <w:spacing w:line="360" w:lineRule="auto"/>
        <w:ind w:right="-817" w:rightChars="-389" w:firstLine="2640" w:firstLineChars="11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供应商（电子签章）：</w:t>
      </w:r>
    </w:p>
    <w:p w14:paraId="569FCD8F">
      <w:pPr>
        <w:spacing w:line="360" w:lineRule="auto"/>
        <w:ind w:right="-817" w:rightChars="-389" w:firstLine="2640" w:firstLineChars="1100"/>
        <w:contextualSpacing/>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日期：年月日</w:t>
      </w:r>
    </w:p>
    <w:p w14:paraId="68E4B660">
      <w:pPr>
        <w:spacing w:line="360" w:lineRule="auto"/>
        <w:ind w:right="420"/>
        <w:contextualSpacing/>
        <w:jc w:val="lef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r>
        <w:rPr>
          <w:rFonts w:hint="eastAsia" w:ascii="宋体" w:hAnsi="宋体" w:eastAsia="宋体" w:cs="宋体"/>
          <w:b/>
          <w:bCs/>
          <w:color w:val="000000" w:themeColor="text1"/>
          <w:sz w:val="32"/>
          <w:szCs w:val="32"/>
          <w14:textFill>
            <w14:solidFill>
              <w14:schemeClr w14:val="tx1"/>
            </w14:solidFill>
          </w14:textFill>
        </w:rPr>
        <w:t>三、</w:t>
      </w:r>
      <w:r>
        <w:rPr>
          <w:rFonts w:hint="eastAsia" w:ascii="宋体" w:hAnsi="宋体" w:eastAsia="宋体" w:cs="宋体"/>
          <w:b/>
          <w:color w:val="000000" w:themeColor="text1"/>
          <w:sz w:val="32"/>
          <w:szCs w:val="32"/>
          <w14:textFill>
            <w14:solidFill>
              <w14:schemeClr w14:val="tx1"/>
            </w14:solidFill>
          </w14:textFill>
        </w:rPr>
        <w:t>商务技术文件格式</w:t>
      </w:r>
    </w:p>
    <w:p w14:paraId="48DD5CC0">
      <w:pPr>
        <w:snapToGrid w:val="0"/>
        <w:spacing w:beforeLines="50" w:after="50" w:line="360" w:lineRule="auto"/>
        <w:jc w:val="lef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1.商务技术文件封面格式</w:t>
      </w:r>
    </w:p>
    <w:p w14:paraId="6BE63E85">
      <w:pPr>
        <w:snapToGrid w:val="0"/>
        <w:spacing w:beforeLines="50" w:after="50"/>
        <w:rPr>
          <w:rFonts w:hint="eastAsia" w:ascii="宋体" w:hAnsi="宋体" w:eastAsia="宋体" w:cs="宋体"/>
          <w:bCs/>
          <w:color w:val="000000" w:themeColor="text1"/>
          <w:sz w:val="32"/>
          <w:szCs w:val="20"/>
          <w14:textFill>
            <w14:solidFill>
              <w14:schemeClr w14:val="tx1"/>
            </w14:solidFill>
          </w14:textFill>
        </w:rPr>
      </w:pPr>
    </w:p>
    <w:p w14:paraId="1916DC41">
      <w:pPr>
        <w:snapToGrid w:val="0"/>
        <w:spacing w:beforeLines="50" w:after="50"/>
        <w:jc w:val="center"/>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电子响应文件</w:t>
      </w:r>
    </w:p>
    <w:p w14:paraId="3C9CDCC9">
      <w:pPr>
        <w:snapToGrid w:val="0"/>
        <w:spacing w:beforeLines="50" w:after="50"/>
        <w:rPr>
          <w:rFonts w:hint="eastAsia" w:ascii="宋体" w:hAnsi="宋体" w:eastAsia="宋体" w:cs="宋体"/>
          <w:color w:val="000000" w:themeColor="text1"/>
          <w:sz w:val="24"/>
          <w:szCs w:val="20"/>
          <w14:textFill>
            <w14:solidFill>
              <w14:schemeClr w14:val="tx1"/>
            </w14:solidFill>
          </w14:textFill>
        </w:rPr>
      </w:pPr>
    </w:p>
    <w:p w14:paraId="4B9E6996">
      <w:pPr>
        <w:snapToGrid w:val="0"/>
        <w:spacing w:beforeLines="50" w:after="50"/>
        <w:rPr>
          <w:rFonts w:hint="eastAsia" w:ascii="宋体" w:hAnsi="宋体" w:eastAsia="宋体" w:cs="宋体"/>
          <w:color w:val="000000" w:themeColor="text1"/>
          <w:sz w:val="24"/>
          <w:szCs w:val="20"/>
          <w14:textFill>
            <w14:solidFill>
              <w14:schemeClr w14:val="tx1"/>
            </w14:solidFill>
          </w14:textFill>
        </w:rPr>
      </w:pPr>
    </w:p>
    <w:p w14:paraId="5EE351C2">
      <w:pPr>
        <w:snapToGrid w:val="0"/>
        <w:spacing w:beforeLines="50" w:after="50"/>
        <w:jc w:val="center"/>
        <w:rPr>
          <w:rFonts w:hint="eastAsia" w:ascii="宋体" w:hAnsi="宋体" w:eastAsia="宋体" w:cs="宋体"/>
          <w:bCs/>
          <w:color w:val="000000" w:themeColor="text1"/>
          <w:sz w:val="44"/>
          <w:szCs w:val="44"/>
          <w14:textFill>
            <w14:solidFill>
              <w14:schemeClr w14:val="tx1"/>
            </w14:solidFill>
          </w14:textFill>
        </w:rPr>
      </w:pPr>
      <w:r>
        <w:rPr>
          <w:rFonts w:hint="eastAsia" w:ascii="宋体" w:hAnsi="宋体" w:eastAsia="宋体" w:cs="宋体"/>
          <w:bCs/>
          <w:color w:val="000000" w:themeColor="text1"/>
          <w:sz w:val="44"/>
          <w:szCs w:val="44"/>
          <w14:textFill>
            <w14:solidFill>
              <w14:schemeClr w14:val="tx1"/>
            </w14:solidFill>
          </w14:textFill>
        </w:rPr>
        <w:t>商务技术文件</w:t>
      </w:r>
    </w:p>
    <w:p w14:paraId="4EA88A09">
      <w:pPr>
        <w:snapToGrid w:val="0"/>
        <w:spacing w:beforeLines="50" w:after="50"/>
        <w:rPr>
          <w:rFonts w:hint="eastAsia" w:ascii="宋体" w:hAnsi="宋体" w:eastAsia="宋体" w:cs="宋体"/>
          <w:bCs/>
          <w:color w:val="000000" w:themeColor="text1"/>
          <w:sz w:val="24"/>
          <w:szCs w:val="20"/>
          <w14:textFill>
            <w14:solidFill>
              <w14:schemeClr w14:val="tx1"/>
            </w14:solidFill>
          </w14:textFill>
        </w:rPr>
      </w:pPr>
    </w:p>
    <w:p w14:paraId="2B8F4F29">
      <w:pPr>
        <w:snapToGrid w:val="0"/>
        <w:spacing w:beforeLines="50" w:after="50"/>
        <w:rPr>
          <w:rFonts w:hint="eastAsia" w:ascii="宋体" w:hAnsi="宋体" w:eastAsia="宋体" w:cs="宋体"/>
          <w:bCs/>
          <w:color w:val="000000" w:themeColor="text1"/>
          <w:sz w:val="24"/>
          <w:szCs w:val="20"/>
          <w14:textFill>
            <w14:solidFill>
              <w14:schemeClr w14:val="tx1"/>
            </w14:solidFill>
          </w14:textFill>
        </w:rPr>
      </w:pPr>
    </w:p>
    <w:p w14:paraId="037036C7">
      <w:pPr>
        <w:snapToGrid w:val="0"/>
        <w:spacing w:beforeLines="50" w:after="50"/>
        <w:rPr>
          <w:rFonts w:hint="eastAsia" w:ascii="宋体" w:hAnsi="宋体" w:eastAsia="宋体" w:cs="宋体"/>
          <w:bCs/>
          <w:color w:val="000000" w:themeColor="text1"/>
          <w:sz w:val="24"/>
          <w:szCs w:val="20"/>
          <w14:textFill>
            <w14:solidFill>
              <w14:schemeClr w14:val="tx1"/>
            </w14:solidFill>
          </w14:textFill>
        </w:rPr>
      </w:pPr>
    </w:p>
    <w:p w14:paraId="6320FFF7">
      <w:pPr>
        <w:snapToGrid w:val="0"/>
        <w:spacing w:beforeLines="50" w:after="50"/>
        <w:rPr>
          <w:rFonts w:hint="eastAsia" w:ascii="宋体" w:hAnsi="宋体" w:eastAsia="宋体" w:cs="宋体"/>
          <w:bCs/>
          <w:color w:val="000000" w:themeColor="text1"/>
          <w:sz w:val="24"/>
          <w:szCs w:val="20"/>
          <w14:textFill>
            <w14:solidFill>
              <w14:schemeClr w14:val="tx1"/>
            </w14:solidFill>
          </w14:textFill>
        </w:rPr>
      </w:pPr>
    </w:p>
    <w:p w14:paraId="09BE8317">
      <w:pPr>
        <w:snapToGrid w:val="0"/>
        <w:spacing w:beforeLines="50" w:after="50"/>
        <w:rPr>
          <w:rFonts w:hint="eastAsia" w:ascii="宋体" w:hAnsi="宋体" w:eastAsia="宋体" w:cs="宋体"/>
          <w:bCs/>
          <w:color w:val="000000" w:themeColor="text1"/>
          <w:sz w:val="24"/>
          <w:szCs w:val="20"/>
          <w14:textFill>
            <w14:solidFill>
              <w14:schemeClr w14:val="tx1"/>
            </w14:solidFill>
          </w14:textFill>
        </w:rPr>
      </w:pPr>
    </w:p>
    <w:p w14:paraId="2F90CD4F">
      <w:pPr>
        <w:snapToGrid w:val="0"/>
        <w:spacing w:beforeLines="50" w:after="50"/>
        <w:ind w:firstLine="640" w:firstLineChars="20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项目名称：</w:t>
      </w:r>
    </w:p>
    <w:p w14:paraId="13B11E36">
      <w:pPr>
        <w:snapToGrid w:val="0"/>
        <w:spacing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14:paraId="556C55DF">
      <w:pPr>
        <w:snapToGrid w:val="0"/>
        <w:spacing w:beforeLines="50" w:after="50"/>
        <w:ind w:firstLine="640" w:firstLineChars="20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p>
    <w:p w14:paraId="3F2E6DDE">
      <w:pPr>
        <w:snapToGrid w:val="0"/>
        <w:spacing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14:paraId="207F3B88">
      <w:pPr>
        <w:snapToGrid w:val="0"/>
        <w:spacing w:beforeLines="50" w:after="50"/>
        <w:ind w:firstLine="640" w:firstLineChars="20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所竞分标（如有则填写，无分标时填写“无”或者留空）：</w:t>
      </w:r>
    </w:p>
    <w:p w14:paraId="518F7112">
      <w:pPr>
        <w:snapToGrid w:val="0"/>
        <w:spacing w:beforeLines="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14:paraId="7998C60B">
      <w:pPr>
        <w:pStyle w:val="6"/>
        <w:snapToGrid w:val="0"/>
        <w:spacing w:before="50" w:after="50"/>
        <w:ind w:firstLine="640" w:firstLineChars="20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供应商名称：</w:t>
      </w:r>
    </w:p>
    <w:p w14:paraId="4F3871EF">
      <w:pPr>
        <w:pStyle w:val="6"/>
        <w:snapToGrid w:val="0"/>
        <w:spacing w:before="50" w:after="50"/>
        <w:ind w:firstLine="640" w:firstLineChars="200"/>
        <w:rPr>
          <w:rFonts w:hint="eastAsia" w:ascii="宋体" w:hAnsi="宋体" w:eastAsia="宋体" w:cs="宋体"/>
          <w:bCs/>
          <w:color w:val="000000" w:themeColor="text1"/>
          <w:sz w:val="32"/>
          <w:szCs w:val="32"/>
          <w14:textFill>
            <w14:solidFill>
              <w14:schemeClr w14:val="tx1"/>
            </w14:solidFill>
          </w14:textFill>
        </w:rPr>
      </w:pPr>
    </w:p>
    <w:p w14:paraId="6EF045D3">
      <w:pPr>
        <w:pStyle w:val="6"/>
        <w:snapToGrid w:val="0"/>
        <w:spacing w:before="50" w:after="50"/>
        <w:ind w:firstLine="720" w:firstLineChars="225"/>
        <w:rPr>
          <w:rFonts w:hint="eastAsia" w:ascii="宋体" w:hAnsi="宋体" w:eastAsia="宋体" w:cs="宋体"/>
          <w:bCs/>
          <w:color w:val="000000" w:themeColor="text1"/>
          <w:sz w:val="32"/>
          <w:szCs w:val="32"/>
          <w14:textFill>
            <w14:solidFill>
              <w14:schemeClr w14:val="tx1"/>
            </w14:solidFill>
          </w14:textFill>
        </w:rPr>
      </w:pPr>
    </w:p>
    <w:p w14:paraId="1147D6C5">
      <w:pPr>
        <w:pStyle w:val="6"/>
        <w:snapToGrid w:val="0"/>
        <w:spacing w:before="50" w:after="50"/>
        <w:ind w:firstLine="0"/>
        <w:rPr>
          <w:rFonts w:hint="eastAsia" w:ascii="宋体" w:hAnsi="宋体" w:eastAsia="宋体" w:cs="宋体"/>
          <w:bCs/>
          <w:color w:val="000000" w:themeColor="text1"/>
          <w:sz w:val="32"/>
          <w:szCs w:val="32"/>
          <w14:textFill>
            <w14:solidFill>
              <w14:schemeClr w14:val="tx1"/>
            </w14:solidFill>
          </w14:textFill>
        </w:rPr>
      </w:pPr>
    </w:p>
    <w:p w14:paraId="0BA81417">
      <w:pPr>
        <w:pStyle w:val="6"/>
        <w:snapToGrid w:val="0"/>
        <w:spacing w:before="50" w:after="50"/>
        <w:ind w:firstLine="1280" w:firstLineChars="400"/>
        <w:rPr>
          <w:rFonts w:hint="eastAsia" w:ascii="宋体" w:hAnsi="宋体" w:eastAsia="宋体" w:cs="宋体"/>
          <w:bCs/>
          <w:color w:val="000000" w:themeColor="text1"/>
          <w:sz w:val="32"/>
          <w:szCs w:val="32"/>
          <w14:textFill>
            <w14:solidFill>
              <w14:schemeClr w14:val="tx1"/>
            </w14:solidFill>
          </w14:textFill>
        </w:rPr>
      </w:pPr>
    </w:p>
    <w:p w14:paraId="08CDCBB8">
      <w:pPr>
        <w:snapToGrid w:val="0"/>
        <w:spacing w:beforeLines="50" w:after="5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年月日</w:t>
      </w:r>
    </w:p>
    <w:p w14:paraId="074F6A35">
      <w:pPr>
        <w:snapToGrid w:val="0"/>
        <w:spacing w:beforeLines="50" w:after="50" w:line="360" w:lineRule="auto"/>
        <w:ind w:left="142"/>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bCs/>
          <w:color w:val="000000" w:themeColor="text1"/>
          <w:sz w:val="32"/>
          <w:szCs w:val="32"/>
          <w14:textFill>
            <w14:solidFill>
              <w14:schemeClr w14:val="tx1"/>
            </w14:solidFill>
          </w14:textFill>
        </w:rPr>
        <w:t>2.商务技术文件目录</w:t>
      </w:r>
    </w:p>
    <w:p w14:paraId="640982D0">
      <w:pPr>
        <w:snapToGrid w:val="0"/>
        <w:spacing w:beforeLines="50" w:after="50" w:line="360" w:lineRule="auto"/>
        <w:ind w:firstLine="640" w:firstLineChars="2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根据谈判文件规定及供应商提供的材料自行编写目录（部分格式后附）。</w:t>
      </w:r>
    </w:p>
    <w:p w14:paraId="752A4163">
      <w:pPr>
        <w:spacing w:line="400" w:lineRule="exact"/>
        <w:rPr>
          <w:rFonts w:hint="eastAsia" w:ascii="宋体" w:hAnsi="宋体" w:eastAsia="宋体" w:cs="宋体"/>
          <w:color w:val="000000" w:themeColor="text1"/>
          <w:sz w:val="32"/>
          <w:szCs w:val="32"/>
          <w14:textFill>
            <w14:solidFill>
              <w14:schemeClr w14:val="tx1"/>
            </w14:solidFill>
          </w14:textFill>
        </w:rPr>
      </w:pPr>
    </w:p>
    <w:p w14:paraId="48BF922B">
      <w:pPr>
        <w:spacing w:line="520" w:lineRule="exact"/>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br w:type="page"/>
      </w:r>
      <w:r>
        <w:rPr>
          <w:rFonts w:hint="eastAsia" w:ascii="宋体" w:hAnsi="宋体" w:eastAsia="宋体" w:cs="宋体"/>
          <w:color w:val="000000" w:themeColor="text1"/>
          <w:sz w:val="44"/>
          <w:szCs w:val="44"/>
          <w14:textFill>
            <w14:solidFill>
              <w14:schemeClr w14:val="tx1"/>
            </w14:solidFill>
          </w14:textFill>
        </w:rPr>
        <w:t>无串通竞标行为的承诺函</w:t>
      </w:r>
    </w:p>
    <w:p w14:paraId="5AB1789C">
      <w:pPr>
        <w:spacing w:line="360" w:lineRule="auto"/>
        <w:ind w:firstLine="640" w:firstLineChars="200"/>
        <w:contextualSpacing/>
        <w:rPr>
          <w:rFonts w:hint="eastAsia" w:ascii="宋体" w:hAnsi="宋体" w:eastAsia="宋体" w:cs="宋体"/>
          <w:color w:val="000000" w:themeColor="text1"/>
          <w:sz w:val="32"/>
          <w:szCs w:val="32"/>
          <w14:textFill>
            <w14:solidFill>
              <w14:schemeClr w14:val="tx1"/>
            </w14:solidFill>
          </w14:textFill>
        </w:rPr>
      </w:pPr>
    </w:p>
    <w:p w14:paraId="02A8CE9F">
      <w:pPr>
        <w:spacing w:line="360" w:lineRule="auto"/>
        <w:ind w:firstLine="482" w:firstLineChars="200"/>
        <w:contextualSpacing/>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一、我方承诺无下列相互串通竞标的情形：</w:t>
      </w:r>
    </w:p>
    <w:p w14:paraId="3717A2FA">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1.不同供应商的响应文件由同一单位或者个人编制；</w:t>
      </w:r>
    </w:p>
    <w:p w14:paraId="67496688">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2.不同供应商委托同一单位或者个人办理竞标事宜；</w:t>
      </w:r>
    </w:p>
    <w:p w14:paraId="4044CB2F">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3.不同的供应商的响应文件载明的项目管理员为同一个人；</w:t>
      </w:r>
    </w:p>
    <w:p w14:paraId="3A6E8A21">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4.不</w:t>
      </w:r>
      <w:r>
        <w:rPr>
          <w:rFonts w:hint="eastAsia" w:ascii="宋体" w:hAnsi="宋体" w:eastAsia="宋体" w:cs="宋体"/>
          <w:color w:val="000000" w:themeColor="text1"/>
          <w:spacing w:val="-6"/>
          <w:sz w:val="24"/>
          <w14:textFill>
            <w14:solidFill>
              <w14:schemeClr w14:val="tx1"/>
            </w14:solidFill>
          </w14:textFill>
        </w:rPr>
        <w:t>同供应商的响应文件异常一致或者竞标报价呈规律性差异；</w:t>
      </w:r>
    </w:p>
    <w:p w14:paraId="00D9A224">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5.不同供应商的响应文件相互混装；</w:t>
      </w:r>
    </w:p>
    <w:p w14:paraId="28485904">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6.不同供应商的竞标保证金从同一单位或者个人账户转出。</w:t>
      </w:r>
    </w:p>
    <w:p w14:paraId="0C789404">
      <w:pPr>
        <w:spacing w:line="360" w:lineRule="auto"/>
        <w:ind w:firstLine="482" w:firstLineChars="200"/>
        <w:contextualSpacing/>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二、我方承诺无下列恶意串通的情形：</w:t>
      </w:r>
    </w:p>
    <w:p w14:paraId="6634CF7F">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1.供应商直接或者间接从采购人或者采购代理机构处获得其他供应商的相关信息并修改其响应文件；</w:t>
      </w:r>
    </w:p>
    <w:p w14:paraId="00104006">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2.供应商按照采购人或者采购代理机构的授意撤换、修改响应文件；</w:t>
      </w:r>
    </w:p>
    <w:p w14:paraId="5EC9B634">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3.供</w:t>
      </w:r>
      <w:r>
        <w:rPr>
          <w:rFonts w:hint="eastAsia" w:ascii="宋体" w:hAnsi="宋体" w:eastAsia="宋体" w:cs="宋体"/>
          <w:color w:val="000000" w:themeColor="text1"/>
          <w:spacing w:val="-6"/>
          <w:sz w:val="24"/>
          <w14:textFill>
            <w14:solidFill>
              <w14:schemeClr w14:val="tx1"/>
            </w14:solidFill>
          </w14:textFill>
        </w:rPr>
        <w:t>应商之间协商报价、技术方案等响应文件的实质性内容；</w:t>
      </w:r>
    </w:p>
    <w:p w14:paraId="1B97528C">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4.属于同一集团、协会、商会等组织成员的供应商按照该组织要求协同参加政府采购活动；</w:t>
      </w:r>
    </w:p>
    <w:p w14:paraId="7B084703">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5.供应商之间事先约定一致抬高或者压低竞标报价，或者在竞争性谈判项目中事先约定轮流以高价位或者低价位成交，或者事先约定由某一特定供应商成交，然后再参加竞标；</w:t>
      </w:r>
    </w:p>
    <w:p w14:paraId="3DF9C011">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6.供应商之间商定部分供应商放弃参加政府采购活动或者放弃成交；</w:t>
      </w:r>
    </w:p>
    <w:p w14:paraId="5322E43F">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7.供应商与采购人或者采购代理机构之间、供应商相互之间，为</w:t>
      </w:r>
      <w:r>
        <w:rPr>
          <w:rFonts w:hint="eastAsia" w:ascii="宋体" w:hAnsi="宋体" w:eastAsia="宋体" w:cs="宋体"/>
          <w:color w:val="000000" w:themeColor="text1"/>
          <w:spacing w:val="-6"/>
          <w:sz w:val="24"/>
          <w14:textFill>
            <w14:solidFill>
              <w14:schemeClr w14:val="tx1"/>
            </w14:solidFill>
          </w14:textFill>
        </w:rPr>
        <w:t>谋求特定供应商成交或者排斥其他供应商的其他串通行为。</w:t>
      </w:r>
    </w:p>
    <w:p w14:paraId="24F2F8A4">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p>
    <w:p w14:paraId="482CD6EE">
      <w:pPr>
        <w:spacing w:line="360" w:lineRule="auto"/>
        <w:ind w:firstLine="482" w:firstLineChars="200"/>
        <w:contextualSpacing/>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以上情形一经核查属实，我方愿意承担一切后果，并不再寻求任何旨在减轻或者免除法律责任的辩解。</w:t>
      </w:r>
    </w:p>
    <w:p w14:paraId="721FCEF5">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p>
    <w:p w14:paraId="7145D569">
      <w:pPr>
        <w:spacing w:line="360" w:lineRule="auto"/>
        <w:contextualSpacing/>
        <w:rPr>
          <w:rFonts w:hint="eastAsia" w:ascii="宋体" w:hAnsi="宋体" w:eastAsia="宋体" w:cs="宋体"/>
          <w:color w:val="000000" w:themeColor="text1"/>
          <w:sz w:val="24"/>
          <w14:textFill>
            <w14:solidFill>
              <w14:schemeClr w14:val="tx1"/>
            </w14:solidFill>
          </w14:textFill>
        </w:rPr>
      </w:pPr>
    </w:p>
    <w:p w14:paraId="1815FFA2">
      <w:pPr>
        <w:spacing w:line="360" w:lineRule="auto"/>
        <w:ind w:firstLine="3600" w:firstLineChars="15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供应商（电子签章）：</w:t>
      </w:r>
    </w:p>
    <w:p w14:paraId="19AF086A">
      <w:pPr>
        <w:spacing w:line="360" w:lineRule="auto"/>
        <w:ind w:firstLine="480" w:firstLineChars="200"/>
        <w:contextualSpacing/>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年月日</w:t>
      </w:r>
    </w:p>
    <w:p w14:paraId="72B1EEDC">
      <w:pPr>
        <w:spacing w:line="360" w:lineRule="auto"/>
        <w:ind w:firstLine="640" w:firstLineChars="200"/>
        <w:contextualSpacing/>
        <w:jc w:val="center"/>
        <w:rPr>
          <w:rFonts w:hint="eastAsia" w:ascii="宋体" w:hAnsi="宋体" w:eastAsia="宋体" w:cs="宋体"/>
          <w:color w:val="000000" w:themeColor="text1"/>
          <w:sz w:val="32"/>
          <w:szCs w:val="32"/>
          <w14:textFill>
            <w14:solidFill>
              <w14:schemeClr w14:val="tx1"/>
            </w14:solidFill>
          </w14:textFill>
        </w:rPr>
      </w:pPr>
    </w:p>
    <w:p w14:paraId="68C50D91">
      <w:pPr>
        <w:spacing w:beforeLines="100" w:afterLines="50" w:line="520" w:lineRule="exact"/>
        <w:ind w:left="54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44"/>
          <w:szCs w:val="44"/>
          <w14:textFill>
            <w14:solidFill>
              <w14:schemeClr w14:val="tx1"/>
            </w14:solidFill>
          </w14:textFill>
        </w:rPr>
        <w:t>法定代表人证明书</w:t>
      </w:r>
    </w:p>
    <w:p w14:paraId="051DF931">
      <w:pPr>
        <w:spacing w:line="360" w:lineRule="auto"/>
        <w:ind w:left="540"/>
        <w:contextualSpacing/>
        <w:rPr>
          <w:rFonts w:hint="eastAsia" w:ascii="宋体" w:hAnsi="宋体" w:eastAsia="宋体" w:cs="宋体"/>
          <w:color w:val="000000" w:themeColor="text1"/>
          <w:sz w:val="32"/>
          <w:szCs w:val="32"/>
          <w14:textFill>
            <w14:solidFill>
              <w14:schemeClr w14:val="tx1"/>
            </w14:solidFill>
          </w14:textFill>
        </w:rPr>
      </w:pPr>
    </w:p>
    <w:p w14:paraId="21EA7A16">
      <w:pPr>
        <w:spacing w:line="360" w:lineRule="auto"/>
        <w:ind w:left="54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w:t>
      </w:r>
    </w:p>
    <w:p w14:paraId="009E868A">
      <w:pPr>
        <w:spacing w:line="360" w:lineRule="auto"/>
        <w:ind w:left="54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w:t>
      </w:r>
    </w:p>
    <w:p w14:paraId="2A533885">
      <w:pPr>
        <w:spacing w:line="360" w:lineRule="auto"/>
        <w:ind w:left="54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姓名：性别：</w:t>
      </w:r>
    </w:p>
    <w:p w14:paraId="1DD8AA37">
      <w:pPr>
        <w:spacing w:line="360" w:lineRule="auto"/>
        <w:ind w:left="540"/>
        <w:contextualSpacing/>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年龄：职务：</w:t>
      </w:r>
    </w:p>
    <w:p w14:paraId="37F3D90F">
      <w:pPr>
        <w:spacing w:line="360" w:lineRule="auto"/>
        <w:ind w:left="54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身份证号码：</w:t>
      </w:r>
    </w:p>
    <w:p w14:paraId="4A79514C">
      <w:pPr>
        <w:spacing w:line="360" w:lineRule="auto"/>
        <w:ind w:left="54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系</w:t>
      </w:r>
      <w:r>
        <w:rPr>
          <w:rFonts w:hint="eastAsia" w:ascii="宋体" w:hAnsi="宋体" w:eastAsia="宋体" w:cs="宋体"/>
          <w:color w:val="000000" w:themeColor="text1"/>
          <w:sz w:val="24"/>
          <w:u w:val="single"/>
          <w14:textFill>
            <w14:solidFill>
              <w14:schemeClr w14:val="tx1"/>
            </w14:solidFill>
          </w14:textFill>
        </w:rPr>
        <w:t>（供应商名称）</w:t>
      </w:r>
      <w:r>
        <w:rPr>
          <w:rFonts w:hint="eastAsia" w:ascii="宋体" w:hAnsi="宋体" w:eastAsia="宋体" w:cs="宋体"/>
          <w:color w:val="000000" w:themeColor="text1"/>
          <w:sz w:val="24"/>
          <w14:textFill>
            <w14:solidFill>
              <w14:schemeClr w14:val="tx1"/>
            </w14:solidFill>
          </w14:textFill>
        </w:rPr>
        <w:t>的法定代表人。</w:t>
      </w:r>
    </w:p>
    <w:p w14:paraId="2A168E16">
      <w:pPr>
        <w:spacing w:line="360" w:lineRule="auto"/>
        <w:ind w:left="54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特此证明。</w:t>
      </w:r>
    </w:p>
    <w:p w14:paraId="3390724D">
      <w:pPr>
        <w:spacing w:line="360" w:lineRule="auto"/>
        <w:ind w:left="540"/>
        <w:contextualSpacing/>
        <w:rPr>
          <w:rFonts w:hint="eastAsia" w:ascii="宋体" w:hAnsi="宋体" w:eastAsia="宋体" w:cs="宋体"/>
          <w:color w:val="000000" w:themeColor="text1"/>
          <w:sz w:val="24"/>
          <w14:textFill>
            <w14:solidFill>
              <w14:schemeClr w14:val="tx1"/>
            </w14:solidFill>
          </w14:textFill>
        </w:rPr>
      </w:pPr>
    </w:p>
    <w:p w14:paraId="6985F8A7">
      <w:pPr>
        <w:spacing w:line="360" w:lineRule="auto"/>
        <w:ind w:left="540"/>
        <w:contextualSpacing/>
        <w:rPr>
          <w:rFonts w:hint="eastAsia" w:ascii="宋体" w:hAnsi="宋体" w:eastAsia="宋体" w:cs="宋体"/>
          <w:color w:val="000000" w:themeColor="text1"/>
          <w:sz w:val="24"/>
          <w14:textFill>
            <w14:solidFill>
              <w14:schemeClr w14:val="tx1"/>
            </w14:solidFill>
          </w14:textFill>
        </w:rPr>
      </w:pPr>
    </w:p>
    <w:p w14:paraId="7BB08A48">
      <w:pPr>
        <w:spacing w:line="360" w:lineRule="auto"/>
        <w:ind w:left="540"/>
        <w:contextualSpacing/>
        <w:rPr>
          <w:rFonts w:hint="eastAsia" w:ascii="宋体" w:hAnsi="宋体" w:eastAsia="宋体" w:cs="宋体"/>
          <w:color w:val="000000" w:themeColor="text1"/>
          <w:sz w:val="24"/>
          <w14:textFill>
            <w14:solidFill>
              <w14:schemeClr w14:val="tx1"/>
            </w14:solidFill>
          </w14:textFill>
        </w:rPr>
      </w:pPr>
    </w:p>
    <w:p w14:paraId="3B56D098">
      <w:pPr>
        <w:spacing w:line="360" w:lineRule="auto"/>
        <w:ind w:left="54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附件：法定代表人有效身份证正反面复印件</w:t>
      </w:r>
    </w:p>
    <w:p w14:paraId="60EB9042">
      <w:pPr>
        <w:spacing w:line="360" w:lineRule="auto"/>
        <w:ind w:left="540"/>
        <w:contextualSpacing/>
        <w:rPr>
          <w:rFonts w:hint="eastAsia" w:ascii="宋体" w:hAnsi="宋体" w:eastAsia="宋体" w:cs="宋体"/>
          <w:color w:val="000000" w:themeColor="text1"/>
          <w:sz w:val="24"/>
          <w14:textFill>
            <w14:solidFill>
              <w14:schemeClr w14:val="tx1"/>
            </w14:solidFill>
          </w14:textFill>
        </w:rPr>
      </w:pPr>
    </w:p>
    <w:p w14:paraId="526A4038">
      <w:pPr>
        <w:spacing w:line="360" w:lineRule="auto"/>
        <w:ind w:left="540"/>
        <w:contextualSpacing/>
        <w:jc w:val="righ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供应商（电子签章）：</w:t>
      </w:r>
    </w:p>
    <w:p w14:paraId="31F73E6B">
      <w:pPr>
        <w:spacing w:line="360" w:lineRule="auto"/>
        <w:ind w:firstLine="4080" w:firstLineChars="17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年月日</w:t>
      </w:r>
    </w:p>
    <w:p w14:paraId="7675A29F">
      <w:pPr>
        <w:spacing w:line="360" w:lineRule="auto"/>
        <w:contextualSpacing/>
        <w:jc w:val="center"/>
        <w:rPr>
          <w:rFonts w:hint="eastAsia" w:ascii="宋体" w:hAnsi="宋体" w:eastAsia="宋体" w:cs="宋体"/>
          <w:b/>
          <w:color w:val="000000" w:themeColor="text1"/>
          <w:sz w:val="24"/>
          <w14:textFill>
            <w14:solidFill>
              <w14:schemeClr w14:val="tx1"/>
            </w14:solidFill>
          </w14:textFill>
        </w:rPr>
      </w:pPr>
    </w:p>
    <w:p w14:paraId="3FC48C32">
      <w:pPr>
        <w:spacing w:line="360" w:lineRule="auto"/>
        <w:contextualSpacing/>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注：自然人竞标的无需提供，联合体竞标的只需牵头人出具。</w:t>
      </w:r>
    </w:p>
    <w:p w14:paraId="1CF3ED16">
      <w:pPr>
        <w:adjustRightInd w:val="0"/>
        <w:snapToGrid w:val="0"/>
        <w:spacing w:line="300" w:lineRule="auto"/>
        <w:jc w:val="left"/>
        <w:rPr>
          <w:rFonts w:hint="eastAsia" w:ascii="宋体" w:hAnsi="宋体" w:eastAsia="宋体" w:cs="宋体"/>
          <w:b/>
          <w:color w:val="000000" w:themeColor="text1"/>
          <w:szCs w:val="21"/>
          <w14:textFill>
            <w14:solidFill>
              <w14:schemeClr w14:val="tx1"/>
            </w14:solidFill>
          </w14:textFill>
        </w:rPr>
      </w:pPr>
    </w:p>
    <w:p w14:paraId="3E74F66E">
      <w:pPr>
        <w:spacing w:line="520" w:lineRule="exact"/>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br w:type="page"/>
      </w:r>
      <w:r>
        <w:rPr>
          <w:rFonts w:hint="eastAsia" w:ascii="宋体" w:hAnsi="宋体" w:eastAsia="宋体" w:cs="宋体"/>
          <w:color w:val="000000" w:themeColor="text1"/>
          <w:sz w:val="44"/>
          <w:szCs w:val="44"/>
          <w14:textFill>
            <w14:solidFill>
              <w14:schemeClr w14:val="tx1"/>
            </w14:solidFill>
          </w14:textFill>
        </w:rPr>
        <w:t>授权委托书</w:t>
      </w:r>
    </w:p>
    <w:p w14:paraId="3D2899A7">
      <w:pPr>
        <w:spacing w:line="520" w:lineRule="exact"/>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（非联合体竞标格式）</w:t>
      </w:r>
    </w:p>
    <w:p w14:paraId="50B5FECB">
      <w:pPr>
        <w:spacing w:line="520" w:lineRule="exact"/>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（如有委托时）</w:t>
      </w:r>
    </w:p>
    <w:p w14:paraId="73715EB2">
      <w:pPr>
        <w:spacing w:line="360" w:lineRule="auto"/>
        <w:contextualSpacing/>
        <w:rPr>
          <w:rFonts w:hint="eastAsia" w:ascii="宋体" w:hAnsi="宋体" w:eastAsia="宋体" w:cs="宋体"/>
          <w:color w:val="000000" w:themeColor="text1"/>
          <w:sz w:val="32"/>
          <w:szCs w:val="32"/>
          <w14:textFill>
            <w14:solidFill>
              <w14:schemeClr w14:val="tx1"/>
            </w14:solidFill>
          </w14:textFill>
        </w:rPr>
      </w:pPr>
    </w:p>
    <w:p w14:paraId="3277D7CF">
      <w:pPr>
        <w:spacing w:line="360" w:lineRule="auto"/>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致：</w:t>
      </w:r>
      <w:r>
        <w:rPr>
          <w:rFonts w:hint="eastAsia" w:ascii="宋体" w:hAnsi="宋体" w:eastAsia="宋体" w:cs="宋体"/>
          <w:color w:val="000000" w:themeColor="text1"/>
          <w:sz w:val="24"/>
          <w:u w:val="single"/>
          <w14:textFill>
            <w14:solidFill>
              <w14:schemeClr w14:val="tx1"/>
            </w14:solidFill>
          </w14:textFill>
        </w:rPr>
        <w:t>（采购人名称）</w:t>
      </w:r>
      <w:r>
        <w:rPr>
          <w:rFonts w:hint="eastAsia" w:ascii="宋体" w:hAnsi="宋体" w:eastAsia="宋体" w:cs="宋体"/>
          <w:color w:val="000000" w:themeColor="text1"/>
          <w:sz w:val="24"/>
          <w14:textFill>
            <w14:solidFill>
              <w14:schemeClr w14:val="tx1"/>
            </w14:solidFill>
          </w14:textFill>
        </w:rPr>
        <w:t>：</w:t>
      </w:r>
    </w:p>
    <w:p w14:paraId="795BAF83">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w:t>
      </w:r>
      <w:r>
        <w:rPr>
          <w:rFonts w:hint="eastAsia" w:ascii="宋体" w:hAnsi="宋体" w:eastAsia="宋体" w:cs="宋体"/>
          <w:color w:val="000000" w:themeColor="text1"/>
          <w:sz w:val="24"/>
          <w:u w:val="single"/>
          <w14:textFill>
            <w14:solidFill>
              <w14:schemeClr w14:val="tx1"/>
            </w14:solidFill>
          </w14:textFill>
        </w:rPr>
        <w:t>（姓名）</w:t>
      </w:r>
      <w:r>
        <w:rPr>
          <w:rFonts w:hint="eastAsia" w:ascii="宋体" w:hAnsi="宋体" w:eastAsia="宋体" w:cs="宋体"/>
          <w:color w:val="000000" w:themeColor="text1"/>
          <w:sz w:val="24"/>
          <w14:textFill>
            <w14:solidFill>
              <w14:schemeClr w14:val="tx1"/>
            </w14:solidFill>
          </w14:textFill>
        </w:rPr>
        <w:t>系</w:t>
      </w:r>
      <w:r>
        <w:rPr>
          <w:rFonts w:hint="eastAsia" w:ascii="宋体" w:hAnsi="宋体" w:eastAsia="宋体" w:cs="宋体"/>
          <w:color w:val="000000" w:themeColor="text1"/>
          <w:sz w:val="24"/>
          <w:u w:val="single"/>
          <w14:textFill>
            <w14:solidFill>
              <w14:schemeClr w14:val="tx1"/>
            </w14:solidFill>
          </w14:textFill>
        </w:rPr>
        <w:t>（供应商名称）</w:t>
      </w:r>
      <w:r>
        <w:rPr>
          <w:rFonts w:hint="eastAsia" w:ascii="宋体" w:hAnsi="宋体" w:eastAsia="宋体" w:cs="宋体"/>
          <w:color w:val="000000" w:themeColor="text1"/>
          <w:sz w:val="24"/>
          <w14:textFill>
            <w14:solidFill>
              <w14:schemeClr w14:val="tx1"/>
            </w14:solidFill>
          </w14:textFill>
        </w:rPr>
        <w:t>的（</w:t>
      </w:r>
      <w:r>
        <w:rPr>
          <w:rFonts w:hint="eastAsia" w:ascii="宋体" w:hAnsi="宋体" w:eastAsia="宋体" w:cs="宋体"/>
          <w:color w:val="000000" w:themeColor="text1"/>
          <w:sz w:val="24"/>
          <w:u w:val="single"/>
          <w:lang w:eastAsia="zh-CN"/>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法定代表人/□负责人/□自然人本人</w:t>
      </w:r>
      <w:r>
        <w:rPr>
          <w:rFonts w:hint="eastAsia" w:ascii="宋体" w:hAnsi="宋体" w:eastAsia="宋体" w:cs="宋体"/>
          <w:color w:val="000000" w:themeColor="text1"/>
          <w:sz w:val="24"/>
          <w14:textFill>
            <w14:solidFill>
              <w14:schemeClr w14:val="tx1"/>
            </w14:solidFill>
          </w14:textFill>
        </w:rPr>
        <w:t>），现授权</w:t>
      </w:r>
      <w:r>
        <w:rPr>
          <w:rFonts w:hint="eastAsia" w:ascii="宋体" w:hAnsi="宋体" w:eastAsia="宋体" w:cs="宋体"/>
          <w:color w:val="000000" w:themeColor="text1"/>
          <w:sz w:val="24"/>
          <w:u w:val="single"/>
          <w14:textFill>
            <w14:solidFill>
              <w14:schemeClr w14:val="tx1"/>
            </w14:solidFill>
          </w14:textFill>
        </w:rPr>
        <w:t>（姓名）</w:t>
      </w:r>
      <w:r>
        <w:rPr>
          <w:rFonts w:hint="eastAsia" w:ascii="宋体" w:hAnsi="宋体" w:eastAsia="宋体" w:cs="宋体"/>
          <w:color w:val="000000" w:themeColor="text1"/>
          <w:sz w:val="24"/>
          <w14:textFill>
            <w14:solidFill>
              <w14:schemeClr w14:val="tx1"/>
            </w14:solidFill>
          </w14:textFill>
        </w:rPr>
        <w:t>以我方的名义参加项目的竞标活动，并代表我方全权办理针对上述项目的所有采购程序和环节的具体事务和签署相关文件。</w:t>
      </w:r>
    </w:p>
    <w:p w14:paraId="007DE648">
      <w:pPr>
        <w:spacing w:line="360" w:lineRule="auto"/>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我方对委托代理人的签字或者电子签名事项负全部责任。</w:t>
      </w:r>
    </w:p>
    <w:p w14:paraId="59E2A59A">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732CFEBE">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委托代理人无转委托权，特此委托。</w:t>
      </w:r>
    </w:p>
    <w:p w14:paraId="5459583B">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附：法定代表人身份证明书及委托代理人有效身份证正反面复印件</w:t>
      </w:r>
    </w:p>
    <w:p w14:paraId="6CF855CD">
      <w:pPr>
        <w:spacing w:line="360" w:lineRule="auto"/>
        <w:contextualSpacing/>
        <w:rPr>
          <w:rFonts w:hint="eastAsia" w:ascii="宋体" w:hAnsi="宋体" w:eastAsia="宋体" w:cs="宋体"/>
          <w:color w:val="000000" w:themeColor="text1"/>
          <w:sz w:val="24"/>
          <w14:textFill>
            <w14:solidFill>
              <w14:schemeClr w14:val="tx1"/>
            </w14:solidFill>
          </w14:textFill>
        </w:rPr>
      </w:pPr>
    </w:p>
    <w:p w14:paraId="7CADD01D">
      <w:pPr>
        <w:spacing w:line="360" w:lineRule="auto"/>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委托代理人（签字或者电子签名）：法定代表人（签字或者盖章或者电子签名）：</w:t>
      </w:r>
    </w:p>
    <w:p w14:paraId="060A3039">
      <w:pPr>
        <w:spacing w:line="360" w:lineRule="auto"/>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委托代理人身份证号码：</w:t>
      </w:r>
    </w:p>
    <w:p w14:paraId="5A2441FA">
      <w:pPr>
        <w:spacing w:line="360" w:lineRule="auto"/>
        <w:contextualSpacing/>
        <w:rPr>
          <w:rFonts w:hint="eastAsia" w:ascii="宋体" w:hAnsi="宋体" w:eastAsia="宋体" w:cs="宋体"/>
          <w:color w:val="000000" w:themeColor="text1"/>
          <w:sz w:val="24"/>
          <w14:textFill>
            <w14:solidFill>
              <w14:schemeClr w14:val="tx1"/>
            </w14:solidFill>
          </w14:textFill>
        </w:rPr>
      </w:pPr>
    </w:p>
    <w:p w14:paraId="717823A0">
      <w:pPr>
        <w:spacing w:line="360" w:lineRule="auto"/>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供应商（电子签章）：</w:t>
      </w:r>
    </w:p>
    <w:p w14:paraId="68C2FFB4">
      <w:pPr>
        <w:spacing w:line="360" w:lineRule="auto"/>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年月日</w:t>
      </w:r>
    </w:p>
    <w:p w14:paraId="700C6A49">
      <w:pPr>
        <w:spacing w:line="360" w:lineRule="auto"/>
        <w:contextualSpacing/>
        <w:rPr>
          <w:rFonts w:hint="eastAsia" w:ascii="宋体" w:hAnsi="宋体" w:eastAsia="宋体" w:cs="宋体"/>
          <w:color w:val="000000" w:themeColor="text1"/>
          <w:sz w:val="24"/>
          <w14:textFill>
            <w14:solidFill>
              <w14:schemeClr w14:val="tx1"/>
            </w14:solidFill>
          </w14:textFill>
        </w:rPr>
      </w:pPr>
    </w:p>
    <w:p w14:paraId="7FB45B64">
      <w:pPr>
        <w:spacing w:line="360" w:lineRule="auto"/>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注：1. 法定代表人必须在授权委托书上签字或者盖章或者电子签名，委托代理人必须在授权委托书上签字或者电子签名，</w:t>
      </w:r>
      <w:r>
        <w:rPr>
          <w:rFonts w:hint="eastAsia" w:ascii="宋体" w:hAnsi="宋体" w:eastAsia="宋体" w:cs="宋体"/>
          <w:b/>
          <w:color w:val="000000" w:themeColor="text1"/>
          <w:sz w:val="24"/>
          <w14:textFill>
            <w14:solidFill>
              <w14:schemeClr w14:val="tx1"/>
            </w14:solidFill>
          </w14:textFill>
        </w:rPr>
        <w:t>否则其响应文件按无效响应处理。</w:t>
      </w:r>
    </w:p>
    <w:p w14:paraId="3F8AB496">
      <w:pPr>
        <w:spacing w:line="360" w:lineRule="auto"/>
        <w:ind w:firstLine="480" w:firstLineChars="200"/>
        <w:contextualSpacing/>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2.法人、其他组织竞标时“我方”是指“我单位”，自然人竞标时“我方”是指“本人”。</w:t>
      </w:r>
    </w:p>
    <w:p w14:paraId="51A6270E">
      <w:pPr>
        <w:spacing w:line="360" w:lineRule="auto"/>
        <w:ind w:firstLine="420" w:firstLineChars="200"/>
        <w:contextualSpacing/>
        <w:jc w:val="left"/>
        <w:rPr>
          <w:rFonts w:hint="eastAsia" w:ascii="宋体" w:hAnsi="宋体" w:eastAsia="宋体" w:cs="宋体"/>
          <w:color w:val="000000" w:themeColor="text1"/>
          <w:szCs w:val="21"/>
          <w14:textFill>
            <w14:solidFill>
              <w14:schemeClr w14:val="tx1"/>
            </w14:solidFill>
          </w14:textFill>
        </w:rPr>
      </w:pPr>
    </w:p>
    <w:p w14:paraId="0905608C">
      <w:pPr>
        <w:spacing w:line="520" w:lineRule="exact"/>
        <w:contextualSpacing/>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r>
        <w:rPr>
          <w:rFonts w:hint="eastAsia" w:ascii="宋体" w:hAnsi="宋体" w:eastAsia="宋体" w:cs="宋体"/>
          <w:color w:val="000000" w:themeColor="text1"/>
          <w:sz w:val="44"/>
          <w:szCs w:val="44"/>
          <w14:textFill>
            <w14:solidFill>
              <w14:schemeClr w14:val="tx1"/>
            </w14:solidFill>
          </w14:textFill>
        </w:rPr>
        <w:t>授权委托书</w:t>
      </w:r>
    </w:p>
    <w:p w14:paraId="06B27FEC">
      <w:pPr>
        <w:spacing w:line="520" w:lineRule="exact"/>
        <w:contextualSpacing/>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（联合体竞标格式）</w:t>
      </w:r>
    </w:p>
    <w:p w14:paraId="6C96DEB3">
      <w:pPr>
        <w:spacing w:line="520" w:lineRule="exact"/>
        <w:contextualSpacing/>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（如有委托时）</w:t>
      </w:r>
    </w:p>
    <w:p w14:paraId="040D2526">
      <w:pPr>
        <w:spacing w:line="360" w:lineRule="auto"/>
        <w:contextualSpacing/>
        <w:rPr>
          <w:rFonts w:hint="eastAsia" w:ascii="宋体" w:hAnsi="宋体" w:eastAsia="宋体" w:cs="宋体"/>
          <w:color w:val="000000" w:themeColor="text1"/>
          <w:sz w:val="32"/>
          <w:szCs w:val="32"/>
          <w14:textFill>
            <w14:solidFill>
              <w14:schemeClr w14:val="tx1"/>
            </w14:solidFill>
          </w14:textFill>
        </w:rPr>
      </w:pPr>
    </w:p>
    <w:p w14:paraId="61C85514">
      <w:pPr>
        <w:spacing w:line="360" w:lineRule="auto"/>
        <w:ind w:firstLine="480" w:firstLineChars="200"/>
        <w:contextualSpacing/>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67E121F1">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我方对委托代理人的签字或者电子签名事项负全部责任。</w:t>
      </w:r>
    </w:p>
    <w:p w14:paraId="1F7E253A">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1E41E59">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委托代理人无转委托权，特此委托。</w:t>
      </w:r>
    </w:p>
    <w:p w14:paraId="525FD87F">
      <w:pPr>
        <w:spacing w:line="360" w:lineRule="auto"/>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附：法定代表人身份证明书及委托代理人有效身份证正反面复印件</w:t>
      </w:r>
    </w:p>
    <w:p w14:paraId="6163AC44">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牵头人法定代表人（签字或者盖章或者电子签名）：</w:t>
      </w:r>
    </w:p>
    <w:p w14:paraId="1A05EADB">
      <w:pPr>
        <w:spacing w:line="360" w:lineRule="auto"/>
        <w:ind w:firstLine="3120" w:firstLineChars="13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牵头人（电子签章）：</w:t>
      </w:r>
    </w:p>
    <w:p w14:paraId="5C432863">
      <w:pPr>
        <w:spacing w:line="360" w:lineRule="auto"/>
        <w:ind w:firstLine="3840" w:firstLineChars="16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日期：年月日</w:t>
      </w:r>
    </w:p>
    <w:p w14:paraId="116FB65E">
      <w:pPr>
        <w:spacing w:line="360" w:lineRule="auto"/>
        <w:contextualSpacing/>
        <w:rPr>
          <w:rFonts w:hint="eastAsia" w:ascii="宋体" w:hAnsi="宋体" w:eastAsia="宋体" w:cs="宋体"/>
          <w:color w:val="000000" w:themeColor="text1"/>
          <w:sz w:val="24"/>
          <w14:textFill>
            <w14:solidFill>
              <w14:schemeClr w14:val="tx1"/>
            </w14:solidFill>
          </w14:textFill>
        </w:rPr>
      </w:pPr>
    </w:p>
    <w:p w14:paraId="02238552">
      <w:pPr>
        <w:spacing w:line="360" w:lineRule="auto"/>
        <w:ind w:firstLine="3120" w:firstLineChars="13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被授权人（签字或者电子签名）：</w:t>
      </w:r>
    </w:p>
    <w:p w14:paraId="5262247B">
      <w:pPr>
        <w:spacing w:line="360" w:lineRule="auto"/>
        <w:ind w:firstLine="3840" w:firstLineChars="16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日期：年月日</w:t>
      </w:r>
    </w:p>
    <w:p w14:paraId="3C74759E">
      <w:pPr>
        <w:spacing w:line="360" w:lineRule="auto"/>
        <w:contextualSpacing/>
        <w:rPr>
          <w:rFonts w:hint="eastAsia" w:ascii="宋体" w:hAnsi="宋体" w:eastAsia="宋体" w:cs="宋体"/>
          <w:color w:val="000000" w:themeColor="text1"/>
          <w:sz w:val="24"/>
          <w14:textFill>
            <w14:solidFill>
              <w14:schemeClr w14:val="tx1"/>
            </w14:solidFill>
          </w14:textFill>
        </w:rPr>
      </w:pPr>
    </w:p>
    <w:p w14:paraId="4AE1EC79">
      <w:pPr>
        <w:spacing w:line="360" w:lineRule="auto"/>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注：1. 法定代表人必须在授权委托书上签字或者盖章或者电子签名，委托代理人必须在授权委托书上签字或者电子签名，</w:t>
      </w:r>
      <w:r>
        <w:rPr>
          <w:rFonts w:hint="eastAsia" w:ascii="宋体" w:hAnsi="宋体" w:eastAsia="宋体" w:cs="宋体"/>
          <w:b/>
          <w:color w:val="000000" w:themeColor="text1"/>
          <w:sz w:val="24"/>
          <w14:textFill>
            <w14:solidFill>
              <w14:schemeClr w14:val="tx1"/>
            </w14:solidFill>
          </w14:textFill>
        </w:rPr>
        <w:t>否则其响应文件按无效响应处理。</w:t>
      </w:r>
    </w:p>
    <w:p w14:paraId="42D180FD">
      <w:pPr>
        <w:spacing w:line="50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2.法人、其他组织竞标时“我方”是指“我单位”，自然人竞标时“我方”是指“本人”。</w:t>
      </w:r>
    </w:p>
    <w:p w14:paraId="34EF31F9">
      <w:pPr>
        <w:spacing w:line="500" w:lineRule="exact"/>
        <w:jc w:val="center"/>
        <w:rPr>
          <w:rFonts w:hint="eastAsia" w:ascii="宋体" w:hAnsi="宋体" w:eastAsia="宋体" w:cs="宋体"/>
          <w:bCs/>
          <w:color w:val="000000" w:themeColor="text1"/>
          <w:sz w:val="44"/>
          <w:szCs w:val="44"/>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r>
        <w:rPr>
          <w:rFonts w:hint="eastAsia" w:ascii="宋体" w:hAnsi="宋体" w:eastAsia="宋体" w:cs="宋体"/>
          <w:bCs/>
          <w:color w:val="000000" w:themeColor="text1"/>
          <w:sz w:val="44"/>
          <w:szCs w:val="44"/>
          <w14:textFill>
            <w14:solidFill>
              <w14:schemeClr w14:val="tx1"/>
            </w14:solidFill>
          </w14:textFill>
        </w:rPr>
        <w:t>商务要求偏离表格式</w:t>
      </w:r>
    </w:p>
    <w:p w14:paraId="358A5C7F">
      <w:pPr>
        <w:spacing w:line="500" w:lineRule="exact"/>
        <w:jc w:val="center"/>
        <w:rPr>
          <w:rFonts w:hint="eastAsia" w:ascii="宋体" w:hAnsi="宋体" w:eastAsia="宋体" w:cs="宋体"/>
          <w:b/>
          <w:i/>
          <w:color w:val="000000" w:themeColor="text1"/>
          <w:sz w:val="32"/>
          <w:szCs w:val="32"/>
          <w14:textFill>
            <w14:solidFill>
              <w14:schemeClr w14:val="tx1"/>
            </w14:solidFill>
          </w14:textFill>
        </w:rPr>
      </w:pPr>
      <w:r>
        <w:rPr>
          <w:rFonts w:hint="eastAsia" w:ascii="宋体" w:hAnsi="宋体" w:eastAsia="宋体" w:cs="宋体"/>
          <w:bCs/>
          <w:i/>
          <w:color w:val="000000" w:themeColor="text1"/>
          <w:sz w:val="32"/>
          <w:szCs w:val="32"/>
          <w14:textFill>
            <w14:solidFill>
              <w14:schemeClr w14:val="tx1"/>
            </w14:solidFill>
          </w14:textFill>
        </w:rPr>
        <w:t>（注：按采购需求具体条款修改）</w:t>
      </w:r>
    </w:p>
    <w:p w14:paraId="57BD86FA">
      <w:pPr>
        <w:snapToGrid w:val="0"/>
        <w:spacing w:before="50"/>
        <w:jc w:val="left"/>
        <w:rPr>
          <w:rFonts w:hint="eastAsia" w:ascii="宋体" w:hAnsi="宋体" w:eastAsia="宋体" w:cs="宋体"/>
          <w:color w:val="000000" w:themeColor="text1"/>
          <w:sz w:val="24"/>
          <w14:textFill>
            <w14:solidFill>
              <w14:schemeClr w14:val="tx1"/>
            </w14:solidFill>
          </w14:textFill>
        </w:rPr>
      </w:pPr>
    </w:p>
    <w:p w14:paraId="5E0A3231">
      <w:pPr>
        <w:pStyle w:val="14"/>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所竞分标：</w:t>
      </w:r>
    </w:p>
    <w:tbl>
      <w:tblPr>
        <w:tblStyle w:val="24"/>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268B8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3EC701D">
            <w:pPr>
              <w:snapToGrid w:val="0"/>
              <w:spacing w:beforeLines="50"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389C0C2">
            <w:pPr>
              <w:snapToGrid w:val="0"/>
              <w:spacing w:beforeLines="50"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600EAC76">
            <w:pPr>
              <w:snapToGrid w:val="0"/>
              <w:spacing w:beforeLines="50"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0D98A91C">
            <w:pPr>
              <w:snapToGrid w:val="0"/>
              <w:spacing w:beforeLines="50"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偏离说明</w:t>
            </w:r>
          </w:p>
        </w:tc>
      </w:tr>
      <w:tr w14:paraId="4A089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14:paraId="15E59855">
            <w:pPr>
              <w:jc w:val="center"/>
              <w:rPr>
                <w:rFonts w:hint="eastAsia" w:ascii="宋体" w:hAnsi="宋体" w:eastAsia="宋体" w:cs="宋体"/>
                <w:color w:val="000000" w:themeColor="text1"/>
                <w:sz w:val="24"/>
                <w14:textFill>
                  <w14:solidFill>
                    <w14:schemeClr w14:val="tx1"/>
                  </w14:solidFill>
                </w14:textFill>
              </w:rPr>
            </w:pPr>
          </w:p>
        </w:tc>
        <w:tc>
          <w:tcPr>
            <w:tcW w:w="2668" w:type="dxa"/>
            <w:tcBorders>
              <w:top w:val="single" w:color="auto" w:sz="4" w:space="0"/>
              <w:left w:val="single" w:color="auto" w:sz="4" w:space="0"/>
              <w:bottom w:val="single" w:color="auto" w:sz="4" w:space="0"/>
              <w:right w:val="single" w:color="auto" w:sz="4" w:space="0"/>
            </w:tcBorders>
            <w:vAlign w:val="center"/>
          </w:tcPr>
          <w:p w14:paraId="736BC81C">
            <w:pPr>
              <w:jc w:val="center"/>
              <w:rPr>
                <w:rFonts w:hint="eastAsia" w:ascii="宋体" w:hAnsi="宋体" w:eastAsia="宋体" w:cs="宋体"/>
                <w:color w:val="000000" w:themeColor="text1"/>
                <w:sz w:val="24"/>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14:paraId="786DEED4">
            <w:pPr>
              <w:snapToGrid w:val="0"/>
              <w:spacing w:beforeLines="50" w:line="360" w:lineRule="auto"/>
              <w:jc w:val="center"/>
              <w:rPr>
                <w:rFonts w:hint="eastAsia" w:ascii="宋体" w:hAnsi="宋体" w:eastAsia="宋体" w:cs="宋体"/>
                <w:color w:val="000000" w:themeColor="text1"/>
                <w:sz w:val="24"/>
                <w14:textFill>
                  <w14:solidFill>
                    <w14:schemeClr w14:val="tx1"/>
                  </w14:solidFill>
                </w14:textFill>
              </w:rPr>
            </w:pPr>
          </w:p>
        </w:tc>
        <w:tc>
          <w:tcPr>
            <w:tcW w:w="1829" w:type="dxa"/>
            <w:tcBorders>
              <w:top w:val="single" w:color="auto" w:sz="4" w:space="0"/>
              <w:left w:val="single" w:color="auto" w:sz="4" w:space="0"/>
              <w:bottom w:val="single" w:color="auto" w:sz="4" w:space="0"/>
              <w:right w:val="single" w:color="auto" w:sz="4" w:space="0"/>
            </w:tcBorders>
            <w:vAlign w:val="center"/>
          </w:tcPr>
          <w:p w14:paraId="54AB617F">
            <w:pPr>
              <w:snapToGrid w:val="0"/>
              <w:spacing w:beforeLines="50" w:line="360" w:lineRule="auto"/>
              <w:jc w:val="center"/>
              <w:rPr>
                <w:rFonts w:hint="eastAsia" w:ascii="宋体" w:hAnsi="宋体" w:eastAsia="宋体" w:cs="宋体"/>
                <w:color w:val="000000" w:themeColor="text1"/>
                <w:sz w:val="24"/>
                <w14:textFill>
                  <w14:solidFill>
                    <w14:schemeClr w14:val="tx1"/>
                  </w14:solidFill>
                </w14:textFill>
              </w:rPr>
            </w:pPr>
          </w:p>
        </w:tc>
      </w:tr>
      <w:tr w14:paraId="63BDC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533523C3">
            <w:pPr>
              <w:jc w:val="center"/>
              <w:rPr>
                <w:rFonts w:hint="eastAsia" w:ascii="宋体" w:hAnsi="宋体" w:eastAsia="宋体" w:cs="宋体"/>
                <w:color w:val="000000" w:themeColor="text1"/>
                <w:sz w:val="24"/>
                <w14:textFill>
                  <w14:solidFill>
                    <w14:schemeClr w14:val="tx1"/>
                  </w14:solidFill>
                </w14:textFill>
              </w:rPr>
            </w:pPr>
          </w:p>
        </w:tc>
        <w:tc>
          <w:tcPr>
            <w:tcW w:w="2668" w:type="dxa"/>
            <w:tcBorders>
              <w:top w:val="single" w:color="auto" w:sz="4" w:space="0"/>
              <w:left w:val="single" w:color="auto" w:sz="4" w:space="0"/>
              <w:bottom w:val="single" w:color="auto" w:sz="4" w:space="0"/>
              <w:right w:val="single" w:color="auto" w:sz="4" w:space="0"/>
            </w:tcBorders>
            <w:vAlign w:val="center"/>
          </w:tcPr>
          <w:p w14:paraId="6B0379A5">
            <w:pPr>
              <w:jc w:val="center"/>
              <w:rPr>
                <w:rFonts w:hint="eastAsia" w:ascii="宋体" w:hAnsi="宋体" w:eastAsia="宋体" w:cs="宋体"/>
                <w:color w:val="000000" w:themeColor="text1"/>
                <w:sz w:val="24"/>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14:paraId="1D58FB19">
            <w:pPr>
              <w:snapToGrid w:val="0"/>
              <w:spacing w:beforeLines="50" w:line="360" w:lineRule="auto"/>
              <w:ind w:left="43"/>
              <w:jc w:val="center"/>
              <w:rPr>
                <w:rFonts w:hint="eastAsia" w:ascii="宋体" w:hAnsi="宋体" w:eastAsia="宋体" w:cs="宋体"/>
                <w:color w:val="000000" w:themeColor="text1"/>
                <w:sz w:val="24"/>
                <w14:textFill>
                  <w14:solidFill>
                    <w14:schemeClr w14:val="tx1"/>
                  </w14:solidFill>
                </w14:textFill>
              </w:rPr>
            </w:pPr>
          </w:p>
        </w:tc>
        <w:tc>
          <w:tcPr>
            <w:tcW w:w="1829" w:type="dxa"/>
            <w:tcBorders>
              <w:top w:val="single" w:color="auto" w:sz="4" w:space="0"/>
              <w:left w:val="single" w:color="auto" w:sz="4" w:space="0"/>
              <w:bottom w:val="single" w:color="auto" w:sz="4" w:space="0"/>
              <w:right w:val="single" w:color="auto" w:sz="4" w:space="0"/>
            </w:tcBorders>
            <w:vAlign w:val="center"/>
          </w:tcPr>
          <w:p w14:paraId="10C9D618">
            <w:pPr>
              <w:snapToGrid w:val="0"/>
              <w:spacing w:beforeLines="50" w:line="360" w:lineRule="auto"/>
              <w:ind w:left="43"/>
              <w:jc w:val="center"/>
              <w:rPr>
                <w:rFonts w:hint="eastAsia" w:ascii="宋体" w:hAnsi="宋体" w:eastAsia="宋体" w:cs="宋体"/>
                <w:color w:val="000000" w:themeColor="text1"/>
                <w:sz w:val="24"/>
                <w14:textFill>
                  <w14:solidFill>
                    <w14:schemeClr w14:val="tx1"/>
                  </w14:solidFill>
                </w14:textFill>
              </w:rPr>
            </w:pPr>
          </w:p>
        </w:tc>
      </w:tr>
      <w:tr w14:paraId="1213E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605FDFC4">
            <w:pPr>
              <w:snapToGrid w:val="0"/>
              <w:spacing w:beforeLines="50"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tc>
        <w:tc>
          <w:tcPr>
            <w:tcW w:w="2668" w:type="dxa"/>
            <w:tcBorders>
              <w:top w:val="single" w:color="auto" w:sz="4" w:space="0"/>
              <w:left w:val="single" w:color="auto" w:sz="4" w:space="0"/>
              <w:bottom w:val="single" w:color="auto" w:sz="4" w:space="0"/>
              <w:right w:val="single" w:color="auto" w:sz="4" w:space="0"/>
            </w:tcBorders>
            <w:vAlign w:val="center"/>
          </w:tcPr>
          <w:p w14:paraId="6C354D74">
            <w:pPr>
              <w:snapToGrid w:val="0"/>
              <w:spacing w:beforeLines="50" w:line="360" w:lineRule="auto"/>
              <w:jc w:val="center"/>
              <w:rPr>
                <w:rFonts w:hint="eastAsia" w:ascii="宋体" w:hAnsi="宋体" w:eastAsia="宋体" w:cs="宋体"/>
                <w:color w:val="000000" w:themeColor="text1"/>
                <w:sz w:val="24"/>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14:paraId="73A282D9">
            <w:pPr>
              <w:snapToGrid w:val="0"/>
              <w:spacing w:beforeLines="50" w:line="360" w:lineRule="auto"/>
              <w:jc w:val="center"/>
              <w:rPr>
                <w:rFonts w:hint="eastAsia" w:ascii="宋体" w:hAnsi="宋体" w:eastAsia="宋体" w:cs="宋体"/>
                <w:color w:val="000000" w:themeColor="text1"/>
                <w:sz w:val="24"/>
                <w14:textFill>
                  <w14:solidFill>
                    <w14:schemeClr w14:val="tx1"/>
                  </w14:solidFill>
                </w14:textFill>
              </w:rPr>
            </w:pPr>
          </w:p>
        </w:tc>
        <w:tc>
          <w:tcPr>
            <w:tcW w:w="1829" w:type="dxa"/>
            <w:tcBorders>
              <w:top w:val="single" w:color="auto" w:sz="4" w:space="0"/>
              <w:left w:val="single" w:color="auto" w:sz="4" w:space="0"/>
              <w:bottom w:val="single" w:color="auto" w:sz="4" w:space="0"/>
              <w:right w:val="single" w:color="auto" w:sz="4" w:space="0"/>
            </w:tcBorders>
            <w:vAlign w:val="center"/>
          </w:tcPr>
          <w:p w14:paraId="707879D2">
            <w:pPr>
              <w:snapToGrid w:val="0"/>
              <w:spacing w:beforeLines="50" w:line="360" w:lineRule="auto"/>
              <w:jc w:val="center"/>
              <w:rPr>
                <w:rFonts w:hint="eastAsia" w:ascii="宋体" w:hAnsi="宋体" w:eastAsia="宋体" w:cs="宋体"/>
                <w:color w:val="000000" w:themeColor="text1"/>
                <w:sz w:val="24"/>
                <w14:textFill>
                  <w14:solidFill>
                    <w14:schemeClr w14:val="tx1"/>
                  </w14:solidFill>
                </w14:textFill>
              </w:rPr>
            </w:pPr>
          </w:p>
        </w:tc>
      </w:tr>
    </w:tbl>
    <w:p w14:paraId="52208290">
      <w:pPr>
        <w:pStyle w:val="9"/>
        <w:spacing w:after="0" w:line="360" w:lineRule="auto"/>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注：</w:t>
      </w:r>
    </w:p>
    <w:p w14:paraId="1DF8EA6B">
      <w:pPr>
        <w:pStyle w:val="9"/>
        <w:spacing w:after="0" w:line="360" w:lineRule="auto"/>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 说明：应对照谈判文件“第三章采购需求”中的商务要求逐条明确响应，并作出偏离说明。</w:t>
      </w:r>
    </w:p>
    <w:p w14:paraId="564068AB">
      <w:pPr>
        <w:pStyle w:val="9"/>
        <w:spacing w:after="0" w:line="360" w:lineRule="auto"/>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2.供应商应根据自身的承诺，对照谈判文件要求在“偏离说明”中注明“正偏离”、“负偏离”或者“无偏离”。既不属于“正偏离”也不属于“负偏离”即为“无偏离”。</w:t>
      </w:r>
    </w:p>
    <w:p w14:paraId="5BA7E07F">
      <w:pPr>
        <w:spacing w:line="360" w:lineRule="auto"/>
        <w:contextualSpacing/>
        <w:jc w:val="left"/>
        <w:rPr>
          <w:rFonts w:hint="eastAsia" w:ascii="宋体" w:hAnsi="宋体" w:eastAsia="宋体" w:cs="宋体"/>
          <w:color w:val="000000" w:themeColor="text1"/>
          <w:sz w:val="24"/>
          <w:u w:val="single"/>
          <w14:textFill>
            <w14:solidFill>
              <w14:schemeClr w14:val="tx1"/>
            </w14:solidFill>
          </w14:textFill>
        </w:rPr>
      </w:pPr>
    </w:p>
    <w:p w14:paraId="1FFF6879">
      <w:pPr>
        <w:spacing w:line="360" w:lineRule="auto"/>
        <w:contextualSpacing/>
        <w:jc w:val="left"/>
        <w:rPr>
          <w:rFonts w:hint="eastAsia" w:ascii="宋体" w:hAnsi="宋体" w:eastAsia="宋体" w:cs="宋体"/>
          <w:color w:val="000000" w:themeColor="text1"/>
          <w:sz w:val="24"/>
          <w:u w:val="single"/>
          <w14:textFill>
            <w14:solidFill>
              <w14:schemeClr w14:val="tx1"/>
            </w14:solidFill>
          </w14:textFill>
        </w:rPr>
      </w:pPr>
    </w:p>
    <w:p w14:paraId="1472E5C3">
      <w:pPr>
        <w:spacing w:line="360" w:lineRule="auto"/>
        <w:ind w:right="-817" w:rightChars="-389"/>
        <w:contextualSpacing/>
        <w:rPr>
          <w:rFonts w:hint="eastAsia" w:ascii="宋体" w:hAnsi="宋体" w:eastAsia="宋体" w:cs="宋体"/>
          <w:color w:val="000000" w:themeColor="text1"/>
          <w:sz w:val="24"/>
          <w14:textFill>
            <w14:solidFill>
              <w14:schemeClr w14:val="tx1"/>
            </w14:solidFill>
          </w14:textFill>
        </w:rPr>
      </w:pPr>
    </w:p>
    <w:p w14:paraId="0B1D48EC">
      <w:pPr>
        <w:spacing w:line="360" w:lineRule="auto"/>
        <w:ind w:right="-817" w:rightChars="-389"/>
        <w:contextualSpacing/>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法定代表人或者委托代理人（签字或者电子签名）：</w:t>
      </w:r>
    </w:p>
    <w:p w14:paraId="795876C1">
      <w:pPr>
        <w:spacing w:line="360" w:lineRule="auto"/>
        <w:ind w:right="-817" w:rightChars="-389" w:firstLine="2880" w:firstLineChars="1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供应商（电子签章）：</w:t>
      </w:r>
    </w:p>
    <w:p w14:paraId="1DE139D4">
      <w:pPr>
        <w:spacing w:line="360" w:lineRule="auto"/>
        <w:ind w:right="-817" w:rightChars="-389" w:firstLine="2880" w:firstLineChars="1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日期：年月日</w:t>
      </w:r>
    </w:p>
    <w:p w14:paraId="049CED34">
      <w:pPr>
        <w:adjustRightInd w:val="0"/>
        <w:snapToGrid w:val="0"/>
        <w:spacing w:line="520" w:lineRule="exact"/>
        <w:ind w:firstLine="7040" w:firstLineChars="1600"/>
        <w:jc w:val="center"/>
        <w:rPr>
          <w:rFonts w:hint="eastAsia" w:ascii="宋体" w:hAnsi="宋体" w:eastAsia="宋体" w:cs="宋体"/>
          <w:bCs/>
          <w:color w:val="000000" w:themeColor="text1"/>
          <w:sz w:val="44"/>
          <w:szCs w:val="44"/>
          <w14:textFill>
            <w14:solidFill>
              <w14:schemeClr w14:val="tx1"/>
            </w14:solidFill>
          </w14:textFill>
        </w:rPr>
      </w:pPr>
    </w:p>
    <w:p w14:paraId="01E6FB82">
      <w:pPr>
        <w:adjustRightInd w:val="0"/>
        <w:snapToGrid w:val="0"/>
        <w:spacing w:line="52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Cs/>
          <w:color w:val="000000" w:themeColor="text1"/>
          <w:sz w:val="44"/>
          <w:szCs w:val="44"/>
          <w14:textFill>
            <w14:solidFill>
              <w14:schemeClr w14:val="tx1"/>
            </w14:solidFill>
          </w14:textFill>
        </w:rPr>
        <w:br w:type="page"/>
      </w:r>
    </w:p>
    <w:p w14:paraId="7F5403CA">
      <w:pPr>
        <w:adjustRightInd w:val="0"/>
        <w:snapToGrid w:val="0"/>
        <w:spacing w:line="300" w:lineRule="auto"/>
        <w:jc w:val="center"/>
        <w:rPr>
          <w:rFonts w:hint="eastAsia" w:ascii="宋体" w:hAnsi="宋体" w:eastAsia="宋体" w:cs="宋体"/>
          <w:bCs/>
          <w:color w:val="000000" w:themeColor="text1"/>
          <w:sz w:val="44"/>
          <w:szCs w:val="44"/>
          <w14:textFill>
            <w14:solidFill>
              <w14:schemeClr w14:val="tx1"/>
            </w14:solidFill>
          </w14:textFill>
        </w:rPr>
      </w:pPr>
      <w:r>
        <w:rPr>
          <w:rFonts w:hint="eastAsia" w:ascii="宋体" w:hAnsi="宋体" w:eastAsia="宋体" w:cs="宋体"/>
          <w:bCs/>
          <w:color w:val="000000" w:themeColor="text1"/>
          <w:sz w:val="44"/>
          <w:szCs w:val="44"/>
          <w14:textFill>
            <w14:solidFill>
              <w14:schemeClr w14:val="tx1"/>
            </w14:solidFill>
          </w14:textFill>
        </w:rPr>
        <w:t>技术要求偏离表</w:t>
      </w:r>
    </w:p>
    <w:p w14:paraId="74DBCB55">
      <w:pPr>
        <w:spacing w:line="520" w:lineRule="exact"/>
        <w:rPr>
          <w:rFonts w:hint="eastAsia" w:ascii="宋体" w:hAnsi="宋体" w:eastAsia="宋体" w:cs="宋体"/>
          <w:color w:val="000000" w:themeColor="text1"/>
          <w:sz w:val="32"/>
          <w:szCs w:val="32"/>
          <w14:textFill>
            <w14:solidFill>
              <w14:schemeClr w14:val="tx1"/>
            </w14:solidFill>
          </w14:textFill>
        </w:rPr>
      </w:pPr>
    </w:p>
    <w:p w14:paraId="49182511">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采购项目编号：</w:t>
      </w:r>
    </w:p>
    <w:p w14:paraId="72C60420">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采购项目名称：</w:t>
      </w:r>
    </w:p>
    <w:p w14:paraId="5D5C4384">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分标号：</w:t>
      </w:r>
    </w:p>
    <w:tbl>
      <w:tblPr>
        <w:tblStyle w:val="24"/>
        <w:tblW w:w="89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1"/>
        <w:gridCol w:w="901"/>
        <w:gridCol w:w="2988"/>
        <w:gridCol w:w="2689"/>
        <w:gridCol w:w="1467"/>
      </w:tblGrid>
      <w:tr w14:paraId="485E08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vAlign w:val="center"/>
          </w:tcPr>
          <w:p w14:paraId="6C20373D">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序号</w:t>
            </w:r>
          </w:p>
        </w:tc>
        <w:tc>
          <w:tcPr>
            <w:tcW w:w="901" w:type="dxa"/>
            <w:tcBorders>
              <w:right w:val="single" w:color="auto" w:sz="4" w:space="0"/>
            </w:tcBorders>
            <w:vAlign w:val="center"/>
          </w:tcPr>
          <w:p w14:paraId="27385C05">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名称</w:t>
            </w:r>
          </w:p>
        </w:tc>
        <w:tc>
          <w:tcPr>
            <w:tcW w:w="2988" w:type="dxa"/>
            <w:tcBorders>
              <w:left w:val="single" w:color="auto" w:sz="4" w:space="0"/>
            </w:tcBorders>
            <w:vAlign w:val="center"/>
          </w:tcPr>
          <w:p w14:paraId="770F884A">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谈判文件要求</w:t>
            </w:r>
          </w:p>
        </w:tc>
        <w:tc>
          <w:tcPr>
            <w:tcW w:w="2689" w:type="dxa"/>
            <w:vAlign w:val="center"/>
          </w:tcPr>
          <w:p w14:paraId="0F24D782">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竞标响应</w:t>
            </w:r>
          </w:p>
        </w:tc>
        <w:tc>
          <w:tcPr>
            <w:tcW w:w="1467" w:type="dxa"/>
            <w:vAlign w:val="center"/>
          </w:tcPr>
          <w:p w14:paraId="38281D54">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偏离说明</w:t>
            </w:r>
          </w:p>
        </w:tc>
      </w:tr>
      <w:tr w14:paraId="5FE0A9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vAlign w:val="center"/>
          </w:tcPr>
          <w:p w14:paraId="36C4B41F">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w:t>
            </w:r>
          </w:p>
        </w:tc>
        <w:tc>
          <w:tcPr>
            <w:tcW w:w="901" w:type="dxa"/>
            <w:tcBorders>
              <w:right w:val="single" w:color="auto" w:sz="4" w:space="0"/>
            </w:tcBorders>
            <w:vAlign w:val="center"/>
          </w:tcPr>
          <w:p w14:paraId="5764D3A0">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c>
          <w:tcPr>
            <w:tcW w:w="2988" w:type="dxa"/>
            <w:tcBorders>
              <w:left w:val="single" w:color="auto" w:sz="4" w:space="0"/>
            </w:tcBorders>
            <w:vAlign w:val="center"/>
          </w:tcPr>
          <w:p w14:paraId="430A9526">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c>
          <w:tcPr>
            <w:tcW w:w="2689" w:type="dxa"/>
            <w:vAlign w:val="center"/>
          </w:tcPr>
          <w:p w14:paraId="665592F2">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c>
          <w:tcPr>
            <w:tcW w:w="1467" w:type="dxa"/>
            <w:vAlign w:val="center"/>
          </w:tcPr>
          <w:p w14:paraId="79DF11F2">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r>
      <w:tr w14:paraId="11BA88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vAlign w:val="center"/>
          </w:tcPr>
          <w:p w14:paraId="3455053E">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w:t>
            </w:r>
          </w:p>
        </w:tc>
        <w:tc>
          <w:tcPr>
            <w:tcW w:w="901" w:type="dxa"/>
            <w:tcBorders>
              <w:right w:val="single" w:color="auto" w:sz="4" w:space="0"/>
            </w:tcBorders>
            <w:vAlign w:val="center"/>
          </w:tcPr>
          <w:p w14:paraId="4EB2BC95">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c>
          <w:tcPr>
            <w:tcW w:w="2988" w:type="dxa"/>
            <w:tcBorders>
              <w:left w:val="single" w:color="auto" w:sz="4" w:space="0"/>
            </w:tcBorders>
            <w:vAlign w:val="center"/>
          </w:tcPr>
          <w:p w14:paraId="2E87ECA4">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c>
          <w:tcPr>
            <w:tcW w:w="2689" w:type="dxa"/>
            <w:vAlign w:val="center"/>
          </w:tcPr>
          <w:p w14:paraId="22F2DD76">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c>
          <w:tcPr>
            <w:tcW w:w="1467" w:type="dxa"/>
            <w:vAlign w:val="center"/>
          </w:tcPr>
          <w:p w14:paraId="2013B3D6">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r>
      <w:tr w14:paraId="03725B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vAlign w:val="center"/>
          </w:tcPr>
          <w:p w14:paraId="10E9F6FB">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w:t>
            </w:r>
          </w:p>
        </w:tc>
        <w:tc>
          <w:tcPr>
            <w:tcW w:w="901" w:type="dxa"/>
            <w:tcBorders>
              <w:right w:val="single" w:color="auto" w:sz="4" w:space="0"/>
            </w:tcBorders>
            <w:vAlign w:val="center"/>
          </w:tcPr>
          <w:p w14:paraId="549347CF">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c>
          <w:tcPr>
            <w:tcW w:w="2988" w:type="dxa"/>
            <w:tcBorders>
              <w:left w:val="single" w:color="auto" w:sz="4" w:space="0"/>
            </w:tcBorders>
            <w:vAlign w:val="center"/>
          </w:tcPr>
          <w:p w14:paraId="174E455F">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c>
          <w:tcPr>
            <w:tcW w:w="2689" w:type="dxa"/>
            <w:vAlign w:val="center"/>
          </w:tcPr>
          <w:p w14:paraId="2E02DDE9">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c>
          <w:tcPr>
            <w:tcW w:w="1467" w:type="dxa"/>
            <w:vAlign w:val="center"/>
          </w:tcPr>
          <w:p w14:paraId="3CBD1342">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r>
      <w:tr w14:paraId="29977A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vAlign w:val="center"/>
          </w:tcPr>
          <w:p w14:paraId="08F8120B">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4</w:t>
            </w:r>
          </w:p>
        </w:tc>
        <w:tc>
          <w:tcPr>
            <w:tcW w:w="901" w:type="dxa"/>
            <w:tcBorders>
              <w:right w:val="single" w:color="auto" w:sz="4" w:space="0"/>
            </w:tcBorders>
            <w:vAlign w:val="center"/>
          </w:tcPr>
          <w:p w14:paraId="388922F4">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c>
          <w:tcPr>
            <w:tcW w:w="2988" w:type="dxa"/>
            <w:tcBorders>
              <w:left w:val="single" w:color="auto" w:sz="4" w:space="0"/>
            </w:tcBorders>
            <w:vAlign w:val="center"/>
          </w:tcPr>
          <w:p w14:paraId="0C54E7B8">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c>
          <w:tcPr>
            <w:tcW w:w="2689" w:type="dxa"/>
            <w:vAlign w:val="center"/>
          </w:tcPr>
          <w:p w14:paraId="38AC3B4E">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c>
          <w:tcPr>
            <w:tcW w:w="1467" w:type="dxa"/>
            <w:vAlign w:val="center"/>
          </w:tcPr>
          <w:p w14:paraId="403CC4B9">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r>
      <w:tr w14:paraId="437854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vAlign w:val="center"/>
          </w:tcPr>
          <w:p w14:paraId="46A4A1E6">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5</w:t>
            </w:r>
          </w:p>
        </w:tc>
        <w:tc>
          <w:tcPr>
            <w:tcW w:w="901" w:type="dxa"/>
            <w:tcBorders>
              <w:right w:val="single" w:color="auto" w:sz="4" w:space="0"/>
            </w:tcBorders>
            <w:vAlign w:val="center"/>
          </w:tcPr>
          <w:p w14:paraId="5228CF65">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c>
          <w:tcPr>
            <w:tcW w:w="2988" w:type="dxa"/>
            <w:tcBorders>
              <w:left w:val="single" w:color="auto" w:sz="4" w:space="0"/>
            </w:tcBorders>
            <w:vAlign w:val="center"/>
          </w:tcPr>
          <w:p w14:paraId="67ADB90F">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c>
          <w:tcPr>
            <w:tcW w:w="2689" w:type="dxa"/>
            <w:vAlign w:val="center"/>
          </w:tcPr>
          <w:p w14:paraId="67F46CFC">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c>
          <w:tcPr>
            <w:tcW w:w="1467" w:type="dxa"/>
            <w:vAlign w:val="center"/>
          </w:tcPr>
          <w:p w14:paraId="68863DC2">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r>
      <w:tr w14:paraId="481BBE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1" w:type="dxa"/>
            <w:vAlign w:val="center"/>
          </w:tcPr>
          <w:p w14:paraId="5EAC4E7B">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w:t>
            </w:r>
          </w:p>
        </w:tc>
        <w:tc>
          <w:tcPr>
            <w:tcW w:w="901" w:type="dxa"/>
            <w:tcBorders>
              <w:right w:val="single" w:color="auto" w:sz="4" w:space="0"/>
            </w:tcBorders>
            <w:vAlign w:val="center"/>
          </w:tcPr>
          <w:p w14:paraId="6FB0718F">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c>
          <w:tcPr>
            <w:tcW w:w="2988" w:type="dxa"/>
            <w:tcBorders>
              <w:left w:val="single" w:color="auto" w:sz="4" w:space="0"/>
            </w:tcBorders>
            <w:vAlign w:val="center"/>
          </w:tcPr>
          <w:p w14:paraId="234D6382">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c>
          <w:tcPr>
            <w:tcW w:w="2689" w:type="dxa"/>
            <w:vAlign w:val="center"/>
          </w:tcPr>
          <w:p w14:paraId="1197FBF2">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c>
          <w:tcPr>
            <w:tcW w:w="1467" w:type="dxa"/>
            <w:tcBorders>
              <w:right w:val="single" w:color="auto" w:sz="4" w:space="0"/>
            </w:tcBorders>
            <w:vAlign w:val="center"/>
          </w:tcPr>
          <w:p w14:paraId="027D42A7">
            <w:pPr>
              <w:pStyle w:val="11"/>
              <w:spacing w:line="360" w:lineRule="auto"/>
              <w:ind w:firstLine="0" w:firstLineChars="0"/>
              <w:jc w:val="center"/>
              <w:rPr>
                <w:rFonts w:hint="eastAsia" w:ascii="宋体" w:hAnsi="宋体" w:eastAsia="宋体" w:cs="宋体"/>
                <w:color w:val="000000" w:themeColor="text1"/>
                <w:kern w:val="2"/>
                <w:sz w:val="24"/>
                <w:szCs w:val="24"/>
                <w14:textFill>
                  <w14:solidFill>
                    <w14:schemeClr w14:val="tx1"/>
                  </w14:solidFill>
                </w14:textFill>
              </w:rPr>
            </w:pPr>
          </w:p>
        </w:tc>
      </w:tr>
    </w:tbl>
    <w:p w14:paraId="5034280A">
      <w:pPr>
        <w:pStyle w:val="11"/>
        <w:spacing w:line="360" w:lineRule="auto"/>
        <w:ind w:firstLine="0" w:firstLineChars="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w:t>
      </w:r>
    </w:p>
    <w:p w14:paraId="73884BBE">
      <w:pPr>
        <w:pStyle w:val="11"/>
        <w:spacing w:line="360" w:lineRule="auto"/>
        <w:ind w:firstLine="0" w:firstLineChars="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说明：应对照谈判文件“第三章采购需求”中的技术要求逐条实质性响应，并作出偏离说明。</w:t>
      </w:r>
    </w:p>
    <w:p w14:paraId="2FC51A06">
      <w:pPr>
        <w:pStyle w:val="11"/>
        <w:spacing w:line="360" w:lineRule="auto"/>
        <w:ind w:firstLine="0" w:firstLineChars="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2.供应商应根据竞标设备的性能指标，对照谈判文件要求，在“偏离说明”中注明“正偏离”、“负偏离”或者“无偏离”。既不属于“正偏离”也不属于“负偏离”即为“无偏离”。</w:t>
      </w:r>
    </w:p>
    <w:p w14:paraId="752B5DC3">
      <w:pPr>
        <w:pStyle w:val="11"/>
        <w:spacing w:line="360" w:lineRule="auto"/>
        <w:ind w:firstLine="0" w:firstLineChars="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生产厂家或代理商（附生产厂家授权资料）公章。</w:t>
      </w:r>
    </w:p>
    <w:p w14:paraId="6777DEFD">
      <w:pPr>
        <w:pStyle w:val="11"/>
        <w:spacing w:line="360" w:lineRule="auto"/>
        <w:ind w:firstLine="0" w:firstLineChars="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4.如技术要求偏离表中的竞标响应与佐证材料不一致的，以佐证材料为准。</w:t>
      </w:r>
    </w:p>
    <w:p w14:paraId="65F15ECE">
      <w:pPr>
        <w:pStyle w:val="11"/>
        <w:spacing w:line="360" w:lineRule="auto"/>
        <w:ind w:firstLine="0" w:firstLineChars="0"/>
        <w:contextualSpacing/>
        <w:rPr>
          <w:rFonts w:hint="eastAsia" w:ascii="宋体" w:hAnsi="宋体" w:eastAsia="宋体" w:cs="宋体"/>
          <w:color w:val="000000" w:themeColor="text1"/>
          <w:sz w:val="24"/>
          <w:szCs w:val="24"/>
          <w14:textFill>
            <w14:solidFill>
              <w14:schemeClr w14:val="tx1"/>
            </w14:solidFill>
          </w14:textFill>
        </w:rPr>
      </w:pPr>
    </w:p>
    <w:p w14:paraId="682C177E">
      <w:pPr>
        <w:spacing w:line="360" w:lineRule="auto"/>
        <w:ind w:right="-817" w:rightChars="-389"/>
        <w:contextualSpacing/>
        <w:rPr>
          <w:rFonts w:hint="eastAsia" w:ascii="宋体" w:hAnsi="宋体" w:eastAsia="宋体" w:cs="宋体"/>
          <w:color w:val="000000" w:themeColor="text1"/>
          <w:sz w:val="24"/>
          <w14:textFill>
            <w14:solidFill>
              <w14:schemeClr w14:val="tx1"/>
            </w14:solidFill>
          </w14:textFill>
        </w:rPr>
      </w:pPr>
    </w:p>
    <w:p w14:paraId="53CD622B">
      <w:pPr>
        <w:spacing w:line="360" w:lineRule="auto"/>
        <w:ind w:right="-817" w:rightChars="-389"/>
        <w:contextualSpacing/>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法定代表人或者委托代理人（签字或者电子签名）：</w:t>
      </w:r>
    </w:p>
    <w:p w14:paraId="281502C5">
      <w:pPr>
        <w:spacing w:line="360" w:lineRule="auto"/>
        <w:ind w:right="-817" w:rightChars="-389" w:firstLine="2880" w:firstLineChars="1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供应商（电子签章）：</w:t>
      </w:r>
    </w:p>
    <w:p w14:paraId="4E197BB2">
      <w:pPr>
        <w:spacing w:line="360" w:lineRule="auto"/>
        <w:ind w:right="-817" w:rightChars="-389" w:firstLine="2880" w:firstLineChars="1200"/>
        <w:contextualSpacing/>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日期：年月日</w:t>
      </w:r>
    </w:p>
    <w:p w14:paraId="2FB1B472">
      <w:pPr>
        <w:spacing w:line="30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br w:type="page"/>
      </w:r>
      <w:r>
        <w:rPr>
          <w:rFonts w:hint="eastAsia" w:ascii="宋体" w:hAnsi="宋体" w:eastAsia="宋体" w:cs="宋体"/>
          <w:b/>
          <w:bCs/>
          <w:color w:val="000000" w:themeColor="text1"/>
          <w:sz w:val="24"/>
          <w14:textFill>
            <w14:solidFill>
              <w14:schemeClr w14:val="tx1"/>
            </w14:solidFill>
          </w14:textFill>
        </w:rPr>
        <w:t>其他文书、文件格式</w:t>
      </w:r>
    </w:p>
    <w:p w14:paraId="6F189FFE">
      <w:pPr>
        <w:adjustRightInd w:val="0"/>
        <w:snapToGrid w:val="0"/>
        <w:spacing w:line="300" w:lineRule="auto"/>
        <w:jc w:val="center"/>
        <w:rPr>
          <w:rFonts w:hint="eastAsia" w:ascii="宋体" w:hAnsi="宋体" w:eastAsia="宋体" w:cs="宋体"/>
          <w:bCs/>
          <w:color w:val="000000" w:themeColor="text1"/>
          <w:sz w:val="44"/>
          <w:szCs w:val="44"/>
          <w14:textFill>
            <w14:solidFill>
              <w14:schemeClr w14:val="tx1"/>
            </w14:solidFill>
          </w14:textFill>
        </w:rPr>
      </w:pPr>
      <w:bookmarkStart w:id="82" w:name="_Toc71365383"/>
      <w:bookmarkStart w:id="83" w:name="_Toc71366061"/>
      <w:r>
        <w:rPr>
          <w:rFonts w:hint="eastAsia" w:ascii="宋体" w:hAnsi="宋体" w:eastAsia="宋体" w:cs="宋体"/>
          <w:bCs/>
          <w:color w:val="000000" w:themeColor="text1"/>
          <w:sz w:val="44"/>
          <w:szCs w:val="44"/>
          <w14:textFill>
            <w14:solidFill>
              <w14:schemeClr w14:val="tx1"/>
            </w14:solidFill>
          </w14:textFill>
        </w:rPr>
        <w:t>中小企业声明函（货物）</w:t>
      </w:r>
      <w:bookmarkEnd w:id="82"/>
      <w:bookmarkEnd w:id="83"/>
    </w:p>
    <w:p w14:paraId="395D6273">
      <w:pPr>
        <w:rPr>
          <w:rFonts w:hint="eastAsia" w:ascii="宋体" w:hAnsi="宋体" w:eastAsia="宋体" w:cs="宋体"/>
          <w:color w:val="000000" w:themeColor="text1"/>
          <w14:textFill>
            <w14:solidFill>
              <w14:schemeClr w14:val="tx1"/>
            </w14:solidFill>
          </w14:textFill>
        </w:rPr>
      </w:pPr>
    </w:p>
    <w:p w14:paraId="0BD19849">
      <w:pPr>
        <w:pStyle w:val="10"/>
        <w:spacing w:after="0" w:line="360" w:lineRule="auto"/>
        <w:ind w:left="-426" w:right="142" w:firstLine="64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color w:val="000000" w:themeColor="text1"/>
          <w:sz w:val="24"/>
          <w:u w:val="single"/>
          <w14:textFill>
            <w14:solidFill>
              <w14:schemeClr w14:val="tx1"/>
            </w14:solidFill>
          </w14:textFill>
        </w:rPr>
        <w:t>（单位名称）</w:t>
      </w:r>
      <w:r>
        <w:rPr>
          <w:rFonts w:hint="eastAsia" w:ascii="宋体" w:hAnsi="宋体" w:eastAsia="宋体" w:cs="宋体"/>
          <w:color w:val="000000" w:themeColor="text1"/>
          <w:sz w:val="24"/>
          <w14:textFill>
            <w14:solidFill>
              <w14:schemeClr w14:val="tx1"/>
            </w14:solidFill>
          </w14:textFill>
        </w:rPr>
        <w:t>的</w:t>
      </w:r>
      <w:r>
        <w:rPr>
          <w:rFonts w:hint="eastAsia" w:ascii="宋体" w:hAnsi="宋体" w:eastAsia="宋体" w:cs="宋体"/>
          <w:color w:val="000000" w:themeColor="text1"/>
          <w:sz w:val="24"/>
          <w:u w:val="single"/>
          <w14:textFill>
            <w14:solidFill>
              <w14:schemeClr w14:val="tx1"/>
            </w14:solidFill>
          </w14:textFill>
        </w:rPr>
        <w:t>（项目名称）</w:t>
      </w:r>
      <w:r>
        <w:rPr>
          <w:rFonts w:hint="eastAsia" w:ascii="宋体" w:hAnsi="宋体" w:eastAsia="宋体" w:cs="宋体"/>
          <w:color w:val="000000" w:themeColor="text1"/>
          <w:sz w:val="24"/>
          <w14:textFill>
            <w14:solidFill>
              <w14:schemeClr w14:val="tx1"/>
            </w14:solidFill>
          </w14:textFill>
        </w:rPr>
        <w:t>采购活动，提供的货物全部由符合政策要求的中小企业制造。相关企业（含联合体中的中小企业、签订分包意向协议的中小企业）的具体情况如下：</w:t>
      </w:r>
    </w:p>
    <w:p w14:paraId="47AEC015">
      <w:pPr>
        <w:tabs>
          <w:tab w:val="left" w:pos="1384"/>
          <w:tab w:val="left" w:pos="4562"/>
          <w:tab w:val="left" w:pos="6803"/>
        </w:tabs>
        <w:spacing w:line="360" w:lineRule="auto"/>
        <w:ind w:left="-426" w:right="-58" w:firstLine="655"/>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u w:val="single"/>
          <w14:textFill>
            <w14:solidFill>
              <w14:schemeClr w14:val="tx1"/>
            </w14:solidFill>
          </w14:textFill>
        </w:rPr>
        <w:t>（标的名称）</w:t>
      </w:r>
      <w:r>
        <w:rPr>
          <w:rFonts w:hint="eastAsia" w:ascii="宋体" w:hAnsi="宋体" w:eastAsia="宋体" w:cs="宋体"/>
          <w:color w:val="000000" w:themeColor="text1"/>
          <w:sz w:val="24"/>
          <w14:textFill>
            <w14:solidFill>
              <w14:schemeClr w14:val="tx1"/>
            </w14:solidFill>
          </w14:textFill>
        </w:rPr>
        <w:t>，属于</w:t>
      </w:r>
      <w:r>
        <w:rPr>
          <w:rFonts w:hint="eastAsia" w:ascii="宋体" w:hAnsi="宋体" w:eastAsia="宋体" w:cs="宋体"/>
          <w:color w:val="000000" w:themeColor="text1"/>
          <w:sz w:val="24"/>
          <w:u w:val="single"/>
          <w14:textFill>
            <w14:solidFill>
              <w14:schemeClr w14:val="tx1"/>
            </w14:solidFill>
          </w14:textFill>
        </w:rPr>
        <w:t>（采购文件中明确的所属行业）</w:t>
      </w:r>
      <w:r>
        <w:rPr>
          <w:rFonts w:hint="eastAsia" w:ascii="宋体" w:hAnsi="宋体" w:eastAsia="宋体" w:cs="宋体"/>
          <w:color w:val="000000" w:themeColor="text1"/>
          <w:sz w:val="24"/>
          <w14:textFill>
            <w14:solidFill>
              <w14:schemeClr w14:val="tx1"/>
            </w14:solidFill>
          </w14:textFill>
        </w:rPr>
        <w:t>行业；制造商为</w:t>
      </w:r>
      <w:r>
        <w:rPr>
          <w:rFonts w:hint="eastAsia" w:ascii="宋体" w:hAnsi="宋体" w:eastAsia="宋体" w:cs="宋体"/>
          <w:color w:val="000000" w:themeColor="text1"/>
          <w:sz w:val="24"/>
          <w:u w:val="single"/>
          <w14:textFill>
            <w14:solidFill>
              <w14:schemeClr w14:val="tx1"/>
            </w14:solidFill>
          </w14:textFill>
        </w:rPr>
        <w:t>（企业名称）</w:t>
      </w:r>
      <w:r>
        <w:rPr>
          <w:rFonts w:hint="eastAsia" w:ascii="宋体" w:hAnsi="宋体" w:eastAsia="宋体" w:cs="宋体"/>
          <w:color w:val="000000" w:themeColor="text1"/>
          <w:sz w:val="24"/>
          <w14:textFill>
            <w14:solidFill>
              <w14:schemeClr w14:val="tx1"/>
            </w14:solidFill>
          </w14:textFill>
        </w:rPr>
        <w:t>，从业人员人，营业收入为万元，资产总额为万元，属于</w:t>
      </w:r>
      <w:r>
        <w:rPr>
          <w:rFonts w:hint="eastAsia" w:ascii="宋体" w:hAnsi="宋体" w:eastAsia="宋体" w:cs="宋体"/>
          <w:color w:val="000000" w:themeColor="text1"/>
          <w:sz w:val="24"/>
          <w:u w:val="single"/>
          <w14:textFill>
            <w14:solidFill>
              <w14:schemeClr w14:val="tx1"/>
            </w14:solidFill>
          </w14:textFill>
        </w:rPr>
        <w:t>（中型企业、小型企业、微型企业）</w:t>
      </w:r>
      <w:r>
        <w:rPr>
          <w:rFonts w:hint="eastAsia" w:ascii="宋体" w:hAnsi="宋体" w:eastAsia="宋体" w:cs="宋体"/>
          <w:color w:val="000000" w:themeColor="text1"/>
          <w:sz w:val="24"/>
          <w14:textFill>
            <w14:solidFill>
              <w14:schemeClr w14:val="tx1"/>
            </w14:solidFill>
          </w14:textFill>
        </w:rPr>
        <w:t>；</w:t>
      </w:r>
    </w:p>
    <w:p w14:paraId="50162284">
      <w:pPr>
        <w:tabs>
          <w:tab w:val="left" w:pos="1065"/>
          <w:tab w:val="left" w:pos="6477"/>
        </w:tabs>
        <w:spacing w:line="360" w:lineRule="auto"/>
        <w:ind w:left="-426" w:right="-58" w:firstLine="655"/>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（标的名称）</w:t>
      </w:r>
      <w:r>
        <w:rPr>
          <w:rFonts w:hint="eastAsia" w:ascii="宋体" w:hAnsi="宋体" w:eastAsia="宋体" w:cs="宋体"/>
          <w:color w:val="000000" w:themeColor="text1"/>
          <w:sz w:val="24"/>
          <w14:textFill>
            <w14:solidFill>
              <w14:schemeClr w14:val="tx1"/>
            </w14:solidFill>
          </w14:textFill>
        </w:rPr>
        <w:t>，属于</w:t>
      </w:r>
      <w:r>
        <w:rPr>
          <w:rFonts w:hint="eastAsia" w:ascii="宋体" w:hAnsi="宋体" w:eastAsia="宋体" w:cs="宋体"/>
          <w:color w:val="000000" w:themeColor="text1"/>
          <w:sz w:val="24"/>
          <w:u w:val="single"/>
          <w14:textFill>
            <w14:solidFill>
              <w14:schemeClr w14:val="tx1"/>
            </w14:solidFill>
          </w14:textFill>
        </w:rPr>
        <w:t>（采购文件中明确的所属行业）</w:t>
      </w:r>
      <w:r>
        <w:rPr>
          <w:rFonts w:hint="eastAsia" w:ascii="宋体" w:hAnsi="宋体" w:eastAsia="宋体" w:cs="宋体"/>
          <w:color w:val="000000" w:themeColor="text1"/>
          <w:sz w:val="24"/>
          <w14:textFill>
            <w14:solidFill>
              <w14:schemeClr w14:val="tx1"/>
            </w14:solidFill>
          </w14:textFill>
        </w:rPr>
        <w:t>行业；制造商为</w:t>
      </w:r>
      <w:r>
        <w:rPr>
          <w:rFonts w:hint="eastAsia" w:ascii="宋体" w:hAnsi="宋体" w:eastAsia="宋体" w:cs="宋体"/>
          <w:color w:val="000000" w:themeColor="text1"/>
          <w:sz w:val="24"/>
          <w:u w:val="single"/>
          <w14:textFill>
            <w14:solidFill>
              <w14:schemeClr w14:val="tx1"/>
            </w14:solidFill>
          </w14:textFill>
        </w:rPr>
        <w:t>（企业名称）</w:t>
      </w:r>
      <w:r>
        <w:rPr>
          <w:rFonts w:hint="eastAsia" w:ascii="宋体" w:hAnsi="宋体" w:eastAsia="宋体" w:cs="宋体"/>
          <w:color w:val="000000" w:themeColor="text1"/>
          <w:sz w:val="24"/>
          <w14:textFill>
            <w14:solidFill>
              <w14:schemeClr w14:val="tx1"/>
            </w14:solidFill>
          </w14:textFill>
        </w:rPr>
        <w:t>，从业人员人，营业收入为万元，资产总额为万元，属于</w:t>
      </w:r>
      <w:r>
        <w:rPr>
          <w:rFonts w:hint="eastAsia" w:ascii="宋体" w:hAnsi="宋体" w:eastAsia="宋体" w:cs="宋体"/>
          <w:color w:val="000000" w:themeColor="text1"/>
          <w:sz w:val="24"/>
          <w:u w:val="single"/>
          <w14:textFill>
            <w14:solidFill>
              <w14:schemeClr w14:val="tx1"/>
            </w14:solidFill>
          </w14:textFill>
        </w:rPr>
        <w:t>（中型企业、小型企业、微型企业）</w:t>
      </w:r>
      <w:r>
        <w:rPr>
          <w:rFonts w:hint="eastAsia" w:ascii="宋体" w:hAnsi="宋体" w:eastAsia="宋体" w:cs="宋体"/>
          <w:color w:val="000000" w:themeColor="text1"/>
          <w:sz w:val="24"/>
          <w14:textFill>
            <w14:solidFill>
              <w14:schemeClr w14:val="tx1"/>
            </w14:solidFill>
          </w14:textFill>
        </w:rPr>
        <w:t>；</w:t>
      </w:r>
    </w:p>
    <w:p w14:paraId="39F69967">
      <w:pPr>
        <w:pStyle w:val="10"/>
        <w:spacing w:after="0" w:line="360" w:lineRule="auto"/>
        <w:ind w:left="142" w:right="142"/>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14:paraId="05406F06">
      <w:pPr>
        <w:pStyle w:val="10"/>
        <w:spacing w:after="0" w:line="360" w:lineRule="auto"/>
        <w:ind w:left="-405" w:leftChars="-193" w:right="142" w:firstLine="453" w:firstLineChars="189"/>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18C3B5E1">
      <w:pPr>
        <w:pStyle w:val="10"/>
        <w:spacing w:after="0" w:line="360" w:lineRule="auto"/>
        <w:ind w:left="-426" w:right="142" w:firstLine="567"/>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本企业对上述声明内容的真实性负责。如有虚假，将依法承担相应责任。</w:t>
      </w:r>
    </w:p>
    <w:p w14:paraId="48508E8C">
      <w:pPr>
        <w:pStyle w:val="10"/>
        <w:spacing w:after="0" w:line="360" w:lineRule="auto"/>
        <w:ind w:left="3960" w:right="1808"/>
        <w:contextualSpacing/>
        <w:rPr>
          <w:rFonts w:hint="eastAsia" w:ascii="宋体" w:hAnsi="宋体" w:eastAsia="宋体" w:cs="宋体"/>
          <w:color w:val="000000" w:themeColor="text1"/>
          <w:sz w:val="24"/>
          <w14:textFill>
            <w14:solidFill>
              <w14:schemeClr w14:val="tx1"/>
            </w14:solidFill>
          </w14:textFill>
        </w:rPr>
      </w:pPr>
    </w:p>
    <w:p w14:paraId="0BB3E788">
      <w:pPr>
        <w:pStyle w:val="10"/>
        <w:spacing w:after="0" w:line="360" w:lineRule="auto"/>
        <w:ind w:left="3960" w:right="1808"/>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企业名称（章）：</w:t>
      </w:r>
    </w:p>
    <w:p w14:paraId="5BCEB952">
      <w:pPr>
        <w:pStyle w:val="10"/>
        <w:spacing w:after="0" w:line="360" w:lineRule="auto"/>
        <w:ind w:left="3960" w:right="1808"/>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p>
    <w:p w14:paraId="42697521">
      <w:pPr>
        <w:pStyle w:val="10"/>
        <w:spacing w:after="0" w:line="360" w:lineRule="auto"/>
        <w:ind w:left="3960" w:right="1808"/>
        <w:contextualSpacing/>
        <w:rPr>
          <w:rFonts w:hint="eastAsia" w:ascii="宋体" w:hAnsi="宋体" w:eastAsia="宋体" w:cs="宋体"/>
          <w:color w:val="000000" w:themeColor="text1"/>
          <w14:textFill>
            <w14:solidFill>
              <w14:schemeClr w14:val="tx1"/>
            </w14:solidFill>
          </w14:textFill>
        </w:rPr>
      </w:pPr>
    </w:p>
    <w:p w14:paraId="1D82757D">
      <w:pPr>
        <w:spacing w:line="360" w:lineRule="auto"/>
        <w:contextualSpacing/>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E2DA159">
      <w:pPr>
        <w:spacing w:line="360" w:lineRule="auto"/>
        <w:contextualSpacing/>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color w:val="000000" w:themeColor="text1"/>
          <w:sz w:val="44"/>
          <w:szCs w:val="44"/>
          <w14:textFill>
            <w14:solidFill>
              <w14:schemeClr w14:val="tx1"/>
            </w14:solidFill>
          </w14:textFill>
        </w:rPr>
        <w:t>残疾人福利性单位声明函</w:t>
      </w:r>
    </w:p>
    <w:p w14:paraId="35780D15">
      <w:pPr>
        <w:spacing w:line="520" w:lineRule="exact"/>
        <w:rPr>
          <w:rFonts w:hint="eastAsia" w:ascii="宋体" w:hAnsi="宋体" w:eastAsia="宋体" w:cs="宋体"/>
          <w:color w:val="000000" w:themeColor="text1"/>
          <w:sz w:val="32"/>
          <w:szCs w:val="32"/>
          <w14:textFill>
            <w14:solidFill>
              <w14:schemeClr w14:val="tx1"/>
            </w14:solidFill>
          </w14:textFill>
        </w:rPr>
      </w:pPr>
    </w:p>
    <w:p w14:paraId="02160173">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C4EE11E">
      <w:pPr>
        <w:spacing w:line="360" w:lineRule="auto"/>
        <w:ind w:firstLine="480" w:firstLineChars="2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本单位对上述声明的真实性负责。如有虚假，将依法承担相应责任。</w:t>
      </w:r>
    </w:p>
    <w:p w14:paraId="5B310DC7">
      <w:pPr>
        <w:spacing w:line="360" w:lineRule="auto"/>
        <w:contextualSpacing/>
        <w:rPr>
          <w:rFonts w:hint="eastAsia" w:ascii="宋体" w:hAnsi="宋体" w:eastAsia="宋体" w:cs="宋体"/>
          <w:color w:val="000000" w:themeColor="text1"/>
          <w:sz w:val="24"/>
          <w14:textFill>
            <w14:solidFill>
              <w14:schemeClr w14:val="tx1"/>
            </w14:solidFill>
          </w14:textFill>
        </w:rPr>
      </w:pPr>
    </w:p>
    <w:p w14:paraId="28DBBE3A">
      <w:pPr>
        <w:spacing w:line="360" w:lineRule="auto"/>
        <w:contextualSpacing/>
        <w:rPr>
          <w:rFonts w:hint="eastAsia" w:ascii="宋体" w:hAnsi="宋体" w:eastAsia="宋体" w:cs="宋体"/>
          <w:color w:val="000000" w:themeColor="text1"/>
          <w:sz w:val="24"/>
          <w14:textFill>
            <w14:solidFill>
              <w14:schemeClr w14:val="tx1"/>
            </w14:solidFill>
          </w14:textFill>
        </w:rPr>
      </w:pPr>
    </w:p>
    <w:p w14:paraId="00797BBE">
      <w:pPr>
        <w:spacing w:line="360" w:lineRule="auto"/>
        <w:contextualSpacing/>
        <w:rPr>
          <w:rFonts w:hint="eastAsia" w:ascii="宋体" w:hAnsi="宋体" w:eastAsia="宋体" w:cs="宋体"/>
          <w:color w:val="000000" w:themeColor="text1"/>
          <w:sz w:val="24"/>
          <w14:textFill>
            <w14:solidFill>
              <w14:schemeClr w14:val="tx1"/>
            </w14:solidFill>
          </w14:textFill>
        </w:rPr>
      </w:pPr>
    </w:p>
    <w:p w14:paraId="4E5A7947">
      <w:pPr>
        <w:spacing w:line="360" w:lineRule="auto"/>
        <w:ind w:firstLine="2400" w:firstLineChars="10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单位名称（盖章）：</w:t>
      </w:r>
    </w:p>
    <w:p w14:paraId="39C61B5A">
      <w:pPr>
        <w:spacing w:line="360" w:lineRule="auto"/>
        <w:ind w:firstLine="3600" w:firstLineChars="1500"/>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p>
    <w:p w14:paraId="074A881C">
      <w:pPr>
        <w:spacing w:line="360" w:lineRule="auto"/>
        <w:contextualSpacing/>
        <w:rPr>
          <w:rFonts w:hint="eastAsia" w:ascii="宋体" w:hAnsi="宋体" w:eastAsia="宋体" w:cs="宋体"/>
          <w:color w:val="000000" w:themeColor="text1"/>
          <w:sz w:val="24"/>
          <w14:textFill>
            <w14:solidFill>
              <w14:schemeClr w14:val="tx1"/>
            </w14:solidFill>
          </w14:textFill>
        </w:rPr>
      </w:pPr>
    </w:p>
    <w:p w14:paraId="1EB6C010">
      <w:pPr>
        <w:spacing w:line="360" w:lineRule="auto"/>
        <w:contextualSpacing/>
        <w:rPr>
          <w:rFonts w:hint="eastAsia" w:ascii="宋体" w:hAnsi="宋体" w:eastAsia="宋体" w:cs="宋体"/>
          <w:color w:val="000000" w:themeColor="text1"/>
          <w:sz w:val="24"/>
          <w14:textFill>
            <w14:solidFill>
              <w14:schemeClr w14:val="tx1"/>
            </w14:solidFill>
          </w14:textFill>
        </w:rPr>
      </w:pPr>
    </w:p>
    <w:p w14:paraId="440F0DCC">
      <w:pPr>
        <w:spacing w:line="360" w:lineRule="auto"/>
        <w:contextualSpacing/>
        <w:rPr>
          <w:rFonts w:hint="eastAsia" w:ascii="宋体" w:hAnsi="宋体" w:eastAsia="宋体" w:cs="宋体"/>
          <w:color w:val="000000" w:themeColor="text1"/>
          <w:sz w:val="24"/>
          <w14:textFill>
            <w14:solidFill>
              <w14:schemeClr w14:val="tx1"/>
            </w14:solidFill>
          </w14:textFill>
        </w:rPr>
      </w:pPr>
    </w:p>
    <w:p w14:paraId="5CA4A14F">
      <w:pPr>
        <w:spacing w:line="360" w:lineRule="auto"/>
        <w:contextualSpacing/>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71B15997">
      <w:pPr>
        <w:spacing w:line="360" w:lineRule="auto"/>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color w:val="000000" w:themeColor="text1"/>
          <w:sz w:val="44"/>
          <w:szCs w:val="44"/>
          <w14:textFill>
            <w14:solidFill>
              <w14:schemeClr w14:val="tx1"/>
            </w14:solidFill>
          </w14:textFill>
        </w:rPr>
        <w:t>质疑函（格式）</w:t>
      </w:r>
    </w:p>
    <w:p w14:paraId="6F429B7C">
      <w:pPr>
        <w:spacing w:line="360" w:lineRule="auto"/>
        <w:jc w:val="center"/>
        <w:rPr>
          <w:rFonts w:hint="eastAsia" w:ascii="宋体" w:hAnsi="宋体" w:eastAsia="宋体" w:cs="宋体"/>
          <w:b/>
          <w:bCs/>
          <w:color w:val="000000" w:themeColor="text1"/>
          <w:sz w:val="32"/>
          <w:szCs w:val="32"/>
          <w14:textFill>
            <w14:solidFill>
              <w14:schemeClr w14:val="tx1"/>
            </w14:solidFill>
          </w14:textFill>
        </w:rPr>
      </w:pPr>
    </w:p>
    <w:p w14:paraId="56E1D8CF">
      <w:pPr>
        <w:pStyle w:val="14"/>
        <w:spacing w:line="360" w:lineRule="auto"/>
        <w:ind w:firstLine="482" w:firstLineChars="200"/>
        <w:contextualSpacing/>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一、质疑供应商基本信息：</w:t>
      </w:r>
    </w:p>
    <w:p w14:paraId="1C9EC46E">
      <w:pPr>
        <w:pStyle w:val="14"/>
        <w:spacing w:line="360" w:lineRule="auto"/>
        <w:ind w:firstLine="480" w:firstLineChars="200"/>
        <w:contextualSpacing/>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质疑供应商：</w:t>
      </w:r>
    </w:p>
    <w:p w14:paraId="4B59974C">
      <w:pPr>
        <w:pStyle w:val="14"/>
        <w:spacing w:line="360" w:lineRule="auto"/>
        <w:ind w:firstLine="480" w:firstLineChars="200"/>
        <w:contextualSpacing/>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地址：邮编：</w:t>
      </w:r>
    </w:p>
    <w:p w14:paraId="0AABABDD">
      <w:pPr>
        <w:pStyle w:val="14"/>
        <w:spacing w:line="360" w:lineRule="auto"/>
        <w:ind w:firstLine="480" w:firstLineChars="200"/>
        <w:contextualSpacing/>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联系人：联系电话：</w:t>
      </w:r>
    </w:p>
    <w:p w14:paraId="201A2A3A">
      <w:pPr>
        <w:pStyle w:val="14"/>
        <w:spacing w:line="360" w:lineRule="auto"/>
        <w:ind w:firstLine="480" w:firstLineChars="200"/>
        <w:contextualSpacing/>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授权代表：</w:t>
      </w:r>
    </w:p>
    <w:p w14:paraId="0E3F5561">
      <w:pPr>
        <w:pStyle w:val="14"/>
        <w:spacing w:line="360" w:lineRule="auto"/>
        <w:ind w:firstLine="480" w:firstLineChars="200"/>
        <w:contextualSpacing/>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联系电话：</w:t>
      </w:r>
    </w:p>
    <w:p w14:paraId="67899D1C">
      <w:pPr>
        <w:pStyle w:val="14"/>
        <w:spacing w:line="360" w:lineRule="auto"/>
        <w:ind w:firstLine="480" w:firstLineChars="200"/>
        <w:contextualSpacing/>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地址：邮编：</w:t>
      </w:r>
    </w:p>
    <w:p w14:paraId="08BAB674">
      <w:pPr>
        <w:pStyle w:val="14"/>
        <w:spacing w:line="360" w:lineRule="auto"/>
        <w:ind w:firstLine="482" w:firstLineChars="200"/>
        <w:contextualSpacing/>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二、质疑项目基本情况：</w:t>
      </w:r>
    </w:p>
    <w:p w14:paraId="740C50A2">
      <w:pPr>
        <w:pStyle w:val="14"/>
        <w:spacing w:line="360" w:lineRule="auto"/>
        <w:ind w:left="25" w:leftChars="12" w:firstLine="472" w:firstLineChars="197"/>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质疑</w:t>
      </w:r>
      <w:r>
        <w:rPr>
          <w:rFonts w:hint="eastAsia" w:ascii="宋体" w:hAnsi="宋体" w:eastAsia="宋体" w:cs="宋体"/>
          <w:color w:val="000000" w:themeColor="text1"/>
          <w:sz w:val="24"/>
          <w:szCs w:val="24"/>
          <w14:textFill>
            <w14:solidFill>
              <w14:schemeClr w14:val="tx1"/>
            </w14:solidFill>
          </w14:textFill>
        </w:rPr>
        <w:t>项目的名称：</w:t>
      </w:r>
    </w:p>
    <w:p w14:paraId="17003140">
      <w:pPr>
        <w:pStyle w:val="14"/>
        <w:spacing w:line="360" w:lineRule="auto"/>
        <w:ind w:left="25" w:leftChars="12" w:firstLine="472" w:firstLineChars="197"/>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质疑</w:t>
      </w:r>
      <w:r>
        <w:rPr>
          <w:rFonts w:hint="eastAsia" w:ascii="宋体" w:hAnsi="宋体" w:eastAsia="宋体" w:cs="宋体"/>
          <w:color w:val="000000" w:themeColor="text1"/>
          <w:sz w:val="24"/>
          <w:szCs w:val="24"/>
          <w14:textFill>
            <w14:solidFill>
              <w14:schemeClr w14:val="tx1"/>
            </w14:solidFill>
          </w14:textFill>
        </w:rPr>
        <w:t>项目的编号：</w:t>
      </w:r>
    </w:p>
    <w:p w14:paraId="13A4AC0B">
      <w:pPr>
        <w:pStyle w:val="14"/>
        <w:spacing w:line="360" w:lineRule="auto"/>
        <w:ind w:left="25" w:leftChars="12" w:firstLine="472" w:firstLineChars="197"/>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采购人名称：</w:t>
      </w:r>
    </w:p>
    <w:p w14:paraId="315B582A">
      <w:pPr>
        <w:pStyle w:val="14"/>
        <w:spacing w:line="360" w:lineRule="auto"/>
        <w:ind w:left="25" w:leftChars="12" w:firstLine="472" w:firstLineChars="197"/>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质疑事项：</w:t>
      </w:r>
    </w:p>
    <w:p w14:paraId="33D92ABB">
      <w:pPr>
        <w:pStyle w:val="14"/>
        <w:spacing w:line="360" w:lineRule="auto"/>
        <w:ind w:left="25" w:leftChars="12" w:firstLine="352" w:firstLineChars="147"/>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□采购文件采购文件获取日期：</w:t>
      </w:r>
    </w:p>
    <w:p w14:paraId="0961B49F">
      <w:pPr>
        <w:pStyle w:val="14"/>
        <w:spacing w:line="360" w:lineRule="auto"/>
        <w:ind w:left="25" w:leftChars="12" w:firstLine="352" w:firstLineChars="147"/>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□采购过程</w:t>
      </w:r>
    </w:p>
    <w:p w14:paraId="7065C3FC">
      <w:pPr>
        <w:pStyle w:val="14"/>
        <w:spacing w:line="360" w:lineRule="auto"/>
        <w:ind w:left="25" w:leftChars="12" w:firstLine="352" w:firstLineChars="147"/>
        <w:contextualSpacing/>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□成交结果</w:t>
      </w:r>
    </w:p>
    <w:p w14:paraId="38EE5EC1">
      <w:pPr>
        <w:pStyle w:val="14"/>
        <w:spacing w:line="360" w:lineRule="auto"/>
        <w:ind w:left="25" w:leftChars="12" w:firstLine="472" w:firstLineChars="196"/>
        <w:contextualSpacing/>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三、质疑事项具体内容</w:t>
      </w:r>
    </w:p>
    <w:p w14:paraId="253C2584">
      <w:pPr>
        <w:pStyle w:val="14"/>
        <w:spacing w:line="360" w:lineRule="auto"/>
        <w:ind w:left="25" w:leftChars="12" w:firstLine="472" w:firstLineChars="197"/>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质疑事项1：</w:t>
      </w:r>
    </w:p>
    <w:p w14:paraId="68AF6A29">
      <w:pPr>
        <w:pStyle w:val="14"/>
        <w:spacing w:line="360" w:lineRule="auto"/>
        <w:ind w:left="25" w:leftChars="12" w:firstLine="472" w:firstLineChars="197"/>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事实依据：</w:t>
      </w:r>
    </w:p>
    <w:p w14:paraId="1123589F">
      <w:pPr>
        <w:pStyle w:val="14"/>
        <w:spacing w:line="360" w:lineRule="auto"/>
        <w:ind w:left="25" w:leftChars="12" w:firstLine="472" w:firstLineChars="197"/>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法律依据：</w:t>
      </w:r>
    </w:p>
    <w:p w14:paraId="03BBF0E0">
      <w:pPr>
        <w:pStyle w:val="14"/>
        <w:spacing w:line="360" w:lineRule="auto"/>
        <w:ind w:left="25" w:leftChars="12" w:firstLine="472" w:firstLineChars="197"/>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质疑事项2</w:t>
      </w:r>
    </w:p>
    <w:p w14:paraId="294FD144">
      <w:pPr>
        <w:pStyle w:val="14"/>
        <w:spacing w:line="360" w:lineRule="auto"/>
        <w:ind w:left="25" w:leftChars="12" w:firstLine="472" w:firstLineChars="197"/>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7CAECD40">
      <w:pPr>
        <w:pStyle w:val="14"/>
        <w:spacing w:line="360" w:lineRule="auto"/>
        <w:ind w:left="25" w:leftChars="12" w:firstLine="472" w:firstLineChars="197"/>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四、与质疑事项相关的质疑请求：</w:t>
      </w:r>
    </w:p>
    <w:p w14:paraId="4CE61AC3">
      <w:pPr>
        <w:pStyle w:val="14"/>
        <w:spacing w:line="360" w:lineRule="auto"/>
        <w:ind w:left="25" w:leftChars="12" w:firstLine="472" w:firstLineChars="197"/>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请求：</w:t>
      </w:r>
    </w:p>
    <w:p w14:paraId="7AB6568C">
      <w:pPr>
        <w:pStyle w:val="14"/>
        <w:spacing w:line="360" w:lineRule="auto"/>
        <w:ind w:left="25" w:leftChars="12" w:firstLine="352" w:firstLineChars="147"/>
        <w:contextualSpacing/>
        <w:rPr>
          <w:rFonts w:hint="eastAsia" w:ascii="宋体" w:hAnsi="宋体" w:eastAsia="宋体" w:cs="宋体"/>
          <w:color w:val="000000" w:themeColor="text1"/>
          <w:sz w:val="24"/>
          <w:szCs w:val="24"/>
          <w14:textFill>
            <w14:solidFill>
              <w14:schemeClr w14:val="tx1"/>
            </w14:solidFill>
          </w14:textFill>
        </w:rPr>
      </w:pPr>
    </w:p>
    <w:p w14:paraId="11DCB9F6">
      <w:pPr>
        <w:pStyle w:val="14"/>
        <w:spacing w:line="360" w:lineRule="auto"/>
        <w:ind w:left="25" w:leftChars="12" w:firstLine="472" w:firstLineChars="197"/>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签字（签章）：公章：</w:t>
      </w:r>
    </w:p>
    <w:p w14:paraId="00026AC9">
      <w:pPr>
        <w:pStyle w:val="14"/>
        <w:spacing w:line="360" w:lineRule="auto"/>
        <w:ind w:left="25" w:leftChars="12" w:firstLine="352" w:firstLineChars="147"/>
        <w:contextualSpacing/>
        <w:rPr>
          <w:rFonts w:hint="eastAsia" w:ascii="宋体" w:hAnsi="宋体" w:eastAsia="宋体" w:cs="宋体"/>
          <w:color w:val="000000" w:themeColor="text1"/>
          <w:sz w:val="24"/>
          <w:szCs w:val="24"/>
          <w14:textFill>
            <w14:solidFill>
              <w14:schemeClr w14:val="tx1"/>
            </w14:solidFill>
          </w14:textFill>
        </w:rPr>
      </w:pPr>
    </w:p>
    <w:p w14:paraId="561945E4">
      <w:pPr>
        <w:pStyle w:val="14"/>
        <w:spacing w:line="360" w:lineRule="auto"/>
        <w:ind w:left="25" w:leftChars="12" w:firstLine="472" w:firstLineChars="197"/>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p>
    <w:p w14:paraId="7CBEB0A6">
      <w:pPr>
        <w:pStyle w:val="14"/>
        <w:spacing w:line="360" w:lineRule="auto"/>
        <w:contextualSpacing/>
        <w:rPr>
          <w:rFonts w:hint="eastAsia" w:ascii="宋体" w:hAnsi="宋体" w:eastAsia="宋体" w:cs="宋体"/>
          <w:b/>
          <w:color w:val="000000" w:themeColor="text1"/>
          <w:sz w:val="24"/>
          <w:szCs w:val="24"/>
          <w14:textFill>
            <w14:solidFill>
              <w14:schemeClr w14:val="tx1"/>
            </w14:solidFill>
          </w14:textFill>
        </w:rPr>
      </w:pPr>
    </w:p>
    <w:p w14:paraId="01686777">
      <w:pPr>
        <w:pStyle w:val="14"/>
        <w:spacing w:line="360" w:lineRule="auto"/>
        <w:contextualSpacing/>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说明：</w:t>
      </w:r>
    </w:p>
    <w:p w14:paraId="776E9107">
      <w:pPr>
        <w:pStyle w:val="14"/>
        <w:spacing w:line="360" w:lineRule="auto"/>
        <w:ind w:left="25" w:leftChars="12" w:firstLine="354" w:firstLineChars="147"/>
        <w:contextualSpacing/>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1.供应商提出质疑时，应提交质疑函和必要的证明材料</w:t>
      </w:r>
      <w:r>
        <w:rPr>
          <w:rFonts w:hint="eastAsia" w:ascii="宋体" w:hAnsi="宋体" w:eastAsia="宋体" w:cs="宋体"/>
          <w:b/>
          <w:bCs/>
          <w:color w:val="000000" w:themeColor="text1"/>
          <w:sz w:val="24"/>
          <w:szCs w:val="24"/>
          <w14:textFill>
            <w14:solidFill>
              <w14:schemeClr w14:val="tx1"/>
            </w14:solidFill>
          </w14:textFill>
        </w:rPr>
        <w:t>。</w:t>
      </w:r>
    </w:p>
    <w:p w14:paraId="0E281F2D">
      <w:pPr>
        <w:pStyle w:val="14"/>
        <w:spacing w:line="360" w:lineRule="auto"/>
        <w:ind w:left="25" w:leftChars="12" w:firstLine="354" w:firstLineChars="147"/>
        <w:contextualSpacing/>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2C74F2">
      <w:pPr>
        <w:pStyle w:val="14"/>
        <w:spacing w:line="360" w:lineRule="auto"/>
        <w:ind w:left="25" w:leftChars="12" w:firstLine="354" w:firstLineChars="147"/>
        <w:contextualSpacing/>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3.质疑函的质疑事项应具体、明确，并有必要的事实依据和法律依据。</w:t>
      </w:r>
    </w:p>
    <w:p w14:paraId="48E0E562">
      <w:pPr>
        <w:pStyle w:val="14"/>
        <w:spacing w:line="360" w:lineRule="auto"/>
        <w:ind w:left="25" w:leftChars="12" w:firstLine="354" w:firstLineChars="147"/>
        <w:contextualSpacing/>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4.质疑函的质疑请求应与质疑事项相关。</w:t>
      </w:r>
    </w:p>
    <w:p w14:paraId="0D4AF85B">
      <w:pPr>
        <w:pStyle w:val="14"/>
        <w:spacing w:line="360" w:lineRule="auto"/>
        <w:ind w:left="25" w:leftChars="12" w:firstLine="354" w:firstLineChars="147"/>
        <w:contextualSpacing/>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5.质疑供应商为法人或者其他组织的，质疑函应由法定代表人、主要负责人，或者其授权代表签字或者盖章，并加盖公章。</w:t>
      </w:r>
    </w:p>
    <w:p w14:paraId="693209B8">
      <w:pPr>
        <w:pStyle w:val="14"/>
        <w:snapToGrid w:val="0"/>
        <w:rPr>
          <w:rFonts w:hint="eastAsia" w:ascii="宋体" w:hAnsi="宋体" w:eastAsia="宋体" w:cs="宋体"/>
          <w:b/>
          <w:color w:val="000000" w:themeColor="text1"/>
          <w:sz w:val="24"/>
          <w:szCs w:val="24"/>
          <w14:textFill>
            <w14:solidFill>
              <w14:schemeClr w14:val="tx1"/>
            </w14:solidFill>
          </w14:textFill>
        </w:rPr>
      </w:pPr>
    </w:p>
    <w:p w14:paraId="3CBBC4C1">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120DA813">
      <w:pPr>
        <w:spacing w:line="360" w:lineRule="auto"/>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投诉书（格式）</w:t>
      </w:r>
    </w:p>
    <w:p w14:paraId="53FE3ACA">
      <w:pPr>
        <w:pStyle w:val="14"/>
        <w:snapToGrid w:val="0"/>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一、投诉相关主体基本情况：</w:t>
      </w:r>
    </w:p>
    <w:p w14:paraId="5E9EE966">
      <w:pPr>
        <w:pStyle w:val="14"/>
        <w:snapToGrid w:val="0"/>
        <w:spacing w:line="360" w:lineRule="auto"/>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w:t>
      </w:r>
    </w:p>
    <w:p w14:paraId="67D64E1B">
      <w:pPr>
        <w:pStyle w:val="14"/>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地址：邮编：</w:t>
      </w:r>
    </w:p>
    <w:p w14:paraId="1E3A3869">
      <w:pPr>
        <w:pStyle w:val="14"/>
        <w:snapToGrid w:val="0"/>
        <w:spacing w:line="360" w:lineRule="auto"/>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法定代表人/主要负责人：</w:t>
      </w:r>
    </w:p>
    <w:p w14:paraId="65F3224D">
      <w:pPr>
        <w:pStyle w:val="14"/>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联系电话：</w:t>
      </w:r>
    </w:p>
    <w:p w14:paraId="3FA79A15">
      <w:pPr>
        <w:pStyle w:val="14"/>
        <w:snapToGrid w:val="0"/>
        <w:spacing w:line="360" w:lineRule="auto"/>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授权代表：联系电话：</w:t>
      </w:r>
    </w:p>
    <w:p w14:paraId="02D30A94">
      <w:pPr>
        <w:pStyle w:val="14"/>
        <w:snapToGrid w:val="0"/>
        <w:spacing w:line="360" w:lineRule="auto"/>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地址：</w:t>
      </w:r>
    </w:p>
    <w:p w14:paraId="33BD343D">
      <w:pPr>
        <w:pStyle w:val="14"/>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邮编：</w:t>
      </w:r>
    </w:p>
    <w:p w14:paraId="2E38CF08">
      <w:pPr>
        <w:pStyle w:val="14"/>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被投诉人1：</w:t>
      </w:r>
    </w:p>
    <w:p w14:paraId="7354916F">
      <w:pPr>
        <w:pStyle w:val="14"/>
        <w:snapToGrid w:val="0"/>
        <w:spacing w:line="360" w:lineRule="auto"/>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地址：</w:t>
      </w:r>
    </w:p>
    <w:p w14:paraId="19B9BDA9">
      <w:pPr>
        <w:pStyle w:val="14"/>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邮编：</w:t>
      </w:r>
    </w:p>
    <w:p w14:paraId="2BB78DDD">
      <w:pPr>
        <w:pStyle w:val="14"/>
        <w:snapToGrid w:val="0"/>
        <w:spacing w:line="360" w:lineRule="auto"/>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联系人：联系电话：</w:t>
      </w:r>
    </w:p>
    <w:p w14:paraId="0986C2B3">
      <w:pPr>
        <w:pStyle w:val="14"/>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被投诉人2：</w:t>
      </w:r>
    </w:p>
    <w:p w14:paraId="57616BF8">
      <w:pPr>
        <w:pStyle w:val="14"/>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w:t>
      </w:r>
    </w:p>
    <w:p w14:paraId="3AE28B0B">
      <w:pPr>
        <w:pStyle w:val="14"/>
        <w:snapToGrid w:val="0"/>
        <w:spacing w:line="360" w:lineRule="auto"/>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相关供应商：</w:t>
      </w:r>
    </w:p>
    <w:p w14:paraId="1EFA9D59">
      <w:pPr>
        <w:pStyle w:val="14"/>
        <w:snapToGrid w:val="0"/>
        <w:spacing w:line="360" w:lineRule="auto"/>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地址：邮编：</w:t>
      </w:r>
    </w:p>
    <w:p w14:paraId="68B30AEB">
      <w:pPr>
        <w:pStyle w:val="14"/>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联系人：联系电话：</w:t>
      </w:r>
    </w:p>
    <w:p w14:paraId="57BD1B33">
      <w:pPr>
        <w:pStyle w:val="14"/>
        <w:snapToGrid w:val="0"/>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二、投诉项目基本情况：</w:t>
      </w:r>
    </w:p>
    <w:p w14:paraId="2C5B8406">
      <w:pPr>
        <w:pStyle w:val="14"/>
        <w:spacing w:line="360" w:lineRule="auto"/>
        <w:ind w:left="25" w:leftChars="12" w:firstLine="472" w:firstLineChars="19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项目的名称：</w:t>
      </w:r>
    </w:p>
    <w:p w14:paraId="3EE41D42">
      <w:pPr>
        <w:pStyle w:val="14"/>
        <w:spacing w:line="360" w:lineRule="auto"/>
        <w:ind w:left="25" w:leftChars="12" w:firstLine="472" w:firstLineChars="19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项目的编号：</w:t>
      </w:r>
    </w:p>
    <w:p w14:paraId="423BA6FE">
      <w:pPr>
        <w:pStyle w:val="14"/>
        <w:spacing w:line="360" w:lineRule="auto"/>
        <w:ind w:left="25" w:leftChars="12" w:firstLine="472" w:firstLineChars="197"/>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采购人名称：</w:t>
      </w:r>
    </w:p>
    <w:p w14:paraId="6869C531">
      <w:pPr>
        <w:pStyle w:val="14"/>
        <w:spacing w:line="360" w:lineRule="auto"/>
        <w:ind w:left="25" w:leftChars="12" w:firstLine="472" w:firstLineChars="197"/>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代理机构名称：</w:t>
      </w:r>
    </w:p>
    <w:p w14:paraId="656C1683">
      <w:pPr>
        <w:pStyle w:val="14"/>
        <w:spacing w:line="360" w:lineRule="auto"/>
        <w:ind w:left="25" w:leftChars="12" w:firstLine="472" w:firstLineChars="197"/>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采购文件公告：</w:t>
      </w:r>
      <w:r>
        <w:rPr>
          <w:rFonts w:hint="eastAsia" w:ascii="宋体" w:hAnsi="宋体" w:eastAsia="宋体" w:cs="宋体"/>
          <w:bCs/>
          <w:color w:val="000000" w:themeColor="text1"/>
          <w:sz w:val="24"/>
          <w:szCs w:val="24"/>
          <w:u w:val="single"/>
          <w14:textFill>
            <w14:solidFill>
              <w14:schemeClr w14:val="tx1"/>
            </w14:solidFill>
          </w14:textFill>
        </w:rPr>
        <w:t>是/否</w:t>
      </w:r>
      <w:r>
        <w:rPr>
          <w:rFonts w:hint="eastAsia" w:ascii="宋体" w:hAnsi="宋体" w:eastAsia="宋体" w:cs="宋体"/>
          <w:bCs/>
          <w:color w:val="000000" w:themeColor="text1"/>
          <w:sz w:val="24"/>
          <w:szCs w:val="24"/>
          <w14:textFill>
            <w14:solidFill>
              <w14:schemeClr w14:val="tx1"/>
            </w14:solidFill>
          </w14:textFill>
        </w:rPr>
        <w:t>公告期限：</w:t>
      </w:r>
    </w:p>
    <w:p w14:paraId="47A716A2">
      <w:pPr>
        <w:pStyle w:val="14"/>
        <w:spacing w:line="360" w:lineRule="auto"/>
        <w:ind w:left="25" w:leftChars="12" w:firstLine="472" w:firstLineChars="197"/>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采购结果公告：</w:t>
      </w:r>
      <w:r>
        <w:rPr>
          <w:rFonts w:hint="eastAsia" w:ascii="宋体" w:hAnsi="宋体" w:eastAsia="宋体" w:cs="宋体"/>
          <w:bCs/>
          <w:color w:val="000000" w:themeColor="text1"/>
          <w:sz w:val="24"/>
          <w:szCs w:val="24"/>
          <w:u w:val="single"/>
          <w14:textFill>
            <w14:solidFill>
              <w14:schemeClr w14:val="tx1"/>
            </w14:solidFill>
          </w14:textFill>
        </w:rPr>
        <w:t>是/否</w:t>
      </w:r>
      <w:r>
        <w:rPr>
          <w:rFonts w:hint="eastAsia" w:ascii="宋体" w:hAnsi="宋体" w:eastAsia="宋体" w:cs="宋体"/>
          <w:bCs/>
          <w:color w:val="000000" w:themeColor="text1"/>
          <w:sz w:val="24"/>
          <w:szCs w:val="24"/>
          <w14:textFill>
            <w14:solidFill>
              <w14:schemeClr w14:val="tx1"/>
            </w14:solidFill>
          </w14:textFill>
        </w:rPr>
        <w:t>公告期限：</w:t>
      </w:r>
    </w:p>
    <w:p w14:paraId="330240BD">
      <w:pPr>
        <w:pStyle w:val="14"/>
        <w:spacing w:line="360" w:lineRule="auto"/>
        <w:ind w:left="25" w:leftChars="12" w:firstLine="472" w:firstLineChars="196"/>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三、质疑基本情况</w:t>
      </w:r>
    </w:p>
    <w:p w14:paraId="0AC67D0C">
      <w:pPr>
        <w:pStyle w:val="14"/>
        <w:spacing w:line="360" w:lineRule="auto"/>
        <w:ind w:left="23" w:leftChars="11" w:firstLine="540" w:firstLineChars="22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投诉人于年月日，向提出质疑，质疑事项为：</w:t>
      </w:r>
    </w:p>
    <w:p w14:paraId="75E0AF9E">
      <w:pPr>
        <w:pStyle w:val="14"/>
        <w:spacing w:line="360" w:lineRule="auto"/>
        <w:ind w:left="23" w:leftChars="11" w:firstLine="540" w:firstLineChars="225"/>
        <w:rPr>
          <w:rFonts w:hint="eastAsia" w:ascii="宋体" w:hAnsi="宋体" w:eastAsia="宋体" w:cs="宋体"/>
          <w:bCs/>
          <w:color w:val="000000" w:themeColor="text1"/>
          <w:sz w:val="24"/>
          <w:szCs w:val="24"/>
          <w:u w:val="single"/>
          <w14:textFill>
            <w14:solidFill>
              <w14:schemeClr w14:val="tx1"/>
            </w14:solidFill>
          </w14:textFill>
        </w:rPr>
      </w:pPr>
    </w:p>
    <w:p w14:paraId="0BDB435B">
      <w:pPr>
        <w:pStyle w:val="14"/>
        <w:spacing w:line="360" w:lineRule="auto"/>
        <w:ind w:left="23" w:leftChars="11" w:firstLine="540" w:firstLineChars="225"/>
        <w:rPr>
          <w:rFonts w:hint="eastAsia" w:ascii="宋体" w:hAnsi="宋体" w:eastAsia="宋体" w:cs="宋体"/>
          <w:bCs/>
          <w:color w:val="000000" w:themeColor="text1"/>
          <w:sz w:val="24"/>
          <w:szCs w:val="24"/>
          <w:u w:val="single"/>
          <w14:textFill>
            <w14:solidFill>
              <w14:schemeClr w14:val="tx1"/>
            </w14:solidFill>
          </w14:textFill>
        </w:rPr>
      </w:pPr>
    </w:p>
    <w:p w14:paraId="1BA597C9">
      <w:pPr>
        <w:pStyle w:val="14"/>
        <w:spacing w:line="360" w:lineRule="auto"/>
        <w:ind w:left="23" w:leftChars="11" w:firstLine="540" w:firstLineChars="22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采购人/代理机构</w:t>
      </w:r>
      <w:r>
        <w:rPr>
          <w:rFonts w:hint="eastAsia" w:ascii="宋体" w:hAnsi="宋体" w:eastAsia="宋体" w:cs="宋体"/>
          <w:bCs/>
          <w:color w:val="000000" w:themeColor="text1"/>
          <w:sz w:val="24"/>
          <w:szCs w:val="24"/>
          <w14:textFill>
            <w14:solidFill>
              <w14:schemeClr w14:val="tx1"/>
            </w14:solidFill>
          </w14:textFill>
        </w:rPr>
        <w:t>于</w:t>
      </w:r>
      <w:r>
        <w:rPr>
          <w:rFonts w:hint="eastAsia" w:ascii="宋体" w:hAnsi="宋体" w:eastAsia="宋体" w:cs="宋体"/>
          <w:color w:val="000000" w:themeColor="text1"/>
          <w:sz w:val="24"/>
          <w:szCs w:val="24"/>
          <w14:textFill>
            <w14:solidFill>
              <w14:schemeClr w14:val="tx1"/>
            </w14:solidFill>
          </w14:textFill>
        </w:rPr>
        <w:t>年月日，</w:t>
      </w:r>
      <w:r>
        <w:rPr>
          <w:rFonts w:hint="eastAsia" w:ascii="宋体" w:hAnsi="宋体" w:eastAsia="宋体" w:cs="宋体"/>
          <w:bCs/>
          <w:color w:val="000000" w:themeColor="text1"/>
          <w:sz w:val="24"/>
          <w:szCs w:val="24"/>
          <w14:textFill>
            <w14:solidFill>
              <w14:schemeClr w14:val="tx1"/>
            </w14:solidFill>
          </w14:textFill>
        </w:rPr>
        <w:t>就质疑事项作出了答复/没有在法定期限内作出答复。</w:t>
      </w:r>
    </w:p>
    <w:p w14:paraId="62B92053">
      <w:pPr>
        <w:pStyle w:val="14"/>
        <w:spacing w:line="360" w:lineRule="auto"/>
        <w:ind w:left="25" w:leftChars="12" w:firstLine="472" w:firstLineChars="196"/>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四、投诉事项具体内容</w:t>
      </w:r>
    </w:p>
    <w:p w14:paraId="2ECF37A7">
      <w:pPr>
        <w:pStyle w:val="14"/>
        <w:spacing w:line="360" w:lineRule="auto"/>
        <w:ind w:left="25" w:leftChars="12" w:firstLine="472" w:firstLineChars="197"/>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投诉事项1：</w:t>
      </w:r>
    </w:p>
    <w:p w14:paraId="7BC1030E">
      <w:pPr>
        <w:pStyle w:val="14"/>
        <w:spacing w:line="360" w:lineRule="auto"/>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事实依据：</w:t>
      </w:r>
    </w:p>
    <w:p w14:paraId="5BDBBACF">
      <w:pPr>
        <w:pStyle w:val="14"/>
        <w:spacing w:line="360" w:lineRule="auto"/>
        <w:ind w:left="25" w:leftChars="12" w:firstLine="472" w:firstLineChars="197"/>
        <w:rPr>
          <w:rFonts w:hint="eastAsia" w:ascii="宋体" w:hAnsi="宋体" w:eastAsia="宋体" w:cs="宋体"/>
          <w:color w:val="000000" w:themeColor="text1"/>
          <w:sz w:val="24"/>
          <w:szCs w:val="24"/>
          <w14:textFill>
            <w14:solidFill>
              <w14:schemeClr w14:val="tx1"/>
            </w14:solidFill>
          </w14:textFill>
        </w:rPr>
      </w:pPr>
    </w:p>
    <w:p w14:paraId="13D6EA55">
      <w:pPr>
        <w:pStyle w:val="14"/>
        <w:spacing w:line="360" w:lineRule="auto"/>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法律依据：</w:t>
      </w:r>
    </w:p>
    <w:p w14:paraId="1D519AFC">
      <w:pPr>
        <w:pStyle w:val="14"/>
        <w:spacing w:line="360" w:lineRule="auto"/>
        <w:ind w:left="25" w:leftChars="12" w:firstLine="352" w:firstLineChars="147"/>
        <w:rPr>
          <w:rFonts w:hint="eastAsia" w:ascii="宋体" w:hAnsi="宋体" w:eastAsia="宋体" w:cs="宋体"/>
          <w:bCs/>
          <w:color w:val="000000" w:themeColor="text1"/>
          <w:sz w:val="24"/>
          <w:szCs w:val="24"/>
          <w:u w:val="single"/>
          <w14:textFill>
            <w14:solidFill>
              <w14:schemeClr w14:val="tx1"/>
            </w14:solidFill>
          </w14:textFill>
        </w:rPr>
      </w:pPr>
    </w:p>
    <w:p w14:paraId="5F7D5569">
      <w:pPr>
        <w:pStyle w:val="14"/>
        <w:spacing w:line="360" w:lineRule="auto"/>
        <w:ind w:left="25" w:leftChars="12" w:firstLine="472" w:firstLineChars="197"/>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投诉事项2  </w:t>
      </w:r>
    </w:p>
    <w:p w14:paraId="0FFCFA3E">
      <w:pPr>
        <w:pStyle w:val="14"/>
        <w:spacing w:line="360" w:lineRule="auto"/>
        <w:ind w:left="25" w:leftChars="12" w:firstLine="472" w:firstLineChars="197"/>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w:t>
      </w:r>
    </w:p>
    <w:p w14:paraId="1DD9481F">
      <w:pPr>
        <w:pStyle w:val="14"/>
        <w:spacing w:line="360" w:lineRule="auto"/>
        <w:ind w:left="25" w:leftChars="12" w:firstLine="472" w:firstLineChars="196"/>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五、与投诉事项相关的投诉请求：</w:t>
      </w:r>
    </w:p>
    <w:p w14:paraId="1D0A5945">
      <w:pPr>
        <w:pStyle w:val="14"/>
        <w:spacing w:line="360" w:lineRule="auto"/>
        <w:ind w:left="25" w:leftChars="12" w:firstLine="472" w:firstLineChars="19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请求：</w:t>
      </w:r>
    </w:p>
    <w:p w14:paraId="34ABB026">
      <w:pPr>
        <w:pStyle w:val="14"/>
        <w:spacing w:line="360" w:lineRule="auto"/>
        <w:ind w:left="25" w:leftChars="12" w:firstLine="352" w:firstLineChars="147"/>
        <w:rPr>
          <w:rFonts w:hint="eastAsia" w:ascii="宋体" w:hAnsi="宋体" w:eastAsia="宋体" w:cs="宋体"/>
          <w:color w:val="000000" w:themeColor="text1"/>
          <w:sz w:val="24"/>
          <w:szCs w:val="24"/>
          <w14:textFill>
            <w14:solidFill>
              <w14:schemeClr w14:val="tx1"/>
            </w14:solidFill>
          </w14:textFill>
        </w:rPr>
      </w:pPr>
    </w:p>
    <w:p w14:paraId="707BFE96">
      <w:pPr>
        <w:pStyle w:val="14"/>
        <w:spacing w:line="360" w:lineRule="auto"/>
        <w:ind w:left="25" w:leftChars="12" w:firstLine="472" w:firstLineChars="19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签字（签章）：公章：</w:t>
      </w:r>
    </w:p>
    <w:p w14:paraId="321371DA">
      <w:pPr>
        <w:pStyle w:val="14"/>
        <w:spacing w:line="360" w:lineRule="auto"/>
        <w:ind w:left="25" w:leftChars="12" w:firstLine="352" w:firstLineChars="147"/>
        <w:rPr>
          <w:rFonts w:hint="eastAsia" w:ascii="宋体" w:hAnsi="宋体" w:eastAsia="宋体" w:cs="宋体"/>
          <w:color w:val="000000" w:themeColor="text1"/>
          <w:sz w:val="24"/>
          <w:szCs w:val="24"/>
          <w14:textFill>
            <w14:solidFill>
              <w14:schemeClr w14:val="tx1"/>
            </w14:solidFill>
          </w14:textFill>
        </w:rPr>
      </w:pPr>
    </w:p>
    <w:p w14:paraId="7077BF59">
      <w:pPr>
        <w:pStyle w:val="14"/>
        <w:spacing w:line="360" w:lineRule="auto"/>
        <w:ind w:left="25" w:leftChars="12" w:firstLine="472" w:firstLineChars="19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p>
    <w:p w14:paraId="022668CF">
      <w:pPr>
        <w:pStyle w:val="14"/>
        <w:spacing w:line="360" w:lineRule="auto"/>
        <w:ind w:left="25" w:leftChars="12" w:firstLine="472" w:firstLineChars="197"/>
        <w:rPr>
          <w:rFonts w:hint="eastAsia" w:ascii="宋体" w:hAnsi="宋体" w:eastAsia="宋体" w:cs="宋体"/>
          <w:color w:val="000000" w:themeColor="text1"/>
          <w:sz w:val="24"/>
          <w:szCs w:val="24"/>
          <w14:textFill>
            <w14:solidFill>
              <w14:schemeClr w14:val="tx1"/>
            </w14:solidFill>
          </w14:textFill>
        </w:rPr>
      </w:pPr>
    </w:p>
    <w:p w14:paraId="5808226C">
      <w:pPr>
        <w:pStyle w:val="14"/>
        <w:snapToGrid w:val="0"/>
        <w:spacing w:line="360" w:lineRule="auto"/>
        <w:rPr>
          <w:rFonts w:hint="eastAsia" w:ascii="宋体" w:hAnsi="宋体" w:eastAsia="宋体" w:cs="宋体"/>
          <w:b/>
          <w:color w:val="000000" w:themeColor="text1"/>
          <w:sz w:val="24"/>
          <w:szCs w:val="24"/>
          <w14:textFill>
            <w14:solidFill>
              <w14:schemeClr w14:val="tx1"/>
            </w14:solidFill>
          </w14:textFill>
        </w:rPr>
      </w:pPr>
    </w:p>
    <w:p w14:paraId="33EFCC92">
      <w:pPr>
        <w:pStyle w:val="14"/>
        <w:snapToGrid w:val="0"/>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说明：</w:t>
      </w:r>
    </w:p>
    <w:p w14:paraId="4DE6CB1B">
      <w:pPr>
        <w:pStyle w:val="14"/>
        <w:spacing w:line="360" w:lineRule="auto"/>
        <w:ind w:left="25" w:leftChars="12" w:firstLine="354" w:firstLineChars="147"/>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1.投诉人提起投诉时，应当提交投诉书和必要的证明材料，并按照被投诉人和与投诉事项有关的供应商数量提供投诉书副本</w:t>
      </w:r>
      <w:r>
        <w:rPr>
          <w:rFonts w:hint="eastAsia" w:ascii="宋体" w:hAnsi="宋体" w:eastAsia="宋体" w:cs="宋体"/>
          <w:b/>
          <w:bCs/>
          <w:color w:val="000000" w:themeColor="text1"/>
          <w:sz w:val="24"/>
          <w:szCs w:val="24"/>
          <w14:textFill>
            <w14:solidFill>
              <w14:schemeClr w14:val="tx1"/>
            </w14:solidFill>
          </w14:textFill>
        </w:rPr>
        <w:t>。</w:t>
      </w:r>
    </w:p>
    <w:p w14:paraId="6276F23C">
      <w:pPr>
        <w:pStyle w:val="14"/>
        <w:spacing w:line="360" w:lineRule="auto"/>
        <w:ind w:left="25" w:leftChars="12" w:firstLine="354" w:firstLineChars="147"/>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80FF99B">
      <w:pPr>
        <w:pStyle w:val="14"/>
        <w:spacing w:line="360" w:lineRule="auto"/>
        <w:ind w:left="25" w:leftChars="12" w:firstLine="354" w:firstLineChars="147"/>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3.投诉书应简要列明质疑事项，质疑函、质疑答复等作为附件材料提供。</w:t>
      </w:r>
    </w:p>
    <w:p w14:paraId="1BD85B63">
      <w:pPr>
        <w:pStyle w:val="14"/>
        <w:spacing w:line="360" w:lineRule="auto"/>
        <w:ind w:left="25" w:leftChars="12" w:firstLine="354" w:firstLineChars="147"/>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4.投诉书的投诉事项应具体、明确，并有必要的事实依据和法律依据。</w:t>
      </w:r>
    </w:p>
    <w:p w14:paraId="7AB8DF40">
      <w:pPr>
        <w:pStyle w:val="14"/>
        <w:spacing w:line="360" w:lineRule="auto"/>
        <w:ind w:left="25" w:leftChars="12" w:firstLine="354" w:firstLineChars="147"/>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5.投诉书的投诉请求应与投诉事项相关。</w:t>
      </w:r>
    </w:p>
    <w:p w14:paraId="5385F9BF">
      <w:pPr>
        <w:pStyle w:val="14"/>
        <w:spacing w:line="360" w:lineRule="auto"/>
        <w:ind w:left="25" w:leftChars="12" w:firstLine="354" w:firstLineChars="147"/>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6.投诉人为法人或者其他组织的，投诉书应由法定代表人、主要负责人，或者其授权代表签字或者盖章，并加盖公章。</w:t>
      </w:r>
    </w:p>
    <w:p w14:paraId="0C747F80">
      <w:pPr>
        <w:pStyle w:val="2"/>
        <w:jc w:val="center"/>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84" w:name="_Toc100252376"/>
      <w:r>
        <w:rPr>
          <w:rFonts w:hint="eastAsia" w:ascii="宋体" w:hAnsi="宋体" w:eastAsia="宋体" w:cs="宋体"/>
          <w:color w:val="000000" w:themeColor="text1"/>
          <w14:textFill>
            <w14:solidFill>
              <w14:schemeClr w14:val="tx1"/>
            </w14:solidFill>
          </w14:textFill>
        </w:rPr>
        <w:t>第六章</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合同文本</w:t>
      </w:r>
      <w:bookmarkEnd w:id="84"/>
    </w:p>
    <w:p w14:paraId="2F795A78">
      <w:pPr>
        <w:pStyle w:val="10"/>
        <w:spacing w:after="0"/>
        <w:jc w:val="center"/>
        <w:rPr>
          <w:rFonts w:hint="eastAsia" w:ascii="宋体" w:hAnsi="宋体" w:cs="宋体"/>
          <w:b/>
          <w:bCs/>
          <w:color w:val="auto"/>
          <w:spacing w:val="-20"/>
          <w:kern w:val="44"/>
          <w:sz w:val="48"/>
          <w:szCs w:val="48"/>
        </w:rPr>
      </w:pPr>
    </w:p>
    <w:p w14:paraId="4B14E43E">
      <w:pPr>
        <w:pStyle w:val="10"/>
        <w:spacing w:after="0"/>
        <w:jc w:val="center"/>
        <w:rPr>
          <w:rFonts w:hint="eastAsia" w:ascii="宋体" w:hAnsi="宋体" w:cs="宋体"/>
          <w:b/>
          <w:bCs/>
          <w:color w:val="auto"/>
          <w:spacing w:val="-20"/>
          <w:kern w:val="44"/>
          <w:sz w:val="48"/>
          <w:szCs w:val="48"/>
        </w:rPr>
      </w:pPr>
    </w:p>
    <w:p w14:paraId="3C12A481">
      <w:pPr>
        <w:pStyle w:val="10"/>
        <w:spacing w:after="0"/>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w:t>
      </w:r>
      <w:r>
        <w:rPr>
          <w:rFonts w:hint="eastAsia" w:ascii="宋体" w:hAnsi="宋体" w:cs="宋体"/>
          <w:b/>
          <w:bCs/>
          <w:color w:val="auto"/>
          <w:spacing w:val="-20"/>
          <w:kern w:val="44"/>
          <w:sz w:val="48"/>
          <w:szCs w:val="48"/>
          <w:lang w:eastAsia="zh-CN"/>
        </w:rPr>
        <w:t>货物买卖</w:t>
      </w:r>
      <w:r>
        <w:rPr>
          <w:rFonts w:hint="eastAsia" w:ascii="宋体" w:hAnsi="宋体" w:cs="宋体"/>
          <w:b/>
          <w:bCs/>
          <w:color w:val="auto"/>
          <w:spacing w:val="-20"/>
          <w:kern w:val="44"/>
          <w:sz w:val="48"/>
          <w:szCs w:val="48"/>
        </w:rPr>
        <w:t>合同</w:t>
      </w:r>
    </w:p>
    <w:p w14:paraId="47BDEA78">
      <w:pPr>
        <w:pStyle w:val="10"/>
        <w:spacing w:after="0"/>
        <w:jc w:val="center"/>
        <w:rPr>
          <w:rFonts w:hint="eastAsia" w:ascii="宋体" w:hAnsi="宋体" w:cs="宋体"/>
          <w:b/>
          <w:bCs/>
          <w:color w:val="auto"/>
          <w:spacing w:val="-20"/>
          <w:kern w:val="44"/>
          <w:sz w:val="48"/>
          <w:szCs w:val="48"/>
          <w:lang w:eastAsia="zh-CN"/>
        </w:rPr>
      </w:pPr>
      <w:r>
        <w:rPr>
          <w:rFonts w:hint="eastAsia" w:ascii="宋体" w:hAnsi="宋体" w:cs="宋体"/>
          <w:b/>
          <w:bCs/>
          <w:color w:val="auto"/>
          <w:spacing w:val="-20"/>
          <w:kern w:val="44"/>
          <w:sz w:val="48"/>
          <w:szCs w:val="48"/>
          <w:lang w:eastAsia="zh-CN"/>
        </w:rPr>
        <w:t>（试行）</w:t>
      </w:r>
    </w:p>
    <w:p w14:paraId="35DE6A29">
      <w:pPr>
        <w:rPr>
          <w:rFonts w:ascii="宋体" w:hAnsi="宋体" w:cs="宋体"/>
          <w:b/>
          <w:bCs/>
          <w:color w:val="auto"/>
          <w:spacing w:val="-20"/>
          <w:kern w:val="44"/>
          <w:sz w:val="40"/>
          <w:szCs w:val="40"/>
        </w:rPr>
      </w:pPr>
    </w:p>
    <w:p w14:paraId="053BFCAB">
      <w:pPr>
        <w:rPr>
          <w:rFonts w:ascii="宋体" w:hAnsi="宋体" w:cs="宋体"/>
          <w:b/>
          <w:bCs/>
          <w:color w:val="auto"/>
          <w:spacing w:val="-20"/>
          <w:kern w:val="44"/>
          <w:sz w:val="40"/>
          <w:szCs w:val="40"/>
        </w:rPr>
      </w:pPr>
    </w:p>
    <w:p w14:paraId="0D1BA4EE">
      <w:pPr>
        <w:rPr>
          <w:rFonts w:ascii="宋体" w:hAnsi="宋体" w:cs="宋体"/>
          <w:b/>
          <w:bCs/>
          <w:color w:val="auto"/>
          <w:spacing w:val="-20"/>
          <w:kern w:val="44"/>
          <w:sz w:val="40"/>
          <w:szCs w:val="40"/>
        </w:rPr>
      </w:pPr>
    </w:p>
    <w:p w14:paraId="5A55C171">
      <w:pPr>
        <w:spacing w:line="360" w:lineRule="auto"/>
        <w:ind w:left="420" w:leftChars="200"/>
        <w:rPr>
          <w:rFonts w:hint="eastAsia" w:eastAsia="宋体"/>
          <w:color w:val="auto"/>
          <w:sz w:val="32"/>
          <w:szCs w:val="32"/>
          <w:lang w:eastAsia="zh-CN"/>
        </w:rPr>
      </w:pPr>
      <w:r>
        <w:rPr>
          <w:rFonts w:hint="eastAsia" w:ascii="宋体" w:hAnsi="宋体" w:cs="宋体"/>
          <w:color w:val="auto"/>
          <w:kern w:val="0"/>
          <w:sz w:val="32"/>
          <w:szCs w:val="32"/>
        </w:rPr>
        <w:t>项目名称：</w:t>
      </w:r>
      <w:r>
        <w:rPr>
          <w:rFonts w:hint="eastAsia" w:ascii="宋体" w:hAnsi="宋体" w:cs="宋体"/>
          <w:color w:val="auto"/>
          <w:kern w:val="0"/>
          <w:sz w:val="32"/>
          <w:szCs w:val="32"/>
          <w:u w:val="single"/>
          <w:lang w:eastAsia="zh-CN"/>
        </w:rPr>
        <w:t>灵山县人民医院2025年临床学科第三批医疗设备采购</w:t>
      </w:r>
    </w:p>
    <w:p w14:paraId="638EEA2D">
      <w:pPr>
        <w:spacing w:line="360" w:lineRule="auto"/>
        <w:ind w:left="420" w:leftChars="200"/>
        <w:rPr>
          <w:rFonts w:hint="eastAsia" w:eastAsia="宋体"/>
          <w:color w:val="auto"/>
          <w:sz w:val="32"/>
          <w:szCs w:val="32"/>
          <w:u w:val="single"/>
          <w:lang w:eastAsia="zh-CN"/>
        </w:rPr>
      </w:pPr>
      <w:r>
        <w:rPr>
          <w:rFonts w:hint="eastAsia"/>
          <w:color w:val="auto"/>
          <w:sz w:val="32"/>
          <w:szCs w:val="32"/>
        </w:rPr>
        <w:t>合同编号：</w:t>
      </w:r>
      <w:r>
        <w:rPr>
          <w:rFonts w:hint="eastAsia"/>
          <w:color w:val="auto"/>
          <w:sz w:val="32"/>
          <w:szCs w:val="32"/>
          <w:u w:val="single"/>
          <w:lang w:eastAsia="zh-CN"/>
        </w:rPr>
        <w:t>QZZC2025-J1-210259-HCZX</w:t>
      </w:r>
    </w:p>
    <w:p w14:paraId="27F575E4">
      <w:pPr>
        <w:spacing w:line="360" w:lineRule="auto"/>
        <w:ind w:left="420" w:leftChars="200"/>
        <w:rPr>
          <w:color w:val="auto"/>
          <w:sz w:val="32"/>
          <w:szCs w:val="32"/>
        </w:rPr>
      </w:pPr>
      <w:r>
        <w:rPr>
          <w:rFonts w:hint="eastAsia"/>
          <w:color w:val="auto"/>
          <w:sz w:val="32"/>
          <w:szCs w:val="32"/>
        </w:rPr>
        <w:t>甲    方：</w:t>
      </w:r>
      <w:r>
        <w:rPr>
          <w:rFonts w:hint="eastAsia" w:ascii="宋体" w:hAnsi="宋体" w:cs="宋体"/>
          <w:color w:val="auto"/>
          <w:kern w:val="0"/>
          <w:sz w:val="32"/>
          <w:szCs w:val="32"/>
          <w:u w:val="single"/>
        </w:rPr>
        <w:t>灵山县人民医院</w:t>
      </w:r>
    </w:p>
    <w:p w14:paraId="55486821">
      <w:pPr>
        <w:spacing w:line="360" w:lineRule="auto"/>
        <w:ind w:left="420" w:leftChars="200"/>
        <w:rPr>
          <w:color w:val="auto"/>
          <w:sz w:val="32"/>
          <w:szCs w:val="32"/>
          <w:u w:val="single"/>
        </w:rPr>
      </w:pPr>
      <w:r>
        <w:rPr>
          <w:rFonts w:hint="eastAsia"/>
          <w:color w:val="auto"/>
          <w:sz w:val="32"/>
          <w:szCs w:val="32"/>
        </w:rPr>
        <w:t>乙    方</w:t>
      </w:r>
      <w:r>
        <w:rPr>
          <w:rFonts w:hint="eastAsia"/>
          <w:color w:val="auto"/>
          <w:sz w:val="32"/>
          <w:szCs w:val="32"/>
          <w:lang w:eastAsia="zh-CN"/>
        </w:rPr>
        <w:t>：</w:t>
      </w:r>
      <w:r>
        <w:rPr>
          <w:rFonts w:hint="eastAsia"/>
          <w:color w:val="auto"/>
          <w:sz w:val="32"/>
          <w:szCs w:val="32"/>
          <w:u w:val="single"/>
        </w:rPr>
        <w:t xml:space="preserve">                            </w:t>
      </w:r>
    </w:p>
    <w:p w14:paraId="16672582">
      <w:pPr>
        <w:spacing w:line="360" w:lineRule="auto"/>
        <w:ind w:left="420" w:leftChars="200"/>
        <w:rPr>
          <w:color w:val="auto"/>
          <w:sz w:val="32"/>
          <w:szCs w:val="32"/>
        </w:rPr>
      </w:pPr>
      <w:r>
        <w:rPr>
          <w:rFonts w:hint="eastAsia"/>
          <w:color w:val="auto"/>
          <w:sz w:val="32"/>
          <w:szCs w:val="32"/>
        </w:rPr>
        <w:t>签订时间：</w:t>
      </w:r>
      <w:r>
        <w:rPr>
          <w:rFonts w:hint="eastAsia"/>
          <w:color w:val="auto"/>
          <w:sz w:val="32"/>
          <w:szCs w:val="32"/>
          <w:u w:val="single"/>
          <w:lang w:eastAsia="zh-CN"/>
        </w:rPr>
        <w:t>2025年</w:t>
      </w:r>
      <w:r>
        <w:rPr>
          <w:rFonts w:hint="eastAsia"/>
          <w:color w:val="auto"/>
          <w:sz w:val="32"/>
          <w:szCs w:val="32"/>
          <w:u w:val="single"/>
        </w:rPr>
        <w:t xml:space="preserve">    月    日</w:t>
      </w:r>
    </w:p>
    <w:p w14:paraId="03184770">
      <w:pPr>
        <w:rPr>
          <w:color w:val="auto"/>
        </w:rPr>
      </w:pPr>
    </w:p>
    <w:p w14:paraId="693EA48A">
      <w:pPr>
        <w:rPr>
          <w:rFonts w:eastAsia="黑体"/>
          <w:color w:val="auto"/>
          <w:sz w:val="44"/>
          <w:szCs w:val="44"/>
        </w:rPr>
      </w:pPr>
      <w:r>
        <w:rPr>
          <w:rFonts w:eastAsia="黑体"/>
          <w:color w:val="auto"/>
          <w:sz w:val="44"/>
          <w:szCs w:val="44"/>
        </w:rPr>
        <w:br w:type="page"/>
      </w:r>
    </w:p>
    <w:p w14:paraId="55BFC5C7">
      <w:pPr>
        <w:rPr>
          <w:rFonts w:eastAsia="黑体"/>
          <w:color w:val="auto"/>
          <w:sz w:val="44"/>
          <w:szCs w:val="44"/>
        </w:rPr>
      </w:pPr>
    </w:p>
    <w:p w14:paraId="64634283">
      <w:pPr>
        <w:rPr>
          <w:rFonts w:eastAsia="黑体"/>
          <w:color w:val="auto"/>
          <w:sz w:val="44"/>
          <w:szCs w:val="44"/>
        </w:rPr>
      </w:pPr>
    </w:p>
    <w:p w14:paraId="01624EA5">
      <w:pPr>
        <w:jc w:val="center"/>
        <w:rPr>
          <w:rFonts w:hint="eastAsia" w:eastAsia="黑体"/>
          <w:color w:val="auto"/>
          <w:sz w:val="44"/>
          <w:szCs w:val="44"/>
        </w:rPr>
      </w:pPr>
      <w:r>
        <w:rPr>
          <w:rFonts w:hint="eastAsia" w:eastAsia="黑体"/>
          <w:color w:val="auto"/>
          <w:sz w:val="44"/>
          <w:szCs w:val="44"/>
        </w:rPr>
        <w:t>使 用 说 明</w:t>
      </w:r>
    </w:p>
    <w:p w14:paraId="15C15AEC">
      <w:pPr>
        <w:ind w:firstLine="640" w:firstLineChars="200"/>
        <w:rPr>
          <w:rFonts w:hint="eastAsia" w:ascii="仿宋_GB2312" w:hAnsi="仿宋_GB2312" w:eastAsia="仿宋_GB2312" w:cs="仿宋_GB2312"/>
          <w:color w:val="auto"/>
          <w:sz w:val="32"/>
          <w:szCs w:val="32"/>
        </w:rPr>
      </w:pPr>
    </w:p>
    <w:p w14:paraId="4E4A827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1.本合同标准文本适用于购买现成货物的采购项目，不包括需要供应商定制开发、创新研发的货物采购项目。</w:t>
      </w:r>
    </w:p>
    <w:p w14:paraId="677FC8EB">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2.本合同标准文本为政府采购货物买卖合同编制提供参考，可以结合采购项目具体情况，对文本作必要的调整修订后使用。</w:t>
      </w:r>
    </w:p>
    <w:p w14:paraId="7D8EA37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3.本合同标准文本各条款中，如涉及填写多家供应商、制造商，多种采购标的、分包主要内容等信息的，可根据采购项目具体情况添加信息项。</w:t>
      </w:r>
    </w:p>
    <w:p w14:paraId="0D77E7F5">
      <w:pPr>
        <w:ind w:firstLine="880" w:firstLineChars="200"/>
        <w:rPr>
          <w:rFonts w:eastAsia="黑体"/>
          <w:color w:val="auto"/>
          <w:sz w:val="44"/>
          <w:szCs w:val="44"/>
        </w:rPr>
        <w:sectPr>
          <w:headerReference r:id="rId7" w:type="default"/>
          <w:footerReference r:id="rId8"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657CC98">
      <w:pPr>
        <w:pStyle w:val="3"/>
        <w:adjustRightInd w:val="0"/>
        <w:snapToGrid w:val="0"/>
        <w:spacing w:before="0" w:after="0" w:line="400" w:lineRule="exact"/>
        <w:jc w:val="center"/>
        <w:rPr>
          <w:rFonts w:hint="eastAsia" w:ascii="宋体" w:hAnsi="宋体" w:eastAsia="宋体" w:cs="宋体"/>
          <w:b w:val="0"/>
          <w:bCs w:val="0"/>
          <w:color w:val="auto"/>
          <w:sz w:val="28"/>
          <w:szCs w:val="28"/>
        </w:rPr>
      </w:pPr>
      <w:bookmarkStart w:id="85" w:name="_Toc7233"/>
      <w:bookmarkStart w:id="86" w:name="_Toc22209"/>
      <w:r>
        <w:rPr>
          <w:rFonts w:hint="eastAsia" w:ascii="宋体" w:hAnsi="宋体" w:eastAsia="宋体" w:cs="宋体"/>
          <w:color w:val="auto"/>
          <w:sz w:val="28"/>
          <w:szCs w:val="28"/>
        </w:rPr>
        <w:t>第一节 政府采购合同协议书</w:t>
      </w:r>
      <w:bookmarkEnd w:id="85"/>
      <w:bookmarkEnd w:id="86"/>
    </w:p>
    <w:p w14:paraId="58F69F1D">
      <w:pPr>
        <w:adjustRightInd w:val="0"/>
        <w:snapToGrid w:val="0"/>
        <w:spacing w:line="400" w:lineRule="exact"/>
        <w:rPr>
          <w:rFonts w:hint="eastAsia" w:ascii="宋体" w:hAnsi="宋体" w:cs="宋体"/>
          <w:color w:val="auto"/>
          <w:szCs w:val="21"/>
        </w:rPr>
      </w:pPr>
    </w:p>
    <w:p w14:paraId="79612E90">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甲方（全称）：</w:t>
      </w:r>
      <w:r>
        <w:rPr>
          <w:rFonts w:hint="eastAsia" w:ascii="宋体" w:hAnsi="宋体" w:cs="宋体"/>
          <w:color w:val="auto"/>
          <w:szCs w:val="21"/>
          <w:u w:val="single"/>
        </w:rPr>
        <w:t>灵山县人民医院</w:t>
      </w:r>
    </w:p>
    <w:p w14:paraId="00C0EE65">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乙方（全称）</w:t>
      </w:r>
      <w:r>
        <w:rPr>
          <w:rFonts w:hint="eastAsia" w:ascii="宋体" w:hAnsi="宋体" w:cs="宋体"/>
          <w:color w:val="auto"/>
          <w:szCs w:val="21"/>
          <w:lang w:eastAsia="zh-CN"/>
        </w:rPr>
        <w:t>：</w:t>
      </w:r>
      <w:r>
        <w:rPr>
          <w:rFonts w:hint="eastAsia" w:ascii="宋体" w:hAnsi="宋体" w:cs="宋体"/>
          <w:color w:val="auto"/>
          <w:szCs w:val="21"/>
          <w:u w:val="single"/>
        </w:rPr>
        <w:t xml:space="preserve">                      </w:t>
      </w:r>
      <w:r>
        <w:rPr>
          <w:rFonts w:hint="eastAsia" w:ascii="宋体" w:hAnsi="宋体" w:cs="宋体"/>
          <w:color w:val="auto"/>
          <w:szCs w:val="21"/>
        </w:rPr>
        <w:t>（供应商）</w:t>
      </w:r>
    </w:p>
    <w:p w14:paraId="09D50C2C">
      <w:pPr>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依据《中华人民共和国民法典》、《中华人民共和国政府采购法》等有关的法律法规，以及本采购项目的招标/谈判文件等招标文件、乙方的《投标（响应）文件》及《中标（成交）通知书》，甲乙双方同意签订本合同。具体情况及要求如下：</w:t>
      </w:r>
    </w:p>
    <w:p w14:paraId="77D049A5">
      <w:pPr>
        <w:adjustRightInd w:val="0"/>
        <w:snapToGrid w:val="0"/>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1.项目信息</w:t>
      </w:r>
    </w:p>
    <w:p w14:paraId="40110CFC">
      <w:pPr>
        <w:adjustRightInd w:val="0"/>
        <w:snapToGrid w:val="0"/>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（1）采购项目名称：</w:t>
      </w:r>
      <w:r>
        <w:rPr>
          <w:rFonts w:hint="eastAsia" w:ascii="宋体" w:hAnsi="宋体" w:cs="宋体"/>
          <w:color w:val="auto"/>
          <w:szCs w:val="21"/>
          <w:u w:val="single"/>
          <w:lang w:eastAsia="zh-CN"/>
        </w:rPr>
        <w:t>灵山县人民医院2025年临床学科第三批医疗设备采购</w:t>
      </w:r>
    </w:p>
    <w:p w14:paraId="414A4147">
      <w:pPr>
        <w:adjustRightInd w:val="0"/>
        <w:snapToGrid w:val="0"/>
        <w:spacing w:line="400" w:lineRule="exact"/>
        <w:ind w:firstLine="840" w:firstLineChars="400"/>
        <w:rPr>
          <w:rFonts w:hint="eastAsia" w:ascii="宋体" w:hAnsi="宋体" w:eastAsia="宋体" w:cs="宋体"/>
          <w:color w:val="auto"/>
          <w:szCs w:val="21"/>
          <w:lang w:eastAsia="zh-CN"/>
        </w:rPr>
      </w:pPr>
      <w:r>
        <w:rPr>
          <w:rFonts w:hint="eastAsia" w:ascii="宋体" w:hAnsi="宋体" w:eastAsia="宋体" w:cs="宋体"/>
          <w:color w:val="auto"/>
          <w:szCs w:val="21"/>
        </w:rPr>
        <w:t>采购项目编号：</w:t>
      </w:r>
      <w:r>
        <w:rPr>
          <w:rFonts w:hint="eastAsia" w:ascii="宋体" w:hAnsi="宋体" w:cs="宋体"/>
          <w:color w:val="auto"/>
          <w:szCs w:val="21"/>
          <w:u w:val="single"/>
          <w:lang w:eastAsia="zh-CN"/>
        </w:rPr>
        <w:t>QZZC2025-J1-210259-HCZX</w:t>
      </w:r>
    </w:p>
    <w:p w14:paraId="66A0DA8D">
      <w:pPr>
        <w:adjustRightInd w:val="0"/>
        <w:snapToGrid w:val="0"/>
        <w:spacing w:line="400" w:lineRule="exact"/>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rPr>
        <w:t>（2）采购计划编号：</w:t>
      </w:r>
      <w:r>
        <w:rPr>
          <w:rFonts w:hint="eastAsia" w:ascii="宋体" w:hAnsi="宋体" w:cs="宋体"/>
          <w:color w:val="auto"/>
          <w:szCs w:val="21"/>
          <w:u w:val="single"/>
          <w:lang w:val="en-US" w:eastAsia="zh-CN"/>
        </w:rPr>
        <w:t xml:space="preserve">                     </w:t>
      </w:r>
    </w:p>
    <w:p w14:paraId="19C556B7">
      <w:pPr>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（3）项目内容：</w:t>
      </w:r>
    </w:p>
    <w:p w14:paraId="6EB077C6">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采购标的及数量（台/套</w:t>
      </w:r>
      <w:r>
        <w:rPr>
          <w:rFonts w:hint="eastAsia" w:ascii="宋体" w:hAnsi="宋体" w:cs="宋体"/>
          <w:color w:val="auto"/>
          <w:szCs w:val="21"/>
          <w:lang w:val="en"/>
        </w:rPr>
        <w:t>/个/架/组等</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u w:val="single"/>
        </w:rPr>
        <w:t xml:space="preserve">                      </w:t>
      </w:r>
    </w:p>
    <w:p w14:paraId="3D31E8DD">
      <w:pPr>
        <w:adjustRightInd w:val="0"/>
        <w:snapToGrid w:val="0"/>
        <w:spacing w:line="400" w:lineRule="exact"/>
        <w:ind w:firstLine="420" w:firstLineChars="200"/>
        <w:rPr>
          <w:rFonts w:hint="eastAsia" w:ascii="宋体" w:hAnsi="宋体" w:cs="宋体"/>
          <w:color w:val="auto"/>
          <w:szCs w:val="21"/>
          <w:lang w:val="en"/>
        </w:rPr>
      </w:pPr>
      <w:r>
        <w:rPr>
          <w:rFonts w:hint="eastAsia" w:ascii="宋体" w:hAnsi="宋体" w:cs="宋体"/>
          <w:color w:val="auto"/>
          <w:szCs w:val="21"/>
        </w:rPr>
        <w:t>品牌</w:t>
      </w:r>
      <w:r>
        <w:rPr>
          <w:rFonts w:hint="eastAsia" w:ascii="宋体" w:hAnsi="宋体" w:cs="宋体"/>
          <w:color w:val="auto"/>
          <w:szCs w:val="21"/>
          <w:lang w:eastAsia="zh-CN"/>
        </w:rPr>
        <w:t>：</w:t>
      </w:r>
      <w:r>
        <w:rPr>
          <w:rFonts w:hint="eastAsia" w:ascii="宋体" w:hAnsi="宋体" w:cs="宋体"/>
          <w:color w:val="auto"/>
          <w:szCs w:val="21"/>
          <w:u w:val="single"/>
        </w:rPr>
        <w:t xml:space="preserve">     </w:t>
      </w:r>
      <w:r>
        <w:rPr>
          <w:rFonts w:hint="eastAsia"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hint="eastAsia" w:ascii="宋体" w:hAnsi="宋体" w:cs="宋体"/>
          <w:color w:val="auto"/>
          <w:szCs w:val="21"/>
          <w:lang w:val="en"/>
        </w:rPr>
        <w:t xml:space="preserve">     </w:t>
      </w:r>
      <w:r>
        <w:rPr>
          <w:rFonts w:hint="eastAsia" w:ascii="宋体" w:hAnsi="宋体" w:cs="宋体"/>
          <w:color w:val="auto"/>
          <w:szCs w:val="21"/>
        </w:rPr>
        <w:t>规格型号</w:t>
      </w:r>
      <w:r>
        <w:rPr>
          <w:rFonts w:hint="eastAsia" w:ascii="宋体" w:hAnsi="宋体" w:cs="宋体"/>
          <w:color w:val="auto"/>
          <w:szCs w:val="21"/>
          <w:lang w:eastAsia="zh-CN"/>
        </w:rPr>
        <w:t>：</w:t>
      </w:r>
      <w:r>
        <w:rPr>
          <w:rFonts w:hint="eastAsia" w:ascii="宋体" w:hAnsi="宋体" w:cs="宋体"/>
          <w:color w:val="auto"/>
          <w:szCs w:val="21"/>
          <w:u w:val="single"/>
        </w:rPr>
        <w:t xml:space="preserve">  </w:t>
      </w:r>
      <w:r>
        <w:rPr>
          <w:rFonts w:hint="eastAsia"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
        </w:rPr>
        <w:t xml:space="preserve">   </w:t>
      </w:r>
    </w:p>
    <w:p w14:paraId="7F005BC2">
      <w:pPr>
        <w:adjustRightInd w:val="0"/>
        <w:snapToGrid w:val="0"/>
        <w:spacing w:line="400" w:lineRule="exact"/>
        <w:ind w:firstLine="420" w:firstLineChars="200"/>
        <w:rPr>
          <w:rFonts w:hint="eastAsia" w:ascii="宋体" w:hAnsi="宋体" w:cs="宋体"/>
          <w:color w:val="auto"/>
          <w:szCs w:val="21"/>
          <w:u w:val="single"/>
        </w:rPr>
      </w:pPr>
      <w:r>
        <w:rPr>
          <w:rFonts w:hint="eastAsia" w:ascii="宋体" w:hAnsi="宋体" w:cs="宋体"/>
          <w:color w:val="auto"/>
          <w:szCs w:val="21"/>
        </w:rPr>
        <w:t>采购标的的技术要求、商务要求具体见附件。</w:t>
      </w:r>
    </w:p>
    <w:p w14:paraId="3BE8EA8B">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①涉及信息类产品，请填写该产品关键部件的品牌、型号：</w:t>
      </w:r>
    </w:p>
    <w:p w14:paraId="079D22A0">
      <w:pPr>
        <w:adjustRightInd w:val="0"/>
        <w:snapToGrid w:val="0"/>
        <w:spacing w:line="400" w:lineRule="exact"/>
        <w:ind w:firstLine="420" w:firstLineChars="200"/>
        <w:rPr>
          <w:rFonts w:hint="eastAsia" w:ascii="宋体" w:hAnsi="宋体" w:cs="宋体"/>
          <w:color w:val="auto"/>
          <w:kern w:val="0"/>
          <w:szCs w:val="21"/>
          <w:u w:val="single"/>
        </w:rPr>
      </w:pPr>
      <w:r>
        <w:rPr>
          <w:rFonts w:hint="eastAsia" w:ascii="宋体" w:hAnsi="宋体" w:cs="宋体"/>
          <w:color w:val="auto"/>
          <w:szCs w:val="21"/>
        </w:rPr>
        <w:t>标的名称</w:t>
      </w:r>
      <w:r>
        <w:rPr>
          <w:rFonts w:hint="eastAsia" w:ascii="宋体" w:hAnsi="宋体" w:cs="宋体"/>
          <w:color w:val="auto"/>
          <w:szCs w:val="21"/>
          <w:lang w:eastAsia="zh-CN"/>
        </w:rPr>
        <w:t>：</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
        </w:rPr>
        <w:t xml:space="preserve">               </w:t>
      </w:r>
      <w:r>
        <w:rPr>
          <w:rFonts w:hint="eastAsia" w:ascii="宋体" w:hAnsi="宋体" w:cs="宋体"/>
          <w:color w:val="auto"/>
          <w:kern w:val="0"/>
          <w:szCs w:val="21"/>
          <w:u w:val="single"/>
        </w:rPr>
        <w:t xml:space="preserve">    </w:t>
      </w:r>
    </w:p>
    <w:p w14:paraId="4DD3A233">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关键部件</w:t>
      </w:r>
      <w:r>
        <w:rPr>
          <w:rFonts w:hint="eastAsia" w:ascii="宋体" w:hAnsi="宋体" w:cs="宋体"/>
          <w:color w:val="auto"/>
          <w:szCs w:val="21"/>
          <w:lang w:eastAsia="zh-CN"/>
        </w:rPr>
        <w:t>：</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s="宋体"/>
          <w:color w:val="auto"/>
          <w:szCs w:val="21"/>
        </w:rPr>
        <w:t>品牌</w:t>
      </w:r>
      <w:r>
        <w:rPr>
          <w:rFonts w:hint="eastAsia" w:ascii="宋体" w:hAnsi="宋体" w:cs="宋体"/>
          <w:color w:val="auto"/>
          <w:szCs w:val="21"/>
          <w:lang w:eastAsia="zh-CN"/>
        </w:rPr>
        <w:t>：</w:t>
      </w:r>
      <w:r>
        <w:rPr>
          <w:rFonts w:hint="eastAsia" w:ascii="宋体" w:hAnsi="宋体" w:cs="宋体"/>
          <w:color w:val="auto"/>
          <w:szCs w:val="21"/>
          <w:u w:val="single"/>
        </w:rPr>
        <w:t xml:space="preserve">       </w:t>
      </w:r>
      <w:r>
        <w:rPr>
          <w:rFonts w:hint="eastAsia" w:ascii="宋体" w:hAnsi="宋体" w:cs="宋体"/>
          <w:color w:val="auto"/>
          <w:szCs w:val="21"/>
        </w:rPr>
        <w:t xml:space="preserve"> 型号</w:t>
      </w:r>
      <w:r>
        <w:rPr>
          <w:rFonts w:hint="eastAsia" w:ascii="宋体" w:hAnsi="宋体" w:cs="宋体"/>
          <w:color w:val="auto"/>
          <w:szCs w:val="21"/>
          <w:lang w:eastAsia="zh-CN"/>
        </w:rPr>
        <w:t>：</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5FB44D80">
      <w:pPr>
        <w:pStyle w:val="125"/>
        <w:ind w:firstLine="420"/>
        <w:rPr>
          <w:rFonts w:hint="eastAsia" w:ascii="宋体" w:hAnsi="宋体" w:eastAsia="宋体" w:cs="宋体"/>
          <w:color w:val="auto"/>
          <w:sz w:val="21"/>
        </w:rPr>
      </w:pPr>
      <w:r>
        <w:rPr>
          <w:rFonts w:hint="eastAsia" w:ascii="宋体" w:hAnsi="宋体" w:eastAsia="宋体" w:cs="宋体"/>
          <w:color w:val="auto"/>
          <w:kern w:val="2"/>
          <w:sz w:val="21"/>
        </w:rPr>
        <w:t>关键部件</w:t>
      </w:r>
      <w:r>
        <w:rPr>
          <w:rFonts w:hint="eastAsia" w:ascii="宋体" w:hAnsi="宋体" w:eastAsia="宋体" w:cs="宋体"/>
          <w:color w:val="auto"/>
          <w:sz w:val="21"/>
          <w:lang w:eastAsia="zh-CN"/>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lang w:eastAsia="zh-CN"/>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lang w:eastAsia="zh-CN"/>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w:t>
      </w:r>
    </w:p>
    <w:p w14:paraId="7D837FA4">
      <w:pPr>
        <w:pStyle w:val="125"/>
        <w:ind w:firstLine="420"/>
        <w:rPr>
          <w:rFonts w:hint="eastAsia" w:ascii="宋体" w:hAnsi="宋体" w:eastAsia="宋体" w:cs="宋体"/>
          <w:color w:val="auto"/>
          <w:sz w:val="21"/>
        </w:rPr>
      </w:pPr>
      <w:r>
        <w:rPr>
          <w:rFonts w:hint="eastAsia" w:ascii="宋体" w:hAnsi="宋体" w:eastAsia="宋体" w:cs="宋体"/>
          <w:color w:val="auto"/>
          <w:sz w:val="21"/>
        </w:rPr>
        <w:t>关键部件</w:t>
      </w:r>
      <w:r>
        <w:rPr>
          <w:rFonts w:hint="eastAsia" w:ascii="宋体" w:hAnsi="宋体" w:eastAsia="宋体" w:cs="宋体"/>
          <w:color w:val="auto"/>
          <w:sz w:val="21"/>
          <w:lang w:eastAsia="zh-CN"/>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lang w:eastAsia="zh-CN"/>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lang w:eastAsia="zh-CN"/>
        </w:rPr>
        <w:t>：</w:t>
      </w:r>
      <w:r>
        <w:rPr>
          <w:rFonts w:hint="eastAsia" w:ascii="宋体" w:hAnsi="宋体" w:eastAsia="宋体" w:cs="宋体"/>
          <w:color w:val="auto"/>
          <w:sz w:val="21"/>
          <w:u w:val="single"/>
        </w:rPr>
        <w:t xml:space="preserve">      </w:t>
      </w:r>
    </w:p>
    <w:p w14:paraId="123345F4">
      <w:pPr>
        <w:pStyle w:val="125"/>
        <w:snapToGrid w:val="0"/>
        <w:ind w:firstLine="420"/>
        <w:rPr>
          <w:rFonts w:hint="eastAsia" w:ascii="宋体" w:hAnsi="宋体" w:eastAsia="宋体" w:cs="宋体"/>
          <w:color w:val="auto"/>
          <w:sz w:val="21"/>
        </w:rPr>
      </w:pPr>
      <w:r>
        <w:rPr>
          <w:rFonts w:hint="eastAsia" w:ascii="宋体" w:hAnsi="宋体" w:eastAsia="宋体" w:cs="宋体"/>
          <w:color w:val="auto"/>
          <w:sz w:val="21"/>
        </w:rPr>
        <w:t>注：关键部件是指财政部会同有关部门发布的政府采购需求标准规定的需要通过国家有关部门指定的测评机构开展的安全可靠测评的软硬件，如CPU芯片、操作系统、数据库等。）</w:t>
      </w:r>
    </w:p>
    <w:p w14:paraId="2F8919A3">
      <w:pPr>
        <w:pStyle w:val="125"/>
        <w:snapToGrid w:val="0"/>
        <w:ind w:firstLine="420"/>
        <w:rPr>
          <w:rFonts w:hint="eastAsia" w:ascii="宋体" w:hAnsi="宋体" w:eastAsia="宋体" w:cs="宋体"/>
          <w:color w:val="auto"/>
          <w:sz w:val="21"/>
        </w:rPr>
      </w:pPr>
      <w:r>
        <w:rPr>
          <w:rFonts w:hint="eastAsia" w:ascii="宋体" w:hAnsi="宋体" w:eastAsia="宋体" w:cs="宋体"/>
          <w:color w:val="auto"/>
          <w:sz w:val="21"/>
        </w:rPr>
        <w:t>②涉及车辆采购，请填写是否属于新能源汽车：</w:t>
      </w:r>
    </w:p>
    <w:p w14:paraId="19AFE178">
      <w:pPr>
        <w:pStyle w:val="125"/>
        <w:snapToGrid w:val="0"/>
        <w:ind w:firstLine="420"/>
        <w:rPr>
          <w:rFonts w:hint="eastAsia" w:ascii="宋体" w:hAnsi="宋体" w:eastAsia="宋体" w:cs="宋体"/>
          <w:color w:val="auto"/>
          <w:sz w:val="21"/>
        </w:rPr>
      </w:pPr>
      <w:r>
        <w:rPr>
          <w:rFonts w:hint="eastAsia" w:ascii="宋体" w:hAnsi="宋体" w:eastAsia="宋体" w:cs="宋体"/>
          <w:color w:val="auto"/>
          <w:sz w:val="21"/>
        </w:rPr>
        <w:t>□是，《政府采购品目分类目录》底级品目名称</w:t>
      </w:r>
      <w:r>
        <w:rPr>
          <w:rFonts w:hint="eastAsia" w:ascii="宋体" w:hAnsi="宋体" w:eastAsia="宋体" w:cs="宋体"/>
          <w:color w:val="auto"/>
          <w:sz w:val="21"/>
          <w:lang w:eastAsia="zh-CN"/>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数量</w:t>
      </w:r>
      <w:r>
        <w:rPr>
          <w:rFonts w:hint="eastAsia" w:ascii="宋体" w:hAnsi="宋体" w:eastAsia="宋体" w:cs="宋体"/>
          <w:color w:val="auto"/>
          <w:sz w:val="21"/>
          <w:lang w:eastAsia="zh-CN"/>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金额</w:t>
      </w:r>
      <w:r>
        <w:rPr>
          <w:rFonts w:hint="eastAsia" w:ascii="宋体" w:hAnsi="宋体" w:eastAsia="宋体" w:cs="宋体"/>
          <w:color w:val="auto"/>
          <w:sz w:val="21"/>
          <w:lang w:eastAsia="zh-CN"/>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w:t>
      </w:r>
    </w:p>
    <w:p w14:paraId="4761F264">
      <w:pPr>
        <w:pStyle w:val="125"/>
        <w:snapToGrid w:val="0"/>
        <w:ind w:firstLine="420"/>
        <w:rPr>
          <w:rFonts w:hint="eastAsia" w:ascii="宋体" w:hAnsi="宋体" w:eastAsia="宋体" w:cs="宋体"/>
          <w:color w:val="auto"/>
          <w:sz w:val="21"/>
        </w:rPr>
      </w:pPr>
      <w:r>
        <w:rPr>
          <w:rFonts w:hint="eastAsia" w:ascii="宋体" w:hAnsi="宋体" w:eastAsia="宋体" w:cs="宋体"/>
          <w:color w:val="auto"/>
          <w:sz w:val="21"/>
        </w:rPr>
        <w:t>□否</w:t>
      </w:r>
    </w:p>
    <w:p w14:paraId="4179C668">
      <w:pPr>
        <w:pStyle w:val="125"/>
        <w:snapToGrid w:val="0"/>
        <w:ind w:firstLine="420"/>
        <w:rPr>
          <w:rFonts w:hint="eastAsia" w:ascii="宋体" w:hAnsi="宋体" w:eastAsia="宋体" w:cs="宋体"/>
          <w:color w:val="auto"/>
          <w:sz w:val="21"/>
        </w:rPr>
      </w:pPr>
      <w:r>
        <w:rPr>
          <w:rFonts w:hint="eastAsia" w:ascii="宋体" w:hAnsi="宋体" w:eastAsia="宋体" w:cs="宋体"/>
          <w:color w:val="auto"/>
          <w:sz w:val="21"/>
        </w:rPr>
        <w:t>（</w:t>
      </w:r>
      <w:r>
        <w:rPr>
          <w:rFonts w:hint="eastAsia" w:ascii="宋体" w:hAnsi="宋体" w:eastAsia="宋体" w:cs="宋体"/>
          <w:color w:val="auto"/>
          <w:sz w:val="21"/>
          <w:lang w:val="en"/>
        </w:rPr>
        <w:t>4</w:t>
      </w:r>
      <w:r>
        <w:rPr>
          <w:rFonts w:hint="eastAsia" w:ascii="宋体" w:hAnsi="宋体" w:eastAsia="宋体" w:cs="宋体"/>
          <w:color w:val="auto"/>
          <w:sz w:val="21"/>
        </w:rPr>
        <w:t>）政府采购组织形式：□政府集中采购  □部门集中采购  □分散采购</w:t>
      </w:r>
    </w:p>
    <w:p w14:paraId="74F5F47D">
      <w:pPr>
        <w:pStyle w:val="125"/>
        <w:snapToGrid w:val="0"/>
        <w:ind w:firstLine="420"/>
        <w:rPr>
          <w:rFonts w:hint="eastAsia" w:ascii="宋体" w:hAnsi="宋体" w:eastAsia="宋体" w:cs="宋体"/>
          <w:color w:val="auto"/>
          <w:sz w:val="21"/>
        </w:rPr>
      </w:pPr>
      <w:r>
        <w:rPr>
          <w:rFonts w:hint="eastAsia" w:ascii="宋体" w:hAnsi="宋体" w:eastAsia="宋体" w:cs="宋体"/>
          <w:color w:val="auto"/>
          <w:sz w:val="21"/>
        </w:rPr>
        <w:t>（</w:t>
      </w:r>
      <w:r>
        <w:rPr>
          <w:rFonts w:hint="eastAsia" w:ascii="宋体" w:hAnsi="宋体" w:eastAsia="宋体" w:cs="宋体"/>
          <w:color w:val="auto"/>
          <w:sz w:val="21"/>
          <w:lang w:val="en"/>
        </w:rPr>
        <w:t>5</w:t>
      </w:r>
      <w:r>
        <w:rPr>
          <w:rFonts w:hint="eastAsia" w:ascii="宋体" w:hAnsi="宋体" w:eastAsia="宋体" w:cs="宋体"/>
          <w:color w:val="auto"/>
          <w:sz w:val="21"/>
        </w:rPr>
        <w:t>）政府采购方式：□公开招标  □邀请招标  □竞争性谈判  □竞争性磋商</w:t>
      </w:r>
    </w:p>
    <w:p w14:paraId="652C0980">
      <w:pPr>
        <w:pStyle w:val="125"/>
        <w:snapToGrid w:val="0"/>
        <w:ind w:firstLine="2520" w:firstLineChars="1200"/>
        <w:rPr>
          <w:rFonts w:hint="eastAsia" w:ascii="宋体" w:hAnsi="宋体" w:eastAsia="宋体" w:cs="宋体"/>
          <w:color w:val="auto"/>
          <w:sz w:val="21"/>
          <w:u w:val="single"/>
        </w:rPr>
      </w:pPr>
      <w:r>
        <w:rPr>
          <w:rFonts w:hint="eastAsia" w:ascii="宋体" w:hAnsi="宋体" w:eastAsia="宋体" w:cs="宋体"/>
          <w:color w:val="auto"/>
          <w:sz w:val="21"/>
        </w:rPr>
        <w:t>□询价  □单一来源  □框架协议  □其他</w:t>
      </w:r>
      <w:r>
        <w:rPr>
          <w:rFonts w:hint="eastAsia" w:ascii="宋体" w:hAnsi="宋体" w:eastAsia="宋体" w:cs="宋体"/>
          <w:color w:val="auto"/>
          <w:sz w:val="21"/>
          <w:lang w:eastAsia="zh-CN"/>
        </w:rPr>
        <w:t>：</w:t>
      </w:r>
      <w:r>
        <w:rPr>
          <w:rFonts w:hint="eastAsia" w:ascii="宋体" w:hAnsi="宋体" w:eastAsia="宋体" w:cs="宋体"/>
          <w:color w:val="auto"/>
          <w:sz w:val="21"/>
          <w:u w:val="single"/>
        </w:rPr>
        <w:t xml:space="preserve">         </w:t>
      </w:r>
    </w:p>
    <w:p w14:paraId="0290D393">
      <w:pPr>
        <w:pStyle w:val="125"/>
        <w:snapToGrid w:val="0"/>
        <w:ind w:firstLine="420"/>
        <w:rPr>
          <w:rFonts w:hint="eastAsia" w:ascii="宋体" w:hAnsi="宋体" w:eastAsia="宋体" w:cs="宋体"/>
          <w:color w:val="auto"/>
          <w:sz w:val="21"/>
        </w:rPr>
      </w:pPr>
      <w:r>
        <w:rPr>
          <w:rFonts w:hint="eastAsia" w:ascii="宋体" w:hAnsi="宋体" w:eastAsia="宋体" w:cs="宋体"/>
          <w:color w:val="auto"/>
          <w:sz w:val="21"/>
        </w:rPr>
        <w:t>（注：在框架协议采购的第二阶段，可选择使用该合同文本）</w:t>
      </w:r>
    </w:p>
    <w:p w14:paraId="4F1BCA40">
      <w:pPr>
        <w:pStyle w:val="125"/>
        <w:snapToGrid w:val="0"/>
        <w:ind w:firstLine="420"/>
        <w:rPr>
          <w:rFonts w:hint="eastAsia" w:ascii="宋体" w:hAnsi="宋体" w:eastAsia="宋体" w:cs="宋体"/>
          <w:color w:val="auto"/>
          <w:kern w:val="2"/>
          <w:sz w:val="21"/>
        </w:rPr>
      </w:pPr>
      <w:r>
        <w:rPr>
          <w:rFonts w:hint="eastAsia" w:ascii="宋体" w:hAnsi="宋体" w:eastAsia="宋体" w:cs="宋体"/>
          <w:color w:val="auto"/>
          <w:sz w:val="21"/>
        </w:rPr>
        <w:t>（</w:t>
      </w:r>
      <w:r>
        <w:rPr>
          <w:rFonts w:hint="eastAsia" w:ascii="宋体" w:hAnsi="宋体" w:eastAsia="宋体" w:cs="宋体"/>
          <w:color w:val="auto"/>
          <w:sz w:val="21"/>
          <w:lang w:val="en"/>
        </w:rPr>
        <w:t>6</w:t>
      </w:r>
      <w:r>
        <w:rPr>
          <w:rFonts w:hint="eastAsia" w:ascii="宋体" w:hAnsi="宋体" w:eastAsia="宋体" w:cs="宋体"/>
          <w:color w:val="auto"/>
          <w:sz w:val="21"/>
        </w:rPr>
        <w:t>）</w:t>
      </w:r>
      <w:r>
        <w:rPr>
          <w:rFonts w:hint="eastAsia" w:ascii="宋体" w:hAnsi="宋体" w:eastAsia="宋体" w:cs="宋体"/>
          <w:color w:val="auto"/>
          <w:kern w:val="2"/>
          <w:sz w:val="21"/>
        </w:rPr>
        <w:t>中标（成交）采购标的制造商是否为中小企业：</w:t>
      </w:r>
      <w:r>
        <w:rPr>
          <w:rFonts w:hint="eastAsia" w:ascii="宋体" w:hAnsi="宋体" w:eastAsia="宋体" w:cs="宋体"/>
          <w:color w:val="auto"/>
          <w:sz w:val="21"/>
        </w:rPr>
        <w:t>□</w:t>
      </w:r>
      <w:r>
        <w:rPr>
          <w:rFonts w:hint="eastAsia" w:ascii="宋体" w:hAnsi="宋体" w:eastAsia="宋体" w:cs="宋体"/>
          <w:color w:val="auto"/>
          <w:kern w:val="2"/>
          <w:sz w:val="21"/>
        </w:rPr>
        <w:t xml:space="preserve">是      </w:t>
      </w:r>
      <w:r>
        <w:rPr>
          <w:rFonts w:hint="eastAsia" w:ascii="宋体" w:hAnsi="宋体" w:eastAsia="宋体" w:cs="宋体"/>
          <w:color w:val="auto"/>
          <w:sz w:val="21"/>
        </w:rPr>
        <w:t>□</w:t>
      </w:r>
      <w:r>
        <w:rPr>
          <w:rFonts w:hint="eastAsia" w:ascii="宋体" w:hAnsi="宋体" w:eastAsia="宋体" w:cs="宋体"/>
          <w:color w:val="auto"/>
          <w:kern w:val="2"/>
          <w:sz w:val="21"/>
        </w:rPr>
        <w:t>否</w:t>
      </w:r>
    </w:p>
    <w:p w14:paraId="7A88B9F3">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本合同是否为专门面向中小企业的采购合同（中小企业预留合同）：□是    □否</w:t>
      </w:r>
    </w:p>
    <w:p w14:paraId="268C5A41">
      <w:pPr>
        <w:adjustRightInd w:val="0"/>
        <w:snapToGrid w:val="0"/>
        <w:spacing w:line="400" w:lineRule="exact"/>
        <w:ind w:firstLine="420" w:firstLineChars="200"/>
        <w:rPr>
          <w:rFonts w:hint="eastAsia" w:ascii="宋体" w:hAnsi="宋体" w:cs="宋体"/>
          <w:iCs/>
          <w:color w:val="auto"/>
          <w:szCs w:val="21"/>
        </w:rPr>
      </w:pPr>
      <w:r>
        <w:rPr>
          <w:rFonts w:hint="eastAsia" w:ascii="宋体" w:hAnsi="宋体" w:cs="宋体"/>
          <w:color w:val="auto"/>
          <w:szCs w:val="21"/>
        </w:rPr>
        <w:t>若本项目不专门面向中小企业采购，是否给予小微企业评审优惠：□</w:t>
      </w:r>
      <w:r>
        <w:rPr>
          <w:rFonts w:hint="eastAsia" w:ascii="宋体" w:hAnsi="宋体" w:cs="宋体"/>
          <w:iCs/>
          <w:color w:val="auto"/>
          <w:szCs w:val="21"/>
        </w:rPr>
        <w:t xml:space="preserve">是   </w:t>
      </w:r>
      <w:r>
        <w:rPr>
          <w:rFonts w:hint="eastAsia" w:ascii="宋体" w:hAnsi="宋体" w:cs="宋体"/>
          <w:color w:val="auto"/>
          <w:szCs w:val="21"/>
        </w:rPr>
        <w:t>□</w:t>
      </w:r>
      <w:r>
        <w:rPr>
          <w:rFonts w:hint="eastAsia" w:ascii="宋体" w:hAnsi="宋体" w:cs="宋体"/>
          <w:iCs/>
          <w:color w:val="auto"/>
          <w:szCs w:val="21"/>
        </w:rPr>
        <w:t>否</w:t>
      </w:r>
    </w:p>
    <w:p w14:paraId="7C9244D4">
      <w:pPr>
        <w:adjustRightInd w:val="0"/>
        <w:snapToGrid w:val="0"/>
        <w:spacing w:line="400" w:lineRule="exact"/>
        <w:ind w:firstLine="420" w:firstLineChars="200"/>
        <w:rPr>
          <w:rFonts w:hint="eastAsia" w:ascii="宋体" w:hAnsi="宋体" w:cs="宋体"/>
          <w:iCs/>
          <w:color w:val="auto"/>
          <w:szCs w:val="21"/>
        </w:rPr>
      </w:pPr>
      <w:r>
        <w:rPr>
          <w:rFonts w:hint="eastAsia" w:ascii="宋体" w:hAnsi="宋体" w:cs="宋体"/>
          <w:color w:val="auto"/>
          <w:szCs w:val="21"/>
        </w:rPr>
        <w:t>中标（成交）采购标的制造商是否为残疾人福利性单位：□</w:t>
      </w:r>
      <w:r>
        <w:rPr>
          <w:rFonts w:hint="eastAsia" w:ascii="宋体" w:hAnsi="宋体" w:cs="宋体"/>
          <w:iCs/>
          <w:color w:val="auto"/>
          <w:szCs w:val="21"/>
        </w:rPr>
        <w:t xml:space="preserve">是   </w:t>
      </w:r>
      <w:r>
        <w:rPr>
          <w:rFonts w:hint="eastAsia" w:ascii="宋体" w:hAnsi="宋体" w:cs="宋体"/>
          <w:color w:val="auto"/>
          <w:szCs w:val="21"/>
        </w:rPr>
        <w:t>□</w:t>
      </w:r>
      <w:r>
        <w:rPr>
          <w:rFonts w:hint="eastAsia" w:ascii="宋体" w:hAnsi="宋体" w:cs="宋体"/>
          <w:iCs/>
          <w:color w:val="auto"/>
          <w:szCs w:val="21"/>
        </w:rPr>
        <w:t>否</w:t>
      </w:r>
    </w:p>
    <w:p w14:paraId="1588564F">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中标（成交）采购标的制造商是否为监狱企业：□</w:t>
      </w:r>
      <w:r>
        <w:rPr>
          <w:rFonts w:hint="eastAsia" w:ascii="宋体" w:hAnsi="宋体" w:cs="宋体"/>
          <w:iCs/>
          <w:color w:val="auto"/>
          <w:szCs w:val="21"/>
        </w:rPr>
        <w:t xml:space="preserve">是       </w:t>
      </w:r>
      <w:r>
        <w:rPr>
          <w:rFonts w:hint="eastAsia" w:ascii="宋体" w:hAnsi="宋体" w:cs="宋体"/>
          <w:color w:val="auto"/>
          <w:szCs w:val="21"/>
        </w:rPr>
        <w:t>□</w:t>
      </w:r>
      <w:r>
        <w:rPr>
          <w:rFonts w:hint="eastAsia" w:ascii="宋体" w:hAnsi="宋体" w:cs="宋体"/>
          <w:iCs/>
          <w:color w:val="auto"/>
          <w:szCs w:val="21"/>
        </w:rPr>
        <w:t>否</w:t>
      </w:r>
    </w:p>
    <w:p w14:paraId="3FD3AEBE">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
        </w:rPr>
        <w:t>7</w:t>
      </w:r>
      <w:r>
        <w:rPr>
          <w:rFonts w:hint="eastAsia" w:ascii="宋体" w:hAnsi="宋体" w:cs="宋体"/>
          <w:color w:val="auto"/>
          <w:szCs w:val="21"/>
        </w:rPr>
        <w:t>）合同是否分包：□</w:t>
      </w:r>
      <w:r>
        <w:rPr>
          <w:rFonts w:hint="eastAsia" w:ascii="宋体" w:hAnsi="宋体" w:cs="宋体"/>
          <w:iCs/>
          <w:color w:val="auto"/>
          <w:szCs w:val="21"/>
        </w:rPr>
        <w:t xml:space="preserve">是       </w:t>
      </w:r>
      <w:r>
        <w:rPr>
          <w:rFonts w:hint="eastAsia" w:ascii="宋体" w:hAnsi="宋体" w:cs="宋体"/>
          <w:color w:val="auto"/>
          <w:szCs w:val="21"/>
        </w:rPr>
        <w:t>□</w:t>
      </w:r>
      <w:r>
        <w:rPr>
          <w:rFonts w:hint="eastAsia" w:ascii="宋体" w:hAnsi="宋体" w:cs="宋体"/>
          <w:iCs/>
          <w:color w:val="auto"/>
          <w:szCs w:val="21"/>
        </w:rPr>
        <w:t>否</w:t>
      </w:r>
    </w:p>
    <w:p w14:paraId="177AE0BF">
      <w:pPr>
        <w:adjustRightInd w:val="0"/>
        <w:snapToGrid w:val="0"/>
        <w:spacing w:line="400" w:lineRule="exact"/>
        <w:ind w:firstLine="420" w:firstLineChars="200"/>
        <w:rPr>
          <w:rFonts w:hint="eastAsia" w:ascii="宋体" w:hAnsi="宋体" w:cs="宋体"/>
          <w:color w:val="auto"/>
          <w:szCs w:val="21"/>
          <w:u w:val="single"/>
        </w:rPr>
      </w:pPr>
      <w:r>
        <w:rPr>
          <w:rFonts w:hint="eastAsia" w:ascii="宋体" w:hAnsi="宋体" w:cs="宋体"/>
          <w:color w:val="auto"/>
          <w:szCs w:val="21"/>
        </w:rPr>
        <w:t>分包主要内容</w:t>
      </w:r>
      <w:r>
        <w:rPr>
          <w:rFonts w:hint="eastAsia" w:ascii="宋体" w:hAnsi="宋体" w:cs="宋体"/>
          <w:color w:val="auto"/>
          <w:szCs w:val="21"/>
          <w:lang w:eastAsia="zh-CN"/>
        </w:rPr>
        <w:t>：</w:t>
      </w:r>
      <w:r>
        <w:rPr>
          <w:rFonts w:hint="eastAsia" w:ascii="宋体" w:hAnsi="宋体" w:cs="宋体"/>
          <w:color w:val="auto"/>
          <w:szCs w:val="21"/>
          <w:u w:val="single"/>
        </w:rPr>
        <w:t xml:space="preserve">                                           </w:t>
      </w:r>
    </w:p>
    <w:p w14:paraId="54A0A34B">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分包供应商/制造商名称（如供应商和制造商不同，请分别填写）：</w:t>
      </w:r>
    </w:p>
    <w:p w14:paraId="3211DE07">
      <w:pPr>
        <w:adjustRightInd w:val="0"/>
        <w:snapToGrid w:val="0"/>
        <w:spacing w:line="400" w:lineRule="exact"/>
        <w:ind w:firstLine="420" w:firstLineChars="200"/>
        <w:rPr>
          <w:rFonts w:hint="eastAsia" w:ascii="宋体" w:hAnsi="宋体" w:cs="宋体"/>
          <w:color w:val="auto"/>
          <w:szCs w:val="21"/>
          <w:u w:val="single"/>
        </w:rPr>
      </w:pPr>
      <w:r>
        <w:rPr>
          <w:rFonts w:hint="eastAsia" w:ascii="宋体" w:hAnsi="宋体" w:cs="宋体"/>
          <w:color w:val="auto"/>
          <w:szCs w:val="21"/>
          <w:u w:val="single"/>
        </w:rPr>
        <w:t xml:space="preserve">                                                          </w:t>
      </w:r>
    </w:p>
    <w:p w14:paraId="657E2E82">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分包供应商/制造商类型（如果供应商和制造商不同，只填写制造商类型）：</w:t>
      </w:r>
    </w:p>
    <w:p w14:paraId="5EE15ED2">
      <w:pPr>
        <w:adjustRightInd w:val="0"/>
        <w:snapToGrid w:val="0"/>
        <w:spacing w:line="400" w:lineRule="exact"/>
        <w:ind w:firstLine="420" w:firstLineChars="200"/>
        <w:rPr>
          <w:rFonts w:hint="eastAsia" w:ascii="宋体" w:hAnsi="宋体" w:cs="宋体"/>
          <w:iCs/>
          <w:color w:val="auto"/>
          <w:szCs w:val="21"/>
        </w:rPr>
      </w:pPr>
      <w:r>
        <w:rPr>
          <w:rFonts w:hint="eastAsia" w:ascii="宋体" w:hAnsi="宋体" w:cs="宋体"/>
          <w:color w:val="auto"/>
          <w:szCs w:val="21"/>
        </w:rPr>
        <w:t>□</w:t>
      </w:r>
      <w:r>
        <w:rPr>
          <w:rFonts w:hint="eastAsia" w:ascii="宋体" w:hAnsi="宋体" w:cs="宋体"/>
          <w:iCs/>
          <w:color w:val="auto"/>
          <w:szCs w:val="21"/>
        </w:rPr>
        <w:t xml:space="preserve">大型企业  </w:t>
      </w:r>
      <w:r>
        <w:rPr>
          <w:rFonts w:hint="eastAsia" w:ascii="宋体" w:hAnsi="宋体" w:cs="宋体"/>
          <w:color w:val="auto"/>
          <w:szCs w:val="21"/>
        </w:rPr>
        <w:t>□</w:t>
      </w:r>
      <w:r>
        <w:rPr>
          <w:rFonts w:hint="eastAsia" w:ascii="宋体" w:hAnsi="宋体" w:cs="宋体"/>
          <w:iCs/>
          <w:color w:val="auto"/>
          <w:szCs w:val="21"/>
        </w:rPr>
        <w:t xml:space="preserve">中型企业  </w:t>
      </w:r>
      <w:r>
        <w:rPr>
          <w:rFonts w:hint="eastAsia" w:ascii="宋体" w:hAnsi="宋体" w:cs="宋体"/>
          <w:color w:val="auto"/>
          <w:szCs w:val="21"/>
        </w:rPr>
        <w:t>□</w:t>
      </w:r>
      <w:r>
        <w:rPr>
          <w:rFonts w:hint="eastAsia" w:ascii="宋体" w:hAnsi="宋体" w:cs="宋体"/>
          <w:iCs/>
          <w:color w:val="auto"/>
          <w:szCs w:val="21"/>
        </w:rPr>
        <w:t>小微型企业</w:t>
      </w:r>
    </w:p>
    <w:p w14:paraId="154CBBF5">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iCs/>
          <w:color w:val="auto"/>
          <w:szCs w:val="21"/>
        </w:rPr>
        <w:t xml:space="preserve">残疾人福利性单位 </w:t>
      </w:r>
      <w:r>
        <w:rPr>
          <w:rFonts w:hint="eastAsia" w:ascii="宋体" w:hAnsi="宋体" w:cs="宋体"/>
          <w:color w:val="auto"/>
          <w:szCs w:val="21"/>
        </w:rPr>
        <w:t>□</w:t>
      </w:r>
      <w:r>
        <w:rPr>
          <w:rFonts w:hint="eastAsia" w:ascii="宋体" w:hAnsi="宋体" w:cs="宋体"/>
          <w:iCs/>
          <w:color w:val="auto"/>
          <w:szCs w:val="21"/>
        </w:rPr>
        <w:t xml:space="preserve">监狱企业 </w:t>
      </w:r>
      <w:r>
        <w:rPr>
          <w:rFonts w:hint="eastAsia" w:ascii="宋体" w:hAnsi="宋体" w:cs="宋体"/>
          <w:color w:val="auto"/>
          <w:szCs w:val="21"/>
        </w:rPr>
        <w:t>□</w:t>
      </w:r>
      <w:r>
        <w:rPr>
          <w:rFonts w:hint="eastAsia" w:ascii="宋体" w:hAnsi="宋体" w:cs="宋体"/>
          <w:iCs/>
          <w:color w:val="auto"/>
          <w:szCs w:val="21"/>
        </w:rPr>
        <w:t>其他</w:t>
      </w:r>
    </w:p>
    <w:p w14:paraId="6C024412">
      <w:pPr>
        <w:adjustRightInd w:val="0"/>
        <w:snapToGrid w:val="0"/>
        <w:spacing w:line="400" w:lineRule="exact"/>
        <w:ind w:firstLine="420" w:firstLineChars="200"/>
        <w:rPr>
          <w:rFonts w:hint="eastAsia" w:ascii="宋体" w:hAnsi="宋体" w:cs="宋体"/>
          <w:iCs/>
          <w:color w:val="auto"/>
          <w:szCs w:val="21"/>
        </w:rPr>
      </w:pPr>
      <w:r>
        <w:rPr>
          <w:rFonts w:hint="eastAsia" w:ascii="宋体" w:hAnsi="宋体" w:cs="宋体"/>
          <w:color w:val="auto"/>
          <w:szCs w:val="21"/>
        </w:rPr>
        <w:t>（</w:t>
      </w:r>
      <w:r>
        <w:rPr>
          <w:rFonts w:hint="eastAsia" w:ascii="宋体" w:hAnsi="宋体" w:cs="宋体"/>
          <w:color w:val="auto"/>
          <w:szCs w:val="21"/>
          <w:lang w:val="en"/>
        </w:rPr>
        <w:t>8</w:t>
      </w:r>
      <w:r>
        <w:rPr>
          <w:rFonts w:hint="eastAsia" w:ascii="宋体" w:hAnsi="宋体" w:cs="宋体"/>
          <w:color w:val="auto"/>
          <w:szCs w:val="21"/>
        </w:rPr>
        <w:t>）中标（成交）供应商是否为外商投资企业：□</w:t>
      </w:r>
      <w:r>
        <w:rPr>
          <w:rFonts w:hint="eastAsia" w:ascii="宋体" w:hAnsi="宋体" w:cs="宋体"/>
          <w:iCs/>
          <w:color w:val="auto"/>
          <w:szCs w:val="21"/>
        </w:rPr>
        <w:t xml:space="preserve">是       </w:t>
      </w:r>
      <w:r>
        <w:rPr>
          <w:rFonts w:hint="eastAsia" w:ascii="宋体" w:hAnsi="宋体" w:cs="宋体"/>
          <w:color w:val="auto"/>
          <w:szCs w:val="21"/>
        </w:rPr>
        <w:t>□</w:t>
      </w:r>
      <w:r>
        <w:rPr>
          <w:rFonts w:hint="eastAsia" w:ascii="宋体" w:hAnsi="宋体" w:cs="宋体"/>
          <w:iCs/>
          <w:color w:val="auto"/>
          <w:szCs w:val="21"/>
        </w:rPr>
        <w:t>否</w:t>
      </w:r>
    </w:p>
    <w:p w14:paraId="315FBE26">
      <w:pPr>
        <w:pStyle w:val="125"/>
        <w:tabs>
          <w:tab w:val="left" w:pos="1340"/>
        </w:tabs>
        <w:ind w:firstLine="420"/>
        <w:rPr>
          <w:rFonts w:hint="eastAsia" w:ascii="宋体" w:hAnsi="宋体" w:eastAsia="宋体" w:cs="宋体"/>
          <w:color w:val="auto"/>
          <w:sz w:val="21"/>
          <w:u w:val="single"/>
        </w:rPr>
      </w:pPr>
      <w:r>
        <w:rPr>
          <w:rFonts w:hint="eastAsia" w:ascii="宋体" w:hAnsi="宋体" w:eastAsia="宋体" w:cs="宋体"/>
          <w:color w:val="auto"/>
          <w:sz w:val="21"/>
        </w:rPr>
        <w:t>外商投资企业类型：□全部由外国投资者投资  □</w:t>
      </w:r>
      <w:r>
        <w:rPr>
          <w:rFonts w:hint="eastAsia" w:ascii="宋体" w:hAnsi="宋体" w:eastAsia="宋体" w:cs="宋体"/>
          <w:iCs/>
          <w:color w:val="auto"/>
          <w:sz w:val="21"/>
        </w:rPr>
        <w:t>部分由外国投资者投资</w:t>
      </w:r>
    </w:p>
    <w:p w14:paraId="3023BE81">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
        </w:rPr>
        <w:t>9</w:t>
      </w:r>
      <w:r>
        <w:rPr>
          <w:rFonts w:hint="eastAsia" w:ascii="宋体" w:hAnsi="宋体" w:cs="宋体"/>
          <w:color w:val="auto"/>
          <w:szCs w:val="21"/>
        </w:rPr>
        <w:t>）是否涉及进口产品：</w:t>
      </w:r>
    </w:p>
    <w:p w14:paraId="05312614">
      <w:pPr>
        <w:adjustRightInd w:val="0"/>
        <w:snapToGrid w:val="0"/>
        <w:spacing w:line="400" w:lineRule="exact"/>
        <w:ind w:firstLine="420" w:firstLineChars="200"/>
        <w:rPr>
          <w:rFonts w:hint="eastAsia" w:ascii="宋体" w:hAnsi="宋体" w:cs="宋体"/>
          <w:color w:val="auto"/>
          <w:szCs w:val="21"/>
          <w:u w:val="single"/>
        </w:rPr>
      </w:pPr>
      <w:r>
        <w:rPr>
          <w:rFonts w:hint="eastAsia" w:ascii="宋体" w:hAnsi="宋体" w:cs="宋体"/>
          <w:color w:val="auto"/>
          <w:szCs w:val="21"/>
        </w:rPr>
        <w:t>□是，《政府采购品目分类目录》底级品目名称</w:t>
      </w:r>
      <w:r>
        <w:rPr>
          <w:rFonts w:hint="eastAsia" w:ascii="宋体" w:hAnsi="宋体" w:cs="宋体"/>
          <w:color w:val="auto"/>
          <w:szCs w:val="21"/>
          <w:lang w:eastAsia="zh-CN"/>
        </w:rPr>
        <w:t>：</w:t>
      </w:r>
      <w:r>
        <w:rPr>
          <w:rFonts w:hint="eastAsia" w:ascii="宋体" w:hAnsi="宋体" w:cs="宋体"/>
          <w:color w:val="auto"/>
          <w:szCs w:val="21"/>
          <w:u w:val="single"/>
        </w:rPr>
        <w:t xml:space="preserve">        </w:t>
      </w:r>
      <w:r>
        <w:rPr>
          <w:rFonts w:hint="eastAsia" w:ascii="宋体" w:hAnsi="宋体" w:cs="宋体"/>
          <w:color w:val="auto"/>
          <w:szCs w:val="21"/>
        </w:rPr>
        <w:t xml:space="preserve"> 金额</w:t>
      </w:r>
      <w:r>
        <w:rPr>
          <w:rFonts w:hint="eastAsia" w:ascii="宋体" w:hAnsi="宋体" w:cs="宋体"/>
          <w:color w:val="auto"/>
          <w:szCs w:val="21"/>
          <w:lang w:eastAsia="zh-CN"/>
        </w:rPr>
        <w:t>：</w:t>
      </w:r>
      <w:r>
        <w:rPr>
          <w:rFonts w:hint="eastAsia" w:ascii="宋体" w:hAnsi="宋体" w:cs="宋体"/>
          <w:color w:val="auto"/>
          <w:szCs w:val="21"/>
          <w:u w:val="single"/>
        </w:rPr>
        <w:t xml:space="preserve">       </w:t>
      </w:r>
    </w:p>
    <w:p w14:paraId="7F2C0F13">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国别</w:t>
      </w:r>
      <w:r>
        <w:rPr>
          <w:rFonts w:hint="eastAsia" w:ascii="宋体" w:hAnsi="宋体" w:cs="宋体"/>
          <w:color w:val="auto"/>
          <w:szCs w:val="21"/>
          <w:lang w:eastAsia="zh-CN"/>
        </w:rPr>
        <w:t>：</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lang w:eastAsia="zh-CN"/>
        </w:rPr>
        <w:t>：</w:t>
      </w:r>
      <w:r>
        <w:rPr>
          <w:rFonts w:hint="eastAsia" w:ascii="宋体" w:hAnsi="宋体" w:cs="宋体"/>
          <w:color w:val="auto"/>
          <w:szCs w:val="21"/>
          <w:u w:val="single"/>
        </w:rPr>
        <w:t xml:space="preserve">       </w:t>
      </w:r>
      <w:r>
        <w:rPr>
          <w:rFonts w:hint="eastAsia" w:ascii="宋体" w:hAnsi="宋体" w:cs="宋体"/>
          <w:color w:val="auto"/>
          <w:szCs w:val="21"/>
        </w:rPr>
        <w:t xml:space="preserve"> 规格型号</w:t>
      </w:r>
      <w:r>
        <w:rPr>
          <w:rFonts w:hint="eastAsia" w:ascii="宋体" w:hAnsi="宋体" w:cs="宋体"/>
          <w:color w:val="auto"/>
          <w:szCs w:val="21"/>
          <w:lang w:eastAsia="zh-CN"/>
        </w:rPr>
        <w:t>：</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747F869D">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□否</w:t>
      </w:r>
    </w:p>
    <w:p w14:paraId="05C7F745">
      <w:pPr>
        <w:tabs>
          <w:tab w:val="left" w:pos="740"/>
        </w:tabs>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
        </w:rPr>
        <w:t>0</w:t>
      </w:r>
      <w:r>
        <w:rPr>
          <w:rFonts w:hint="eastAsia" w:ascii="宋体" w:hAnsi="宋体" w:cs="宋体"/>
          <w:color w:val="auto"/>
          <w:szCs w:val="21"/>
        </w:rPr>
        <w:t>）是否涉及节能产品：</w:t>
      </w:r>
    </w:p>
    <w:p w14:paraId="0A36319E">
      <w:pPr>
        <w:tabs>
          <w:tab w:val="left" w:pos="740"/>
        </w:tabs>
        <w:adjustRightInd w:val="0"/>
        <w:snapToGrid w:val="0"/>
        <w:spacing w:line="400" w:lineRule="exact"/>
        <w:ind w:firstLine="420" w:firstLineChars="200"/>
        <w:rPr>
          <w:rFonts w:hint="eastAsia" w:ascii="宋体" w:hAnsi="宋体" w:cs="宋体"/>
          <w:iCs/>
          <w:color w:val="auto"/>
          <w:szCs w:val="21"/>
        </w:rPr>
      </w:pPr>
      <w:r>
        <w:rPr>
          <w:rFonts w:hint="eastAsia" w:ascii="宋体" w:hAnsi="宋体" w:cs="宋体"/>
          <w:color w:val="auto"/>
          <w:szCs w:val="21"/>
        </w:rPr>
        <w:t>□是，《节能产品政府采购品目清单》的底级品目名称</w:t>
      </w:r>
      <w:r>
        <w:rPr>
          <w:rFonts w:hint="eastAsia" w:ascii="宋体" w:hAnsi="宋体" w:cs="宋体"/>
          <w:color w:val="auto"/>
          <w:szCs w:val="21"/>
          <w:lang w:eastAsia="zh-CN"/>
        </w:rPr>
        <w:t>：</w:t>
      </w:r>
      <w:r>
        <w:rPr>
          <w:rFonts w:hint="eastAsia" w:ascii="宋体" w:hAnsi="宋体" w:cs="宋体"/>
          <w:color w:val="auto"/>
          <w:szCs w:val="21"/>
          <w:u w:val="single"/>
        </w:rPr>
        <w:t xml:space="preserve">        </w:t>
      </w:r>
      <w:r>
        <w:rPr>
          <w:rFonts w:hint="eastAsia" w:ascii="宋体" w:hAnsi="宋体" w:cs="宋体"/>
          <w:iCs/>
          <w:color w:val="auto"/>
          <w:szCs w:val="21"/>
        </w:rPr>
        <w:t xml:space="preserve">     </w:t>
      </w:r>
    </w:p>
    <w:p w14:paraId="18E0BE21">
      <w:pPr>
        <w:tabs>
          <w:tab w:val="left" w:pos="740"/>
        </w:tabs>
        <w:adjustRightInd w:val="0"/>
        <w:snapToGrid w:val="0"/>
        <w:spacing w:line="400" w:lineRule="exact"/>
        <w:ind w:firstLine="420" w:firstLineChars="200"/>
        <w:rPr>
          <w:rFonts w:hint="eastAsia" w:ascii="宋体" w:hAnsi="宋体" w:cs="宋体"/>
          <w:iCs/>
          <w:color w:val="auto"/>
          <w:szCs w:val="21"/>
        </w:rPr>
      </w:pPr>
      <w:r>
        <w:rPr>
          <w:rFonts w:hint="eastAsia" w:ascii="宋体" w:hAnsi="宋体" w:cs="宋体"/>
          <w:color w:val="auto"/>
          <w:szCs w:val="21"/>
        </w:rPr>
        <w:t>□</w:t>
      </w:r>
      <w:r>
        <w:rPr>
          <w:rFonts w:hint="eastAsia" w:ascii="宋体" w:hAnsi="宋体" w:cs="宋体"/>
          <w:iCs/>
          <w:color w:val="auto"/>
          <w:szCs w:val="21"/>
        </w:rPr>
        <w:t xml:space="preserve">强制采购       </w:t>
      </w:r>
      <w:r>
        <w:rPr>
          <w:rFonts w:hint="eastAsia" w:ascii="宋体" w:hAnsi="宋体" w:cs="宋体"/>
          <w:color w:val="auto"/>
          <w:szCs w:val="21"/>
        </w:rPr>
        <w:t>□</w:t>
      </w:r>
      <w:r>
        <w:rPr>
          <w:rFonts w:hint="eastAsia" w:ascii="宋体" w:hAnsi="宋体" w:cs="宋体"/>
          <w:iCs/>
          <w:color w:val="auto"/>
          <w:szCs w:val="21"/>
        </w:rPr>
        <w:t xml:space="preserve">优先采购    </w:t>
      </w:r>
    </w:p>
    <w:p w14:paraId="1F4F27BE">
      <w:pPr>
        <w:tabs>
          <w:tab w:val="left" w:pos="740"/>
        </w:tabs>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□否</w:t>
      </w:r>
    </w:p>
    <w:p w14:paraId="5D48CA91">
      <w:pPr>
        <w:tabs>
          <w:tab w:val="left" w:pos="740"/>
        </w:tabs>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是否涉及环境标志产品：</w:t>
      </w:r>
    </w:p>
    <w:p w14:paraId="1528523B">
      <w:pPr>
        <w:tabs>
          <w:tab w:val="left" w:pos="740"/>
        </w:tabs>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□是，《环境标志产品政府采购品目清单》的底级品目名称</w:t>
      </w:r>
      <w:r>
        <w:rPr>
          <w:rFonts w:hint="eastAsia" w:ascii="宋体" w:hAnsi="宋体" w:cs="宋体"/>
          <w:color w:val="auto"/>
          <w:szCs w:val="21"/>
          <w:lang w:eastAsia="zh-CN"/>
        </w:rPr>
        <w:t>：</w:t>
      </w:r>
      <w:r>
        <w:rPr>
          <w:rFonts w:hint="eastAsia" w:ascii="宋体" w:hAnsi="宋体" w:cs="宋体"/>
          <w:color w:val="auto"/>
          <w:szCs w:val="21"/>
          <w:u w:val="single"/>
        </w:rPr>
        <w:t xml:space="preserve">        </w:t>
      </w:r>
      <w:r>
        <w:rPr>
          <w:rFonts w:hint="eastAsia" w:ascii="宋体" w:hAnsi="宋体" w:cs="宋体"/>
          <w:iCs/>
          <w:color w:val="auto"/>
          <w:szCs w:val="21"/>
        </w:rPr>
        <w:t xml:space="preserve"> </w:t>
      </w:r>
    </w:p>
    <w:p w14:paraId="6D5428EF">
      <w:pPr>
        <w:tabs>
          <w:tab w:val="left" w:pos="740"/>
        </w:tabs>
        <w:adjustRightInd w:val="0"/>
        <w:snapToGrid w:val="0"/>
        <w:spacing w:line="400" w:lineRule="exact"/>
        <w:ind w:firstLine="420" w:firstLineChars="200"/>
        <w:rPr>
          <w:rFonts w:hint="eastAsia" w:ascii="宋体" w:hAnsi="宋体" w:cs="宋体"/>
          <w:iCs/>
          <w:color w:val="auto"/>
          <w:szCs w:val="21"/>
        </w:rPr>
      </w:pPr>
      <w:r>
        <w:rPr>
          <w:rFonts w:hint="eastAsia" w:ascii="宋体" w:hAnsi="宋体" w:cs="宋体"/>
          <w:color w:val="auto"/>
          <w:szCs w:val="21"/>
        </w:rPr>
        <w:t>□</w:t>
      </w:r>
      <w:r>
        <w:rPr>
          <w:rFonts w:hint="eastAsia" w:ascii="宋体" w:hAnsi="宋体" w:cs="宋体"/>
          <w:iCs/>
          <w:color w:val="auto"/>
          <w:szCs w:val="21"/>
        </w:rPr>
        <w:t xml:space="preserve">强制采购       </w:t>
      </w:r>
      <w:r>
        <w:rPr>
          <w:rFonts w:hint="eastAsia" w:ascii="宋体" w:hAnsi="宋体" w:cs="宋体"/>
          <w:color w:val="auto"/>
          <w:szCs w:val="21"/>
        </w:rPr>
        <w:t>□</w:t>
      </w:r>
      <w:r>
        <w:rPr>
          <w:rFonts w:hint="eastAsia" w:ascii="宋体" w:hAnsi="宋体" w:cs="宋体"/>
          <w:iCs/>
          <w:color w:val="auto"/>
          <w:szCs w:val="21"/>
        </w:rPr>
        <w:t xml:space="preserve">优先采购    </w:t>
      </w:r>
    </w:p>
    <w:p w14:paraId="7218942D">
      <w:pPr>
        <w:tabs>
          <w:tab w:val="left" w:pos="740"/>
        </w:tabs>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□否</w:t>
      </w:r>
    </w:p>
    <w:p w14:paraId="6D5DED57">
      <w:pPr>
        <w:pStyle w:val="125"/>
        <w:snapToGrid w:val="0"/>
        <w:ind w:firstLine="420"/>
        <w:rPr>
          <w:rFonts w:hint="eastAsia" w:ascii="宋体" w:hAnsi="宋体" w:eastAsia="宋体" w:cs="宋体"/>
          <w:color w:val="auto"/>
          <w:kern w:val="2"/>
          <w:sz w:val="21"/>
          <w:lang w:eastAsia="zh-CN"/>
        </w:rPr>
      </w:pPr>
      <w:r>
        <w:rPr>
          <w:rFonts w:hint="eastAsia" w:ascii="宋体" w:hAnsi="宋体" w:eastAsia="宋体" w:cs="宋体"/>
          <w:color w:val="auto"/>
          <w:kern w:val="2"/>
          <w:sz w:val="21"/>
        </w:rPr>
        <w:t>是否涉及绿色产品</w:t>
      </w:r>
      <w:r>
        <w:rPr>
          <w:rFonts w:hint="eastAsia" w:ascii="宋体" w:hAnsi="宋体" w:eastAsia="宋体" w:cs="宋体"/>
          <w:color w:val="auto"/>
          <w:kern w:val="2"/>
          <w:sz w:val="21"/>
          <w:lang w:eastAsia="zh-CN"/>
        </w:rPr>
        <w:t>：</w:t>
      </w:r>
    </w:p>
    <w:p w14:paraId="39D98230">
      <w:pPr>
        <w:pStyle w:val="125"/>
        <w:ind w:firstLine="420"/>
        <w:rPr>
          <w:rFonts w:hint="eastAsia" w:ascii="宋体" w:hAnsi="宋体" w:eastAsia="宋体" w:cs="宋体"/>
          <w:color w:val="auto"/>
          <w:sz w:val="21"/>
          <w:u w:val="single"/>
        </w:rPr>
      </w:pPr>
      <w:r>
        <w:rPr>
          <w:rFonts w:hint="eastAsia" w:ascii="宋体" w:hAnsi="宋体" w:eastAsia="宋体" w:cs="宋体"/>
          <w:color w:val="auto"/>
          <w:sz w:val="21"/>
        </w:rPr>
        <w:t>□</w:t>
      </w:r>
      <w:r>
        <w:rPr>
          <w:rFonts w:hint="eastAsia" w:ascii="宋体" w:hAnsi="宋体" w:eastAsia="宋体" w:cs="宋体"/>
          <w:color w:val="auto"/>
          <w:kern w:val="2"/>
          <w:sz w:val="21"/>
        </w:rPr>
        <w:t>是，绿色产品政府采购相关政策确定的底级品目名称</w:t>
      </w:r>
      <w:r>
        <w:rPr>
          <w:rFonts w:hint="eastAsia" w:ascii="宋体" w:hAnsi="宋体" w:eastAsia="宋体" w:cs="宋体"/>
          <w:color w:val="auto"/>
          <w:kern w:val="2"/>
          <w:sz w:val="21"/>
          <w:lang w:eastAsia="zh-CN"/>
        </w:rPr>
        <w:t>：</w:t>
      </w:r>
      <w:r>
        <w:rPr>
          <w:rFonts w:hint="eastAsia" w:ascii="宋体" w:hAnsi="宋体" w:eastAsia="宋体" w:cs="宋体"/>
          <w:color w:val="auto"/>
          <w:sz w:val="21"/>
          <w:u w:val="single"/>
        </w:rPr>
        <w:t xml:space="preserve">        </w:t>
      </w:r>
    </w:p>
    <w:p w14:paraId="24139B23">
      <w:pPr>
        <w:tabs>
          <w:tab w:val="left" w:pos="740"/>
        </w:tabs>
        <w:adjustRightInd w:val="0"/>
        <w:snapToGrid w:val="0"/>
        <w:spacing w:line="400" w:lineRule="exact"/>
        <w:ind w:firstLine="420" w:firstLineChars="200"/>
        <w:rPr>
          <w:rFonts w:hint="eastAsia" w:ascii="宋体" w:hAnsi="宋体" w:cs="宋体"/>
          <w:iCs/>
          <w:color w:val="auto"/>
          <w:szCs w:val="21"/>
        </w:rPr>
      </w:pPr>
      <w:r>
        <w:rPr>
          <w:rFonts w:hint="eastAsia" w:ascii="宋体" w:hAnsi="宋体" w:cs="宋体"/>
          <w:color w:val="auto"/>
          <w:szCs w:val="21"/>
        </w:rPr>
        <w:t>□</w:t>
      </w:r>
      <w:r>
        <w:rPr>
          <w:rFonts w:hint="eastAsia" w:ascii="宋体" w:hAnsi="宋体" w:cs="宋体"/>
          <w:iCs/>
          <w:color w:val="auto"/>
          <w:szCs w:val="21"/>
        </w:rPr>
        <w:t xml:space="preserve">强制采购       </w:t>
      </w:r>
      <w:r>
        <w:rPr>
          <w:rFonts w:hint="eastAsia" w:ascii="宋体" w:hAnsi="宋体" w:cs="宋体"/>
          <w:color w:val="auto"/>
          <w:szCs w:val="21"/>
        </w:rPr>
        <w:t>□</w:t>
      </w:r>
      <w:r>
        <w:rPr>
          <w:rFonts w:hint="eastAsia" w:ascii="宋体" w:hAnsi="宋体" w:cs="宋体"/>
          <w:iCs/>
          <w:color w:val="auto"/>
          <w:szCs w:val="21"/>
        </w:rPr>
        <w:t xml:space="preserve">优先采购    </w:t>
      </w:r>
    </w:p>
    <w:p w14:paraId="4C307F30">
      <w:pPr>
        <w:pStyle w:val="125"/>
        <w:ind w:firstLine="420"/>
        <w:rPr>
          <w:rFonts w:hint="eastAsia" w:ascii="宋体" w:hAnsi="宋体" w:eastAsia="宋体" w:cs="宋体"/>
          <w:color w:val="auto"/>
          <w:sz w:val="21"/>
        </w:rPr>
      </w:pPr>
      <w:r>
        <w:rPr>
          <w:rFonts w:hint="eastAsia" w:ascii="宋体" w:hAnsi="宋体" w:eastAsia="宋体" w:cs="宋体"/>
          <w:color w:val="auto"/>
          <w:sz w:val="21"/>
        </w:rPr>
        <w:t>□</w:t>
      </w:r>
      <w:r>
        <w:rPr>
          <w:rFonts w:hint="eastAsia" w:ascii="宋体" w:hAnsi="宋体" w:eastAsia="宋体" w:cs="宋体"/>
          <w:color w:val="auto"/>
          <w:kern w:val="2"/>
          <w:sz w:val="21"/>
        </w:rPr>
        <w:t>否</w:t>
      </w:r>
    </w:p>
    <w:p w14:paraId="13AF4CF3">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
        </w:rPr>
        <w:t>1</w:t>
      </w:r>
      <w:r>
        <w:rPr>
          <w:rFonts w:hint="eastAsia" w:ascii="宋体" w:hAnsi="宋体" w:cs="宋体"/>
          <w:color w:val="auto"/>
          <w:szCs w:val="21"/>
        </w:rPr>
        <w:t>）涉及商品包装和快递包装的，是否参考《商品包装政府采购需求标准（试行）》、《快递包装政府采购需求标准（试行）》明确产品及相关快递服务的具体包装要求：</w:t>
      </w:r>
    </w:p>
    <w:p w14:paraId="231C286F">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□是       □否      □不涉及</w:t>
      </w:r>
    </w:p>
    <w:p w14:paraId="547F6B38">
      <w:pPr>
        <w:adjustRightInd w:val="0"/>
        <w:snapToGrid w:val="0"/>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2.合同金额</w:t>
      </w:r>
    </w:p>
    <w:p w14:paraId="24DB7BA2">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（1）合同金额小写</w:t>
      </w:r>
      <w:r>
        <w:rPr>
          <w:rFonts w:hint="eastAsia" w:ascii="宋体" w:hAnsi="宋体" w:cs="宋体"/>
          <w:color w:val="auto"/>
          <w:szCs w:val="21"/>
          <w:lang w:eastAsia="zh-CN"/>
        </w:rPr>
        <w:t>：</w:t>
      </w:r>
      <w:r>
        <w:rPr>
          <w:rFonts w:hint="eastAsia" w:ascii="宋体" w:hAnsi="宋体" w:cs="宋体"/>
          <w:color w:val="auto"/>
          <w:szCs w:val="21"/>
          <w:u w:val="single"/>
        </w:rPr>
        <w:t xml:space="preserve">                          </w:t>
      </w:r>
    </w:p>
    <w:p w14:paraId="3227B2D6">
      <w:pPr>
        <w:adjustRightInd w:val="0"/>
        <w:snapToGrid w:val="0"/>
        <w:spacing w:line="400" w:lineRule="exact"/>
        <w:ind w:firstLine="420" w:firstLineChars="200"/>
        <w:rPr>
          <w:rFonts w:hint="eastAsia" w:ascii="宋体" w:hAnsi="宋体" w:cs="宋体"/>
          <w:color w:val="auto"/>
          <w:szCs w:val="21"/>
          <w:u w:val="single"/>
        </w:rPr>
      </w:pPr>
      <w:r>
        <w:rPr>
          <w:rFonts w:hint="eastAsia" w:ascii="宋体" w:hAnsi="宋体" w:cs="宋体"/>
          <w:color w:val="auto"/>
          <w:szCs w:val="21"/>
        </w:rPr>
        <w:t>大写</w:t>
      </w:r>
      <w:r>
        <w:rPr>
          <w:rFonts w:hint="eastAsia" w:ascii="宋体" w:hAnsi="宋体" w:cs="宋体"/>
          <w:color w:val="auto"/>
          <w:szCs w:val="21"/>
          <w:lang w:eastAsia="zh-CN"/>
        </w:rPr>
        <w:t>：</w:t>
      </w:r>
      <w:r>
        <w:rPr>
          <w:rFonts w:hint="eastAsia" w:ascii="宋体" w:hAnsi="宋体" w:cs="宋体"/>
          <w:color w:val="auto"/>
          <w:szCs w:val="21"/>
          <w:u w:val="single"/>
        </w:rPr>
        <w:t xml:space="preserve">                          </w:t>
      </w:r>
    </w:p>
    <w:p w14:paraId="6898EDE1">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分包金额（如有）小写</w:t>
      </w:r>
      <w:r>
        <w:rPr>
          <w:rFonts w:hint="eastAsia" w:ascii="宋体" w:hAnsi="宋体" w:cs="宋体"/>
          <w:color w:val="auto"/>
          <w:szCs w:val="21"/>
          <w:lang w:eastAsia="zh-CN"/>
        </w:rPr>
        <w:t>：</w:t>
      </w:r>
      <w:r>
        <w:rPr>
          <w:rFonts w:hint="eastAsia" w:ascii="宋体" w:hAnsi="宋体" w:cs="宋体"/>
          <w:color w:val="auto"/>
          <w:szCs w:val="21"/>
          <w:u w:val="single"/>
        </w:rPr>
        <w:t xml:space="preserve">                  </w:t>
      </w:r>
    </w:p>
    <w:p w14:paraId="3A8077BA">
      <w:pPr>
        <w:adjustRightInd w:val="0"/>
        <w:snapToGrid w:val="0"/>
        <w:spacing w:line="400" w:lineRule="exact"/>
        <w:ind w:firstLine="420" w:firstLineChars="200"/>
        <w:rPr>
          <w:rFonts w:hint="eastAsia" w:ascii="宋体" w:hAnsi="宋体" w:cs="宋体"/>
          <w:color w:val="auto"/>
          <w:szCs w:val="21"/>
          <w:u w:val="single"/>
        </w:rPr>
      </w:pPr>
      <w:r>
        <w:rPr>
          <w:rFonts w:hint="eastAsia" w:ascii="宋体" w:hAnsi="宋体" w:cs="宋体"/>
          <w:color w:val="auto"/>
          <w:szCs w:val="21"/>
        </w:rPr>
        <w:t>大写</w:t>
      </w:r>
      <w:r>
        <w:rPr>
          <w:rFonts w:hint="eastAsia" w:ascii="宋体" w:hAnsi="宋体" w:cs="宋体"/>
          <w:color w:val="auto"/>
          <w:szCs w:val="21"/>
          <w:lang w:eastAsia="zh-CN"/>
        </w:rPr>
        <w:t>：</w:t>
      </w:r>
      <w:r>
        <w:rPr>
          <w:rFonts w:hint="eastAsia" w:ascii="宋体" w:hAnsi="宋体" w:cs="宋体"/>
          <w:color w:val="auto"/>
          <w:szCs w:val="21"/>
          <w:u w:val="single"/>
        </w:rPr>
        <w:t xml:space="preserve">                      </w:t>
      </w:r>
    </w:p>
    <w:p w14:paraId="7B097BD3">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（注：固定单价合同应填写单价和最高限价）</w:t>
      </w:r>
    </w:p>
    <w:p w14:paraId="3051D599">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（2）合同定价方式（采用组合定价方式的，可以勾选多项）：</w:t>
      </w:r>
    </w:p>
    <w:p w14:paraId="4BB2C7BB">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iCs/>
          <w:color w:val="auto"/>
          <w:szCs w:val="21"/>
        </w:rPr>
        <w:t xml:space="preserve">固定总价 </w:t>
      </w:r>
      <w:r>
        <w:rPr>
          <w:rFonts w:hint="eastAsia" w:ascii="宋体" w:hAnsi="宋体" w:cs="宋体"/>
          <w:color w:val="auto"/>
          <w:szCs w:val="21"/>
        </w:rPr>
        <w:t>□</w:t>
      </w:r>
      <w:r>
        <w:rPr>
          <w:rFonts w:hint="eastAsia" w:ascii="宋体" w:hAnsi="宋体" w:cs="宋体"/>
          <w:iCs/>
          <w:color w:val="auto"/>
          <w:szCs w:val="21"/>
        </w:rPr>
        <w:t xml:space="preserve">固定单价 </w:t>
      </w:r>
      <w:r>
        <w:rPr>
          <w:rFonts w:hint="eastAsia" w:ascii="宋体" w:hAnsi="宋体" w:cs="宋体"/>
          <w:color w:val="auto"/>
          <w:szCs w:val="21"/>
        </w:rPr>
        <w:t>□</w:t>
      </w:r>
      <w:r>
        <w:rPr>
          <w:rFonts w:hint="eastAsia" w:ascii="宋体" w:hAnsi="宋体" w:cs="宋体"/>
          <w:iCs/>
          <w:color w:val="auto"/>
          <w:szCs w:val="21"/>
        </w:rPr>
        <w:t xml:space="preserve">固定费率 </w:t>
      </w:r>
      <w:r>
        <w:rPr>
          <w:rFonts w:hint="eastAsia" w:ascii="宋体" w:hAnsi="宋体" w:cs="宋体"/>
          <w:color w:val="auto"/>
          <w:szCs w:val="21"/>
        </w:rPr>
        <w:t>□</w:t>
      </w:r>
      <w:r>
        <w:rPr>
          <w:rFonts w:hint="eastAsia" w:ascii="宋体" w:hAnsi="宋体" w:cs="宋体"/>
          <w:iCs/>
          <w:color w:val="auto"/>
          <w:szCs w:val="21"/>
        </w:rPr>
        <w:t xml:space="preserve">成本补偿 </w:t>
      </w:r>
      <w:r>
        <w:rPr>
          <w:rFonts w:hint="eastAsia" w:ascii="宋体" w:hAnsi="宋体" w:cs="宋体"/>
          <w:color w:val="auto"/>
          <w:szCs w:val="21"/>
        </w:rPr>
        <w:t>□</w:t>
      </w:r>
      <w:r>
        <w:rPr>
          <w:rFonts w:hint="eastAsia" w:ascii="宋体" w:hAnsi="宋体" w:cs="宋体"/>
          <w:iCs/>
          <w:color w:val="auto"/>
          <w:szCs w:val="21"/>
        </w:rPr>
        <w:t xml:space="preserve">绩效激励 </w:t>
      </w:r>
      <w:r>
        <w:rPr>
          <w:rFonts w:hint="eastAsia" w:ascii="宋体" w:hAnsi="宋体" w:cs="宋体"/>
          <w:color w:val="auto"/>
          <w:szCs w:val="21"/>
        </w:rPr>
        <w:t>□</w:t>
      </w:r>
      <w:r>
        <w:rPr>
          <w:rFonts w:hint="eastAsia" w:ascii="宋体" w:hAnsi="宋体" w:cs="宋体"/>
          <w:iCs/>
          <w:color w:val="auto"/>
          <w:szCs w:val="21"/>
        </w:rPr>
        <w:t>其他</w:t>
      </w:r>
      <w:r>
        <w:rPr>
          <w:rFonts w:hint="eastAsia" w:ascii="宋体" w:hAnsi="宋体" w:cs="宋体"/>
          <w:color w:val="auto"/>
          <w:szCs w:val="21"/>
          <w:u w:val="single"/>
        </w:rPr>
        <w:t xml:space="preserve">       </w:t>
      </w:r>
    </w:p>
    <w:p w14:paraId="4B27C242">
      <w:pPr>
        <w:pStyle w:val="126"/>
        <w:spacing w:before="0" w:beforeAutospacing="0" w:after="0" w:afterAutospacing="0" w:line="400" w:lineRule="exact"/>
        <w:rPr>
          <w:rFonts w:hint="eastAsia" w:ascii="宋体" w:hAnsi="宋体" w:cs="宋体"/>
          <w:color w:val="auto"/>
          <w:szCs w:val="21"/>
        </w:rPr>
      </w:pPr>
      <w:r>
        <w:rPr>
          <w:rFonts w:hint="eastAsia" w:ascii="宋体" w:hAnsi="宋体" w:cs="宋体"/>
          <w:color w:val="auto"/>
          <w:szCs w:val="21"/>
        </w:rPr>
        <w:t>（3）付款方式：</w:t>
      </w:r>
    </w:p>
    <w:p w14:paraId="24DD1A28">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分期付款：</w:t>
      </w:r>
      <w:r>
        <w:rPr>
          <w:rFonts w:hint="eastAsia" w:ascii="宋体" w:hAnsi="宋体" w:cs="宋体"/>
          <w:color w:val="auto"/>
          <w:szCs w:val="21"/>
          <w:u w:val="single"/>
        </w:rPr>
        <w:t>项目验收合格正常使用后，</w:t>
      </w:r>
      <w:r>
        <w:rPr>
          <w:rFonts w:hint="eastAsia" w:ascii="宋体" w:hAnsi="宋体" w:cs="宋体"/>
          <w:color w:val="auto"/>
          <w:szCs w:val="21"/>
          <w:u w:val="single"/>
          <w:lang w:eastAsia="zh-CN"/>
        </w:rPr>
        <w:t>乙方</w:t>
      </w:r>
      <w:r>
        <w:rPr>
          <w:rFonts w:hint="eastAsia" w:ascii="宋体" w:hAnsi="宋体" w:cs="宋体"/>
          <w:color w:val="auto"/>
          <w:szCs w:val="21"/>
          <w:u w:val="single"/>
        </w:rPr>
        <w:t>10日内开具全额发票给</w:t>
      </w:r>
      <w:r>
        <w:rPr>
          <w:rFonts w:hint="eastAsia" w:ascii="宋体" w:hAnsi="宋体" w:cs="宋体"/>
          <w:color w:val="auto"/>
          <w:szCs w:val="21"/>
          <w:u w:val="single"/>
          <w:lang w:eastAsia="zh-CN"/>
        </w:rPr>
        <w:t>甲方</w:t>
      </w:r>
      <w:r>
        <w:rPr>
          <w:rFonts w:hint="eastAsia" w:ascii="宋体" w:hAnsi="宋体" w:cs="宋体"/>
          <w:color w:val="auto"/>
          <w:szCs w:val="21"/>
          <w:u w:val="single"/>
        </w:rPr>
        <w:t>，</w:t>
      </w:r>
      <w:r>
        <w:rPr>
          <w:rFonts w:hint="eastAsia" w:ascii="宋体" w:hAnsi="宋体" w:cs="宋体"/>
          <w:color w:val="auto"/>
          <w:szCs w:val="21"/>
          <w:u w:val="single"/>
          <w:lang w:eastAsia="zh-CN"/>
        </w:rPr>
        <w:t>甲方自收到发票之日起</w:t>
      </w:r>
      <w:r>
        <w:rPr>
          <w:rFonts w:hint="eastAsia" w:ascii="宋体" w:hAnsi="宋体" w:cs="宋体"/>
          <w:color w:val="auto"/>
          <w:szCs w:val="21"/>
          <w:u w:val="single"/>
          <w:lang w:val="en-US" w:eastAsia="zh-CN"/>
        </w:rPr>
        <w:t>12</w:t>
      </w:r>
      <w:r>
        <w:rPr>
          <w:rFonts w:hint="eastAsia" w:ascii="宋体" w:hAnsi="宋体" w:cs="宋体"/>
          <w:color w:val="auto"/>
          <w:szCs w:val="21"/>
          <w:u w:val="single"/>
        </w:rPr>
        <w:t>个月内平均支付完</w:t>
      </w:r>
      <w:r>
        <w:rPr>
          <w:rFonts w:hint="eastAsia" w:ascii="宋体" w:hAnsi="宋体" w:cs="宋体"/>
          <w:color w:val="auto"/>
          <w:szCs w:val="21"/>
          <w:u w:val="single"/>
          <w:lang w:eastAsia="zh-CN"/>
        </w:rPr>
        <w:t>合同</w:t>
      </w:r>
      <w:r>
        <w:rPr>
          <w:rFonts w:hint="eastAsia" w:ascii="宋体" w:hAnsi="宋体" w:cs="宋体"/>
          <w:color w:val="auto"/>
          <w:szCs w:val="21"/>
          <w:u w:val="single"/>
        </w:rPr>
        <w:t>金额的100%</w:t>
      </w:r>
      <w:r>
        <w:rPr>
          <w:rFonts w:hint="eastAsia" w:ascii="宋体" w:hAnsi="宋体" w:cs="宋体"/>
          <w:color w:val="auto"/>
          <w:szCs w:val="21"/>
        </w:rPr>
        <w:t>，其中涉及预付款的</w:t>
      </w:r>
      <w:r>
        <w:rPr>
          <w:rFonts w:hint="eastAsia" w:ascii="宋体" w:hAnsi="宋体" w:cs="宋体"/>
          <w:color w:val="auto"/>
          <w:szCs w:val="21"/>
          <w:lang w:eastAsia="zh-CN"/>
        </w:rPr>
        <w:t>：</w:t>
      </w:r>
      <w:r>
        <w:rPr>
          <w:rFonts w:hint="eastAsia" w:ascii="宋体" w:hAnsi="宋体" w:cs="宋体"/>
          <w:color w:val="auto"/>
          <w:szCs w:val="21"/>
          <w:u w:val="single"/>
          <w:lang w:eastAsia="zh-CN"/>
        </w:rPr>
        <w:t>无</w:t>
      </w:r>
      <w:r>
        <w:rPr>
          <w:rFonts w:hint="eastAsia" w:ascii="宋体" w:hAnsi="宋体" w:cs="宋体"/>
          <w:color w:val="auto"/>
          <w:szCs w:val="21"/>
          <w:u w:val="single"/>
        </w:rPr>
        <w:t xml:space="preserve"> </w:t>
      </w:r>
    </w:p>
    <w:p w14:paraId="226E7373">
      <w:pPr>
        <w:adjustRightInd w:val="0"/>
        <w:snapToGrid w:val="0"/>
        <w:spacing w:line="400" w:lineRule="exact"/>
        <w:ind w:firstLine="422" w:firstLineChars="200"/>
        <w:rPr>
          <w:rFonts w:hint="eastAsia" w:ascii="宋体" w:hAnsi="宋体" w:cs="宋体"/>
          <w:b/>
          <w:color w:val="auto"/>
          <w:szCs w:val="21"/>
          <w:u w:val="single"/>
        </w:rPr>
      </w:pPr>
      <w:r>
        <w:rPr>
          <w:rFonts w:hint="eastAsia" w:ascii="宋体" w:hAnsi="宋体" w:cs="宋体"/>
          <w:b/>
          <w:color w:val="auto"/>
          <w:szCs w:val="21"/>
        </w:rPr>
        <w:t>3.合同履行</w:t>
      </w:r>
    </w:p>
    <w:p w14:paraId="4B618838">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交付使用期：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w:t>
      </w:r>
    </w:p>
    <w:p w14:paraId="0BAD10FF">
      <w:pPr>
        <w:adjustRightInd w:val="0"/>
        <w:snapToGrid w:val="0"/>
        <w:spacing w:line="400" w:lineRule="exact"/>
        <w:ind w:firstLine="420" w:firstLineChars="200"/>
        <w:rPr>
          <w:rFonts w:hint="eastAsia"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lang w:eastAsia="zh-CN"/>
        </w:rPr>
        <w:t>：</w:t>
      </w:r>
      <w:r>
        <w:rPr>
          <w:rFonts w:hint="eastAsia" w:ascii="宋体" w:hAnsi="宋体" w:cs="宋体"/>
          <w:color w:val="auto"/>
          <w:szCs w:val="21"/>
          <w:u w:val="single"/>
        </w:rPr>
        <w:t xml:space="preserve">                            </w:t>
      </w:r>
    </w:p>
    <w:p w14:paraId="336990AA">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szCs w:val="21"/>
        </w:rPr>
        <w:t>是否收取履约保证金：□是    □否</w:t>
      </w:r>
    </w:p>
    <w:p w14:paraId="76658E80">
      <w:pPr>
        <w:pStyle w:val="125"/>
        <w:ind w:firstLine="420"/>
        <w:rPr>
          <w:rFonts w:hint="eastAsia" w:ascii="宋体" w:hAnsi="宋体" w:eastAsia="宋体" w:cs="宋体"/>
          <w:color w:val="auto"/>
          <w:sz w:val="21"/>
        </w:rPr>
      </w:pPr>
      <w:r>
        <w:rPr>
          <w:rFonts w:hint="eastAsia" w:ascii="宋体" w:hAnsi="宋体" w:eastAsia="宋体" w:cs="宋体"/>
          <w:color w:val="auto"/>
          <w:sz w:val="21"/>
        </w:rPr>
        <w:t>收取履约保证金形式</w:t>
      </w:r>
      <w:r>
        <w:rPr>
          <w:rFonts w:hint="eastAsia" w:ascii="宋体" w:hAnsi="宋体" w:eastAsia="宋体" w:cs="宋体"/>
          <w:color w:val="auto"/>
          <w:sz w:val="21"/>
          <w:lang w:eastAsia="zh-CN"/>
        </w:rPr>
        <w:t>：</w:t>
      </w:r>
      <w:r>
        <w:rPr>
          <w:rFonts w:hint="eastAsia" w:ascii="宋体" w:hAnsi="宋体" w:eastAsia="宋体" w:cs="宋体"/>
          <w:bCs/>
          <w:color w:val="auto"/>
          <w:sz w:val="21"/>
          <w:u w:val="single"/>
        </w:rPr>
        <w:t xml:space="preserve">                           </w:t>
      </w:r>
    </w:p>
    <w:p w14:paraId="2427AF04">
      <w:pPr>
        <w:pStyle w:val="125"/>
        <w:ind w:firstLine="420"/>
        <w:rPr>
          <w:rFonts w:hint="eastAsia" w:ascii="宋体" w:hAnsi="宋体" w:eastAsia="宋体" w:cs="宋体"/>
          <w:color w:val="auto"/>
          <w:sz w:val="21"/>
        </w:rPr>
      </w:pPr>
      <w:r>
        <w:rPr>
          <w:rFonts w:hint="eastAsia" w:ascii="宋体" w:hAnsi="宋体" w:eastAsia="宋体" w:cs="宋体"/>
          <w:color w:val="auto"/>
          <w:sz w:val="21"/>
        </w:rPr>
        <w:t>收取履约保证金金额</w:t>
      </w:r>
      <w:r>
        <w:rPr>
          <w:rFonts w:hint="eastAsia" w:ascii="宋体" w:hAnsi="宋体" w:eastAsia="宋体" w:cs="宋体"/>
          <w:color w:val="auto"/>
          <w:sz w:val="21"/>
          <w:lang w:eastAsia="zh-CN"/>
        </w:rPr>
        <w:t>：</w:t>
      </w:r>
      <w:r>
        <w:rPr>
          <w:rFonts w:hint="eastAsia" w:ascii="宋体" w:hAnsi="宋体" w:eastAsia="宋体" w:cs="宋体"/>
          <w:bCs/>
          <w:color w:val="auto"/>
          <w:sz w:val="21"/>
          <w:u w:val="single"/>
        </w:rPr>
        <w:t xml:space="preserve">                           </w:t>
      </w:r>
    </w:p>
    <w:p w14:paraId="750EE5CB">
      <w:pPr>
        <w:snapToGrid w:val="0"/>
        <w:spacing w:line="400" w:lineRule="exact"/>
        <w:ind w:firstLine="420" w:firstLineChars="200"/>
        <w:rPr>
          <w:rFonts w:hint="eastAsia" w:ascii="宋体" w:hAnsi="宋体" w:cs="宋体"/>
          <w:color w:val="auto"/>
          <w:szCs w:val="21"/>
        </w:rPr>
      </w:pPr>
      <w:r>
        <w:rPr>
          <w:rFonts w:hint="eastAsia" w:ascii="宋体" w:hAnsi="宋体" w:cs="宋体"/>
          <w:bCs/>
          <w:color w:val="auto"/>
          <w:szCs w:val="21"/>
        </w:rPr>
        <w:t>履约担保期限</w:t>
      </w:r>
      <w:r>
        <w:rPr>
          <w:rFonts w:hint="eastAsia" w:ascii="宋体" w:hAnsi="宋体" w:cs="宋体"/>
          <w:bCs/>
          <w:color w:val="auto"/>
          <w:szCs w:val="21"/>
          <w:lang w:eastAsia="zh-CN"/>
        </w:rPr>
        <w:t>：</w:t>
      </w:r>
      <w:r>
        <w:rPr>
          <w:rFonts w:hint="eastAsia" w:ascii="宋体" w:hAnsi="宋体" w:cs="宋体"/>
          <w:bCs/>
          <w:color w:val="auto"/>
          <w:szCs w:val="21"/>
          <w:u w:val="single"/>
        </w:rPr>
        <w:t xml:space="preserve">                                 </w:t>
      </w:r>
    </w:p>
    <w:p w14:paraId="715D3E06">
      <w:pPr>
        <w:adjustRightInd w:val="0"/>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lang w:eastAsia="zh-CN"/>
        </w:rPr>
        <w:t>：</w:t>
      </w:r>
      <w:r>
        <w:rPr>
          <w:rFonts w:hint="eastAsia" w:ascii="宋体" w:hAnsi="宋体" w:cs="宋体"/>
          <w:bCs/>
          <w:color w:val="auto"/>
          <w:szCs w:val="21"/>
          <w:u w:val="single"/>
        </w:rPr>
        <w:t xml:space="preserve">                                                       </w:t>
      </w:r>
    </w:p>
    <w:p w14:paraId="6E78DBB6">
      <w:pPr>
        <w:adjustRightInd w:val="0"/>
        <w:snapToGrid w:val="0"/>
        <w:spacing w:line="400" w:lineRule="exact"/>
        <w:ind w:firstLine="420" w:firstLineChars="200"/>
        <w:rPr>
          <w:rFonts w:hint="eastAsia"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bCs/>
          <w:color w:val="auto"/>
          <w:szCs w:val="21"/>
          <w:lang w:eastAsia="zh-CN"/>
        </w:rPr>
        <w:t>：</w:t>
      </w:r>
      <w:r>
        <w:rPr>
          <w:rFonts w:hint="eastAsia" w:ascii="宋体" w:hAnsi="宋体" w:cs="宋体"/>
          <w:color w:val="auto"/>
          <w:szCs w:val="21"/>
          <w:u w:val="single"/>
        </w:rPr>
        <w:t xml:space="preserve">                                                              </w:t>
      </w:r>
    </w:p>
    <w:p w14:paraId="0182CF21">
      <w:pPr>
        <w:adjustRightInd w:val="0"/>
        <w:snapToGrid w:val="0"/>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4.合同验收</w:t>
      </w:r>
    </w:p>
    <w:p w14:paraId="15919094">
      <w:pPr>
        <w:numPr>
          <w:ilvl w:val="0"/>
          <w:numId w:val="4"/>
        </w:numPr>
        <w:adjustRightInd w:val="0"/>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验收组织方式：</w:t>
      </w:r>
      <w:r>
        <w:rPr>
          <w:rFonts w:hint="eastAsia" w:ascii="宋体" w:hAnsi="宋体" w:cs="宋体"/>
          <w:color w:val="auto"/>
          <w:szCs w:val="21"/>
        </w:rPr>
        <w:t>□</w:t>
      </w:r>
      <w:r>
        <w:rPr>
          <w:rFonts w:hint="eastAsia" w:ascii="宋体" w:hAnsi="宋体" w:cs="宋体"/>
          <w:bCs/>
          <w:color w:val="auto"/>
          <w:szCs w:val="21"/>
        </w:rPr>
        <w:t xml:space="preserve">自行组织 </w:t>
      </w:r>
      <w:r>
        <w:rPr>
          <w:rFonts w:hint="eastAsia" w:ascii="宋体" w:hAnsi="宋体" w:cs="宋体"/>
          <w:color w:val="auto"/>
          <w:szCs w:val="21"/>
        </w:rPr>
        <w:t>□</w:t>
      </w:r>
      <w:r>
        <w:rPr>
          <w:rFonts w:hint="eastAsia" w:ascii="宋体" w:hAnsi="宋体" w:cs="宋体"/>
          <w:bCs/>
          <w:color w:val="auto"/>
          <w:szCs w:val="21"/>
        </w:rPr>
        <w:t>委托第三方组织</w:t>
      </w:r>
    </w:p>
    <w:p w14:paraId="030FA480">
      <w:pPr>
        <w:adjustRightInd w:val="0"/>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验收主体</w:t>
      </w:r>
      <w:r>
        <w:rPr>
          <w:rFonts w:hint="eastAsia" w:ascii="宋体" w:hAnsi="宋体" w:cs="宋体"/>
          <w:bCs/>
          <w:color w:val="auto"/>
          <w:szCs w:val="21"/>
          <w:lang w:eastAsia="zh-CN"/>
        </w:rPr>
        <w:t>：</w:t>
      </w:r>
      <w:r>
        <w:rPr>
          <w:rFonts w:hint="eastAsia" w:ascii="宋体" w:hAnsi="宋体" w:cs="宋体"/>
          <w:bCs/>
          <w:color w:val="auto"/>
          <w:szCs w:val="21"/>
          <w:u w:val="single"/>
        </w:rPr>
        <w:t xml:space="preserve">                 </w:t>
      </w:r>
    </w:p>
    <w:p w14:paraId="046A86DE">
      <w:pPr>
        <w:adjustRightInd w:val="0"/>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是否邀请本项目的其他供应商参加验收：</w:t>
      </w:r>
      <w:r>
        <w:rPr>
          <w:rFonts w:hint="eastAsia" w:ascii="宋体" w:hAnsi="宋体" w:cs="宋体"/>
          <w:color w:val="auto"/>
          <w:szCs w:val="21"/>
        </w:rPr>
        <w:t>□</w:t>
      </w:r>
      <w:r>
        <w:rPr>
          <w:rFonts w:hint="eastAsia" w:ascii="宋体" w:hAnsi="宋体" w:cs="宋体"/>
          <w:bCs/>
          <w:color w:val="auto"/>
          <w:szCs w:val="21"/>
        </w:rPr>
        <w:t xml:space="preserve">是  </w:t>
      </w:r>
      <w:r>
        <w:rPr>
          <w:rFonts w:hint="eastAsia" w:ascii="宋体" w:hAnsi="宋体" w:cs="宋体"/>
          <w:color w:val="auto"/>
          <w:szCs w:val="21"/>
        </w:rPr>
        <w:t>□</w:t>
      </w:r>
      <w:r>
        <w:rPr>
          <w:rFonts w:hint="eastAsia" w:ascii="宋体" w:hAnsi="宋体" w:cs="宋体"/>
          <w:bCs/>
          <w:color w:val="auto"/>
          <w:szCs w:val="21"/>
        </w:rPr>
        <w:t>否</w:t>
      </w:r>
    </w:p>
    <w:p w14:paraId="2DCC53C3">
      <w:pPr>
        <w:adjustRightInd w:val="0"/>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是否邀请专家参加验收：</w:t>
      </w:r>
      <w:r>
        <w:rPr>
          <w:rFonts w:hint="eastAsia" w:ascii="宋体" w:hAnsi="宋体" w:cs="宋体"/>
          <w:color w:val="auto"/>
          <w:szCs w:val="21"/>
        </w:rPr>
        <w:t>□</w:t>
      </w:r>
      <w:r>
        <w:rPr>
          <w:rFonts w:hint="eastAsia" w:ascii="宋体" w:hAnsi="宋体" w:cs="宋体"/>
          <w:bCs/>
          <w:color w:val="auto"/>
          <w:szCs w:val="21"/>
        </w:rPr>
        <w:t xml:space="preserve">是  </w:t>
      </w:r>
      <w:r>
        <w:rPr>
          <w:rFonts w:hint="eastAsia" w:ascii="宋体" w:hAnsi="宋体" w:cs="宋体"/>
          <w:color w:val="auto"/>
          <w:szCs w:val="21"/>
        </w:rPr>
        <w:t>□</w:t>
      </w:r>
      <w:r>
        <w:rPr>
          <w:rFonts w:hint="eastAsia" w:ascii="宋体" w:hAnsi="宋体" w:cs="宋体"/>
          <w:bCs/>
          <w:color w:val="auto"/>
          <w:szCs w:val="21"/>
        </w:rPr>
        <w:t>否</w:t>
      </w:r>
    </w:p>
    <w:p w14:paraId="0E08EB67">
      <w:pPr>
        <w:adjustRightInd w:val="0"/>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是否邀请服务对象参加验收：</w:t>
      </w:r>
      <w:r>
        <w:rPr>
          <w:rFonts w:hint="eastAsia" w:ascii="宋体" w:hAnsi="宋体" w:cs="宋体"/>
          <w:color w:val="auto"/>
          <w:szCs w:val="21"/>
        </w:rPr>
        <w:t>□</w:t>
      </w:r>
      <w:r>
        <w:rPr>
          <w:rFonts w:hint="eastAsia" w:ascii="宋体" w:hAnsi="宋体" w:cs="宋体"/>
          <w:bCs/>
          <w:color w:val="auto"/>
          <w:szCs w:val="21"/>
        </w:rPr>
        <w:t xml:space="preserve">是  </w:t>
      </w:r>
      <w:r>
        <w:rPr>
          <w:rFonts w:hint="eastAsia" w:ascii="宋体" w:hAnsi="宋体" w:cs="宋体"/>
          <w:color w:val="auto"/>
          <w:szCs w:val="21"/>
        </w:rPr>
        <w:t>□</w:t>
      </w:r>
      <w:r>
        <w:rPr>
          <w:rFonts w:hint="eastAsia" w:ascii="宋体" w:hAnsi="宋体" w:cs="宋体"/>
          <w:bCs/>
          <w:color w:val="auto"/>
          <w:szCs w:val="21"/>
        </w:rPr>
        <w:t>否</w:t>
      </w:r>
    </w:p>
    <w:p w14:paraId="00A39F36">
      <w:pPr>
        <w:adjustRightInd w:val="0"/>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是否邀请第三方检测机构参加验收：</w:t>
      </w:r>
      <w:r>
        <w:rPr>
          <w:rFonts w:hint="eastAsia" w:ascii="宋体" w:hAnsi="宋体" w:cs="宋体"/>
          <w:color w:val="auto"/>
          <w:szCs w:val="21"/>
        </w:rPr>
        <w:t>□</w:t>
      </w:r>
      <w:r>
        <w:rPr>
          <w:rFonts w:hint="eastAsia" w:ascii="宋体" w:hAnsi="宋体" w:cs="宋体"/>
          <w:bCs/>
          <w:color w:val="auto"/>
          <w:szCs w:val="21"/>
        </w:rPr>
        <w:t xml:space="preserve">是  </w:t>
      </w:r>
      <w:r>
        <w:rPr>
          <w:rFonts w:hint="eastAsia" w:ascii="宋体" w:hAnsi="宋体" w:cs="宋体"/>
          <w:color w:val="auto"/>
          <w:szCs w:val="21"/>
        </w:rPr>
        <w:t>□</w:t>
      </w:r>
      <w:r>
        <w:rPr>
          <w:rFonts w:hint="eastAsia" w:ascii="宋体" w:hAnsi="宋体" w:cs="宋体"/>
          <w:bCs/>
          <w:color w:val="auto"/>
          <w:szCs w:val="21"/>
        </w:rPr>
        <w:t>否</w:t>
      </w:r>
    </w:p>
    <w:p w14:paraId="5137C2D3">
      <w:pPr>
        <w:adjustRightInd w:val="0"/>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是否进行抽查检测：</w:t>
      </w:r>
      <w:r>
        <w:rPr>
          <w:rFonts w:hint="eastAsia" w:ascii="宋体" w:hAnsi="宋体" w:cs="宋体"/>
          <w:color w:val="auto"/>
          <w:szCs w:val="21"/>
        </w:rPr>
        <w:t>□</w:t>
      </w:r>
      <w:r>
        <w:rPr>
          <w:rFonts w:hint="eastAsia" w:ascii="宋体" w:hAnsi="宋体" w:cs="宋体"/>
          <w:bCs/>
          <w:color w:val="auto"/>
          <w:szCs w:val="21"/>
        </w:rPr>
        <w:t>是，抽查比例</w:t>
      </w:r>
      <w:r>
        <w:rPr>
          <w:rFonts w:hint="eastAsia" w:ascii="宋体" w:hAnsi="宋体" w:cs="宋体"/>
          <w:bCs/>
          <w:color w:val="auto"/>
          <w:szCs w:val="21"/>
          <w:lang w:eastAsia="zh-CN"/>
        </w:rPr>
        <w:t>：</w:t>
      </w:r>
      <w:r>
        <w:rPr>
          <w:rFonts w:hint="eastAsia" w:ascii="宋体" w:hAnsi="宋体" w:cs="宋体"/>
          <w:bCs/>
          <w:color w:val="auto"/>
          <w:szCs w:val="21"/>
          <w:u w:val="single"/>
        </w:rPr>
        <w:t xml:space="preserve">       </w:t>
      </w:r>
      <w:r>
        <w:rPr>
          <w:rFonts w:hint="eastAsia" w:ascii="宋体" w:hAnsi="宋体" w:cs="宋体"/>
          <w:bCs/>
          <w:color w:val="auto"/>
          <w:szCs w:val="21"/>
        </w:rPr>
        <w:t xml:space="preserve"> </w:t>
      </w:r>
      <w:r>
        <w:rPr>
          <w:rFonts w:hint="eastAsia" w:ascii="宋体" w:hAnsi="宋体" w:cs="宋体"/>
          <w:color w:val="auto"/>
          <w:szCs w:val="21"/>
        </w:rPr>
        <w:t>□</w:t>
      </w:r>
      <w:r>
        <w:rPr>
          <w:rFonts w:hint="eastAsia" w:ascii="宋体" w:hAnsi="宋体" w:cs="宋体"/>
          <w:bCs/>
          <w:color w:val="auto"/>
          <w:szCs w:val="21"/>
        </w:rPr>
        <w:t>否</w:t>
      </w:r>
    </w:p>
    <w:p w14:paraId="10BA89D0">
      <w:pPr>
        <w:adjustRightInd w:val="0"/>
        <w:snapToGrid w:val="0"/>
        <w:spacing w:line="400" w:lineRule="exact"/>
        <w:ind w:firstLine="420" w:firstLineChars="200"/>
        <w:rPr>
          <w:rFonts w:hint="eastAsia" w:ascii="宋体" w:hAnsi="宋体" w:cs="宋体"/>
          <w:bCs/>
          <w:color w:val="auto"/>
          <w:szCs w:val="21"/>
          <w:u w:val="single"/>
        </w:rPr>
      </w:pPr>
      <w:r>
        <w:rPr>
          <w:rFonts w:hint="eastAsia" w:ascii="宋体" w:hAnsi="宋体" w:cs="宋体"/>
          <w:bCs/>
          <w:color w:val="auto"/>
          <w:szCs w:val="21"/>
        </w:rPr>
        <w:t>是否存在破坏性检测：</w:t>
      </w:r>
      <w:r>
        <w:rPr>
          <w:rFonts w:hint="eastAsia" w:ascii="宋体" w:hAnsi="宋体" w:cs="宋体"/>
          <w:color w:val="auto"/>
          <w:szCs w:val="21"/>
        </w:rPr>
        <w:t>□</w:t>
      </w:r>
      <w:r>
        <w:rPr>
          <w:rFonts w:hint="eastAsia" w:ascii="宋体" w:hAnsi="宋体" w:cs="宋体"/>
          <w:bCs/>
          <w:color w:val="auto"/>
          <w:szCs w:val="21"/>
        </w:rPr>
        <w:t>是，</w:t>
      </w:r>
      <w:r>
        <w:rPr>
          <w:rFonts w:hint="eastAsia" w:ascii="宋体" w:hAnsi="宋体" w:cs="宋体"/>
          <w:bCs/>
          <w:color w:val="auto"/>
          <w:szCs w:val="21"/>
          <w:u w:val="single"/>
        </w:rPr>
        <w:t>（应明确对被破坏的检测产品的处理方式）</w:t>
      </w:r>
    </w:p>
    <w:p w14:paraId="23E42229">
      <w:pPr>
        <w:adjustRightInd w:val="0"/>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 xml:space="preserve">                    </w:t>
      </w:r>
      <w:r>
        <w:rPr>
          <w:rFonts w:hint="eastAsia" w:ascii="宋体" w:hAnsi="宋体" w:cs="宋体"/>
          <w:color w:val="auto"/>
          <w:szCs w:val="21"/>
        </w:rPr>
        <w:t>□</w:t>
      </w:r>
      <w:r>
        <w:rPr>
          <w:rFonts w:hint="eastAsia" w:ascii="宋体" w:hAnsi="宋体" w:cs="宋体"/>
          <w:bCs/>
          <w:color w:val="auto"/>
          <w:szCs w:val="21"/>
        </w:rPr>
        <w:t>否</w:t>
      </w:r>
    </w:p>
    <w:p w14:paraId="13384486">
      <w:pPr>
        <w:adjustRightInd w:val="0"/>
        <w:snapToGrid w:val="0"/>
        <w:spacing w:line="400" w:lineRule="exact"/>
        <w:ind w:firstLine="420" w:firstLineChars="200"/>
        <w:rPr>
          <w:rFonts w:hint="eastAsia" w:ascii="宋体" w:hAnsi="宋体" w:cs="宋体"/>
          <w:bCs/>
          <w:color w:val="auto"/>
          <w:szCs w:val="21"/>
          <w:u w:val="single"/>
        </w:rPr>
      </w:pPr>
      <w:r>
        <w:rPr>
          <w:rFonts w:hint="eastAsia" w:ascii="宋体" w:hAnsi="宋体" w:cs="宋体"/>
          <w:bCs/>
          <w:color w:val="auto"/>
          <w:szCs w:val="21"/>
        </w:rPr>
        <w:t>验收组织的其他事项</w:t>
      </w:r>
      <w:r>
        <w:rPr>
          <w:rFonts w:hint="eastAsia" w:ascii="宋体" w:hAnsi="宋体" w:cs="宋体"/>
          <w:bCs/>
          <w:color w:val="auto"/>
          <w:szCs w:val="21"/>
          <w:lang w:eastAsia="zh-CN"/>
        </w:rPr>
        <w:t>：</w:t>
      </w:r>
      <w:r>
        <w:rPr>
          <w:rFonts w:hint="eastAsia" w:ascii="宋体" w:hAnsi="宋体" w:cs="宋体"/>
          <w:bCs/>
          <w:color w:val="auto"/>
          <w:szCs w:val="21"/>
          <w:u w:val="single"/>
        </w:rPr>
        <w:t xml:space="preserve">               </w:t>
      </w:r>
    </w:p>
    <w:p w14:paraId="28F8DC09">
      <w:pPr>
        <w:adjustRightInd w:val="0"/>
        <w:snapToGrid w:val="0"/>
        <w:spacing w:line="400" w:lineRule="exact"/>
        <w:ind w:firstLine="420" w:firstLineChars="200"/>
        <w:rPr>
          <w:rFonts w:hint="eastAsia" w:ascii="宋体" w:hAnsi="宋体" w:cs="宋体"/>
          <w:bCs/>
          <w:color w:val="auto"/>
          <w:szCs w:val="21"/>
          <w:u w:val="single"/>
        </w:rPr>
      </w:pPr>
      <w:r>
        <w:rPr>
          <w:rFonts w:hint="eastAsia" w:ascii="宋体" w:hAnsi="宋体" w:cs="宋体"/>
          <w:bCs/>
          <w:color w:val="auto"/>
          <w:szCs w:val="21"/>
        </w:rPr>
        <w:t>（2）履约验收时间：</w:t>
      </w:r>
      <w:r>
        <w:rPr>
          <w:rFonts w:hint="eastAsia" w:ascii="宋体" w:hAnsi="宋体" w:cs="宋体"/>
          <w:bCs/>
          <w:color w:val="auto"/>
          <w:szCs w:val="21"/>
          <w:u w:val="single"/>
        </w:rPr>
        <w:t xml:space="preserve">（计划于何时验收/供应商提出验收申请之日起   日内组织验收） </w:t>
      </w:r>
    </w:p>
    <w:p w14:paraId="03949692">
      <w:pPr>
        <w:adjustRightInd w:val="0"/>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（3）履约验收方式：</w:t>
      </w:r>
      <w:r>
        <w:rPr>
          <w:rFonts w:hint="eastAsia" w:ascii="宋体" w:hAnsi="宋体" w:cs="宋体"/>
          <w:color w:val="auto"/>
          <w:szCs w:val="21"/>
        </w:rPr>
        <w:t>□</w:t>
      </w:r>
      <w:r>
        <w:rPr>
          <w:rFonts w:hint="eastAsia" w:ascii="宋体" w:hAnsi="宋体" w:cs="宋体"/>
          <w:bCs/>
          <w:color w:val="auto"/>
          <w:szCs w:val="21"/>
        </w:rPr>
        <w:t xml:space="preserve">一次性验收         </w:t>
      </w:r>
    </w:p>
    <w:p w14:paraId="5051D4E1">
      <w:pPr>
        <w:adjustRightInd w:val="0"/>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 xml:space="preserve">                   </w:t>
      </w:r>
      <w:r>
        <w:rPr>
          <w:rFonts w:hint="eastAsia" w:ascii="宋体" w:hAnsi="宋体" w:cs="宋体"/>
          <w:color w:val="auto"/>
          <w:szCs w:val="21"/>
        </w:rPr>
        <w:t>□</w:t>
      </w:r>
      <w:r>
        <w:rPr>
          <w:rFonts w:hint="eastAsia" w:ascii="宋体" w:hAnsi="宋体" w:cs="宋体"/>
          <w:bCs/>
          <w:color w:val="auto"/>
          <w:szCs w:val="21"/>
        </w:rPr>
        <w:t>分期/分项验收</w:t>
      </w:r>
      <w:r>
        <w:rPr>
          <w:rFonts w:hint="eastAsia" w:ascii="宋体" w:hAnsi="宋体" w:cs="宋体"/>
          <w:bCs/>
          <w:color w:val="auto"/>
          <w:szCs w:val="21"/>
          <w:lang w:eastAsia="zh-CN"/>
        </w:rPr>
        <w:t>：</w:t>
      </w:r>
      <w:r>
        <w:rPr>
          <w:rFonts w:hint="eastAsia" w:ascii="宋体" w:hAnsi="宋体" w:cs="宋体"/>
          <w:bCs/>
          <w:color w:val="auto"/>
          <w:szCs w:val="21"/>
          <w:u w:val="single"/>
        </w:rPr>
        <w:t>（应明确分期</w:t>
      </w:r>
      <w:r>
        <w:rPr>
          <w:rFonts w:hint="eastAsia" w:ascii="宋体" w:hAnsi="宋体" w:cs="宋体"/>
          <w:bCs/>
          <w:color w:val="auto"/>
          <w:szCs w:val="21"/>
          <w:u w:val="single"/>
          <w:lang w:val="en"/>
        </w:rPr>
        <w:t>/分项验收的工作安排</w:t>
      </w:r>
      <w:r>
        <w:rPr>
          <w:rFonts w:hint="eastAsia" w:ascii="宋体" w:hAnsi="宋体" w:cs="宋体"/>
          <w:bCs/>
          <w:color w:val="auto"/>
          <w:szCs w:val="21"/>
          <w:u w:val="single"/>
        </w:rPr>
        <w:t xml:space="preserve">）  </w:t>
      </w:r>
    </w:p>
    <w:p w14:paraId="122D39B1">
      <w:pPr>
        <w:adjustRightInd w:val="0"/>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（4）履约验收程序</w:t>
      </w:r>
      <w:r>
        <w:rPr>
          <w:rFonts w:hint="eastAsia" w:ascii="宋体" w:hAnsi="宋体" w:cs="宋体"/>
          <w:bCs/>
          <w:color w:val="auto"/>
          <w:szCs w:val="21"/>
          <w:lang w:eastAsia="zh-CN"/>
        </w:rPr>
        <w:t>：</w:t>
      </w:r>
      <w:r>
        <w:rPr>
          <w:rFonts w:hint="eastAsia" w:ascii="宋体" w:hAnsi="宋体" w:cs="宋体"/>
          <w:bCs/>
          <w:color w:val="auto"/>
          <w:szCs w:val="21"/>
          <w:u w:val="single"/>
        </w:rPr>
        <w:t xml:space="preserve">                                        </w:t>
      </w:r>
    </w:p>
    <w:p w14:paraId="20AC045B">
      <w:pPr>
        <w:adjustRightInd w:val="0"/>
        <w:snapToGrid w:val="0"/>
        <w:spacing w:line="400" w:lineRule="exact"/>
        <w:ind w:firstLine="420" w:firstLineChars="200"/>
        <w:rPr>
          <w:rFonts w:hint="eastAsia" w:ascii="宋体" w:hAnsi="宋体" w:cs="宋体"/>
          <w:bCs/>
          <w:color w:val="auto"/>
          <w:szCs w:val="21"/>
          <w:u w:val="single"/>
        </w:rPr>
      </w:pPr>
      <w:r>
        <w:rPr>
          <w:rFonts w:hint="eastAsia" w:ascii="宋体" w:hAnsi="宋体" w:cs="宋体"/>
          <w:bCs/>
          <w:color w:val="auto"/>
          <w:szCs w:val="21"/>
        </w:rPr>
        <w:t>（5）履约验收的内容</w:t>
      </w:r>
      <w:r>
        <w:rPr>
          <w:rFonts w:hint="eastAsia" w:ascii="宋体" w:hAnsi="宋体" w:cs="宋体"/>
          <w:bCs/>
          <w:color w:val="auto"/>
          <w:szCs w:val="21"/>
          <w:lang w:eastAsia="zh-CN"/>
        </w:rPr>
        <w:t>：</w:t>
      </w:r>
      <w:r>
        <w:rPr>
          <w:rFonts w:hint="eastAsia" w:ascii="宋体" w:hAnsi="宋体" w:cs="宋体"/>
          <w:bCs/>
          <w:color w:val="auto"/>
          <w:szCs w:val="21"/>
          <w:u w:val="single"/>
        </w:rPr>
        <w:t xml:space="preserve">（应当包括每一项技术和商务要求的履约情况，特别是落实政府采购扶持中小企业，支持绿色发展和乡村振兴等政策情况）                                      </w:t>
      </w:r>
    </w:p>
    <w:p w14:paraId="68494834">
      <w:pPr>
        <w:adjustRightInd w:val="0"/>
        <w:snapToGrid w:val="0"/>
        <w:spacing w:line="400" w:lineRule="exact"/>
        <w:ind w:firstLine="420" w:firstLineChars="200"/>
        <w:rPr>
          <w:rFonts w:hint="eastAsia" w:ascii="宋体" w:hAnsi="宋体" w:cs="宋体"/>
          <w:bCs/>
          <w:color w:val="auto"/>
          <w:szCs w:val="21"/>
          <w:u w:val="single"/>
        </w:rPr>
      </w:pPr>
      <w:r>
        <w:rPr>
          <w:rFonts w:hint="eastAsia" w:ascii="宋体" w:hAnsi="宋体" w:cs="宋体"/>
          <w:bCs/>
          <w:color w:val="auto"/>
          <w:szCs w:val="21"/>
        </w:rPr>
        <w:t>（6）履约验收标准</w:t>
      </w:r>
      <w:r>
        <w:rPr>
          <w:rFonts w:hint="eastAsia" w:ascii="宋体" w:hAnsi="宋体" w:cs="宋体"/>
          <w:bCs/>
          <w:color w:val="auto"/>
          <w:szCs w:val="21"/>
          <w:lang w:eastAsia="zh-CN"/>
        </w:rPr>
        <w:t>：</w:t>
      </w:r>
      <w:r>
        <w:rPr>
          <w:rFonts w:hint="eastAsia" w:ascii="宋体" w:hAnsi="宋体" w:cs="宋体"/>
          <w:bCs/>
          <w:color w:val="auto"/>
          <w:szCs w:val="21"/>
          <w:u w:val="single"/>
        </w:rPr>
        <w:t xml:space="preserve">                                        </w:t>
      </w:r>
    </w:p>
    <w:p w14:paraId="173CA4F2">
      <w:pPr>
        <w:pStyle w:val="125"/>
        <w:ind w:firstLine="420"/>
        <w:rPr>
          <w:rFonts w:hint="eastAsia"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t>□</w:t>
      </w:r>
      <w:r>
        <w:rPr>
          <w:rFonts w:hint="eastAsia" w:ascii="宋体" w:hAnsi="宋体" w:eastAsia="宋体" w:cs="宋体"/>
          <w:bCs/>
          <w:color w:val="auto"/>
          <w:sz w:val="21"/>
        </w:rPr>
        <w:t xml:space="preserve">是  </w:t>
      </w:r>
      <w:r>
        <w:rPr>
          <w:rFonts w:hint="eastAsia" w:ascii="宋体" w:hAnsi="宋体" w:eastAsia="宋体" w:cs="宋体"/>
          <w:color w:val="auto"/>
          <w:sz w:val="21"/>
        </w:rPr>
        <w:t>□</w:t>
      </w:r>
      <w:r>
        <w:rPr>
          <w:rFonts w:hint="eastAsia" w:ascii="宋体" w:hAnsi="宋体" w:eastAsia="宋体" w:cs="宋体"/>
          <w:bCs/>
          <w:color w:val="auto"/>
          <w:sz w:val="21"/>
        </w:rPr>
        <w:t>否</w:t>
      </w:r>
    </w:p>
    <w:p w14:paraId="48D9BE03">
      <w:pPr>
        <w:adjustRightInd w:val="0"/>
        <w:snapToGrid w:val="0"/>
        <w:spacing w:line="400" w:lineRule="exact"/>
        <w:ind w:firstLine="420" w:firstLineChars="200"/>
        <w:rPr>
          <w:rFonts w:hint="eastAsia"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lang w:eastAsia="zh-CN"/>
        </w:rPr>
        <w:t>：</w:t>
      </w:r>
      <w:r>
        <w:rPr>
          <w:rFonts w:hint="eastAsia" w:ascii="宋体" w:hAnsi="宋体" w:cs="宋体"/>
          <w:bCs/>
          <w:color w:val="auto"/>
          <w:szCs w:val="21"/>
          <w:u w:val="single"/>
        </w:rPr>
        <w:t xml:space="preserve">     （产权过户登记等）          </w:t>
      </w:r>
    </w:p>
    <w:p w14:paraId="702EA7DA">
      <w:pPr>
        <w:adjustRightInd w:val="0"/>
        <w:snapToGrid w:val="0"/>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5.组成合同的文件</w:t>
      </w:r>
    </w:p>
    <w:p w14:paraId="212C9AB4">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本协议书与下列文件一起构成合同文件，如下述文件之间有任何抵触、矛盾或歧义，应按以下顺序解释：</w:t>
      </w:r>
    </w:p>
    <w:p w14:paraId="2853601D">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（1）政府采购合同协议书及其变更、补充协议</w:t>
      </w:r>
    </w:p>
    <w:p w14:paraId="317F73FA">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（2）政府采购合同专用条款</w:t>
      </w:r>
    </w:p>
    <w:p w14:paraId="5DE1C617">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（3）政府采购合同通用条款</w:t>
      </w:r>
    </w:p>
    <w:p w14:paraId="6E9CFEF7">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（4）中标（成交）通知书</w:t>
      </w:r>
    </w:p>
    <w:p w14:paraId="7AB0A297">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（5）投标（响应）文件</w:t>
      </w:r>
    </w:p>
    <w:p w14:paraId="7959C05D">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（6）招标文件</w:t>
      </w:r>
    </w:p>
    <w:p w14:paraId="5A7000C6">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（7）有关技术文件，图纸</w:t>
      </w:r>
    </w:p>
    <w:p w14:paraId="315B6059">
      <w:pPr>
        <w:pStyle w:val="125"/>
        <w:ind w:firstLine="420"/>
        <w:rPr>
          <w:rFonts w:hint="eastAsia"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3D2D1265">
      <w:pPr>
        <w:adjustRightInd w:val="0"/>
        <w:snapToGrid w:val="0"/>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6.合同生效</w:t>
      </w:r>
    </w:p>
    <w:p w14:paraId="4D62712C">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本合同自</w:t>
      </w:r>
      <w:r>
        <w:rPr>
          <w:rFonts w:hint="eastAsia" w:ascii="宋体" w:hAnsi="宋体" w:cs="宋体"/>
          <w:color w:val="auto"/>
          <w:szCs w:val="21"/>
          <w:u w:val="single"/>
        </w:rPr>
        <w:t xml:space="preserve">                             </w:t>
      </w:r>
      <w:r>
        <w:rPr>
          <w:rFonts w:hint="eastAsia" w:ascii="宋体" w:hAnsi="宋体" w:cs="宋体"/>
          <w:color w:val="auto"/>
          <w:szCs w:val="21"/>
        </w:rPr>
        <w:t>生效。</w:t>
      </w:r>
    </w:p>
    <w:p w14:paraId="2D9DC3D7">
      <w:pPr>
        <w:adjustRightInd w:val="0"/>
        <w:snapToGrid w:val="0"/>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7.合同份数</w:t>
      </w:r>
    </w:p>
    <w:p w14:paraId="71017EF2">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本合同一式</w:t>
      </w:r>
      <w:r>
        <w:rPr>
          <w:rFonts w:hint="eastAsia" w:ascii="宋体" w:hAnsi="宋体" w:cs="宋体"/>
          <w:color w:val="auto"/>
          <w:szCs w:val="21"/>
          <w:u w:val="single"/>
        </w:rPr>
        <w:t xml:space="preserve">    </w:t>
      </w:r>
      <w:r>
        <w:rPr>
          <w:rFonts w:hint="eastAsia" w:ascii="宋体" w:hAnsi="宋体" w:cs="宋体"/>
          <w:color w:val="auto"/>
          <w:szCs w:val="21"/>
        </w:rPr>
        <w:t>份，甲方执</w:t>
      </w:r>
      <w:r>
        <w:rPr>
          <w:rFonts w:hint="eastAsia" w:ascii="宋体" w:hAnsi="宋体" w:cs="宋体"/>
          <w:color w:val="auto"/>
          <w:szCs w:val="21"/>
          <w:u w:val="single"/>
        </w:rPr>
        <w:t xml:space="preserve">    </w:t>
      </w:r>
      <w:r>
        <w:rPr>
          <w:rFonts w:hint="eastAsia" w:ascii="宋体" w:hAnsi="宋体" w:cs="宋体"/>
          <w:color w:val="auto"/>
          <w:szCs w:val="21"/>
        </w:rPr>
        <w:t>份，乙方执</w:t>
      </w:r>
      <w:r>
        <w:rPr>
          <w:rFonts w:hint="eastAsia" w:ascii="宋体" w:hAnsi="宋体" w:cs="宋体"/>
          <w:color w:val="auto"/>
          <w:szCs w:val="21"/>
          <w:u w:val="single"/>
        </w:rPr>
        <w:t xml:space="preserve">    </w:t>
      </w:r>
      <w:r>
        <w:rPr>
          <w:rFonts w:hint="eastAsia" w:ascii="宋体" w:hAnsi="宋体" w:cs="宋体"/>
          <w:color w:val="auto"/>
          <w:szCs w:val="21"/>
        </w:rPr>
        <w:t>份，均具有同等法律效力。</w:t>
      </w:r>
    </w:p>
    <w:p w14:paraId="56E94835">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合同订立时间</w:t>
      </w:r>
      <w:r>
        <w:rPr>
          <w:rFonts w:hint="eastAsia" w:ascii="宋体" w:hAnsi="宋体" w:cs="宋体"/>
          <w:color w:val="auto"/>
          <w:szCs w:val="21"/>
          <w:lang w:eastAsia="zh-CN"/>
        </w:rPr>
        <w:t>：</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7426A733">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合同订立地点</w:t>
      </w:r>
      <w:r>
        <w:rPr>
          <w:rFonts w:hint="eastAsia" w:ascii="宋体" w:hAnsi="宋体" w:cs="宋体"/>
          <w:color w:val="auto"/>
          <w:szCs w:val="21"/>
          <w:lang w:eastAsia="zh-CN"/>
        </w:rPr>
        <w:t>：</w:t>
      </w:r>
      <w:r>
        <w:rPr>
          <w:rFonts w:hint="eastAsia" w:ascii="宋体" w:hAnsi="宋体" w:cs="宋体"/>
          <w:color w:val="auto"/>
          <w:szCs w:val="21"/>
          <w:u w:val="single"/>
        </w:rPr>
        <w:t xml:space="preserve">                          </w:t>
      </w:r>
    </w:p>
    <w:p w14:paraId="0A860D30">
      <w:pPr>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szCs w:val="21"/>
        </w:rPr>
        <w:t>附件：具体标的及其技术要求和商务要求、联合协议、分包意向协议等。</w:t>
      </w:r>
    </w:p>
    <w:p w14:paraId="2A940646">
      <w:pPr>
        <w:pStyle w:val="126"/>
        <w:spacing w:before="0" w:beforeAutospacing="0" w:after="0" w:afterAutospacing="0" w:line="400" w:lineRule="exact"/>
        <w:rPr>
          <w:rFonts w:hint="eastAsia" w:ascii="宋体" w:hAnsi="宋体" w:cs="宋体"/>
          <w:color w:val="auto"/>
        </w:rPr>
      </w:pP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7"/>
        <w:gridCol w:w="2790"/>
        <w:gridCol w:w="2289"/>
        <w:gridCol w:w="2448"/>
      </w:tblGrid>
      <w:tr w14:paraId="2171D1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453E2B17">
            <w:pPr>
              <w:adjustRightInd w:val="0"/>
              <w:snapToGrid w:val="0"/>
              <w:spacing w:line="400" w:lineRule="exact"/>
              <w:jc w:val="center"/>
              <w:rPr>
                <w:rFonts w:hint="eastAsia" w:ascii="宋体" w:hAnsi="宋体" w:cs="宋体"/>
                <w:color w:val="auto"/>
              </w:rPr>
            </w:pPr>
            <w:r>
              <w:rPr>
                <w:rFonts w:hint="eastAsia" w:ascii="宋体" w:hAnsi="宋体" w:cs="宋体"/>
                <w:color w:val="auto"/>
                <w:szCs w:val="21"/>
              </w:rPr>
              <w:t>甲方（采购人、受采购人委托签订合同的单位或招标文件约定的合同甲方）</w:t>
            </w:r>
          </w:p>
        </w:tc>
        <w:tc>
          <w:tcPr>
            <w:tcW w:w="2437" w:type="pct"/>
            <w:gridSpan w:val="2"/>
            <w:tcBorders>
              <w:left w:val="single" w:color="auto" w:sz="2" w:space="0"/>
              <w:bottom w:val="single" w:color="auto" w:sz="2" w:space="0"/>
            </w:tcBorders>
            <w:noWrap w:val="0"/>
            <w:vAlign w:val="center"/>
          </w:tcPr>
          <w:p w14:paraId="325BD39F">
            <w:pPr>
              <w:adjustRightInd w:val="0"/>
              <w:snapToGrid w:val="0"/>
              <w:spacing w:line="400" w:lineRule="exact"/>
              <w:jc w:val="center"/>
              <w:rPr>
                <w:rFonts w:hint="eastAsia" w:ascii="宋体" w:hAnsi="宋体" w:cs="宋体"/>
                <w:color w:val="auto"/>
              </w:rPr>
            </w:pPr>
            <w:r>
              <w:rPr>
                <w:rFonts w:hint="eastAsia" w:ascii="宋体" w:hAnsi="宋体" w:cs="宋体"/>
                <w:color w:val="auto"/>
                <w:szCs w:val="21"/>
              </w:rPr>
              <w:t>乙方（供应商）</w:t>
            </w:r>
          </w:p>
        </w:tc>
      </w:tr>
      <w:tr w14:paraId="429F67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5B2B5BA3">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单位名称（公章或合同章）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B5D899B">
            <w:pPr>
              <w:adjustRightInd w:val="0"/>
              <w:snapToGrid w:val="0"/>
              <w:spacing w:line="400" w:lineRule="exact"/>
              <w:jc w:val="center"/>
              <w:rPr>
                <w:rFonts w:hint="eastAsia" w:ascii="宋体" w:hAnsi="宋体" w:cs="宋体"/>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CC4FC2">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单位名称（公章或合同章）</w:t>
            </w:r>
          </w:p>
        </w:tc>
        <w:tc>
          <w:tcPr>
            <w:tcW w:w="1259" w:type="pct"/>
            <w:tcBorders>
              <w:top w:val="single" w:color="auto" w:sz="2" w:space="0"/>
              <w:left w:val="single" w:color="auto" w:sz="2" w:space="0"/>
              <w:bottom w:val="single" w:color="auto" w:sz="2" w:space="0"/>
            </w:tcBorders>
            <w:noWrap w:val="0"/>
            <w:vAlign w:val="center"/>
          </w:tcPr>
          <w:p w14:paraId="16EC343E">
            <w:pPr>
              <w:adjustRightInd w:val="0"/>
              <w:snapToGrid w:val="0"/>
              <w:spacing w:line="400" w:lineRule="exact"/>
              <w:jc w:val="center"/>
              <w:rPr>
                <w:rFonts w:hint="eastAsia" w:ascii="宋体" w:hAnsi="宋体" w:cs="宋体"/>
                <w:color w:val="auto"/>
                <w:spacing w:val="20"/>
                <w:szCs w:val="21"/>
              </w:rPr>
            </w:pPr>
          </w:p>
        </w:tc>
      </w:tr>
      <w:tr w14:paraId="0D6CB1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75002C65">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法定代表人</w:t>
            </w:r>
          </w:p>
          <w:p w14:paraId="44EC0E30">
            <w:pPr>
              <w:adjustRightInd w:val="0"/>
              <w:snapToGrid w:val="0"/>
              <w:spacing w:line="400" w:lineRule="exact"/>
              <w:ind w:firstLine="100" w:firstLineChars="48"/>
              <w:jc w:val="center"/>
              <w:rPr>
                <w:rFonts w:hint="eastAsia" w:ascii="宋体" w:hAnsi="宋体" w:cs="宋体"/>
                <w:color w:val="auto"/>
                <w:szCs w:val="21"/>
              </w:rPr>
            </w:pPr>
            <w:r>
              <w:rPr>
                <w:rFonts w:hint="eastAsia" w:ascii="宋体" w:hAnsi="宋体" w:cs="宋体"/>
                <w:color w:val="auto"/>
                <w:szCs w:val="21"/>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7B684318">
            <w:pPr>
              <w:adjustRightInd w:val="0"/>
              <w:snapToGrid w:val="0"/>
              <w:spacing w:line="400" w:lineRule="exact"/>
              <w:jc w:val="center"/>
              <w:rPr>
                <w:rFonts w:hint="eastAsia" w:ascii="宋体" w:hAnsi="宋体" w:cs="宋体"/>
                <w:color w:val="auto"/>
                <w:szCs w:val="21"/>
              </w:rPr>
            </w:pPr>
          </w:p>
        </w:tc>
        <w:tc>
          <w:tcPr>
            <w:tcW w:w="1178" w:type="pct"/>
            <w:tcBorders>
              <w:top w:val="single" w:color="auto" w:sz="2" w:space="0"/>
              <w:left w:val="single" w:color="auto" w:sz="2" w:space="0"/>
              <w:right w:val="single" w:color="auto" w:sz="2" w:space="0"/>
            </w:tcBorders>
            <w:noWrap w:val="0"/>
            <w:vAlign w:val="center"/>
          </w:tcPr>
          <w:p w14:paraId="17448DBE">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法定代表人</w:t>
            </w:r>
          </w:p>
          <w:p w14:paraId="41EB1C4F">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或其委托代理人（签章）</w:t>
            </w:r>
          </w:p>
        </w:tc>
        <w:tc>
          <w:tcPr>
            <w:tcW w:w="1259" w:type="pct"/>
            <w:tcBorders>
              <w:top w:val="single" w:color="auto" w:sz="2" w:space="0"/>
              <w:left w:val="single" w:color="auto" w:sz="2" w:space="0"/>
              <w:bottom w:val="single" w:color="auto" w:sz="2" w:space="0"/>
            </w:tcBorders>
            <w:noWrap w:val="0"/>
            <w:vAlign w:val="center"/>
          </w:tcPr>
          <w:p w14:paraId="2A695ECB">
            <w:pPr>
              <w:adjustRightInd w:val="0"/>
              <w:snapToGrid w:val="0"/>
              <w:spacing w:line="400" w:lineRule="exact"/>
              <w:jc w:val="center"/>
              <w:rPr>
                <w:rFonts w:hint="eastAsia" w:ascii="宋体" w:hAnsi="宋体" w:cs="宋体"/>
                <w:color w:val="auto"/>
                <w:szCs w:val="21"/>
              </w:rPr>
            </w:pPr>
          </w:p>
        </w:tc>
      </w:tr>
      <w:tr w14:paraId="10C922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37E9DAA9">
            <w:pPr>
              <w:adjustRightInd w:val="0"/>
              <w:snapToGrid w:val="0"/>
              <w:spacing w:line="400" w:lineRule="exact"/>
              <w:jc w:val="center"/>
              <w:rPr>
                <w:rFonts w:hint="eastAsia" w:ascii="宋体" w:hAnsi="宋体" w:cs="宋体"/>
                <w:color w:val="auto"/>
                <w:szCs w:val="21"/>
              </w:rPr>
            </w:pPr>
          </w:p>
        </w:tc>
        <w:tc>
          <w:tcPr>
            <w:tcW w:w="1436" w:type="pct"/>
            <w:vMerge w:val="continue"/>
            <w:tcBorders>
              <w:left w:val="single" w:color="auto" w:sz="2" w:space="0"/>
              <w:bottom w:val="single" w:color="auto" w:sz="2" w:space="0"/>
              <w:right w:val="single" w:color="auto" w:sz="2" w:space="0"/>
            </w:tcBorders>
            <w:noWrap w:val="0"/>
            <w:vAlign w:val="center"/>
          </w:tcPr>
          <w:p w14:paraId="1EA57D77">
            <w:pPr>
              <w:adjustRightInd w:val="0"/>
              <w:snapToGrid w:val="0"/>
              <w:spacing w:line="400" w:lineRule="exact"/>
              <w:jc w:val="center"/>
              <w:rPr>
                <w:rFonts w:hint="eastAsia" w:ascii="宋体" w:hAnsi="宋体" w:cs="宋体"/>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993B93D">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拥有者性别</w:t>
            </w:r>
          </w:p>
        </w:tc>
        <w:tc>
          <w:tcPr>
            <w:tcW w:w="1259" w:type="pct"/>
            <w:tcBorders>
              <w:top w:val="single" w:color="auto" w:sz="2" w:space="0"/>
              <w:left w:val="single" w:color="auto" w:sz="2" w:space="0"/>
              <w:bottom w:val="single" w:color="auto" w:sz="2" w:space="0"/>
            </w:tcBorders>
            <w:noWrap w:val="0"/>
            <w:vAlign w:val="center"/>
          </w:tcPr>
          <w:p w14:paraId="6DA751BF">
            <w:pPr>
              <w:adjustRightInd w:val="0"/>
              <w:snapToGrid w:val="0"/>
              <w:spacing w:line="400" w:lineRule="exact"/>
              <w:jc w:val="center"/>
              <w:rPr>
                <w:rFonts w:hint="eastAsia" w:ascii="宋体" w:hAnsi="宋体" w:cs="宋体"/>
                <w:color w:val="auto"/>
                <w:spacing w:val="20"/>
                <w:szCs w:val="21"/>
              </w:rPr>
            </w:pPr>
          </w:p>
        </w:tc>
      </w:tr>
      <w:tr w14:paraId="19D60E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237B587">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2F1D9C9">
            <w:pPr>
              <w:adjustRightInd w:val="0"/>
              <w:snapToGrid w:val="0"/>
              <w:spacing w:line="400" w:lineRule="exact"/>
              <w:jc w:val="center"/>
              <w:rPr>
                <w:rFonts w:hint="eastAsia" w:ascii="宋体" w:hAnsi="宋体" w:cs="宋体"/>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8AAEBC9">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住  所</w:t>
            </w:r>
          </w:p>
        </w:tc>
        <w:tc>
          <w:tcPr>
            <w:tcW w:w="1259" w:type="pct"/>
            <w:tcBorders>
              <w:top w:val="single" w:color="auto" w:sz="2" w:space="0"/>
              <w:left w:val="single" w:color="auto" w:sz="2" w:space="0"/>
              <w:bottom w:val="single" w:color="auto" w:sz="2" w:space="0"/>
            </w:tcBorders>
            <w:noWrap w:val="0"/>
            <w:vAlign w:val="center"/>
          </w:tcPr>
          <w:p w14:paraId="6DD6378F">
            <w:pPr>
              <w:adjustRightInd w:val="0"/>
              <w:snapToGrid w:val="0"/>
              <w:spacing w:line="400" w:lineRule="exact"/>
              <w:jc w:val="center"/>
              <w:rPr>
                <w:rFonts w:hint="eastAsia" w:ascii="宋体" w:hAnsi="宋体" w:cs="宋体"/>
                <w:color w:val="auto"/>
                <w:spacing w:val="20"/>
                <w:szCs w:val="21"/>
              </w:rPr>
            </w:pPr>
          </w:p>
        </w:tc>
      </w:tr>
      <w:tr w14:paraId="4CACC2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D8F61E6">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DD98523">
            <w:pPr>
              <w:adjustRightInd w:val="0"/>
              <w:snapToGrid w:val="0"/>
              <w:spacing w:line="400" w:lineRule="exact"/>
              <w:jc w:val="center"/>
              <w:rPr>
                <w:rFonts w:hint="eastAsia" w:ascii="宋体" w:hAnsi="宋体" w:cs="宋体"/>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5447CC6">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联 系 人</w:t>
            </w:r>
          </w:p>
        </w:tc>
        <w:tc>
          <w:tcPr>
            <w:tcW w:w="1259" w:type="pct"/>
            <w:tcBorders>
              <w:top w:val="single" w:color="auto" w:sz="2" w:space="0"/>
              <w:left w:val="single" w:color="auto" w:sz="2" w:space="0"/>
              <w:bottom w:val="single" w:color="auto" w:sz="2" w:space="0"/>
            </w:tcBorders>
            <w:noWrap w:val="0"/>
            <w:vAlign w:val="center"/>
          </w:tcPr>
          <w:p w14:paraId="46582067">
            <w:pPr>
              <w:adjustRightInd w:val="0"/>
              <w:snapToGrid w:val="0"/>
              <w:spacing w:line="400" w:lineRule="exact"/>
              <w:jc w:val="center"/>
              <w:rPr>
                <w:rFonts w:hint="eastAsia" w:ascii="宋体" w:hAnsi="宋体" w:cs="宋体"/>
                <w:color w:val="auto"/>
                <w:spacing w:val="20"/>
                <w:szCs w:val="21"/>
              </w:rPr>
            </w:pPr>
          </w:p>
        </w:tc>
      </w:tr>
      <w:tr w14:paraId="2E1A50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DC5EFE8">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659BE00">
            <w:pPr>
              <w:adjustRightInd w:val="0"/>
              <w:snapToGrid w:val="0"/>
              <w:spacing w:line="400" w:lineRule="exact"/>
              <w:jc w:val="center"/>
              <w:rPr>
                <w:rFonts w:hint="eastAsia" w:ascii="宋体" w:hAnsi="宋体" w:cs="宋体"/>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A3B25E9">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联系电话</w:t>
            </w:r>
          </w:p>
        </w:tc>
        <w:tc>
          <w:tcPr>
            <w:tcW w:w="1259" w:type="pct"/>
            <w:tcBorders>
              <w:top w:val="single" w:color="auto" w:sz="2" w:space="0"/>
              <w:left w:val="single" w:color="auto" w:sz="2" w:space="0"/>
              <w:bottom w:val="single" w:color="auto" w:sz="2" w:space="0"/>
            </w:tcBorders>
            <w:noWrap w:val="0"/>
            <w:vAlign w:val="center"/>
          </w:tcPr>
          <w:p w14:paraId="10AB6118">
            <w:pPr>
              <w:adjustRightInd w:val="0"/>
              <w:snapToGrid w:val="0"/>
              <w:spacing w:line="400" w:lineRule="exact"/>
              <w:jc w:val="center"/>
              <w:rPr>
                <w:rFonts w:hint="eastAsia" w:ascii="宋体" w:hAnsi="宋体" w:cs="宋体"/>
                <w:color w:val="auto"/>
                <w:spacing w:val="20"/>
                <w:szCs w:val="21"/>
              </w:rPr>
            </w:pPr>
          </w:p>
        </w:tc>
      </w:tr>
      <w:tr w14:paraId="44F0FC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FA92545">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B4430AE">
            <w:pPr>
              <w:adjustRightInd w:val="0"/>
              <w:snapToGrid w:val="0"/>
              <w:spacing w:line="400" w:lineRule="exact"/>
              <w:jc w:val="center"/>
              <w:rPr>
                <w:rFonts w:hint="eastAsia" w:ascii="宋体" w:hAnsi="宋体" w:cs="宋体"/>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9E1A6BB">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通信地址</w:t>
            </w:r>
          </w:p>
        </w:tc>
        <w:tc>
          <w:tcPr>
            <w:tcW w:w="1259" w:type="pct"/>
            <w:tcBorders>
              <w:top w:val="single" w:color="auto" w:sz="2" w:space="0"/>
              <w:left w:val="single" w:color="auto" w:sz="2" w:space="0"/>
              <w:bottom w:val="single" w:color="auto" w:sz="2" w:space="0"/>
            </w:tcBorders>
            <w:noWrap w:val="0"/>
            <w:vAlign w:val="center"/>
          </w:tcPr>
          <w:p w14:paraId="758504E0">
            <w:pPr>
              <w:adjustRightInd w:val="0"/>
              <w:snapToGrid w:val="0"/>
              <w:spacing w:line="400" w:lineRule="exact"/>
              <w:jc w:val="center"/>
              <w:rPr>
                <w:rFonts w:hint="eastAsia" w:ascii="宋体" w:hAnsi="宋体" w:cs="宋体"/>
                <w:color w:val="auto"/>
                <w:spacing w:val="20"/>
                <w:szCs w:val="21"/>
              </w:rPr>
            </w:pPr>
          </w:p>
        </w:tc>
      </w:tr>
      <w:tr w14:paraId="5F8C36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EB36580">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A420A9">
            <w:pPr>
              <w:adjustRightInd w:val="0"/>
              <w:snapToGrid w:val="0"/>
              <w:spacing w:line="400" w:lineRule="exact"/>
              <w:jc w:val="center"/>
              <w:rPr>
                <w:rFonts w:hint="eastAsia" w:ascii="宋体" w:hAnsi="宋体" w:cs="宋体"/>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951ECF8">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邮政编码</w:t>
            </w:r>
          </w:p>
        </w:tc>
        <w:tc>
          <w:tcPr>
            <w:tcW w:w="1259" w:type="pct"/>
            <w:tcBorders>
              <w:top w:val="single" w:color="auto" w:sz="2" w:space="0"/>
              <w:left w:val="single" w:color="auto" w:sz="2" w:space="0"/>
              <w:bottom w:val="single" w:color="auto" w:sz="2" w:space="0"/>
            </w:tcBorders>
            <w:noWrap w:val="0"/>
            <w:vAlign w:val="center"/>
          </w:tcPr>
          <w:p w14:paraId="307D38B2">
            <w:pPr>
              <w:adjustRightInd w:val="0"/>
              <w:snapToGrid w:val="0"/>
              <w:spacing w:line="400" w:lineRule="exact"/>
              <w:jc w:val="center"/>
              <w:rPr>
                <w:rFonts w:hint="eastAsia" w:ascii="宋体" w:hAnsi="宋体" w:cs="宋体"/>
                <w:color w:val="auto"/>
                <w:spacing w:val="20"/>
                <w:szCs w:val="21"/>
              </w:rPr>
            </w:pPr>
          </w:p>
        </w:tc>
      </w:tr>
      <w:tr w14:paraId="5EDEB4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334A7F8">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7F421DA">
            <w:pPr>
              <w:adjustRightInd w:val="0"/>
              <w:snapToGrid w:val="0"/>
              <w:spacing w:line="400" w:lineRule="exact"/>
              <w:jc w:val="center"/>
              <w:rPr>
                <w:rFonts w:hint="eastAsia" w:ascii="宋体" w:hAnsi="宋体" w:cs="宋体"/>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9008A9B">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电子邮箱</w:t>
            </w:r>
          </w:p>
        </w:tc>
        <w:tc>
          <w:tcPr>
            <w:tcW w:w="1259" w:type="pct"/>
            <w:tcBorders>
              <w:top w:val="single" w:color="auto" w:sz="2" w:space="0"/>
              <w:left w:val="single" w:color="auto" w:sz="2" w:space="0"/>
              <w:bottom w:val="single" w:color="auto" w:sz="2" w:space="0"/>
            </w:tcBorders>
            <w:noWrap w:val="0"/>
            <w:vAlign w:val="center"/>
          </w:tcPr>
          <w:p w14:paraId="2583DE7E">
            <w:pPr>
              <w:adjustRightInd w:val="0"/>
              <w:snapToGrid w:val="0"/>
              <w:spacing w:line="400" w:lineRule="exact"/>
              <w:jc w:val="center"/>
              <w:rPr>
                <w:rFonts w:hint="eastAsia" w:ascii="宋体" w:hAnsi="宋体" w:cs="宋体"/>
                <w:color w:val="auto"/>
                <w:spacing w:val="20"/>
                <w:szCs w:val="21"/>
              </w:rPr>
            </w:pPr>
          </w:p>
        </w:tc>
      </w:tr>
      <w:tr w14:paraId="36BC1E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3FE83C8">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9B0D474">
            <w:pPr>
              <w:adjustRightInd w:val="0"/>
              <w:snapToGrid w:val="0"/>
              <w:spacing w:line="400" w:lineRule="exact"/>
              <w:jc w:val="center"/>
              <w:rPr>
                <w:rFonts w:hint="eastAsia" w:ascii="宋体" w:hAnsi="宋体" w:cs="宋体"/>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6224E26">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统一社会信用代码</w:t>
            </w:r>
          </w:p>
        </w:tc>
        <w:tc>
          <w:tcPr>
            <w:tcW w:w="1259" w:type="pct"/>
            <w:tcBorders>
              <w:top w:val="single" w:color="auto" w:sz="2" w:space="0"/>
              <w:left w:val="single" w:color="auto" w:sz="2" w:space="0"/>
              <w:bottom w:val="single" w:color="auto" w:sz="2" w:space="0"/>
            </w:tcBorders>
            <w:noWrap w:val="0"/>
            <w:vAlign w:val="center"/>
          </w:tcPr>
          <w:p w14:paraId="12D6E8EB">
            <w:pPr>
              <w:adjustRightInd w:val="0"/>
              <w:snapToGrid w:val="0"/>
              <w:spacing w:line="400" w:lineRule="exact"/>
              <w:jc w:val="center"/>
              <w:rPr>
                <w:rFonts w:hint="eastAsia" w:ascii="宋体" w:hAnsi="宋体" w:cs="宋体"/>
                <w:color w:val="auto"/>
                <w:spacing w:val="20"/>
                <w:szCs w:val="21"/>
              </w:rPr>
            </w:pPr>
          </w:p>
        </w:tc>
      </w:tr>
      <w:tr w14:paraId="5A45F0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B58F04A">
            <w:pPr>
              <w:adjustRightInd w:val="0"/>
              <w:snapToGrid w:val="0"/>
              <w:spacing w:line="400" w:lineRule="exact"/>
              <w:jc w:val="center"/>
              <w:rPr>
                <w:rFonts w:hint="eastAsia" w:ascii="宋体" w:hAnsi="宋体" w:cs="宋体"/>
                <w:color w:val="auto"/>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8F3028E">
            <w:pPr>
              <w:adjustRightInd w:val="0"/>
              <w:snapToGrid w:val="0"/>
              <w:spacing w:line="400" w:lineRule="exact"/>
              <w:jc w:val="center"/>
              <w:rPr>
                <w:rFonts w:hint="eastAsia" w:ascii="宋体" w:hAnsi="宋体" w:cs="宋体"/>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0788B8A">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开户名称</w:t>
            </w:r>
          </w:p>
        </w:tc>
        <w:tc>
          <w:tcPr>
            <w:tcW w:w="1259" w:type="pct"/>
            <w:tcBorders>
              <w:top w:val="single" w:color="auto" w:sz="2" w:space="0"/>
              <w:left w:val="single" w:color="auto" w:sz="2" w:space="0"/>
              <w:bottom w:val="single" w:color="auto" w:sz="2" w:space="0"/>
            </w:tcBorders>
            <w:noWrap w:val="0"/>
            <w:vAlign w:val="center"/>
          </w:tcPr>
          <w:p w14:paraId="5CA340DF">
            <w:pPr>
              <w:adjustRightInd w:val="0"/>
              <w:snapToGrid w:val="0"/>
              <w:spacing w:line="400" w:lineRule="exact"/>
              <w:jc w:val="center"/>
              <w:rPr>
                <w:rFonts w:hint="eastAsia" w:ascii="宋体" w:hAnsi="宋体" w:cs="宋体"/>
                <w:color w:val="auto"/>
                <w:spacing w:val="20"/>
                <w:szCs w:val="21"/>
              </w:rPr>
            </w:pPr>
          </w:p>
        </w:tc>
      </w:tr>
      <w:tr w14:paraId="1554EF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CE24E28">
            <w:pPr>
              <w:adjustRightInd w:val="0"/>
              <w:snapToGrid w:val="0"/>
              <w:spacing w:line="400" w:lineRule="exact"/>
              <w:jc w:val="center"/>
              <w:rPr>
                <w:rFonts w:hint="eastAsia" w:ascii="宋体" w:hAnsi="宋体" w:cs="宋体"/>
                <w:color w:val="auto"/>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663A25E">
            <w:pPr>
              <w:adjustRightInd w:val="0"/>
              <w:snapToGrid w:val="0"/>
              <w:spacing w:line="400" w:lineRule="exact"/>
              <w:jc w:val="center"/>
              <w:rPr>
                <w:rFonts w:hint="eastAsia" w:ascii="宋体" w:hAnsi="宋体" w:cs="宋体"/>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CE0225E">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开户银行</w:t>
            </w:r>
          </w:p>
        </w:tc>
        <w:tc>
          <w:tcPr>
            <w:tcW w:w="1259" w:type="pct"/>
            <w:tcBorders>
              <w:top w:val="single" w:color="auto" w:sz="2" w:space="0"/>
              <w:left w:val="single" w:color="auto" w:sz="2" w:space="0"/>
              <w:bottom w:val="single" w:color="auto" w:sz="2" w:space="0"/>
            </w:tcBorders>
            <w:noWrap w:val="0"/>
            <w:vAlign w:val="center"/>
          </w:tcPr>
          <w:p w14:paraId="71D2060D">
            <w:pPr>
              <w:adjustRightInd w:val="0"/>
              <w:snapToGrid w:val="0"/>
              <w:spacing w:line="400" w:lineRule="exact"/>
              <w:jc w:val="center"/>
              <w:rPr>
                <w:rFonts w:hint="eastAsia" w:ascii="宋体" w:hAnsi="宋体" w:cs="宋体"/>
                <w:color w:val="auto"/>
                <w:spacing w:val="20"/>
                <w:szCs w:val="21"/>
              </w:rPr>
            </w:pPr>
          </w:p>
        </w:tc>
      </w:tr>
      <w:tr w14:paraId="187E31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DF00D66">
            <w:pPr>
              <w:adjustRightInd w:val="0"/>
              <w:snapToGrid w:val="0"/>
              <w:spacing w:line="400" w:lineRule="exact"/>
              <w:jc w:val="center"/>
              <w:rPr>
                <w:rFonts w:hint="eastAsia" w:ascii="宋体" w:hAnsi="宋体" w:cs="宋体"/>
                <w:color w:val="auto"/>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4368E2">
            <w:pPr>
              <w:adjustRightInd w:val="0"/>
              <w:snapToGrid w:val="0"/>
              <w:spacing w:line="400" w:lineRule="exact"/>
              <w:jc w:val="center"/>
              <w:rPr>
                <w:rFonts w:hint="eastAsia" w:ascii="宋体" w:hAnsi="宋体" w:cs="宋体"/>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8A6A33A">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银行账号</w:t>
            </w:r>
          </w:p>
        </w:tc>
        <w:tc>
          <w:tcPr>
            <w:tcW w:w="1259" w:type="pct"/>
            <w:tcBorders>
              <w:top w:val="single" w:color="auto" w:sz="2" w:space="0"/>
              <w:left w:val="single" w:color="auto" w:sz="2" w:space="0"/>
              <w:bottom w:val="single" w:color="auto" w:sz="2" w:space="0"/>
            </w:tcBorders>
            <w:noWrap w:val="0"/>
            <w:vAlign w:val="center"/>
          </w:tcPr>
          <w:p w14:paraId="405B8C75">
            <w:pPr>
              <w:adjustRightInd w:val="0"/>
              <w:snapToGrid w:val="0"/>
              <w:spacing w:line="400" w:lineRule="exact"/>
              <w:jc w:val="center"/>
              <w:rPr>
                <w:rFonts w:hint="eastAsia" w:ascii="宋体" w:hAnsi="宋体" w:cs="宋体"/>
                <w:color w:val="auto"/>
                <w:spacing w:val="20"/>
                <w:szCs w:val="21"/>
              </w:rPr>
            </w:pPr>
          </w:p>
        </w:tc>
      </w:tr>
      <w:tr w14:paraId="0414B1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412F71BE">
            <w:pPr>
              <w:pStyle w:val="11"/>
              <w:adjustRightInd w:val="0"/>
              <w:snapToGrid w:val="0"/>
              <w:spacing w:line="400" w:lineRule="exact"/>
              <w:jc w:val="left"/>
              <w:rPr>
                <w:rFonts w:hint="eastAsia" w:hAnsi="宋体" w:cs="宋体"/>
                <w:color w:val="auto"/>
                <w:spacing w:val="20"/>
                <w:sz w:val="21"/>
                <w:szCs w:val="21"/>
              </w:rPr>
            </w:pPr>
            <w:r>
              <w:rPr>
                <w:rFonts w:hint="eastAsia" w:hAnsi="宋体" w:cs="宋体"/>
                <w:color w:val="auto"/>
                <w:sz w:val="21"/>
                <w:szCs w:val="21"/>
              </w:rPr>
              <w:t>注：涉及联合体或其他合同主体的信息应按上表格式加列。</w:t>
            </w:r>
          </w:p>
        </w:tc>
      </w:tr>
    </w:tbl>
    <w:p w14:paraId="7C8F37F0">
      <w:pPr>
        <w:pStyle w:val="3"/>
        <w:adjustRightInd w:val="0"/>
        <w:snapToGrid w:val="0"/>
        <w:spacing w:before="0" w:after="0" w:line="400" w:lineRule="exact"/>
        <w:jc w:val="center"/>
        <w:rPr>
          <w:rFonts w:hint="eastAsia" w:ascii="宋体" w:hAnsi="宋体" w:eastAsia="宋体" w:cs="宋体"/>
          <w:color w:val="auto"/>
          <w:sz w:val="28"/>
          <w:szCs w:val="28"/>
        </w:rPr>
      </w:pPr>
      <w:r>
        <w:rPr>
          <w:rFonts w:hint="eastAsia" w:ascii="宋体" w:hAnsi="宋体" w:eastAsia="宋体" w:cs="宋体"/>
          <w:color w:val="auto"/>
          <w:sz w:val="21"/>
          <w:szCs w:val="21"/>
          <w:u w:val="single"/>
        </w:rPr>
        <w:br w:type="page"/>
      </w:r>
      <w:bookmarkStart w:id="87" w:name="_Toc27624"/>
      <w:bookmarkStart w:id="88" w:name="_Toc505"/>
      <w:r>
        <w:rPr>
          <w:rFonts w:hint="eastAsia" w:ascii="宋体" w:hAnsi="宋体" w:eastAsia="宋体" w:cs="宋体"/>
          <w:color w:val="auto"/>
        </w:rPr>
        <w:t>第二节 政府采购合同通用条款</w:t>
      </w:r>
      <w:bookmarkEnd w:id="87"/>
      <w:bookmarkEnd w:id="88"/>
    </w:p>
    <w:p w14:paraId="269A2100">
      <w:pPr>
        <w:tabs>
          <w:tab w:val="left" w:pos="8820"/>
          <w:tab w:val="left" w:pos="9345"/>
          <w:tab w:val="left" w:pos="9765"/>
        </w:tabs>
        <w:adjustRightInd w:val="0"/>
        <w:snapToGrid w:val="0"/>
        <w:spacing w:line="400" w:lineRule="exact"/>
        <w:jc w:val="left"/>
        <w:rPr>
          <w:rFonts w:hint="eastAsia" w:ascii="宋体" w:hAnsi="宋体" w:cs="宋体"/>
          <w:b/>
          <w:bCs/>
          <w:color w:val="auto"/>
          <w:sz w:val="24"/>
        </w:rPr>
      </w:pPr>
      <w:r>
        <w:rPr>
          <w:rFonts w:hint="eastAsia" w:ascii="宋体" w:hAnsi="宋体" w:cs="宋体"/>
          <w:b/>
          <w:color w:val="auto"/>
          <w:sz w:val="24"/>
        </w:rPr>
        <w:t>1.</w:t>
      </w:r>
      <w:r>
        <w:rPr>
          <w:rFonts w:hint="eastAsia" w:ascii="宋体" w:hAnsi="宋体" w:cs="宋体"/>
          <w:b/>
          <w:bCs/>
          <w:color w:val="auto"/>
          <w:sz w:val="24"/>
        </w:rPr>
        <w:t>定义</w:t>
      </w:r>
    </w:p>
    <w:p w14:paraId="6EB4C565">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1.1合同当事人</w:t>
      </w:r>
    </w:p>
    <w:p w14:paraId="2436C52A">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（1）采购人（以下称甲方）是指使用财政性资金，通过政府采购方式向供应商购买货物及其相关服务的国家机关、事业单位、团体组织。</w:t>
      </w:r>
    </w:p>
    <w:p w14:paraId="549EB834">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（2）供应商（以下称乙方）是指参加政府采购活动并且中标（成交），向采购人提供合同约定的货物及其相关服务的法人、非法人组织或者自然人。</w:t>
      </w:r>
    </w:p>
    <w:p w14:paraId="06716115">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s="宋体"/>
          <w:color w:val="auto"/>
          <w:szCs w:val="21"/>
        </w:rPr>
        <w:t>。</w:t>
      </w:r>
    </w:p>
    <w:p w14:paraId="7E01A347">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1.2本合同下列术语应解释为：</w:t>
      </w:r>
    </w:p>
    <w:p w14:paraId="11373AA2">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s="宋体"/>
          <w:color w:val="auto"/>
          <w:szCs w:val="21"/>
        </w:rPr>
        <w:t>政府采购合同协议书及其变更、补充协议，政府采购合同专用条款，政府采购合同通用条款，中标（成交）通知书，投标（响应）文件，招标文件，有关技术文件和图纸，以及国家法律、行政法规和规章制度规定或合同约定的作为合同组成部分的其他文件。</w:t>
      </w:r>
    </w:p>
    <w:p w14:paraId="541A24BD">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（2）“合同价款”系指根据本合同规定乙方在全面履行合同义务后甲方应支付给乙方的价款。</w:t>
      </w:r>
    </w:p>
    <w:p w14:paraId="29DFB489">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（3）“货物”系指乙方根据本合同规定须向甲方提供的各种形态和种类的物品，包括原材料、设备、产品（包括软件）及相关的其备品备件、工具、手册及</w:t>
      </w:r>
      <w:r>
        <w:rPr>
          <w:rFonts w:hint="eastAsia" w:ascii="宋体" w:hAnsi="宋体" w:cs="宋体"/>
          <w:color w:val="auto"/>
          <w:szCs w:val="21"/>
          <w:lang w:val="en"/>
        </w:rPr>
        <w:t>其他</w:t>
      </w:r>
      <w:r>
        <w:rPr>
          <w:rFonts w:hint="eastAsia" w:ascii="宋体" w:hAnsi="宋体" w:cs="宋体"/>
          <w:color w:val="auto"/>
          <w:szCs w:val="21"/>
        </w:rPr>
        <w:t>技术资料和材料等。</w:t>
      </w:r>
    </w:p>
    <w:p w14:paraId="6CBE0CF0">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（4）“相关服务”系指根据合同规定，乙方应提供的与货物有关的技术、管理和</w:t>
      </w:r>
      <w:r>
        <w:rPr>
          <w:rFonts w:hint="eastAsia" w:ascii="宋体" w:hAnsi="宋体" w:cs="宋体"/>
          <w:color w:val="auto"/>
          <w:szCs w:val="21"/>
          <w:lang w:val="en"/>
        </w:rPr>
        <w:t>其他</w:t>
      </w:r>
      <w:r>
        <w:rPr>
          <w:rFonts w:hint="eastAsia" w:ascii="宋体" w:hAnsi="宋体" w:cs="宋体"/>
          <w:color w:val="auto"/>
          <w:szCs w:val="21"/>
        </w:rPr>
        <w:t>服务，包括但不限于：管理和质量保证、运输、保险、检验、现场准备、安装、集成、调试、培训、维修、废弃处置、技术支持等以及合同中规定乙方应承担的</w:t>
      </w:r>
      <w:r>
        <w:rPr>
          <w:rFonts w:hint="eastAsia" w:ascii="宋体" w:hAnsi="宋体" w:cs="宋体"/>
          <w:color w:val="auto"/>
          <w:szCs w:val="21"/>
          <w:lang w:val="en"/>
        </w:rPr>
        <w:t>其他</w:t>
      </w:r>
      <w:r>
        <w:rPr>
          <w:rFonts w:hint="eastAsia" w:ascii="宋体" w:hAnsi="宋体" w:cs="宋体"/>
          <w:color w:val="auto"/>
          <w:szCs w:val="21"/>
        </w:rPr>
        <w:t>义务。</w:t>
      </w:r>
    </w:p>
    <w:p w14:paraId="04C96C2B">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（5）“分包”系指中标（成交）供应商按招标文件、投标（响应）文件的规定，根据分包意向协议，将中标（成交）项目中的部分履约内容，分给具有相应资质条件的供应商履行合同的行为。</w:t>
      </w:r>
    </w:p>
    <w:p w14:paraId="0AEBA81D">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Cs w:val="21"/>
        </w:rPr>
        <w:t>政府采购合同专用条款</w:t>
      </w:r>
      <w:r>
        <w:rPr>
          <w:rFonts w:hint="eastAsia" w:ascii="宋体" w:hAnsi="宋体" w:cs="宋体"/>
          <w:color w:val="auto"/>
          <w:szCs w:val="21"/>
        </w:rPr>
        <w:t>】。</w:t>
      </w:r>
    </w:p>
    <w:p w14:paraId="275698E9">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（7）其他术语解释，见【</w:t>
      </w:r>
      <w:r>
        <w:rPr>
          <w:rFonts w:hint="eastAsia" w:ascii="宋体" w:hAnsi="宋体" w:cs="宋体"/>
          <w:b/>
          <w:bCs/>
          <w:color w:val="auto"/>
          <w:szCs w:val="21"/>
        </w:rPr>
        <w:t>政府采购合同专用条款</w:t>
      </w:r>
      <w:r>
        <w:rPr>
          <w:rFonts w:hint="eastAsia" w:ascii="宋体" w:hAnsi="宋体" w:cs="宋体"/>
          <w:color w:val="auto"/>
          <w:szCs w:val="21"/>
        </w:rPr>
        <w:t>】。</w:t>
      </w:r>
    </w:p>
    <w:p w14:paraId="6BF740BE">
      <w:pPr>
        <w:autoSpaceDE w:val="0"/>
        <w:autoSpaceDN w:val="0"/>
        <w:adjustRightInd w:val="0"/>
        <w:snapToGrid w:val="0"/>
        <w:spacing w:line="400" w:lineRule="exact"/>
        <w:jc w:val="left"/>
        <w:rPr>
          <w:rFonts w:hint="eastAsia" w:ascii="宋体" w:hAnsi="宋体" w:cs="宋体"/>
          <w:b/>
          <w:bCs/>
          <w:color w:val="auto"/>
          <w:sz w:val="24"/>
        </w:rPr>
      </w:pPr>
      <w:r>
        <w:rPr>
          <w:rFonts w:hint="eastAsia" w:ascii="宋体" w:hAnsi="宋体" w:cs="宋体"/>
          <w:b/>
          <w:bCs/>
          <w:color w:val="auto"/>
          <w:sz w:val="24"/>
        </w:rPr>
        <w:t>2.</w:t>
      </w:r>
      <w:r>
        <w:rPr>
          <w:rFonts w:hint="eastAsia" w:ascii="宋体" w:hAnsi="宋体" w:cs="宋体"/>
          <w:b/>
          <w:color w:val="auto"/>
          <w:sz w:val="24"/>
        </w:rPr>
        <w:t>合同标的及金额</w:t>
      </w:r>
    </w:p>
    <w:p w14:paraId="5095B700">
      <w:pPr>
        <w:autoSpaceDE w:val="0"/>
        <w:autoSpaceDN w:val="0"/>
        <w:adjustRightInd w:val="0"/>
        <w:snapToGrid w:val="0"/>
        <w:spacing w:line="400" w:lineRule="exact"/>
        <w:ind w:firstLine="420" w:firstLineChars="200"/>
        <w:jc w:val="left"/>
        <w:rPr>
          <w:rFonts w:hint="eastAsia" w:ascii="宋体" w:hAnsi="宋体" w:cs="宋体"/>
          <w:b/>
          <w:bCs/>
          <w:i/>
          <w:iCs/>
          <w:color w:val="auto"/>
          <w:szCs w:val="21"/>
        </w:rPr>
      </w:pPr>
      <w:r>
        <w:rPr>
          <w:rFonts w:hint="eastAsia" w:ascii="宋体" w:hAnsi="宋体" w:cs="宋体"/>
          <w:color w:val="auto"/>
          <w:szCs w:val="21"/>
        </w:rPr>
        <w:t>2.1合同标的及金额应与中标（成交）结果一致。乙方为履行本合同而发生的所有费用均应包含在合同价款中，甲方不再另行支付</w:t>
      </w:r>
      <w:r>
        <w:rPr>
          <w:rFonts w:hint="eastAsia" w:ascii="宋体" w:hAnsi="宋体" w:cs="宋体"/>
          <w:color w:val="auto"/>
          <w:szCs w:val="21"/>
          <w:lang w:val="en"/>
        </w:rPr>
        <w:t>其他</w:t>
      </w:r>
      <w:r>
        <w:rPr>
          <w:rFonts w:hint="eastAsia" w:ascii="宋体" w:hAnsi="宋体" w:cs="宋体"/>
          <w:color w:val="auto"/>
          <w:szCs w:val="21"/>
        </w:rPr>
        <w:t>任何费用。</w:t>
      </w:r>
    </w:p>
    <w:p w14:paraId="016086EB">
      <w:pPr>
        <w:adjustRightInd w:val="0"/>
        <w:snapToGrid w:val="0"/>
        <w:spacing w:line="400" w:lineRule="exact"/>
        <w:jc w:val="left"/>
        <w:rPr>
          <w:rFonts w:hint="eastAsia" w:ascii="宋体" w:hAnsi="宋体" w:cs="宋体"/>
          <w:b/>
          <w:color w:val="auto"/>
          <w:sz w:val="24"/>
        </w:rPr>
      </w:pPr>
      <w:r>
        <w:rPr>
          <w:rFonts w:hint="eastAsia" w:ascii="宋体" w:hAnsi="宋体" w:cs="宋体"/>
          <w:b/>
          <w:color w:val="auto"/>
          <w:sz w:val="24"/>
        </w:rPr>
        <w:t>3.履行合同的时间、地点和方式</w:t>
      </w:r>
    </w:p>
    <w:p w14:paraId="6713EDCA">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3.1乙方应当在约定的时间、地点，按照约定方式履行合同。</w:t>
      </w:r>
    </w:p>
    <w:p w14:paraId="50D6C8FB">
      <w:pPr>
        <w:autoSpaceDE w:val="0"/>
        <w:autoSpaceDN w:val="0"/>
        <w:adjustRightInd w:val="0"/>
        <w:snapToGrid w:val="0"/>
        <w:spacing w:line="400" w:lineRule="exact"/>
        <w:jc w:val="left"/>
        <w:rPr>
          <w:rFonts w:hint="eastAsia" w:ascii="宋体" w:hAnsi="宋体" w:cs="宋体"/>
          <w:b/>
          <w:bCs/>
          <w:color w:val="auto"/>
          <w:sz w:val="24"/>
        </w:rPr>
      </w:pPr>
      <w:r>
        <w:rPr>
          <w:rFonts w:hint="eastAsia" w:ascii="宋体" w:hAnsi="宋体" w:cs="宋体"/>
          <w:b/>
          <w:bCs/>
          <w:color w:val="auto"/>
          <w:sz w:val="24"/>
        </w:rPr>
        <w:t>4.甲方的权利和义务</w:t>
      </w:r>
    </w:p>
    <w:p w14:paraId="22DB18FA">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4.1签署合同后，甲方应确定项目负责人（或项目联系人），负责与本合同有关的事务。甲方有权对乙方的履约行为进行检查，并及时确认乙方提交的事项。甲方应当配合乙方完成相关项目实施工作。</w:t>
      </w:r>
    </w:p>
    <w:p w14:paraId="37DD964A">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4.2 甲方有权要求乙方按时提交各阶段有关安排计划，并有权定期核对乙方提供货物数量、规格、质量等内容。甲方有权督促乙方工作并要求乙方更换不符合要求的货物。</w:t>
      </w:r>
    </w:p>
    <w:p w14:paraId="05D503A3">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4.3甲方有权要求乙方对缺陷部分予以修复，并按合同约定享有货物保修及其他合同约定的权利。</w:t>
      </w:r>
    </w:p>
    <w:p w14:paraId="56E5D6C9">
      <w:pPr>
        <w:snapToGrid w:val="0"/>
        <w:spacing w:line="400" w:lineRule="exact"/>
        <w:ind w:firstLine="420" w:firstLineChars="200"/>
        <w:rPr>
          <w:rFonts w:hint="eastAsia" w:ascii="宋体" w:hAnsi="宋体" w:cs="宋体"/>
          <w:color w:val="auto"/>
        </w:rPr>
      </w:pPr>
      <w:r>
        <w:rPr>
          <w:rFonts w:hint="eastAsia" w:ascii="宋体" w:hAnsi="宋体" w:cs="宋体"/>
          <w:color w:val="auto"/>
          <w:szCs w:val="21"/>
        </w:rPr>
        <w:t>4.4甲方应当按照合同约定及时对交付的货物进行验收，未在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约定的期限内对乙方履约提出任何异议或者向乙方作出任何说明的，视为验收通过。</w:t>
      </w:r>
    </w:p>
    <w:p w14:paraId="254BB42C">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4.5甲方应当根据合同约定及时向乙方支付合同价款，不得以内部人员变更、履行内部付款流程等为由，拒绝或迟延支付。</w:t>
      </w:r>
    </w:p>
    <w:p w14:paraId="0C477004">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4.6国家法律法规规定及</w:t>
      </w:r>
      <w:r>
        <w:rPr>
          <w:rFonts w:hint="eastAsia" w:ascii="宋体" w:hAnsi="宋体" w:cs="宋体"/>
          <w:b/>
          <w:bCs/>
          <w:color w:val="auto"/>
          <w:szCs w:val="21"/>
        </w:rPr>
        <w:t>【政府采购合同专用条款】</w:t>
      </w:r>
      <w:r>
        <w:rPr>
          <w:rFonts w:hint="eastAsia" w:ascii="宋体" w:hAnsi="宋体" w:cs="宋体"/>
          <w:color w:val="auto"/>
          <w:szCs w:val="21"/>
        </w:rPr>
        <w:t>约定应由甲方承担的其他义务和责任。</w:t>
      </w:r>
    </w:p>
    <w:p w14:paraId="6DDBAF4A">
      <w:pPr>
        <w:autoSpaceDE w:val="0"/>
        <w:autoSpaceDN w:val="0"/>
        <w:adjustRightInd w:val="0"/>
        <w:snapToGrid w:val="0"/>
        <w:spacing w:line="400" w:lineRule="exact"/>
        <w:jc w:val="left"/>
        <w:rPr>
          <w:rFonts w:hint="eastAsia" w:ascii="宋体" w:hAnsi="宋体" w:cs="宋体"/>
          <w:b/>
          <w:bCs/>
          <w:color w:val="auto"/>
          <w:sz w:val="24"/>
        </w:rPr>
      </w:pPr>
      <w:r>
        <w:rPr>
          <w:rFonts w:hint="eastAsia" w:ascii="宋体" w:hAnsi="宋体" w:cs="宋体"/>
          <w:b/>
          <w:bCs/>
          <w:color w:val="auto"/>
          <w:sz w:val="24"/>
        </w:rPr>
        <w:t>5.乙方的权利和义务</w:t>
      </w:r>
    </w:p>
    <w:p w14:paraId="78D247D9">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5.1签署合同后，乙方应确定项目负责人（或项目联系人），负责与本合同有关的事务。</w:t>
      </w:r>
    </w:p>
    <w:p w14:paraId="1CE0B384">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5.2乙方应按照合同要求履约，充分合理安排，确保提供的货物及相关服务符合合同有关要求。接受项目行业管理部门及政府有关部门的指导，配合甲方的履约检查及验收，并负责项目实施过程中的所有协调工作。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92560EB">
      <w:pPr>
        <w:pStyle w:val="10"/>
        <w:spacing w:after="0" w:line="400" w:lineRule="exact"/>
        <w:ind w:firstLine="369" w:firstLineChars="176"/>
        <w:rPr>
          <w:rFonts w:hint="eastAsia" w:ascii="宋体" w:hAnsi="宋体" w:cs="宋体"/>
          <w:color w:val="auto"/>
          <w:szCs w:val="21"/>
        </w:rPr>
      </w:pPr>
      <w:r>
        <w:rPr>
          <w:rFonts w:hint="eastAsia" w:ascii="宋体" w:hAnsi="宋体" w:cs="宋体"/>
          <w:color w:val="auto"/>
          <w:szCs w:val="21"/>
          <w:lang w:eastAsia="zh-CN"/>
        </w:rPr>
        <w:t>5</w:t>
      </w:r>
      <w:r>
        <w:rPr>
          <w:rFonts w:hint="eastAsia" w:ascii="宋体" w:hAnsi="宋体" w:cs="宋体"/>
          <w:color w:val="auto"/>
          <w:szCs w:val="21"/>
        </w:rPr>
        <w:t>.3乙方有权根据合同约定向甲方收取</w:t>
      </w:r>
      <w:r>
        <w:rPr>
          <w:rFonts w:hint="eastAsia" w:ascii="宋体" w:hAnsi="宋体" w:cs="宋体"/>
          <w:color w:val="auto"/>
          <w:szCs w:val="21"/>
          <w:lang w:eastAsia="zh-CN"/>
        </w:rPr>
        <w:t>合同价款</w:t>
      </w:r>
      <w:r>
        <w:rPr>
          <w:rFonts w:hint="eastAsia" w:ascii="宋体" w:hAnsi="宋体" w:cs="宋体"/>
          <w:color w:val="auto"/>
          <w:szCs w:val="21"/>
        </w:rPr>
        <w:t>。</w:t>
      </w:r>
    </w:p>
    <w:p w14:paraId="5672473C">
      <w:pPr>
        <w:pStyle w:val="10"/>
        <w:spacing w:after="0" w:line="400" w:lineRule="exact"/>
        <w:ind w:firstLine="369" w:firstLineChars="176"/>
        <w:rPr>
          <w:rFonts w:hint="eastAsia" w:ascii="宋体" w:hAnsi="宋体" w:cs="宋体"/>
          <w:color w:val="auto"/>
          <w:szCs w:val="21"/>
        </w:rPr>
      </w:pPr>
      <w:r>
        <w:rPr>
          <w:rFonts w:hint="eastAsia" w:ascii="宋体" w:hAnsi="宋体" w:cs="宋体"/>
          <w:color w:val="auto"/>
          <w:szCs w:val="21"/>
          <w:lang w:eastAsia="zh-CN"/>
        </w:rPr>
        <w:t>5</w:t>
      </w:r>
      <w:r>
        <w:rPr>
          <w:rFonts w:hint="eastAsia" w:ascii="宋体" w:hAnsi="宋体" w:cs="宋体"/>
          <w:color w:val="auto"/>
          <w:szCs w:val="21"/>
        </w:rPr>
        <w:t>.4国家法律法规规定</w:t>
      </w:r>
      <w:r>
        <w:rPr>
          <w:rFonts w:hint="eastAsia" w:ascii="宋体" w:hAnsi="宋体" w:cs="宋体"/>
          <w:color w:val="auto"/>
          <w:szCs w:val="21"/>
          <w:lang w:eastAsia="zh-CN"/>
        </w:rPr>
        <w:t>及</w:t>
      </w:r>
      <w:r>
        <w:rPr>
          <w:rFonts w:hint="eastAsia" w:ascii="宋体" w:hAnsi="宋体" w:cs="宋体"/>
          <w:b/>
          <w:bCs/>
          <w:color w:val="auto"/>
          <w:szCs w:val="21"/>
        </w:rPr>
        <w:t>【政府采购合同专用条款】</w:t>
      </w:r>
      <w:r>
        <w:rPr>
          <w:rFonts w:hint="eastAsia" w:ascii="宋体" w:hAnsi="宋体" w:cs="宋体"/>
          <w:color w:val="auto"/>
          <w:szCs w:val="21"/>
          <w:lang w:eastAsia="zh-CN"/>
        </w:rPr>
        <w:t>约定应</w:t>
      </w:r>
      <w:r>
        <w:rPr>
          <w:rFonts w:hint="eastAsia" w:ascii="宋体" w:hAnsi="宋体" w:cs="宋体"/>
          <w:color w:val="auto"/>
          <w:szCs w:val="21"/>
        </w:rPr>
        <w:t>由乙方承担的其他义务和责任。</w:t>
      </w:r>
    </w:p>
    <w:p w14:paraId="45E6BBCA">
      <w:pPr>
        <w:autoSpaceDE w:val="0"/>
        <w:autoSpaceDN w:val="0"/>
        <w:adjustRightInd w:val="0"/>
        <w:snapToGrid w:val="0"/>
        <w:spacing w:line="400" w:lineRule="exact"/>
        <w:jc w:val="left"/>
        <w:rPr>
          <w:rFonts w:hint="eastAsia" w:ascii="宋体" w:hAnsi="宋体" w:cs="宋体"/>
          <w:b/>
          <w:bCs/>
          <w:color w:val="auto"/>
          <w:sz w:val="24"/>
        </w:rPr>
      </w:pPr>
      <w:r>
        <w:rPr>
          <w:rFonts w:hint="eastAsia" w:ascii="宋体" w:hAnsi="宋体" w:cs="宋体"/>
          <w:b/>
          <w:bCs/>
          <w:color w:val="auto"/>
          <w:sz w:val="24"/>
        </w:rPr>
        <w:t>合同履行</w:t>
      </w:r>
    </w:p>
    <w:p w14:paraId="5CC7F218">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6.1甲乙双方应当按照</w:t>
      </w:r>
      <w:r>
        <w:rPr>
          <w:rFonts w:hint="eastAsia" w:ascii="宋体" w:hAnsi="宋体" w:cs="宋体"/>
          <w:b/>
          <w:bCs/>
          <w:color w:val="auto"/>
          <w:szCs w:val="21"/>
        </w:rPr>
        <w:t>【政府采购合同专用条款】</w:t>
      </w:r>
      <w:r>
        <w:rPr>
          <w:rFonts w:hint="eastAsia" w:ascii="宋体" w:hAnsi="宋体" w:cs="宋体"/>
          <w:color w:val="auto"/>
          <w:szCs w:val="21"/>
        </w:rPr>
        <w:t>约定顺序履行合同义务；如果没有先后顺序的，应当同时履行。</w:t>
      </w:r>
    </w:p>
    <w:p w14:paraId="2954CC9F">
      <w:pPr>
        <w:autoSpaceDE w:val="0"/>
        <w:autoSpaceDN w:val="0"/>
        <w:adjustRightInd w:val="0"/>
        <w:snapToGrid w:val="0"/>
        <w:spacing w:line="400" w:lineRule="exact"/>
        <w:ind w:firstLine="420" w:firstLineChars="200"/>
        <w:jc w:val="left"/>
        <w:rPr>
          <w:rFonts w:hint="eastAsia" w:ascii="宋体" w:hAnsi="宋体" w:cs="宋体"/>
          <w:color w:val="auto"/>
        </w:rPr>
      </w:pPr>
      <w:r>
        <w:rPr>
          <w:rFonts w:hint="eastAsia" w:ascii="宋体" w:hAnsi="宋体" w:cs="宋体"/>
          <w:color w:val="auto"/>
          <w:szCs w:val="21"/>
        </w:rPr>
        <w:t>6.2甲乙双方按照合同约定顺序履行合同义务时，应当先履行一方未履行的，后履行一方有权拒绝其履行请求。先履行一方履行不符合约定的，后履行一方有权拒绝其相应的履行请求。</w:t>
      </w:r>
    </w:p>
    <w:p w14:paraId="6A656F76">
      <w:pPr>
        <w:adjustRightInd w:val="0"/>
        <w:snapToGrid w:val="0"/>
        <w:spacing w:line="400" w:lineRule="exact"/>
        <w:jc w:val="left"/>
        <w:rPr>
          <w:rFonts w:hint="eastAsia" w:ascii="宋体" w:hAnsi="宋体" w:cs="宋体"/>
          <w:b/>
          <w:bCs/>
          <w:color w:val="auto"/>
          <w:sz w:val="24"/>
        </w:rPr>
      </w:pPr>
      <w:r>
        <w:rPr>
          <w:rFonts w:hint="eastAsia" w:ascii="宋体" w:hAnsi="宋体" w:cs="宋体"/>
          <w:b/>
          <w:bCs/>
          <w:color w:val="auto"/>
          <w:sz w:val="24"/>
        </w:rPr>
        <w:t>7.货物包装、运输、保险和交付要求</w:t>
      </w:r>
    </w:p>
    <w:p w14:paraId="7FF04643">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7.1本合同</w:t>
      </w:r>
      <w:r>
        <w:rPr>
          <w:rFonts w:hint="eastAsia" w:ascii="宋体" w:hAnsi="宋体" w:cs="宋体"/>
          <w:bCs/>
          <w:color w:val="auto"/>
          <w:szCs w:val="21"/>
        </w:rPr>
        <w:t>涉及商品包装、快递包装的，</w:t>
      </w:r>
      <w:r>
        <w:rPr>
          <w:rFonts w:hint="eastAsia" w:ascii="宋体" w:hAnsi="宋体" w:cs="宋体"/>
          <w:color w:val="auto"/>
          <w:szCs w:val="21"/>
        </w:rPr>
        <w:t>除</w:t>
      </w:r>
      <w:r>
        <w:rPr>
          <w:rFonts w:hint="eastAsia" w:ascii="宋体" w:hAnsi="宋体" w:cs="宋体"/>
          <w:b/>
          <w:color w:val="auto"/>
          <w:szCs w:val="21"/>
        </w:rPr>
        <w:t>【政府采购合同专用条款】</w:t>
      </w:r>
      <w:r>
        <w:rPr>
          <w:rFonts w:hint="eastAsia" w:ascii="宋体" w:hAnsi="宋体" w:cs="宋体"/>
          <w:bCs/>
          <w:color w:val="auto"/>
          <w:szCs w:val="21"/>
        </w:rPr>
        <w:t>另有约定外，</w:t>
      </w:r>
      <w:r>
        <w:rPr>
          <w:rFonts w:hint="eastAsia" w:ascii="宋体" w:hAnsi="宋体" w:cs="宋体"/>
          <w:color w:val="auto"/>
          <w:szCs w:val="21"/>
        </w:rPr>
        <w:t>包装应适应远距离运输、防潮、防震、防锈和防野蛮装卸等要求，确保货物安全无损地运抵</w:t>
      </w:r>
      <w:r>
        <w:rPr>
          <w:rFonts w:hint="eastAsia" w:ascii="宋体" w:hAnsi="宋体" w:cs="宋体"/>
          <w:b/>
          <w:color w:val="auto"/>
          <w:szCs w:val="21"/>
        </w:rPr>
        <w:t>【政府采购合同专用条款】</w:t>
      </w:r>
      <w:r>
        <w:rPr>
          <w:rFonts w:hint="eastAsia" w:ascii="宋体" w:hAnsi="宋体" w:cs="宋体"/>
          <w:bCs/>
          <w:color w:val="auto"/>
          <w:szCs w:val="21"/>
        </w:rPr>
        <w:t>约定的</w:t>
      </w:r>
      <w:r>
        <w:rPr>
          <w:rFonts w:hint="eastAsia" w:ascii="宋体" w:hAnsi="宋体" w:cs="宋体"/>
          <w:color w:val="auto"/>
          <w:szCs w:val="21"/>
        </w:rPr>
        <w:t>指定现场。</w:t>
      </w:r>
    </w:p>
    <w:p w14:paraId="33880317">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7.2除</w:t>
      </w:r>
      <w:r>
        <w:rPr>
          <w:rFonts w:hint="eastAsia" w:ascii="宋体" w:hAnsi="宋体" w:cs="宋体"/>
          <w:b/>
          <w:color w:val="auto"/>
          <w:szCs w:val="21"/>
        </w:rPr>
        <w:t>【政府采购合同专用条款】</w:t>
      </w:r>
      <w:r>
        <w:rPr>
          <w:rFonts w:hint="eastAsia" w:ascii="宋体" w:hAnsi="宋体" w:cs="宋体"/>
          <w:bCs/>
          <w:color w:val="auto"/>
          <w:szCs w:val="21"/>
        </w:rPr>
        <w:t>另有约定外，</w:t>
      </w:r>
      <w:r>
        <w:rPr>
          <w:rFonts w:hint="eastAsia" w:ascii="宋体" w:hAnsi="宋体" w:cs="宋体"/>
          <w:color w:val="auto"/>
          <w:szCs w:val="21"/>
        </w:rPr>
        <w:t>乙方负责办理将货物运抵本合同规定的交货地点，并装卸、交付至甲方的一切运输事项，相关费用应包含在合同价款中。</w:t>
      </w:r>
    </w:p>
    <w:p w14:paraId="0ACC65C9">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7.3货物保险要求按</w:t>
      </w:r>
      <w:r>
        <w:rPr>
          <w:rFonts w:hint="eastAsia" w:ascii="宋体" w:hAnsi="宋体" w:cs="宋体"/>
          <w:b/>
          <w:color w:val="auto"/>
          <w:szCs w:val="21"/>
        </w:rPr>
        <w:t>【政府采购合同专用条款】</w:t>
      </w:r>
      <w:r>
        <w:rPr>
          <w:rFonts w:hint="eastAsia" w:ascii="宋体" w:hAnsi="宋体" w:cs="宋体"/>
          <w:bCs/>
          <w:color w:val="auto"/>
          <w:szCs w:val="21"/>
        </w:rPr>
        <w:t>规定执行</w:t>
      </w:r>
      <w:r>
        <w:rPr>
          <w:rFonts w:hint="eastAsia" w:ascii="宋体" w:hAnsi="宋体" w:cs="宋体"/>
          <w:color w:val="auto"/>
          <w:szCs w:val="21"/>
        </w:rPr>
        <w:t>。</w:t>
      </w:r>
    </w:p>
    <w:p w14:paraId="2779D43C">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7.4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4853D45">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7.5乙方在运输到达之前应提前通知甲方，并提示货物运输装卸的注意事项，甲方配合乙方做好货物的接收工作。</w:t>
      </w:r>
    </w:p>
    <w:p w14:paraId="5ADA1944">
      <w:pPr>
        <w:pStyle w:val="125"/>
        <w:ind w:firstLine="420"/>
        <w:rPr>
          <w:rFonts w:hint="eastAsia" w:ascii="宋体" w:hAnsi="宋体" w:eastAsia="宋体" w:cs="宋体"/>
          <w:color w:val="auto"/>
          <w:sz w:val="21"/>
        </w:rPr>
      </w:pPr>
      <w:r>
        <w:rPr>
          <w:rFonts w:hint="eastAsia" w:ascii="宋体" w:hAnsi="宋体" w:eastAsia="宋体" w:cs="宋体"/>
          <w:color w:val="auto"/>
          <w:kern w:val="2"/>
          <w:sz w:val="21"/>
        </w:rPr>
        <w:t>7.6如因包装、运输问题导致货物损毁、丢失或者品质下降，甲方有权要求降价、换货、拒收部分或整批货物，由此产生的费用和损失，均由乙方承担。</w:t>
      </w:r>
    </w:p>
    <w:p w14:paraId="2F0BAB19">
      <w:pPr>
        <w:adjustRightInd w:val="0"/>
        <w:snapToGrid w:val="0"/>
        <w:spacing w:line="400" w:lineRule="exact"/>
        <w:jc w:val="left"/>
        <w:rPr>
          <w:rFonts w:hint="eastAsia" w:ascii="宋体" w:hAnsi="宋体" w:cs="宋体"/>
          <w:b/>
          <w:color w:val="auto"/>
          <w:sz w:val="24"/>
        </w:rPr>
      </w:pPr>
      <w:r>
        <w:rPr>
          <w:rFonts w:hint="eastAsia" w:ascii="宋体" w:hAnsi="宋体" w:cs="宋体"/>
          <w:b/>
          <w:color w:val="auto"/>
          <w:sz w:val="24"/>
        </w:rPr>
        <w:t>8.质量标准和保证</w:t>
      </w:r>
    </w:p>
    <w:p w14:paraId="51920319">
      <w:pPr>
        <w:pStyle w:val="14"/>
        <w:adjustRightInd w:val="0"/>
        <w:snapToGrid w:val="0"/>
        <w:spacing w:line="400" w:lineRule="exact"/>
        <w:ind w:firstLine="400" w:firstLineChars="200"/>
        <w:jc w:val="left"/>
        <w:rPr>
          <w:rFonts w:hint="eastAsia" w:hAnsi="宋体" w:cs="宋体"/>
          <w:b/>
          <w:color w:val="auto"/>
        </w:rPr>
      </w:pPr>
      <w:r>
        <w:rPr>
          <w:rFonts w:hint="eastAsia" w:hAnsi="宋体" w:cs="宋体"/>
          <w:color w:val="auto"/>
        </w:rPr>
        <w:t>8.1质量标准</w:t>
      </w:r>
    </w:p>
    <w:p w14:paraId="3FF85EDB">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9A21524">
      <w:pPr>
        <w:pStyle w:val="14"/>
        <w:adjustRightInd w:val="0"/>
        <w:snapToGrid w:val="0"/>
        <w:spacing w:line="400" w:lineRule="exact"/>
        <w:ind w:firstLine="400" w:firstLineChars="200"/>
        <w:jc w:val="left"/>
        <w:rPr>
          <w:rFonts w:hint="eastAsia" w:hAnsi="宋体" w:cs="宋体"/>
          <w:color w:val="auto"/>
        </w:rPr>
      </w:pPr>
      <w:r>
        <w:rPr>
          <w:rFonts w:hint="eastAsia" w:hAnsi="宋体" w:cs="宋体"/>
          <w:color w:val="auto"/>
        </w:rPr>
        <w:t>（2）采用中华人民共和国法定计量单位。</w:t>
      </w:r>
    </w:p>
    <w:p w14:paraId="3A12C5B7">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（3）乙方所提供的货物应符合国家有关安全、环保、卫生的规定。</w:t>
      </w:r>
    </w:p>
    <w:p w14:paraId="1A690351">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（4）乙方应向甲方提交所提供货物的技术文件，包括相应的中文技术文件，如：产品目录、图纸、操作手册、使用说明、维护手册或服务指南等。上述文件应包装好随货物一同发运。</w:t>
      </w:r>
    </w:p>
    <w:p w14:paraId="5D6207C4">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8.2保证</w:t>
      </w:r>
    </w:p>
    <w:p w14:paraId="03B6988B">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Cs w:val="21"/>
        </w:rPr>
        <w:t>【政府采购合同专用条款】</w:t>
      </w:r>
      <w:r>
        <w:rPr>
          <w:rFonts w:hint="eastAsia" w:ascii="宋体" w:hAnsi="宋体" w:cs="宋体"/>
          <w:color w:val="auto"/>
          <w:szCs w:val="21"/>
        </w:rPr>
        <w:t>规定或乙方书面承诺（两者以较长的为准）的质量保证期内，本保证保持有效。</w:t>
      </w:r>
    </w:p>
    <w:p w14:paraId="4238F77E">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（2）在质量保证期内所发现的缺陷，甲方应尽快以书面形式通知乙方。</w:t>
      </w:r>
    </w:p>
    <w:p w14:paraId="29DB029B">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（3）乙方收到通知后，应在</w:t>
      </w:r>
      <w:r>
        <w:rPr>
          <w:rFonts w:hint="eastAsia" w:ascii="宋体" w:hAnsi="宋体" w:cs="宋体"/>
          <w:b/>
          <w:color w:val="auto"/>
          <w:szCs w:val="21"/>
        </w:rPr>
        <w:t>【政府采购合同专用条款】</w:t>
      </w:r>
      <w:r>
        <w:rPr>
          <w:rFonts w:hint="eastAsia" w:ascii="宋体" w:hAnsi="宋体" w:cs="宋体"/>
          <w:color w:val="auto"/>
          <w:szCs w:val="21"/>
        </w:rPr>
        <w:t>规定的响应时间内以合理的速度免费维修或更换有缺陷的货物或部件。</w:t>
      </w:r>
    </w:p>
    <w:p w14:paraId="468DFC2F">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6ED36BC0">
      <w:pPr>
        <w:adjustRightInd w:val="0"/>
        <w:snapToGrid w:val="0"/>
        <w:spacing w:line="400" w:lineRule="exact"/>
        <w:ind w:firstLine="420" w:firstLineChars="200"/>
        <w:jc w:val="left"/>
        <w:rPr>
          <w:rFonts w:hint="eastAsia" w:ascii="宋体" w:hAnsi="宋体" w:cs="宋体"/>
          <w:color w:val="auto"/>
        </w:rPr>
      </w:pPr>
      <w:r>
        <w:rPr>
          <w:rFonts w:hint="eastAsia" w:ascii="宋体" w:hAnsi="宋体" w:cs="宋体"/>
          <w:color w:val="auto"/>
          <w:szCs w:val="21"/>
        </w:rPr>
        <w:t>（5）乙方在约定的时间内未能弥补缺陷，甲方可采取必要的补救措施，但其风险和费用将由乙方承担，甲方根据合同约定对乙方行使的其他权利不受影响。</w:t>
      </w:r>
    </w:p>
    <w:p w14:paraId="40E118D0">
      <w:pPr>
        <w:adjustRightInd w:val="0"/>
        <w:snapToGrid w:val="0"/>
        <w:spacing w:line="400" w:lineRule="exact"/>
        <w:jc w:val="left"/>
        <w:rPr>
          <w:rFonts w:hint="eastAsia" w:ascii="宋体" w:hAnsi="宋体" w:cs="宋体"/>
          <w:b/>
          <w:bCs/>
          <w:color w:val="auto"/>
          <w:sz w:val="24"/>
        </w:rPr>
      </w:pPr>
      <w:r>
        <w:rPr>
          <w:rFonts w:hint="eastAsia" w:ascii="宋体" w:hAnsi="宋体" w:cs="宋体"/>
          <w:b/>
          <w:bCs/>
          <w:color w:val="auto"/>
          <w:sz w:val="24"/>
        </w:rPr>
        <w:t>9.权利瑕疵担保</w:t>
      </w:r>
    </w:p>
    <w:p w14:paraId="33311C9D">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9.1乙方保证对其出售的货物享有合法的权利。</w:t>
      </w:r>
    </w:p>
    <w:p w14:paraId="1F426D2E">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9.2</w:t>
      </w:r>
      <w:r>
        <w:rPr>
          <w:rFonts w:hint="eastAsia" w:ascii="宋体" w:hAnsi="宋体" w:cs="宋体"/>
          <w:color w:val="auto"/>
          <w:szCs w:val="15"/>
        </w:rPr>
        <w:t>乙方保证在交付的货物上不存在抵押权等担保物权。</w:t>
      </w:r>
    </w:p>
    <w:p w14:paraId="2DCF5DEA">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9.3如甲方使用上述货物构成对第三人侵权的，则由乙方承担全部责任。</w:t>
      </w:r>
    </w:p>
    <w:p w14:paraId="7635F0FC">
      <w:pPr>
        <w:autoSpaceDE w:val="0"/>
        <w:autoSpaceDN w:val="0"/>
        <w:adjustRightInd w:val="0"/>
        <w:snapToGrid w:val="0"/>
        <w:spacing w:line="400" w:lineRule="exact"/>
        <w:jc w:val="left"/>
        <w:rPr>
          <w:rFonts w:hint="eastAsia" w:ascii="宋体" w:hAnsi="宋体" w:cs="宋体"/>
          <w:b/>
          <w:bCs/>
          <w:color w:val="auto"/>
          <w:sz w:val="24"/>
        </w:rPr>
      </w:pPr>
      <w:r>
        <w:rPr>
          <w:rFonts w:hint="eastAsia" w:ascii="宋体" w:hAnsi="宋体" w:cs="宋体"/>
          <w:b/>
          <w:bCs/>
          <w:color w:val="auto"/>
          <w:sz w:val="24"/>
        </w:rPr>
        <w:t>10.知识产权保护</w:t>
      </w:r>
    </w:p>
    <w:p w14:paraId="04682E6C">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10.1乙方对其所销售的货物应当享有知识产权或经权利人合法授权，保证没有侵犯任何第三人的知识产权等权利。</w:t>
      </w:r>
      <w:bookmarkStart w:id="89"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89"/>
      <w:r>
        <w:rPr>
          <w:rFonts w:hint="eastAsia" w:ascii="宋体" w:hAnsi="宋体" w:cs="宋体"/>
          <w:color w:val="auto"/>
          <w:szCs w:val="21"/>
        </w:rPr>
        <w:t>。</w:t>
      </w:r>
    </w:p>
    <w:p w14:paraId="2607C5E8">
      <w:pPr>
        <w:autoSpaceDE w:val="0"/>
        <w:autoSpaceDN w:val="0"/>
        <w:adjustRightInd w:val="0"/>
        <w:snapToGrid w:val="0"/>
        <w:spacing w:line="400" w:lineRule="exact"/>
        <w:jc w:val="left"/>
        <w:rPr>
          <w:rFonts w:hint="eastAsia" w:ascii="宋体" w:hAnsi="宋体" w:cs="宋体"/>
          <w:b/>
          <w:bCs/>
          <w:color w:val="auto"/>
          <w:sz w:val="24"/>
        </w:rPr>
      </w:pPr>
      <w:r>
        <w:rPr>
          <w:rFonts w:hint="eastAsia" w:ascii="宋体" w:hAnsi="宋体" w:cs="宋体"/>
          <w:b/>
          <w:bCs/>
          <w:color w:val="auto"/>
          <w:sz w:val="24"/>
        </w:rPr>
        <w:t>11.保密义务</w:t>
      </w:r>
    </w:p>
    <w:p w14:paraId="0FE5DE79">
      <w:pPr>
        <w:autoSpaceDE w:val="0"/>
        <w:autoSpaceDN w:val="0"/>
        <w:adjustRightInd w:val="0"/>
        <w:snapToGrid w:val="0"/>
        <w:spacing w:line="400" w:lineRule="exact"/>
        <w:ind w:firstLine="420" w:firstLineChars="200"/>
        <w:jc w:val="left"/>
        <w:rPr>
          <w:rFonts w:hint="eastAsia" w:ascii="宋体" w:hAnsi="宋体" w:cs="宋体"/>
          <w:color w:val="auto"/>
          <w:szCs w:val="15"/>
        </w:rPr>
      </w:pPr>
      <w:r>
        <w:rPr>
          <w:rFonts w:hint="eastAsia" w:ascii="宋体" w:hAnsi="宋体" w:cs="宋体"/>
          <w:color w:val="auto"/>
          <w:szCs w:val="15"/>
        </w:rPr>
        <w:t>11.1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07B9A6C1">
      <w:pPr>
        <w:autoSpaceDE w:val="0"/>
        <w:autoSpaceDN w:val="0"/>
        <w:adjustRightInd w:val="0"/>
        <w:snapToGrid w:val="0"/>
        <w:spacing w:line="400" w:lineRule="exact"/>
        <w:jc w:val="left"/>
        <w:rPr>
          <w:rFonts w:hint="eastAsia" w:ascii="宋体" w:hAnsi="宋体" w:cs="宋体"/>
          <w:b/>
          <w:bCs/>
          <w:color w:val="auto"/>
          <w:sz w:val="24"/>
        </w:rPr>
      </w:pPr>
      <w:r>
        <w:rPr>
          <w:rFonts w:hint="eastAsia" w:ascii="宋体" w:hAnsi="宋体" w:cs="宋体"/>
          <w:b/>
          <w:bCs/>
          <w:color w:val="auto"/>
          <w:sz w:val="24"/>
        </w:rPr>
        <w:t>12.合同价款支付</w:t>
      </w:r>
    </w:p>
    <w:p w14:paraId="045FB412">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12.1合同价款支付按照国库集中支付制度及财政管理相关规定执行。</w:t>
      </w:r>
    </w:p>
    <w:p w14:paraId="56F9CEC3">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12.2对于满足合同约定支付条件的，甲方原则上应当自收到发票后10个工作日内将资金支付到合同约定的乙方账户，不得以机构变动、人员更替、政策调整等为由迟延付款，不得将招标文件和合同中未规定的义务作为向乙方付款的条件。具体合同价款支付时间在</w:t>
      </w:r>
      <w:r>
        <w:rPr>
          <w:rFonts w:hint="eastAsia" w:ascii="宋体" w:hAnsi="宋体" w:cs="宋体"/>
          <w:b/>
          <w:bCs/>
          <w:color w:val="auto"/>
          <w:szCs w:val="21"/>
        </w:rPr>
        <w:t>【政府采购合同专用条款】</w:t>
      </w:r>
      <w:r>
        <w:rPr>
          <w:rFonts w:hint="eastAsia" w:ascii="宋体" w:hAnsi="宋体" w:cs="宋体"/>
          <w:color w:val="auto"/>
          <w:szCs w:val="21"/>
        </w:rPr>
        <w:t>中约定。</w:t>
      </w:r>
    </w:p>
    <w:p w14:paraId="1F259397">
      <w:pPr>
        <w:pStyle w:val="10"/>
        <w:spacing w:after="0" w:line="400" w:lineRule="exact"/>
        <w:rPr>
          <w:rFonts w:hint="eastAsia" w:ascii="宋体" w:hAnsi="宋体" w:cs="宋体"/>
          <w:b/>
          <w:bCs/>
          <w:color w:val="auto"/>
          <w:sz w:val="24"/>
        </w:rPr>
      </w:pPr>
      <w:r>
        <w:rPr>
          <w:rFonts w:hint="eastAsia" w:ascii="宋体" w:hAnsi="宋体" w:cs="宋体"/>
          <w:b/>
          <w:bCs/>
          <w:color w:val="auto"/>
          <w:sz w:val="24"/>
        </w:rPr>
        <w:t>1</w:t>
      </w:r>
      <w:r>
        <w:rPr>
          <w:rFonts w:hint="eastAsia" w:ascii="宋体" w:hAnsi="宋体" w:cs="宋体"/>
          <w:b/>
          <w:bCs/>
          <w:color w:val="auto"/>
          <w:sz w:val="24"/>
          <w:lang w:eastAsia="zh-CN"/>
        </w:rPr>
        <w:t>3</w:t>
      </w:r>
      <w:r>
        <w:rPr>
          <w:rFonts w:hint="eastAsia" w:ascii="宋体" w:hAnsi="宋体" w:cs="宋体"/>
          <w:b/>
          <w:bCs/>
          <w:color w:val="auto"/>
          <w:sz w:val="24"/>
        </w:rPr>
        <w:t>.履约保证金</w:t>
      </w:r>
    </w:p>
    <w:p w14:paraId="56EB9CBD">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13.1</w:t>
      </w:r>
      <w:r>
        <w:rPr>
          <w:rFonts w:hint="eastAsia" w:ascii="宋体" w:hAnsi="宋体" w:cs="宋体"/>
          <w:color w:val="auto"/>
          <w:szCs w:val="15"/>
        </w:rPr>
        <w:t>乙方应当以支票、汇票、本票或者金融机构、担保机构出具的保函等非现金形式提交。</w:t>
      </w:r>
    </w:p>
    <w:p w14:paraId="41184D9E">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13.2如果乙方出现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s="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3F94741D">
      <w:pPr>
        <w:spacing w:line="400" w:lineRule="exact"/>
        <w:ind w:firstLine="420"/>
        <w:rPr>
          <w:rFonts w:hint="eastAsia" w:ascii="宋体" w:hAnsi="宋体" w:cs="宋体"/>
          <w:color w:val="auto"/>
        </w:rPr>
      </w:pPr>
      <w:r>
        <w:rPr>
          <w:rFonts w:hint="eastAsia" w:ascii="宋体" w:hAnsi="宋体" w:cs="宋体"/>
          <w:color w:val="auto"/>
          <w:szCs w:val="21"/>
        </w:rPr>
        <w:t>13.3甲方在项目通过验收后按照</w:t>
      </w:r>
      <w:r>
        <w:rPr>
          <w:rFonts w:hint="eastAsia" w:ascii="宋体" w:hAnsi="宋体" w:cs="宋体"/>
          <w:b/>
          <w:color w:val="auto"/>
          <w:szCs w:val="21"/>
        </w:rPr>
        <w:t>【政府采购合同专用条款】</w:t>
      </w:r>
      <w:r>
        <w:rPr>
          <w:rFonts w:hint="eastAsia" w:ascii="宋体" w:hAnsi="宋体" w:cs="宋体"/>
          <w:color w:val="auto"/>
          <w:szCs w:val="21"/>
        </w:rPr>
        <w:t>规定的时间内将履约保证金退还乙方；逾期退还的，乙方可要求甲方支付违约金，违约金按照</w:t>
      </w:r>
      <w:r>
        <w:rPr>
          <w:rFonts w:hint="eastAsia" w:ascii="宋体" w:hAnsi="宋体" w:cs="宋体"/>
          <w:b/>
          <w:color w:val="auto"/>
          <w:szCs w:val="21"/>
        </w:rPr>
        <w:t>【政府采购合同专用条款】</w:t>
      </w:r>
      <w:r>
        <w:rPr>
          <w:rFonts w:hint="eastAsia" w:ascii="宋体" w:hAnsi="宋体" w:cs="宋体"/>
          <w:color w:val="auto"/>
          <w:szCs w:val="21"/>
        </w:rPr>
        <w:t>规定支付。</w:t>
      </w:r>
    </w:p>
    <w:p w14:paraId="79D3512F">
      <w:pPr>
        <w:autoSpaceDE w:val="0"/>
        <w:autoSpaceDN w:val="0"/>
        <w:adjustRightInd w:val="0"/>
        <w:snapToGrid w:val="0"/>
        <w:spacing w:line="400" w:lineRule="exact"/>
        <w:jc w:val="left"/>
        <w:rPr>
          <w:rFonts w:hint="eastAsia" w:ascii="宋体" w:hAnsi="宋体" w:cs="宋体"/>
          <w:b/>
          <w:color w:val="auto"/>
          <w:sz w:val="24"/>
        </w:rPr>
      </w:pPr>
      <w:r>
        <w:rPr>
          <w:rFonts w:hint="eastAsia" w:ascii="宋体" w:hAnsi="宋体" w:cs="宋体"/>
          <w:b/>
          <w:bCs/>
          <w:color w:val="auto"/>
          <w:sz w:val="24"/>
        </w:rPr>
        <w:t>14.</w:t>
      </w:r>
      <w:r>
        <w:rPr>
          <w:rFonts w:hint="eastAsia" w:ascii="宋体" w:hAnsi="宋体" w:cs="宋体"/>
          <w:b/>
          <w:color w:val="auto"/>
          <w:sz w:val="24"/>
        </w:rPr>
        <w:t>售后服务</w:t>
      </w:r>
    </w:p>
    <w:p w14:paraId="75E43127">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14.1除项目不涉及或采购活动中明确约定无须承担外，乙方还应提供下列服务：</w:t>
      </w:r>
    </w:p>
    <w:p w14:paraId="347D2802">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（1）货物的现场移动、安装、调试、启动监督及技术支持；</w:t>
      </w:r>
    </w:p>
    <w:p w14:paraId="3986EC28">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（2）提供货物组装和维修所需的专用工具和辅助材料；</w:t>
      </w:r>
    </w:p>
    <w:p w14:paraId="1B8B10A7">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（3）在</w:t>
      </w:r>
      <w:r>
        <w:rPr>
          <w:rFonts w:hint="eastAsia" w:ascii="宋体" w:hAnsi="宋体" w:cs="宋体"/>
          <w:b/>
          <w:bCs/>
          <w:color w:val="auto"/>
          <w:szCs w:val="15"/>
        </w:rPr>
        <w:t>【政府采购合同专用条款】</w:t>
      </w:r>
      <w:r>
        <w:rPr>
          <w:rFonts w:hint="eastAsia" w:ascii="宋体" w:hAnsi="宋体" w:cs="宋体"/>
          <w:color w:val="auto"/>
          <w:szCs w:val="21"/>
        </w:rPr>
        <w:t>约定的期限内对所有的货物实施运行监督、维修，但前提条件是该服务并不能免除乙方在质量保证期内所承担的义务；</w:t>
      </w:r>
    </w:p>
    <w:p w14:paraId="217C17DC">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6C6B5627">
      <w:pPr>
        <w:pStyle w:val="125"/>
        <w:ind w:firstLine="420"/>
        <w:rPr>
          <w:rFonts w:hint="eastAsia"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4BCD8FE6">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（6）</w:t>
      </w:r>
      <w:r>
        <w:rPr>
          <w:rFonts w:hint="eastAsia" w:ascii="宋体" w:hAnsi="宋体" w:cs="宋体"/>
          <w:b/>
          <w:color w:val="auto"/>
          <w:szCs w:val="21"/>
        </w:rPr>
        <w:t>【政府采购合同专用条款】</w:t>
      </w:r>
      <w:r>
        <w:rPr>
          <w:rFonts w:hint="eastAsia" w:ascii="宋体" w:hAnsi="宋体" w:cs="宋体"/>
          <w:color w:val="auto"/>
          <w:szCs w:val="21"/>
        </w:rPr>
        <w:t>规定由乙方提供的其他服务。</w:t>
      </w:r>
    </w:p>
    <w:p w14:paraId="06A55206">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14.2乙方提供的售后服务的费用已包含在合同价款中，甲方不再另行支付。</w:t>
      </w:r>
    </w:p>
    <w:p w14:paraId="4E398C0D">
      <w:pPr>
        <w:adjustRightInd w:val="0"/>
        <w:snapToGrid w:val="0"/>
        <w:spacing w:line="400" w:lineRule="exact"/>
        <w:jc w:val="left"/>
        <w:rPr>
          <w:rFonts w:hint="eastAsia" w:ascii="宋体" w:hAnsi="宋体" w:cs="宋体"/>
          <w:b/>
          <w:bCs/>
          <w:color w:val="auto"/>
          <w:sz w:val="24"/>
        </w:rPr>
      </w:pPr>
      <w:r>
        <w:rPr>
          <w:rFonts w:hint="eastAsia" w:ascii="宋体" w:hAnsi="宋体" w:cs="宋体"/>
          <w:b/>
          <w:bCs/>
          <w:color w:val="auto"/>
          <w:sz w:val="24"/>
        </w:rPr>
        <w:t>15.违约责任</w:t>
      </w:r>
    </w:p>
    <w:p w14:paraId="5DFDA022">
      <w:pPr>
        <w:adjustRightInd w:val="0"/>
        <w:snapToGrid w:val="0"/>
        <w:spacing w:line="400" w:lineRule="exact"/>
        <w:ind w:firstLine="420" w:firstLineChars="200"/>
        <w:jc w:val="left"/>
        <w:rPr>
          <w:rFonts w:hint="eastAsia" w:ascii="宋体" w:hAnsi="宋体" w:cs="宋体"/>
          <w:bCs/>
          <w:color w:val="auto"/>
          <w:szCs w:val="21"/>
        </w:rPr>
      </w:pPr>
      <w:r>
        <w:rPr>
          <w:rFonts w:hint="eastAsia" w:ascii="宋体" w:hAnsi="宋体" w:cs="宋体"/>
          <w:bCs/>
          <w:color w:val="auto"/>
          <w:szCs w:val="21"/>
        </w:rPr>
        <w:t>15.1质量瑕疵的违约责任</w:t>
      </w:r>
    </w:p>
    <w:p w14:paraId="64705105">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乙方提供的产品不符合合同约定的质量标准或存在产品质量缺陷，甲方有权要求乙方根据</w:t>
      </w:r>
      <w:r>
        <w:rPr>
          <w:rFonts w:hint="eastAsia" w:ascii="宋体" w:hAnsi="宋体" w:cs="宋体"/>
          <w:b/>
          <w:color w:val="auto"/>
          <w:szCs w:val="21"/>
        </w:rPr>
        <w:t>【政府采购合同专用条款】</w:t>
      </w:r>
      <w:r>
        <w:rPr>
          <w:rFonts w:hint="eastAsia" w:ascii="宋体" w:hAnsi="宋体" w:cs="宋体"/>
          <w:bCs/>
          <w:color w:val="auto"/>
          <w:szCs w:val="21"/>
        </w:rPr>
        <w:t>要求</w:t>
      </w:r>
      <w:r>
        <w:rPr>
          <w:rFonts w:hint="eastAsia" w:ascii="宋体" w:hAnsi="宋体" w:cs="宋体"/>
          <w:color w:val="auto"/>
          <w:szCs w:val="21"/>
        </w:rPr>
        <w:t>及时修理、重作、更换，并承担由此给甲方造成的损失。</w:t>
      </w:r>
    </w:p>
    <w:p w14:paraId="48BD2019">
      <w:pPr>
        <w:autoSpaceDE w:val="0"/>
        <w:autoSpaceDN w:val="0"/>
        <w:adjustRightInd w:val="0"/>
        <w:snapToGrid w:val="0"/>
        <w:spacing w:line="400" w:lineRule="exact"/>
        <w:ind w:firstLine="420" w:firstLineChars="200"/>
        <w:jc w:val="left"/>
        <w:rPr>
          <w:rFonts w:hint="eastAsia" w:ascii="宋体" w:hAnsi="宋体" w:cs="宋体"/>
          <w:bCs/>
          <w:color w:val="auto"/>
          <w:szCs w:val="21"/>
        </w:rPr>
      </w:pPr>
      <w:r>
        <w:rPr>
          <w:rFonts w:hint="eastAsia" w:ascii="宋体" w:hAnsi="宋体" w:cs="宋体"/>
          <w:bCs/>
          <w:color w:val="auto"/>
          <w:szCs w:val="21"/>
        </w:rPr>
        <w:t>15.2迟延交货的违约责任</w:t>
      </w:r>
    </w:p>
    <w:p w14:paraId="12CB1C04">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0BDCF33">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cs="宋体"/>
          <w:b/>
          <w:color w:val="auto"/>
          <w:szCs w:val="21"/>
        </w:rPr>
        <w:t>【政府采购合同专用条款】</w:t>
      </w:r>
      <w:r>
        <w:rPr>
          <w:rFonts w:hint="eastAsia" w:ascii="宋体" w:hAnsi="宋体" w:cs="宋体"/>
          <w:color w:val="auto"/>
          <w:szCs w:val="21"/>
        </w:rPr>
        <w:t>规定执行。如果涉及公共利益，且赔偿金额无法弥补公共利益损失，甲方可要求继续履行或者采取其他补救措施。</w:t>
      </w:r>
    </w:p>
    <w:p w14:paraId="6D140B03">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15.3迟延支付的违约责任</w:t>
      </w:r>
    </w:p>
    <w:p w14:paraId="385C04FE">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甲方存在迟延支付乙方合同款项的，应当承担</w:t>
      </w:r>
      <w:r>
        <w:rPr>
          <w:rFonts w:hint="eastAsia" w:ascii="宋体" w:hAnsi="宋体" w:cs="宋体"/>
          <w:b/>
          <w:bCs/>
          <w:color w:val="auto"/>
          <w:szCs w:val="21"/>
        </w:rPr>
        <w:t>【政府采购合同专用条款】</w:t>
      </w:r>
      <w:r>
        <w:rPr>
          <w:rFonts w:hint="eastAsia" w:ascii="宋体" w:hAnsi="宋体" w:cs="宋体"/>
          <w:color w:val="auto"/>
          <w:szCs w:val="21"/>
        </w:rPr>
        <w:t>规定的逾期付款利息。</w:t>
      </w:r>
    </w:p>
    <w:p w14:paraId="3933449B">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bCs/>
          <w:color w:val="auto"/>
          <w:szCs w:val="21"/>
        </w:rPr>
        <w:t>15.4其他违约责任根据项目实际需要按</w:t>
      </w:r>
      <w:r>
        <w:rPr>
          <w:rFonts w:hint="eastAsia" w:ascii="宋体" w:hAnsi="宋体" w:cs="宋体"/>
          <w:b/>
          <w:bCs/>
          <w:color w:val="auto"/>
          <w:szCs w:val="21"/>
        </w:rPr>
        <w:t>【政府采购合同专用条款】</w:t>
      </w:r>
      <w:r>
        <w:rPr>
          <w:rFonts w:hint="eastAsia" w:ascii="宋体" w:hAnsi="宋体" w:cs="宋体"/>
          <w:color w:val="auto"/>
          <w:szCs w:val="21"/>
        </w:rPr>
        <w:t>规定执行。</w:t>
      </w:r>
    </w:p>
    <w:p w14:paraId="12BEC6D1">
      <w:pPr>
        <w:autoSpaceDE w:val="0"/>
        <w:autoSpaceDN w:val="0"/>
        <w:adjustRightInd w:val="0"/>
        <w:snapToGrid w:val="0"/>
        <w:spacing w:line="400" w:lineRule="exact"/>
        <w:jc w:val="left"/>
        <w:rPr>
          <w:rFonts w:hint="eastAsia" w:ascii="宋体" w:hAnsi="宋体" w:cs="宋体"/>
          <w:b/>
          <w:color w:val="auto"/>
          <w:sz w:val="24"/>
        </w:rPr>
      </w:pPr>
      <w:r>
        <w:rPr>
          <w:rFonts w:hint="eastAsia" w:ascii="宋体" w:hAnsi="宋体" w:cs="宋体"/>
          <w:b/>
          <w:color w:val="auto"/>
          <w:sz w:val="24"/>
        </w:rPr>
        <w:t>16.合同变更、中止与终止</w:t>
      </w:r>
    </w:p>
    <w:p w14:paraId="4B3645D2">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16.1合同的变更</w:t>
      </w:r>
    </w:p>
    <w:p w14:paraId="026D53D3">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政府采购合同履行中，在不改变合同其他条款的前提下，甲方可以在合同价款10%的范围内追加与合同标的相同的货物，并就此与乙方协商一致后签订补充协议。</w:t>
      </w:r>
    </w:p>
    <w:p w14:paraId="7971AC90">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16.2合同的中止</w:t>
      </w:r>
    </w:p>
    <w:p w14:paraId="3F8076CB">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（1）合同履行过程中因供应商就招标文件、采购过程或结果提起投诉的，甲方认为有必要的，可以中止合同的履行。</w:t>
      </w:r>
    </w:p>
    <w:p w14:paraId="5B18E208">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F744326">
      <w:pPr>
        <w:pStyle w:val="125"/>
        <w:ind w:firstLine="420"/>
        <w:jc w:val="both"/>
        <w:rPr>
          <w:rFonts w:hint="eastAsia" w:ascii="宋体" w:hAnsi="宋体" w:eastAsia="宋体" w:cs="宋体"/>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73256E3A">
      <w:pPr>
        <w:snapToGrid w:val="0"/>
        <w:spacing w:line="400" w:lineRule="exact"/>
        <w:ind w:firstLine="420" w:firstLineChars="200"/>
        <w:jc w:val="left"/>
        <w:rPr>
          <w:rFonts w:hint="eastAsia" w:ascii="宋体" w:hAnsi="宋体" w:cs="宋体"/>
          <w:color w:val="auto"/>
        </w:rPr>
      </w:pPr>
      <w:r>
        <w:rPr>
          <w:rFonts w:hint="eastAsia" w:ascii="宋体" w:hAnsi="宋体" w:cs="宋体"/>
          <w:color w:val="auto"/>
          <w:szCs w:val="21"/>
        </w:rPr>
        <w:t>（4）甲方不得以行政区划调整、政府换届、机构或者职能调整以及相关责任人更替为由中止合同。</w:t>
      </w:r>
    </w:p>
    <w:p w14:paraId="1268D0F6">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16.3合同的终止</w:t>
      </w:r>
    </w:p>
    <w:p w14:paraId="3D9122AB">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（1）合同因有效期限届满而终止；</w:t>
      </w:r>
    </w:p>
    <w:p w14:paraId="1E1BC16D">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（2）乙方未按合同约定履行，构成根本性违约的，甲方有权终止合同，并追究乙方的违约责任。</w:t>
      </w:r>
    </w:p>
    <w:p w14:paraId="454FE249">
      <w:pPr>
        <w:pStyle w:val="125"/>
        <w:rPr>
          <w:rFonts w:hint="eastAsia" w:ascii="宋体" w:hAnsi="宋体" w:eastAsia="宋体" w:cs="宋体"/>
          <w:color w:val="auto"/>
        </w:rPr>
      </w:pPr>
      <w:r>
        <w:rPr>
          <w:rFonts w:hint="eastAsia" w:ascii="宋体" w:hAnsi="宋体" w:eastAsia="宋体" w:cs="宋体"/>
          <w:color w:val="auto"/>
        </w:rPr>
        <w:t>16.4</w:t>
      </w:r>
      <w:r>
        <w:rPr>
          <w:rFonts w:hint="eastAsia" w:ascii="宋体" w:hAnsi="宋体" w:eastAsia="宋体" w:cs="宋体"/>
          <w:color w:val="auto"/>
          <w:kern w:val="2"/>
          <w:sz w:val="21"/>
        </w:rPr>
        <w:t>涉及国家利益、社会公共利益的情形</w:t>
      </w:r>
    </w:p>
    <w:p w14:paraId="5B25F1C8">
      <w:pPr>
        <w:pStyle w:val="125"/>
        <w:ind w:firstLine="420"/>
        <w:jc w:val="both"/>
        <w:rPr>
          <w:rFonts w:hint="eastAsia" w:ascii="宋体" w:hAnsi="宋体" w:eastAsia="宋体" w:cs="宋体"/>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0CCE6A8D">
      <w:pPr>
        <w:autoSpaceDE w:val="0"/>
        <w:autoSpaceDN w:val="0"/>
        <w:adjustRightInd w:val="0"/>
        <w:snapToGrid w:val="0"/>
        <w:spacing w:line="400" w:lineRule="exact"/>
        <w:jc w:val="left"/>
        <w:rPr>
          <w:rFonts w:hint="eastAsia" w:ascii="宋体" w:hAnsi="宋体" w:cs="宋体"/>
          <w:b/>
          <w:bCs/>
          <w:color w:val="auto"/>
          <w:sz w:val="24"/>
        </w:rPr>
      </w:pPr>
      <w:r>
        <w:rPr>
          <w:rFonts w:hint="eastAsia" w:ascii="宋体" w:hAnsi="宋体" w:cs="宋体"/>
          <w:b/>
          <w:bCs/>
          <w:color w:val="auto"/>
          <w:sz w:val="24"/>
        </w:rPr>
        <w:t>17.合同分包</w:t>
      </w:r>
    </w:p>
    <w:p w14:paraId="778BB680">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17.1乙方不得将合同转包给其他供应商。涉及合同分包的，乙方应根据招标文件和投标（响应）文件规定进行合同分包。</w:t>
      </w:r>
    </w:p>
    <w:p w14:paraId="1996DBDC">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17.2乙方执行政府采购政策向中小企业依法分包的，乙方应当按招标文件和投标（响应）文件签订分包意向协议，分包意向协议属于本合同组成部分。</w:t>
      </w:r>
    </w:p>
    <w:p w14:paraId="78AD121A">
      <w:pPr>
        <w:autoSpaceDE w:val="0"/>
        <w:autoSpaceDN w:val="0"/>
        <w:adjustRightInd w:val="0"/>
        <w:snapToGrid w:val="0"/>
        <w:spacing w:line="400" w:lineRule="exact"/>
        <w:jc w:val="left"/>
        <w:rPr>
          <w:rFonts w:hint="eastAsia" w:ascii="宋体" w:hAnsi="宋体" w:cs="宋体"/>
          <w:b/>
          <w:bCs/>
          <w:color w:val="auto"/>
          <w:sz w:val="24"/>
        </w:rPr>
      </w:pPr>
      <w:r>
        <w:rPr>
          <w:rFonts w:hint="eastAsia" w:ascii="宋体" w:hAnsi="宋体" w:cs="宋体"/>
          <w:b/>
          <w:bCs/>
          <w:color w:val="auto"/>
          <w:sz w:val="24"/>
        </w:rPr>
        <w:t>18.不可抗力</w:t>
      </w:r>
    </w:p>
    <w:p w14:paraId="6EF2B5FF">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18.1不可抗力是指合同双方不能预见、不能避免且不能克服的客观情况。</w:t>
      </w:r>
    </w:p>
    <w:p w14:paraId="235F79D4">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18.2任何一方对由于不可抗力造成的部分或全部不能履行合同不承担违约责任。但迟延履行后发生不可抗力的，不能免除责任。</w:t>
      </w:r>
    </w:p>
    <w:p w14:paraId="2119FBA9">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18.3遇有不可抗力的一方，应及时将事件情况以书面形式告知另一方，并在事件发生后及时向另一方提交合同不能履行或部分不能履行或需要延期履行的详细报告，以及证明不可抗力发生及其持续时间的证据。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D1C10A2">
      <w:pPr>
        <w:autoSpaceDE w:val="0"/>
        <w:autoSpaceDN w:val="0"/>
        <w:adjustRightInd w:val="0"/>
        <w:snapToGrid w:val="0"/>
        <w:spacing w:line="400" w:lineRule="exact"/>
        <w:jc w:val="left"/>
        <w:rPr>
          <w:rFonts w:hint="eastAsia" w:ascii="宋体" w:hAnsi="宋体" w:cs="宋体"/>
          <w:b/>
          <w:bCs/>
          <w:color w:val="auto"/>
          <w:sz w:val="24"/>
        </w:rPr>
      </w:pPr>
      <w:r>
        <w:rPr>
          <w:rFonts w:hint="eastAsia" w:ascii="宋体" w:hAnsi="宋体" w:cs="宋体"/>
          <w:b/>
          <w:bCs/>
          <w:color w:val="auto"/>
          <w:sz w:val="24"/>
        </w:rPr>
        <w:t>19.解决争议的方法</w:t>
      </w:r>
    </w:p>
    <w:p w14:paraId="7569DC27">
      <w:pPr>
        <w:pStyle w:val="125"/>
        <w:ind w:firstLine="420"/>
        <w:jc w:val="both"/>
        <w:rPr>
          <w:rFonts w:hint="eastAsia" w:ascii="宋体" w:hAnsi="宋体" w:eastAsia="宋体" w:cs="宋体"/>
          <w:color w:val="auto"/>
          <w:sz w:val="21"/>
        </w:rPr>
      </w:pPr>
      <w:r>
        <w:rPr>
          <w:rFonts w:hint="eastAsia" w:ascii="宋体" w:hAnsi="宋体" w:eastAsia="宋体" w:cs="宋体"/>
          <w:color w:val="auto"/>
          <w:sz w:val="21"/>
        </w:rPr>
        <w:t>19.1因本合同及合同有关事项发生的争议，由甲乙双方友好协商解决。协商不成时，可以向有关组织申请调解。合同一方或双方不愿调解或调解不成的，可以通过仲裁或诉讼的方式解决争议。</w:t>
      </w:r>
    </w:p>
    <w:p w14:paraId="7584B98A">
      <w:pPr>
        <w:pStyle w:val="125"/>
        <w:ind w:firstLine="420"/>
        <w:jc w:val="both"/>
        <w:rPr>
          <w:rFonts w:hint="eastAsia" w:ascii="宋体" w:hAnsi="宋体" w:eastAsia="宋体" w:cs="宋体"/>
          <w:color w:val="auto"/>
          <w:sz w:val="21"/>
        </w:rPr>
      </w:pPr>
      <w:r>
        <w:rPr>
          <w:rFonts w:hint="eastAsia" w:ascii="宋体" w:hAnsi="宋体" w:eastAsia="宋体" w:cs="宋体"/>
          <w:color w:val="auto"/>
          <w:sz w:val="21"/>
        </w:rPr>
        <w:t>19.2选择仲裁的，应在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33CC6567">
      <w:pPr>
        <w:pStyle w:val="125"/>
        <w:ind w:firstLine="420"/>
        <w:jc w:val="both"/>
        <w:rPr>
          <w:rFonts w:hint="eastAsia" w:ascii="宋体" w:hAnsi="宋体" w:eastAsia="宋体" w:cs="宋体"/>
          <w:color w:val="auto"/>
          <w:sz w:val="21"/>
        </w:rPr>
      </w:pPr>
      <w:r>
        <w:rPr>
          <w:rFonts w:hint="eastAsia" w:ascii="宋体" w:hAnsi="宋体" w:eastAsia="宋体" w:cs="宋体"/>
          <w:color w:val="auto"/>
          <w:sz w:val="21"/>
        </w:rPr>
        <w:t>19.3如甲乙双方有争议的事项不影响合同其他部分的履行，在争议解决期间，合同其他部分应当继续履行。</w:t>
      </w:r>
    </w:p>
    <w:p w14:paraId="6E07BEE2">
      <w:pPr>
        <w:autoSpaceDE w:val="0"/>
        <w:autoSpaceDN w:val="0"/>
        <w:adjustRightInd w:val="0"/>
        <w:snapToGrid w:val="0"/>
        <w:spacing w:line="400" w:lineRule="exact"/>
        <w:jc w:val="left"/>
        <w:rPr>
          <w:rFonts w:hint="eastAsia" w:ascii="宋体" w:hAnsi="宋体" w:cs="宋体"/>
          <w:color w:val="auto"/>
          <w:sz w:val="24"/>
        </w:rPr>
      </w:pPr>
      <w:r>
        <w:rPr>
          <w:rFonts w:hint="eastAsia" w:ascii="宋体" w:hAnsi="宋体" w:cs="宋体"/>
          <w:b/>
          <w:color w:val="auto"/>
          <w:sz w:val="24"/>
        </w:rPr>
        <w:t>20.政府采购政策</w:t>
      </w:r>
    </w:p>
    <w:p w14:paraId="3318FB4E">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20.1</w:t>
      </w:r>
      <w:r>
        <w:rPr>
          <w:rFonts w:hint="eastAsia" w:ascii="宋体" w:hAnsi="宋体" w:cs="宋体"/>
          <w:color w:val="auto"/>
          <w:lang w:val="en-GB"/>
        </w:rPr>
        <w:t>本合同应当按照规定执行政府采购政策。</w:t>
      </w:r>
    </w:p>
    <w:p w14:paraId="6911E3F2">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20.2本合同依法执行政府采购政策的方式和内容，属于合同履约验收的范围。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s="宋体"/>
          <w:color w:val="auto"/>
          <w:szCs w:val="21"/>
        </w:rPr>
        <w:t>，有过错的一方应当承担赔偿责任，双方都有过错的，各自承担相应的责任。</w:t>
      </w:r>
    </w:p>
    <w:p w14:paraId="5DBA2CCC">
      <w:pPr>
        <w:pStyle w:val="10"/>
        <w:spacing w:after="0" w:line="400" w:lineRule="exact"/>
        <w:ind w:firstLine="420" w:firstLineChars="200"/>
        <w:rPr>
          <w:rFonts w:hint="eastAsia" w:ascii="宋体" w:hAnsi="宋体" w:cs="宋体"/>
          <w:color w:val="auto"/>
        </w:rPr>
      </w:pPr>
      <w:r>
        <w:rPr>
          <w:rFonts w:hint="eastAsia" w:ascii="宋体" w:hAnsi="宋体" w:cs="宋体"/>
          <w:color w:val="auto"/>
          <w:szCs w:val="21"/>
        </w:rPr>
        <w:t>2</w:t>
      </w:r>
      <w:r>
        <w:rPr>
          <w:rFonts w:hint="eastAsia" w:ascii="宋体" w:hAnsi="宋体" w:cs="宋体"/>
          <w:color w:val="auto"/>
          <w:szCs w:val="21"/>
          <w:lang w:val="en-US" w:eastAsia="zh-CN"/>
        </w:rPr>
        <w:t>0</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对于</w:t>
      </w:r>
      <w:r>
        <w:rPr>
          <w:rFonts w:hint="eastAsia" w:ascii="宋体" w:hAnsi="宋体" w:cs="宋体"/>
          <w:color w:val="auto"/>
          <w:szCs w:val="21"/>
          <w:lang w:eastAsia="zh-CN"/>
        </w:rPr>
        <w:t>为落实中小企业支持政策，</w:t>
      </w:r>
      <w:r>
        <w:rPr>
          <w:rFonts w:hint="eastAsia" w:ascii="宋体" w:hAnsi="宋体" w:cs="宋体"/>
          <w:color w:val="auto"/>
          <w:szCs w:val="21"/>
        </w:rPr>
        <w:t>通过采购项目</w:t>
      </w:r>
      <w:r>
        <w:rPr>
          <w:rFonts w:hint="eastAsia" w:ascii="宋体" w:hAnsi="宋体" w:cs="宋体"/>
          <w:color w:val="auto"/>
          <w:szCs w:val="21"/>
          <w:lang w:eastAsia="zh-CN"/>
        </w:rPr>
        <w:t>整体</w:t>
      </w:r>
      <w:r>
        <w:rPr>
          <w:rFonts w:hint="eastAsia" w:ascii="宋体" w:hAnsi="宋体" w:cs="宋体"/>
          <w:color w:val="auto"/>
          <w:szCs w:val="21"/>
        </w:rPr>
        <w:t>预留、</w:t>
      </w:r>
      <w:r>
        <w:rPr>
          <w:rFonts w:hint="eastAsia" w:ascii="宋体" w:hAnsi="宋体" w:cs="宋体"/>
          <w:color w:val="auto"/>
          <w:szCs w:val="21"/>
          <w:lang w:eastAsia="zh-CN"/>
        </w:rPr>
        <w:t>设置</w:t>
      </w:r>
      <w:r>
        <w:rPr>
          <w:rFonts w:hint="eastAsia" w:ascii="宋体" w:hAnsi="宋体" w:cs="宋体"/>
          <w:color w:val="auto"/>
          <w:szCs w:val="21"/>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46F3BA">
      <w:pPr>
        <w:autoSpaceDE w:val="0"/>
        <w:autoSpaceDN w:val="0"/>
        <w:adjustRightInd w:val="0"/>
        <w:snapToGrid w:val="0"/>
        <w:spacing w:line="400" w:lineRule="exact"/>
        <w:jc w:val="left"/>
        <w:rPr>
          <w:rFonts w:hint="eastAsia" w:ascii="宋体" w:hAnsi="宋体" w:cs="宋体"/>
          <w:b/>
          <w:color w:val="auto"/>
          <w:sz w:val="24"/>
        </w:rPr>
      </w:pPr>
      <w:r>
        <w:rPr>
          <w:rFonts w:hint="eastAsia" w:ascii="宋体" w:hAnsi="宋体" w:cs="宋体"/>
          <w:b/>
          <w:color w:val="auto"/>
          <w:sz w:val="24"/>
        </w:rPr>
        <w:t>21.法律适用</w:t>
      </w:r>
    </w:p>
    <w:p w14:paraId="03986B23">
      <w:pPr>
        <w:pStyle w:val="125"/>
        <w:ind w:firstLine="420"/>
        <w:jc w:val="both"/>
        <w:rPr>
          <w:rFonts w:hint="eastAsia" w:ascii="宋体" w:hAnsi="宋体" w:eastAsia="宋体" w:cs="宋体"/>
          <w:color w:val="auto"/>
          <w:sz w:val="21"/>
        </w:rPr>
      </w:pPr>
      <w:r>
        <w:rPr>
          <w:rFonts w:hint="eastAsia" w:ascii="宋体" w:hAnsi="宋体" w:eastAsia="宋体" w:cs="宋体"/>
          <w:color w:val="auto"/>
          <w:sz w:val="21"/>
        </w:rPr>
        <w:t>21.1本合同的订立、生效、解释、履行及与本合同有关的争议解决，均适用法律、行政法规。</w:t>
      </w:r>
    </w:p>
    <w:p w14:paraId="798498AB">
      <w:pPr>
        <w:pStyle w:val="125"/>
        <w:ind w:firstLine="420"/>
        <w:jc w:val="both"/>
        <w:rPr>
          <w:rFonts w:hint="eastAsia" w:ascii="宋体" w:hAnsi="宋体" w:eastAsia="宋体" w:cs="宋体"/>
          <w:color w:val="auto"/>
          <w:sz w:val="21"/>
        </w:rPr>
      </w:pPr>
      <w:r>
        <w:rPr>
          <w:rFonts w:hint="eastAsia" w:ascii="宋体" w:hAnsi="宋体" w:eastAsia="宋体" w:cs="宋体"/>
          <w:color w:val="auto"/>
          <w:sz w:val="21"/>
        </w:rPr>
        <w:t>21.2本合同条款与法律、行政法规的强制性规定不一致的，双方当事人应按照法律、行政法规的强制性规定修改本合同的相关条款。</w:t>
      </w:r>
    </w:p>
    <w:p w14:paraId="7E8FE557">
      <w:pPr>
        <w:autoSpaceDE w:val="0"/>
        <w:autoSpaceDN w:val="0"/>
        <w:adjustRightInd w:val="0"/>
        <w:snapToGrid w:val="0"/>
        <w:spacing w:line="400" w:lineRule="exact"/>
        <w:jc w:val="left"/>
        <w:rPr>
          <w:rFonts w:hint="eastAsia" w:ascii="宋体" w:hAnsi="宋体" w:cs="宋体"/>
          <w:b/>
          <w:color w:val="auto"/>
          <w:sz w:val="24"/>
        </w:rPr>
      </w:pPr>
      <w:r>
        <w:rPr>
          <w:rFonts w:hint="eastAsia" w:ascii="宋体" w:hAnsi="宋体" w:cs="宋体"/>
          <w:b/>
          <w:color w:val="auto"/>
          <w:sz w:val="24"/>
        </w:rPr>
        <w:t>22.通知</w:t>
      </w:r>
    </w:p>
    <w:p w14:paraId="347B768B">
      <w:pPr>
        <w:pStyle w:val="125"/>
        <w:ind w:firstLine="420"/>
        <w:jc w:val="both"/>
        <w:rPr>
          <w:rFonts w:hint="eastAsia" w:ascii="宋体" w:hAnsi="宋体" w:eastAsia="宋体" w:cs="宋体"/>
          <w:color w:val="auto"/>
          <w:sz w:val="21"/>
        </w:rPr>
      </w:pPr>
      <w:r>
        <w:rPr>
          <w:rFonts w:hint="eastAsia" w:ascii="宋体" w:hAnsi="宋体" w:eastAsia="宋体" w:cs="宋体"/>
          <w:color w:val="auto"/>
          <w:sz w:val="21"/>
        </w:rPr>
        <w:t>22.1本合同任何一方向对方发出的通知、信件、数据电文等，应当发送至本合同第一部分《政府采购合同协议书》所约定的通讯地址、联系人、联系电话或电子邮箱。</w:t>
      </w:r>
    </w:p>
    <w:p w14:paraId="1B79D0C5">
      <w:pPr>
        <w:pStyle w:val="125"/>
        <w:ind w:firstLine="420"/>
        <w:jc w:val="both"/>
        <w:rPr>
          <w:rFonts w:hint="eastAsia" w:ascii="宋体" w:hAnsi="宋体" w:eastAsia="宋体" w:cs="宋体"/>
          <w:color w:val="auto"/>
          <w:sz w:val="21"/>
        </w:rPr>
      </w:pPr>
      <w:r>
        <w:rPr>
          <w:rFonts w:hint="eastAsia" w:ascii="宋体" w:hAnsi="宋体" w:eastAsia="宋体" w:cs="宋体"/>
          <w:color w:val="auto"/>
          <w:sz w:val="21"/>
        </w:rPr>
        <w:t>22.2一方当事人变更名称、住所、联系人、联系电话或电子邮箱等信息的，应当在变更后3日内及时书面通知对方，对方实际收到变更通知前的送达仍为有效送达。</w:t>
      </w:r>
    </w:p>
    <w:p w14:paraId="0E405B99">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22.3本合同一方给另一方的通知均应采用书面形式，传真或快递送到本合同中规定的对方的地址和办理签收手续。</w:t>
      </w:r>
    </w:p>
    <w:p w14:paraId="5D303C02">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22.4通知以送达之日或通知书中规定的生效之日起生效，两者中以较迟之日为准。</w:t>
      </w:r>
    </w:p>
    <w:p w14:paraId="0FAFF192">
      <w:pPr>
        <w:adjustRightInd w:val="0"/>
        <w:snapToGrid w:val="0"/>
        <w:spacing w:line="400" w:lineRule="exact"/>
        <w:jc w:val="left"/>
        <w:rPr>
          <w:rFonts w:hint="eastAsia" w:ascii="宋体" w:hAnsi="宋体" w:cs="宋体"/>
          <w:b/>
          <w:bCs/>
          <w:color w:val="auto"/>
          <w:sz w:val="24"/>
        </w:rPr>
      </w:pPr>
      <w:r>
        <w:rPr>
          <w:rFonts w:hint="eastAsia" w:ascii="宋体" w:hAnsi="宋体" w:cs="宋体"/>
          <w:b/>
          <w:bCs/>
          <w:color w:val="auto"/>
          <w:sz w:val="24"/>
        </w:rPr>
        <w:t>23.合同未尽事项</w:t>
      </w:r>
    </w:p>
    <w:p w14:paraId="35B7A059">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23.1合同未尽事项见</w:t>
      </w:r>
      <w:r>
        <w:rPr>
          <w:rFonts w:hint="eastAsia" w:ascii="宋体" w:hAnsi="宋体" w:cs="宋体"/>
          <w:b/>
          <w:bCs/>
          <w:color w:val="auto"/>
          <w:szCs w:val="21"/>
        </w:rPr>
        <w:t>【政府采购合同专用条款】</w:t>
      </w:r>
      <w:r>
        <w:rPr>
          <w:rFonts w:hint="eastAsia" w:ascii="宋体" w:hAnsi="宋体" w:cs="宋体"/>
          <w:color w:val="auto"/>
          <w:szCs w:val="21"/>
        </w:rPr>
        <w:t>。</w:t>
      </w:r>
    </w:p>
    <w:p w14:paraId="7E54722E">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23.2合同附件与合同正文具有同等的法律效力。</w:t>
      </w:r>
      <w:bookmarkStart w:id="90" w:name="_Toc20313"/>
    </w:p>
    <w:p w14:paraId="01360261">
      <w:pPr>
        <w:bidi w:val="0"/>
        <w:rPr>
          <w:rFonts w:hint="eastAsia"/>
        </w:rPr>
      </w:pPr>
      <w:r>
        <w:rPr>
          <w:rFonts w:hint="eastAsia"/>
        </w:rPr>
        <w:br w:type="page"/>
      </w:r>
    </w:p>
    <w:p w14:paraId="0B07815C">
      <w:pPr>
        <w:pStyle w:val="3"/>
        <w:adjustRightInd w:val="0"/>
        <w:snapToGrid w:val="0"/>
        <w:spacing w:before="0" w:after="0" w:line="400" w:lineRule="exact"/>
        <w:jc w:val="center"/>
        <w:rPr>
          <w:rFonts w:hint="eastAsia" w:ascii="宋体" w:hAnsi="宋体" w:eastAsia="宋体" w:cs="宋体"/>
          <w:b w:val="0"/>
          <w:bCs w:val="0"/>
          <w:color w:val="auto"/>
          <w:sz w:val="28"/>
          <w:szCs w:val="28"/>
        </w:rPr>
      </w:pPr>
      <w:bookmarkStart w:id="91" w:name="_Toc6506"/>
      <w:r>
        <w:rPr>
          <w:rFonts w:hint="eastAsia" w:ascii="宋体" w:hAnsi="宋体" w:eastAsia="宋体" w:cs="宋体"/>
          <w:color w:val="auto"/>
        </w:rPr>
        <w:t>第三节 政府采购合同专用条款</w:t>
      </w:r>
      <w:bookmarkEnd w:id="90"/>
      <w:bookmarkEnd w:id="91"/>
    </w:p>
    <w:tbl>
      <w:tblPr>
        <w:tblStyle w:val="24"/>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A9D3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14E0E180">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390D99C2">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第1.2（6）项</w:t>
            </w:r>
          </w:p>
        </w:tc>
        <w:tc>
          <w:tcPr>
            <w:tcW w:w="1742" w:type="dxa"/>
            <w:noWrap w:val="0"/>
            <w:vAlign w:val="center"/>
          </w:tcPr>
          <w:p w14:paraId="445B75FB">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联合体具体要求</w:t>
            </w:r>
          </w:p>
        </w:tc>
        <w:tc>
          <w:tcPr>
            <w:tcW w:w="5170" w:type="dxa"/>
            <w:noWrap w:val="0"/>
            <w:vAlign w:val="center"/>
          </w:tcPr>
          <w:p w14:paraId="759C329C">
            <w:pPr>
              <w:adjustRightInd w:val="0"/>
              <w:snapToGrid w:val="0"/>
              <w:spacing w:line="400" w:lineRule="exact"/>
              <w:jc w:val="left"/>
              <w:rPr>
                <w:rFonts w:hint="eastAsia" w:ascii="宋体" w:hAnsi="宋体" w:cs="宋体"/>
                <w:color w:val="auto"/>
                <w:szCs w:val="21"/>
              </w:rPr>
            </w:pPr>
          </w:p>
        </w:tc>
      </w:tr>
      <w:tr w14:paraId="0EA046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3D71312B">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4FA186E2">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第1.2（7）项</w:t>
            </w:r>
          </w:p>
        </w:tc>
        <w:tc>
          <w:tcPr>
            <w:tcW w:w="1742" w:type="dxa"/>
            <w:noWrap w:val="0"/>
            <w:vAlign w:val="center"/>
          </w:tcPr>
          <w:p w14:paraId="4487D35F">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其他术语解释</w:t>
            </w:r>
          </w:p>
        </w:tc>
        <w:tc>
          <w:tcPr>
            <w:tcW w:w="5170" w:type="dxa"/>
            <w:noWrap w:val="0"/>
            <w:vAlign w:val="center"/>
          </w:tcPr>
          <w:p w14:paraId="0CC6F968">
            <w:pPr>
              <w:adjustRightInd w:val="0"/>
              <w:snapToGrid w:val="0"/>
              <w:spacing w:line="400" w:lineRule="exact"/>
              <w:jc w:val="left"/>
              <w:rPr>
                <w:rFonts w:hint="eastAsia" w:ascii="宋体" w:hAnsi="宋体" w:cs="宋体"/>
                <w:color w:val="auto"/>
                <w:szCs w:val="21"/>
              </w:rPr>
            </w:pPr>
          </w:p>
        </w:tc>
      </w:tr>
      <w:tr w14:paraId="7F048D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4BD5E9E8">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6310CCF5">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第4.4款</w:t>
            </w:r>
          </w:p>
        </w:tc>
        <w:tc>
          <w:tcPr>
            <w:tcW w:w="1742" w:type="dxa"/>
            <w:noWrap w:val="0"/>
            <w:vAlign w:val="center"/>
          </w:tcPr>
          <w:p w14:paraId="18A4D85D">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履约验收中甲方提出异议或作出说明的期限</w:t>
            </w:r>
          </w:p>
        </w:tc>
        <w:tc>
          <w:tcPr>
            <w:tcW w:w="5170" w:type="dxa"/>
            <w:noWrap w:val="0"/>
            <w:vAlign w:val="center"/>
          </w:tcPr>
          <w:p w14:paraId="2FB07F21">
            <w:pPr>
              <w:adjustRightInd w:val="0"/>
              <w:snapToGrid w:val="0"/>
              <w:spacing w:line="400" w:lineRule="exact"/>
              <w:jc w:val="left"/>
              <w:rPr>
                <w:rFonts w:hint="eastAsia" w:ascii="宋体" w:hAnsi="宋体" w:cs="宋体"/>
                <w:color w:val="auto"/>
                <w:szCs w:val="21"/>
              </w:rPr>
            </w:pPr>
          </w:p>
        </w:tc>
      </w:tr>
      <w:tr w14:paraId="05D97D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0241039F">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4C5815DB">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第4.6款</w:t>
            </w:r>
          </w:p>
        </w:tc>
        <w:tc>
          <w:tcPr>
            <w:tcW w:w="1742" w:type="dxa"/>
            <w:noWrap w:val="0"/>
            <w:vAlign w:val="center"/>
          </w:tcPr>
          <w:p w14:paraId="5A51C664">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约定甲方承担的其他义务和责任</w:t>
            </w:r>
          </w:p>
        </w:tc>
        <w:tc>
          <w:tcPr>
            <w:tcW w:w="5170" w:type="dxa"/>
            <w:noWrap w:val="0"/>
            <w:vAlign w:val="center"/>
          </w:tcPr>
          <w:p w14:paraId="60348953">
            <w:pPr>
              <w:adjustRightInd w:val="0"/>
              <w:snapToGrid w:val="0"/>
              <w:spacing w:line="400" w:lineRule="exact"/>
              <w:jc w:val="left"/>
              <w:rPr>
                <w:rFonts w:hint="eastAsia" w:ascii="宋体" w:hAnsi="宋体" w:cs="宋体"/>
                <w:color w:val="auto"/>
                <w:szCs w:val="21"/>
              </w:rPr>
            </w:pPr>
          </w:p>
        </w:tc>
      </w:tr>
      <w:tr w14:paraId="436350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661EC16B">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477706D1">
            <w:pPr>
              <w:snapToGrid w:val="0"/>
              <w:spacing w:line="400" w:lineRule="exact"/>
              <w:jc w:val="center"/>
              <w:rPr>
                <w:rFonts w:hint="eastAsia" w:ascii="宋体" w:hAnsi="宋体" w:cs="宋体"/>
                <w:color w:val="auto"/>
              </w:rPr>
            </w:pPr>
            <w:r>
              <w:rPr>
                <w:rFonts w:hint="eastAsia" w:ascii="宋体" w:hAnsi="宋体" w:cs="宋体"/>
                <w:color w:val="auto"/>
                <w:szCs w:val="21"/>
              </w:rPr>
              <w:t>第5.4款</w:t>
            </w:r>
          </w:p>
        </w:tc>
        <w:tc>
          <w:tcPr>
            <w:tcW w:w="1742" w:type="dxa"/>
            <w:noWrap w:val="0"/>
            <w:vAlign w:val="center"/>
          </w:tcPr>
          <w:p w14:paraId="7B8CF919">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约定乙方承担的其他义务和责任</w:t>
            </w:r>
          </w:p>
        </w:tc>
        <w:tc>
          <w:tcPr>
            <w:tcW w:w="5170" w:type="dxa"/>
            <w:noWrap w:val="0"/>
            <w:vAlign w:val="center"/>
          </w:tcPr>
          <w:p w14:paraId="64D4B9E5">
            <w:pPr>
              <w:adjustRightInd w:val="0"/>
              <w:snapToGrid w:val="0"/>
              <w:spacing w:line="400" w:lineRule="exact"/>
              <w:jc w:val="left"/>
              <w:rPr>
                <w:rFonts w:hint="eastAsia" w:ascii="宋体" w:hAnsi="宋体" w:cs="宋体"/>
                <w:color w:val="auto"/>
                <w:szCs w:val="21"/>
              </w:rPr>
            </w:pPr>
          </w:p>
        </w:tc>
      </w:tr>
      <w:tr w14:paraId="295D3F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0DBF6BA8">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0BFAB3FE">
            <w:pPr>
              <w:snapToGrid w:val="0"/>
              <w:spacing w:line="400" w:lineRule="exact"/>
              <w:jc w:val="center"/>
              <w:rPr>
                <w:rFonts w:hint="eastAsia" w:ascii="宋体" w:hAnsi="宋体" w:cs="宋体"/>
                <w:color w:val="auto"/>
                <w:szCs w:val="21"/>
              </w:rPr>
            </w:pPr>
            <w:r>
              <w:rPr>
                <w:rFonts w:hint="eastAsia" w:ascii="宋体" w:hAnsi="宋体" w:cs="宋体"/>
                <w:color w:val="auto"/>
                <w:szCs w:val="21"/>
              </w:rPr>
              <w:t>第6.1款</w:t>
            </w:r>
          </w:p>
        </w:tc>
        <w:tc>
          <w:tcPr>
            <w:tcW w:w="1742" w:type="dxa"/>
            <w:noWrap w:val="0"/>
            <w:vAlign w:val="center"/>
          </w:tcPr>
          <w:p w14:paraId="2948A308">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履行合同义务的顺序</w:t>
            </w:r>
          </w:p>
        </w:tc>
        <w:tc>
          <w:tcPr>
            <w:tcW w:w="5170" w:type="dxa"/>
            <w:noWrap w:val="0"/>
            <w:vAlign w:val="center"/>
          </w:tcPr>
          <w:p w14:paraId="4E0E95C0">
            <w:pPr>
              <w:adjustRightInd w:val="0"/>
              <w:snapToGrid w:val="0"/>
              <w:spacing w:line="400" w:lineRule="exact"/>
              <w:jc w:val="left"/>
              <w:rPr>
                <w:rFonts w:hint="eastAsia" w:ascii="宋体" w:hAnsi="宋体" w:cs="宋体"/>
                <w:color w:val="auto"/>
                <w:szCs w:val="21"/>
              </w:rPr>
            </w:pPr>
          </w:p>
        </w:tc>
      </w:tr>
      <w:tr w14:paraId="10B5FD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Merge w:val="restart"/>
            <w:noWrap w:val="0"/>
            <w:vAlign w:val="center"/>
          </w:tcPr>
          <w:p w14:paraId="79EC95D5">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51B0C745">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第7.1款</w:t>
            </w:r>
          </w:p>
        </w:tc>
        <w:tc>
          <w:tcPr>
            <w:tcW w:w="1742" w:type="dxa"/>
            <w:noWrap w:val="0"/>
            <w:vAlign w:val="center"/>
          </w:tcPr>
          <w:p w14:paraId="136F743A">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包装特殊要求</w:t>
            </w:r>
          </w:p>
        </w:tc>
        <w:tc>
          <w:tcPr>
            <w:tcW w:w="5170" w:type="dxa"/>
            <w:noWrap w:val="0"/>
            <w:vAlign w:val="center"/>
          </w:tcPr>
          <w:p w14:paraId="4A4B4344">
            <w:pPr>
              <w:spacing w:line="400" w:lineRule="exact"/>
              <w:rPr>
                <w:rFonts w:hint="eastAsia" w:ascii="宋体" w:hAnsi="宋体" w:cs="宋体"/>
                <w:color w:val="auto"/>
              </w:rPr>
            </w:pPr>
          </w:p>
        </w:tc>
      </w:tr>
      <w:tr w14:paraId="5FC671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Merge w:val="continue"/>
            <w:noWrap w:val="0"/>
            <w:vAlign w:val="center"/>
          </w:tcPr>
          <w:p w14:paraId="2750BC72">
            <w:pPr>
              <w:adjustRightInd w:val="0"/>
              <w:snapToGrid w:val="0"/>
              <w:spacing w:line="400" w:lineRule="exact"/>
              <w:jc w:val="center"/>
              <w:rPr>
                <w:rFonts w:hint="eastAsia" w:ascii="宋体" w:hAnsi="宋体" w:cs="宋体"/>
                <w:color w:val="auto"/>
                <w:szCs w:val="21"/>
              </w:rPr>
            </w:pPr>
          </w:p>
        </w:tc>
        <w:tc>
          <w:tcPr>
            <w:tcW w:w="1742" w:type="dxa"/>
            <w:noWrap w:val="0"/>
            <w:vAlign w:val="center"/>
          </w:tcPr>
          <w:p w14:paraId="224A87C0">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指定现场</w:t>
            </w:r>
          </w:p>
        </w:tc>
        <w:tc>
          <w:tcPr>
            <w:tcW w:w="5170" w:type="dxa"/>
            <w:noWrap w:val="0"/>
            <w:vAlign w:val="center"/>
          </w:tcPr>
          <w:p w14:paraId="45EDCA92">
            <w:pPr>
              <w:spacing w:line="400" w:lineRule="exact"/>
              <w:rPr>
                <w:rFonts w:hint="eastAsia" w:ascii="宋体" w:hAnsi="宋体" w:cs="宋体"/>
                <w:color w:val="auto"/>
              </w:rPr>
            </w:pPr>
          </w:p>
        </w:tc>
      </w:tr>
      <w:tr w14:paraId="55076D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5047A12A">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1FE37D38">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第7.2款</w:t>
            </w:r>
          </w:p>
        </w:tc>
        <w:tc>
          <w:tcPr>
            <w:tcW w:w="1742" w:type="dxa"/>
            <w:noWrap w:val="0"/>
            <w:vAlign w:val="center"/>
          </w:tcPr>
          <w:p w14:paraId="4450EFFB">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运输特殊要求</w:t>
            </w:r>
          </w:p>
        </w:tc>
        <w:tc>
          <w:tcPr>
            <w:tcW w:w="5170" w:type="dxa"/>
            <w:noWrap w:val="0"/>
            <w:vAlign w:val="center"/>
          </w:tcPr>
          <w:p w14:paraId="02B49636">
            <w:pPr>
              <w:spacing w:line="400" w:lineRule="exact"/>
              <w:rPr>
                <w:rFonts w:hint="eastAsia" w:ascii="宋体" w:hAnsi="宋体" w:cs="宋体"/>
                <w:color w:val="auto"/>
              </w:rPr>
            </w:pPr>
          </w:p>
        </w:tc>
      </w:tr>
      <w:tr w14:paraId="41DD8A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50115633">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1800151D">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第7.3款</w:t>
            </w:r>
          </w:p>
        </w:tc>
        <w:tc>
          <w:tcPr>
            <w:tcW w:w="1742" w:type="dxa"/>
            <w:noWrap w:val="0"/>
            <w:vAlign w:val="center"/>
          </w:tcPr>
          <w:p w14:paraId="3F6A7F2E">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保险要求</w:t>
            </w:r>
          </w:p>
        </w:tc>
        <w:tc>
          <w:tcPr>
            <w:tcW w:w="5170" w:type="dxa"/>
            <w:noWrap w:val="0"/>
            <w:vAlign w:val="center"/>
          </w:tcPr>
          <w:p w14:paraId="32CCCE43">
            <w:pPr>
              <w:spacing w:line="400" w:lineRule="exact"/>
              <w:rPr>
                <w:rFonts w:hint="eastAsia" w:ascii="宋体" w:hAnsi="宋体" w:cs="宋体"/>
                <w:color w:val="auto"/>
              </w:rPr>
            </w:pPr>
          </w:p>
        </w:tc>
      </w:tr>
      <w:tr w14:paraId="45699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42A02EF4">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4577E0FB">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第8.2（1）项</w:t>
            </w:r>
          </w:p>
        </w:tc>
        <w:tc>
          <w:tcPr>
            <w:tcW w:w="1742" w:type="dxa"/>
            <w:noWrap w:val="0"/>
            <w:vAlign w:val="center"/>
          </w:tcPr>
          <w:p w14:paraId="6ABA00A6">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质量保证期</w:t>
            </w:r>
          </w:p>
        </w:tc>
        <w:tc>
          <w:tcPr>
            <w:tcW w:w="5170" w:type="dxa"/>
            <w:noWrap w:val="0"/>
            <w:vAlign w:val="center"/>
          </w:tcPr>
          <w:p w14:paraId="2D062E5E">
            <w:pPr>
              <w:autoSpaceDE w:val="0"/>
              <w:autoSpaceDN w:val="0"/>
              <w:adjustRightInd w:val="0"/>
              <w:snapToGrid w:val="0"/>
              <w:spacing w:line="400" w:lineRule="exact"/>
              <w:ind w:firstLine="420" w:firstLineChars="200"/>
              <w:jc w:val="left"/>
              <w:rPr>
                <w:rFonts w:hint="eastAsia" w:ascii="宋体" w:hAnsi="宋体" w:cs="宋体"/>
                <w:color w:val="auto"/>
                <w:szCs w:val="21"/>
              </w:rPr>
            </w:pPr>
          </w:p>
        </w:tc>
      </w:tr>
      <w:tr w14:paraId="41F6B8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7287C895">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20199C3D">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第8.2（3）项</w:t>
            </w:r>
          </w:p>
        </w:tc>
        <w:tc>
          <w:tcPr>
            <w:tcW w:w="1742" w:type="dxa"/>
            <w:noWrap w:val="0"/>
            <w:vAlign w:val="center"/>
          </w:tcPr>
          <w:p w14:paraId="7C347CDE">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货物质量缺陷</w:t>
            </w:r>
          </w:p>
          <w:p w14:paraId="21573F08">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响应时间</w:t>
            </w:r>
          </w:p>
        </w:tc>
        <w:tc>
          <w:tcPr>
            <w:tcW w:w="5170" w:type="dxa"/>
            <w:noWrap w:val="0"/>
            <w:vAlign w:val="center"/>
          </w:tcPr>
          <w:p w14:paraId="26E23391">
            <w:pPr>
              <w:adjustRightInd w:val="0"/>
              <w:snapToGrid w:val="0"/>
              <w:spacing w:line="400" w:lineRule="exact"/>
              <w:jc w:val="left"/>
              <w:rPr>
                <w:rFonts w:hint="eastAsia" w:ascii="宋体" w:hAnsi="宋体" w:cs="宋体"/>
                <w:color w:val="auto"/>
                <w:szCs w:val="21"/>
              </w:rPr>
            </w:pPr>
          </w:p>
        </w:tc>
      </w:tr>
      <w:tr w14:paraId="02893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2F92D74C">
            <w:pPr>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5A6D70FB">
            <w:pPr>
              <w:pStyle w:val="125"/>
              <w:ind w:firstLine="0" w:firstLineChars="0"/>
              <w:jc w:val="center"/>
              <w:rPr>
                <w:rFonts w:hint="eastAsia" w:ascii="宋体" w:hAnsi="宋体" w:eastAsia="宋体" w:cs="宋体"/>
                <w:color w:val="auto"/>
              </w:rPr>
            </w:pPr>
            <w:r>
              <w:rPr>
                <w:rFonts w:hint="eastAsia" w:ascii="宋体" w:hAnsi="宋体" w:eastAsia="宋体" w:cs="宋体"/>
                <w:color w:val="auto"/>
              </w:rPr>
              <w:t>第11.1款</w:t>
            </w:r>
          </w:p>
        </w:tc>
        <w:tc>
          <w:tcPr>
            <w:tcW w:w="1742" w:type="dxa"/>
            <w:noWrap w:val="0"/>
            <w:vAlign w:val="center"/>
          </w:tcPr>
          <w:p w14:paraId="12FF68E1">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其他应当保密的信息</w:t>
            </w:r>
          </w:p>
        </w:tc>
        <w:tc>
          <w:tcPr>
            <w:tcW w:w="5170" w:type="dxa"/>
            <w:noWrap w:val="0"/>
            <w:vAlign w:val="center"/>
          </w:tcPr>
          <w:p w14:paraId="4F8D2367">
            <w:pPr>
              <w:adjustRightInd w:val="0"/>
              <w:snapToGrid w:val="0"/>
              <w:spacing w:line="400" w:lineRule="exact"/>
              <w:jc w:val="left"/>
              <w:rPr>
                <w:rFonts w:hint="eastAsia" w:ascii="宋体" w:hAnsi="宋体" w:cs="宋体"/>
                <w:color w:val="auto"/>
                <w:szCs w:val="21"/>
              </w:rPr>
            </w:pPr>
          </w:p>
        </w:tc>
      </w:tr>
      <w:tr w14:paraId="0492B2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04A531B3">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0D29B8D8">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第12.2款</w:t>
            </w:r>
          </w:p>
        </w:tc>
        <w:tc>
          <w:tcPr>
            <w:tcW w:w="1742" w:type="dxa"/>
            <w:noWrap w:val="0"/>
            <w:vAlign w:val="center"/>
          </w:tcPr>
          <w:p w14:paraId="62884962">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合同价款支付时间</w:t>
            </w:r>
          </w:p>
        </w:tc>
        <w:tc>
          <w:tcPr>
            <w:tcW w:w="5170" w:type="dxa"/>
            <w:noWrap w:val="0"/>
            <w:vAlign w:val="center"/>
          </w:tcPr>
          <w:p w14:paraId="7C9A979B">
            <w:pPr>
              <w:adjustRightInd w:val="0"/>
              <w:snapToGrid w:val="0"/>
              <w:spacing w:line="400" w:lineRule="exact"/>
              <w:jc w:val="left"/>
              <w:rPr>
                <w:rFonts w:hint="eastAsia" w:ascii="宋体" w:hAnsi="宋体" w:cs="宋体"/>
                <w:color w:val="auto"/>
                <w:szCs w:val="21"/>
              </w:rPr>
            </w:pPr>
          </w:p>
        </w:tc>
      </w:tr>
      <w:tr w14:paraId="312DC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36589497">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6603ED1D">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第13.2款</w:t>
            </w:r>
          </w:p>
        </w:tc>
        <w:tc>
          <w:tcPr>
            <w:tcW w:w="1742" w:type="dxa"/>
            <w:noWrap w:val="0"/>
            <w:vAlign w:val="center"/>
          </w:tcPr>
          <w:p w14:paraId="24251222">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履约保证金不予退还的情形</w:t>
            </w:r>
          </w:p>
        </w:tc>
        <w:tc>
          <w:tcPr>
            <w:tcW w:w="5170" w:type="dxa"/>
            <w:noWrap w:val="0"/>
            <w:vAlign w:val="center"/>
          </w:tcPr>
          <w:p w14:paraId="2D506E5A">
            <w:pPr>
              <w:adjustRightInd w:val="0"/>
              <w:snapToGrid w:val="0"/>
              <w:spacing w:line="400" w:lineRule="exact"/>
              <w:jc w:val="left"/>
              <w:rPr>
                <w:rFonts w:hint="eastAsia" w:ascii="宋体" w:hAnsi="宋体" w:cs="宋体"/>
                <w:color w:val="auto"/>
                <w:szCs w:val="21"/>
              </w:rPr>
            </w:pPr>
          </w:p>
        </w:tc>
      </w:tr>
      <w:tr w14:paraId="0295A5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36C39D8B">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13D5C4D4">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第13.3款</w:t>
            </w:r>
          </w:p>
        </w:tc>
        <w:tc>
          <w:tcPr>
            <w:tcW w:w="1742" w:type="dxa"/>
            <w:noWrap w:val="0"/>
            <w:vAlign w:val="center"/>
          </w:tcPr>
          <w:p w14:paraId="09512C53">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履约保证金退还时间及逾期退还的违约金</w:t>
            </w:r>
          </w:p>
        </w:tc>
        <w:tc>
          <w:tcPr>
            <w:tcW w:w="5170" w:type="dxa"/>
            <w:noWrap w:val="0"/>
            <w:vAlign w:val="center"/>
          </w:tcPr>
          <w:p w14:paraId="650F4F78">
            <w:pPr>
              <w:adjustRightInd w:val="0"/>
              <w:snapToGrid w:val="0"/>
              <w:spacing w:line="400" w:lineRule="exact"/>
              <w:jc w:val="left"/>
              <w:rPr>
                <w:rFonts w:hint="eastAsia" w:ascii="宋体" w:hAnsi="宋体" w:cs="宋体"/>
                <w:color w:val="auto"/>
                <w:szCs w:val="21"/>
              </w:rPr>
            </w:pPr>
          </w:p>
        </w:tc>
      </w:tr>
      <w:tr w14:paraId="51ACC0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28ED32A9">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513AF7CA">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第14.1（3）项</w:t>
            </w:r>
          </w:p>
        </w:tc>
        <w:tc>
          <w:tcPr>
            <w:tcW w:w="1742" w:type="dxa"/>
            <w:noWrap w:val="0"/>
            <w:vAlign w:val="center"/>
          </w:tcPr>
          <w:p w14:paraId="45D31F67">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运行监督、维修期限</w:t>
            </w:r>
          </w:p>
        </w:tc>
        <w:tc>
          <w:tcPr>
            <w:tcW w:w="5170" w:type="dxa"/>
            <w:noWrap w:val="0"/>
            <w:vAlign w:val="center"/>
          </w:tcPr>
          <w:p w14:paraId="7CEE0ABB">
            <w:pPr>
              <w:adjustRightInd w:val="0"/>
              <w:snapToGrid w:val="0"/>
              <w:spacing w:line="400" w:lineRule="exact"/>
              <w:jc w:val="left"/>
              <w:rPr>
                <w:rFonts w:hint="eastAsia" w:ascii="宋体" w:hAnsi="宋体" w:cs="宋体"/>
                <w:color w:val="auto"/>
                <w:szCs w:val="21"/>
              </w:rPr>
            </w:pPr>
          </w:p>
        </w:tc>
      </w:tr>
      <w:tr w14:paraId="211A9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52CA0EED">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7DF8988D">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第14.1（5）项</w:t>
            </w:r>
          </w:p>
        </w:tc>
        <w:tc>
          <w:tcPr>
            <w:tcW w:w="1742" w:type="dxa"/>
            <w:noWrap w:val="0"/>
            <w:vAlign w:val="center"/>
          </w:tcPr>
          <w:p w14:paraId="200775AB">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货物回收的约定</w:t>
            </w:r>
          </w:p>
        </w:tc>
        <w:tc>
          <w:tcPr>
            <w:tcW w:w="5170" w:type="dxa"/>
            <w:noWrap w:val="0"/>
            <w:vAlign w:val="center"/>
          </w:tcPr>
          <w:p w14:paraId="26B0BC40">
            <w:pPr>
              <w:adjustRightInd w:val="0"/>
              <w:snapToGrid w:val="0"/>
              <w:spacing w:line="400" w:lineRule="exact"/>
              <w:jc w:val="left"/>
              <w:rPr>
                <w:rFonts w:hint="eastAsia" w:ascii="宋体" w:hAnsi="宋体" w:cs="宋体"/>
                <w:color w:val="auto"/>
                <w:szCs w:val="21"/>
              </w:rPr>
            </w:pPr>
          </w:p>
        </w:tc>
      </w:tr>
      <w:tr w14:paraId="6159FA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47594152">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090D3035">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第14.1（6）项</w:t>
            </w:r>
          </w:p>
        </w:tc>
        <w:tc>
          <w:tcPr>
            <w:tcW w:w="1742" w:type="dxa"/>
            <w:noWrap w:val="0"/>
            <w:vAlign w:val="center"/>
          </w:tcPr>
          <w:p w14:paraId="06901843">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乙方提供的其他服务</w:t>
            </w:r>
          </w:p>
        </w:tc>
        <w:tc>
          <w:tcPr>
            <w:tcW w:w="5170" w:type="dxa"/>
            <w:noWrap w:val="0"/>
            <w:vAlign w:val="center"/>
          </w:tcPr>
          <w:p w14:paraId="1B95000C">
            <w:pPr>
              <w:adjustRightInd w:val="0"/>
              <w:snapToGrid w:val="0"/>
              <w:spacing w:line="400" w:lineRule="exact"/>
              <w:jc w:val="left"/>
              <w:rPr>
                <w:rFonts w:hint="eastAsia" w:ascii="宋体" w:hAnsi="宋体" w:cs="宋体"/>
                <w:color w:val="auto"/>
                <w:szCs w:val="21"/>
              </w:rPr>
            </w:pPr>
          </w:p>
        </w:tc>
      </w:tr>
      <w:tr w14:paraId="35F133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72A3E949">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7B3F399B">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第15.1款</w:t>
            </w:r>
          </w:p>
        </w:tc>
        <w:tc>
          <w:tcPr>
            <w:tcW w:w="1742" w:type="dxa"/>
            <w:noWrap w:val="0"/>
            <w:vAlign w:val="center"/>
          </w:tcPr>
          <w:p w14:paraId="7F83229A">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修理、重作、更换相关具体规定</w:t>
            </w:r>
          </w:p>
        </w:tc>
        <w:tc>
          <w:tcPr>
            <w:tcW w:w="5170" w:type="dxa"/>
            <w:noWrap w:val="0"/>
            <w:vAlign w:val="center"/>
          </w:tcPr>
          <w:p w14:paraId="60C6061E">
            <w:pPr>
              <w:adjustRightInd w:val="0"/>
              <w:snapToGrid w:val="0"/>
              <w:spacing w:line="400" w:lineRule="exact"/>
              <w:jc w:val="left"/>
              <w:rPr>
                <w:rFonts w:hint="eastAsia" w:ascii="宋体" w:hAnsi="宋体" w:cs="宋体"/>
                <w:color w:val="auto"/>
                <w:szCs w:val="21"/>
              </w:rPr>
            </w:pPr>
          </w:p>
        </w:tc>
      </w:tr>
      <w:tr w14:paraId="2EB43F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1E36DDCC">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4FBE975E">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第15.2（2）项</w:t>
            </w:r>
          </w:p>
        </w:tc>
        <w:tc>
          <w:tcPr>
            <w:tcW w:w="1742" w:type="dxa"/>
            <w:noWrap w:val="0"/>
            <w:vAlign w:val="center"/>
          </w:tcPr>
          <w:p w14:paraId="7FDC98E9">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迟延交货赔偿费</w:t>
            </w:r>
          </w:p>
        </w:tc>
        <w:tc>
          <w:tcPr>
            <w:tcW w:w="5170" w:type="dxa"/>
            <w:noWrap w:val="0"/>
            <w:vAlign w:val="center"/>
          </w:tcPr>
          <w:p w14:paraId="0AC2CD9D">
            <w:pPr>
              <w:adjustRightInd w:val="0"/>
              <w:snapToGrid w:val="0"/>
              <w:spacing w:line="400" w:lineRule="exact"/>
              <w:jc w:val="left"/>
              <w:rPr>
                <w:rFonts w:hint="eastAsia" w:ascii="宋体" w:hAnsi="宋体" w:cs="宋体"/>
                <w:color w:val="auto"/>
                <w:szCs w:val="21"/>
                <w:u w:val="single"/>
              </w:rPr>
            </w:pPr>
          </w:p>
        </w:tc>
      </w:tr>
      <w:tr w14:paraId="2383B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2330738F">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79CCAA0D">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第15.3款</w:t>
            </w:r>
          </w:p>
        </w:tc>
        <w:tc>
          <w:tcPr>
            <w:tcW w:w="1742" w:type="dxa"/>
            <w:noWrap w:val="0"/>
            <w:vAlign w:val="center"/>
          </w:tcPr>
          <w:p w14:paraId="1FC0D367">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逾期付款利息</w:t>
            </w:r>
          </w:p>
        </w:tc>
        <w:tc>
          <w:tcPr>
            <w:tcW w:w="5170" w:type="dxa"/>
            <w:noWrap w:val="0"/>
            <w:vAlign w:val="center"/>
          </w:tcPr>
          <w:p w14:paraId="4BEEFDB2">
            <w:pPr>
              <w:adjustRightInd w:val="0"/>
              <w:snapToGrid w:val="0"/>
              <w:spacing w:line="400" w:lineRule="exact"/>
              <w:jc w:val="left"/>
              <w:rPr>
                <w:rFonts w:hint="eastAsia" w:ascii="宋体" w:hAnsi="宋体" w:cs="宋体"/>
                <w:color w:val="auto"/>
                <w:szCs w:val="21"/>
                <w:u w:val="single"/>
              </w:rPr>
            </w:pPr>
          </w:p>
        </w:tc>
      </w:tr>
      <w:tr w14:paraId="5D649D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tcBorders>
              <w:bottom w:val="single" w:color="auto" w:sz="2" w:space="0"/>
              <w:right w:val="single" w:color="auto" w:sz="2" w:space="0"/>
            </w:tcBorders>
            <w:noWrap w:val="0"/>
            <w:vAlign w:val="center"/>
          </w:tcPr>
          <w:p w14:paraId="2960180F">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1D8D2B3C">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第15.4款</w:t>
            </w:r>
          </w:p>
        </w:tc>
        <w:tc>
          <w:tcPr>
            <w:tcW w:w="1742" w:type="dxa"/>
            <w:tcBorders>
              <w:left w:val="single" w:color="auto" w:sz="2" w:space="0"/>
              <w:bottom w:val="single" w:color="auto" w:sz="2" w:space="0"/>
              <w:right w:val="single" w:color="auto" w:sz="2" w:space="0"/>
            </w:tcBorders>
            <w:noWrap w:val="0"/>
            <w:vAlign w:val="center"/>
          </w:tcPr>
          <w:p w14:paraId="42DC6D11">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其他违约责任</w:t>
            </w:r>
          </w:p>
        </w:tc>
        <w:tc>
          <w:tcPr>
            <w:tcW w:w="5170" w:type="dxa"/>
            <w:tcBorders>
              <w:left w:val="single" w:color="auto" w:sz="2" w:space="0"/>
              <w:bottom w:val="single" w:color="auto" w:sz="2" w:space="0"/>
            </w:tcBorders>
            <w:noWrap w:val="0"/>
            <w:vAlign w:val="center"/>
          </w:tcPr>
          <w:p w14:paraId="72089CA1">
            <w:pPr>
              <w:adjustRightInd w:val="0"/>
              <w:snapToGrid w:val="0"/>
              <w:spacing w:line="400" w:lineRule="exact"/>
              <w:jc w:val="left"/>
              <w:rPr>
                <w:rFonts w:hint="eastAsia" w:ascii="宋体" w:hAnsi="宋体" w:cs="宋体"/>
                <w:color w:val="auto"/>
                <w:szCs w:val="21"/>
                <w:u w:val="single"/>
              </w:rPr>
            </w:pPr>
          </w:p>
        </w:tc>
      </w:tr>
      <w:tr w14:paraId="19615A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tcBorders>
              <w:top w:val="single" w:color="auto" w:sz="2" w:space="0"/>
              <w:right w:val="single" w:color="auto" w:sz="2" w:space="0"/>
            </w:tcBorders>
            <w:noWrap w:val="0"/>
            <w:vAlign w:val="center"/>
          </w:tcPr>
          <w:p w14:paraId="4484856E">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29E59742">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第19.2款</w:t>
            </w:r>
          </w:p>
        </w:tc>
        <w:tc>
          <w:tcPr>
            <w:tcW w:w="1742" w:type="dxa"/>
            <w:tcBorders>
              <w:top w:val="single" w:color="auto" w:sz="2" w:space="0"/>
              <w:left w:val="single" w:color="auto" w:sz="2" w:space="0"/>
              <w:right w:val="single" w:color="auto" w:sz="2" w:space="0"/>
            </w:tcBorders>
            <w:noWrap w:val="0"/>
            <w:vAlign w:val="center"/>
          </w:tcPr>
          <w:p w14:paraId="4B91CC04">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解决争议的方法</w:t>
            </w:r>
          </w:p>
        </w:tc>
        <w:tc>
          <w:tcPr>
            <w:tcW w:w="5170" w:type="dxa"/>
            <w:tcBorders>
              <w:top w:val="single" w:color="auto" w:sz="2" w:space="0"/>
              <w:left w:val="single" w:color="auto" w:sz="2" w:space="0"/>
            </w:tcBorders>
            <w:noWrap w:val="0"/>
            <w:vAlign w:val="center"/>
          </w:tcPr>
          <w:p w14:paraId="5CC5DA35">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w:t>
            </w:r>
            <w:r>
              <w:rPr>
                <w:rFonts w:hint="eastAsia" w:ascii="宋体" w:hAnsi="宋体" w:cs="宋体"/>
                <w:iCs/>
                <w:color w:val="auto"/>
                <w:szCs w:val="21"/>
              </w:rPr>
              <w:t>种方式解决：</w:t>
            </w:r>
          </w:p>
          <w:p w14:paraId="5363C58A">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w:t>
            </w:r>
            <w:r>
              <w:rPr>
                <w:rFonts w:hint="eastAsia" w:ascii="宋体" w:hAnsi="宋体" w:cs="宋体"/>
                <w:iCs/>
                <w:color w:val="auto"/>
                <w:szCs w:val="21"/>
              </w:rPr>
              <w:t>；</w:t>
            </w:r>
          </w:p>
          <w:p w14:paraId="5B849F81">
            <w:pPr>
              <w:adjustRightInd w:val="0"/>
              <w:snapToGrid w:val="0"/>
              <w:spacing w:line="400" w:lineRule="exact"/>
              <w:jc w:val="left"/>
              <w:rPr>
                <w:rFonts w:hint="eastAsia" w:ascii="宋体" w:hAnsi="宋体" w:cs="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w:t>
            </w:r>
            <w:r>
              <w:rPr>
                <w:rFonts w:hint="eastAsia" w:ascii="宋体" w:hAnsi="宋体" w:cs="宋体"/>
                <w:iCs/>
                <w:color w:val="auto"/>
                <w:szCs w:val="21"/>
              </w:rPr>
              <w:t>人民法院起诉。</w:t>
            </w:r>
          </w:p>
        </w:tc>
      </w:tr>
      <w:tr w14:paraId="6FC068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5D1A404E">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第二节</w:t>
            </w:r>
          </w:p>
          <w:p w14:paraId="5BD97A32">
            <w:pPr>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第23.1款</w:t>
            </w:r>
          </w:p>
        </w:tc>
        <w:tc>
          <w:tcPr>
            <w:tcW w:w="1742" w:type="dxa"/>
            <w:noWrap w:val="0"/>
            <w:vAlign w:val="center"/>
          </w:tcPr>
          <w:p w14:paraId="46972DBA">
            <w:pPr>
              <w:adjustRightInd w:val="0"/>
              <w:snapToGrid w:val="0"/>
              <w:spacing w:line="400" w:lineRule="exact"/>
              <w:jc w:val="left"/>
              <w:rPr>
                <w:rFonts w:hint="eastAsia" w:ascii="宋体" w:hAnsi="宋体" w:cs="宋体"/>
                <w:color w:val="auto"/>
                <w:szCs w:val="21"/>
              </w:rPr>
            </w:pPr>
            <w:r>
              <w:rPr>
                <w:rFonts w:hint="eastAsia" w:ascii="宋体" w:hAnsi="宋体" w:cs="宋体"/>
                <w:bCs/>
                <w:color w:val="auto"/>
                <w:szCs w:val="21"/>
              </w:rPr>
              <w:t>其他专用条款</w:t>
            </w:r>
          </w:p>
        </w:tc>
        <w:tc>
          <w:tcPr>
            <w:tcW w:w="5170" w:type="dxa"/>
            <w:noWrap w:val="0"/>
            <w:vAlign w:val="center"/>
          </w:tcPr>
          <w:p w14:paraId="1713237C">
            <w:pPr>
              <w:adjustRightInd w:val="0"/>
              <w:snapToGrid w:val="0"/>
              <w:spacing w:line="400" w:lineRule="exact"/>
              <w:jc w:val="left"/>
              <w:rPr>
                <w:rFonts w:hint="eastAsia" w:ascii="宋体" w:hAnsi="宋体" w:cs="宋体"/>
                <w:color w:val="auto"/>
                <w:szCs w:val="21"/>
              </w:rPr>
            </w:pPr>
          </w:p>
        </w:tc>
      </w:tr>
    </w:tbl>
    <w:p w14:paraId="19762B67">
      <w:pPr>
        <w:snapToGrid w:val="0"/>
        <w:spacing w:line="360" w:lineRule="auto"/>
        <w:ind w:left="480" w:hanging="480" w:hangingChars="200"/>
        <w:rPr>
          <w:rFonts w:hint="eastAsia" w:ascii="宋体" w:hAnsi="宋体" w:eastAsia="宋体" w:cs="宋体"/>
          <w:sz w:val="24"/>
        </w:rPr>
      </w:pPr>
    </w:p>
    <w:p w14:paraId="375DADD8">
      <w:pPr>
        <w:snapToGrid w:val="0"/>
        <w:spacing w:line="400" w:lineRule="exact"/>
        <w:jc w:val="center"/>
        <w:rPr>
          <w:rFonts w:hint="eastAsia" w:ascii="宋体" w:hAnsi="宋体" w:eastAsia="宋体" w:cs="宋体"/>
          <w:color w:val="000000" w:themeColor="text1"/>
          <w:sz w:val="24"/>
          <w14:textFill>
            <w14:solidFill>
              <w14:schemeClr w14:val="tx1"/>
            </w14:solidFill>
          </w14:textFill>
        </w:rPr>
      </w:pPr>
    </w:p>
    <w:sectPr>
      <w:footerReference r:id="rId9" w:type="first"/>
      <w:pgSz w:w="11910" w:h="16840"/>
      <w:pgMar w:top="1134" w:right="1134" w:bottom="1134" w:left="1134" w:header="720"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50604F-7ACC-448D-ADC8-0181616265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B2DD6FA1-7BF7-4E81-9882-4EE79385F6C6}"/>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华文楷体">
    <w:panose1 w:val="02010600040101010101"/>
    <w:charset w:val="86"/>
    <w:family w:val="auto"/>
    <w:pitch w:val="default"/>
    <w:sig w:usb0="A00002BF" w:usb1="78CF7CFB" w:usb2="00000016" w:usb3="00000000" w:csb0="6006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0D104">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2768D">
    <w:pPr>
      <w:pStyle w:val="17"/>
      <w:jc w:val="center"/>
    </w:pPr>
    <w:r>
      <w:fldChar w:fldCharType="begin"/>
    </w:r>
    <w:r>
      <w:instrText xml:space="preserve"> PAGE   \* MERGEFORMAT </w:instrText>
    </w:r>
    <w:r>
      <w:fldChar w:fldCharType="separate"/>
    </w:r>
    <w:r>
      <w:rPr>
        <w:lang w:val="zh-CN"/>
      </w:rPr>
      <w:t>3</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ADE1C">
    <w:pPr>
      <w:pStyle w:val="17"/>
      <w:tabs>
        <w:tab w:val="left" w:pos="4000"/>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B195C">
                          <w:pPr>
                            <w:pStyle w:val="1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8B195C">
                    <w:pPr>
                      <w:pStyle w:val="17"/>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397CB">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E9E2AA">
                          <w:pPr>
                            <w:pStyle w:val="1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UsMhdABAACqAwAADgAAAGRycy9lMm9Eb2MueG1srVNLbtswEN0XyB0I&#10;7mPJQ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zcbBB7XvcNBlnhL820PEkfKkqcMIiwyTg0+YuU7rlnbkTz9XPf1i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WUsMhdABAACqAwAADgAAAAAAAAABACAAAAAeAQAAZHJz&#10;L2Uyb0RvYy54bWxQSwUGAAAAAAYABgBZAQAAYAUAAAAA&#10;">
              <v:fill on="f" focussize="0,0"/>
              <v:stroke on="f"/>
              <v:imagedata o:title=""/>
              <o:lock v:ext="edit" aspectratio="f"/>
              <v:textbox inset="0mm,0mm,0mm,0mm" style="mso-fit-shape-to-text:t;">
                <w:txbxContent>
                  <w:p w14:paraId="18E9E2A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0ED0E">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A0140">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BC187">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FC674"/>
    <w:multiLevelType w:val="singleLevel"/>
    <w:tmpl w:val="FFEFC674"/>
    <w:lvl w:ilvl="0" w:tentative="0">
      <w:start w:val="1"/>
      <w:numFmt w:val="decimal"/>
      <w:suff w:val="nothing"/>
      <w:lvlText w:val="（%1）"/>
      <w:lvlJc w:val="left"/>
    </w:lvl>
  </w:abstractNum>
  <w:abstractNum w:abstractNumId="1">
    <w:nsid w:val="11342AEB"/>
    <w:multiLevelType w:val="multilevel"/>
    <w:tmpl w:val="11342AEB"/>
    <w:lvl w:ilvl="0" w:tentative="0">
      <w:start w:val="1"/>
      <w:numFmt w:val="decimal"/>
      <w:lvlText w:val="%1."/>
      <w:lvlJc w:val="left"/>
      <w:pPr>
        <w:tabs>
          <w:tab w:val="left" w:pos="1276"/>
        </w:tabs>
        <w:ind w:left="1276" w:hanging="425"/>
      </w:pPr>
      <w:rPr>
        <w:rFonts w:hint="eastAsia"/>
      </w:rPr>
    </w:lvl>
    <w:lvl w:ilvl="1" w:tentative="0">
      <w:start w:val="1"/>
      <w:numFmt w:val="decimal"/>
      <w:lvlText w:val="4.%2."/>
      <w:lvlJc w:val="left"/>
      <w:pPr>
        <w:tabs>
          <w:tab w:val="left" w:pos="1418"/>
        </w:tabs>
        <w:ind w:left="1418" w:hanging="567"/>
      </w:pPr>
      <w:rPr>
        <w:rFonts w:hint="eastAsia"/>
      </w:rPr>
    </w:lvl>
    <w:lvl w:ilvl="2" w:tentative="0">
      <w:start w:val="1"/>
      <w:numFmt w:val="decimal"/>
      <w:pStyle w:val="4"/>
      <w:lvlText w:val="4.%3."/>
      <w:lvlJc w:val="left"/>
      <w:pPr>
        <w:tabs>
          <w:tab w:val="left" w:pos="1560"/>
        </w:tabs>
        <w:ind w:left="1560" w:hanging="709"/>
      </w:pPr>
      <w:rPr>
        <w:rFonts w:hint="eastAsia"/>
      </w:rPr>
    </w:lvl>
    <w:lvl w:ilvl="3" w:tentative="0">
      <w:start w:val="1"/>
      <w:numFmt w:val="decimal"/>
      <w:lvlText w:val="%1.%2.%3.%4."/>
      <w:lvlJc w:val="left"/>
      <w:pPr>
        <w:tabs>
          <w:tab w:val="left" w:pos="1702"/>
        </w:tabs>
        <w:ind w:left="1702" w:hanging="851"/>
      </w:pPr>
      <w:rPr>
        <w:rFonts w:hint="eastAsia"/>
      </w:rPr>
    </w:lvl>
    <w:lvl w:ilvl="4" w:tentative="0">
      <w:start w:val="1"/>
      <w:numFmt w:val="decimal"/>
      <w:lvlText w:val="%1.%2.%3.%4.%5."/>
      <w:lvlJc w:val="left"/>
      <w:pPr>
        <w:tabs>
          <w:tab w:val="left" w:pos="1843"/>
        </w:tabs>
        <w:ind w:left="1843" w:hanging="992"/>
      </w:pPr>
      <w:rPr>
        <w:rFonts w:hint="eastAsia"/>
      </w:rPr>
    </w:lvl>
    <w:lvl w:ilvl="5" w:tentative="0">
      <w:start w:val="1"/>
      <w:numFmt w:val="decimal"/>
      <w:lvlText w:val="%1.%2.%3.%4.%5.%6."/>
      <w:lvlJc w:val="left"/>
      <w:pPr>
        <w:tabs>
          <w:tab w:val="left" w:pos="1985"/>
        </w:tabs>
        <w:ind w:left="1985" w:hanging="1134"/>
      </w:pPr>
      <w:rPr>
        <w:rFonts w:hint="eastAsia"/>
      </w:rPr>
    </w:lvl>
    <w:lvl w:ilvl="6" w:tentative="0">
      <w:start w:val="1"/>
      <w:numFmt w:val="decimal"/>
      <w:lvlText w:val="%1.%2.%3.%4.%5.%6.%7."/>
      <w:lvlJc w:val="left"/>
      <w:pPr>
        <w:tabs>
          <w:tab w:val="left" w:pos="2127"/>
        </w:tabs>
        <w:ind w:left="2127" w:hanging="1276"/>
      </w:pPr>
      <w:rPr>
        <w:rFonts w:hint="eastAsia"/>
      </w:rPr>
    </w:lvl>
    <w:lvl w:ilvl="7" w:tentative="0">
      <w:start w:val="1"/>
      <w:numFmt w:val="decimal"/>
      <w:lvlText w:val="%1.%2.%3.%4.%5.%6.%7.%8."/>
      <w:lvlJc w:val="left"/>
      <w:pPr>
        <w:tabs>
          <w:tab w:val="left" w:pos="2269"/>
        </w:tabs>
        <w:ind w:left="2269" w:hanging="1418"/>
      </w:pPr>
      <w:rPr>
        <w:rFonts w:hint="eastAsia"/>
      </w:rPr>
    </w:lvl>
    <w:lvl w:ilvl="8" w:tentative="0">
      <w:start w:val="1"/>
      <w:numFmt w:val="decimal"/>
      <w:lvlText w:val="%1.%2.%3.%4.%5.%6.%7.%8.%9."/>
      <w:lvlJc w:val="left"/>
      <w:pPr>
        <w:tabs>
          <w:tab w:val="left" w:pos="2410"/>
        </w:tabs>
        <w:ind w:left="2410" w:hanging="1559"/>
      </w:pPr>
      <w:rPr>
        <w:rFonts w:hint="eastAsia"/>
      </w:rPr>
    </w:lvl>
  </w:abstractNum>
  <w:abstractNum w:abstractNumId="2">
    <w:nsid w:val="625A6236"/>
    <w:multiLevelType w:val="singleLevel"/>
    <w:tmpl w:val="625A6236"/>
    <w:lvl w:ilvl="0" w:tentative="0">
      <w:start w:val="1"/>
      <w:numFmt w:val="decimal"/>
      <w:suff w:val="nothing"/>
      <w:lvlText w:val="%1."/>
      <w:lvlJc w:val="left"/>
    </w:lvl>
  </w:abstractNum>
  <w:abstractNum w:abstractNumId="3">
    <w:nsid w:val="7ED45875"/>
    <w:multiLevelType w:val="multilevel"/>
    <w:tmpl w:val="7ED4587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zMWVlMTE0ODI2MjRmYTRiODhiZWI1MWQ1YTFlMTMifQ=="/>
  </w:docVars>
  <w:rsids>
    <w:rsidRoot w:val="003512C6"/>
    <w:rsid w:val="00000672"/>
    <w:rsid w:val="00000B45"/>
    <w:rsid w:val="00001799"/>
    <w:rsid w:val="00002D29"/>
    <w:rsid w:val="000040C5"/>
    <w:rsid w:val="00004514"/>
    <w:rsid w:val="00004A8A"/>
    <w:rsid w:val="00005E55"/>
    <w:rsid w:val="00005FDF"/>
    <w:rsid w:val="00006586"/>
    <w:rsid w:val="0000692B"/>
    <w:rsid w:val="00006A4F"/>
    <w:rsid w:val="00010D39"/>
    <w:rsid w:val="000112BB"/>
    <w:rsid w:val="0001149B"/>
    <w:rsid w:val="0001172C"/>
    <w:rsid w:val="00012854"/>
    <w:rsid w:val="00012EA6"/>
    <w:rsid w:val="000139DC"/>
    <w:rsid w:val="00013D8C"/>
    <w:rsid w:val="00013DFE"/>
    <w:rsid w:val="000141EA"/>
    <w:rsid w:val="00014385"/>
    <w:rsid w:val="00014B02"/>
    <w:rsid w:val="000166C4"/>
    <w:rsid w:val="00016960"/>
    <w:rsid w:val="00017396"/>
    <w:rsid w:val="000177DB"/>
    <w:rsid w:val="00020227"/>
    <w:rsid w:val="000203E4"/>
    <w:rsid w:val="00020455"/>
    <w:rsid w:val="00022731"/>
    <w:rsid w:val="00022792"/>
    <w:rsid w:val="0002392D"/>
    <w:rsid w:val="00024B43"/>
    <w:rsid w:val="00025382"/>
    <w:rsid w:val="00025636"/>
    <w:rsid w:val="00025E36"/>
    <w:rsid w:val="00026627"/>
    <w:rsid w:val="00026886"/>
    <w:rsid w:val="00030496"/>
    <w:rsid w:val="000329A1"/>
    <w:rsid w:val="000329E0"/>
    <w:rsid w:val="000333A0"/>
    <w:rsid w:val="000352E9"/>
    <w:rsid w:val="00036A07"/>
    <w:rsid w:val="00036E33"/>
    <w:rsid w:val="00037E2D"/>
    <w:rsid w:val="00040571"/>
    <w:rsid w:val="0004156E"/>
    <w:rsid w:val="00041597"/>
    <w:rsid w:val="0004440C"/>
    <w:rsid w:val="00045880"/>
    <w:rsid w:val="000462CB"/>
    <w:rsid w:val="00046B5E"/>
    <w:rsid w:val="0004783A"/>
    <w:rsid w:val="000509D9"/>
    <w:rsid w:val="000541D2"/>
    <w:rsid w:val="0005524B"/>
    <w:rsid w:val="000552A6"/>
    <w:rsid w:val="00055D41"/>
    <w:rsid w:val="00057CEC"/>
    <w:rsid w:val="00060DCE"/>
    <w:rsid w:val="000623B4"/>
    <w:rsid w:val="000634A7"/>
    <w:rsid w:val="00063E85"/>
    <w:rsid w:val="00063F81"/>
    <w:rsid w:val="00064847"/>
    <w:rsid w:val="0006484B"/>
    <w:rsid w:val="000655AC"/>
    <w:rsid w:val="00065BBC"/>
    <w:rsid w:val="000673E2"/>
    <w:rsid w:val="000711E4"/>
    <w:rsid w:val="00072AED"/>
    <w:rsid w:val="00073F47"/>
    <w:rsid w:val="00074FDF"/>
    <w:rsid w:val="00075B7E"/>
    <w:rsid w:val="00076408"/>
    <w:rsid w:val="00077C70"/>
    <w:rsid w:val="00080B57"/>
    <w:rsid w:val="000817D1"/>
    <w:rsid w:val="00081BA3"/>
    <w:rsid w:val="00081D2E"/>
    <w:rsid w:val="0008267B"/>
    <w:rsid w:val="00082D02"/>
    <w:rsid w:val="000831E0"/>
    <w:rsid w:val="00083B91"/>
    <w:rsid w:val="00083F12"/>
    <w:rsid w:val="0008520B"/>
    <w:rsid w:val="0008538C"/>
    <w:rsid w:val="0008630C"/>
    <w:rsid w:val="000871B8"/>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3865"/>
    <w:rsid w:val="000A398F"/>
    <w:rsid w:val="000A4AEE"/>
    <w:rsid w:val="000A509C"/>
    <w:rsid w:val="000A6007"/>
    <w:rsid w:val="000A61DA"/>
    <w:rsid w:val="000A65A6"/>
    <w:rsid w:val="000A7275"/>
    <w:rsid w:val="000A7A12"/>
    <w:rsid w:val="000A7AD8"/>
    <w:rsid w:val="000A7CA5"/>
    <w:rsid w:val="000B0095"/>
    <w:rsid w:val="000B039A"/>
    <w:rsid w:val="000B140B"/>
    <w:rsid w:val="000B1801"/>
    <w:rsid w:val="000B19B3"/>
    <w:rsid w:val="000B1D0C"/>
    <w:rsid w:val="000B2D03"/>
    <w:rsid w:val="000B3815"/>
    <w:rsid w:val="000B3C7B"/>
    <w:rsid w:val="000B6C95"/>
    <w:rsid w:val="000B728B"/>
    <w:rsid w:val="000C0C58"/>
    <w:rsid w:val="000C1679"/>
    <w:rsid w:val="000C2898"/>
    <w:rsid w:val="000C2F89"/>
    <w:rsid w:val="000C435F"/>
    <w:rsid w:val="000C4635"/>
    <w:rsid w:val="000C548E"/>
    <w:rsid w:val="000C6DE4"/>
    <w:rsid w:val="000D01EB"/>
    <w:rsid w:val="000D056E"/>
    <w:rsid w:val="000D0675"/>
    <w:rsid w:val="000D0A89"/>
    <w:rsid w:val="000D11F8"/>
    <w:rsid w:val="000D1389"/>
    <w:rsid w:val="000D1798"/>
    <w:rsid w:val="000D1A2A"/>
    <w:rsid w:val="000D2626"/>
    <w:rsid w:val="000D4A06"/>
    <w:rsid w:val="000D54D4"/>
    <w:rsid w:val="000D73AF"/>
    <w:rsid w:val="000D73DD"/>
    <w:rsid w:val="000D758E"/>
    <w:rsid w:val="000D7D9B"/>
    <w:rsid w:val="000E18E2"/>
    <w:rsid w:val="000E28AB"/>
    <w:rsid w:val="000E2E3E"/>
    <w:rsid w:val="000E33C5"/>
    <w:rsid w:val="000E3583"/>
    <w:rsid w:val="000E3AF0"/>
    <w:rsid w:val="000E3D53"/>
    <w:rsid w:val="000E4E04"/>
    <w:rsid w:val="000E6EC9"/>
    <w:rsid w:val="000E70B4"/>
    <w:rsid w:val="000F15B9"/>
    <w:rsid w:val="000F3281"/>
    <w:rsid w:val="000F3733"/>
    <w:rsid w:val="000F3B2C"/>
    <w:rsid w:val="000F4D88"/>
    <w:rsid w:val="000F5B1B"/>
    <w:rsid w:val="000F64AA"/>
    <w:rsid w:val="000F7AF4"/>
    <w:rsid w:val="000F7C33"/>
    <w:rsid w:val="000F7F0C"/>
    <w:rsid w:val="00100246"/>
    <w:rsid w:val="001004D6"/>
    <w:rsid w:val="00100D90"/>
    <w:rsid w:val="00103918"/>
    <w:rsid w:val="00104324"/>
    <w:rsid w:val="00104889"/>
    <w:rsid w:val="00104897"/>
    <w:rsid w:val="00104EDE"/>
    <w:rsid w:val="00105372"/>
    <w:rsid w:val="00106BEE"/>
    <w:rsid w:val="00113134"/>
    <w:rsid w:val="00113AC0"/>
    <w:rsid w:val="00113E75"/>
    <w:rsid w:val="001143AB"/>
    <w:rsid w:val="00114851"/>
    <w:rsid w:val="00115E11"/>
    <w:rsid w:val="00115F56"/>
    <w:rsid w:val="00116424"/>
    <w:rsid w:val="00116588"/>
    <w:rsid w:val="00117CBD"/>
    <w:rsid w:val="0012006A"/>
    <w:rsid w:val="00120990"/>
    <w:rsid w:val="001217B5"/>
    <w:rsid w:val="00121979"/>
    <w:rsid w:val="00122064"/>
    <w:rsid w:val="00125004"/>
    <w:rsid w:val="001263B8"/>
    <w:rsid w:val="00126763"/>
    <w:rsid w:val="00130217"/>
    <w:rsid w:val="00130783"/>
    <w:rsid w:val="00131081"/>
    <w:rsid w:val="001312CB"/>
    <w:rsid w:val="00131B75"/>
    <w:rsid w:val="00132B47"/>
    <w:rsid w:val="00132E64"/>
    <w:rsid w:val="0013451C"/>
    <w:rsid w:val="001351CB"/>
    <w:rsid w:val="001359A2"/>
    <w:rsid w:val="00135E37"/>
    <w:rsid w:val="00136020"/>
    <w:rsid w:val="00136445"/>
    <w:rsid w:val="00140132"/>
    <w:rsid w:val="0014083F"/>
    <w:rsid w:val="00141C9C"/>
    <w:rsid w:val="001434BE"/>
    <w:rsid w:val="0014479F"/>
    <w:rsid w:val="001452B4"/>
    <w:rsid w:val="0014550E"/>
    <w:rsid w:val="00146EC6"/>
    <w:rsid w:val="001478D2"/>
    <w:rsid w:val="00150CC9"/>
    <w:rsid w:val="00152A87"/>
    <w:rsid w:val="001536E9"/>
    <w:rsid w:val="00154486"/>
    <w:rsid w:val="0015650E"/>
    <w:rsid w:val="00156D0E"/>
    <w:rsid w:val="0016086E"/>
    <w:rsid w:val="00160D0C"/>
    <w:rsid w:val="00161172"/>
    <w:rsid w:val="0016139E"/>
    <w:rsid w:val="00161E65"/>
    <w:rsid w:val="00162597"/>
    <w:rsid w:val="001629AF"/>
    <w:rsid w:val="0016428A"/>
    <w:rsid w:val="001647C9"/>
    <w:rsid w:val="001661A3"/>
    <w:rsid w:val="00167370"/>
    <w:rsid w:val="0016782B"/>
    <w:rsid w:val="00170036"/>
    <w:rsid w:val="00171EF4"/>
    <w:rsid w:val="00171F3C"/>
    <w:rsid w:val="00173256"/>
    <w:rsid w:val="001733E1"/>
    <w:rsid w:val="00173F74"/>
    <w:rsid w:val="00175086"/>
    <w:rsid w:val="00175BA6"/>
    <w:rsid w:val="00176B1E"/>
    <w:rsid w:val="00176CA7"/>
    <w:rsid w:val="001778C5"/>
    <w:rsid w:val="00177B2C"/>
    <w:rsid w:val="00177E56"/>
    <w:rsid w:val="00177F0A"/>
    <w:rsid w:val="00180024"/>
    <w:rsid w:val="00180669"/>
    <w:rsid w:val="00182B6B"/>
    <w:rsid w:val="00183088"/>
    <w:rsid w:val="00185617"/>
    <w:rsid w:val="00186926"/>
    <w:rsid w:val="0019171E"/>
    <w:rsid w:val="0019220F"/>
    <w:rsid w:val="001928B1"/>
    <w:rsid w:val="00194ED5"/>
    <w:rsid w:val="00195424"/>
    <w:rsid w:val="001955FF"/>
    <w:rsid w:val="001965C7"/>
    <w:rsid w:val="00197EDD"/>
    <w:rsid w:val="001A02B3"/>
    <w:rsid w:val="001A04BB"/>
    <w:rsid w:val="001A08D0"/>
    <w:rsid w:val="001A14B1"/>
    <w:rsid w:val="001A1B39"/>
    <w:rsid w:val="001A2492"/>
    <w:rsid w:val="001A28B6"/>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A13"/>
    <w:rsid w:val="001B5333"/>
    <w:rsid w:val="001B59FF"/>
    <w:rsid w:val="001B636D"/>
    <w:rsid w:val="001B65D7"/>
    <w:rsid w:val="001B6752"/>
    <w:rsid w:val="001B6768"/>
    <w:rsid w:val="001B68CC"/>
    <w:rsid w:val="001B6F1F"/>
    <w:rsid w:val="001B7ECC"/>
    <w:rsid w:val="001B7EFA"/>
    <w:rsid w:val="001C13B4"/>
    <w:rsid w:val="001C1AED"/>
    <w:rsid w:val="001C25A7"/>
    <w:rsid w:val="001C318C"/>
    <w:rsid w:val="001C4287"/>
    <w:rsid w:val="001C4479"/>
    <w:rsid w:val="001C76B7"/>
    <w:rsid w:val="001C76FB"/>
    <w:rsid w:val="001D2764"/>
    <w:rsid w:val="001D3697"/>
    <w:rsid w:val="001D51DE"/>
    <w:rsid w:val="001D540E"/>
    <w:rsid w:val="001D58A1"/>
    <w:rsid w:val="001D5A8A"/>
    <w:rsid w:val="001D64EA"/>
    <w:rsid w:val="001D709B"/>
    <w:rsid w:val="001D735E"/>
    <w:rsid w:val="001D73C8"/>
    <w:rsid w:val="001D74D4"/>
    <w:rsid w:val="001D7E1F"/>
    <w:rsid w:val="001E0756"/>
    <w:rsid w:val="001E0A8D"/>
    <w:rsid w:val="001E0FFB"/>
    <w:rsid w:val="001E129E"/>
    <w:rsid w:val="001E2B9F"/>
    <w:rsid w:val="001E3F22"/>
    <w:rsid w:val="001E4A8D"/>
    <w:rsid w:val="001E5A94"/>
    <w:rsid w:val="001E7648"/>
    <w:rsid w:val="001F127B"/>
    <w:rsid w:val="001F2A2E"/>
    <w:rsid w:val="001F2E3D"/>
    <w:rsid w:val="001F3B72"/>
    <w:rsid w:val="001F3C63"/>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37A"/>
    <w:rsid w:val="00204B5F"/>
    <w:rsid w:val="0020532C"/>
    <w:rsid w:val="00205D23"/>
    <w:rsid w:val="00206658"/>
    <w:rsid w:val="0021064F"/>
    <w:rsid w:val="002114C7"/>
    <w:rsid w:val="002118F3"/>
    <w:rsid w:val="00212756"/>
    <w:rsid w:val="0021302C"/>
    <w:rsid w:val="00213045"/>
    <w:rsid w:val="00213483"/>
    <w:rsid w:val="00213B1C"/>
    <w:rsid w:val="00214202"/>
    <w:rsid w:val="002146F3"/>
    <w:rsid w:val="002148E3"/>
    <w:rsid w:val="00214DB9"/>
    <w:rsid w:val="00215373"/>
    <w:rsid w:val="0021552D"/>
    <w:rsid w:val="002156AE"/>
    <w:rsid w:val="00217338"/>
    <w:rsid w:val="00217861"/>
    <w:rsid w:val="002204C9"/>
    <w:rsid w:val="0022054D"/>
    <w:rsid w:val="0022290A"/>
    <w:rsid w:val="00224DE1"/>
    <w:rsid w:val="00225664"/>
    <w:rsid w:val="002269DC"/>
    <w:rsid w:val="00227F2D"/>
    <w:rsid w:val="0023089D"/>
    <w:rsid w:val="00231851"/>
    <w:rsid w:val="002319FB"/>
    <w:rsid w:val="00231B89"/>
    <w:rsid w:val="002355BE"/>
    <w:rsid w:val="00236DE9"/>
    <w:rsid w:val="00237D5A"/>
    <w:rsid w:val="00237EA9"/>
    <w:rsid w:val="00241300"/>
    <w:rsid w:val="00241D3C"/>
    <w:rsid w:val="0024274D"/>
    <w:rsid w:val="002439AB"/>
    <w:rsid w:val="002450D5"/>
    <w:rsid w:val="00245587"/>
    <w:rsid w:val="00245F2B"/>
    <w:rsid w:val="00246F95"/>
    <w:rsid w:val="00247F3A"/>
    <w:rsid w:val="00250122"/>
    <w:rsid w:val="00250755"/>
    <w:rsid w:val="00250AE3"/>
    <w:rsid w:val="00251C4A"/>
    <w:rsid w:val="0025271C"/>
    <w:rsid w:val="00252A91"/>
    <w:rsid w:val="00252E81"/>
    <w:rsid w:val="002533CD"/>
    <w:rsid w:val="002544C1"/>
    <w:rsid w:val="00254EAB"/>
    <w:rsid w:val="002557AF"/>
    <w:rsid w:val="002561FA"/>
    <w:rsid w:val="00256474"/>
    <w:rsid w:val="002566B1"/>
    <w:rsid w:val="002575E3"/>
    <w:rsid w:val="002603C1"/>
    <w:rsid w:val="002609A1"/>
    <w:rsid w:val="002612B1"/>
    <w:rsid w:val="00266165"/>
    <w:rsid w:val="0027125E"/>
    <w:rsid w:val="00271767"/>
    <w:rsid w:val="00272293"/>
    <w:rsid w:val="002723C8"/>
    <w:rsid w:val="00272676"/>
    <w:rsid w:val="0027399A"/>
    <w:rsid w:val="00273CBE"/>
    <w:rsid w:val="00275167"/>
    <w:rsid w:val="00277441"/>
    <w:rsid w:val="002802D7"/>
    <w:rsid w:val="002805CC"/>
    <w:rsid w:val="0028232C"/>
    <w:rsid w:val="002827F1"/>
    <w:rsid w:val="00282EC3"/>
    <w:rsid w:val="002835B0"/>
    <w:rsid w:val="0028407E"/>
    <w:rsid w:val="0028410F"/>
    <w:rsid w:val="00286603"/>
    <w:rsid w:val="00286A98"/>
    <w:rsid w:val="00286FB5"/>
    <w:rsid w:val="00287763"/>
    <w:rsid w:val="00290606"/>
    <w:rsid w:val="00290F9D"/>
    <w:rsid w:val="002918A7"/>
    <w:rsid w:val="00291CD3"/>
    <w:rsid w:val="00291D6D"/>
    <w:rsid w:val="00291FF1"/>
    <w:rsid w:val="002923F6"/>
    <w:rsid w:val="00293361"/>
    <w:rsid w:val="00293770"/>
    <w:rsid w:val="00295287"/>
    <w:rsid w:val="002952B1"/>
    <w:rsid w:val="00295D11"/>
    <w:rsid w:val="00295FA0"/>
    <w:rsid w:val="00297A7A"/>
    <w:rsid w:val="00297BCA"/>
    <w:rsid w:val="002A0C3A"/>
    <w:rsid w:val="002A1130"/>
    <w:rsid w:val="002A14D3"/>
    <w:rsid w:val="002A1880"/>
    <w:rsid w:val="002A1D47"/>
    <w:rsid w:val="002A23B7"/>
    <w:rsid w:val="002A3A57"/>
    <w:rsid w:val="002A6717"/>
    <w:rsid w:val="002A6BC9"/>
    <w:rsid w:val="002A6D22"/>
    <w:rsid w:val="002A6DEF"/>
    <w:rsid w:val="002A734A"/>
    <w:rsid w:val="002A7411"/>
    <w:rsid w:val="002A7C24"/>
    <w:rsid w:val="002B013E"/>
    <w:rsid w:val="002B058D"/>
    <w:rsid w:val="002B0C16"/>
    <w:rsid w:val="002B11C9"/>
    <w:rsid w:val="002B169E"/>
    <w:rsid w:val="002B2621"/>
    <w:rsid w:val="002B2AC5"/>
    <w:rsid w:val="002B3528"/>
    <w:rsid w:val="002B3539"/>
    <w:rsid w:val="002B3B2B"/>
    <w:rsid w:val="002B6D17"/>
    <w:rsid w:val="002C0C1C"/>
    <w:rsid w:val="002C184E"/>
    <w:rsid w:val="002C29C1"/>
    <w:rsid w:val="002C54C2"/>
    <w:rsid w:val="002C58F6"/>
    <w:rsid w:val="002C5D34"/>
    <w:rsid w:val="002C5EA7"/>
    <w:rsid w:val="002C661A"/>
    <w:rsid w:val="002C730C"/>
    <w:rsid w:val="002C7378"/>
    <w:rsid w:val="002D0AF5"/>
    <w:rsid w:val="002D1C54"/>
    <w:rsid w:val="002D2231"/>
    <w:rsid w:val="002D25FC"/>
    <w:rsid w:val="002D318B"/>
    <w:rsid w:val="002D3380"/>
    <w:rsid w:val="002D4925"/>
    <w:rsid w:val="002D4AC6"/>
    <w:rsid w:val="002D5C7B"/>
    <w:rsid w:val="002D6DFC"/>
    <w:rsid w:val="002D7648"/>
    <w:rsid w:val="002D7909"/>
    <w:rsid w:val="002D7E56"/>
    <w:rsid w:val="002E109C"/>
    <w:rsid w:val="002E115E"/>
    <w:rsid w:val="002E193E"/>
    <w:rsid w:val="002E1BE6"/>
    <w:rsid w:val="002E1D76"/>
    <w:rsid w:val="002E243C"/>
    <w:rsid w:val="002E26C4"/>
    <w:rsid w:val="002E31DC"/>
    <w:rsid w:val="002E4B37"/>
    <w:rsid w:val="002E4BF9"/>
    <w:rsid w:val="002E6F5B"/>
    <w:rsid w:val="002F0631"/>
    <w:rsid w:val="002F16DD"/>
    <w:rsid w:val="002F199D"/>
    <w:rsid w:val="002F23B2"/>
    <w:rsid w:val="002F2AC5"/>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929"/>
    <w:rsid w:val="00302F0F"/>
    <w:rsid w:val="00303243"/>
    <w:rsid w:val="00303BCC"/>
    <w:rsid w:val="00303F2B"/>
    <w:rsid w:val="00303F8D"/>
    <w:rsid w:val="00304541"/>
    <w:rsid w:val="00304580"/>
    <w:rsid w:val="0030586A"/>
    <w:rsid w:val="0030742B"/>
    <w:rsid w:val="003074C5"/>
    <w:rsid w:val="00307A3C"/>
    <w:rsid w:val="00307FA4"/>
    <w:rsid w:val="00310CC1"/>
    <w:rsid w:val="0031202C"/>
    <w:rsid w:val="0031299F"/>
    <w:rsid w:val="00313026"/>
    <w:rsid w:val="0031421F"/>
    <w:rsid w:val="0031471D"/>
    <w:rsid w:val="00314B31"/>
    <w:rsid w:val="00314B36"/>
    <w:rsid w:val="00315158"/>
    <w:rsid w:val="00315346"/>
    <w:rsid w:val="00315A65"/>
    <w:rsid w:val="00316686"/>
    <w:rsid w:val="00316CEC"/>
    <w:rsid w:val="00317BA7"/>
    <w:rsid w:val="00320BE2"/>
    <w:rsid w:val="00321886"/>
    <w:rsid w:val="00321902"/>
    <w:rsid w:val="00322F03"/>
    <w:rsid w:val="00323558"/>
    <w:rsid w:val="00323694"/>
    <w:rsid w:val="00324A31"/>
    <w:rsid w:val="00324D63"/>
    <w:rsid w:val="003255AF"/>
    <w:rsid w:val="003256EB"/>
    <w:rsid w:val="003259DB"/>
    <w:rsid w:val="00331060"/>
    <w:rsid w:val="00331A48"/>
    <w:rsid w:val="003330C9"/>
    <w:rsid w:val="0033364C"/>
    <w:rsid w:val="00334415"/>
    <w:rsid w:val="0033445C"/>
    <w:rsid w:val="00334F92"/>
    <w:rsid w:val="0033691E"/>
    <w:rsid w:val="00336CCB"/>
    <w:rsid w:val="00336D6B"/>
    <w:rsid w:val="0033745F"/>
    <w:rsid w:val="00337631"/>
    <w:rsid w:val="00337F44"/>
    <w:rsid w:val="003411D1"/>
    <w:rsid w:val="003416BA"/>
    <w:rsid w:val="00341BD6"/>
    <w:rsid w:val="00342A8A"/>
    <w:rsid w:val="00342F99"/>
    <w:rsid w:val="00343958"/>
    <w:rsid w:val="00344726"/>
    <w:rsid w:val="003454A4"/>
    <w:rsid w:val="00350E6C"/>
    <w:rsid w:val="003512C6"/>
    <w:rsid w:val="003518A6"/>
    <w:rsid w:val="00351A4F"/>
    <w:rsid w:val="00351CB0"/>
    <w:rsid w:val="00351E7F"/>
    <w:rsid w:val="00352953"/>
    <w:rsid w:val="00354062"/>
    <w:rsid w:val="00355C0D"/>
    <w:rsid w:val="00355C69"/>
    <w:rsid w:val="003561F1"/>
    <w:rsid w:val="003566A9"/>
    <w:rsid w:val="00356988"/>
    <w:rsid w:val="00356B20"/>
    <w:rsid w:val="00356E94"/>
    <w:rsid w:val="00357128"/>
    <w:rsid w:val="0035755E"/>
    <w:rsid w:val="00357A80"/>
    <w:rsid w:val="00361B8B"/>
    <w:rsid w:val="00361B95"/>
    <w:rsid w:val="00363F39"/>
    <w:rsid w:val="00364738"/>
    <w:rsid w:val="00364AB0"/>
    <w:rsid w:val="003667B0"/>
    <w:rsid w:val="003667DD"/>
    <w:rsid w:val="00366B48"/>
    <w:rsid w:val="00367764"/>
    <w:rsid w:val="00367B65"/>
    <w:rsid w:val="00370316"/>
    <w:rsid w:val="00370DC7"/>
    <w:rsid w:val="0037156C"/>
    <w:rsid w:val="00371CBD"/>
    <w:rsid w:val="00373CBE"/>
    <w:rsid w:val="003740CC"/>
    <w:rsid w:val="0037435E"/>
    <w:rsid w:val="00374E79"/>
    <w:rsid w:val="00375388"/>
    <w:rsid w:val="00375FB9"/>
    <w:rsid w:val="00376851"/>
    <w:rsid w:val="00376FA2"/>
    <w:rsid w:val="0037738D"/>
    <w:rsid w:val="003773AE"/>
    <w:rsid w:val="00377A3B"/>
    <w:rsid w:val="00377E3C"/>
    <w:rsid w:val="00380BBE"/>
    <w:rsid w:val="00381775"/>
    <w:rsid w:val="00381D70"/>
    <w:rsid w:val="00382128"/>
    <w:rsid w:val="0038235E"/>
    <w:rsid w:val="003829D0"/>
    <w:rsid w:val="00382FBA"/>
    <w:rsid w:val="0038444F"/>
    <w:rsid w:val="00384E83"/>
    <w:rsid w:val="00385333"/>
    <w:rsid w:val="0038664D"/>
    <w:rsid w:val="00387051"/>
    <w:rsid w:val="00387712"/>
    <w:rsid w:val="00387ECF"/>
    <w:rsid w:val="0039021B"/>
    <w:rsid w:val="00390429"/>
    <w:rsid w:val="00392A7A"/>
    <w:rsid w:val="0039327C"/>
    <w:rsid w:val="003933A2"/>
    <w:rsid w:val="0039366C"/>
    <w:rsid w:val="00393767"/>
    <w:rsid w:val="003938F3"/>
    <w:rsid w:val="00393EC8"/>
    <w:rsid w:val="00394BC6"/>
    <w:rsid w:val="00395E42"/>
    <w:rsid w:val="00396052"/>
    <w:rsid w:val="00396A2D"/>
    <w:rsid w:val="00396FC3"/>
    <w:rsid w:val="003A0B61"/>
    <w:rsid w:val="003A1554"/>
    <w:rsid w:val="003A1A94"/>
    <w:rsid w:val="003A204E"/>
    <w:rsid w:val="003A277E"/>
    <w:rsid w:val="003A2D25"/>
    <w:rsid w:val="003A39B2"/>
    <w:rsid w:val="003A4DDB"/>
    <w:rsid w:val="003A60E7"/>
    <w:rsid w:val="003A6E03"/>
    <w:rsid w:val="003B0B6A"/>
    <w:rsid w:val="003B0F79"/>
    <w:rsid w:val="003B1483"/>
    <w:rsid w:val="003B1CFD"/>
    <w:rsid w:val="003B24DB"/>
    <w:rsid w:val="003B29CF"/>
    <w:rsid w:val="003B2AA0"/>
    <w:rsid w:val="003B41B5"/>
    <w:rsid w:val="003B54DF"/>
    <w:rsid w:val="003B5F96"/>
    <w:rsid w:val="003B6659"/>
    <w:rsid w:val="003B7733"/>
    <w:rsid w:val="003C0166"/>
    <w:rsid w:val="003C350C"/>
    <w:rsid w:val="003C3903"/>
    <w:rsid w:val="003C3BA0"/>
    <w:rsid w:val="003C4580"/>
    <w:rsid w:val="003C52D8"/>
    <w:rsid w:val="003C5C5E"/>
    <w:rsid w:val="003C6746"/>
    <w:rsid w:val="003C7133"/>
    <w:rsid w:val="003C7555"/>
    <w:rsid w:val="003C7898"/>
    <w:rsid w:val="003D010A"/>
    <w:rsid w:val="003D0A6B"/>
    <w:rsid w:val="003D0FF5"/>
    <w:rsid w:val="003D194F"/>
    <w:rsid w:val="003D2D1B"/>
    <w:rsid w:val="003D30AB"/>
    <w:rsid w:val="003D3D94"/>
    <w:rsid w:val="003D48C7"/>
    <w:rsid w:val="003D4B26"/>
    <w:rsid w:val="003D4C08"/>
    <w:rsid w:val="003D51ED"/>
    <w:rsid w:val="003D71A6"/>
    <w:rsid w:val="003D7969"/>
    <w:rsid w:val="003D7CE8"/>
    <w:rsid w:val="003E1032"/>
    <w:rsid w:val="003E163B"/>
    <w:rsid w:val="003E1904"/>
    <w:rsid w:val="003E285E"/>
    <w:rsid w:val="003E3300"/>
    <w:rsid w:val="003E65AC"/>
    <w:rsid w:val="003E6E24"/>
    <w:rsid w:val="003E72B9"/>
    <w:rsid w:val="003E7ED4"/>
    <w:rsid w:val="003F0E52"/>
    <w:rsid w:val="003F0EF2"/>
    <w:rsid w:val="003F0F6B"/>
    <w:rsid w:val="003F1F40"/>
    <w:rsid w:val="003F1FE3"/>
    <w:rsid w:val="003F3865"/>
    <w:rsid w:val="003F3A0A"/>
    <w:rsid w:val="003F4632"/>
    <w:rsid w:val="003F47BA"/>
    <w:rsid w:val="003F5C65"/>
    <w:rsid w:val="003F6617"/>
    <w:rsid w:val="0040194E"/>
    <w:rsid w:val="00402127"/>
    <w:rsid w:val="00402332"/>
    <w:rsid w:val="004025C2"/>
    <w:rsid w:val="00403E55"/>
    <w:rsid w:val="00404532"/>
    <w:rsid w:val="00404681"/>
    <w:rsid w:val="0040496D"/>
    <w:rsid w:val="00405010"/>
    <w:rsid w:val="0040595A"/>
    <w:rsid w:val="00406923"/>
    <w:rsid w:val="0040713A"/>
    <w:rsid w:val="0040763D"/>
    <w:rsid w:val="004105B0"/>
    <w:rsid w:val="00410624"/>
    <w:rsid w:val="00410EC5"/>
    <w:rsid w:val="00411A3D"/>
    <w:rsid w:val="0041250F"/>
    <w:rsid w:val="004133A8"/>
    <w:rsid w:val="00413821"/>
    <w:rsid w:val="00413D43"/>
    <w:rsid w:val="004141A3"/>
    <w:rsid w:val="00414909"/>
    <w:rsid w:val="00414BB2"/>
    <w:rsid w:val="00414D27"/>
    <w:rsid w:val="004154E9"/>
    <w:rsid w:val="00415E66"/>
    <w:rsid w:val="00416112"/>
    <w:rsid w:val="00416DF0"/>
    <w:rsid w:val="00417AE0"/>
    <w:rsid w:val="00417BAA"/>
    <w:rsid w:val="00420BA9"/>
    <w:rsid w:val="00420D7A"/>
    <w:rsid w:val="004223DE"/>
    <w:rsid w:val="0042293E"/>
    <w:rsid w:val="00422A10"/>
    <w:rsid w:val="00423D86"/>
    <w:rsid w:val="00424A63"/>
    <w:rsid w:val="00424D17"/>
    <w:rsid w:val="00424DA2"/>
    <w:rsid w:val="00425357"/>
    <w:rsid w:val="00425DFD"/>
    <w:rsid w:val="004263A3"/>
    <w:rsid w:val="00427713"/>
    <w:rsid w:val="00427CCC"/>
    <w:rsid w:val="0043013A"/>
    <w:rsid w:val="00430421"/>
    <w:rsid w:val="00430B4F"/>
    <w:rsid w:val="004314B1"/>
    <w:rsid w:val="00431E65"/>
    <w:rsid w:val="00432589"/>
    <w:rsid w:val="00432A94"/>
    <w:rsid w:val="00432DBE"/>
    <w:rsid w:val="0043366D"/>
    <w:rsid w:val="00433827"/>
    <w:rsid w:val="00434D2E"/>
    <w:rsid w:val="004360C8"/>
    <w:rsid w:val="0044006B"/>
    <w:rsid w:val="0044033F"/>
    <w:rsid w:val="00440630"/>
    <w:rsid w:val="0044112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DA8"/>
    <w:rsid w:val="00452E99"/>
    <w:rsid w:val="004535AE"/>
    <w:rsid w:val="00453C42"/>
    <w:rsid w:val="0045463A"/>
    <w:rsid w:val="00454AC9"/>
    <w:rsid w:val="00454E26"/>
    <w:rsid w:val="004554A3"/>
    <w:rsid w:val="00455A6E"/>
    <w:rsid w:val="00456758"/>
    <w:rsid w:val="004569CD"/>
    <w:rsid w:val="004578EB"/>
    <w:rsid w:val="00460303"/>
    <w:rsid w:val="004605E5"/>
    <w:rsid w:val="00460697"/>
    <w:rsid w:val="00462593"/>
    <w:rsid w:val="00465EEF"/>
    <w:rsid w:val="00466D03"/>
    <w:rsid w:val="0046711B"/>
    <w:rsid w:val="00467312"/>
    <w:rsid w:val="00471156"/>
    <w:rsid w:val="00472429"/>
    <w:rsid w:val="004725E5"/>
    <w:rsid w:val="004726FE"/>
    <w:rsid w:val="00472751"/>
    <w:rsid w:val="00473128"/>
    <w:rsid w:val="00475078"/>
    <w:rsid w:val="00475226"/>
    <w:rsid w:val="0047734F"/>
    <w:rsid w:val="004779A0"/>
    <w:rsid w:val="004808E3"/>
    <w:rsid w:val="00481016"/>
    <w:rsid w:val="004814D3"/>
    <w:rsid w:val="0048204C"/>
    <w:rsid w:val="00482104"/>
    <w:rsid w:val="004821BB"/>
    <w:rsid w:val="00482233"/>
    <w:rsid w:val="0048261A"/>
    <w:rsid w:val="004826FE"/>
    <w:rsid w:val="004827D5"/>
    <w:rsid w:val="004830C9"/>
    <w:rsid w:val="00483347"/>
    <w:rsid w:val="0048350F"/>
    <w:rsid w:val="00483BA5"/>
    <w:rsid w:val="00483E2E"/>
    <w:rsid w:val="00484B69"/>
    <w:rsid w:val="00485406"/>
    <w:rsid w:val="0048590F"/>
    <w:rsid w:val="004867A5"/>
    <w:rsid w:val="00486D60"/>
    <w:rsid w:val="00487C87"/>
    <w:rsid w:val="00490BB8"/>
    <w:rsid w:val="00492A25"/>
    <w:rsid w:val="0049474A"/>
    <w:rsid w:val="004961EA"/>
    <w:rsid w:val="00496350"/>
    <w:rsid w:val="00496F91"/>
    <w:rsid w:val="00497274"/>
    <w:rsid w:val="00497708"/>
    <w:rsid w:val="0049797C"/>
    <w:rsid w:val="00497C2C"/>
    <w:rsid w:val="00497E9D"/>
    <w:rsid w:val="004A07AC"/>
    <w:rsid w:val="004A1405"/>
    <w:rsid w:val="004A1FC6"/>
    <w:rsid w:val="004A3C03"/>
    <w:rsid w:val="004A3DB7"/>
    <w:rsid w:val="004A3FB3"/>
    <w:rsid w:val="004A5088"/>
    <w:rsid w:val="004A5255"/>
    <w:rsid w:val="004A6097"/>
    <w:rsid w:val="004A6CB0"/>
    <w:rsid w:val="004A70FF"/>
    <w:rsid w:val="004A7CCC"/>
    <w:rsid w:val="004B1B84"/>
    <w:rsid w:val="004B2878"/>
    <w:rsid w:val="004B29AC"/>
    <w:rsid w:val="004B35DF"/>
    <w:rsid w:val="004B3627"/>
    <w:rsid w:val="004B3F3A"/>
    <w:rsid w:val="004B4779"/>
    <w:rsid w:val="004B4922"/>
    <w:rsid w:val="004B57DF"/>
    <w:rsid w:val="004C03A0"/>
    <w:rsid w:val="004C04AB"/>
    <w:rsid w:val="004C2138"/>
    <w:rsid w:val="004C2ED0"/>
    <w:rsid w:val="004C32D4"/>
    <w:rsid w:val="004C3940"/>
    <w:rsid w:val="004C51FD"/>
    <w:rsid w:val="004C534B"/>
    <w:rsid w:val="004C5B87"/>
    <w:rsid w:val="004C65A8"/>
    <w:rsid w:val="004C6F74"/>
    <w:rsid w:val="004C786C"/>
    <w:rsid w:val="004C7963"/>
    <w:rsid w:val="004D2F63"/>
    <w:rsid w:val="004D35BA"/>
    <w:rsid w:val="004D4701"/>
    <w:rsid w:val="004D47C7"/>
    <w:rsid w:val="004D5878"/>
    <w:rsid w:val="004D618D"/>
    <w:rsid w:val="004D62A9"/>
    <w:rsid w:val="004D6AEE"/>
    <w:rsid w:val="004D6FC3"/>
    <w:rsid w:val="004D7476"/>
    <w:rsid w:val="004D7CEE"/>
    <w:rsid w:val="004E0306"/>
    <w:rsid w:val="004E0572"/>
    <w:rsid w:val="004E25A8"/>
    <w:rsid w:val="004E2AA0"/>
    <w:rsid w:val="004E3930"/>
    <w:rsid w:val="004E3ED9"/>
    <w:rsid w:val="004E5866"/>
    <w:rsid w:val="004E5D94"/>
    <w:rsid w:val="004E6097"/>
    <w:rsid w:val="004E61EF"/>
    <w:rsid w:val="004E6772"/>
    <w:rsid w:val="004E76A7"/>
    <w:rsid w:val="004E7736"/>
    <w:rsid w:val="004E7B03"/>
    <w:rsid w:val="004F0064"/>
    <w:rsid w:val="004F06AC"/>
    <w:rsid w:val="004F0C76"/>
    <w:rsid w:val="004F1AE6"/>
    <w:rsid w:val="004F243F"/>
    <w:rsid w:val="004F258B"/>
    <w:rsid w:val="004F3E0C"/>
    <w:rsid w:val="004F4B37"/>
    <w:rsid w:val="004F6272"/>
    <w:rsid w:val="004F6A2D"/>
    <w:rsid w:val="004F7160"/>
    <w:rsid w:val="00500258"/>
    <w:rsid w:val="0050175E"/>
    <w:rsid w:val="00501A99"/>
    <w:rsid w:val="00503180"/>
    <w:rsid w:val="0050417C"/>
    <w:rsid w:val="00505450"/>
    <w:rsid w:val="00505BFB"/>
    <w:rsid w:val="00506BA5"/>
    <w:rsid w:val="005100B7"/>
    <w:rsid w:val="005113C9"/>
    <w:rsid w:val="0051280C"/>
    <w:rsid w:val="00512842"/>
    <w:rsid w:val="005128BE"/>
    <w:rsid w:val="00512B7B"/>
    <w:rsid w:val="00512E6C"/>
    <w:rsid w:val="0051356F"/>
    <w:rsid w:val="00513E7C"/>
    <w:rsid w:val="005140BB"/>
    <w:rsid w:val="005143C2"/>
    <w:rsid w:val="0051454F"/>
    <w:rsid w:val="00514FD9"/>
    <w:rsid w:val="0051608F"/>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F9E"/>
    <w:rsid w:val="005316C6"/>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AF4"/>
    <w:rsid w:val="00544191"/>
    <w:rsid w:val="00544F39"/>
    <w:rsid w:val="0054515D"/>
    <w:rsid w:val="00547EFB"/>
    <w:rsid w:val="00552563"/>
    <w:rsid w:val="005531DF"/>
    <w:rsid w:val="00553874"/>
    <w:rsid w:val="00553ACC"/>
    <w:rsid w:val="00554AD8"/>
    <w:rsid w:val="00554F78"/>
    <w:rsid w:val="005556A5"/>
    <w:rsid w:val="00556BF7"/>
    <w:rsid w:val="00562149"/>
    <w:rsid w:val="005630D8"/>
    <w:rsid w:val="00563FFD"/>
    <w:rsid w:val="00565855"/>
    <w:rsid w:val="005663AD"/>
    <w:rsid w:val="005677CE"/>
    <w:rsid w:val="00567B5D"/>
    <w:rsid w:val="00573595"/>
    <w:rsid w:val="00573733"/>
    <w:rsid w:val="00574554"/>
    <w:rsid w:val="00575A01"/>
    <w:rsid w:val="00576089"/>
    <w:rsid w:val="005764B1"/>
    <w:rsid w:val="00576A56"/>
    <w:rsid w:val="00576D06"/>
    <w:rsid w:val="00577853"/>
    <w:rsid w:val="005779E4"/>
    <w:rsid w:val="00580AC5"/>
    <w:rsid w:val="00580EB3"/>
    <w:rsid w:val="00581A2A"/>
    <w:rsid w:val="00581DB7"/>
    <w:rsid w:val="0058289C"/>
    <w:rsid w:val="00582C35"/>
    <w:rsid w:val="00582DC6"/>
    <w:rsid w:val="005836C7"/>
    <w:rsid w:val="00583E30"/>
    <w:rsid w:val="0058408E"/>
    <w:rsid w:val="005845AF"/>
    <w:rsid w:val="00585374"/>
    <w:rsid w:val="00586F3C"/>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A5DA1"/>
    <w:rsid w:val="005B0160"/>
    <w:rsid w:val="005B0185"/>
    <w:rsid w:val="005B07EC"/>
    <w:rsid w:val="005B09D8"/>
    <w:rsid w:val="005B120C"/>
    <w:rsid w:val="005B24F3"/>
    <w:rsid w:val="005B2B11"/>
    <w:rsid w:val="005B2E00"/>
    <w:rsid w:val="005B30C3"/>
    <w:rsid w:val="005B370E"/>
    <w:rsid w:val="005B4DA3"/>
    <w:rsid w:val="005B5BEE"/>
    <w:rsid w:val="005B77D2"/>
    <w:rsid w:val="005C019B"/>
    <w:rsid w:val="005C144E"/>
    <w:rsid w:val="005C14A8"/>
    <w:rsid w:val="005C30F5"/>
    <w:rsid w:val="005C357E"/>
    <w:rsid w:val="005C3951"/>
    <w:rsid w:val="005C51A5"/>
    <w:rsid w:val="005C557A"/>
    <w:rsid w:val="005C61DD"/>
    <w:rsid w:val="005C6438"/>
    <w:rsid w:val="005C6B8B"/>
    <w:rsid w:val="005D018F"/>
    <w:rsid w:val="005D02E3"/>
    <w:rsid w:val="005D0310"/>
    <w:rsid w:val="005D039C"/>
    <w:rsid w:val="005D1F34"/>
    <w:rsid w:val="005D2529"/>
    <w:rsid w:val="005D2C1F"/>
    <w:rsid w:val="005D34B2"/>
    <w:rsid w:val="005D3B54"/>
    <w:rsid w:val="005D40CD"/>
    <w:rsid w:val="005D4546"/>
    <w:rsid w:val="005D6B59"/>
    <w:rsid w:val="005D7037"/>
    <w:rsid w:val="005E03E4"/>
    <w:rsid w:val="005E0454"/>
    <w:rsid w:val="005E0BF4"/>
    <w:rsid w:val="005E171D"/>
    <w:rsid w:val="005E2481"/>
    <w:rsid w:val="005E34C2"/>
    <w:rsid w:val="005E35C6"/>
    <w:rsid w:val="005E3E46"/>
    <w:rsid w:val="005E5B01"/>
    <w:rsid w:val="005E664D"/>
    <w:rsid w:val="005E7933"/>
    <w:rsid w:val="005E7E0B"/>
    <w:rsid w:val="005F009E"/>
    <w:rsid w:val="005F0A88"/>
    <w:rsid w:val="005F0DF1"/>
    <w:rsid w:val="005F1516"/>
    <w:rsid w:val="005F229E"/>
    <w:rsid w:val="005F2564"/>
    <w:rsid w:val="005F3822"/>
    <w:rsid w:val="005F3E0B"/>
    <w:rsid w:val="005F4D16"/>
    <w:rsid w:val="005F4E52"/>
    <w:rsid w:val="005F5590"/>
    <w:rsid w:val="005F5967"/>
    <w:rsid w:val="005F6A62"/>
    <w:rsid w:val="005F77C8"/>
    <w:rsid w:val="005F7DA4"/>
    <w:rsid w:val="005F7EA8"/>
    <w:rsid w:val="0060058E"/>
    <w:rsid w:val="00602740"/>
    <w:rsid w:val="00602A3C"/>
    <w:rsid w:val="00603BE3"/>
    <w:rsid w:val="00603EFD"/>
    <w:rsid w:val="006041DF"/>
    <w:rsid w:val="0060475B"/>
    <w:rsid w:val="00604FB6"/>
    <w:rsid w:val="00605387"/>
    <w:rsid w:val="00606302"/>
    <w:rsid w:val="006072EF"/>
    <w:rsid w:val="006076FD"/>
    <w:rsid w:val="00607BA3"/>
    <w:rsid w:val="0061143F"/>
    <w:rsid w:val="006114D8"/>
    <w:rsid w:val="00611585"/>
    <w:rsid w:val="00612931"/>
    <w:rsid w:val="00613601"/>
    <w:rsid w:val="00613791"/>
    <w:rsid w:val="00613AAB"/>
    <w:rsid w:val="00614505"/>
    <w:rsid w:val="006148C7"/>
    <w:rsid w:val="006150D6"/>
    <w:rsid w:val="00617EEE"/>
    <w:rsid w:val="006210FE"/>
    <w:rsid w:val="00622811"/>
    <w:rsid w:val="00622894"/>
    <w:rsid w:val="00622BB7"/>
    <w:rsid w:val="00622F3B"/>
    <w:rsid w:val="00623389"/>
    <w:rsid w:val="0062352A"/>
    <w:rsid w:val="00625E45"/>
    <w:rsid w:val="006265C4"/>
    <w:rsid w:val="00627383"/>
    <w:rsid w:val="00627733"/>
    <w:rsid w:val="00627F47"/>
    <w:rsid w:val="006301BB"/>
    <w:rsid w:val="006319FC"/>
    <w:rsid w:val="00632605"/>
    <w:rsid w:val="00633AC3"/>
    <w:rsid w:val="00633F8D"/>
    <w:rsid w:val="006341EF"/>
    <w:rsid w:val="00634BED"/>
    <w:rsid w:val="00635A4A"/>
    <w:rsid w:val="00635FB9"/>
    <w:rsid w:val="00636148"/>
    <w:rsid w:val="006370CF"/>
    <w:rsid w:val="00637774"/>
    <w:rsid w:val="0064024C"/>
    <w:rsid w:val="00640291"/>
    <w:rsid w:val="00641967"/>
    <w:rsid w:val="00641FAC"/>
    <w:rsid w:val="006432A5"/>
    <w:rsid w:val="00643664"/>
    <w:rsid w:val="00643CAA"/>
    <w:rsid w:val="00644075"/>
    <w:rsid w:val="00652137"/>
    <w:rsid w:val="00652680"/>
    <w:rsid w:val="00652A09"/>
    <w:rsid w:val="006530A1"/>
    <w:rsid w:val="00653CDE"/>
    <w:rsid w:val="006540B4"/>
    <w:rsid w:val="0065636A"/>
    <w:rsid w:val="00656C3C"/>
    <w:rsid w:val="00656CA9"/>
    <w:rsid w:val="00657003"/>
    <w:rsid w:val="00657126"/>
    <w:rsid w:val="006572C1"/>
    <w:rsid w:val="00657930"/>
    <w:rsid w:val="00660238"/>
    <w:rsid w:val="006602EF"/>
    <w:rsid w:val="00660F41"/>
    <w:rsid w:val="00661277"/>
    <w:rsid w:val="006616FE"/>
    <w:rsid w:val="006619D1"/>
    <w:rsid w:val="00663FEA"/>
    <w:rsid w:val="00664253"/>
    <w:rsid w:val="006647AE"/>
    <w:rsid w:val="00664803"/>
    <w:rsid w:val="00664A29"/>
    <w:rsid w:val="006661A4"/>
    <w:rsid w:val="006670E0"/>
    <w:rsid w:val="00667532"/>
    <w:rsid w:val="006704FD"/>
    <w:rsid w:val="006716B4"/>
    <w:rsid w:val="0067294B"/>
    <w:rsid w:val="006738F2"/>
    <w:rsid w:val="00673AA4"/>
    <w:rsid w:val="00674187"/>
    <w:rsid w:val="006744E8"/>
    <w:rsid w:val="0067508F"/>
    <w:rsid w:val="00675349"/>
    <w:rsid w:val="006754B2"/>
    <w:rsid w:val="00675E7E"/>
    <w:rsid w:val="0068051E"/>
    <w:rsid w:val="00680B9D"/>
    <w:rsid w:val="00681F13"/>
    <w:rsid w:val="0068231C"/>
    <w:rsid w:val="00682344"/>
    <w:rsid w:val="00682F28"/>
    <w:rsid w:val="00683E26"/>
    <w:rsid w:val="006840C2"/>
    <w:rsid w:val="00684842"/>
    <w:rsid w:val="0068494E"/>
    <w:rsid w:val="00685BD6"/>
    <w:rsid w:val="006878A6"/>
    <w:rsid w:val="00690437"/>
    <w:rsid w:val="00690E65"/>
    <w:rsid w:val="0069188E"/>
    <w:rsid w:val="00691974"/>
    <w:rsid w:val="00692CE6"/>
    <w:rsid w:val="00693B6C"/>
    <w:rsid w:val="00694202"/>
    <w:rsid w:val="006942AE"/>
    <w:rsid w:val="0069483C"/>
    <w:rsid w:val="00695421"/>
    <w:rsid w:val="00695A2F"/>
    <w:rsid w:val="00696D4B"/>
    <w:rsid w:val="00697BD3"/>
    <w:rsid w:val="00697DFA"/>
    <w:rsid w:val="006A0C53"/>
    <w:rsid w:val="006A10F3"/>
    <w:rsid w:val="006A16D5"/>
    <w:rsid w:val="006A1772"/>
    <w:rsid w:val="006A1780"/>
    <w:rsid w:val="006A258B"/>
    <w:rsid w:val="006A25A5"/>
    <w:rsid w:val="006A2790"/>
    <w:rsid w:val="006A3CEC"/>
    <w:rsid w:val="006A3F75"/>
    <w:rsid w:val="006A4FB3"/>
    <w:rsid w:val="006A5543"/>
    <w:rsid w:val="006A5A3E"/>
    <w:rsid w:val="006A6454"/>
    <w:rsid w:val="006A6CA7"/>
    <w:rsid w:val="006A703E"/>
    <w:rsid w:val="006A7BE3"/>
    <w:rsid w:val="006B01D1"/>
    <w:rsid w:val="006B16EA"/>
    <w:rsid w:val="006B1780"/>
    <w:rsid w:val="006B224E"/>
    <w:rsid w:val="006B376E"/>
    <w:rsid w:val="006B4589"/>
    <w:rsid w:val="006B55F2"/>
    <w:rsid w:val="006B5D6D"/>
    <w:rsid w:val="006B6460"/>
    <w:rsid w:val="006B6805"/>
    <w:rsid w:val="006B6BBE"/>
    <w:rsid w:val="006B6DE0"/>
    <w:rsid w:val="006B7D5F"/>
    <w:rsid w:val="006C1A44"/>
    <w:rsid w:val="006C32F4"/>
    <w:rsid w:val="006C390F"/>
    <w:rsid w:val="006C3C54"/>
    <w:rsid w:val="006C4015"/>
    <w:rsid w:val="006C40F4"/>
    <w:rsid w:val="006C427B"/>
    <w:rsid w:val="006C4D5D"/>
    <w:rsid w:val="006C4E5A"/>
    <w:rsid w:val="006C4F9F"/>
    <w:rsid w:val="006C61AB"/>
    <w:rsid w:val="006C650D"/>
    <w:rsid w:val="006C748D"/>
    <w:rsid w:val="006C74E2"/>
    <w:rsid w:val="006D0C1D"/>
    <w:rsid w:val="006D0CE1"/>
    <w:rsid w:val="006D2004"/>
    <w:rsid w:val="006D2A8C"/>
    <w:rsid w:val="006D2E9D"/>
    <w:rsid w:val="006D4C1E"/>
    <w:rsid w:val="006D4C42"/>
    <w:rsid w:val="006D5809"/>
    <w:rsid w:val="006D630A"/>
    <w:rsid w:val="006D668D"/>
    <w:rsid w:val="006D7363"/>
    <w:rsid w:val="006D74F2"/>
    <w:rsid w:val="006E04C8"/>
    <w:rsid w:val="006E0712"/>
    <w:rsid w:val="006E0754"/>
    <w:rsid w:val="006E2668"/>
    <w:rsid w:val="006E2D39"/>
    <w:rsid w:val="006E32B0"/>
    <w:rsid w:val="006E36D8"/>
    <w:rsid w:val="006E396A"/>
    <w:rsid w:val="006E3A73"/>
    <w:rsid w:val="006E4309"/>
    <w:rsid w:val="006E5DD8"/>
    <w:rsid w:val="006E5EA1"/>
    <w:rsid w:val="006E5F4A"/>
    <w:rsid w:val="006E7ABC"/>
    <w:rsid w:val="006F0760"/>
    <w:rsid w:val="006F0FF1"/>
    <w:rsid w:val="006F11E2"/>
    <w:rsid w:val="006F12F5"/>
    <w:rsid w:val="006F1FD6"/>
    <w:rsid w:val="006F2574"/>
    <w:rsid w:val="006F3231"/>
    <w:rsid w:val="006F3DE3"/>
    <w:rsid w:val="006F471B"/>
    <w:rsid w:val="006F511F"/>
    <w:rsid w:val="006F54B3"/>
    <w:rsid w:val="006F61D8"/>
    <w:rsid w:val="006F62B7"/>
    <w:rsid w:val="006F70BC"/>
    <w:rsid w:val="006F713A"/>
    <w:rsid w:val="006F76BF"/>
    <w:rsid w:val="00700077"/>
    <w:rsid w:val="0070114D"/>
    <w:rsid w:val="007066A4"/>
    <w:rsid w:val="00706F37"/>
    <w:rsid w:val="00707D09"/>
    <w:rsid w:val="00711208"/>
    <w:rsid w:val="0071209F"/>
    <w:rsid w:val="007125A2"/>
    <w:rsid w:val="007129C8"/>
    <w:rsid w:val="00712DA3"/>
    <w:rsid w:val="00713F79"/>
    <w:rsid w:val="007148A8"/>
    <w:rsid w:val="00714AA4"/>
    <w:rsid w:val="007171E0"/>
    <w:rsid w:val="0072033C"/>
    <w:rsid w:val="00720B1B"/>
    <w:rsid w:val="00720EC1"/>
    <w:rsid w:val="00721062"/>
    <w:rsid w:val="00721E5D"/>
    <w:rsid w:val="00722573"/>
    <w:rsid w:val="007229D4"/>
    <w:rsid w:val="00722CD9"/>
    <w:rsid w:val="007230F8"/>
    <w:rsid w:val="007233F4"/>
    <w:rsid w:val="00724044"/>
    <w:rsid w:val="007244E1"/>
    <w:rsid w:val="007248D3"/>
    <w:rsid w:val="00725137"/>
    <w:rsid w:val="007263ED"/>
    <w:rsid w:val="00727941"/>
    <w:rsid w:val="00727A43"/>
    <w:rsid w:val="00727FF2"/>
    <w:rsid w:val="007306C7"/>
    <w:rsid w:val="0073161F"/>
    <w:rsid w:val="007323E0"/>
    <w:rsid w:val="00733791"/>
    <w:rsid w:val="0073391B"/>
    <w:rsid w:val="00733DE2"/>
    <w:rsid w:val="007352EA"/>
    <w:rsid w:val="00735DF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5DB"/>
    <w:rsid w:val="00744810"/>
    <w:rsid w:val="00747C88"/>
    <w:rsid w:val="00747DE2"/>
    <w:rsid w:val="007504BF"/>
    <w:rsid w:val="007506CD"/>
    <w:rsid w:val="0075267F"/>
    <w:rsid w:val="007526EC"/>
    <w:rsid w:val="0075310C"/>
    <w:rsid w:val="00753347"/>
    <w:rsid w:val="00753C48"/>
    <w:rsid w:val="00754C97"/>
    <w:rsid w:val="00754FE4"/>
    <w:rsid w:val="00755538"/>
    <w:rsid w:val="00756236"/>
    <w:rsid w:val="00756271"/>
    <w:rsid w:val="00756521"/>
    <w:rsid w:val="007565F7"/>
    <w:rsid w:val="00756AB7"/>
    <w:rsid w:val="00760477"/>
    <w:rsid w:val="00761AF4"/>
    <w:rsid w:val="00762071"/>
    <w:rsid w:val="007623FB"/>
    <w:rsid w:val="0076376A"/>
    <w:rsid w:val="0076435B"/>
    <w:rsid w:val="0076500F"/>
    <w:rsid w:val="0076504E"/>
    <w:rsid w:val="00765E6A"/>
    <w:rsid w:val="00767EA0"/>
    <w:rsid w:val="0077068F"/>
    <w:rsid w:val="0077408D"/>
    <w:rsid w:val="00774270"/>
    <w:rsid w:val="00775679"/>
    <w:rsid w:val="00775803"/>
    <w:rsid w:val="00777B32"/>
    <w:rsid w:val="0078051E"/>
    <w:rsid w:val="007813F1"/>
    <w:rsid w:val="00781FDD"/>
    <w:rsid w:val="00782A45"/>
    <w:rsid w:val="00782A9F"/>
    <w:rsid w:val="00782DDC"/>
    <w:rsid w:val="0078508A"/>
    <w:rsid w:val="00786D5C"/>
    <w:rsid w:val="00786E96"/>
    <w:rsid w:val="00787F93"/>
    <w:rsid w:val="007907CA"/>
    <w:rsid w:val="007913A1"/>
    <w:rsid w:val="00791E6D"/>
    <w:rsid w:val="007928DC"/>
    <w:rsid w:val="007939CC"/>
    <w:rsid w:val="00793C79"/>
    <w:rsid w:val="00794AD7"/>
    <w:rsid w:val="00796FB8"/>
    <w:rsid w:val="007973F6"/>
    <w:rsid w:val="00797E7F"/>
    <w:rsid w:val="007A0A5E"/>
    <w:rsid w:val="007A11C2"/>
    <w:rsid w:val="007A2367"/>
    <w:rsid w:val="007A41BF"/>
    <w:rsid w:val="007A490A"/>
    <w:rsid w:val="007A581D"/>
    <w:rsid w:val="007A5EF6"/>
    <w:rsid w:val="007A7B95"/>
    <w:rsid w:val="007B0297"/>
    <w:rsid w:val="007B0F53"/>
    <w:rsid w:val="007B1DD8"/>
    <w:rsid w:val="007B21AE"/>
    <w:rsid w:val="007B2570"/>
    <w:rsid w:val="007B259F"/>
    <w:rsid w:val="007B3113"/>
    <w:rsid w:val="007B3304"/>
    <w:rsid w:val="007B332B"/>
    <w:rsid w:val="007B394D"/>
    <w:rsid w:val="007B3AA5"/>
    <w:rsid w:val="007B59D3"/>
    <w:rsid w:val="007B61F4"/>
    <w:rsid w:val="007B7490"/>
    <w:rsid w:val="007B774A"/>
    <w:rsid w:val="007C0525"/>
    <w:rsid w:val="007C0B56"/>
    <w:rsid w:val="007C1176"/>
    <w:rsid w:val="007C13F7"/>
    <w:rsid w:val="007C1F94"/>
    <w:rsid w:val="007C218D"/>
    <w:rsid w:val="007C2B88"/>
    <w:rsid w:val="007C2D28"/>
    <w:rsid w:val="007C3E22"/>
    <w:rsid w:val="007C4273"/>
    <w:rsid w:val="007C5153"/>
    <w:rsid w:val="007C67C6"/>
    <w:rsid w:val="007C707A"/>
    <w:rsid w:val="007C7E59"/>
    <w:rsid w:val="007D0B91"/>
    <w:rsid w:val="007D0F53"/>
    <w:rsid w:val="007D1452"/>
    <w:rsid w:val="007D1E29"/>
    <w:rsid w:val="007D460C"/>
    <w:rsid w:val="007D4AD3"/>
    <w:rsid w:val="007D4C8D"/>
    <w:rsid w:val="007D534A"/>
    <w:rsid w:val="007D5D19"/>
    <w:rsid w:val="007D5FDC"/>
    <w:rsid w:val="007D6232"/>
    <w:rsid w:val="007D6D68"/>
    <w:rsid w:val="007E01DA"/>
    <w:rsid w:val="007E0533"/>
    <w:rsid w:val="007E1603"/>
    <w:rsid w:val="007E32DA"/>
    <w:rsid w:val="007E4998"/>
    <w:rsid w:val="007E4A9C"/>
    <w:rsid w:val="007E6914"/>
    <w:rsid w:val="007E707F"/>
    <w:rsid w:val="007E7F78"/>
    <w:rsid w:val="007F0C8B"/>
    <w:rsid w:val="007F1517"/>
    <w:rsid w:val="007F1D44"/>
    <w:rsid w:val="007F23CC"/>
    <w:rsid w:val="007F2908"/>
    <w:rsid w:val="007F2C13"/>
    <w:rsid w:val="007F2CEC"/>
    <w:rsid w:val="007F55DE"/>
    <w:rsid w:val="007F5605"/>
    <w:rsid w:val="007F6147"/>
    <w:rsid w:val="007F6FCD"/>
    <w:rsid w:val="007F78FF"/>
    <w:rsid w:val="00800F6C"/>
    <w:rsid w:val="008025BE"/>
    <w:rsid w:val="00804C86"/>
    <w:rsid w:val="008051FC"/>
    <w:rsid w:val="008055A9"/>
    <w:rsid w:val="008070EB"/>
    <w:rsid w:val="00807376"/>
    <w:rsid w:val="00810E8E"/>
    <w:rsid w:val="0081142D"/>
    <w:rsid w:val="00812462"/>
    <w:rsid w:val="00812824"/>
    <w:rsid w:val="008131C3"/>
    <w:rsid w:val="008140A5"/>
    <w:rsid w:val="0081481D"/>
    <w:rsid w:val="008148B2"/>
    <w:rsid w:val="00814BE8"/>
    <w:rsid w:val="00814F6E"/>
    <w:rsid w:val="00815B84"/>
    <w:rsid w:val="008211EF"/>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411F9"/>
    <w:rsid w:val="008413AB"/>
    <w:rsid w:val="00842D10"/>
    <w:rsid w:val="0084322B"/>
    <w:rsid w:val="00843B93"/>
    <w:rsid w:val="00843F81"/>
    <w:rsid w:val="00844087"/>
    <w:rsid w:val="0084519E"/>
    <w:rsid w:val="00846370"/>
    <w:rsid w:val="00847C2B"/>
    <w:rsid w:val="00850ADF"/>
    <w:rsid w:val="0085270D"/>
    <w:rsid w:val="008532BF"/>
    <w:rsid w:val="00853BF4"/>
    <w:rsid w:val="00854294"/>
    <w:rsid w:val="0085595B"/>
    <w:rsid w:val="00855F80"/>
    <w:rsid w:val="008566B8"/>
    <w:rsid w:val="00856C23"/>
    <w:rsid w:val="0085788B"/>
    <w:rsid w:val="00857A9E"/>
    <w:rsid w:val="00857DE2"/>
    <w:rsid w:val="00862AB5"/>
    <w:rsid w:val="0086353C"/>
    <w:rsid w:val="0086407F"/>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45F3"/>
    <w:rsid w:val="00874C70"/>
    <w:rsid w:val="00874ECA"/>
    <w:rsid w:val="00876EAE"/>
    <w:rsid w:val="00880F95"/>
    <w:rsid w:val="008819C6"/>
    <w:rsid w:val="00882B44"/>
    <w:rsid w:val="00882FE5"/>
    <w:rsid w:val="008845A4"/>
    <w:rsid w:val="00886138"/>
    <w:rsid w:val="00886E66"/>
    <w:rsid w:val="008871B0"/>
    <w:rsid w:val="0089217C"/>
    <w:rsid w:val="008928A1"/>
    <w:rsid w:val="00893671"/>
    <w:rsid w:val="00895838"/>
    <w:rsid w:val="00895A72"/>
    <w:rsid w:val="00895CDF"/>
    <w:rsid w:val="008968C7"/>
    <w:rsid w:val="008971DB"/>
    <w:rsid w:val="00897A55"/>
    <w:rsid w:val="008A0FC9"/>
    <w:rsid w:val="008A1956"/>
    <w:rsid w:val="008A2B5F"/>
    <w:rsid w:val="008A40D3"/>
    <w:rsid w:val="008A469C"/>
    <w:rsid w:val="008A484A"/>
    <w:rsid w:val="008A5877"/>
    <w:rsid w:val="008A6539"/>
    <w:rsid w:val="008A701C"/>
    <w:rsid w:val="008A79F6"/>
    <w:rsid w:val="008B05DD"/>
    <w:rsid w:val="008B17E8"/>
    <w:rsid w:val="008B1925"/>
    <w:rsid w:val="008B266C"/>
    <w:rsid w:val="008B2D03"/>
    <w:rsid w:val="008B2E7C"/>
    <w:rsid w:val="008B2ECB"/>
    <w:rsid w:val="008B356D"/>
    <w:rsid w:val="008B42EB"/>
    <w:rsid w:val="008B45A7"/>
    <w:rsid w:val="008B4A70"/>
    <w:rsid w:val="008B502F"/>
    <w:rsid w:val="008B5A88"/>
    <w:rsid w:val="008B61F0"/>
    <w:rsid w:val="008B6AFE"/>
    <w:rsid w:val="008B7034"/>
    <w:rsid w:val="008B7227"/>
    <w:rsid w:val="008C0A3C"/>
    <w:rsid w:val="008C191C"/>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443A"/>
    <w:rsid w:val="008D566C"/>
    <w:rsid w:val="008D58D9"/>
    <w:rsid w:val="008D6426"/>
    <w:rsid w:val="008D66EA"/>
    <w:rsid w:val="008D6E59"/>
    <w:rsid w:val="008D7155"/>
    <w:rsid w:val="008D7DE4"/>
    <w:rsid w:val="008E09B3"/>
    <w:rsid w:val="008E141A"/>
    <w:rsid w:val="008E1A44"/>
    <w:rsid w:val="008E28E6"/>
    <w:rsid w:val="008E2B60"/>
    <w:rsid w:val="008E3232"/>
    <w:rsid w:val="008E3674"/>
    <w:rsid w:val="008E3B6C"/>
    <w:rsid w:val="008E6423"/>
    <w:rsid w:val="008E68BB"/>
    <w:rsid w:val="008E6C9B"/>
    <w:rsid w:val="008E77D0"/>
    <w:rsid w:val="008E77D4"/>
    <w:rsid w:val="008F0981"/>
    <w:rsid w:val="008F0AFD"/>
    <w:rsid w:val="008F17B2"/>
    <w:rsid w:val="008F28EE"/>
    <w:rsid w:val="008F357B"/>
    <w:rsid w:val="008F44CA"/>
    <w:rsid w:val="008F49B9"/>
    <w:rsid w:val="008F49D3"/>
    <w:rsid w:val="008F6519"/>
    <w:rsid w:val="008F7012"/>
    <w:rsid w:val="008F7B17"/>
    <w:rsid w:val="00900013"/>
    <w:rsid w:val="00900042"/>
    <w:rsid w:val="0090034B"/>
    <w:rsid w:val="00902623"/>
    <w:rsid w:val="00902890"/>
    <w:rsid w:val="00903E79"/>
    <w:rsid w:val="009049B1"/>
    <w:rsid w:val="00904BE4"/>
    <w:rsid w:val="0090504A"/>
    <w:rsid w:val="00905231"/>
    <w:rsid w:val="00905D7E"/>
    <w:rsid w:val="009063B7"/>
    <w:rsid w:val="00906B83"/>
    <w:rsid w:val="00906C1A"/>
    <w:rsid w:val="00907037"/>
    <w:rsid w:val="009070F0"/>
    <w:rsid w:val="0091114B"/>
    <w:rsid w:val="0091160A"/>
    <w:rsid w:val="00913258"/>
    <w:rsid w:val="0091564D"/>
    <w:rsid w:val="009156DA"/>
    <w:rsid w:val="00916BC5"/>
    <w:rsid w:val="0091726A"/>
    <w:rsid w:val="009172CF"/>
    <w:rsid w:val="00917CEA"/>
    <w:rsid w:val="00920184"/>
    <w:rsid w:val="009206A8"/>
    <w:rsid w:val="00920A19"/>
    <w:rsid w:val="00920EA4"/>
    <w:rsid w:val="00921792"/>
    <w:rsid w:val="00921BEA"/>
    <w:rsid w:val="009224FE"/>
    <w:rsid w:val="00923998"/>
    <w:rsid w:val="00923DB4"/>
    <w:rsid w:val="0092430E"/>
    <w:rsid w:val="009249D7"/>
    <w:rsid w:val="00925349"/>
    <w:rsid w:val="009257EB"/>
    <w:rsid w:val="0092625F"/>
    <w:rsid w:val="009268A9"/>
    <w:rsid w:val="00927B37"/>
    <w:rsid w:val="009301B2"/>
    <w:rsid w:val="009313DD"/>
    <w:rsid w:val="00931AC0"/>
    <w:rsid w:val="00931BDE"/>
    <w:rsid w:val="009321B1"/>
    <w:rsid w:val="00932ED7"/>
    <w:rsid w:val="0093357E"/>
    <w:rsid w:val="0093422D"/>
    <w:rsid w:val="00934325"/>
    <w:rsid w:val="00934DD7"/>
    <w:rsid w:val="009369A9"/>
    <w:rsid w:val="00936CF7"/>
    <w:rsid w:val="00937201"/>
    <w:rsid w:val="0093734A"/>
    <w:rsid w:val="00937783"/>
    <w:rsid w:val="00940FE1"/>
    <w:rsid w:val="00942306"/>
    <w:rsid w:val="009424B8"/>
    <w:rsid w:val="009433A4"/>
    <w:rsid w:val="0094435B"/>
    <w:rsid w:val="00944668"/>
    <w:rsid w:val="00944DC6"/>
    <w:rsid w:val="0094515F"/>
    <w:rsid w:val="0094537D"/>
    <w:rsid w:val="0094573F"/>
    <w:rsid w:val="009458B0"/>
    <w:rsid w:val="00945B52"/>
    <w:rsid w:val="00945DC0"/>
    <w:rsid w:val="00945F05"/>
    <w:rsid w:val="00946348"/>
    <w:rsid w:val="009471AD"/>
    <w:rsid w:val="009478A2"/>
    <w:rsid w:val="00950404"/>
    <w:rsid w:val="009513B6"/>
    <w:rsid w:val="00952060"/>
    <w:rsid w:val="009547AF"/>
    <w:rsid w:val="00954800"/>
    <w:rsid w:val="00955643"/>
    <w:rsid w:val="00955FBB"/>
    <w:rsid w:val="0095694B"/>
    <w:rsid w:val="00956BD5"/>
    <w:rsid w:val="009574BB"/>
    <w:rsid w:val="009577B5"/>
    <w:rsid w:val="009608E6"/>
    <w:rsid w:val="00961779"/>
    <w:rsid w:val="00962EB1"/>
    <w:rsid w:val="00966522"/>
    <w:rsid w:val="00967D3F"/>
    <w:rsid w:val="00967E78"/>
    <w:rsid w:val="00970D7E"/>
    <w:rsid w:val="00970F18"/>
    <w:rsid w:val="00971173"/>
    <w:rsid w:val="00971CF1"/>
    <w:rsid w:val="009721E9"/>
    <w:rsid w:val="00972A58"/>
    <w:rsid w:val="00973772"/>
    <w:rsid w:val="009738FC"/>
    <w:rsid w:val="00975E1E"/>
    <w:rsid w:val="00975E70"/>
    <w:rsid w:val="00977CD6"/>
    <w:rsid w:val="00982481"/>
    <w:rsid w:val="00982D26"/>
    <w:rsid w:val="0098330E"/>
    <w:rsid w:val="009833DD"/>
    <w:rsid w:val="00983554"/>
    <w:rsid w:val="009840AB"/>
    <w:rsid w:val="009849E9"/>
    <w:rsid w:val="009866F3"/>
    <w:rsid w:val="00987812"/>
    <w:rsid w:val="00990225"/>
    <w:rsid w:val="0099174D"/>
    <w:rsid w:val="0099244B"/>
    <w:rsid w:val="00993186"/>
    <w:rsid w:val="00994136"/>
    <w:rsid w:val="00994480"/>
    <w:rsid w:val="009947B6"/>
    <w:rsid w:val="00994FCC"/>
    <w:rsid w:val="00995150"/>
    <w:rsid w:val="009957F3"/>
    <w:rsid w:val="00995D67"/>
    <w:rsid w:val="009970BF"/>
    <w:rsid w:val="009A013B"/>
    <w:rsid w:val="009A02F4"/>
    <w:rsid w:val="009A1844"/>
    <w:rsid w:val="009A1F12"/>
    <w:rsid w:val="009A2494"/>
    <w:rsid w:val="009A26CA"/>
    <w:rsid w:val="009A36F2"/>
    <w:rsid w:val="009A5749"/>
    <w:rsid w:val="009A57D0"/>
    <w:rsid w:val="009A6559"/>
    <w:rsid w:val="009A68FC"/>
    <w:rsid w:val="009A7514"/>
    <w:rsid w:val="009A7E7A"/>
    <w:rsid w:val="009B1584"/>
    <w:rsid w:val="009B1585"/>
    <w:rsid w:val="009B2469"/>
    <w:rsid w:val="009B295D"/>
    <w:rsid w:val="009B314F"/>
    <w:rsid w:val="009B439C"/>
    <w:rsid w:val="009B4A6C"/>
    <w:rsid w:val="009B5777"/>
    <w:rsid w:val="009B5779"/>
    <w:rsid w:val="009B6753"/>
    <w:rsid w:val="009B6A26"/>
    <w:rsid w:val="009C079D"/>
    <w:rsid w:val="009C0D70"/>
    <w:rsid w:val="009C13D1"/>
    <w:rsid w:val="009C1BFF"/>
    <w:rsid w:val="009C2913"/>
    <w:rsid w:val="009C3008"/>
    <w:rsid w:val="009C3FA2"/>
    <w:rsid w:val="009C52CF"/>
    <w:rsid w:val="009C5AFE"/>
    <w:rsid w:val="009C6606"/>
    <w:rsid w:val="009C6CE5"/>
    <w:rsid w:val="009C6D50"/>
    <w:rsid w:val="009C7547"/>
    <w:rsid w:val="009D1678"/>
    <w:rsid w:val="009D1693"/>
    <w:rsid w:val="009D2721"/>
    <w:rsid w:val="009D2F60"/>
    <w:rsid w:val="009D338C"/>
    <w:rsid w:val="009D3598"/>
    <w:rsid w:val="009D3D0D"/>
    <w:rsid w:val="009D5BAC"/>
    <w:rsid w:val="009D64BD"/>
    <w:rsid w:val="009E0D0A"/>
    <w:rsid w:val="009E0D1A"/>
    <w:rsid w:val="009E153F"/>
    <w:rsid w:val="009E2D6C"/>
    <w:rsid w:val="009E388B"/>
    <w:rsid w:val="009E393E"/>
    <w:rsid w:val="009E444E"/>
    <w:rsid w:val="009E4968"/>
    <w:rsid w:val="009E663C"/>
    <w:rsid w:val="009E6BB1"/>
    <w:rsid w:val="009E7786"/>
    <w:rsid w:val="009F0092"/>
    <w:rsid w:val="009F0CD9"/>
    <w:rsid w:val="009F1A79"/>
    <w:rsid w:val="009F1F57"/>
    <w:rsid w:val="009F2E26"/>
    <w:rsid w:val="009F332A"/>
    <w:rsid w:val="009F490C"/>
    <w:rsid w:val="009F4FCF"/>
    <w:rsid w:val="009F5DE2"/>
    <w:rsid w:val="009F6166"/>
    <w:rsid w:val="009F65F4"/>
    <w:rsid w:val="009F676B"/>
    <w:rsid w:val="009F6EA6"/>
    <w:rsid w:val="00A004DF"/>
    <w:rsid w:val="00A00D29"/>
    <w:rsid w:val="00A00FD5"/>
    <w:rsid w:val="00A019A8"/>
    <w:rsid w:val="00A01B03"/>
    <w:rsid w:val="00A02C66"/>
    <w:rsid w:val="00A03861"/>
    <w:rsid w:val="00A03919"/>
    <w:rsid w:val="00A0464C"/>
    <w:rsid w:val="00A04D48"/>
    <w:rsid w:val="00A054E0"/>
    <w:rsid w:val="00A05ABE"/>
    <w:rsid w:val="00A0663F"/>
    <w:rsid w:val="00A066CE"/>
    <w:rsid w:val="00A0740B"/>
    <w:rsid w:val="00A075A9"/>
    <w:rsid w:val="00A11042"/>
    <w:rsid w:val="00A133D8"/>
    <w:rsid w:val="00A14E97"/>
    <w:rsid w:val="00A20069"/>
    <w:rsid w:val="00A20280"/>
    <w:rsid w:val="00A20CEE"/>
    <w:rsid w:val="00A2244D"/>
    <w:rsid w:val="00A2253D"/>
    <w:rsid w:val="00A22861"/>
    <w:rsid w:val="00A22AEC"/>
    <w:rsid w:val="00A23D3D"/>
    <w:rsid w:val="00A2418A"/>
    <w:rsid w:val="00A247B8"/>
    <w:rsid w:val="00A24D39"/>
    <w:rsid w:val="00A24D8F"/>
    <w:rsid w:val="00A252D3"/>
    <w:rsid w:val="00A25B8B"/>
    <w:rsid w:val="00A26130"/>
    <w:rsid w:val="00A269AF"/>
    <w:rsid w:val="00A269C3"/>
    <w:rsid w:val="00A26ECA"/>
    <w:rsid w:val="00A30D5A"/>
    <w:rsid w:val="00A3142C"/>
    <w:rsid w:val="00A324C1"/>
    <w:rsid w:val="00A337DB"/>
    <w:rsid w:val="00A3467F"/>
    <w:rsid w:val="00A3551A"/>
    <w:rsid w:val="00A376E8"/>
    <w:rsid w:val="00A37E69"/>
    <w:rsid w:val="00A37F8E"/>
    <w:rsid w:val="00A41737"/>
    <w:rsid w:val="00A42B8F"/>
    <w:rsid w:val="00A43254"/>
    <w:rsid w:val="00A43896"/>
    <w:rsid w:val="00A43A26"/>
    <w:rsid w:val="00A447A0"/>
    <w:rsid w:val="00A4598B"/>
    <w:rsid w:val="00A459F5"/>
    <w:rsid w:val="00A45FC0"/>
    <w:rsid w:val="00A46B32"/>
    <w:rsid w:val="00A46D04"/>
    <w:rsid w:val="00A47301"/>
    <w:rsid w:val="00A47448"/>
    <w:rsid w:val="00A47ECC"/>
    <w:rsid w:val="00A5008C"/>
    <w:rsid w:val="00A50171"/>
    <w:rsid w:val="00A5102E"/>
    <w:rsid w:val="00A51083"/>
    <w:rsid w:val="00A5132E"/>
    <w:rsid w:val="00A51533"/>
    <w:rsid w:val="00A51547"/>
    <w:rsid w:val="00A51E68"/>
    <w:rsid w:val="00A52F3B"/>
    <w:rsid w:val="00A531D4"/>
    <w:rsid w:val="00A53770"/>
    <w:rsid w:val="00A55970"/>
    <w:rsid w:val="00A55ACD"/>
    <w:rsid w:val="00A55CFA"/>
    <w:rsid w:val="00A575B8"/>
    <w:rsid w:val="00A6189D"/>
    <w:rsid w:val="00A647B1"/>
    <w:rsid w:val="00A64C35"/>
    <w:rsid w:val="00A64DEF"/>
    <w:rsid w:val="00A65E4E"/>
    <w:rsid w:val="00A665DF"/>
    <w:rsid w:val="00A66DC7"/>
    <w:rsid w:val="00A67F1B"/>
    <w:rsid w:val="00A67FCC"/>
    <w:rsid w:val="00A716DC"/>
    <w:rsid w:val="00A71ABE"/>
    <w:rsid w:val="00A7217B"/>
    <w:rsid w:val="00A7293E"/>
    <w:rsid w:val="00A72CAE"/>
    <w:rsid w:val="00A72EE4"/>
    <w:rsid w:val="00A73067"/>
    <w:rsid w:val="00A737C4"/>
    <w:rsid w:val="00A739A6"/>
    <w:rsid w:val="00A73BB5"/>
    <w:rsid w:val="00A75EF9"/>
    <w:rsid w:val="00A76BC9"/>
    <w:rsid w:val="00A76FD8"/>
    <w:rsid w:val="00A77566"/>
    <w:rsid w:val="00A77EBC"/>
    <w:rsid w:val="00A80563"/>
    <w:rsid w:val="00A8162F"/>
    <w:rsid w:val="00A8311C"/>
    <w:rsid w:val="00A84189"/>
    <w:rsid w:val="00A84BC8"/>
    <w:rsid w:val="00A84C5F"/>
    <w:rsid w:val="00A84F86"/>
    <w:rsid w:val="00A86973"/>
    <w:rsid w:val="00A8721F"/>
    <w:rsid w:val="00A8740B"/>
    <w:rsid w:val="00A87519"/>
    <w:rsid w:val="00A90DE4"/>
    <w:rsid w:val="00A9246D"/>
    <w:rsid w:val="00A92E19"/>
    <w:rsid w:val="00A93644"/>
    <w:rsid w:val="00A93BD0"/>
    <w:rsid w:val="00A95D69"/>
    <w:rsid w:val="00A975A4"/>
    <w:rsid w:val="00AA01D6"/>
    <w:rsid w:val="00AA2001"/>
    <w:rsid w:val="00AA2B5C"/>
    <w:rsid w:val="00AA4E59"/>
    <w:rsid w:val="00AA5328"/>
    <w:rsid w:val="00AA5393"/>
    <w:rsid w:val="00AA5771"/>
    <w:rsid w:val="00AA63D4"/>
    <w:rsid w:val="00AA6767"/>
    <w:rsid w:val="00AB03FD"/>
    <w:rsid w:val="00AB38CB"/>
    <w:rsid w:val="00AB3BEC"/>
    <w:rsid w:val="00AB44E4"/>
    <w:rsid w:val="00AB4AEB"/>
    <w:rsid w:val="00AB5352"/>
    <w:rsid w:val="00AB56AE"/>
    <w:rsid w:val="00AB62D5"/>
    <w:rsid w:val="00AB65B5"/>
    <w:rsid w:val="00AB6DCD"/>
    <w:rsid w:val="00AB6EE0"/>
    <w:rsid w:val="00AB7D91"/>
    <w:rsid w:val="00AC2DFD"/>
    <w:rsid w:val="00AC352D"/>
    <w:rsid w:val="00AC39B7"/>
    <w:rsid w:val="00AC40B7"/>
    <w:rsid w:val="00AC531F"/>
    <w:rsid w:val="00AC6121"/>
    <w:rsid w:val="00AC626D"/>
    <w:rsid w:val="00AC6CB1"/>
    <w:rsid w:val="00AC6DCB"/>
    <w:rsid w:val="00AC7558"/>
    <w:rsid w:val="00AD0091"/>
    <w:rsid w:val="00AD23D8"/>
    <w:rsid w:val="00AD23EF"/>
    <w:rsid w:val="00AD307B"/>
    <w:rsid w:val="00AD41B3"/>
    <w:rsid w:val="00AD4C48"/>
    <w:rsid w:val="00AD57AF"/>
    <w:rsid w:val="00AD5997"/>
    <w:rsid w:val="00AD6267"/>
    <w:rsid w:val="00AD7317"/>
    <w:rsid w:val="00AE01A8"/>
    <w:rsid w:val="00AE0CBD"/>
    <w:rsid w:val="00AE123A"/>
    <w:rsid w:val="00AE28A7"/>
    <w:rsid w:val="00AE33A6"/>
    <w:rsid w:val="00AE3446"/>
    <w:rsid w:val="00AE3715"/>
    <w:rsid w:val="00AE3729"/>
    <w:rsid w:val="00AE55B2"/>
    <w:rsid w:val="00AE5C6A"/>
    <w:rsid w:val="00AE65F7"/>
    <w:rsid w:val="00AE7280"/>
    <w:rsid w:val="00AF033A"/>
    <w:rsid w:val="00AF1699"/>
    <w:rsid w:val="00AF3896"/>
    <w:rsid w:val="00AF46F1"/>
    <w:rsid w:val="00AF4F41"/>
    <w:rsid w:val="00AF61A6"/>
    <w:rsid w:val="00AF6C33"/>
    <w:rsid w:val="00B0098A"/>
    <w:rsid w:val="00B00A5F"/>
    <w:rsid w:val="00B0225F"/>
    <w:rsid w:val="00B0235A"/>
    <w:rsid w:val="00B029B8"/>
    <w:rsid w:val="00B02F60"/>
    <w:rsid w:val="00B032B8"/>
    <w:rsid w:val="00B04B46"/>
    <w:rsid w:val="00B0534D"/>
    <w:rsid w:val="00B06368"/>
    <w:rsid w:val="00B06FC6"/>
    <w:rsid w:val="00B07163"/>
    <w:rsid w:val="00B07429"/>
    <w:rsid w:val="00B12FE6"/>
    <w:rsid w:val="00B1303F"/>
    <w:rsid w:val="00B1364A"/>
    <w:rsid w:val="00B13D3C"/>
    <w:rsid w:val="00B1525C"/>
    <w:rsid w:val="00B16242"/>
    <w:rsid w:val="00B16715"/>
    <w:rsid w:val="00B171B4"/>
    <w:rsid w:val="00B174A8"/>
    <w:rsid w:val="00B17910"/>
    <w:rsid w:val="00B204C1"/>
    <w:rsid w:val="00B20F18"/>
    <w:rsid w:val="00B21516"/>
    <w:rsid w:val="00B22CE0"/>
    <w:rsid w:val="00B23738"/>
    <w:rsid w:val="00B23BEF"/>
    <w:rsid w:val="00B247BB"/>
    <w:rsid w:val="00B256F9"/>
    <w:rsid w:val="00B25806"/>
    <w:rsid w:val="00B25C11"/>
    <w:rsid w:val="00B25EDF"/>
    <w:rsid w:val="00B25EE6"/>
    <w:rsid w:val="00B25F46"/>
    <w:rsid w:val="00B26B53"/>
    <w:rsid w:val="00B3115A"/>
    <w:rsid w:val="00B31A5C"/>
    <w:rsid w:val="00B33C19"/>
    <w:rsid w:val="00B34861"/>
    <w:rsid w:val="00B34BBC"/>
    <w:rsid w:val="00B34CB7"/>
    <w:rsid w:val="00B35F6E"/>
    <w:rsid w:val="00B363BD"/>
    <w:rsid w:val="00B369F7"/>
    <w:rsid w:val="00B36A99"/>
    <w:rsid w:val="00B37537"/>
    <w:rsid w:val="00B40A9C"/>
    <w:rsid w:val="00B41B81"/>
    <w:rsid w:val="00B42980"/>
    <w:rsid w:val="00B434B2"/>
    <w:rsid w:val="00B434C7"/>
    <w:rsid w:val="00B43B69"/>
    <w:rsid w:val="00B43D45"/>
    <w:rsid w:val="00B44771"/>
    <w:rsid w:val="00B4650E"/>
    <w:rsid w:val="00B468F2"/>
    <w:rsid w:val="00B46B45"/>
    <w:rsid w:val="00B46F6B"/>
    <w:rsid w:val="00B47286"/>
    <w:rsid w:val="00B47894"/>
    <w:rsid w:val="00B47F62"/>
    <w:rsid w:val="00B50234"/>
    <w:rsid w:val="00B51794"/>
    <w:rsid w:val="00B51BF4"/>
    <w:rsid w:val="00B52C68"/>
    <w:rsid w:val="00B542FE"/>
    <w:rsid w:val="00B55A1B"/>
    <w:rsid w:val="00B561DB"/>
    <w:rsid w:val="00B57494"/>
    <w:rsid w:val="00B60D5F"/>
    <w:rsid w:val="00B61DCE"/>
    <w:rsid w:val="00B62188"/>
    <w:rsid w:val="00B62467"/>
    <w:rsid w:val="00B62F79"/>
    <w:rsid w:val="00B62F82"/>
    <w:rsid w:val="00B6325B"/>
    <w:rsid w:val="00B648FA"/>
    <w:rsid w:val="00B662FF"/>
    <w:rsid w:val="00B6712F"/>
    <w:rsid w:val="00B7102F"/>
    <w:rsid w:val="00B72C80"/>
    <w:rsid w:val="00B730B4"/>
    <w:rsid w:val="00B74340"/>
    <w:rsid w:val="00B744E0"/>
    <w:rsid w:val="00B7481A"/>
    <w:rsid w:val="00B74F2F"/>
    <w:rsid w:val="00B756FB"/>
    <w:rsid w:val="00B75AD9"/>
    <w:rsid w:val="00B769BC"/>
    <w:rsid w:val="00B77349"/>
    <w:rsid w:val="00B7761E"/>
    <w:rsid w:val="00B80A37"/>
    <w:rsid w:val="00B80A3D"/>
    <w:rsid w:val="00B823E0"/>
    <w:rsid w:val="00B82B78"/>
    <w:rsid w:val="00B82F8A"/>
    <w:rsid w:val="00B83199"/>
    <w:rsid w:val="00B83E3C"/>
    <w:rsid w:val="00B84662"/>
    <w:rsid w:val="00B85402"/>
    <w:rsid w:val="00B864A3"/>
    <w:rsid w:val="00B86C2A"/>
    <w:rsid w:val="00B86D6F"/>
    <w:rsid w:val="00B902A5"/>
    <w:rsid w:val="00B90420"/>
    <w:rsid w:val="00B913E4"/>
    <w:rsid w:val="00B91DB9"/>
    <w:rsid w:val="00B92201"/>
    <w:rsid w:val="00B933CC"/>
    <w:rsid w:val="00B93EFE"/>
    <w:rsid w:val="00B94956"/>
    <w:rsid w:val="00B94C7F"/>
    <w:rsid w:val="00B956B5"/>
    <w:rsid w:val="00B95904"/>
    <w:rsid w:val="00B95C3A"/>
    <w:rsid w:val="00B95FCE"/>
    <w:rsid w:val="00BA0D44"/>
    <w:rsid w:val="00BA0E26"/>
    <w:rsid w:val="00BA31BF"/>
    <w:rsid w:val="00BA43FC"/>
    <w:rsid w:val="00BA478B"/>
    <w:rsid w:val="00BA5224"/>
    <w:rsid w:val="00BA7456"/>
    <w:rsid w:val="00BA7925"/>
    <w:rsid w:val="00BA7B27"/>
    <w:rsid w:val="00BA7E3B"/>
    <w:rsid w:val="00BB079C"/>
    <w:rsid w:val="00BB32A1"/>
    <w:rsid w:val="00BB39C1"/>
    <w:rsid w:val="00BB5555"/>
    <w:rsid w:val="00BB5D16"/>
    <w:rsid w:val="00BB6180"/>
    <w:rsid w:val="00BB69E6"/>
    <w:rsid w:val="00BB7714"/>
    <w:rsid w:val="00BC1B7A"/>
    <w:rsid w:val="00BC2BC7"/>
    <w:rsid w:val="00BC2C17"/>
    <w:rsid w:val="00BC3ACD"/>
    <w:rsid w:val="00BC50FC"/>
    <w:rsid w:val="00BC5C09"/>
    <w:rsid w:val="00BC6E73"/>
    <w:rsid w:val="00BD0014"/>
    <w:rsid w:val="00BD01D8"/>
    <w:rsid w:val="00BD1B17"/>
    <w:rsid w:val="00BD2512"/>
    <w:rsid w:val="00BD255F"/>
    <w:rsid w:val="00BD26DE"/>
    <w:rsid w:val="00BD2C72"/>
    <w:rsid w:val="00BD383D"/>
    <w:rsid w:val="00BD3AAB"/>
    <w:rsid w:val="00BD4236"/>
    <w:rsid w:val="00BD5CCA"/>
    <w:rsid w:val="00BD5CD4"/>
    <w:rsid w:val="00BD6EF9"/>
    <w:rsid w:val="00BD77DD"/>
    <w:rsid w:val="00BE0ACB"/>
    <w:rsid w:val="00BE0E3C"/>
    <w:rsid w:val="00BE1A90"/>
    <w:rsid w:val="00BE2113"/>
    <w:rsid w:val="00BE2497"/>
    <w:rsid w:val="00BE2C0A"/>
    <w:rsid w:val="00BE3537"/>
    <w:rsid w:val="00BE360F"/>
    <w:rsid w:val="00BE50FD"/>
    <w:rsid w:val="00BE51CA"/>
    <w:rsid w:val="00BE5E5A"/>
    <w:rsid w:val="00BE6D47"/>
    <w:rsid w:val="00BE6D4D"/>
    <w:rsid w:val="00BE7032"/>
    <w:rsid w:val="00BE7330"/>
    <w:rsid w:val="00BF01C5"/>
    <w:rsid w:val="00BF045B"/>
    <w:rsid w:val="00BF066A"/>
    <w:rsid w:val="00BF361C"/>
    <w:rsid w:val="00BF39EC"/>
    <w:rsid w:val="00BF4342"/>
    <w:rsid w:val="00BF5050"/>
    <w:rsid w:val="00BF5422"/>
    <w:rsid w:val="00BF54CF"/>
    <w:rsid w:val="00BF59B1"/>
    <w:rsid w:val="00BF6A78"/>
    <w:rsid w:val="00BF6E19"/>
    <w:rsid w:val="00BF77A8"/>
    <w:rsid w:val="00BF79B4"/>
    <w:rsid w:val="00C0099F"/>
    <w:rsid w:val="00C01427"/>
    <w:rsid w:val="00C0162B"/>
    <w:rsid w:val="00C016A1"/>
    <w:rsid w:val="00C04AAB"/>
    <w:rsid w:val="00C052E5"/>
    <w:rsid w:val="00C058AF"/>
    <w:rsid w:val="00C06395"/>
    <w:rsid w:val="00C124C1"/>
    <w:rsid w:val="00C128AE"/>
    <w:rsid w:val="00C136D6"/>
    <w:rsid w:val="00C13D5B"/>
    <w:rsid w:val="00C16615"/>
    <w:rsid w:val="00C17AE2"/>
    <w:rsid w:val="00C20F27"/>
    <w:rsid w:val="00C215CF"/>
    <w:rsid w:val="00C2244B"/>
    <w:rsid w:val="00C2263D"/>
    <w:rsid w:val="00C22B0D"/>
    <w:rsid w:val="00C22F55"/>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3DEB"/>
    <w:rsid w:val="00C360B3"/>
    <w:rsid w:val="00C36363"/>
    <w:rsid w:val="00C3679B"/>
    <w:rsid w:val="00C37027"/>
    <w:rsid w:val="00C3778D"/>
    <w:rsid w:val="00C405A3"/>
    <w:rsid w:val="00C42752"/>
    <w:rsid w:val="00C42973"/>
    <w:rsid w:val="00C44F9C"/>
    <w:rsid w:val="00C46D58"/>
    <w:rsid w:val="00C4730E"/>
    <w:rsid w:val="00C47EE9"/>
    <w:rsid w:val="00C5019C"/>
    <w:rsid w:val="00C5034F"/>
    <w:rsid w:val="00C514D3"/>
    <w:rsid w:val="00C52479"/>
    <w:rsid w:val="00C52586"/>
    <w:rsid w:val="00C5291F"/>
    <w:rsid w:val="00C52BC8"/>
    <w:rsid w:val="00C52C59"/>
    <w:rsid w:val="00C5349E"/>
    <w:rsid w:val="00C5354B"/>
    <w:rsid w:val="00C54467"/>
    <w:rsid w:val="00C54D3D"/>
    <w:rsid w:val="00C55116"/>
    <w:rsid w:val="00C55A30"/>
    <w:rsid w:val="00C57C58"/>
    <w:rsid w:val="00C6028F"/>
    <w:rsid w:val="00C6036D"/>
    <w:rsid w:val="00C608F1"/>
    <w:rsid w:val="00C631E1"/>
    <w:rsid w:val="00C638D8"/>
    <w:rsid w:val="00C63C84"/>
    <w:rsid w:val="00C63D26"/>
    <w:rsid w:val="00C641EB"/>
    <w:rsid w:val="00C64825"/>
    <w:rsid w:val="00C65053"/>
    <w:rsid w:val="00C65BD9"/>
    <w:rsid w:val="00C66061"/>
    <w:rsid w:val="00C661D6"/>
    <w:rsid w:val="00C66F69"/>
    <w:rsid w:val="00C67223"/>
    <w:rsid w:val="00C67CFF"/>
    <w:rsid w:val="00C707B8"/>
    <w:rsid w:val="00C7084B"/>
    <w:rsid w:val="00C713E4"/>
    <w:rsid w:val="00C71806"/>
    <w:rsid w:val="00C71C15"/>
    <w:rsid w:val="00C71F3D"/>
    <w:rsid w:val="00C72B53"/>
    <w:rsid w:val="00C72F53"/>
    <w:rsid w:val="00C74035"/>
    <w:rsid w:val="00C74A46"/>
    <w:rsid w:val="00C76FF4"/>
    <w:rsid w:val="00C77818"/>
    <w:rsid w:val="00C77AE3"/>
    <w:rsid w:val="00C8063F"/>
    <w:rsid w:val="00C81549"/>
    <w:rsid w:val="00C829A1"/>
    <w:rsid w:val="00C83B36"/>
    <w:rsid w:val="00C84F8A"/>
    <w:rsid w:val="00C85209"/>
    <w:rsid w:val="00C8618F"/>
    <w:rsid w:val="00C90372"/>
    <w:rsid w:val="00C9041F"/>
    <w:rsid w:val="00C91A45"/>
    <w:rsid w:val="00C91ED2"/>
    <w:rsid w:val="00C91F66"/>
    <w:rsid w:val="00C91FB4"/>
    <w:rsid w:val="00C938D6"/>
    <w:rsid w:val="00C94D41"/>
    <w:rsid w:val="00C95745"/>
    <w:rsid w:val="00C962E3"/>
    <w:rsid w:val="00C965BD"/>
    <w:rsid w:val="00C96717"/>
    <w:rsid w:val="00C97997"/>
    <w:rsid w:val="00CA08FE"/>
    <w:rsid w:val="00CA0B8A"/>
    <w:rsid w:val="00CA0FAC"/>
    <w:rsid w:val="00CA2513"/>
    <w:rsid w:val="00CA25C0"/>
    <w:rsid w:val="00CA3451"/>
    <w:rsid w:val="00CA36FD"/>
    <w:rsid w:val="00CA421F"/>
    <w:rsid w:val="00CA4948"/>
    <w:rsid w:val="00CA52F9"/>
    <w:rsid w:val="00CA568B"/>
    <w:rsid w:val="00CA7500"/>
    <w:rsid w:val="00CA7C34"/>
    <w:rsid w:val="00CB03AD"/>
    <w:rsid w:val="00CB0696"/>
    <w:rsid w:val="00CB1239"/>
    <w:rsid w:val="00CB19FE"/>
    <w:rsid w:val="00CB304C"/>
    <w:rsid w:val="00CB53E8"/>
    <w:rsid w:val="00CB594A"/>
    <w:rsid w:val="00CB5CB2"/>
    <w:rsid w:val="00CB6979"/>
    <w:rsid w:val="00CC0A3D"/>
    <w:rsid w:val="00CC2373"/>
    <w:rsid w:val="00CC3D24"/>
    <w:rsid w:val="00CC3F91"/>
    <w:rsid w:val="00CC40B6"/>
    <w:rsid w:val="00CC4B0A"/>
    <w:rsid w:val="00CC544A"/>
    <w:rsid w:val="00CC57EA"/>
    <w:rsid w:val="00CC5954"/>
    <w:rsid w:val="00CC6C4E"/>
    <w:rsid w:val="00CC6DD8"/>
    <w:rsid w:val="00CD05A2"/>
    <w:rsid w:val="00CD19DA"/>
    <w:rsid w:val="00CD29D4"/>
    <w:rsid w:val="00CD38F5"/>
    <w:rsid w:val="00CD437E"/>
    <w:rsid w:val="00CD4AE5"/>
    <w:rsid w:val="00CD5833"/>
    <w:rsid w:val="00CD58D4"/>
    <w:rsid w:val="00CD5A63"/>
    <w:rsid w:val="00CD5A89"/>
    <w:rsid w:val="00CD5DAD"/>
    <w:rsid w:val="00CD72C5"/>
    <w:rsid w:val="00CD79A7"/>
    <w:rsid w:val="00CE0789"/>
    <w:rsid w:val="00CE1A03"/>
    <w:rsid w:val="00CE2346"/>
    <w:rsid w:val="00CE3529"/>
    <w:rsid w:val="00CE35C8"/>
    <w:rsid w:val="00CE3962"/>
    <w:rsid w:val="00CE5105"/>
    <w:rsid w:val="00CE56BD"/>
    <w:rsid w:val="00CE5EC0"/>
    <w:rsid w:val="00CE68BB"/>
    <w:rsid w:val="00CE6F9F"/>
    <w:rsid w:val="00CE773B"/>
    <w:rsid w:val="00CE781A"/>
    <w:rsid w:val="00CF10FC"/>
    <w:rsid w:val="00CF1D74"/>
    <w:rsid w:val="00CF2BE2"/>
    <w:rsid w:val="00CF55F9"/>
    <w:rsid w:val="00CF71A6"/>
    <w:rsid w:val="00CF7495"/>
    <w:rsid w:val="00CF7671"/>
    <w:rsid w:val="00CF7C5B"/>
    <w:rsid w:val="00D01CF9"/>
    <w:rsid w:val="00D02246"/>
    <w:rsid w:val="00D0334D"/>
    <w:rsid w:val="00D0374D"/>
    <w:rsid w:val="00D03BAF"/>
    <w:rsid w:val="00D05835"/>
    <w:rsid w:val="00D05A76"/>
    <w:rsid w:val="00D07BEF"/>
    <w:rsid w:val="00D07F1D"/>
    <w:rsid w:val="00D10558"/>
    <w:rsid w:val="00D1203E"/>
    <w:rsid w:val="00D1379B"/>
    <w:rsid w:val="00D13E70"/>
    <w:rsid w:val="00D16C58"/>
    <w:rsid w:val="00D17019"/>
    <w:rsid w:val="00D170C1"/>
    <w:rsid w:val="00D178DE"/>
    <w:rsid w:val="00D17C6E"/>
    <w:rsid w:val="00D20818"/>
    <w:rsid w:val="00D21168"/>
    <w:rsid w:val="00D235C8"/>
    <w:rsid w:val="00D2384A"/>
    <w:rsid w:val="00D2438C"/>
    <w:rsid w:val="00D26C3F"/>
    <w:rsid w:val="00D27138"/>
    <w:rsid w:val="00D27185"/>
    <w:rsid w:val="00D276B8"/>
    <w:rsid w:val="00D31CA2"/>
    <w:rsid w:val="00D32B84"/>
    <w:rsid w:val="00D337AE"/>
    <w:rsid w:val="00D33AB3"/>
    <w:rsid w:val="00D33F24"/>
    <w:rsid w:val="00D346B7"/>
    <w:rsid w:val="00D346B8"/>
    <w:rsid w:val="00D35AC8"/>
    <w:rsid w:val="00D35D34"/>
    <w:rsid w:val="00D35D9D"/>
    <w:rsid w:val="00D36F87"/>
    <w:rsid w:val="00D37E4E"/>
    <w:rsid w:val="00D42E6C"/>
    <w:rsid w:val="00D43218"/>
    <w:rsid w:val="00D43B80"/>
    <w:rsid w:val="00D44236"/>
    <w:rsid w:val="00D44AE2"/>
    <w:rsid w:val="00D45B1E"/>
    <w:rsid w:val="00D45BA4"/>
    <w:rsid w:val="00D46FFF"/>
    <w:rsid w:val="00D471AF"/>
    <w:rsid w:val="00D4724F"/>
    <w:rsid w:val="00D47E81"/>
    <w:rsid w:val="00D50519"/>
    <w:rsid w:val="00D516A5"/>
    <w:rsid w:val="00D5264C"/>
    <w:rsid w:val="00D5289A"/>
    <w:rsid w:val="00D537FE"/>
    <w:rsid w:val="00D538F0"/>
    <w:rsid w:val="00D53B6F"/>
    <w:rsid w:val="00D54A6A"/>
    <w:rsid w:val="00D54B7B"/>
    <w:rsid w:val="00D54BF8"/>
    <w:rsid w:val="00D54D7C"/>
    <w:rsid w:val="00D55951"/>
    <w:rsid w:val="00D572BE"/>
    <w:rsid w:val="00D57EB6"/>
    <w:rsid w:val="00D60ED7"/>
    <w:rsid w:val="00D63586"/>
    <w:rsid w:val="00D65538"/>
    <w:rsid w:val="00D65D10"/>
    <w:rsid w:val="00D664BF"/>
    <w:rsid w:val="00D66D8B"/>
    <w:rsid w:val="00D67D04"/>
    <w:rsid w:val="00D72826"/>
    <w:rsid w:val="00D72A1C"/>
    <w:rsid w:val="00D73580"/>
    <w:rsid w:val="00D73802"/>
    <w:rsid w:val="00D73868"/>
    <w:rsid w:val="00D73C2C"/>
    <w:rsid w:val="00D73D52"/>
    <w:rsid w:val="00D74042"/>
    <w:rsid w:val="00D7453F"/>
    <w:rsid w:val="00D745E7"/>
    <w:rsid w:val="00D7542B"/>
    <w:rsid w:val="00D77495"/>
    <w:rsid w:val="00D774ED"/>
    <w:rsid w:val="00D777F6"/>
    <w:rsid w:val="00D77F88"/>
    <w:rsid w:val="00D8002D"/>
    <w:rsid w:val="00D8047C"/>
    <w:rsid w:val="00D81EAA"/>
    <w:rsid w:val="00D8259F"/>
    <w:rsid w:val="00D825F2"/>
    <w:rsid w:val="00D828B1"/>
    <w:rsid w:val="00D84F27"/>
    <w:rsid w:val="00D850D4"/>
    <w:rsid w:val="00D862D1"/>
    <w:rsid w:val="00D86469"/>
    <w:rsid w:val="00D873C6"/>
    <w:rsid w:val="00D91027"/>
    <w:rsid w:val="00D94C7D"/>
    <w:rsid w:val="00D94CA4"/>
    <w:rsid w:val="00D94FB4"/>
    <w:rsid w:val="00D95E99"/>
    <w:rsid w:val="00DA098C"/>
    <w:rsid w:val="00DA1A3A"/>
    <w:rsid w:val="00DA2712"/>
    <w:rsid w:val="00DA2C65"/>
    <w:rsid w:val="00DA395D"/>
    <w:rsid w:val="00DA49E8"/>
    <w:rsid w:val="00DA6D33"/>
    <w:rsid w:val="00DB0B74"/>
    <w:rsid w:val="00DB16B8"/>
    <w:rsid w:val="00DB1869"/>
    <w:rsid w:val="00DB1D52"/>
    <w:rsid w:val="00DB1F62"/>
    <w:rsid w:val="00DB2E03"/>
    <w:rsid w:val="00DB3369"/>
    <w:rsid w:val="00DB3742"/>
    <w:rsid w:val="00DB3F4B"/>
    <w:rsid w:val="00DB61A4"/>
    <w:rsid w:val="00DB67C1"/>
    <w:rsid w:val="00DB70CD"/>
    <w:rsid w:val="00DB70F4"/>
    <w:rsid w:val="00DB7343"/>
    <w:rsid w:val="00DC1056"/>
    <w:rsid w:val="00DC211E"/>
    <w:rsid w:val="00DC21D8"/>
    <w:rsid w:val="00DC282A"/>
    <w:rsid w:val="00DC34C5"/>
    <w:rsid w:val="00DC34DC"/>
    <w:rsid w:val="00DC3584"/>
    <w:rsid w:val="00DC3CC6"/>
    <w:rsid w:val="00DC514A"/>
    <w:rsid w:val="00DC64EC"/>
    <w:rsid w:val="00DC67B1"/>
    <w:rsid w:val="00DC7833"/>
    <w:rsid w:val="00DC7CE9"/>
    <w:rsid w:val="00DD132B"/>
    <w:rsid w:val="00DD1725"/>
    <w:rsid w:val="00DD2427"/>
    <w:rsid w:val="00DD2A18"/>
    <w:rsid w:val="00DD36DA"/>
    <w:rsid w:val="00DD5093"/>
    <w:rsid w:val="00DD5B1A"/>
    <w:rsid w:val="00DD61E8"/>
    <w:rsid w:val="00DD62C0"/>
    <w:rsid w:val="00DD75EE"/>
    <w:rsid w:val="00DD7859"/>
    <w:rsid w:val="00DE03AC"/>
    <w:rsid w:val="00DE0A1D"/>
    <w:rsid w:val="00DE15B2"/>
    <w:rsid w:val="00DE1A9A"/>
    <w:rsid w:val="00DE1AD6"/>
    <w:rsid w:val="00DE3D2C"/>
    <w:rsid w:val="00DE522F"/>
    <w:rsid w:val="00DE59F8"/>
    <w:rsid w:val="00DE5E82"/>
    <w:rsid w:val="00DE5FA6"/>
    <w:rsid w:val="00DE6494"/>
    <w:rsid w:val="00DE6AA1"/>
    <w:rsid w:val="00DE74D7"/>
    <w:rsid w:val="00DE7EF7"/>
    <w:rsid w:val="00DF01B8"/>
    <w:rsid w:val="00DF106A"/>
    <w:rsid w:val="00DF1185"/>
    <w:rsid w:val="00DF1299"/>
    <w:rsid w:val="00DF1A70"/>
    <w:rsid w:val="00DF23A8"/>
    <w:rsid w:val="00DF2F27"/>
    <w:rsid w:val="00DF6CCC"/>
    <w:rsid w:val="00DF6D0C"/>
    <w:rsid w:val="00DF6DC2"/>
    <w:rsid w:val="00DF6F64"/>
    <w:rsid w:val="00DF721E"/>
    <w:rsid w:val="00DF7C87"/>
    <w:rsid w:val="00E009B0"/>
    <w:rsid w:val="00E031C0"/>
    <w:rsid w:val="00E03AFE"/>
    <w:rsid w:val="00E03D5C"/>
    <w:rsid w:val="00E046A9"/>
    <w:rsid w:val="00E04C0F"/>
    <w:rsid w:val="00E0570B"/>
    <w:rsid w:val="00E057B2"/>
    <w:rsid w:val="00E05996"/>
    <w:rsid w:val="00E068D9"/>
    <w:rsid w:val="00E10B87"/>
    <w:rsid w:val="00E1478B"/>
    <w:rsid w:val="00E14FAC"/>
    <w:rsid w:val="00E15007"/>
    <w:rsid w:val="00E1644E"/>
    <w:rsid w:val="00E16EC7"/>
    <w:rsid w:val="00E1714F"/>
    <w:rsid w:val="00E177D2"/>
    <w:rsid w:val="00E17995"/>
    <w:rsid w:val="00E21576"/>
    <w:rsid w:val="00E216A8"/>
    <w:rsid w:val="00E21801"/>
    <w:rsid w:val="00E219CE"/>
    <w:rsid w:val="00E23961"/>
    <w:rsid w:val="00E23A73"/>
    <w:rsid w:val="00E24071"/>
    <w:rsid w:val="00E24EBC"/>
    <w:rsid w:val="00E2522C"/>
    <w:rsid w:val="00E2599B"/>
    <w:rsid w:val="00E27383"/>
    <w:rsid w:val="00E2793D"/>
    <w:rsid w:val="00E31A25"/>
    <w:rsid w:val="00E31AFA"/>
    <w:rsid w:val="00E324EE"/>
    <w:rsid w:val="00E359FF"/>
    <w:rsid w:val="00E36083"/>
    <w:rsid w:val="00E36AA7"/>
    <w:rsid w:val="00E36E39"/>
    <w:rsid w:val="00E405F1"/>
    <w:rsid w:val="00E42336"/>
    <w:rsid w:val="00E43054"/>
    <w:rsid w:val="00E434C4"/>
    <w:rsid w:val="00E44FE4"/>
    <w:rsid w:val="00E46013"/>
    <w:rsid w:val="00E460F7"/>
    <w:rsid w:val="00E4671C"/>
    <w:rsid w:val="00E477C3"/>
    <w:rsid w:val="00E5048D"/>
    <w:rsid w:val="00E50AC4"/>
    <w:rsid w:val="00E51077"/>
    <w:rsid w:val="00E5132D"/>
    <w:rsid w:val="00E51741"/>
    <w:rsid w:val="00E51E16"/>
    <w:rsid w:val="00E52151"/>
    <w:rsid w:val="00E53730"/>
    <w:rsid w:val="00E53C46"/>
    <w:rsid w:val="00E544C3"/>
    <w:rsid w:val="00E54511"/>
    <w:rsid w:val="00E548BE"/>
    <w:rsid w:val="00E54978"/>
    <w:rsid w:val="00E5504D"/>
    <w:rsid w:val="00E55DC3"/>
    <w:rsid w:val="00E56525"/>
    <w:rsid w:val="00E57577"/>
    <w:rsid w:val="00E62043"/>
    <w:rsid w:val="00E626B9"/>
    <w:rsid w:val="00E627C9"/>
    <w:rsid w:val="00E630F3"/>
    <w:rsid w:val="00E65198"/>
    <w:rsid w:val="00E664FB"/>
    <w:rsid w:val="00E66F0D"/>
    <w:rsid w:val="00E70615"/>
    <w:rsid w:val="00E71A5E"/>
    <w:rsid w:val="00E7207B"/>
    <w:rsid w:val="00E7347A"/>
    <w:rsid w:val="00E746F4"/>
    <w:rsid w:val="00E75325"/>
    <w:rsid w:val="00E75A47"/>
    <w:rsid w:val="00E75D8C"/>
    <w:rsid w:val="00E77771"/>
    <w:rsid w:val="00E777F2"/>
    <w:rsid w:val="00E779ED"/>
    <w:rsid w:val="00E802C9"/>
    <w:rsid w:val="00E80EDD"/>
    <w:rsid w:val="00E80F0A"/>
    <w:rsid w:val="00E81A6A"/>
    <w:rsid w:val="00E8291B"/>
    <w:rsid w:val="00E8395F"/>
    <w:rsid w:val="00E83BAE"/>
    <w:rsid w:val="00E8473F"/>
    <w:rsid w:val="00E857EB"/>
    <w:rsid w:val="00E85E41"/>
    <w:rsid w:val="00E85EA1"/>
    <w:rsid w:val="00E8610B"/>
    <w:rsid w:val="00E86C86"/>
    <w:rsid w:val="00E87AEC"/>
    <w:rsid w:val="00E91044"/>
    <w:rsid w:val="00E910D3"/>
    <w:rsid w:val="00E9214B"/>
    <w:rsid w:val="00E923CF"/>
    <w:rsid w:val="00E9335F"/>
    <w:rsid w:val="00E95111"/>
    <w:rsid w:val="00E9783B"/>
    <w:rsid w:val="00E97EE7"/>
    <w:rsid w:val="00EA061E"/>
    <w:rsid w:val="00EA14C8"/>
    <w:rsid w:val="00EA19D3"/>
    <w:rsid w:val="00EA2358"/>
    <w:rsid w:val="00EA2C8B"/>
    <w:rsid w:val="00EA3582"/>
    <w:rsid w:val="00EA6649"/>
    <w:rsid w:val="00EB05D0"/>
    <w:rsid w:val="00EB07C5"/>
    <w:rsid w:val="00EB107E"/>
    <w:rsid w:val="00EB11D8"/>
    <w:rsid w:val="00EB1D3D"/>
    <w:rsid w:val="00EB1D49"/>
    <w:rsid w:val="00EB42DD"/>
    <w:rsid w:val="00EB559F"/>
    <w:rsid w:val="00EB5F3D"/>
    <w:rsid w:val="00EB6EC2"/>
    <w:rsid w:val="00EC1CEB"/>
    <w:rsid w:val="00EC268C"/>
    <w:rsid w:val="00EC3602"/>
    <w:rsid w:val="00EC3753"/>
    <w:rsid w:val="00EC3CB8"/>
    <w:rsid w:val="00EC3D46"/>
    <w:rsid w:val="00EC4E71"/>
    <w:rsid w:val="00EC569A"/>
    <w:rsid w:val="00EC6667"/>
    <w:rsid w:val="00ED0365"/>
    <w:rsid w:val="00ED0865"/>
    <w:rsid w:val="00ED094F"/>
    <w:rsid w:val="00ED16B6"/>
    <w:rsid w:val="00ED1C60"/>
    <w:rsid w:val="00ED2EB9"/>
    <w:rsid w:val="00ED4469"/>
    <w:rsid w:val="00ED586A"/>
    <w:rsid w:val="00ED5F23"/>
    <w:rsid w:val="00ED6DC0"/>
    <w:rsid w:val="00ED79CE"/>
    <w:rsid w:val="00ED7A7A"/>
    <w:rsid w:val="00EE038C"/>
    <w:rsid w:val="00EE040B"/>
    <w:rsid w:val="00EE254F"/>
    <w:rsid w:val="00EE47C5"/>
    <w:rsid w:val="00EE490C"/>
    <w:rsid w:val="00EE4E02"/>
    <w:rsid w:val="00EE613B"/>
    <w:rsid w:val="00EE6911"/>
    <w:rsid w:val="00EE7E17"/>
    <w:rsid w:val="00EF0A5F"/>
    <w:rsid w:val="00EF19B3"/>
    <w:rsid w:val="00EF2C8E"/>
    <w:rsid w:val="00EF3A0D"/>
    <w:rsid w:val="00EF3CEB"/>
    <w:rsid w:val="00EF41A8"/>
    <w:rsid w:val="00EF44FB"/>
    <w:rsid w:val="00EF4B4E"/>
    <w:rsid w:val="00EF4D3C"/>
    <w:rsid w:val="00EF5554"/>
    <w:rsid w:val="00EF5AD8"/>
    <w:rsid w:val="00EF5D2F"/>
    <w:rsid w:val="00EF63F5"/>
    <w:rsid w:val="00EF6549"/>
    <w:rsid w:val="00EF666F"/>
    <w:rsid w:val="00EF6758"/>
    <w:rsid w:val="00EF6B90"/>
    <w:rsid w:val="00EF70AE"/>
    <w:rsid w:val="00EF79F7"/>
    <w:rsid w:val="00F00418"/>
    <w:rsid w:val="00F006C0"/>
    <w:rsid w:val="00F019AA"/>
    <w:rsid w:val="00F0267E"/>
    <w:rsid w:val="00F02686"/>
    <w:rsid w:val="00F0459B"/>
    <w:rsid w:val="00F04E15"/>
    <w:rsid w:val="00F05DF3"/>
    <w:rsid w:val="00F0641B"/>
    <w:rsid w:val="00F069EA"/>
    <w:rsid w:val="00F07B6E"/>
    <w:rsid w:val="00F07DF8"/>
    <w:rsid w:val="00F11461"/>
    <w:rsid w:val="00F11675"/>
    <w:rsid w:val="00F1182D"/>
    <w:rsid w:val="00F12557"/>
    <w:rsid w:val="00F13A8F"/>
    <w:rsid w:val="00F144F8"/>
    <w:rsid w:val="00F14DF8"/>
    <w:rsid w:val="00F164A3"/>
    <w:rsid w:val="00F17281"/>
    <w:rsid w:val="00F17AD9"/>
    <w:rsid w:val="00F17F74"/>
    <w:rsid w:val="00F202C2"/>
    <w:rsid w:val="00F22756"/>
    <w:rsid w:val="00F22B29"/>
    <w:rsid w:val="00F23890"/>
    <w:rsid w:val="00F2447A"/>
    <w:rsid w:val="00F24638"/>
    <w:rsid w:val="00F2504D"/>
    <w:rsid w:val="00F2637F"/>
    <w:rsid w:val="00F263A8"/>
    <w:rsid w:val="00F268F7"/>
    <w:rsid w:val="00F27280"/>
    <w:rsid w:val="00F3053D"/>
    <w:rsid w:val="00F30BDB"/>
    <w:rsid w:val="00F30CF8"/>
    <w:rsid w:val="00F317E3"/>
    <w:rsid w:val="00F31EDF"/>
    <w:rsid w:val="00F32CDE"/>
    <w:rsid w:val="00F32D4C"/>
    <w:rsid w:val="00F34811"/>
    <w:rsid w:val="00F34B14"/>
    <w:rsid w:val="00F3648A"/>
    <w:rsid w:val="00F36A6A"/>
    <w:rsid w:val="00F40101"/>
    <w:rsid w:val="00F40474"/>
    <w:rsid w:val="00F404F7"/>
    <w:rsid w:val="00F40CCA"/>
    <w:rsid w:val="00F413A7"/>
    <w:rsid w:val="00F41521"/>
    <w:rsid w:val="00F41975"/>
    <w:rsid w:val="00F41B5A"/>
    <w:rsid w:val="00F41C0E"/>
    <w:rsid w:val="00F42D97"/>
    <w:rsid w:val="00F43F09"/>
    <w:rsid w:val="00F45A72"/>
    <w:rsid w:val="00F46723"/>
    <w:rsid w:val="00F50016"/>
    <w:rsid w:val="00F50647"/>
    <w:rsid w:val="00F5118A"/>
    <w:rsid w:val="00F51A21"/>
    <w:rsid w:val="00F5276E"/>
    <w:rsid w:val="00F529F9"/>
    <w:rsid w:val="00F52E9F"/>
    <w:rsid w:val="00F53304"/>
    <w:rsid w:val="00F53C70"/>
    <w:rsid w:val="00F53D40"/>
    <w:rsid w:val="00F545ED"/>
    <w:rsid w:val="00F5687F"/>
    <w:rsid w:val="00F575C7"/>
    <w:rsid w:val="00F60305"/>
    <w:rsid w:val="00F61B12"/>
    <w:rsid w:val="00F61CC5"/>
    <w:rsid w:val="00F62398"/>
    <w:rsid w:val="00F631E8"/>
    <w:rsid w:val="00F63223"/>
    <w:rsid w:val="00F63264"/>
    <w:rsid w:val="00F635F4"/>
    <w:rsid w:val="00F6379E"/>
    <w:rsid w:val="00F64142"/>
    <w:rsid w:val="00F657E9"/>
    <w:rsid w:val="00F70799"/>
    <w:rsid w:val="00F70906"/>
    <w:rsid w:val="00F70A8B"/>
    <w:rsid w:val="00F724FB"/>
    <w:rsid w:val="00F72578"/>
    <w:rsid w:val="00F72A26"/>
    <w:rsid w:val="00F733C3"/>
    <w:rsid w:val="00F747A6"/>
    <w:rsid w:val="00F756DD"/>
    <w:rsid w:val="00F75DB3"/>
    <w:rsid w:val="00F80047"/>
    <w:rsid w:val="00F8104D"/>
    <w:rsid w:val="00F81587"/>
    <w:rsid w:val="00F82571"/>
    <w:rsid w:val="00F83379"/>
    <w:rsid w:val="00F85B72"/>
    <w:rsid w:val="00F86B6D"/>
    <w:rsid w:val="00F8766F"/>
    <w:rsid w:val="00F87A81"/>
    <w:rsid w:val="00F9104C"/>
    <w:rsid w:val="00F91082"/>
    <w:rsid w:val="00F91A9A"/>
    <w:rsid w:val="00F93ABB"/>
    <w:rsid w:val="00F94D79"/>
    <w:rsid w:val="00F97E7E"/>
    <w:rsid w:val="00FA118A"/>
    <w:rsid w:val="00FA31C7"/>
    <w:rsid w:val="00FA472D"/>
    <w:rsid w:val="00FA7254"/>
    <w:rsid w:val="00FB0214"/>
    <w:rsid w:val="00FB080C"/>
    <w:rsid w:val="00FB0FAF"/>
    <w:rsid w:val="00FB12BC"/>
    <w:rsid w:val="00FB18F6"/>
    <w:rsid w:val="00FB2A52"/>
    <w:rsid w:val="00FB2F13"/>
    <w:rsid w:val="00FB31FD"/>
    <w:rsid w:val="00FB6887"/>
    <w:rsid w:val="00FB6E19"/>
    <w:rsid w:val="00FB71F6"/>
    <w:rsid w:val="00FC1339"/>
    <w:rsid w:val="00FC1483"/>
    <w:rsid w:val="00FC1C47"/>
    <w:rsid w:val="00FC39ED"/>
    <w:rsid w:val="00FC4419"/>
    <w:rsid w:val="00FC47E2"/>
    <w:rsid w:val="00FC4AA5"/>
    <w:rsid w:val="00FC5148"/>
    <w:rsid w:val="00FC5528"/>
    <w:rsid w:val="00FC75AC"/>
    <w:rsid w:val="00FD01BF"/>
    <w:rsid w:val="00FD0525"/>
    <w:rsid w:val="00FD297D"/>
    <w:rsid w:val="00FD298C"/>
    <w:rsid w:val="00FD2D13"/>
    <w:rsid w:val="00FD365E"/>
    <w:rsid w:val="00FD3D26"/>
    <w:rsid w:val="00FD4789"/>
    <w:rsid w:val="00FD59FE"/>
    <w:rsid w:val="00FD6071"/>
    <w:rsid w:val="00FE0794"/>
    <w:rsid w:val="00FE1041"/>
    <w:rsid w:val="00FE24CB"/>
    <w:rsid w:val="00FE2D46"/>
    <w:rsid w:val="00FE3166"/>
    <w:rsid w:val="00FE3320"/>
    <w:rsid w:val="00FE3473"/>
    <w:rsid w:val="00FE353B"/>
    <w:rsid w:val="00FE3E81"/>
    <w:rsid w:val="00FE4049"/>
    <w:rsid w:val="00FE4794"/>
    <w:rsid w:val="00FE5DF7"/>
    <w:rsid w:val="00FE5F72"/>
    <w:rsid w:val="00FF0231"/>
    <w:rsid w:val="00FF1C9B"/>
    <w:rsid w:val="00FF1D49"/>
    <w:rsid w:val="00FF2562"/>
    <w:rsid w:val="00FF2CE1"/>
    <w:rsid w:val="00FF3A41"/>
    <w:rsid w:val="00FF3E5B"/>
    <w:rsid w:val="00FF544F"/>
    <w:rsid w:val="00FF57E4"/>
    <w:rsid w:val="00FF6DBA"/>
    <w:rsid w:val="00FF75D9"/>
    <w:rsid w:val="00FF78E5"/>
    <w:rsid w:val="017F6F52"/>
    <w:rsid w:val="01B0327B"/>
    <w:rsid w:val="01B033D2"/>
    <w:rsid w:val="01BD22C8"/>
    <w:rsid w:val="01D35D46"/>
    <w:rsid w:val="01D57778"/>
    <w:rsid w:val="01DA3C65"/>
    <w:rsid w:val="01DF0948"/>
    <w:rsid w:val="02511F9D"/>
    <w:rsid w:val="02B80216"/>
    <w:rsid w:val="02FD5966"/>
    <w:rsid w:val="03056ED3"/>
    <w:rsid w:val="031A67DB"/>
    <w:rsid w:val="03250F37"/>
    <w:rsid w:val="03504153"/>
    <w:rsid w:val="03801111"/>
    <w:rsid w:val="03A314B8"/>
    <w:rsid w:val="03C439D4"/>
    <w:rsid w:val="03D82B98"/>
    <w:rsid w:val="03E87006"/>
    <w:rsid w:val="03F83E8B"/>
    <w:rsid w:val="040170A7"/>
    <w:rsid w:val="04033EF4"/>
    <w:rsid w:val="04222DC2"/>
    <w:rsid w:val="04D93276"/>
    <w:rsid w:val="05D84628"/>
    <w:rsid w:val="05F37081"/>
    <w:rsid w:val="06124590"/>
    <w:rsid w:val="066A7FAC"/>
    <w:rsid w:val="067A7CBC"/>
    <w:rsid w:val="069A7C77"/>
    <w:rsid w:val="06CC603E"/>
    <w:rsid w:val="0702609F"/>
    <w:rsid w:val="074A3EA2"/>
    <w:rsid w:val="075E2DAA"/>
    <w:rsid w:val="077A3324"/>
    <w:rsid w:val="07B72767"/>
    <w:rsid w:val="08077E72"/>
    <w:rsid w:val="08766BA9"/>
    <w:rsid w:val="090E293E"/>
    <w:rsid w:val="09270E73"/>
    <w:rsid w:val="094B69DD"/>
    <w:rsid w:val="09681DB7"/>
    <w:rsid w:val="09CC2AAC"/>
    <w:rsid w:val="09D820EE"/>
    <w:rsid w:val="0A4B5296"/>
    <w:rsid w:val="0A4F54E8"/>
    <w:rsid w:val="0A652D3E"/>
    <w:rsid w:val="0A8D59B6"/>
    <w:rsid w:val="0AEC6174"/>
    <w:rsid w:val="0B176E69"/>
    <w:rsid w:val="0B253A7F"/>
    <w:rsid w:val="0B36278D"/>
    <w:rsid w:val="0B3638DE"/>
    <w:rsid w:val="0B3A48F0"/>
    <w:rsid w:val="0B6F0E78"/>
    <w:rsid w:val="0B8C0BDF"/>
    <w:rsid w:val="0BB62B41"/>
    <w:rsid w:val="0C005822"/>
    <w:rsid w:val="0C526FE5"/>
    <w:rsid w:val="0C92213C"/>
    <w:rsid w:val="0CA167E0"/>
    <w:rsid w:val="0CBC1B45"/>
    <w:rsid w:val="0CEB4AB6"/>
    <w:rsid w:val="0D0D3E42"/>
    <w:rsid w:val="0D4F221D"/>
    <w:rsid w:val="0D6370A5"/>
    <w:rsid w:val="0D685359"/>
    <w:rsid w:val="0D84032B"/>
    <w:rsid w:val="0DDF61E3"/>
    <w:rsid w:val="0E425BB0"/>
    <w:rsid w:val="0E935286"/>
    <w:rsid w:val="0EB406C5"/>
    <w:rsid w:val="0EC251B7"/>
    <w:rsid w:val="0ED317E0"/>
    <w:rsid w:val="0F061D7D"/>
    <w:rsid w:val="0F0A0484"/>
    <w:rsid w:val="10211F13"/>
    <w:rsid w:val="103113D5"/>
    <w:rsid w:val="10476D2B"/>
    <w:rsid w:val="106D0312"/>
    <w:rsid w:val="10820986"/>
    <w:rsid w:val="10A27F31"/>
    <w:rsid w:val="10CA487C"/>
    <w:rsid w:val="11681CD4"/>
    <w:rsid w:val="11927058"/>
    <w:rsid w:val="119F0FD4"/>
    <w:rsid w:val="11B15DCC"/>
    <w:rsid w:val="11E90B68"/>
    <w:rsid w:val="12314D26"/>
    <w:rsid w:val="12584CB9"/>
    <w:rsid w:val="126537F7"/>
    <w:rsid w:val="13433002"/>
    <w:rsid w:val="1390686A"/>
    <w:rsid w:val="13A81E6B"/>
    <w:rsid w:val="13AF4F03"/>
    <w:rsid w:val="14736E66"/>
    <w:rsid w:val="149B6AC2"/>
    <w:rsid w:val="14BF3CEC"/>
    <w:rsid w:val="14CF48FA"/>
    <w:rsid w:val="14FE278E"/>
    <w:rsid w:val="15293653"/>
    <w:rsid w:val="1534169A"/>
    <w:rsid w:val="1566192C"/>
    <w:rsid w:val="15803AFC"/>
    <w:rsid w:val="15AE7982"/>
    <w:rsid w:val="15C03E03"/>
    <w:rsid w:val="162A25EB"/>
    <w:rsid w:val="16904B28"/>
    <w:rsid w:val="16DB6D8C"/>
    <w:rsid w:val="16FD2A55"/>
    <w:rsid w:val="17366761"/>
    <w:rsid w:val="1740460A"/>
    <w:rsid w:val="176302F9"/>
    <w:rsid w:val="17686185"/>
    <w:rsid w:val="177C01F0"/>
    <w:rsid w:val="178057B9"/>
    <w:rsid w:val="17CE6630"/>
    <w:rsid w:val="181B5077"/>
    <w:rsid w:val="18332743"/>
    <w:rsid w:val="184C69C1"/>
    <w:rsid w:val="18754787"/>
    <w:rsid w:val="18AD626F"/>
    <w:rsid w:val="19125962"/>
    <w:rsid w:val="19241D0A"/>
    <w:rsid w:val="193321B6"/>
    <w:rsid w:val="194C27A2"/>
    <w:rsid w:val="195748F1"/>
    <w:rsid w:val="19815BE6"/>
    <w:rsid w:val="19820BA0"/>
    <w:rsid w:val="198808F2"/>
    <w:rsid w:val="19A13261"/>
    <w:rsid w:val="19F32DFF"/>
    <w:rsid w:val="1A54439E"/>
    <w:rsid w:val="1AD447AC"/>
    <w:rsid w:val="1AFA16D5"/>
    <w:rsid w:val="1B4F19F8"/>
    <w:rsid w:val="1BD92184"/>
    <w:rsid w:val="1C5170A2"/>
    <w:rsid w:val="1C5663FD"/>
    <w:rsid w:val="1CC53E36"/>
    <w:rsid w:val="1CD11494"/>
    <w:rsid w:val="1CF1275A"/>
    <w:rsid w:val="1CF520FF"/>
    <w:rsid w:val="1D4061A8"/>
    <w:rsid w:val="1D65039C"/>
    <w:rsid w:val="1D7B2297"/>
    <w:rsid w:val="1D961F13"/>
    <w:rsid w:val="1D9921EE"/>
    <w:rsid w:val="1DA12AD6"/>
    <w:rsid w:val="1DA5148C"/>
    <w:rsid w:val="1E47263C"/>
    <w:rsid w:val="1E4B2C26"/>
    <w:rsid w:val="1E9B4F4B"/>
    <w:rsid w:val="1F063325"/>
    <w:rsid w:val="1F134CFA"/>
    <w:rsid w:val="1F4E7AE0"/>
    <w:rsid w:val="1F562DC8"/>
    <w:rsid w:val="1F687D38"/>
    <w:rsid w:val="1FBC5DF5"/>
    <w:rsid w:val="1FC55574"/>
    <w:rsid w:val="1FE83919"/>
    <w:rsid w:val="1FFD5E3D"/>
    <w:rsid w:val="1FFFE6D3"/>
    <w:rsid w:val="20005763"/>
    <w:rsid w:val="2014371F"/>
    <w:rsid w:val="201D1505"/>
    <w:rsid w:val="20803CC9"/>
    <w:rsid w:val="20BB11A5"/>
    <w:rsid w:val="20E71F9A"/>
    <w:rsid w:val="21492D39"/>
    <w:rsid w:val="21577886"/>
    <w:rsid w:val="21AD4A24"/>
    <w:rsid w:val="21B83F86"/>
    <w:rsid w:val="21D6176F"/>
    <w:rsid w:val="21E55E66"/>
    <w:rsid w:val="221178A8"/>
    <w:rsid w:val="221213CF"/>
    <w:rsid w:val="22327A92"/>
    <w:rsid w:val="22605823"/>
    <w:rsid w:val="22965435"/>
    <w:rsid w:val="22B42700"/>
    <w:rsid w:val="22BD6F35"/>
    <w:rsid w:val="23050055"/>
    <w:rsid w:val="231D53A2"/>
    <w:rsid w:val="232D363A"/>
    <w:rsid w:val="23652531"/>
    <w:rsid w:val="23B7504C"/>
    <w:rsid w:val="23BB05E0"/>
    <w:rsid w:val="23C64B2D"/>
    <w:rsid w:val="23DC390D"/>
    <w:rsid w:val="23E014F0"/>
    <w:rsid w:val="23EE527F"/>
    <w:rsid w:val="23F8409F"/>
    <w:rsid w:val="242515DF"/>
    <w:rsid w:val="244275CD"/>
    <w:rsid w:val="24571307"/>
    <w:rsid w:val="24910954"/>
    <w:rsid w:val="24A84075"/>
    <w:rsid w:val="24BA2984"/>
    <w:rsid w:val="24BE1264"/>
    <w:rsid w:val="24DE1906"/>
    <w:rsid w:val="24E35B9C"/>
    <w:rsid w:val="25246333"/>
    <w:rsid w:val="25321521"/>
    <w:rsid w:val="2580787D"/>
    <w:rsid w:val="25827670"/>
    <w:rsid w:val="25AC2351"/>
    <w:rsid w:val="25D733A9"/>
    <w:rsid w:val="26446DE3"/>
    <w:rsid w:val="264D165B"/>
    <w:rsid w:val="269B50CC"/>
    <w:rsid w:val="26BC55FD"/>
    <w:rsid w:val="26D7699F"/>
    <w:rsid w:val="26E4504A"/>
    <w:rsid w:val="274A5E17"/>
    <w:rsid w:val="27E03860"/>
    <w:rsid w:val="27E4630B"/>
    <w:rsid w:val="27E64D5A"/>
    <w:rsid w:val="27F76F67"/>
    <w:rsid w:val="28416802"/>
    <w:rsid w:val="2862636E"/>
    <w:rsid w:val="28AB22D4"/>
    <w:rsid w:val="2A2B5909"/>
    <w:rsid w:val="2A480815"/>
    <w:rsid w:val="2A82486D"/>
    <w:rsid w:val="2A835889"/>
    <w:rsid w:val="2AA16F1D"/>
    <w:rsid w:val="2AA93DC7"/>
    <w:rsid w:val="2AB65FAF"/>
    <w:rsid w:val="2B09065E"/>
    <w:rsid w:val="2B0B528D"/>
    <w:rsid w:val="2B2A692F"/>
    <w:rsid w:val="2B774624"/>
    <w:rsid w:val="2B9B1A2B"/>
    <w:rsid w:val="2BAA0E71"/>
    <w:rsid w:val="2BB11A95"/>
    <w:rsid w:val="2BC068DD"/>
    <w:rsid w:val="2BC41D72"/>
    <w:rsid w:val="2BFB7591"/>
    <w:rsid w:val="2C0C63D6"/>
    <w:rsid w:val="2C6862B1"/>
    <w:rsid w:val="2C7A72BE"/>
    <w:rsid w:val="2CDF7925"/>
    <w:rsid w:val="2D0932BD"/>
    <w:rsid w:val="2D364985"/>
    <w:rsid w:val="2D393D96"/>
    <w:rsid w:val="2D3F165D"/>
    <w:rsid w:val="2DBD60D6"/>
    <w:rsid w:val="2DD74052"/>
    <w:rsid w:val="2DFB6B1F"/>
    <w:rsid w:val="2E1C2A2B"/>
    <w:rsid w:val="2E262979"/>
    <w:rsid w:val="2E765885"/>
    <w:rsid w:val="2E767E57"/>
    <w:rsid w:val="2E872162"/>
    <w:rsid w:val="2E8D3FCA"/>
    <w:rsid w:val="2ECA1E35"/>
    <w:rsid w:val="2F0E5872"/>
    <w:rsid w:val="2F382935"/>
    <w:rsid w:val="2F401D3C"/>
    <w:rsid w:val="2F4F58DB"/>
    <w:rsid w:val="2F7E2EA4"/>
    <w:rsid w:val="2FA95C88"/>
    <w:rsid w:val="2FC658FB"/>
    <w:rsid w:val="2FD17D20"/>
    <w:rsid w:val="2FEE5C1B"/>
    <w:rsid w:val="30062ABE"/>
    <w:rsid w:val="3041370F"/>
    <w:rsid w:val="307551E0"/>
    <w:rsid w:val="307976F4"/>
    <w:rsid w:val="30890434"/>
    <w:rsid w:val="308E2CD0"/>
    <w:rsid w:val="309C7FC2"/>
    <w:rsid w:val="30F90559"/>
    <w:rsid w:val="31083A05"/>
    <w:rsid w:val="31992E3D"/>
    <w:rsid w:val="31A90BA5"/>
    <w:rsid w:val="31AF5CFD"/>
    <w:rsid w:val="32016E38"/>
    <w:rsid w:val="32453A27"/>
    <w:rsid w:val="3263064A"/>
    <w:rsid w:val="32684925"/>
    <w:rsid w:val="327B2ECA"/>
    <w:rsid w:val="329B4993"/>
    <w:rsid w:val="32A63380"/>
    <w:rsid w:val="32AB72CC"/>
    <w:rsid w:val="32AC0C06"/>
    <w:rsid w:val="33831403"/>
    <w:rsid w:val="338D4C23"/>
    <w:rsid w:val="339E473B"/>
    <w:rsid w:val="33F26175"/>
    <w:rsid w:val="340A3262"/>
    <w:rsid w:val="342C6052"/>
    <w:rsid w:val="34773B5B"/>
    <w:rsid w:val="3537750C"/>
    <w:rsid w:val="3537798C"/>
    <w:rsid w:val="354D52D7"/>
    <w:rsid w:val="357F7ED5"/>
    <w:rsid w:val="358A766C"/>
    <w:rsid w:val="35C13FC9"/>
    <w:rsid w:val="362E6D87"/>
    <w:rsid w:val="364257B6"/>
    <w:rsid w:val="364E0A16"/>
    <w:rsid w:val="36926E1C"/>
    <w:rsid w:val="369F32F9"/>
    <w:rsid w:val="36F834D1"/>
    <w:rsid w:val="374264D3"/>
    <w:rsid w:val="37625508"/>
    <w:rsid w:val="3776777C"/>
    <w:rsid w:val="37A5272C"/>
    <w:rsid w:val="37DB7874"/>
    <w:rsid w:val="37EA5922"/>
    <w:rsid w:val="38032D5E"/>
    <w:rsid w:val="380D7C2F"/>
    <w:rsid w:val="3816241F"/>
    <w:rsid w:val="3823070E"/>
    <w:rsid w:val="38276B93"/>
    <w:rsid w:val="386044BC"/>
    <w:rsid w:val="3875064B"/>
    <w:rsid w:val="387B0309"/>
    <w:rsid w:val="38F924F1"/>
    <w:rsid w:val="393B0274"/>
    <w:rsid w:val="3942025E"/>
    <w:rsid w:val="397A7F5A"/>
    <w:rsid w:val="39C91647"/>
    <w:rsid w:val="39EE51C3"/>
    <w:rsid w:val="3A0B64A7"/>
    <w:rsid w:val="3A4463F5"/>
    <w:rsid w:val="3AA57635"/>
    <w:rsid w:val="3ABF0310"/>
    <w:rsid w:val="3AD016C2"/>
    <w:rsid w:val="3AF74C02"/>
    <w:rsid w:val="3B463025"/>
    <w:rsid w:val="3B510D57"/>
    <w:rsid w:val="3BBA2AA9"/>
    <w:rsid w:val="3BC05782"/>
    <w:rsid w:val="3C0059A5"/>
    <w:rsid w:val="3C134E78"/>
    <w:rsid w:val="3C82547E"/>
    <w:rsid w:val="3C8F3E25"/>
    <w:rsid w:val="3D5E764C"/>
    <w:rsid w:val="3D8B6AEE"/>
    <w:rsid w:val="3DEDC849"/>
    <w:rsid w:val="3DF6345D"/>
    <w:rsid w:val="3DFB6A2A"/>
    <w:rsid w:val="3DFED5DB"/>
    <w:rsid w:val="3E17681D"/>
    <w:rsid w:val="3E481B73"/>
    <w:rsid w:val="3E5A5479"/>
    <w:rsid w:val="3EA72781"/>
    <w:rsid w:val="3EC357A9"/>
    <w:rsid w:val="3EE13701"/>
    <w:rsid w:val="3EFD24C0"/>
    <w:rsid w:val="3F0C191C"/>
    <w:rsid w:val="3F1A4BB3"/>
    <w:rsid w:val="3F32042D"/>
    <w:rsid w:val="3F473DFB"/>
    <w:rsid w:val="3F742409"/>
    <w:rsid w:val="3FDA2718"/>
    <w:rsid w:val="40192BA6"/>
    <w:rsid w:val="409B1052"/>
    <w:rsid w:val="40CA18BF"/>
    <w:rsid w:val="41636FC4"/>
    <w:rsid w:val="417B2A30"/>
    <w:rsid w:val="418036D2"/>
    <w:rsid w:val="4182575B"/>
    <w:rsid w:val="41DE2E55"/>
    <w:rsid w:val="422721EC"/>
    <w:rsid w:val="42345621"/>
    <w:rsid w:val="42550A18"/>
    <w:rsid w:val="42587E9B"/>
    <w:rsid w:val="42710E9A"/>
    <w:rsid w:val="42933B54"/>
    <w:rsid w:val="42B27541"/>
    <w:rsid w:val="42F473A1"/>
    <w:rsid w:val="43401D9D"/>
    <w:rsid w:val="434075BC"/>
    <w:rsid w:val="43501FD9"/>
    <w:rsid w:val="439E229A"/>
    <w:rsid w:val="43A830DF"/>
    <w:rsid w:val="43E7556D"/>
    <w:rsid w:val="43F47EEC"/>
    <w:rsid w:val="4412628C"/>
    <w:rsid w:val="44134083"/>
    <w:rsid w:val="4413597E"/>
    <w:rsid w:val="441E62C0"/>
    <w:rsid w:val="44222D52"/>
    <w:rsid w:val="44274ACD"/>
    <w:rsid w:val="446D73D2"/>
    <w:rsid w:val="4488337C"/>
    <w:rsid w:val="45176708"/>
    <w:rsid w:val="451E392D"/>
    <w:rsid w:val="454249DA"/>
    <w:rsid w:val="4561108D"/>
    <w:rsid w:val="45811C7C"/>
    <w:rsid w:val="46053138"/>
    <w:rsid w:val="46342ECC"/>
    <w:rsid w:val="468B3EFB"/>
    <w:rsid w:val="46983DA2"/>
    <w:rsid w:val="469A023F"/>
    <w:rsid w:val="46D12499"/>
    <w:rsid w:val="46F7426B"/>
    <w:rsid w:val="470A6193"/>
    <w:rsid w:val="474FBBC5"/>
    <w:rsid w:val="47624F89"/>
    <w:rsid w:val="47D470E7"/>
    <w:rsid w:val="47DC4F5C"/>
    <w:rsid w:val="48155202"/>
    <w:rsid w:val="481E5282"/>
    <w:rsid w:val="48B40671"/>
    <w:rsid w:val="48DA5DBD"/>
    <w:rsid w:val="493461AC"/>
    <w:rsid w:val="49434789"/>
    <w:rsid w:val="49512D13"/>
    <w:rsid w:val="495A6D8F"/>
    <w:rsid w:val="497C0C22"/>
    <w:rsid w:val="49900624"/>
    <w:rsid w:val="499B5738"/>
    <w:rsid w:val="499F244D"/>
    <w:rsid w:val="49A1036C"/>
    <w:rsid w:val="49E05655"/>
    <w:rsid w:val="4A847B81"/>
    <w:rsid w:val="4A8F58C2"/>
    <w:rsid w:val="4AA55088"/>
    <w:rsid w:val="4AF96BC7"/>
    <w:rsid w:val="4B281F1F"/>
    <w:rsid w:val="4B3A426B"/>
    <w:rsid w:val="4BCB1C21"/>
    <w:rsid w:val="4BFB4050"/>
    <w:rsid w:val="4C1C4152"/>
    <w:rsid w:val="4C2832E3"/>
    <w:rsid w:val="4C4B035F"/>
    <w:rsid w:val="4C856040"/>
    <w:rsid w:val="4CED25F5"/>
    <w:rsid w:val="4CEF36E2"/>
    <w:rsid w:val="4D3B1120"/>
    <w:rsid w:val="4D5123C6"/>
    <w:rsid w:val="4D732CDE"/>
    <w:rsid w:val="4D924EB8"/>
    <w:rsid w:val="4DA26E70"/>
    <w:rsid w:val="4DAA322D"/>
    <w:rsid w:val="4DF273C0"/>
    <w:rsid w:val="4E1516CD"/>
    <w:rsid w:val="4E4B175E"/>
    <w:rsid w:val="4F364C96"/>
    <w:rsid w:val="4F372FFB"/>
    <w:rsid w:val="4F760CEB"/>
    <w:rsid w:val="4FA76FA4"/>
    <w:rsid w:val="4FAC6DE4"/>
    <w:rsid w:val="4FC47104"/>
    <w:rsid w:val="4FC6115D"/>
    <w:rsid w:val="4FD6416C"/>
    <w:rsid w:val="4FE7CA94"/>
    <w:rsid w:val="4FFC36F0"/>
    <w:rsid w:val="5003642A"/>
    <w:rsid w:val="5005394E"/>
    <w:rsid w:val="50094601"/>
    <w:rsid w:val="501D4CE8"/>
    <w:rsid w:val="502D7122"/>
    <w:rsid w:val="50570021"/>
    <w:rsid w:val="50BD049E"/>
    <w:rsid w:val="50DB6653"/>
    <w:rsid w:val="50EF4246"/>
    <w:rsid w:val="51135653"/>
    <w:rsid w:val="513F391C"/>
    <w:rsid w:val="51460589"/>
    <w:rsid w:val="51564E44"/>
    <w:rsid w:val="515C1CE4"/>
    <w:rsid w:val="516030CA"/>
    <w:rsid w:val="516D73EE"/>
    <w:rsid w:val="517B35E0"/>
    <w:rsid w:val="51AA5514"/>
    <w:rsid w:val="51E030FD"/>
    <w:rsid w:val="51F36455"/>
    <w:rsid w:val="52134E60"/>
    <w:rsid w:val="52C10D75"/>
    <w:rsid w:val="52F60935"/>
    <w:rsid w:val="52F83A10"/>
    <w:rsid w:val="535C18AD"/>
    <w:rsid w:val="53B16E4F"/>
    <w:rsid w:val="53C670E8"/>
    <w:rsid w:val="54313ADE"/>
    <w:rsid w:val="545B76E2"/>
    <w:rsid w:val="547B6A5E"/>
    <w:rsid w:val="54BA6EF9"/>
    <w:rsid w:val="55050372"/>
    <w:rsid w:val="550C4BD7"/>
    <w:rsid w:val="554B5A00"/>
    <w:rsid w:val="55572986"/>
    <w:rsid w:val="55AF2380"/>
    <w:rsid w:val="560B7FD4"/>
    <w:rsid w:val="561B4AC6"/>
    <w:rsid w:val="5620304D"/>
    <w:rsid w:val="565076BF"/>
    <w:rsid w:val="56537644"/>
    <w:rsid w:val="567C377F"/>
    <w:rsid w:val="569112D6"/>
    <w:rsid w:val="56CD50CD"/>
    <w:rsid w:val="56F07A12"/>
    <w:rsid w:val="573E3835"/>
    <w:rsid w:val="57430635"/>
    <w:rsid w:val="57536C94"/>
    <w:rsid w:val="57665B16"/>
    <w:rsid w:val="577742CD"/>
    <w:rsid w:val="579E0279"/>
    <w:rsid w:val="57A04041"/>
    <w:rsid w:val="57B03239"/>
    <w:rsid w:val="57D92D4F"/>
    <w:rsid w:val="57E474FF"/>
    <w:rsid w:val="57F50297"/>
    <w:rsid w:val="583F5B1B"/>
    <w:rsid w:val="5877593F"/>
    <w:rsid w:val="58926C22"/>
    <w:rsid w:val="58C669B3"/>
    <w:rsid w:val="58D65FE6"/>
    <w:rsid w:val="593F58E8"/>
    <w:rsid w:val="598B6C60"/>
    <w:rsid w:val="598F614F"/>
    <w:rsid w:val="5999711C"/>
    <w:rsid w:val="59BD38A5"/>
    <w:rsid w:val="59E9604F"/>
    <w:rsid w:val="5A4D6B19"/>
    <w:rsid w:val="5A5F5060"/>
    <w:rsid w:val="5A6579D7"/>
    <w:rsid w:val="5A7F748E"/>
    <w:rsid w:val="5A957D93"/>
    <w:rsid w:val="5AD8575B"/>
    <w:rsid w:val="5B0F5A82"/>
    <w:rsid w:val="5B3760D9"/>
    <w:rsid w:val="5B973181"/>
    <w:rsid w:val="5C4557EC"/>
    <w:rsid w:val="5C774339"/>
    <w:rsid w:val="5CE019A8"/>
    <w:rsid w:val="5CF74D38"/>
    <w:rsid w:val="5D2317D1"/>
    <w:rsid w:val="5D303DA6"/>
    <w:rsid w:val="5D6346F5"/>
    <w:rsid w:val="5D7D18C9"/>
    <w:rsid w:val="5E192A8C"/>
    <w:rsid w:val="5E277F5F"/>
    <w:rsid w:val="5E2D6537"/>
    <w:rsid w:val="5EA44201"/>
    <w:rsid w:val="5EB91A2C"/>
    <w:rsid w:val="5ECF75EF"/>
    <w:rsid w:val="5EF326B9"/>
    <w:rsid w:val="5F283D13"/>
    <w:rsid w:val="5F751F44"/>
    <w:rsid w:val="5F80710D"/>
    <w:rsid w:val="60566E27"/>
    <w:rsid w:val="606007BB"/>
    <w:rsid w:val="60745960"/>
    <w:rsid w:val="607B0C60"/>
    <w:rsid w:val="6095106A"/>
    <w:rsid w:val="60AC7F66"/>
    <w:rsid w:val="613751C4"/>
    <w:rsid w:val="61390689"/>
    <w:rsid w:val="615F1E5B"/>
    <w:rsid w:val="618835DC"/>
    <w:rsid w:val="61A8587F"/>
    <w:rsid w:val="61BF10D9"/>
    <w:rsid w:val="61CF7AF6"/>
    <w:rsid w:val="628F2C23"/>
    <w:rsid w:val="629F7BDB"/>
    <w:rsid w:val="62A66906"/>
    <w:rsid w:val="62BC4146"/>
    <w:rsid w:val="631869C8"/>
    <w:rsid w:val="63556314"/>
    <w:rsid w:val="63BC20FC"/>
    <w:rsid w:val="63D17BBC"/>
    <w:rsid w:val="63EF5A68"/>
    <w:rsid w:val="640C7C21"/>
    <w:rsid w:val="645C7BFD"/>
    <w:rsid w:val="647B624F"/>
    <w:rsid w:val="64891A0F"/>
    <w:rsid w:val="64B452BD"/>
    <w:rsid w:val="64E45EF7"/>
    <w:rsid w:val="6514204D"/>
    <w:rsid w:val="656404CE"/>
    <w:rsid w:val="66111FA9"/>
    <w:rsid w:val="666A49FB"/>
    <w:rsid w:val="66A419BB"/>
    <w:rsid w:val="66A575B3"/>
    <w:rsid w:val="66A57729"/>
    <w:rsid w:val="66F947B1"/>
    <w:rsid w:val="67001399"/>
    <w:rsid w:val="670B339A"/>
    <w:rsid w:val="672A7AB8"/>
    <w:rsid w:val="677435B2"/>
    <w:rsid w:val="67AA29A7"/>
    <w:rsid w:val="67AF051E"/>
    <w:rsid w:val="67C52EF7"/>
    <w:rsid w:val="67CF9726"/>
    <w:rsid w:val="67D20531"/>
    <w:rsid w:val="67EF75F1"/>
    <w:rsid w:val="68171831"/>
    <w:rsid w:val="684852AB"/>
    <w:rsid w:val="685328C9"/>
    <w:rsid w:val="69124F16"/>
    <w:rsid w:val="691E143B"/>
    <w:rsid w:val="695318F0"/>
    <w:rsid w:val="696DF197"/>
    <w:rsid w:val="69A17196"/>
    <w:rsid w:val="69C64B0E"/>
    <w:rsid w:val="69CD5C14"/>
    <w:rsid w:val="69CF0D33"/>
    <w:rsid w:val="69F036EE"/>
    <w:rsid w:val="69F338D1"/>
    <w:rsid w:val="6A161E20"/>
    <w:rsid w:val="6A2E478C"/>
    <w:rsid w:val="6A64534B"/>
    <w:rsid w:val="6A976CAA"/>
    <w:rsid w:val="6AB24495"/>
    <w:rsid w:val="6ADF4470"/>
    <w:rsid w:val="6B251937"/>
    <w:rsid w:val="6B7F445C"/>
    <w:rsid w:val="6B9946B3"/>
    <w:rsid w:val="6BBF097E"/>
    <w:rsid w:val="6BFB109A"/>
    <w:rsid w:val="6C5B60E0"/>
    <w:rsid w:val="6C5E7372"/>
    <w:rsid w:val="6D1837C6"/>
    <w:rsid w:val="6D6C6357"/>
    <w:rsid w:val="6DDB7B09"/>
    <w:rsid w:val="6DE76850"/>
    <w:rsid w:val="6DFF6BFE"/>
    <w:rsid w:val="6E410CEC"/>
    <w:rsid w:val="6E7B51EE"/>
    <w:rsid w:val="6E9A1018"/>
    <w:rsid w:val="6F0D0399"/>
    <w:rsid w:val="6F3E67F6"/>
    <w:rsid w:val="6F5C095C"/>
    <w:rsid w:val="6F7B6C99"/>
    <w:rsid w:val="6FA53F84"/>
    <w:rsid w:val="6FB20BD4"/>
    <w:rsid w:val="6FB72C3A"/>
    <w:rsid w:val="6FBA59BE"/>
    <w:rsid w:val="6FCBEB86"/>
    <w:rsid w:val="6FE6017B"/>
    <w:rsid w:val="6FF414EF"/>
    <w:rsid w:val="6FFB499A"/>
    <w:rsid w:val="70296B3E"/>
    <w:rsid w:val="70611204"/>
    <w:rsid w:val="708244C1"/>
    <w:rsid w:val="71395E92"/>
    <w:rsid w:val="716E6CA6"/>
    <w:rsid w:val="716F59BA"/>
    <w:rsid w:val="71CC2B9A"/>
    <w:rsid w:val="71CC775E"/>
    <w:rsid w:val="71D81424"/>
    <w:rsid w:val="72052CDF"/>
    <w:rsid w:val="7234593E"/>
    <w:rsid w:val="725F1B7F"/>
    <w:rsid w:val="72B13D23"/>
    <w:rsid w:val="72B45B55"/>
    <w:rsid w:val="72E04991"/>
    <w:rsid w:val="72EF4CB6"/>
    <w:rsid w:val="72F06E78"/>
    <w:rsid w:val="72F20691"/>
    <w:rsid w:val="733F1222"/>
    <w:rsid w:val="738B2CF1"/>
    <w:rsid w:val="73E74FBE"/>
    <w:rsid w:val="740378EA"/>
    <w:rsid w:val="74156F93"/>
    <w:rsid w:val="745B37DB"/>
    <w:rsid w:val="74CC6652"/>
    <w:rsid w:val="74F53740"/>
    <w:rsid w:val="74FA2C30"/>
    <w:rsid w:val="750006C1"/>
    <w:rsid w:val="75DB058A"/>
    <w:rsid w:val="75FB31CF"/>
    <w:rsid w:val="760065B4"/>
    <w:rsid w:val="761402B1"/>
    <w:rsid w:val="76164DEA"/>
    <w:rsid w:val="76206C56"/>
    <w:rsid w:val="763602F9"/>
    <w:rsid w:val="76674F2A"/>
    <w:rsid w:val="76BC49EB"/>
    <w:rsid w:val="77000DA2"/>
    <w:rsid w:val="77145ED7"/>
    <w:rsid w:val="77293310"/>
    <w:rsid w:val="772F28BE"/>
    <w:rsid w:val="7759063E"/>
    <w:rsid w:val="776C4EAA"/>
    <w:rsid w:val="776F4074"/>
    <w:rsid w:val="77A77106"/>
    <w:rsid w:val="77C6752A"/>
    <w:rsid w:val="781E69D1"/>
    <w:rsid w:val="78340059"/>
    <w:rsid w:val="784534AF"/>
    <w:rsid w:val="784775B0"/>
    <w:rsid w:val="78AE17AF"/>
    <w:rsid w:val="78AE5AC0"/>
    <w:rsid w:val="78CF6711"/>
    <w:rsid w:val="78D70769"/>
    <w:rsid w:val="78DE0DF2"/>
    <w:rsid w:val="78EF4FEB"/>
    <w:rsid w:val="790B7C99"/>
    <w:rsid w:val="79BC6C95"/>
    <w:rsid w:val="79D044EF"/>
    <w:rsid w:val="79DC27FB"/>
    <w:rsid w:val="79ED350F"/>
    <w:rsid w:val="7A3C7DD6"/>
    <w:rsid w:val="7A53293A"/>
    <w:rsid w:val="7A89328F"/>
    <w:rsid w:val="7ADD0453"/>
    <w:rsid w:val="7AF46346"/>
    <w:rsid w:val="7B0F5EBF"/>
    <w:rsid w:val="7B130FB9"/>
    <w:rsid w:val="7B2368A0"/>
    <w:rsid w:val="7B4F683F"/>
    <w:rsid w:val="7B6D2C2E"/>
    <w:rsid w:val="7B9C2CFF"/>
    <w:rsid w:val="7BA2012F"/>
    <w:rsid w:val="7BD950E3"/>
    <w:rsid w:val="7BDE0625"/>
    <w:rsid w:val="7BF64EDE"/>
    <w:rsid w:val="7C400C1E"/>
    <w:rsid w:val="7C423EA4"/>
    <w:rsid w:val="7C8A3680"/>
    <w:rsid w:val="7C9A0DE4"/>
    <w:rsid w:val="7CCD4340"/>
    <w:rsid w:val="7CF06932"/>
    <w:rsid w:val="7D4F2DEB"/>
    <w:rsid w:val="7DD031B8"/>
    <w:rsid w:val="7DD11708"/>
    <w:rsid w:val="7E47099D"/>
    <w:rsid w:val="7EBC46EA"/>
    <w:rsid w:val="7EC167BD"/>
    <w:rsid w:val="7EDE145C"/>
    <w:rsid w:val="7F0F21FC"/>
    <w:rsid w:val="7F370E72"/>
    <w:rsid w:val="7F48296E"/>
    <w:rsid w:val="7F4B1439"/>
    <w:rsid w:val="7F4F6B9E"/>
    <w:rsid w:val="7FAD3B2B"/>
    <w:rsid w:val="7FBB3BA1"/>
    <w:rsid w:val="7FF82C26"/>
    <w:rsid w:val="7FFDF807"/>
    <w:rsid w:val="7FFF5959"/>
    <w:rsid w:val="AE2CE3F4"/>
    <w:rsid w:val="BFD60013"/>
    <w:rsid w:val="BFFBA1AD"/>
    <w:rsid w:val="D77595F8"/>
    <w:rsid w:val="DAEE36C5"/>
    <w:rsid w:val="DDBF3D8B"/>
    <w:rsid w:val="DFFA7D3D"/>
    <w:rsid w:val="EF93D044"/>
    <w:rsid w:val="FAF95D48"/>
    <w:rsid w:val="FBEF93E5"/>
    <w:rsid w:val="FDBF3331"/>
    <w:rsid w:val="FF1DC051"/>
    <w:rsid w:val="FFF5BC0D"/>
    <w:rsid w:val="FFF746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15"/>
    <w:autoRedefine/>
    <w:qFormat/>
    <w:uiPriority w:val="9"/>
    <w:pPr>
      <w:keepNext/>
      <w:keepLines/>
      <w:numPr>
        <w:ilvl w:val="2"/>
        <w:numId w:val="1"/>
      </w:numPr>
      <w:tabs>
        <w:tab w:val="left" w:pos="1276"/>
      </w:tabs>
      <w:spacing w:before="260" w:after="260" w:line="416" w:lineRule="auto"/>
      <w:outlineLvl w:val="2"/>
    </w:pPr>
    <w:rPr>
      <w:rFonts w:eastAsia="黑体"/>
      <w:b/>
      <w:bCs/>
      <w:sz w:val="28"/>
      <w:szCs w:val="32"/>
    </w:rPr>
  </w:style>
  <w:style w:type="paragraph" w:styleId="5">
    <w:name w:val="heading 5"/>
    <w:basedOn w:val="1"/>
    <w:next w:val="6"/>
    <w:link w:val="33"/>
    <w:autoRedefine/>
    <w:qFormat/>
    <w:uiPriority w:val="9"/>
    <w:pPr>
      <w:keepNext/>
      <w:keepLines/>
      <w:spacing w:before="280" w:after="290" w:line="376" w:lineRule="auto"/>
      <w:outlineLvl w:val="4"/>
    </w:pPr>
    <w:rPr>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8">
    <w:name w:val="annotation text"/>
    <w:basedOn w:val="1"/>
    <w:link w:val="34"/>
    <w:autoRedefine/>
    <w:qFormat/>
    <w:uiPriority w:val="0"/>
    <w:pPr>
      <w:jc w:val="left"/>
    </w:pPr>
  </w:style>
  <w:style w:type="paragraph" w:styleId="9">
    <w:name w:val="Body Text 3"/>
    <w:basedOn w:val="1"/>
    <w:link w:val="35"/>
    <w:autoRedefine/>
    <w:unhideWhenUsed/>
    <w:qFormat/>
    <w:uiPriority w:val="99"/>
    <w:pPr>
      <w:spacing w:after="120"/>
    </w:pPr>
    <w:rPr>
      <w:sz w:val="16"/>
      <w:szCs w:val="16"/>
    </w:rPr>
  </w:style>
  <w:style w:type="paragraph" w:styleId="10">
    <w:name w:val="Body Text"/>
    <w:basedOn w:val="1"/>
    <w:next w:val="1"/>
    <w:link w:val="36"/>
    <w:autoRedefine/>
    <w:unhideWhenUsed/>
    <w:qFormat/>
    <w:uiPriority w:val="99"/>
    <w:pPr>
      <w:spacing w:after="120"/>
    </w:pPr>
  </w:style>
  <w:style w:type="paragraph" w:styleId="11">
    <w:name w:val="Body Text Indent"/>
    <w:basedOn w:val="1"/>
    <w:link w:val="37"/>
    <w:autoRedefine/>
    <w:qFormat/>
    <w:uiPriority w:val="0"/>
    <w:pPr>
      <w:ind w:firstLine="830" w:firstLineChars="352"/>
    </w:pPr>
    <w:rPr>
      <w:rFonts w:ascii="仿宋_GB2312" w:eastAsia="仿宋_GB2312"/>
      <w:kern w:val="0"/>
      <w:sz w:val="32"/>
      <w:szCs w:val="20"/>
    </w:rPr>
  </w:style>
  <w:style w:type="paragraph" w:styleId="12">
    <w:name w:val="List 2"/>
    <w:basedOn w:val="1"/>
    <w:autoRedefine/>
    <w:unhideWhenUsed/>
    <w:qFormat/>
    <w:uiPriority w:val="99"/>
    <w:pPr>
      <w:ind w:left="100" w:leftChars="200" w:hanging="200" w:hangingChars="200"/>
      <w:contextualSpacing/>
    </w:p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38"/>
    <w:autoRedefine/>
    <w:qFormat/>
    <w:uiPriority w:val="99"/>
    <w:rPr>
      <w:rFonts w:ascii="宋体" w:hAnsi="Courier New"/>
      <w:kern w:val="0"/>
      <w:sz w:val="20"/>
      <w:szCs w:val="21"/>
    </w:rPr>
  </w:style>
  <w:style w:type="paragraph" w:styleId="15">
    <w:name w:val="Date"/>
    <w:basedOn w:val="1"/>
    <w:next w:val="1"/>
    <w:link w:val="39"/>
    <w:autoRedefine/>
    <w:unhideWhenUsed/>
    <w:qFormat/>
    <w:uiPriority w:val="99"/>
    <w:pPr>
      <w:ind w:left="100" w:leftChars="2500"/>
    </w:pPr>
  </w:style>
  <w:style w:type="paragraph" w:styleId="16">
    <w:name w:val="Balloon Text"/>
    <w:basedOn w:val="1"/>
    <w:link w:val="114"/>
    <w:autoRedefine/>
    <w:semiHidden/>
    <w:qFormat/>
    <w:uiPriority w:val="99"/>
    <w:rPr>
      <w:sz w:val="18"/>
      <w:szCs w:val="18"/>
    </w:rPr>
  </w:style>
  <w:style w:type="paragraph" w:styleId="17">
    <w:name w:val="footer"/>
    <w:basedOn w:val="1"/>
    <w:link w:val="40"/>
    <w:autoRedefine/>
    <w:unhideWhenUsed/>
    <w:qFormat/>
    <w:uiPriority w:val="99"/>
    <w:pPr>
      <w:tabs>
        <w:tab w:val="center" w:pos="4153"/>
        <w:tab w:val="right" w:pos="8306"/>
      </w:tabs>
      <w:snapToGrid w:val="0"/>
      <w:jc w:val="left"/>
    </w:pPr>
    <w:rPr>
      <w:kern w:val="0"/>
      <w:sz w:val="18"/>
      <w:szCs w:val="18"/>
    </w:rPr>
  </w:style>
  <w:style w:type="paragraph" w:styleId="18">
    <w:name w:val="header"/>
    <w:basedOn w:val="1"/>
    <w:link w:val="41"/>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unhideWhenUsed/>
    <w:qFormat/>
    <w:uiPriority w:val="39"/>
  </w:style>
  <w:style w:type="paragraph" w:styleId="20">
    <w:name w:val="toc 2"/>
    <w:basedOn w:val="1"/>
    <w:next w:val="1"/>
    <w:autoRedefine/>
    <w:unhideWhenUsed/>
    <w:qFormat/>
    <w:uiPriority w:val="39"/>
    <w:pPr>
      <w:tabs>
        <w:tab w:val="right" w:leader="dot" w:pos="8296"/>
      </w:tabs>
      <w:ind w:left="420" w:leftChars="200"/>
    </w:pPr>
  </w:style>
  <w:style w:type="paragraph" w:styleId="21">
    <w:name w:val="Body Text 2"/>
    <w:basedOn w:val="1"/>
    <w:next w:val="10"/>
    <w:link w:val="116"/>
    <w:autoRedefine/>
    <w:unhideWhenUsed/>
    <w:qFormat/>
    <w:uiPriority w:val="99"/>
    <w:pPr>
      <w:spacing w:after="120" w:line="480" w:lineRule="auto"/>
    </w:pPr>
  </w:style>
  <w:style w:type="paragraph" w:styleId="22">
    <w:name w:val="Normal (Web)"/>
    <w:basedOn w:val="1"/>
    <w:autoRedefine/>
    <w:unhideWhenUsed/>
    <w:qFormat/>
    <w:uiPriority w:val="99"/>
    <w:rPr>
      <w:rFonts w:ascii="Calibri" w:hAnsi="Calibri"/>
      <w:kern w:val="0"/>
      <w:sz w:val="24"/>
    </w:rPr>
  </w:style>
  <w:style w:type="paragraph" w:styleId="23">
    <w:name w:val="annotation subject"/>
    <w:basedOn w:val="8"/>
    <w:next w:val="8"/>
    <w:link w:val="42"/>
    <w:autoRedefine/>
    <w:qFormat/>
    <w:uiPriority w:val="99"/>
    <w:rPr>
      <w:b/>
      <w:bCs/>
    </w:rPr>
  </w:style>
  <w:style w:type="table" w:styleId="25">
    <w:name w:val="Table Grid"/>
    <w:basedOn w:val="24"/>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FollowedHyperlink"/>
    <w:basedOn w:val="26"/>
    <w:autoRedefine/>
    <w:semiHidden/>
    <w:unhideWhenUsed/>
    <w:qFormat/>
    <w:uiPriority w:val="99"/>
    <w:rPr>
      <w:color w:val="800080"/>
      <w:u w:val="single"/>
    </w:rPr>
  </w:style>
  <w:style w:type="character" w:styleId="28">
    <w:name w:val="Hyperlink"/>
    <w:autoRedefine/>
    <w:unhideWhenUsed/>
    <w:qFormat/>
    <w:uiPriority w:val="99"/>
    <w:rPr>
      <w:color w:val="0000FF"/>
      <w:u w:val="single"/>
    </w:rPr>
  </w:style>
  <w:style w:type="character" w:styleId="29">
    <w:name w:val="annotation reference"/>
    <w:autoRedefine/>
    <w:qFormat/>
    <w:uiPriority w:val="99"/>
    <w:rPr>
      <w:sz w:val="21"/>
      <w:szCs w:val="21"/>
    </w:rPr>
  </w:style>
  <w:style w:type="character" w:styleId="30">
    <w:name w:val="HTML Sample"/>
    <w:basedOn w:val="26"/>
    <w:semiHidden/>
    <w:unhideWhenUsed/>
    <w:qFormat/>
    <w:uiPriority w:val="99"/>
    <w:rPr>
      <w:rFonts w:ascii="Courier New" w:hAnsi="Courier New"/>
    </w:rPr>
  </w:style>
  <w:style w:type="character" w:customStyle="1" w:styleId="31">
    <w:name w:val="标题 1 Char"/>
    <w:link w:val="2"/>
    <w:autoRedefine/>
    <w:qFormat/>
    <w:uiPriority w:val="0"/>
    <w:rPr>
      <w:b/>
      <w:bCs/>
      <w:kern w:val="44"/>
      <w:sz w:val="44"/>
      <w:szCs w:val="44"/>
    </w:rPr>
  </w:style>
  <w:style w:type="character" w:customStyle="1" w:styleId="32">
    <w:name w:val="标题 2 Char"/>
    <w:link w:val="3"/>
    <w:autoRedefine/>
    <w:qFormat/>
    <w:uiPriority w:val="9"/>
    <w:rPr>
      <w:rFonts w:ascii="Cambria" w:hAnsi="Cambria" w:eastAsia="宋体" w:cs="Times New Roman"/>
      <w:b/>
      <w:bCs/>
      <w:kern w:val="2"/>
      <w:sz w:val="32"/>
      <w:szCs w:val="32"/>
    </w:rPr>
  </w:style>
  <w:style w:type="character" w:customStyle="1" w:styleId="33">
    <w:name w:val="标题 5 Char"/>
    <w:link w:val="5"/>
    <w:autoRedefine/>
    <w:qFormat/>
    <w:uiPriority w:val="9"/>
    <w:rPr>
      <w:rFonts w:ascii="Times New Roman" w:hAnsi="Times New Roman"/>
      <w:b/>
      <w:bCs/>
      <w:kern w:val="2"/>
      <w:sz w:val="28"/>
      <w:szCs w:val="28"/>
    </w:rPr>
  </w:style>
  <w:style w:type="character" w:customStyle="1" w:styleId="34">
    <w:name w:val="批注文字 Char"/>
    <w:link w:val="8"/>
    <w:autoRedefine/>
    <w:qFormat/>
    <w:uiPriority w:val="0"/>
    <w:rPr>
      <w:rFonts w:ascii="Times New Roman" w:hAnsi="Times New Roman"/>
      <w:kern w:val="2"/>
      <w:sz w:val="21"/>
      <w:szCs w:val="24"/>
    </w:rPr>
  </w:style>
  <w:style w:type="character" w:customStyle="1" w:styleId="35">
    <w:name w:val="正文文本 3 Char"/>
    <w:link w:val="9"/>
    <w:autoRedefine/>
    <w:qFormat/>
    <w:uiPriority w:val="99"/>
    <w:rPr>
      <w:rFonts w:ascii="Times New Roman" w:hAnsi="Times New Roman"/>
      <w:kern w:val="2"/>
      <w:sz w:val="16"/>
      <w:szCs w:val="16"/>
    </w:rPr>
  </w:style>
  <w:style w:type="character" w:customStyle="1" w:styleId="36">
    <w:name w:val="正文文本 Char"/>
    <w:link w:val="10"/>
    <w:autoRedefine/>
    <w:qFormat/>
    <w:uiPriority w:val="99"/>
    <w:rPr>
      <w:rFonts w:ascii="Times New Roman" w:hAnsi="Times New Roman"/>
      <w:kern w:val="2"/>
      <w:sz w:val="21"/>
      <w:szCs w:val="24"/>
    </w:rPr>
  </w:style>
  <w:style w:type="character" w:customStyle="1" w:styleId="37">
    <w:name w:val="正文文本缩进 Char"/>
    <w:link w:val="11"/>
    <w:autoRedefine/>
    <w:qFormat/>
    <w:uiPriority w:val="0"/>
    <w:rPr>
      <w:rFonts w:ascii="仿宋_GB2312" w:hAnsi="Times New Roman" w:eastAsia="仿宋_GB2312" w:cs="Times New Roman"/>
      <w:sz w:val="32"/>
      <w:szCs w:val="20"/>
    </w:rPr>
  </w:style>
  <w:style w:type="character" w:customStyle="1" w:styleId="38">
    <w:name w:val="纯文本 Char"/>
    <w:link w:val="14"/>
    <w:autoRedefine/>
    <w:qFormat/>
    <w:uiPriority w:val="99"/>
    <w:rPr>
      <w:rFonts w:ascii="宋体" w:hAnsi="Courier New" w:eastAsia="宋体" w:cs="Courier New"/>
      <w:szCs w:val="21"/>
    </w:rPr>
  </w:style>
  <w:style w:type="character" w:customStyle="1" w:styleId="39">
    <w:name w:val="日期 Char"/>
    <w:link w:val="15"/>
    <w:autoRedefine/>
    <w:qFormat/>
    <w:uiPriority w:val="99"/>
    <w:rPr>
      <w:rFonts w:ascii="Times New Roman" w:hAnsi="Times New Roman"/>
      <w:kern w:val="2"/>
      <w:sz w:val="21"/>
      <w:szCs w:val="24"/>
    </w:rPr>
  </w:style>
  <w:style w:type="character" w:customStyle="1" w:styleId="40">
    <w:name w:val="页脚 Char1"/>
    <w:link w:val="17"/>
    <w:autoRedefine/>
    <w:qFormat/>
    <w:uiPriority w:val="99"/>
    <w:rPr>
      <w:sz w:val="18"/>
      <w:szCs w:val="18"/>
    </w:rPr>
  </w:style>
  <w:style w:type="character" w:customStyle="1" w:styleId="41">
    <w:name w:val="页眉 Char"/>
    <w:link w:val="18"/>
    <w:autoRedefine/>
    <w:qFormat/>
    <w:uiPriority w:val="0"/>
    <w:rPr>
      <w:sz w:val="18"/>
      <w:szCs w:val="18"/>
    </w:rPr>
  </w:style>
  <w:style w:type="character" w:customStyle="1" w:styleId="42">
    <w:name w:val="批注主题 Char"/>
    <w:link w:val="23"/>
    <w:autoRedefine/>
    <w:qFormat/>
    <w:uiPriority w:val="99"/>
    <w:rPr>
      <w:rFonts w:ascii="Times New Roman" w:hAnsi="Times New Roman"/>
      <w:b/>
      <w:bCs/>
      <w:kern w:val="2"/>
      <w:sz w:val="21"/>
      <w:szCs w:val="24"/>
    </w:rPr>
  </w:style>
  <w:style w:type="character" w:customStyle="1" w:styleId="43">
    <w:name w:val="正文文本缩进 字符1"/>
    <w:autoRedefine/>
    <w:qFormat/>
    <w:uiPriority w:val="0"/>
    <w:rPr>
      <w:rFonts w:ascii="仿宋_GB2312" w:hAnsi="Times New Roman" w:eastAsia="仿宋_GB2312" w:cs="Times New Roman"/>
      <w:sz w:val="32"/>
      <w:szCs w:val="20"/>
    </w:rPr>
  </w:style>
  <w:style w:type="character" w:customStyle="1" w:styleId="44">
    <w:name w:val="apple-style-span"/>
    <w:basedOn w:val="26"/>
    <w:autoRedefine/>
    <w:qFormat/>
    <w:uiPriority w:val="0"/>
  </w:style>
  <w:style w:type="character" w:customStyle="1" w:styleId="45">
    <w:name w:val="标题 1 字符"/>
    <w:autoRedefine/>
    <w:qFormat/>
    <w:uiPriority w:val="9"/>
    <w:rPr>
      <w:b/>
      <w:bCs/>
      <w:kern w:val="44"/>
      <w:sz w:val="44"/>
      <w:szCs w:val="44"/>
    </w:rPr>
  </w:style>
  <w:style w:type="character" w:customStyle="1" w:styleId="46">
    <w:name w:val="textcontents"/>
    <w:autoRedefine/>
    <w:qFormat/>
    <w:uiPriority w:val="0"/>
  </w:style>
  <w:style w:type="character" w:customStyle="1" w:styleId="47">
    <w:name w:val="纯文本 字符1"/>
    <w:autoRedefine/>
    <w:qFormat/>
    <w:uiPriority w:val="0"/>
    <w:rPr>
      <w:rFonts w:ascii="宋体" w:hAnsi="Courier New"/>
    </w:rPr>
  </w:style>
  <w:style w:type="character" w:customStyle="1" w:styleId="48">
    <w:name w:val="批注文字 字符1"/>
    <w:autoRedefine/>
    <w:qFormat/>
    <w:uiPriority w:val="0"/>
    <w:rPr>
      <w:kern w:val="2"/>
      <w:sz w:val="21"/>
      <w:szCs w:val="24"/>
    </w:rPr>
  </w:style>
  <w:style w:type="character" w:customStyle="1" w:styleId="49">
    <w:name w:val="纯文本 字符2"/>
    <w:autoRedefine/>
    <w:qFormat/>
    <w:uiPriority w:val="0"/>
    <w:rPr>
      <w:rFonts w:ascii="宋体" w:hAnsi="Courier New" w:eastAsia="宋体" w:cs="Courier New"/>
      <w:szCs w:val="21"/>
    </w:rPr>
  </w:style>
  <w:style w:type="character" w:customStyle="1" w:styleId="50">
    <w:name w:val="页脚 Char"/>
    <w:autoRedefine/>
    <w:qFormat/>
    <w:uiPriority w:val="99"/>
    <w:rPr>
      <w:lang w:eastAsia="zh-CN"/>
    </w:rPr>
  </w:style>
  <w:style w:type="paragraph" w:customStyle="1" w:styleId="51">
    <w:name w:val="默认段落字体 Para Char Char Char Char Char Char Char Char Char1 Char Char Char Char"/>
    <w:basedOn w:val="1"/>
    <w:autoRedefine/>
    <w:qFormat/>
    <w:uiPriority w:val="0"/>
    <w:rPr>
      <w:rFonts w:ascii="Tahoma" w:hAnsi="Tahoma"/>
      <w:sz w:val="24"/>
      <w:szCs w:val="20"/>
    </w:rPr>
  </w:style>
  <w:style w:type="paragraph" w:customStyle="1" w:styleId="52">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53">
    <w:name w:val="List Paragraph"/>
    <w:basedOn w:val="1"/>
    <w:autoRedefine/>
    <w:qFormat/>
    <w:uiPriority w:val="34"/>
    <w:pPr>
      <w:ind w:firstLine="420" w:firstLineChars="200"/>
    </w:pPr>
  </w:style>
  <w:style w:type="paragraph" w:customStyle="1" w:styleId="54">
    <w:name w:val="Table Paragraph"/>
    <w:basedOn w:val="1"/>
    <w:qFormat/>
    <w:uiPriority w:val="1"/>
    <w:pPr>
      <w:jc w:val="left"/>
    </w:pPr>
    <w:rPr>
      <w:rFonts w:ascii="Calibri" w:hAnsi="Calibri"/>
      <w:kern w:val="0"/>
      <w:sz w:val="22"/>
      <w:szCs w:val="22"/>
      <w:lang w:eastAsia="en-US"/>
    </w:rPr>
  </w:style>
  <w:style w:type="character" w:customStyle="1" w:styleId="55">
    <w:name w:val="批注文字 Char1"/>
    <w:autoRedefine/>
    <w:qFormat/>
    <w:uiPriority w:val="0"/>
    <w:rPr>
      <w:rFonts w:ascii="Times New Roman" w:hAnsi="Times New Roman"/>
      <w:kern w:val="2"/>
      <w:sz w:val="21"/>
      <w:szCs w:val="24"/>
    </w:rPr>
  </w:style>
  <w:style w:type="character" w:customStyle="1" w:styleId="56">
    <w:name w:val="批注文字 字符2"/>
    <w:autoRedefine/>
    <w:qFormat/>
    <w:uiPriority w:val="0"/>
    <w:rPr>
      <w:rFonts w:ascii="Times New Roman" w:hAnsi="Times New Roman"/>
      <w:kern w:val="2"/>
      <w:sz w:val="21"/>
      <w:szCs w:val="24"/>
    </w:rPr>
  </w:style>
  <w:style w:type="character" w:customStyle="1" w:styleId="57">
    <w:name w:val="正文文本 (26) + 间距 0 pt"/>
    <w:autoRedefine/>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58">
    <w:name w:val="纯文本 Char1"/>
    <w:autoRedefine/>
    <w:qFormat/>
    <w:uiPriority w:val="0"/>
    <w:rPr>
      <w:rFonts w:ascii="宋体" w:hAnsi="Courier New" w:eastAsia="宋体" w:cs="Courier New"/>
      <w:szCs w:val="21"/>
    </w:rPr>
  </w:style>
  <w:style w:type="character" w:customStyle="1" w:styleId="59">
    <w:name w:val="批注文字 Char2"/>
    <w:autoRedefine/>
    <w:qFormat/>
    <w:uiPriority w:val="0"/>
    <w:rPr>
      <w:rFonts w:ascii="Times New Roman" w:hAnsi="Times New Roman"/>
      <w:kern w:val="2"/>
      <w:sz w:val="21"/>
      <w:szCs w:val="24"/>
    </w:rPr>
  </w:style>
  <w:style w:type="character" w:customStyle="1" w:styleId="60">
    <w:name w:val="正文2 Char Char"/>
    <w:link w:val="61"/>
    <w:autoRedefine/>
    <w:qFormat/>
    <w:uiPriority w:val="0"/>
    <w:rPr>
      <w:kern w:val="2"/>
      <w:sz w:val="24"/>
    </w:rPr>
  </w:style>
  <w:style w:type="paragraph" w:customStyle="1" w:styleId="61">
    <w:name w:val="正文2"/>
    <w:basedOn w:val="1"/>
    <w:link w:val="60"/>
    <w:autoRedefine/>
    <w:qFormat/>
    <w:uiPriority w:val="0"/>
    <w:pPr>
      <w:adjustRightInd w:val="0"/>
      <w:spacing w:before="156" w:line="360" w:lineRule="auto"/>
      <w:ind w:firstLine="510" w:firstLineChars="200"/>
    </w:pPr>
    <w:rPr>
      <w:sz w:val="24"/>
      <w:szCs w:val="20"/>
    </w:rPr>
  </w:style>
  <w:style w:type="paragraph" w:customStyle="1" w:styleId="6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3">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
    <w:name w:val="xl9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xl96"/>
    <w:basedOn w:val="1"/>
    <w:autoRedefine/>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66">
    <w:name w:val="xl97"/>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67">
    <w:name w:val="xl98"/>
    <w:basedOn w:val="1"/>
    <w:autoRedefine/>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68">
    <w:name w:val="xl99"/>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0">
    <w:name w:val="xl10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71">
    <w:name w:val="xl102"/>
    <w:basedOn w:val="1"/>
    <w:autoRedefine/>
    <w:qFormat/>
    <w:uiPriority w:val="0"/>
    <w:pPr>
      <w:widowControl/>
      <w:pBdr>
        <w:top w:val="single" w:color="000000" w:sz="4" w:space="0"/>
        <w:left w:val="single" w:color="000000" w:sz="4" w:space="0"/>
        <w:right w:val="single" w:color="000000" w:sz="4" w:space="0"/>
      </w:pBdr>
      <w:shd w:val="clear" w:color="000000" w:fill="FFFF00"/>
      <w:spacing w:before="100" w:beforeAutospacing="1" w:after="100" w:afterAutospacing="1"/>
      <w:jc w:val="center"/>
    </w:pPr>
    <w:rPr>
      <w:rFonts w:ascii="宋体" w:hAnsi="宋体" w:cs="宋体"/>
      <w:b/>
      <w:bCs/>
      <w:kern w:val="0"/>
      <w:sz w:val="24"/>
    </w:rPr>
  </w:style>
  <w:style w:type="paragraph" w:customStyle="1" w:styleId="72">
    <w:name w:val="xl10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3">
    <w:name w:val="xl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4">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5">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8">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9">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80">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1">
    <w:name w:val="xl112"/>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2">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3">
    <w:name w:val="xl11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4">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5">
    <w:name w:val="xl1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xl11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88">
    <w:name w:val="xl1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89">
    <w:name w:val="xl12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121"/>
    <w:basedOn w:val="1"/>
    <w:autoRedefine/>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91">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2">
    <w:name w:val="xl123"/>
    <w:basedOn w:val="1"/>
    <w:autoRedefine/>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93">
    <w:name w:val="xl12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94">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95">
    <w:name w:val="xl126"/>
    <w:basedOn w:val="1"/>
    <w:autoRedefine/>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96">
    <w:name w:val="xl1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szCs w:val="20"/>
    </w:rPr>
  </w:style>
  <w:style w:type="paragraph" w:customStyle="1" w:styleId="97">
    <w:name w:val="xl1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98">
    <w:name w:val="xl129"/>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99">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100">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kern w:val="0"/>
      <w:sz w:val="20"/>
      <w:szCs w:val="20"/>
    </w:rPr>
  </w:style>
  <w:style w:type="paragraph" w:customStyle="1" w:styleId="101">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102">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color w:val="FF0000"/>
      <w:kern w:val="0"/>
      <w:sz w:val="20"/>
      <w:szCs w:val="20"/>
    </w:rPr>
  </w:style>
  <w:style w:type="paragraph" w:customStyle="1" w:styleId="103">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104">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textAlignment w:val="bottom"/>
    </w:pPr>
    <w:rPr>
      <w:rFonts w:ascii="宋体" w:hAnsi="宋体" w:cs="宋体"/>
      <w:kern w:val="0"/>
      <w:sz w:val="20"/>
      <w:szCs w:val="20"/>
    </w:rPr>
  </w:style>
  <w:style w:type="paragraph" w:customStyle="1" w:styleId="105">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20"/>
      <w:szCs w:val="20"/>
    </w:rPr>
  </w:style>
  <w:style w:type="paragraph" w:customStyle="1" w:styleId="106">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7">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20"/>
      <w:szCs w:val="20"/>
    </w:rPr>
  </w:style>
  <w:style w:type="paragraph" w:customStyle="1" w:styleId="108">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
    <w:name w:val="xl14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111">
    <w:name w:val="xl14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112">
    <w:name w:val="xl14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20"/>
      <w:szCs w:val="20"/>
    </w:rPr>
  </w:style>
  <w:style w:type="paragraph" w:customStyle="1" w:styleId="113">
    <w:name w:val="xl14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character" w:customStyle="1" w:styleId="114">
    <w:name w:val="批注框文本 Char"/>
    <w:basedOn w:val="26"/>
    <w:link w:val="16"/>
    <w:autoRedefine/>
    <w:semiHidden/>
    <w:qFormat/>
    <w:uiPriority w:val="99"/>
    <w:rPr>
      <w:kern w:val="2"/>
      <w:sz w:val="18"/>
      <w:szCs w:val="18"/>
    </w:rPr>
  </w:style>
  <w:style w:type="character" w:customStyle="1" w:styleId="115">
    <w:name w:val="标题 3 Char"/>
    <w:basedOn w:val="26"/>
    <w:link w:val="4"/>
    <w:autoRedefine/>
    <w:qFormat/>
    <w:uiPriority w:val="9"/>
    <w:rPr>
      <w:rFonts w:eastAsia="黑体"/>
      <w:b/>
      <w:bCs/>
      <w:kern w:val="2"/>
      <w:sz w:val="28"/>
      <w:szCs w:val="32"/>
    </w:rPr>
  </w:style>
  <w:style w:type="character" w:customStyle="1" w:styleId="116">
    <w:name w:val="正文文本 2 Char"/>
    <w:basedOn w:val="26"/>
    <w:link w:val="21"/>
    <w:autoRedefine/>
    <w:qFormat/>
    <w:uiPriority w:val="99"/>
    <w:rPr>
      <w:kern w:val="2"/>
      <w:sz w:val="21"/>
      <w:szCs w:val="24"/>
    </w:rPr>
  </w:style>
  <w:style w:type="paragraph" w:customStyle="1" w:styleId="117">
    <w:name w:val="正文_0_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18">
    <w:name w:val="正文首行缩进两字符"/>
    <w:basedOn w:val="1"/>
    <w:autoRedefine/>
    <w:qFormat/>
    <w:uiPriority w:val="0"/>
    <w:pPr>
      <w:spacing w:line="360" w:lineRule="auto"/>
      <w:ind w:firstLine="200" w:firstLineChars="200"/>
    </w:pPr>
  </w:style>
  <w:style w:type="paragraph" w:customStyle="1" w:styleId="119">
    <w:name w:val="p0"/>
    <w:basedOn w:val="1"/>
    <w:autoRedefine/>
    <w:qFormat/>
    <w:uiPriority w:val="0"/>
    <w:pPr>
      <w:widowControl/>
    </w:pPr>
    <w:rPr>
      <w:sz w:val="24"/>
      <w:szCs w:val="21"/>
    </w:rPr>
  </w:style>
  <w:style w:type="paragraph" w:customStyle="1" w:styleId="12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21">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2">
    <w:name w:val="font11"/>
    <w:basedOn w:val="26"/>
    <w:autoRedefine/>
    <w:qFormat/>
    <w:uiPriority w:val="0"/>
    <w:rPr>
      <w:rFonts w:hint="eastAsia" w:ascii="宋体" w:hAnsi="宋体" w:eastAsia="宋体" w:cs="宋体"/>
      <w:color w:val="000000"/>
      <w:sz w:val="24"/>
      <w:szCs w:val="24"/>
      <w:u w:val="none"/>
    </w:rPr>
  </w:style>
  <w:style w:type="character" w:customStyle="1" w:styleId="123">
    <w:name w:val="纯文本 Char3"/>
    <w:autoRedefine/>
    <w:qFormat/>
    <w:uiPriority w:val="0"/>
    <w:rPr>
      <w:rFonts w:ascii="宋体" w:hAnsi="Courier New" w:eastAsia="宋体" w:cs="Courier New"/>
      <w:szCs w:val="21"/>
    </w:rPr>
  </w:style>
  <w:style w:type="paragraph" w:customStyle="1" w:styleId="124">
    <w:name w:val="正文 A"/>
    <w:autoRedefine/>
    <w:qFormat/>
    <w:uiPriority w:val="0"/>
    <w:pPr>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12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6">
    <w:name w:val="列出段落1"/>
    <w:basedOn w:val="1"/>
    <w:qFormat/>
    <w:uiPriority w:val="34"/>
    <w:pPr>
      <w:spacing w:before="100" w:beforeAutospacing="1" w:after="100" w:afterAutospacing="1" w:line="360" w:lineRule="auto"/>
      <w:ind w:firstLine="420" w:firstLineChars="200"/>
    </w:pPr>
  </w:style>
  <w:style w:type="paragraph" w:customStyle="1" w:styleId="127">
    <w:name w:val="表格文字"/>
    <w:basedOn w:val="1"/>
    <w:autoRedefine/>
    <w:qFormat/>
    <w:uiPriority w:val="0"/>
    <w:pPr>
      <w:spacing w:before="25" w:after="25" w:line="240" w:lineRule="auto"/>
      <w:ind w:firstLine="0"/>
      <w:jc w:val="left"/>
    </w:pPr>
    <w:rPr>
      <w:rFonts w:ascii="宋体" w:hAnsi="宋体"/>
      <w:b/>
      <w:bCs/>
      <w:spacing w:val="10"/>
      <w:kern w:val="0"/>
      <w:sz w:val="28"/>
      <w:szCs w:val="28"/>
    </w:rPr>
  </w:style>
  <w:style w:type="character" w:customStyle="1" w:styleId="128">
    <w:name w:val="font01"/>
    <w:basedOn w:val="26"/>
    <w:qFormat/>
    <w:uiPriority w:val="0"/>
    <w:rPr>
      <w:rFonts w:hint="eastAsia" w:ascii="宋体" w:hAnsi="宋体" w:eastAsia="宋体" w:cs="宋体"/>
      <w:color w:val="000000"/>
      <w:sz w:val="22"/>
      <w:szCs w:val="22"/>
      <w:u w:val="none"/>
    </w:rPr>
  </w:style>
  <w:style w:type="character" w:customStyle="1" w:styleId="129">
    <w:name w:val="font21"/>
    <w:basedOn w:val="2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90</Pages>
  <Words>21091</Words>
  <Characters>22904</Characters>
  <Lines>402</Lines>
  <Paragraphs>113</Paragraphs>
  <TotalTime>0</TotalTime>
  <ScaleCrop>false</ScaleCrop>
  <LinksUpToDate>false</LinksUpToDate>
  <CharactersWithSpaces>23039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2022-04-26T10:05:00Z</dcterms:created>
  <dc:creator>周振新</dc:creator>
  <cp:lastModifiedBy>Administrator</cp:lastModifiedBy>
  <cp:lastPrinted>2020-04-04T08:20:00Z</cp:lastPrinted>
  <dcterms:modified xsi:type="dcterms:W3CDTF">2025-11-03T03:09:14Z</dcterms:modified>
  <dc:title>竞争性谈判文件规范</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B932E5FCDC7E4D17AA5263B2F5A0E830_13</vt:lpwstr>
  </property>
  <property fmtid="{D5CDD505-2E9C-101B-9397-08002B2CF9AE}" pid="4" name="KSOTemplateDocerSaveRecord">
    <vt:lpwstr>eyJoZGlkIjoiOGY3N2Y4MTAxNzFmZWMyMzgyNzA3ZDg2N2UzYTUwMGEiLCJ1c2VySWQiOiIxMDQ0Njg5MTAyIn0=</vt:lpwstr>
  </property>
</Properties>
</file>