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606215">
      <w:pPr>
        <w:spacing w:before="165" w:beforeLines="50"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南宁市政府采购</w:t>
      </w:r>
    </w:p>
    <w:p w14:paraId="317DBF5D">
      <w:pPr>
        <w:spacing w:before="165" w:beforeLines="50"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公开招标文件（服务类）</w:t>
      </w:r>
    </w:p>
    <w:p w14:paraId="70CDAC9B">
      <w:pPr>
        <w:spacing w:before="165" w:beforeLines="50" w:line="360" w:lineRule="auto"/>
        <w:jc w:val="center"/>
        <w:rPr>
          <w:rFonts w:hint="eastAsia" w:ascii="宋体" w:hAnsi="宋体" w:eastAsia="宋体" w:cs="宋体"/>
          <w:b/>
          <w:color w:val="auto"/>
          <w:sz w:val="48"/>
          <w:szCs w:val="48"/>
          <w:highlight w:val="none"/>
        </w:rPr>
      </w:pPr>
    </w:p>
    <w:p w14:paraId="1A4C2BBC">
      <w:pPr>
        <w:spacing w:before="165" w:beforeLines="50" w:line="360" w:lineRule="auto"/>
        <w:jc w:val="center"/>
        <w:rPr>
          <w:rFonts w:hint="eastAsia" w:ascii="宋体" w:hAnsi="宋体" w:eastAsia="宋体" w:cs="宋体"/>
          <w:b/>
          <w:color w:val="auto"/>
          <w:sz w:val="48"/>
          <w:szCs w:val="48"/>
          <w:highlight w:val="none"/>
        </w:rPr>
      </w:pPr>
    </w:p>
    <w:p w14:paraId="1CCDC47D">
      <w:pPr>
        <w:snapToGrid w:val="0"/>
        <w:spacing w:before="165" w:beforeLines="50" w:line="360" w:lineRule="auto"/>
        <w:jc w:val="center"/>
        <w:rPr>
          <w:rFonts w:hint="eastAsia" w:ascii="宋体" w:hAnsi="宋体" w:eastAsia="宋体" w:cs="宋体"/>
          <w:color w:val="auto"/>
          <w:sz w:val="72"/>
          <w:szCs w:val="72"/>
          <w:highlight w:val="none"/>
        </w:rPr>
      </w:pPr>
      <w:r>
        <w:rPr>
          <w:rFonts w:hint="eastAsia" w:ascii="宋体" w:hAnsi="宋体" w:eastAsia="宋体" w:cs="宋体"/>
          <w:color w:val="auto"/>
          <w:sz w:val="72"/>
          <w:szCs w:val="72"/>
          <w:highlight w:val="none"/>
        </w:rPr>
        <w:t>招 标 文 件</w:t>
      </w:r>
    </w:p>
    <w:p w14:paraId="751E1364">
      <w:pPr>
        <w:snapToGrid w:val="0"/>
        <w:spacing w:before="165" w:beforeLines="50" w:line="360" w:lineRule="auto"/>
        <w:jc w:val="center"/>
        <w:outlineLvl w:val="0"/>
        <w:rPr>
          <w:rFonts w:hint="eastAsia" w:ascii="宋体" w:hAnsi="宋体" w:eastAsia="宋体" w:cs="宋体"/>
          <w:color w:val="auto"/>
          <w:sz w:val="30"/>
          <w:szCs w:val="72"/>
          <w:highlight w:val="none"/>
        </w:rPr>
      </w:pPr>
      <w:bookmarkStart w:id="0" w:name="_Toc5320"/>
      <w:r>
        <w:rPr>
          <w:rFonts w:hint="eastAsia" w:ascii="宋体" w:hAnsi="宋体" w:eastAsia="宋体" w:cs="宋体"/>
          <w:color w:val="auto"/>
          <w:sz w:val="30"/>
          <w:szCs w:val="72"/>
          <w:highlight w:val="none"/>
        </w:rPr>
        <w:t>（全流程电子化评标）</w:t>
      </w:r>
      <w:bookmarkEnd w:id="0"/>
    </w:p>
    <w:p w14:paraId="3A8A7524">
      <w:pPr>
        <w:snapToGrid w:val="0"/>
        <w:spacing w:before="165" w:beforeLines="50" w:line="360" w:lineRule="auto"/>
        <w:rPr>
          <w:rFonts w:hint="eastAsia" w:ascii="宋体" w:hAnsi="宋体" w:eastAsia="宋体" w:cs="宋体"/>
          <w:color w:val="auto"/>
          <w:sz w:val="30"/>
          <w:szCs w:val="72"/>
          <w:highlight w:val="none"/>
        </w:rPr>
      </w:pPr>
    </w:p>
    <w:p w14:paraId="330D2DE2">
      <w:pPr>
        <w:pStyle w:val="11"/>
        <w:snapToGrid w:val="0"/>
        <w:spacing w:before="50" w:after="120" w:line="360" w:lineRule="auto"/>
        <w:ind w:left="3295" w:leftChars="852" w:hanging="1506" w:hangingChars="500"/>
        <w:rPr>
          <w:rFonts w:hint="eastAsia" w:ascii="宋体" w:hAnsi="宋体" w:eastAsia="宋体" w:cs="宋体"/>
          <w:b/>
          <w:bCs/>
          <w:color w:val="auto"/>
          <w:sz w:val="30"/>
          <w:szCs w:val="30"/>
          <w:highlight w:val="none"/>
          <w:lang w:eastAsia="zh-CN"/>
        </w:rPr>
      </w:pPr>
      <w:r>
        <w:rPr>
          <w:rFonts w:hint="eastAsia" w:ascii="宋体" w:hAnsi="宋体" w:eastAsia="宋体" w:cs="宋体"/>
          <w:b/>
          <w:bCs/>
          <w:color w:val="auto"/>
          <w:sz w:val="30"/>
          <w:szCs w:val="30"/>
          <w:highlight w:val="none"/>
        </w:rPr>
        <w:t>项目名称</w:t>
      </w:r>
      <w:r>
        <w:rPr>
          <w:rFonts w:hint="eastAsia" w:ascii="宋体" w:hAnsi="宋体" w:eastAsia="宋体" w:cs="宋体"/>
          <w:b/>
          <w:bCs/>
          <w:color w:val="auto"/>
          <w:sz w:val="30"/>
          <w:szCs w:val="30"/>
          <w:highlight w:val="none"/>
          <w:lang w:eastAsia="zh-CN"/>
        </w:rPr>
        <w:t>：</w:t>
      </w:r>
      <w:r>
        <w:rPr>
          <w:rFonts w:hint="eastAsia" w:hAnsi="宋体" w:cs="宋体"/>
          <w:b/>
          <w:bCs/>
          <w:color w:val="auto"/>
          <w:sz w:val="30"/>
          <w:szCs w:val="30"/>
          <w:highlight w:val="none"/>
          <w:lang w:eastAsia="zh-CN"/>
        </w:rPr>
        <w:t>2025年南宁市文化服务活动项目</w:t>
      </w:r>
    </w:p>
    <w:p w14:paraId="2A898BC5">
      <w:pPr>
        <w:pStyle w:val="11"/>
        <w:snapToGrid w:val="0"/>
        <w:spacing w:before="50" w:after="120" w:line="360" w:lineRule="auto"/>
        <w:ind w:firstLine="1783" w:firstLineChars="592"/>
        <w:outlineLvl w:val="0"/>
        <w:rPr>
          <w:rFonts w:hint="eastAsia" w:ascii="宋体" w:hAnsi="宋体" w:eastAsia="宋体" w:cs="宋体"/>
          <w:b/>
          <w:bCs/>
          <w:color w:val="auto"/>
          <w:sz w:val="30"/>
          <w:szCs w:val="30"/>
          <w:highlight w:val="none"/>
          <w:lang w:eastAsia="zh-CN"/>
        </w:rPr>
      </w:pPr>
      <w:bookmarkStart w:id="1" w:name="_Toc7308"/>
      <w:r>
        <w:rPr>
          <w:rFonts w:hint="eastAsia" w:ascii="宋体" w:hAnsi="宋体" w:eastAsia="宋体" w:cs="宋体"/>
          <w:b/>
          <w:bCs/>
          <w:color w:val="auto"/>
          <w:sz w:val="30"/>
          <w:szCs w:val="30"/>
          <w:highlight w:val="none"/>
        </w:rPr>
        <w:t>项目编号：</w:t>
      </w:r>
      <w:bookmarkEnd w:id="1"/>
      <w:r>
        <w:rPr>
          <w:rFonts w:hint="eastAsia" w:hAnsi="宋体" w:cs="宋体"/>
          <w:b/>
          <w:bCs/>
          <w:color w:val="auto"/>
          <w:sz w:val="30"/>
          <w:szCs w:val="30"/>
          <w:highlight w:val="none"/>
          <w:lang w:eastAsia="zh-CN"/>
        </w:rPr>
        <w:t>NNZC2025-G3-990432-GXHM</w:t>
      </w:r>
    </w:p>
    <w:p w14:paraId="17757F62">
      <w:pPr>
        <w:pStyle w:val="11"/>
        <w:snapToGrid w:val="0"/>
        <w:spacing w:before="50" w:after="120" w:line="360" w:lineRule="auto"/>
        <w:ind w:firstLine="1783" w:firstLineChars="592"/>
        <w:outlineLvl w:val="0"/>
        <w:rPr>
          <w:rFonts w:hint="eastAsia" w:ascii="宋体" w:hAnsi="宋体" w:eastAsia="宋体" w:cs="宋体"/>
          <w:b/>
          <w:bCs/>
          <w:color w:val="auto"/>
          <w:sz w:val="30"/>
          <w:szCs w:val="30"/>
          <w:highlight w:val="none"/>
          <w:lang w:eastAsia="zh-CN"/>
        </w:rPr>
      </w:pPr>
      <w:bookmarkStart w:id="2" w:name="_Toc31224"/>
      <w:r>
        <w:rPr>
          <w:rFonts w:hint="eastAsia" w:ascii="宋体" w:hAnsi="宋体" w:eastAsia="宋体" w:cs="宋体"/>
          <w:b/>
          <w:bCs/>
          <w:color w:val="auto"/>
          <w:sz w:val="30"/>
          <w:szCs w:val="30"/>
          <w:highlight w:val="none"/>
        </w:rPr>
        <w:t>采购文号：</w:t>
      </w:r>
      <w:bookmarkEnd w:id="2"/>
      <w:r>
        <w:rPr>
          <w:rFonts w:hint="eastAsia" w:hAnsi="宋体" w:cs="宋体"/>
          <w:b/>
          <w:bCs/>
          <w:color w:val="auto"/>
          <w:sz w:val="30"/>
          <w:szCs w:val="30"/>
          <w:highlight w:val="none"/>
          <w:lang w:eastAsia="zh-CN"/>
        </w:rPr>
        <w:t>NNZC[2025]2748号</w:t>
      </w:r>
    </w:p>
    <w:p w14:paraId="3FC484A6">
      <w:pPr>
        <w:pStyle w:val="11"/>
        <w:snapToGrid w:val="0"/>
        <w:spacing w:before="50" w:after="120" w:line="360" w:lineRule="auto"/>
        <w:ind w:firstLine="1783" w:firstLineChars="592"/>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项目所属区划：南宁市</w:t>
      </w:r>
      <w:r>
        <w:rPr>
          <w:rFonts w:hint="eastAsia" w:hAnsi="宋体" w:cs="宋体"/>
          <w:b/>
          <w:bCs/>
          <w:color w:val="auto"/>
          <w:sz w:val="30"/>
          <w:szCs w:val="30"/>
          <w:highlight w:val="none"/>
          <w:lang w:val="en-US" w:eastAsia="zh-CN"/>
        </w:rPr>
        <w:t>本级</w:t>
      </w:r>
      <w:r>
        <w:rPr>
          <w:rFonts w:hint="eastAsia" w:ascii="宋体" w:hAnsi="宋体" w:eastAsia="宋体" w:cs="宋体"/>
          <w:b/>
          <w:bCs/>
          <w:color w:val="auto"/>
          <w:sz w:val="30"/>
          <w:szCs w:val="30"/>
          <w:highlight w:val="none"/>
        </w:rPr>
        <w:t xml:space="preserve">项目   </w:t>
      </w:r>
    </w:p>
    <w:p w14:paraId="50B91959">
      <w:pPr>
        <w:pStyle w:val="11"/>
        <w:snapToGrid w:val="0"/>
        <w:spacing w:before="50" w:after="120" w:line="360" w:lineRule="auto"/>
        <w:ind w:firstLine="1783" w:firstLineChars="592"/>
        <w:outlineLvl w:val="0"/>
        <w:rPr>
          <w:rFonts w:hint="eastAsia" w:ascii="宋体" w:hAnsi="宋体" w:eastAsia="宋体" w:cs="宋体"/>
          <w:b/>
          <w:bCs/>
          <w:color w:val="auto"/>
          <w:sz w:val="30"/>
          <w:szCs w:val="30"/>
          <w:highlight w:val="none"/>
          <w:lang w:eastAsia="zh-CN"/>
        </w:rPr>
      </w:pPr>
      <w:bookmarkStart w:id="3" w:name="_Toc26813"/>
      <w:r>
        <w:rPr>
          <w:rFonts w:hint="eastAsia" w:ascii="宋体" w:hAnsi="宋体" w:eastAsia="宋体" w:cs="宋体"/>
          <w:b/>
          <w:bCs/>
          <w:color w:val="auto"/>
          <w:sz w:val="30"/>
          <w:szCs w:val="30"/>
          <w:highlight w:val="none"/>
          <w:lang w:eastAsia="zh-CN"/>
        </w:rPr>
        <w:t>采 购 人：</w:t>
      </w:r>
      <w:bookmarkEnd w:id="3"/>
      <w:bookmarkStart w:id="4" w:name="_Toc6082"/>
      <w:r>
        <w:rPr>
          <w:rFonts w:hint="eastAsia" w:hAnsi="宋体" w:cs="宋体"/>
          <w:b/>
          <w:bCs/>
          <w:color w:val="auto"/>
          <w:sz w:val="30"/>
          <w:szCs w:val="30"/>
          <w:highlight w:val="none"/>
          <w:lang w:eastAsia="zh-CN"/>
        </w:rPr>
        <w:t>南宁市群众艺术馆</w:t>
      </w:r>
    </w:p>
    <w:p w14:paraId="65941D36">
      <w:pPr>
        <w:pStyle w:val="11"/>
        <w:snapToGrid w:val="0"/>
        <w:spacing w:before="50" w:after="120" w:line="360" w:lineRule="auto"/>
        <w:ind w:firstLine="1783" w:firstLineChars="592"/>
        <w:outlineLvl w:val="0"/>
        <w:rPr>
          <w:rFonts w:hint="eastAsia" w:ascii="宋体" w:hAnsi="宋体" w:eastAsia="宋体" w:cs="宋体"/>
          <w:b/>
          <w:bCs/>
          <w:color w:val="auto"/>
          <w:w w:val="95"/>
          <w:sz w:val="30"/>
          <w:szCs w:val="30"/>
          <w:highlight w:val="none"/>
          <w:lang w:eastAsia="zh-CN"/>
        </w:rPr>
      </w:pPr>
      <w:r>
        <w:rPr>
          <w:rFonts w:hint="eastAsia" w:ascii="宋体" w:hAnsi="宋体" w:eastAsia="宋体" w:cs="宋体"/>
          <w:b/>
          <w:bCs/>
          <w:color w:val="auto"/>
          <w:sz w:val="30"/>
          <w:szCs w:val="30"/>
          <w:highlight w:val="none"/>
        </w:rPr>
        <w:t>采购代理机构：</w:t>
      </w:r>
      <w:bookmarkEnd w:id="4"/>
      <w:r>
        <w:rPr>
          <w:rFonts w:hint="eastAsia" w:hAnsi="宋体" w:cs="宋体"/>
          <w:b/>
          <w:bCs/>
          <w:color w:val="auto"/>
          <w:sz w:val="30"/>
          <w:szCs w:val="30"/>
          <w:highlight w:val="none"/>
          <w:lang w:eastAsia="zh-CN"/>
        </w:rPr>
        <w:t>广西合美工程咨询有限公司</w:t>
      </w:r>
    </w:p>
    <w:p w14:paraId="69897752">
      <w:pPr>
        <w:pStyle w:val="11"/>
        <w:snapToGrid w:val="0"/>
        <w:spacing w:before="50" w:after="120" w:line="360" w:lineRule="auto"/>
        <w:jc w:val="center"/>
        <w:rPr>
          <w:rFonts w:hint="eastAsia" w:ascii="宋体" w:hAnsi="宋体" w:eastAsia="宋体" w:cs="宋体"/>
          <w:b/>
          <w:bCs/>
          <w:color w:val="auto"/>
          <w:w w:val="95"/>
          <w:sz w:val="30"/>
          <w:szCs w:val="30"/>
          <w:highlight w:val="none"/>
          <w:lang w:val="en-US" w:eastAsia="zh-CN"/>
        </w:rPr>
      </w:pPr>
      <w:r>
        <w:rPr>
          <w:rFonts w:hint="eastAsia" w:ascii="宋体" w:hAnsi="宋体" w:eastAsia="宋体" w:cs="宋体"/>
          <w:b/>
          <w:bCs/>
          <w:color w:val="auto"/>
          <w:w w:val="95"/>
          <w:sz w:val="30"/>
          <w:szCs w:val="30"/>
          <w:highlight w:val="none"/>
          <w:lang w:val="en-US" w:eastAsia="zh-CN"/>
        </w:rPr>
        <w:t>202</w:t>
      </w:r>
      <w:r>
        <w:rPr>
          <w:rFonts w:hint="eastAsia" w:hAnsi="宋体" w:cs="宋体"/>
          <w:b/>
          <w:bCs/>
          <w:color w:val="auto"/>
          <w:w w:val="95"/>
          <w:sz w:val="30"/>
          <w:szCs w:val="30"/>
          <w:highlight w:val="none"/>
          <w:lang w:val="en-US" w:eastAsia="zh-CN"/>
        </w:rPr>
        <w:t>5</w:t>
      </w:r>
      <w:r>
        <w:rPr>
          <w:rFonts w:hint="eastAsia" w:ascii="宋体" w:hAnsi="宋体" w:eastAsia="宋体" w:cs="宋体"/>
          <w:b/>
          <w:bCs/>
          <w:color w:val="auto"/>
          <w:w w:val="95"/>
          <w:sz w:val="30"/>
          <w:szCs w:val="30"/>
          <w:highlight w:val="none"/>
          <w:lang w:val="en-US" w:eastAsia="zh-CN"/>
        </w:rPr>
        <w:t>年</w:t>
      </w:r>
      <w:r>
        <w:rPr>
          <w:rFonts w:hint="eastAsia" w:hAnsi="宋体" w:cs="宋体"/>
          <w:b/>
          <w:bCs/>
          <w:color w:val="auto"/>
          <w:w w:val="95"/>
          <w:sz w:val="30"/>
          <w:szCs w:val="30"/>
          <w:highlight w:val="none"/>
          <w:lang w:val="en-US" w:eastAsia="zh-CN"/>
        </w:rPr>
        <w:t>6</w:t>
      </w:r>
      <w:r>
        <w:rPr>
          <w:rFonts w:hint="eastAsia" w:ascii="宋体" w:hAnsi="宋体" w:eastAsia="宋体" w:cs="宋体"/>
          <w:b/>
          <w:bCs/>
          <w:color w:val="auto"/>
          <w:w w:val="95"/>
          <w:sz w:val="30"/>
          <w:szCs w:val="30"/>
          <w:highlight w:val="none"/>
          <w:lang w:val="en-US" w:eastAsia="zh-CN"/>
        </w:rPr>
        <w:t>月</w:t>
      </w:r>
      <w:r>
        <w:rPr>
          <w:rFonts w:hint="eastAsia" w:hAnsi="宋体" w:cs="宋体"/>
          <w:b/>
          <w:bCs/>
          <w:color w:val="auto"/>
          <w:w w:val="95"/>
          <w:sz w:val="30"/>
          <w:szCs w:val="30"/>
          <w:highlight w:val="none"/>
          <w:lang w:val="en-US" w:eastAsia="zh-CN"/>
        </w:rPr>
        <w:t>9</w:t>
      </w:r>
      <w:r>
        <w:rPr>
          <w:rFonts w:hint="eastAsia" w:ascii="宋体" w:hAnsi="宋体" w:eastAsia="宋体" w:cs="宋体"/>
          <w:b/>
          <w:bCs/>
          <w:color w:val="auto"/>
          <w:w w:val="95"/>
          <w:sz w:val="30"/>
          <w:szCs w:val="30"/>
          <w:highlight w:val="none"/>
          <w:lang w:val="en-US" w:eastAsia="zh-CN"/>
        </w:rPr>
        <w:t>日</w:t>
      </w:r>
    </w:p>
    <w:p w14:paraId="7BECEBF6">
      <w:pPr>
        <w:pStyle w:val="11"/>
        <w:snapToGrid w:val="0"/>
        <w:spacing w:before="50" w:after="120" w:line="360" w:lineRule="auto"/>
        <w:jc w:val="center"/>
        <w:rPr>
          <w:rFonts w:hint="eastAsia" w:ascii="宋体" w:hAnsi="宋体" w:eastAsia="宋体" w:cs="宋体"/>
          <w:b/>
          <w:bCs/>
          <w:color w:val="auto"/>
          <w:w w:val="95"/>
          <w:sz w:val="30"/>
          <w:szCs w:val="30"/>
          <w:highlight w:val="none"/>
          <w:lang w:val="en-US" w:eastAsia="zh-CN"/>
        </w:rPr>
        <w:sectPr>
          <w:headerReference r:id="rId3" w:type="default"/>
          <w:pgSz w:w="11906" w:h="16838"/>
          <w:pgMar w:top="1134" w:right="1134" w:bottom="1134" w:left="1134" w:header="720" w:footer="720" w:gutter="0"/>
          <w:pgNumType w:start="1"/>
          <w:cols w:space="720" w:num="1"/>
          <w:docGrid w:type="lines" w:linePitch="331" w:charSpace="0"/>
        </w:sectPr>
      </w:pPr>
    </w:p>
    <w:p w14:paraId="20A10526">
      <w:pPr>
        <w:pStyle w:val="11"/>
        <w:jc w:val="cente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t>目     录</w:t>
      </w:r>
    </w:p>
    <w:p w14:paraId="3C39D77F">
      <w:pPr>
        <w:pStyle w:val="30"/>
        <w:keepNext w:val="0"/>
        <w:keepLines w:val="0"/>
        <w:pageBreakBefore w:val="0"/>
        <w:tabs>
          <w:tab w:val="right" w:leader="dot" w:pos="9638"/>
        </w:tabs>
        <w:kinsoku/>
        <w:wordWrap/>
        <w:overflowPunct/>
        <w:topLinePunct w:val="0"/>
        <w:autoSpaceDE/>
        <w:autoSpaceDN/>
        <w:bidi w:val="0"/>
        <w:adjustRightInd/>
        <w:snapToGrid/>
        <w:spacing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TOC \o "1-2" \h \u </w:instrText>
      </w:r>
      <w:r>
        <w:rPr>
          <w:rFonts w:hint="eastAsia" w:ascii="宋体" w:hAnsi="宋体" w:eastAsia="宋体" w:cs="宋体"/>
          <w:color w:val="auto"/>
          <w:sz w:val="24"/>
          <w:szCs w:val="24"/>
          <w:highlight w:val="none"/>
        </w:rPr>
        <w:fldChar w:fldCharType="separate"/>
      </w:r>
    </w:p>
    <w:p w14:paraId="4F04D0BB">
      <w:pPr>
        <w:pStyle w:val="30"/>
        <w:keepNext w:val="0"/>
        <w:keepLines w:val="0"/>
        <w:pageBreakBefore w:val="0"/>
        <w:tabs>
          <w:tab w:val="right" w:leader="dot" w:pos="9638"/>
        </w:tabs>
        <w:kinsoku/>
        <w:wordWrap/>
        <w:overflowPunct/>
        <w:topLinePunct w:val="0"/>
        <w:autoSpaceDE/>
        <w:autoSpaceDN/>
        <w:bidi w:val="0"/>
        <w:adjustRightInd/>
        <w:snapToGrid/>
        <w:spacing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fldChar w:fldCharType="begin"/>
      </w:r>
      <w:r>
        <w:rPr>
          <w:rFonts w:hint="eastAsia" w:ascii="宋体" w:hAnsi="宋体" w:eastAsia="宋体" w:cs="宋体"/>
          <w:b/>
          <w:color w:val="auto"/>
          <w:sz w:val="24"/>
          <w:szCs w:val="24"/>
          <w:highlight w:val="none"/>
        </w:rPr>
        <w:instrText xml:space="preserve"> HYPERLINK \l _Toc10088 </w:instrText>
      </w:r>
      <w:r>
        <w:rPr>
          <w:rFonts w:hint="eastAsia" w:ascii="宋体" w:hAnsi="宋体" w:eastAsia="宋体" w:cs="宋体"/>
          <w:b/>
          <w:color w:val="auto"/>
          <w:sz w:val="24"/>
          <w:szCs w:val="24"/>
          <w:highlight w:val="none"/>
        </w:rPr>
        <w:fldChar w:fldCharType="separate"/>
      </w:r>
      <w:r>
        <w:rPr>
          <w:rFonts w:hint="eastAsia" w:ascii="宋体" w:hAnsi="宋体" w:eastAsia="宋体" w:cs="宋体"/>
          <w:b/>
          <w:color w:val="auto"/>
          <w:sz w:val="24"/>
          <w:szCs w:val="24"/>
          <w:highlight w:val="none"/>
        </w:rPr>
        <w:t>第一章  招标公告</w:t>
      </w:r>
      <w:r>
        <w:rPr>
          <w:rFonts w:hint="eastAsia" w:ascii="宋体" w:hAnsi="宋体" w:eastAsia="宋体" w:cs="宋体"/>
          <w:b/>
          <w:color w:val="auto"/>
          <w:sz w:val="24"/>
          <w:szCs w:val="24"/>
          <w:highlight w:val="none"/>
        </w:rPr>
        <w:tab/>
      </w:r>
      <w:r>
        <w:rPr>
          <w:rFonts w:hint="eastAsia" w:ascii="宋体" w:hAnsi="宋体" w:eastAsia="宋体" w:cs="宋体"/>
          <w:b/>
          <w:color w:val="auto"/>
          <w:sz w:val="24"/>
          <w:szCs w:val="24"/>
          <w:highlight w:val="none"/>
        </w:rPr>
        <w:fldChar w:fldCharType="begin"/>
      </w:r>
      <w:r>
        <w:rPr>
          <w:rFonts w:hint="eastAsia" w:ascii="宋体" w:hAnsi="宋体" w:eastAsia="宋体" w:cs="宋体"/>
          <w:b/>
          <w:color w:val="auto"/>
          <w:sz w:val="24"/>
          <w:szCs w:val="24"/>
          <w:highlight w:val="none"/>
        </w:rPr>
        <w:instrText xml:space="preserve"> PAGEREF _Toc10088 \h </w:instrText>
      </w:r>
      <w:r>
        <w:rPr>
          <w:rFonts w:hint="eastAsia" w:ascii="宋体" w:hAnsi="宋体" w:eastAsia="宋体" w:cs="宋体"/>
          <w:b/>
          <w:color w:val="auto"/>
          <w:sz w:val="24"/>
          <w:szCs w:val="24"/>
          <w:highlight w:val="none"/>
        </w:rPr>
        <w:fldChar w:fldCharType="separate"/>
      </w:r>
      <w:r>
        <w:rPr>
          <w:rFonts w:hint="eastAsia" w:ascii="宋体" w:hAnsi="宋体" w:eastAsia="宋体" w:cs="宋体"/>
          <w:b/>
          <w:color w:val="auto"/>
          <w:sz w:val="24"/>
          <w:szCs w:val="24"/>
          <w:highlight w:val="none"/>
        </w:rPr>
        <w:t>2</w:t>
      </w:r>
      <w:r>
        <w:rPr>
          <w:rFonts w:hint="eastAsia" w:ascii="宋体" w:hAnsi="宋体" w:eastAsia="宋体" w:cs="宋体"/>
          <w:b/>
          <w:color w:val="auto"/>
          <w:sz w:val="24"/>
          <w:szCs w:val="24"/>
          <w:highlight w:val="none"/>
        </w:rPr>
        <w:fldChar w:fldCharType="end"/>
      </w:r>
      <w:r>
        <w:rPr>
          <w:rFonts w:hint="eastAsia" w:ascii="宋体" w:hAnsi="宋体" w:eastAsia="宋体" w:cs="宋体"/>
          <w:b/>
          <w:color w:val="auto"/>
          <w:sz w:val="24"/>
          <w:szCs w:val="24"/>
          <w:highlight w:val="none"/>
        </w:rPr>
        <w:fldChar w:fldCharType="end"/>
      </w:r>
    </w:p>
    <w:p w14:paraId="52393B4E">
      <w:pPr>
        <w:pStyle w:val="30"/>
        <w:keepNext w:val="0"/>
        <w:keepLines w:val="0"/>
        <w:pageBreakBefore w:val="0"/>
        <w:tabs>
          <w:tab w:val="right" w:leader="dot" w:pos="9638"/>
        </w:tabs>
        <w:kinsoku/>
        <w:wordWrap/>
        <w:overflowPunct/>
        <w:topLinePunct w:val="0"/>
        <w:autoSpaceDE/>
        <w:autoSpaceDN/>
        <w:bidi w:val="0"/>
        <w:adjustRightInd/>
        <w:snapToGrid/>
        <w:spacing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fldChar w:fldCharType="begin"/>
      </w:r>
      <w:r>
        <w:rPr>
          <w:rFonts w:hint="eastAsia" w:ascii="宋体" w:hAnsi="宋体" w:eastAsia="宋体" w:cs="宋体"/>
          <w:b/>
          <w:color w:val="auto"/>
          <w:sz w:val="24"/>
          <w:szCs w:val="24"/>
          <w:highlight w:val="none"/>
        </w:rPr>
        <w:instrText xml:space="preserve"> HYPERLINK \l _Toc9086 </w:instrText>
      </w:r>
      <w:r>
        <w:rPr>
          <w:rFonts w:hint="eastAsia" w:ascii="宋体" w:hAnsi="宋体" w:eastAsia="宋体" w:cs="宋体"/>
          <w:b/>
          <w:color w:val="auto"/>
          <w:sz w:val="24"/>
          <w:szCs w:val="24"/>
          <w:highlight w:val="none"/>
        </w:rPr>
        <w:fldChar w:fldCharType="separate"/>
      </w:r>
      <w:r>
        <w:rPr>
          <w:rFonts w:hint="eastAsia" w:ascii="宋体" w:hAnsi="宋体" w:eastAsia="宋体" w:cs="宋体"/>
          <w:b/>
          <w:color w:val="auto"/>
          <w:sz w:val="24"/>
          <w:szCs w:val="24"/>
          <w:highlight w:val="none"/>
        </w:rPr>
        <w:t>第二章  采购需求</w:t>
      </w:r>
      <w:r>
        <w:rPr>
          <w:rFonts w:hint="eastAsia" w:ascii="宋体" w:hAnsi="宋体" w:eastAsia="宋体" w:cs="宋体"/>
          <w:b/>
          <w:color w:val="auto"/>
          <w:sz w:val="24"/>
          <w:szCs w:val="24"/>
          <w:highlight w:val="none"/>
        </w:rPr>
        <w:tab/>
      </w:r>
      <w:r>
        <w:rPr>
          <w:rFonts w:hint="eastAsia" w:ascii="宋体" w:hAnsi="宋体" w:eastAsia="宋体" w:cs="宋体"/>
          <w:b/>
          <w:color w:val="auto"/>
          <w:sz w:val="24"/>
          <w:szCs w:val="24"/>
          <w:highlight w:val="none"/>
        </w:rPr>
        <w:fldChar w:fldCharType="begin"/>
      </w:r>
      <w:r>
        <w:rPr>
          <w:rFonts w:hint="eastAsia" w:ascii="宋体" w:hAnsi="宋体" w:eastAsia="宋体" w:cs="宋体"/>
          <w:b/>
          <w:color w:val="auto"/>
          <w:sz w:val="24"/>
          <w:szCs w:val="24"/>
          <w:highlight w:val="none"/>
        </w:rPr>
        <w:instrText xml:space="preserve"> PAGEREF _Toc9086 \h </w:instrText>
      </w:r>
      <w:r>
        <w:rPr>
          <w:rFonts w:hint="eastAsia" w:ascii="宋体" w:hAnsi="宋体" w:eastAsia="宋体" w:cs="宋体"/>
          <w:b/>
          <w:color w:val="auto"/>
          <w:sz w:val="24"/>
          <w:szCs w:val="24"/>
          <w:highlight w:val="none"/>
        </w:rPr>
        <w:fldChar w:fldCharType="separate"/>
      </w:r>
      <w:r>
        <w:rPr>
          <w:rFonts w:hint="eastAsia" w:ascii="宋体" w:hAnsi="宋体" w:eastAsia="宋体" w:cs="宋体"/>
          <w:b/>
          <w:color w:val="auto"/>
          <w:sz w:val="24"/>
          <w:szCs w:val="24"/>
          <w:highlight w:val="none"/>
        </w:rPr>
        <w:t>6</w:t>
      </w:r>
      <w:r>
        <w:rPr>
          <w:rFonts w:hint="eastAsia" w:ascii="宋体" w:hAnsi="宋体" w:eastAsia="宋体" w:cs="宋体"/>
          <w:b/>
          <w:color w:val="auto"/>
          <w:sz w:val="24"/>
          <w:szCs w:val="24"/>
          <w:highlight w:val="none"/>
        </w:rPr>
        <w:fldChar w:fldCharType="end"/>
      </w:r>
      <w:r>
        <w:rPr>
          <w:rFonts w:hint="eastAsia" w:ascii="宋体" w:hAnsi="宋体" w:eastAsia="宋体" w:cs="宋体"/>
          <w:b/>
          <w:color w:val="auto"/>
          <w:sz w:val="24"/>
          <w:szCs w:val="24"/>
          <w:highlight w:val="none"/>
        </w:rPr>
        <w:fldChar w:fldCharType="end"/>
      </w:r>
    </w:p>
    <w:p w14:paraId="250E784D">
      <w:pPr>
        <w:pStyle w:val="30"/>
        <w:keepNext w:val="0"/>
        <w:keepLines w:val="0"/>
        <w:pageBreakBefore w:val="0"/>
        <w:tabs>
          <w:tab w:val="right" w:leader="dot" w:pos="9638"/>
        </w:tabs>
        <w:kinsoku/>
        <w:wordWrap/>
        <w:overflowPunct/>
        <w:topLinePunct w:val="0"/>
        <w:autoSpaceDE/>
        <w:autoSpaceDN/>
        <w:bidi w:val="0"/>
        <w:adjustRightInd/>
        <w:snapToGrid/>
        <w:spacing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fldChar w:fldCharType="begin"/>
      </w:r>
      <w:r>
        <w:rPr>
          <w:rFonts w:hint="eastAsia" w:ascii="宋体" w:hAnsi="宋体" w:eastAsia="宋体" w:cs="宋体"/>
          <w:b/>
          <w:color w:val="auto"/>
          <w:sz w:val="24"/>
          <w:szCs w:val="24"/>
          <w:highlight w:val="none"/>
        </w:rPr>
        <w:instrText xml:space="preserve"> HYPERLINK \l _Toc25554 </w:instrText>
      </w:r>
      <w:r>
        <w:rPr>
          <w:rFonts w:hint="eastAsia" w:ascii="宋体" w:hAnsi="宋体" w:eastAsia="宋体" w:cs="宋体"/>
          <w:b/>
          <w:color w:val="auto"/>
          <w:sz w:val="24"/>
          <w:szCs w:val="24"/>
          <w:highlight w:val="none"/>
        </w:rPr>
        <w:fldChar w:fldCharType="separate"/>
      </w:r>
      <w:r>
        <w:rPr>
          <w:rFonts w:hint="eastAsia" w:ascii="宋体" w:hAnsi="宋体" w:eastAsia="宋体" w:cs="宋体"/>
          <w:b/>
          <w:color w:val="auto"/>
          <w:sz w:val="24"/>
          <w:szCs w:val="24"/>
          <w:highlight w:val="none"/>
        </w:rPr>
        <w:t>第三章  投标人须知</w:t>
      </w:r>
      <w:r>
        <w:rPr>
          <w:rFonts w:hint="eastAsia" w:ascii="宋体" w:hAnsi="宋体" w:eastAsia="宋体" w:cs="宋体"/>
          <w:b/>
          <w:color w:val="auto"/>
          <w:sz w:val="24"/>
          <w:szCs w:val="24"/>
          <w:highlight w:val="none"/>
        </w:rPr>
        <w:tab/>
      </w:r>
      <w:r>
        <w:rPr>
          <w:rFonts w:hint="eastAsia" w:ascii="宋体" w:hAnsi="宋体" w:eastAsia="宋体" w:cs="宋体"/>
          <w:b/>
          <w:color w:val="auto"/>
          <w:sz w:val="24"/>
          <w:szCs w:val="24"/>
          <w:highlight w:val="none"/>
        </w:rPr>
        <w:fldChar w:fldCharType="begin"/>
      </w:r>
      <w:r>
        <w:rPr>
          <w:rFonts w:hint="eastAsia" w:ascii="宋体" w:hAnsi="宋体" w:eastAsia="宋体" w:cs="宋体"/>
          <w:b/>
          <w:color w:val="auto"/>
          <w:sz w:val="24"/>
          <w:szCs w:val="24"/>
          <w:highlight w:val="none"/>
        </w:rPr>
        <w:instrText xml:space="preserve"> PAGEREF _Toc25554 \h </w:instrText>
      </w:r>
      <w:r>
        <w:rPr>
          <w:rFonts w:hint="eastAsia" w:ascii="宋体" w:hAnsi="宋体" w:eastAsia="宋体" w:cs="宋体"/>
          <w:b/>
          <w:color w:val="auto"/>
          <w:sz w:val="24"/>
          <w:szCs w:val="24"/>
          <w:highlight w:val="none"/>
        </w:rPr>
        <w:fldChar w:fldCharType="separate"/>
      </w:r>
      <w:r>
        <w:rPr>
          <w:rFonts w:hint="eastAsia" w:ascii="宋体" w:hAnsi="宋体" w:eastAsia="宋体" w:cs="宋体"/>
          <w:b/>
          <w:color w:val="auto"/>
          <w:sz w:val="24"/>
          <w:szCs w:val="24"/>
          <w:highlight w:val="none"/>
        </w:rPr>
        <w:t>14</w:t>
      </w:r>
      <w:r>
        <w:rPr>
          <w:rFonts w:hint="eastAsia" w:ascii="宋体" w:hAnsi="宋体" w:eastAsia="宋体" w:cs="宋体"/>
          <w:b/>
          <w:color w:val="auto"/>
          <w:sz w:val="24"/>
          <w:szCs w:val="24"/>
          <w:highlight w:val="none"/>
        </w:rPr>
        <w:fldChar w:fldCharType="end"/>
      </w:r>
      <w:r>
        <w:rPr>
          <w:rFonts w:hint="eastAsia" w:ascii="宋体" w:hAnsi="宋体" w:eastAsia="宋体" w:cs="宋体"/>
          <w:b/>
          <w:color w:val="auto"/>
          <w:sz w:val="24"/>
          <w:szCs w:val="24"/>
          <w:highlight w:val="none"/>
        </w:rPr>
        <w:fldChar w:fldCharType="end"/>
      </w:r>
    </w:p>
    <w:p w14:paraId="70F91989">
      <w:pPr>
        <w:pStyle w:val="31"/>
        <w:keepNext w:val="0"/>
        <w:keepLines w:val="0"/>
        <w:pageBreakBefore w:val="0"/>
        <w:tabs>
          <w:tab w:val="right" w:leader="dot" w:pos="9638"/>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_Toc25856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40"/>
          <w:highlight w:val="none"/>
        </w:rPr>
        <w:t>第一节 投标人须知前附表</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_Toc25856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14</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7592E259">
      <w:pPr>
        <w:pStyle w:val="31"/>
        <w:keepNext w:val="0"/>
        <w:keepLines w:val="0"/>
        <w:pageBreakBefore w:val="0"/>
        <w:tabs>
          <w:tab w:val="right" w:leader="dot" w:pos="9638"/>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_Toc23067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第二节 投标人须知正文</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_Toc23067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19</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6E6DD429">
      <w:pPr>
        <w:pStyle w:val="30"/>
        <w:keepNext w:val="0"/>
        <w:keepLines w:val="0"/>
        <w:pageBreakBefore w:val="0"/>
        <w:tabs>
          <w:tab w:val="right" w:leader="dot" w:pos="9638"/>
        </w:tabs>
        <w:kinsoku/>
        <w:wordWrap/>
        <w:overflowPunct/>
        <w:topLinePunct w:val="0"/>
        <w:autoSpaceDE/>
        <w:autoSpaceDN/>
        <w:bidi w:val="0"/>
        <w:adjustRightInd/>
        <w:snapToGrid/>
        <w:spacing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fldChar w:fldCharType="begin"/>
      </w:r>
      <w:r>
        <w:rPr>
          <w:rFonts w:hint="eastAsia" w:ascii="宋体" w:hAnsi="宋体" w:eastAsia="宋体" w:cs="宋体"/>
          <w:b/>
          <w:color w:val="auto"/>
          <w:sz w:val="24"/>
          <w:szCs w:val="24"/>
          <w:highlight w:val="none"/>
        </w:rPr>
        <w:instrText xml:space="preserve"> HYPERLINK \l _Toc19788 </w:instrText>
      </w:r>
      <w:r>
        <w:rPr>
          <w:rFonts w:hint="eastAsia" w:ascii="宋体" w:hAnsi="宋体" w:eastAsia="宋体" w:cs="宋体"/>
          <w:b/>
          <w:color w:val="auto"/>
          <w:sz w:val="24"/>
          <w:szCs w:val="24"/>
          <w:highlight w:val="none"/>
        </w:rPr>
        <w:fldChar w:fldCharType="separate"/>
      </w:r>
      <w:r>
        <w:rPr>
          <w:rFonts w:hint="eastAsia" w:ascii="宋体" w:hAnsi="宋体" w:eastAsia="宋体" w:cs="宋体"/>
          <w:b/>
          <w:color w:val="auto"/>
          <w:sz w:val="24"/>
          <w:szCs w:val="24"/>
          <w:highlight w:val="none"/>
        </w:rPr>
        <w:t>第四章  评标方法及评分标准</w:t>
      </w:r>
      <w:r>
        <w:rPr>
          <w:rFonts w:hint="eastAsia" w:ascii="宋体" w:hAnsi="宋体" w:eastAsia="宋体" w:cs="宋体"/>
          <w:b/>
          <w:color w:val="auto"/>
          <w:sz w:val="24"/>
          <w:szCs w:val="24"/>
          <w:highlight w:val="none"/>
        </w:rPr>
        <w:tab/>
      </w:r>
      <w:r>
        <w:rPr>
          <w:rFonts w:hint="eastAsia" w:ascii="宋体" w:hAnsi="宋体" w:eastAsia="宋体" w:cs="宋体"/>
          <w:b/>
          <w:color w:val="auto"/>
          <w:sz w:val="24"/>
          <w:szCs w:val="24"/>
          <w:highlight w:val="none"/>
        </w:rPr>
        <w:fldChar w:fldCharType="begin"/>
      </w:r>
      <w:r>
        <w:rPr>
          <w:rFonts w:hint="eastAsia" w:ascii="宋体" w:hAnsi="宋体" w:eastAsia="宋体" w:cs="宋体"/>
          <w:b/>
          <w:color w:val="auto"/>
          <w:sz w:val="24"/>
          <w:szCs w:val="24"/>
          <w:highlight w:val="none"/>
        </w:rPr>
        <w:instrText xml:space="preserve"> PAGEREF _Toc19788 \h </w:instrText>
      </w:r>
      <w:r>
        <w:rPr>
          <w:rFonts w:hint="eastAsia" w:ascii="宋体" w:hAnsi="宋体" w:eastAsia="宋体" w:cs="宋体"/>
          <w:b/>
          <w:color w:val="auto"/>
          <w:sz w:val="24"/>
          <w:szCs w:val="24"/>
          <w:highlight w:val="none"/>
        </w:rPr>
        <w:fldChar w:fldCharType="separate"/>
      </w:r>
      <w:r>
        <w:rPr>
          <w:rFonts w:hint="eastAsia" w:ascii="宋体" w:hAnsi="宋体" w:eastAsia="宋体" w:cs="宋体"/>
          <w:b/>
          <w:color w:val="auto"/>
          <w:sz w:val="24"/>
          <w:szCs w:val="24"/>
          <w:highlight w:val="none"/>
        </w:rPr>
        <w:t>35</w:t>
      </w:r>
      <w:r>
        <w:rPr>
          <w:rFonts w:hint="eastAsia" w:ascii="宋体" w:hAnsi="宋体" w:eastAsia="宋体" w:cs="宋体"/>
          <w:b/>
          <w:color w:val="auto"/>
          <w:sz w:val="24"/>
          <w:szCs w:val="24"/>
          <w:highlight w:val="none"/>
        </w:rPr>
        <w:fldChar w:fldCharType="end"/>
      </w:r>
      <w:r>
        <w:rPr>
          <w:rFonts w:hint="eastAsia" w:ascii="宋体" w:hAnsi="宋体" w:eastAsia="宋体" w:cs="宋体"/>
          <w:b/>
          <w:color w:val="auto"/>
          <w:sz w:val="24"/>
          <w:szCs w:val="24"/>
          <w:highlight w:val="none"/>
        </w:rPr>
        <w:fldChar w:fldCharType="end"/>
      </w:r>
    </w:p>
    <w:p w14:paraId="34ECC3A6">
      <w:pPr>
        <w:pStyle w:val="31"/>
        <w:keepNext w:val="0"/>
        <w:keepLines w:val="0"/>
        <w:pageBreakBefore w:val="0"/>
        <w:tabs>
          <w:tab w:val="right" w:leader="dot" w:pos="9638"/>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_Toc1758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sz w:val="24"/>
          <w:szCs w:val="44"/>
          <w:highlight w:val="none"/>
        </w:rPr>
        <w:t>第一节 评标方法</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_Toc1758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35</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7335852F">
      <w:pPr>
        <w:pStyle w:val="31"/>
        <w:keepNext w:val="0"/>
        <w:keepLines w:val="0"/>
        <w:pageBreakBefore w:val="0"/>
        <w:tabs>
          <w:tab w:val="right" w:leader="dot" w:pos="9638"/>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_Toc16547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sz w:val="24"/>
          <w:szCs w:val="44"/>
          <w:highlight w:val="none"/>
        </w:rPr>
        <w:t>第二节 评标程序</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_Toc16547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35</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277F3540">
      <w:pPr>
        <w:pStyle w:val="31"/>
        <w:keepNext w:val="0"/>
        <w:keepLines w:val="0"/>
        <w:pageBreakBefore w:val="0"/>
        <w:tabs>
          <w:tab w:val="right" w:leader="dot" w:pos="9638"/>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_Toc16406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40"/>
          <w:highlight w:val="none"/>
        </w:rPr>
        <w:t>第三节 评分标准</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_Toc16406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38</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6E1DDBBA">
      <w:pPr>
        <w:pStyle w:val="31"/>
        <w:keepNext w:val="0"/>
        <w:keepLines w:val="0"/>
        <w:pageBreakBefore w:val="0"/>
        <w:tabs>
          <w:tab w:val="right" w:leader="dot" w:pos="9638"/>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_Toc23273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40"/>
          <w:highlight w:val="none"/>
        </w:rPr>
        <w:t>第四节 中标候选人推荐原则</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_Toc23273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39</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30F0AAD4">
      <w:pPr>
        <w:pStyle w:val="31"/>
        <w:keepNext w:val="0"/>
        <w:keepLines w:val="0"/>
        <w:pageBreakBefore w:val="0"/>
        <w:tabs>
          <w:tab w:val="right" w:leader="dot" w:pos="9638"/>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_Toc8346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40"/>
          <w:highlight w:val="none"/>
        </w:rPr>
        <w:t>第五节 评标报告</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_Toc8346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41</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572B6A8A">
      <w:pPr>
        <w:pStyle w:val="30"/>
        <w:keepNext w:val="0"/>
        <w:keepLines w:val="0"/>
        <w:pageBreakBefore w:val="0"/>
        <w:tabs>
          <w:tab w:val="right" w:leader="dot" w:pos="9638"/>
        </w:tabs>
        <w:kinsoku/>
        <w:wordWrap/>
        <w:overflowPunct/>
        <w:topLinePunct w:val="0"/>
        <w:autoSpaceDE/>
        <w:autoSpaceDN/>
        <w:bidi w:val="0"/>
        <w:adjustRightInd/>
        <w:snapToGrid/>
        <w:spacing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fldChar w:fldCharType="begin"/>
      </w:r>
      <w:r>
        <w:rPr>
          <w:rFonts w:hint="eastAsia" w:ascii="宋体" w:hAnsi="宋体" w:eastAsia="宋体" w:cs="宋体"/>
          <w:b/>
          <w:color w:val="auto"/>
          <w:sz w:val="24"/>
          <w:szCs w:val="24"/>
          <w:highlight w:val="none"/>
        </w:rPr>
        <w:instrText xml:space="preserve"> HYPERLINK \l _Toc10234 </w:instrText>
      </w:r>
      <w:r>
        <w:rPr>
          <w:rFonts w:hint="eastAsia" w:ascii="宋体" w:hAnsi="宋体" w:eastAsia="宋体" w:cs="宋体"/>
          <w:b/>
          <w:color w:val="auto"/>
          <w:sz w:val="24"/>
          <w:szCs w:val="24"/>
          <w:highlight w:val="none"/>
        </w:rPr>
        <w:fldChar w:fldCharType="separate"/>
      </w:r>
      <w:r>
        <w:rPr>
          <w:rFonts w:hint="eastAsia" w:ascii="宋体" w:hAnsi="宋体" w:eastAsia="宋体" w:cs="宋体"/>
          <w:b/>
          <w:color w:val="auto"/>
          <w:sz w:val="24"/>
          <w:szCs w:val="24"/>
          <w:highlight w:val="none"/>
        </w:rPr>
        <w:t>第五章 拟签订的合同文本</w:t>
      </w:r>
      <w:r>
        <w:rPr>
          <w:rFonts w:hint="eastAsia" w:ascii="宋体" w:hAnsi="宋体" w:eastAsia="宋体" w:cs="宋体"/>
          <w:b/>
          <w:color w:val="auto"/>
          <w:sz w:val="24"/>
          <w:szCs w:val="24"/>
          <w:highlight w:val="none"/>
        </w:rPr>
        <w:tab/>
      </w:r>
      <w:r>
        <w:rPr>
          <w:rFonts w:hint="eastAsia" w:ascii="宋体" w:hAnsi="宋体" w:eastAsia="宋体" w:cs="宋体"/>
          <w:b/>
          <w:color w:val="auto"/>
          <w:sz w:val="24"/>
          <w:szCs w:val="24"/>
          <w:highlight w:val="none"/>
        </w:rPr>
        <w:fldChar w:fldCharType="begin"/>
      </w:r>
      <w:r>
        <w:rPr>
          <w:rFonts w:hint="eastAsia" w:ascii="宋体" w:hAnsi="宋体" w:eastAsia="宋体" w:cs="宋体"/>
          <w:b/>
          <w:color w:val="auto"/>
          <w:sz w:val="24"/>
          <w:szCs w:val="24"/>
          <w:highlight w:val="none"/>
        </w:rPr>
        <w:instrText xml:space="preserve"> PAGEREF _Toc10234 \h </w:instrText>
      </w:r>
      <w:r>
        <w:rPr>
          <w:rFonts w:hint="eastAsia" w:ascii="宋体" w:hAnsi="宋体" w:eastAsia="宋体" w:cs="宋体"/>
          <w:b/>
          <w:color w:val="auto"/>
          <w:sz w:val="24"/>
          <w:szCs w:val="24"/>
          <w:highlight w:val="none"/>
        </w:rPr>
        <w:fldChar w:fldCharType="separate"/>
      </w:r>
      <w:r>
        <w:rPr>
          <w:rFonts w:hint="eastAsia" w:ascii="宋体" w:hAnsi="宋体" w:eastAsia="宋体" w:cs="宋体"/>
          <w:b/>
          <w:color w:val="auto"/>
          <w:sz w:val="24"/>
          <w:szCs w:val="24"/>
          <w:highlight w:val="none"/>
        </w:rPr>
        <w:t>42</w:t>
      </w:r>
      <w:r>
        <w:rPr>
          <w:rFonts w:hint="eastAsia" w:ascii="宋体" w:hAnsi="宋体" w:eastAsia="宋体" w:cs="宋体"/>
          <w:b/>
          <w:color w:val="auto"/>
          <w:sz w:val="24"/>
          <w:szCs w:val="24"/>
          <w:highlight w:val="none"/>
        </w:rPr>
        <w:fldChar w:fldCharType="end"/>
      </w:r>
      <w:r>
        <w:rPr>
          <w:rFonts w:hint="eastAsia" w:ascii="宋体" w:hAnsi="宋体" w:eastAsia="宋体" w:cs="宋体"/>
          <w:b/>
          <w:color w:val="auto"/>
          <w:sz w:val="24"/>
          <w:szCs w:val="24"/>
          <w:highlight w:val="none"/>
        </w:rPr>
        <w:fldChar w:fldCharType="end"/>
      </w:r>
    </w:p>
    <w:p w14:paraId="0B1C2AD9">
      <w:pPr>
        <w:pStyle w:val="31"/>
        <w:keepNext w:val="0"/>
        <w:keepLines w:val="0"/>
        <w:pageBreakBefore w:val="0"/>
        <w:tabs>
          <w:tab w:val="right" w:leader="dot" w:pos="9638"/>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_Toc18796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40"/>
          <w:highlight w:val="none"/>
        </w:rPr>
        <w:t>第一部分 合同书</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_Toc18796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45</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0F415DAA">
      <w:pPr>
        <w:pStyle w:val="31"/>
        <w:keepNext w:val="0"/>
        <w:keepLines w:val="0"/>
        <w:pageBreakBefore w:val="0"/>
        <w:tabs>
          <w:tab w:val="right" w:leader="dot" w:pos="9638"/>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_Toc31303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40"/>
          <w:highlight w:val="none"/>
        </w:rPr>
        <w:t>第二部分 合同一般条款</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_Toc31303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49</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725005F1">
      <w:pPr>
        <w:pStyle w:val="31"/>
        <w:keepNext w:val="0"/>
        <w:keepLines w:val="0"/>
        <w:pageBreakBefore w:val="0"/>
        <w:tabs>
          <w:tab w:val="right" w:leader="dot" w:pos="9638"/>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_Toc31629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40"/>
          <w:highlight w:val="none"/>
        </w:rPr>
        <w:t>第三部分 合同专用条款</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_Toc31629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54</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4F51AD8D">
      <w:pPr>
        <w:pStyle w:val="30"/>
        <w:keepNext w:val="0"/>
        <w:keepLines w:val="0"/>
        <w:pageBreakBefore w:val="0"/>
        <w:tabs>
          <w:tab w:val="right" w:leader="dot" w:pos="9638"/>
        </w:tabs>
        <w:kinsoku/>
        <w:wordWrap/>
        <w:overflowPunct/>
        <w:topLinePunct w:val="0"/>
        <w:autoSpaceDE/>
        <w:autoSpaceDN/>
        <w:bidi w:val="0"/>
        <w:adjustRightInd/>
        <w:snapToGrid/>
        <w:spacing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fldChar w:fldCharType="begin"/>
      </w:r>
      <w:r>
        <w:rPr>
          <w:rFonts w:hint="eastAsia" w:ascii="宋体" w:hAnsi="宋体" w:eastAsia="宋体" w:cs="宋体"/>
          <w:b/>
          <w:color w:val="auto"/>
          <w:sz w:val="24"/>
          <w:szCs w:val="24"/>
          <w:highlight w:val="none"/>
        </w:rPr>
        <w:instrText xml:space="preserve"> HYPERLINK \l _Toc27241 </w:instrText>
      </w:r>
      <w:r>
        <w:rPr>
          <w:rFonts w:hint="eastAsia" w:ascii="宋体" w:hAnsi="宋体" w:eastAsia="宋体" w:cs="宋体"/>
          <w:b/>
          <w:color w:val="auto"/>
          <w:sz w:val="24"/>
          <w:szCs w:val="24"/>
          <w:highlight w:val="none"/>
        </w:rPr>
        <w:fldChar w:fldCharType="separate"/>
      </w:r>
      <w:r>
        <w:rPr>
          <w:rFonts w:hint="eastAsia" w:ascii="宋体" w:hAnsi="宋体" w:eastAsia="宋体" w:cs="宋体"/>
          <w:b/>
          <w:color w:val="auto"/>
          <w:sz w:val="24"/>
          <w:szCs w:val="24"/>
          <w:highlight w:val="none"/>
        </w:rPr>
        <w:t>第六章 投标文件格式</w:t>
      </w:r>
      <w:r>
        <w:rPr>
          <w:rFonts w:hint="eastAsia" w:ascii="宋体" w:hAnsi="宋体" w:eastAsia="宋体" w:cs="宋体"/>
          <w:b/>
          <w:color w:val="auto"/>
          <w:sz w:val="24"/>
          <w:szCs w:val="24"/>
          <w:highlight w:val="none"/>
        </w:rPr>
        <w:tab/>
      </w:r>
      <w:r>
        <w:rPr>
          <w:rFonts w:hint="eastAsia" w:ascii="宋体" w:hAnsi="宋体" w:eastAsia="宋体" w:cs="宋体"/>
          <w:b/>
          <w:color w:val="auto"/>
          <w:sz w:val="24"/>
          <w:szCs w:val="24"/>
          <w:highlight w:val="none"/>
        </w:rPr>
        <w:fldChar w:fldCharType="begin"/>
      </w:r>
      <w:r>
        <w:rPr>
          <w:rFonts w:hint="eastAsia" w:ascii="宋体" w:hAnsi="宋体" w:eastAsia="宋体" w:cs="宋体"/>
          <w:b/>
          <w:color w:val="auto"/>
          <w:sz w:val="24"/>
          <w:szCs w:val="24"/>
          <w:highlight w:val="none"/>
        </w:rPr>
        <w:instrText xml:space="preserve"> PAGEREF _Toc27241 \h </w:instrText>
      </w:r>
      <w:r>
        <w:rPr>
          <w:rFonts w:hint="eastAsia" w:ascii="宋体" w:hAnsi="宋体" w:eastAsia="宋体" w:cs="宋体"/>
          <w:b/>
          <w:color w:val="auto"/>
          <w:sz w:val="24"/>
          <w:szCs w:val="24"/>
          <w:highlight w:val="none"/>
        </w:rPr>
        <w:fldChar w:fldCharType="separate"/>
      </w:r>
      <w:r>
        <w:rPr>
          <w:rFonts w:hint="eastAsia" w:ascii="宋体" w:hAnsi="宋体" w:eastAsia="宋体" w:cs="宋体"/>
          <w:b/>
          <w:color w:val="auto"/>
          <w:sz w:val="24"/>
          <w:szCs w:val="24"/>
          <w:highlight w:val="none"/>
        </w:rPr>
        <w:t>57</w:t>
      </w:r>
      <w:r>
        <w:rPr>
          <w:rFonts w:hint="eastAsia" w:ascii="宋体" w:hAnsi="宋体" w:eastAsia="宋体" w:cs="宋体"/>
          <w:b/>
          <w:color w:val="auto"/>
          <w:sz w:val="24"/>
          <w:szCs w:val="24"/>
          <w:highlight w:val="none"/>
        </w:rPr>
        <w:fldChar w:fldCharType="end"/>
      </w:r>
      <w:r>
        <w:rPr>
          <w:rFonts w:hint="eastAsia" w:ascii="宋体" w:hAnsi="宋体" w:eastAsia="宋体" w:cs="宋体"/>
          <w:b/>
          <w:color w:val="auto"/>
          <w:sz w:val="24"/>
          <w:szCs w:val="24"/>
          <w:highlight w:val="none"/>
        </w:rPr>
        <w:fldChar w:fldCharType="end"/>
      </w:r>
    </w:p>
    <w:p w14:paraId="4904EE3D">
      <w:pPr>
        <w:pStyle w:val="31"/>
        <w:keepNext w:val="0"/>
        <w:keepLines w:val="0"/>
        <w:pageBreakBefore w:val="0"/>
        <w:tabs>
          <w:tab w:val="right" w:leader="dot" w:pos="9638"/>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_Toc31546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sz w:val="24"/>
          <w:szCs w:val="40"/>
          <w:highlight w:val="none"/>
        </w:rPr>
        <w:t>第一节 投标文件外层包装封面</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_Toc31546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58</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750EBE6C">
      <w:pPr>
        <w:pStyle w:val="31"/>
        <w:keepNext w:val="0"/>
        <w:keepLines w:val="0"/>
        <w:pageBreakBefore w:val="0"/>
        <w:tabs>
          <w:tab w:val="right" w:leader="dot" w:pos="9638"/>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_Toc20555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sz w:val="24"/>
          <w:szCs w:val="40"/>
          <w:highlight w:val="none"/>
        </w:rPr>
        <w:t>第二节 资格证明文件格式</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_Toc20555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59</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2951623A">
      <w:pPr>
        <w:pStyle w:val="31"/>
        <w:keepNext w:val="0"/>
        <w:keepLines w:val="0"/>
        <w:pageBreakBefore w:val="0"/>
        <w:tabs>
          <w:tab w:val="right" w:leader="dot" w:pos="9638"/>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_Toc7037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sz w:val="24"/>
          <w:szCs w:val="40"/>
          <w:highlight w:val="none"/>
        </w:rPr>
        <w:t>第三节 商务文件格式</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_Toc7037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69</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64C02001">
      <w:pPr>
        <w:pStyle w:val="31"/>
        <w:keepNext w:val="0"/>
        <w:keepLines w:val="0"/>
        <w:pageBreakBefore w:val="0"/>
        <w:tabs>
          <w:tab w:val="right" w:leader="dot" w:pos="9638"/>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_Toc30696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sz w:val="24"/>
          <w:szCs w:val="40"/>
          <w:highlight w:val="none"/>
        </w:rPr>
        <w:t>第四节 技术文件格式</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_Toc30696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80</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230E595E">
      <w:pPr>
        <w:pStyle w:val="31"/>
        <w:keepNext w:val="0"/>
        <w:keepLines w:val="0"/>
        <w:pageBreakBefore w:val="0"/>
        <w:tabs>
          <w:tab w:val="right" w:leader="dot" w:pos="9638"/>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_Toc16610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sz w:val="24"/>
          <w:szCs w:val="40"/>
          <w:highlight w:val="none"/>
        </w:rPr>
        <w:t>第五节 报价文件格式</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_Toc16610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87</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7C0E6D77">
      <w:pPr>
        <w:pStyle w:val="31"/>
        <w:keepNext w:val="0"/>
        <w:keepLines w:val="0"/>
        <w:pageBreakBefore w:val="0"/>
        <w:tabs>
          <w:tab w:val="right" w:leader="dot" w:pos="9638"/>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_Toc27494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sz w:val="24"/>
          <w:szCs w:val="40"/>
          <w:highlight w:val="none"/>
        </w:rPr>
        <w:t>第六节 其他文书、文件格式</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_Toc27494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92</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1EE1D3B8">
      <w:pPr>
        <w:pStyle w:val="30"/>
        <w:keepNext w:val="0"/>
        <w:keepLines w:val="0"/>
        <w:pageBreakBefore w:val="0"/>
        <w:tabs>
          <w:tab w:val="right" w:leader="dot" w:pos="9638"/>
        </w:tabs>
        <w:kinsoku/>
        <w:wordWrap/>
        <w:overflowPunct/>
        <w:topLinePunct w:val="0"/>
        <w:autoSpaceDE/>
        <w:autoSpaceDN/>
        <w:bidi w:val="0"/>
        <w:adjustRightInd/>
        <w:snapToGrid/>
        <w:spacing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fldChar w:fldCharType="begin"/>
      </w:r>
      <w:r>
        <w:rPr>
          <w:rFonts w:hint="eastAsia" w:ascii="宋体" w:hAnsi="宋体" w:eastAsia="宋体" w:cs="宋体"/>
          <w:b/>
          <w:color w:val="auto"/>
          <w:sz w:val="24"/>
          <w:szCs w:val="24"/>
          <w:highlight w:val="none"/>
        </w:rPr>
        <w:instrText xml:space="preserve"> HYPERLINK \l _Toc11573 </w:instrText>
      </w:r>
      <w:r>
        <w:rPr>
          <w:rFonts w:hint="eastAsia" w:ascii="宋体" w:hAnsi="宋体" w:eastAsia="宋体" w:cs="宋体"/>
          <w:b/>
          <w:color w:val="auto"/>
          <w:sz w:val="24"/>
          <w:szCs w:val="24"/>
          <w:highlight w:val="none"/>
        </w:rPr>
        <w:fldChar w:fldCharType="separate"/>
      </w:r>
      <w:r>
        <w:rPr>
          <w:rFonts w:hint="eastAsia" w:ascii="宋体" w:hAnsi="宋体" w:eastAsia="宋体" w:cs="宋体"/>
          <w:b/>
          <w:color w:val="auto"/>
          <w:sz w:val="24"/>
          <w:szCs w:val="24"/>
          <w:highlight w:val="none"/>
        </w:rPr>
        <w:t>第七章 质疑、投诉证明材料格式</w:t>
      </w:r>
      <w:r>
        <w:rPr>
          <w:rFonts w:hint="eastAsia" w:ascii="宋体" w:hAnsi="宋体" w:eastAsia="宋体" w:cs="宋体"/>
          <w:b/>
          <w:color w:val="auto"/>
          <w:sz w:val="24"/>
          <w:szCs w:val="24"/>
          <w:highlight w:val="none"/>
        </w:rPr>
        <w:tab/>
      </w:r>
      <w:r>
        <w:rPr>
          <w:rFonts w:hint="eastAsia" w:ascii="宋体" w:hAnsi="宋体" w:eastAsia="宋体" w:cs="宋体"/>
          <w:b/>
          <w:color w:val="auto"/>
          <w:sz w:val="24"/>
          <w:szCs w:val="24"/>
          <w:highlight w:val="none"/>
        </w:rPr>
        <w:fldChar w:fldCharType="begin"/>
      </w:r>
      <w:r>
        <w:rPr>
          <w:rFonts w:hint="eastAsia" w:ascii="宋体" w:hAnsi="宋体" w:eastAsia="宋体" w:cs="宋体"/>
          <w:b/>
          <w:color w:val="auto"/>
          <w:sz w:val="24"/>
          <w:szCs w:val="24"/>
          <w:highlight w:val="none"/>
        </w:rPr>
        <w:instrText xml:space="preserve"> PAGEREF _Toc11573 \h </w:instrText>
      </w:r>
      <w:r>
        <w:rPr>
          <w:rFonts w:hint="eastAsia" w:ascii="宋体" w:hAnsi="宋体" w:eastAsia="宋体" w:cs="宋体"/>
          <w:b/>
          <w:color w:val="auto"/>
          <w:sz w:val="24"/>
          <w:szCs w:val="24"/>
          <w:highlight w:val="none"/>
        </w:rPr>
        <w:fldChar w:fldCharType="separate"/>
      </w:r>
      <w:r>
        <w:rPr>
          <w:rFonts w:hint="eastAsia" w:ascii="宋体" w:hAnsi="宋体" w:eastAsia="宋体" w:cs="宋体"/>
          <w:b/>
          <w:color w:val="auto"/>
          <w:sz w:val="24"/>
          <w:szCs w:val="24"/>
          <w:highlight w:val="none"/>
        </w:rPr>
        <w:t>94</w:t>
      </w:r>
      <w:r>
        <w:rPr>
          <w:rFonts w:hint="eastAsia" w:ascii="宋体" w:hAnsi="宋体" w:eastAsia="宋体" w:cs="宋体"/>
          <w:b/>
          <w:color w:val="auto"/>
          <w:sz w:val="24"/>
          <w:szCs w:val="24"/>
          <w:highlight w:val="none"/>
        </w:rPr>
        <w:fldChar w:fldCharType="end"/>
      </w:r>
      <w:r>
        <w:rPr>
          <w:rFonts w:hint="eastAsia" w:ascii="宋体" w:hAnsi="宋体" w:eastAsia="宋体" w:cs="宋体"/>
          <w:b/>
          <w:color w:val="auto"/>
          <w:sz w:val="24"/>
          <w:szCs w:val="24"/>
          <w:highlight w:val="none"/>
        </w:rPr>
        <w:fldChar w:fldCharType="end"/>
      </w:r>
    </w:p>
    <w:p w14:paraId="58AA3409">
      <w:pPr>
        <w:pStyle w:val="31"/>
        <w:keepNext w:val="0"/>
        <w:keepLines w:val="0"/>
        <w:pageBreakBefore w:val="0"/>
        <w:tabs>
          <w:tab w:val="right" w:leader="dot" w:pos="9638"/>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_Toc4880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val="0"/>
          <w:color w:val="auto"/>
          <w:sz w:val="24"/>
          <w:szCs w:val="24"/>
          <w:highlight w:val="none"/>
        </w:rPr>
        <w:t>第一节 质疑函（格式）</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_Toc4880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95</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794CB1E1">
      <w:pPr>
        <w:pStyle w:val="31"/>
        <w:keepNext w:val="0"/>
        <w:keepLines w:val="0"/>
        <w:pageBreakBefore w:val="0"/>
        <w:tabs>
          <w:tab w:val="right" w:leader="dot" w:pos="9638"/>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_Toc19849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val="0"/>
          <w:color w:val="auto"/>
          <w:sz w:val="24"/>
          <w:szCs w:val="24"/>
          <w:highlight w:val="none"/>
        </w:rPr>
        <w:t>第二节 投诉书（格式）</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_Toc19849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97</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4E95E3E8">
      <w:pPr>
        <w:pStyle w:val="11"/>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highlight w:val="none"/>
        </w:rPr>
      </w:pPr>
      <w:r>
        <w:rPr>
          <w:rFonts w:hint="eastAsia" w:ascii="宋体" w:hAnsi="宋体" w:eastAsia="宋体" w:cs="宋体"/>
          <w:b/>
          <w:color w:val="auto"/>
          <w:sz w:val="28"/>
          <w:szCs w:val="24"/>
          <w:highlight w:val="none"/>
        </w:rPr>
        <w:fldChar w:fldCharType="end"/>
      </w:r>
    </w:p>
    <w:p w14:paraId="26FC8364">
      <w:pPr>
        <w:pStyle w:val="11"/>
        <w:jc w:val="center"/>
        <w:rPr>
          <w:rFonts w:hint="eastAsia" w:ascii="宋体" w:hAnsi="宋体" w:eastAsia="宋体" w:cs="宋体"/>
          <w:color w:val="auto"/>
          <w:highlight w:val="none"/>
        </w:rPr>
      </w:pPr>
    </w:p>
    <w:p w14:paraId="1401374F">
      <w:pPr>
        <w:pStyle w:val="11"/>
        <w:jc w:val="center"/>
        <w:outlineLvl w:val="0"/>
        <w:rPr>
          <w:rFonts w:hint="eastAsia" w:ascii="宋体" w:hAnsi="宋体" w:eastAsia="宋体" w:cs="宋体"/>
          <w:b/>
          <w:color w:val="auto"/>
          <w:sz w:val="36"/>
          <w:szCs w:val="36"/>
          <w:highlight w:val="none"/>
        </w:rPr>
      </w:pPr>
      <w:r>
        <w:rPr>
          <w:rFonts w:hint="eastAsia" w:ascii="宋体" w:hAnsi="宋体" w:eastAsia="宋体" w:cs="宋体"/>
          <w:color w:val="auto"/>
          <w:highlight w:val="none"/>
        </w:rPr>
        <w:tab/>
      </w:r>
      <w:bookmarkStart w:id="5" w:name="_Toc10088"/>
      <w:bookmarkStart w:id="6" w:name="_Toc532545041"/>
      <w:r>
        <w:rPr>
          <w:rFonts w:hint="eastAsia" w:ascii="宋体" w:hAnsi="宋体" w:eastAsia="宋体" w:cs="宋体"/>
          <w:b/>
          <w:color w:val="auto"/>
          <w:sz w:val="36"/>
          <w:highlight w:val="none"/>
        </w:rPr>
        <w:t>第一章  招标公告</w:t>
      </w:r>
      <w:bookmarkEnd w:id="5"/>
      <w:bookmarkEnd w:id="6"/>
    </w:p>
    <w:p w14:paraId="5C2A791C">
      <w:pPr>
        <w:pStyle w:val="11"/>
        <w:jc w:val="center"/>
        <w:outlineLvl w:val="1"/>
        <w:rPr>
          <w:rFonts w:hint="eastAsia" w:ascii="宋体" w:hAnsi="宋体" w:eastAsia="宋体" w:cs="宋体"/>
          <w:b/>
          <w:color w:val="auto"/>
          <w:sz w:val="30"/>
          <w:szCs w:val="30"/>
          <w:highlight w:val="none"/>
        </w:rPr>
      </w:pPr>
      <w:bookmarkStart w:id="7" w:name="_Toc13897"/>
      <w:r>
        <w:rPr>
          <w:rFonts w:hint="eastAsia" w:ascii="宋体" w:hAnsi="宋体" w:eastAsia="宋体" w:cs="宋体"/>
          <w:b/>
          <w:color w:val="auto"/>
          <w:sz w:val="30"/>
          <w:szCs w:val="30"/>
          <w:highlight w:val="none"/>
        </w:rPr>
        <w:t>公开招标公告</w:t>
      </w:r>
      <w:bookmarkEnd w:id="7"/>
    </w:p>
    <w:tbl>
      <w:tblPr>
        <w:tblStyle w:val="19"/>
        <w:tblW w:w="96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2"/>
      </w:tblGrid>
      <w:tr w14:paraId="55605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52" w:type="dxa"/>
            <w:vAlign w:val="top"/>
          </w:tcPr>
          <w:p w14:paraId="00B155FB">
            <w:pPr>
              <w:keepNext w:val="0"/>
              <w:keepLines w:val="0"/>
              <w:pageBreakBefore w:val="0"/>
              <w:kinsoku/>
              <w:wordWrap/>
              <w:overflowPunct/>
              <w:topLinePunct w:val="0"/>
              <w:autoSpaceDE/>
              <w:autoSpaceDN/>
              <w:bidi w:val="0"/>
              <w:adjustRightInd/>
              <w:spacing w:line="400" w:lineRule="exact"/>
              <w:textAlignment w:val="auto"/>
              <w:rPr>
                <w:rFonts w:hint="eastAsia" w:ascii="宋体" w:hAnsi="宋体" w:eastAsia="宋体" w:cs="宋体"/>
                <w:color w:val="auto"/>
                <w:sz w:val="22"/>
                <w:szCs w:val="22"/>
                <w:highlight w:val="none"/>
              </w:rPr>
            </w:pPr>
            <w:bookmarkStart w:id="8" w:name="_Toc35393621"/>
            <w:bookmarkStart w:id="9" w:name="_Toc28359079"/>
            <w:bookmarkStart w:id="10" w:name="_Toc35393790"/>
            <w:bookmarkStart w:id="11" w:name="_Toc28359002"/>
            <w:bookmarkStart w:id="12" w:name="_Hlk24379207"/>
            <w:r>
              <w:rPr>
                <w:rFonts w:hint="eastAsia" w:ascii="宋体" w:hAnsi="宋体" w:eastAsia="宋体" w:cs="宋体"/>
                <w:color w:val="auto"/>
                <w:sz w:val="22"/>
                <w:szCs w:val="22"/>
                <w:highlight w:val="none"/>
              </w:rPr>
              <w:t>项目概况</w:t>
            </w:r>
          </w:p>
          <w:p w14:paraId="17336167">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b/>
                <w:bCs/>
                <w:color w:val="auto"/>
                <w:sz w:val="24"/>
                <w:highlight w:val="none"/>
                <w:vertAlign w:val="baseline"/>
              </w:rPr>
            </w:pP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eastAsia="zh-CN"/>
              </w:rPr>
              <w:t>2025年南宁市文化服务活动项目</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eastAsia="zh-CN"/>
              </w:rPr>
              <w:t>招标项目的潜在投标人应在</w:t>
            </w:r>
            <w:r>
              <w:rPr>
                <w:rFonts w:hint="eastAsia" w:ascii="宋体" w:hAnsi="宋体" w:cs="宋体"/>
                <w:color w:val="auto"/>
                <w:szCs w:val="21"/>
                <w:highlight w:val="none"/>
                <w:u w:val="single"/>
                <w:lang w:eastAsia="zh-CN"/>
              </w:rPr>
              <w:t>广西政府采购云平台</w:t>
            </w:r>
            <w:r>
              <w:rPr>
                <w:rFonts w:hint="eastAsia" w:ascii="宋体" w:hAnsi="宋体" w:eastAsia="宋体" w:cs="宋体"/>
                <w:color w:val="auto"/>
                <w:szCs w:val="21"/>
                <w:highlight w:val="none"/>
                <w:u w:val="single"/>
                <w:lang w:eastAsia="zh-CN"/>
              </w:rPr>
              <w:t>（</w:t>
            </w:r>
            <w:r>
              <w:rPr>
                <w:rFonts w:hint="eastAsia" w:ascii="宋体" w:hAnsi="宋体" w:cs="宋体"/>
                <w:color w:val="auto"/>
                <w:szCs w:val="21"/>
                <w:highlight w:val="none"/>
                <w:u w:val="single"/>
                <w:lang w:eastAsia="zh-CN"/>
              </w:rPr>
              <w:t>https：//www.gcy.zfcg.gxzf.gov.cn</w:t>
            </w:r>
            <w:r>
              <w:rPr>
                <w:rFonts w:hint="eastAsia" w:ascii="宋体" w:hAnsi="宋体" w:eastAsia="宋体" w:cs="宋体"/>
                <w:color w:val="auto"/>
                <w:szCs w:val="21"/>
                <w:highlight w:val="none"/>
                <w:u w:val="single"/>
                <w:lang w:eastAsia="zh-CN"/>
              </w:rPr>
              <w:t>）获取（下载）招标文件，并于</w:t>
            </w:r>
            <w:r>
              <w:rPr>
                <w:rFonts w:hint="eastAsia" w:ascii="宋体" w:hAnsi="宋体" w:eastAsia="宋体" w:cs="宋体"/>
                <w:color w:val="0000FF"/>
                <w:szCs w:val="21"/>
                <w:highlight w:val="none"/>
                <w:u w:val="single"/>
                <w:lang w:eastAsia="zh-CN"/>
              </w:rPr>
              <w:t>202</w:t>
            </w:r>
            <w:r>
              <w:rPr>
                <w:rFonts w:hint="eastAsia" w:ascii="宋体" w:hAnsi="宋体" w:cs="宋体"/>
                <w:color w:val="0000FF"/>
                <w:szCs w:val="21"/>
                <w:highlight w:val="none"/>
                <w:u w:val="single"/>
                <w:lang w:val="en-US" w:eastAsia="zh-CN"/>
              </w:rPr>
              <w:t>5</w:t>
            </w:r>
            <w:r>
              <w:rPr>
                <w:rFonts w:hint="eastAsia" w:ascii="宋体" w:hAnsi="宋体" w:eastAsia="宋体" w:cs="宋体"/>
                <w:color w:val="0000FF"/>
                <w:szCs w:val="21"/>
                <w:highlight w:val="none"/>
                <w:u w:val="single"/>
                <w:lang w:eastAsia="zh-CN"/>
              </w:rPr>
              <w:t>年</w:t>
            </w:r>
            <w:r>
              <w:rPr>
                <w:rFonts w:hint="eastAsia" w:ascii="宋体" w:hAnsi="宋体" w:cs="宋体"/>
                <w:color w:val="0000FF"/>
                <w:szCs w:val="21"/>
                <w:highlight w:val="none"/>
                <w:u w:val="single"/>
                <w:lang w:val="en-US" w:eastAsia="zh-CN"/>
              </w:rPr>
              <w:t>6</w:t>
            </w:r>
            <w:r>
              <w:rPr>
                <w:rFonts w:hint="eastAsia" w:ascii="宋体" w:hAnsi="宋体" w:eastAsia="宋体" w:cs="宋体"/>
                <w:color w:val="0000FF"/>
                <w:szCs w:val="21"/>
                <w:highlight w:val="none"/>
                <w:u w:val="single"/>
                <w:lang w:eastAsia="zh-CN"/>
              </w:rPr>
              <w:t>月</w:t>
            </w:r>
            <w:r>
              <w:rPr>
                <w:rFonts w:hint="eastAsia" w:ascii="宋体" w:hAnsi="宋体" w:cs="宋体"/>
                <w:color w:val="0000FF"/>
                <w:szCs w:val="21"/>
                <w:highlight w:val="none"/>
                <w:u w:val="single"/>
                <w:lang w:val="en-US" w:eastAsia="zh-CN"/>
              </w:rPr>
              <w:t>30</w:t>
            </w:r>
            <w:r>
              <w:rPr>
                <w:rFonts w:hint="eastAsia" w:ascii="宋体" w:hAnsi="宋体" w:eastAsia="宋体" w:cs="宋体"/>
                <w:color w:val="0000FF"/>
                <w:szCs w:val="21"/>
                <w:highlight w:val="none"/>
                <w:u w:val="single"/>
                <w:lang w:eastAsia="zh-CN"/>
              </w:rPr>
              <w:t>日</w:t>
            </w:r>
            <w:r>
              <w:rPr>
                <w:rFonts w:hint="eastAsia" w:ascii="宋体" w:hAnsi="宋体" w:cs="宋体"/>
                <w:color w:val="0000FF"/>
                <w:szCs w:val="21"/>
                <w:highlight w:val="none"/>
                <w:u w:val="single"/>
                <w:lang w:val="en-US" w:eastAsia="zh-CN"/>
              </w:rPr>
              <w:t>09</w:t>
            </w:r>
            <w:r>
              <w:rPr>
                <w:rFonts w:hint="eastAsia" w:ascii="宋体" w:hAnsi="宋体" w:eastAsia="宋体" w:cs="宋体"/>
                <w:color w:val="0000FF"/>
                <w:szCs w:val="21"/>
                <w:highlight w:val="none"/>
                <w:u w:val="single"/>
              </w:rPr>
              <w:t>点</w:t>
            </w:r>
            <w:r>
              <w:rPr>
                <w:rFonts w:hint="eastAsia" w:ascii="宋体" w:hAnsi="宋体" w:cs="宋体"/>
                <w:color w:val="0000FF"/>
                <w:szCs w:val="21"/>
                <w:highlight w:val="none"/>
                <w:u w:val="single"/>
                <w:lang w:val="en-US" w:eastAsia="zh-CN"/>
              </w:rPr>
              <w:t>3</w:t>
            </w:r>
            <w:r>
              <w:rPr>
                <w:rFonts w:hint="eastAsia" w:ascii="宋体" w:hAnsi="宋体" w:eastAsia="宋体" w:cs="宋体"/>
                <w:color w:val="0000FF"/>
                <w:szCs w:val="21"/>
                <w:highlight w:val="none"/>
                <w:u w:val="single"/>
              </w:rPr>
              <w:t>0分</w:t>
            </w:r>
            <w:r>
              <w:rPr>
                <w:rFonts w:hint="eastAsia" w:ascii="宋体" w:hAnsi="宋体" w:eastAsia="宋体" w:cs="宋体"/>
                <w:color w:val="auto"/>
                <w:szCs w:val="21"/>
                <w:highlight w:val="none"/>
              </w:rPr>
              <w:t>（北京时间）前递交（上传）投标文件。</w:t>
            </w:r>
          </w:p>
        </w:tc>
      </w:tr>
    </w:tbl>
    <w:p w14:paraId="7C3079A1">
      <w:pPr>
        <w:spacing w:line="360" w:lineRule="auto"/>
        <w:outlineLvl w:val="1"/>
        <w:rPr>
          <w:rFonts w:hint="eastAsia" w:ascii="宋体" w:hAnsi="宋体" w:eastAsia="宋体" w:cs="宋体"/>
          <w:b/>
          <w:bCs/>
          <w:color w:val="auto"/>
          <w:sz w:val="24"/>
          <w:highlight w:val="none"/>
        </w:rPr>
      </w:pPr>
      <w:bookmarkStart w:id="13" w:name="_Toc21595"/>
      <w:r>
        <w:rPr>
          <w:rFonts w:hint="eastAsia" w:ascii="宋体" w:hAnsi="宋体" w:eastAsia="宋体" w:cs="宋体"/>
          <w:b/>
          <w:bCs/>
          <w:color w:val="auto"/>
          <w:sz w:val="24"/>
          <w:highlight w:val="none"/>
        </w:rPr>
        <w:t>一、项目基本情况</w:t>
      </w:r>
      <w:bookmarkEnd w:id="8"/>
      <w:bookmarkEnd w:id="9"/>
      <w:bookmarkEnd w:id="10"/>
      <w:bookmarkEnd w:id="11"/>
      <w:bookmarkEnd w:id="13"/>
    </w:p>
    <w:p w14:paraId="2EF3B99F">
      <w:pPr>
        <w:spacing w:line="360" w:lineRule="auto"/>
        <w:ind w:firstLine="420" w:firstLineChars="200"/>
        <w:rPr>
          <w:rFonts w:hint="eastAsia" w:ascii="宋体" w:hAnsi="宋体" w:eastAsia="宋体" w:cs="宋体"/>
          <w:color w:val="auto"/>
          <w:szCs w:val="21"/>
          <w:highlight w:val="none"/>
          <w:lang w:val="en-US"/>
        </w:rPr>
      </w:pPr>
      <w:r>
        <w:rPr>
          <w:rFonts w:hint="eastAsia" w:ascii="宋体" w:hAnsi="宋体" w:eastAsia="宋体" w:cs="宋体"/>
          <w:color w:val="auto"/>
          <w:szCs w:val="21"/>
          <w:highlight w:val="none"/>
        </w:rPr>
        <w:t>项目编号：</w:t>
      </w:r>
      <w:r>
        <w:rPr>
          <w:rFonts w:hint="eastAsia" w:ascii="宋体" w:hAnsi="宋体" w:cs="宋体"/>
          <w:color w:val="auto"/>
          <w:szCs w:val="21"/>
          <w:highlight w:val="none"/>
          <w:u w:val="single"/>
          <w:lang w:val="en-US" w:eastAsia="zh-CN"/>
        </w:rPr>
        <w:t>NNZC2025-G3-990432-GXHM</w:t>
      </w:r>
    </w:p>
    <w:p w14:paraId="64936120">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项目名称：</w:t>
      </w:r>
      <w:r>
        <w:rPr>
          <w:rFonts w:hint="eastAsia" w:ascii="宋体" w:hAnsi="宋体" w:cs="宋体"/>
          <w:color w:val="auto"/>
          <w:szCs w:val="21"/>
          <w:highlight w:val="none"/>
          <w:lang w:eastAsia="zh-CN"/>
        </w:rPr>
        <w:t>2025年南宁市文化服务活动项目</w:t>
      </w:r>
    </w:p>
    <w:bookmarkEnd w:id="12"/>
    <w:p w14:paraId="5DF6CC52">
      <w:pP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预算金额：</w:t>
      </w:r>
      <w:r>
        <w:rPr>
          <w:rFonts w:hint="eastAsia" w:ascii="宋体" w:hAnsi="宋体" w:cs="宋体"/>
          <w:color w:val="auto"/>
          <w:szCs w:val="21"/>
          <w:highlight w:val="none"/>
          <w:u w:val="single"/>
          <w:lang w:val="en-US" w:eastAsia="zh-CN"/>
        </w:rPr>
        <w:t>550000.00</w:t>
      </w:r>
      <w:r>
        <w:rPr>
          <w:rFonts w:hint="eastAsia" w:ascii="宋体" w:hAnsi="宋体" w:eastAsia="宋体" w:cs="宋体"/>
          <w:color w:val="auto"/>
          <w:szCs w:val="21"/>
          <w:highlight w:val="none"/>
        </w:rPr>
        <w:t>元</w:t>
      </w:r>
    </w:p>
    <w:p w14:paraId="04EB3BA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采购需求： </w:t>
      </w:r>
    </w:p>
    <w:tbl>
      <w:tblPr>
        <w:tblStyle w:val="18"/>
        <w:tblW w:w="965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9"/>
        <w:gridCol w:w="2946"/>
        <w:gridCol w:w="900"/>
        <w:gridCol w:w="915"/>
        <w:gridCol w:w="4149"/>
      </w:tblGrid>
      <w:tr w14:paraId="557AF3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49" w:type="dxa"/>
            <w:tcBorders>
              <w:top w:val="single" w:color="auto" w:sz="4" w:space="0"/>
              <w:left w:val="single" w:color="auto" w:sz="4" w:space="0"/>
              <w:bottom w:val="single" w:color="auto" w:sz="4" w:space="0"/>
              <w:right w:val="single" w:color="auto" w:sz="4" w:space="0"/>
            </w:tcBorders>
            <w:vAlign w:val="center"/>
          </w:tcPr>
          <w:p w14:paraId="6853AED6">
            <w:pPr>
              <w:snapToGrid w:val="0"/>
              <w:spacing w:line="360" w:lineRule="exact"/>
              <w:jc w:val="center"/>
              <w:rPr>
                <w:rFonts w:ascii="宋体" w:hAnsi="宋体" w:cs="宋体"/>
                <w:color w:val="000000"/>
                <w:szCs w:val="21"/>
                <w:highlight w:val="none"/>
              </w:rPr>
            </w:pPr>
            <w:r>
              <w:rPr>
                <w:rFonts w:hint="eastAsia" w:ascii="宋体" w:hAnsi="宋体" w:cs="宋体"/>
                <w:color w:val="000000"/>
                <w:szCs w:val="21"/>
                <w:highlight w:val="none"/>
              </w:rPr>
              <w:t>序号</w:t>
            </w:r>
          </w:p>
        </w:tc>
        <w:tc>
          <w:tcPr>
            <w:tcW w:w="2946" w:type="dxa"/>
            <w:tcBorders>
              <w:top w:val="single" w:color="auto" w:sz="4" w:space="0"/>
              <w:left w:val="single" w:color="auto" w:sz="4" w:space="0"/>
              <w:bottom w:val="single" w:color="auto" w:sz="4" w:space="0"/>
              <w:right w:val="single" w:color="auto" w:sz="4" w:space="0"/>
            </w:tcBorders>
            <w:vAlign w:val="center"/>
          </w:tcPr>
          <w:p w14:paraId="0AEF2A82">
            <w:pPr>
              <w:snapToGrid w:val="0"/>
              <w:spacing w:line="360" w:lineRule="exact"/>
              <w:jc w:val="center"/>
              <w:rPr>
                <w:rFonts w:ascii="宋体" w:hAnsi="宋体" w:cs="宋体"/>
                <w:color w:val="000000"/>
                <w:szCs w:val="21"/>
                <w:highlight w:val="none"/>
              </w:rPr>
            </w:pPr>
            <w:r>
              <w:rPr>
                <w:rFonts w:hint="eastAsia" w:ascii="宋体" w:hAnsi="宋体" w:cs="宋体"/>
                <w:color w:val="000000"/>
                <w:szCs w:val="21"/>
                <w:highlight w:val="none"/>
              </w:rPr>
              <w:t>标的的名称</w:t>
            </w:r>
          </w:p>
        </w:tc>
        <w:tc>
          <w:tcPr>
            <w:tcW w:w="900" w:type="dxa"/>
            <w:tcBorders>
              <w:top w:val="single" w:color="auto" w:sz="4" w:space="0"/>
              <w:left w:val="single" w:color="auto" w:sz="4" w:space="0"/>
              <w:bottom w:val="single" w:color="auto" w:sz="4" w:space="0"/>
              <w:right w:val="single" w:color="auto" w:sz="4" w:space="0"/>
            </w:tcBorders>
            <w:vAlign w:val="center"/>
          </w:tcPr>
          <w:p w14:paraId="319809C5">
            <w:pPr>
              <w:snapToGrid w:val="0"/>
              <w:spacing w:line="360" w:lineRule="exact"/>
              <w:jc w:val="center"/>
              <w:rPr>
                <w:rFonts w:ascii="宋体" w:hAnsi="宋体" w:cs="宋体"/>
                <w:color w:val="000000"/>
                <w:szCs w:val="21"/>
                <w:highlight w:val="none"/>
              </w:rPr>
            </w:pPr>
            <w:r>
              <w:rPr>
                <w:rFonts w:hint="eastAsia" w:ascii="宋体" w:hAnsi="宋体" w:cs="宋体"/>
                <w:color w:val="000000"/>
                <w:szCs w:val="21"/>
                <w:highlight w:val="none"/>
              </w:rPr>
              <w:t>单位</w:t>
            </w:r>
          </w:p>
        </w:tc>
        <w:tc>
          <w:tcPr>
            <w:tcW w:w="915" w:type="dxa"/>
            <w:tcBorders>
              <w:top w:val="single" w:color="auto" w:sz="4" w:space="0"/>
              <w:left w:val="single" w:color="auto" w:sz="4" w:space="0"/>
              <w:bottom w:val="single" w:color="auto" w:sz="4" w:space="0"/>
              <w:right w:val="single" w:color="auto" w:sz="4" w:space="0"/>
            </w:tcBorders>
            <w:vAlign w:val="center"/>
          </w:tcPr>
          <w:p w14:paraId="35CAEE2D">
            <w:pPr>
              <w:snapToGrid w:val="0"/>
              <w:spacing w:line="360" w:lineRule="exact"/>
              <w:jc w:val="center"/>
              <w:rPr>
                <w:rFonts w:ascii="宋体" w:hAnsi="宋体" w:cs="宋体"/>
                <w:color w:val="000000"/>
                <w:szCs w:val="21"/>
                <w:highlight w:val="none"/>
              </w:rPr>
            </w:pPr>
            <w:r>
              <w:rPr>
                <w:rFonts w:hint="eastAsia" w:ascii="宋体" w:hAnsi="宋体" w:cs="宋体"/>
                <w:color w:val="000000"/>
                <w:szCs w:val="21"/>
                <w:highlight w:val="none"/>
              </w:rPr>
              <w:t>数量</w:t>
            </w:r>
          </w:p>
        </w:tc>
        <w:tc>
          <w:tcPr>
            <w:tcW w:w="4149" w:type="dxa"/>
            <w:tcBorders>
              <w:top w:val="single" w:color="auto" w:sz="4" w:space="0"/>
              <w:left w:val="single" w:color="auto" w:sz="4" w:space="0"/>
              <w:bottom w:val="single" w:color="auto" w:sz="4" w:space="0"/>
              <w:right w:val="single" w:color="auto" w:sz="4" w:space="0"/>
            </w:tcBorders>
            <w:vAlign w:val="center"/>
          </w:tcPr>
          <w:p w14:paraId="60327DF7">
            <w:pPr>
              <w:snapToGrid w:val="0"/>
              <w:spacing w:line="360" w:lineRule="exact"/>
              <w:jc w:val="center"/>
              <w:rPr>
                <w:rFonts w:ascii="宋体" w:hAnsi="宋体" w:cs="宋体"/>
                <w:color w:val="000000"/>
                <w:szCs w:val="21"/>
                <w:highlight w:val="none"/>
              </w:rPr>
            </w:pPr>
            <w:r>
              <w:rPr>
                <w:rFonts w:hint="eastAsia" w:ascii="宋体" w:hAnsi="宋体" w:cs="宋体"/>
                <w:color w:val="000000"/>
                <w:szCs w:val="21"/>
                <w:highlight w:val="none"/>
              </w:rPr>
              <w:t>简要服务要求或者技术需求</w:t>
            </w:r>
          </w:p>
        </w:tc>
      </w:tr>
      <w:tr w14:paraId="644622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49" w:type="dxa"/>
            <w:tcBorders>
              <w:top w:val="single" w:color="auto" w:sz="4" w:space="0"/>
              <w:left w:val="single" w:color="auto" w:sz="4" w:space="0"/>
              <w:bottom w:val="single" w:color="auto" w:sz="4" w:space="0"/>
              <w:right w:val="single" w:color="auto" w:sz="4" w:space="0"/>
            </w:tcBorders>
            <w:vAlign w:val="center"/>
          </w:tcPr>
          <w:p w14:paraId="64B43639">
            <w:pPr>
              <w:snapToGrid w:val="0"/>
              <w:spacing w:line="360" w:lineRule="exact"/>
              <w:jc w:val="center"/>
              <w:rPr>
                <w:rFonts w:ascii="宋体" w:hAnsi="宋体" w:cs="宋体"/>
                <w:color w:val="000000"/>
                <w:szCs w:val="21"/>
                <w:highlight w:val="none"/>
              </w:rPr>
            </w:pPr>
            <w:r>
              <w:rPr>
                <w:rFonts w:hint="eastAsia" w:ascii="宋体" w:hAnsi="宋体" w:cs="宋体"/>
                <w:color w:val="000000"/>
                <w:szCs w:val="21"/>
                <w:highlight w:val="none"/>
              </w:rPr>
              <w:t>1</w:t>
            </w:r>
          </w:p>
        </w:tc>
        <w:tc>
          <w:tcPr>
            <w:tcW w:w="2946" w:type="dxa"/>
            <w:tcBorders>
              <w:top w:val="single" w:color="auto" w:sz="4" w:space="0"/>
              <w:left w:val="single" w:color="auto" w:sz="4" w:space="0"/>
              <w:bottom w:val="single" w:color="auto" w:sz="4" w:space="0"/>
              <w:right w:val="single" w:color="auto" w:sz="4" w:space="0"/>
            </w:tcBorders>
            <w:vAlign w:val="center"/>
          </w:tcPr>
          <w:p w14:paraId="7ECF1EDF">
            <w:pPr>
              <w:snapToGrid w:val="0"/>
              <w:spacing w:line="360" w:lineRule="exact"/>
              <w:jc w:val="center"/>
              <w:rPr>
                <w:rFonts w:hint="eastAsia" w:ascii="宋体" w:hAnsi="宋体" w:eastAsia="宋体" w:cs="宋体"/>
                <w:color w:val="000000"/>
                <w:szCs w:val="21"/>
                <w:highlight w:val="none"/>
                <w:lang w:eastAsia="zh-CN"/>
              </w:rPr>
            </w:pPr>
            <w:r>
              <w:rPr>
                <w:rFonts w:hint="eastAsia" w:ascii="宋体" w:hAnsi="宋体" w:cs="宋体"/>
                <w:color w:val="000000"/>
                <w:szCs w:val="21"/>
                <w:highlight w:val="none"/>
                <w:lang w:eastAsia="zh-CN"/>
              </w:rPr>
              <w:t>2025年南宁市文化服务活动项目</w:t>
            </w:r>
          </w:p>
        </w:tc>
        <w:tc>
          <w:tcPr>
            <w:tcW w:w="900" w:type="dxa"/>
            <w:tcBorders>
              <w:top w:val="single" w:color="auto" w:sz="4" w:space="0"/>
              <w:left w:val="single" w:color="auto" w:sz="4" w:space="0"/>
              <w:bottom w:val="single" w:color="auto" w:sz="4" w:space="0"/>
              <w:right w:val="single" w:color="auto" w:sz="4" w:space="0"/>
            </w:tcBorders>
            <w:vAlign w:val="center"/>
          </w:tcPr>
          <w:p w14:paraId="79E16B7E">
            <w:pPr>
              <w:snapToGrid w:val="0"/>
              <w:spacing w:line="360" w:lineRule="exact"/>
              <w:jc w:val="center"/>
              <w:rPr>
                <w:rFonts w:ascii="宋体" w:hAnsi="宋体" w:cs="宋体"/>
                <w:color w:val="000000"/>
                <w:szCs w:val="21"/>
                <w:highlight w:val="none"/>
              </w:rPr>
            </w:pPr>
            <w:r>
              <w:rPr>
                <w:rFonts w:hint="eastAsia" w:ascii="宋体" w:hAnsi="宋体" w:cs="宋体"/>
                <w:color w:val="000000"/>
                <w:szCs w:val="21"/>
                <w:highlight w:val="none"/>
              </w:rPr>
              <w:t>项</w:t>
            </w:r>
          </w:p>
        </w:tc>
        <w:tc>
          <w:tcPr>
            <w:tcW w:w="915" w:type="dxa"/>
            <w:tcBorders>
              <w:top w:val="single" w:color="auto" w:sz="4" w:space="0"/>
              <w:left w:val="single" w:color="auto" w:sz="4" w:space="0"/>
              <w:bottom w:val="single" w:color="auto" w:sz="4" w:space="0"/>
              <w:right w:val="single" w:color="auto" w:sz="4" w:space="0"/>
            </w:tcBorders>
            <w:vAlign w:val="center"/>
          </w:tcPr>
          <w:p w14:paraId="08896F2C">
            <w:pPr>
              <w:spacing w:line="360" w:lineRule="auto"/>
              <w:jc w:val="center"/>
              <w:rPr>
                <w:rFonts w:ascii="宋体" w:hAnsi="宋体" w:cs="宋体"/>
                <w:color w:val="000000"/>
                <w:szCs w:val="21"/>
                <w:highlight w:val="none"/>
              </w:rPr>
            </w:pPr>
            <w:r>
              <w:rPr>
                <w:rFonts w:hint="eastAsia" w:ascii="宋体" w:hAnsi="宋体" w:cs="Arial"/>
                <w:color w:val="000000"/>
                <w:szCs w:val="21"/>
                <w:highlight w:val="none"/>
              </w:rPr>
              <w:t>1</w:t>
            </w:r>
          </w:p>
        </w:tc>
        <w:tc>
          <w:tcPr>
            <w:tcW w:w="4149" w:type="dxa"/>
            <w:tcBorders>
              <w:top w:val="single" w:color="auto" w:sz="4" w:space="0"/>
              <w:left w:val="single" w:color="auto" w:sz="4" w:space="0"/>
              <w:bottom w:val="single" w:color="auto" w:sz="4" w:space="0"/>
              <w:right w:val="single" w:color="auto" w:sz="4" w:space="0"/>
            </w:tcBorders>
            <w:vAlign w:val="center"/>
          </w:tcPr>
          <w:p w14:paraId="6C64C34A">
            <w:pPr>
              <w:snapToGrid w:val="0"/>
              <w:spacing w:line="360" w:lineRule="exact"/>
              <w:jc w:val="center"/>
              <w:rPr>
                <w:rFonts w:ascii="宋体" w:hAnsi="宋体" w:cs="宋体"/>
                <w:color w:val="000000"/>
                <w:szCs w:val="21"/>
                <w:highlight w:val="none"/>
              </w:rPr>
            </w:pPr>
            <w:r>
              <w:rPr>
                <w:rFonts w:hint="eastAsia" w:ascii="宋体" w:hAnsi="宋体"/>
                <w:szCs w:val="21"/>
                <w:highlight w:val="none"/>
              </w:rPr>
              <w:t>南宁市群众艺术馆拟组织举</w:t>
            </w:r>
            <w:r>
              <w:rPr>
                <w:rFonts w:hint="eastAsia" w:ascii="宋体" w:hAnsi="宋体"/>
                <w:color w:val="000000"/>
                <w:szCs w:val="21"/>
                <w:highlight w:val="none"/>
              </w:rPr>
              <w:t>办</w:t>
            </w:r>
            <w:r>
              <w:rPr>
                <w:rFonts w:hint="eastAsia" w:ascii="宋体" w:hAnsi="宋体" w:cs="宋体"/>
                <w:color w:val="000000"/>
                <w:szCs w:val="21"/>
                <w:highlight w:val="none"/>
              </w:rPr>
              <w:t>“石</w:t>
            </w:r>
            <w:r>
              <w:rPr>
                <w:rFonts w:hint="eastAsia" w:ascii="宋体" w:hAnsi="宋体" w:cs="宋体"/>
                <w:color w:val="auto"/>
                <w:szCs w:val="21"/>
                <w:highlight w:val="none"/>
              </w:rPr>
              <w:t>榴结硕果 和美新时代”——第三届民族地区优秀美术作品交流展</w:t>
            </w:r>
            <w:r>
              <w:rPr>
                <w:rFonts w:hint="eastAsia" w:ascii="宋体" w:hAnsi="宋体"/>
                <w:szCs w:val="21"/>
                <w:highlight w:val="none"/>
              </w:rPr>
              <w:t>活动，计划以广西壮族自治区南宁市为起点，在全国五个民族自治区的城市进行巡回交流展览……，具体详见招标文件</w:t>
            </w:r>
            <w:r>
              <w:rPr>
                <w:rFonts w:hint="eastAsia" w:ascii="宋体" w:hAnsi="宋体" w:cs="宋体"/>
                <w:color w:val="000000"/>
                <w:szCs w:val="21"/>
                <w:highlight w:val="none"/>
              </w:rPr>
              <w:t>。</w:t>
            </w:r>
          </w:p>
        </w:tc>
      </w:tr>
    </w:tbl>
    <w:p w14:paraId="07A46B57">
      <w:pP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合同履行期限：</w:t>
      </w:r>
      <w:r>
        <w:rPr>
          <w:rFonts w:hint="eastAsia" w:ascii="宋体" w:hAnsi="宋体" w:cs="宋体"/>
          <w:color w:val="000000"/>
          <w:szCs w:val="21"/>
          <w:highlight w:val="none"/>
        </w:rPr>
        <w:t>具体详见采购文件“第二章采购需求”商务条款。</w:t>
      </w:r>
    </w:p>
    <w:p w14:paraId="054A0D5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本项目是否接受联合体投标：</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是/</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否。</w:t>
      </w:r>
    </w:p>
    <w:p w14:paraId="7608E9D4">
      <w:pPr>
        <w:spacing w:line="360" w:lineRule="auto"/>
        <w:outlineLvl w:val="1"/>
        <w:rPr>
          <w:rFonts w:hint="eastAsia" w:ascii="宋体" w:hAnsi="宋体" w:eastAsia="宋体" w:cs="宋体"/>
          <w:b/>
          <w:bCs/>
          <w:color w:val="auto"/>
          <w:sz w:val="24"/>
          <w:highlight w:val="none"/>
        </w:rPr>
      </w:pPr>
      <w:bookmarkStart w:id="14" w:name="_Toc19828"/>
      <w:bookmarkStart w:id="15" w:name="_Toc35393622"/>
      <w:bookmarkStart w:id="16" w:name="_Toc28359003"/>
      <w:bookmarkStart w:id="17" w:name="_Toc35393791"/>
      <w:bookmarkStart w:id="18" w:name="_Toc28359080"/>
      <w:r>
        <w:rPr>
          <w:rFonts w:hint="eastAsia" w:ascii="宋体" w:hAnsi="宋体" w:eastAsia="宋体" w:cs="宋体"/>
          <w:b/>
          <w:bCs/>
          <w:color w:val="auto"/>
          <w:sz w:val="24"/>
          <w:highlight w:val="none"/>
        </w:rPr>
        <w:t>二、投标人的资格要求：</w:t>
      </w:r>
      <w:bookmarkEnd w:id="14"/>
      <w:bookmarkEnd w:id="15"/>
      <w:bookmarkEnd w:id="16"/>
      <w:bookmarkEnd w:id="17"/>
      <w:bookmarkEnd w:id="18"/>
    </w:p>
    <w:p w14:paraId="3E51A1C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1.满足《中华人民共和国政府采购法》第二十二条规定；</w:t>
      </w:r>
    </w:p>
    <w:p w14:paraId="14BDAE82">
      <w:pPr>
        <w:spacing w:line="360" w:lineRule="auto"/>
        <w:ind w:firstLine="420" w:firstLineChars="200"/>
        <w:rPr>
          <w:rFonts w:hint="eastAsia" w:ascii="宋体" w:hAnsi="宋体" w:eastAsia="宋体" w:cs="宋体"/>
          <w:color w:val="auto"/>
          <w:szCs w:val="21"/>
          <w:highlight w:val="none"/>
          <w:lang w:eastAsia="zh-CN"/>
        </w:rPr>
      </w:pPr>
      <w:bookmarkStart w:id="19" w:name="_Toc28359081"/>
      <w:bookmarkStart w:id="20" w:name="_Toc28359004"/>
      <w:r>
        <w:rPr>
          <w:rFonts w:hint="eastAsia" w:ascii="宋体" w:hAnsi="宋体" w:eastAsia="宋体" w:cs="宋体"/>
          <w:color w:val="auto"/>
          <w:szCs w:val="21"/>
          <w:highlight w:val="none"/>
        </w:rPr>
        <w:t>2.落实政府采购政策需满足的资格要求：专门面向</w:t>
      </w:r>
      <w:r>
        <w:rPr>
          <w:rFonts w:hint="eastAsia" w:ascii="宋体" w:hAnsi="宋体" w:cs="宋体"/>
          <w:color w:val="auto"/>
          <w:szCs w:val="21"/>
          <w:highlight w:val="none"/>
          <w:lang w:val="en-US" w:eastAsia="zh-CN"/>
        </w:rPr>
        <w:t>小微</w:t>
      </w:r>
      <w:r>
        <w:rPr>
          <w:rFonts w:hint="eastAsia" w:ascii="宋体" w:hAnsi="宋体" w:eastAsia="宋体" w:cs="宋体"/>
          <w:color w:val="auto"/>
          <w:szCs w:val="21"/>
          <w:highlight w:val="none"/>
        </w:rPr>
        <w:t>企业采购的项目（供应商应为小微企业、监狱企业、残疾人福利性单位)</w:t>
      </w:r>
      <w:r>
        <w:rPr>
          <w:rFonts w:hint="eastAsia" w:ascii="宋体" w:hAnsi="宋体" w:eastAsia="宋体" w:cs="宋体"/>
          <w:color w:val="auto"/>
          <w:szCs w:val="21"/>
          <w:highlight w:val="none"/>
          <w:lang w:eastAsia="zh-CN"/>
        </w:rPr>
        <w:t>；</w:t>
      </w:r>
    </w:p>
    <w:p w14:paraId="269B5E5A">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3.本项目的特定资格要求：</w:t>
      </w:r>
      <w:r>
        <w:rPr>
          <w:rFonts w:hint="eastAsia" w:ascii="宋体" w:hAnsi="宋体" w:eastAsia="宋体" w:cs="宋体"/>
          <w:color w:val="auto"/>
          <w:szCs w:val="21"/>
          <w:highlight w:val="none"/>
          <w:lang w:eastAsia="zh-CN"/>
        </w:rPr>
        <w:t>无</w:t>
      </w:r>
      <w:r>
        <w:rPr>
          <w:rFonts w:hint="eastAsia" w:ascii="宋体" w:hAnsi="宋体" w:eastAsia="宋体" w:cs="宋体"/>
          <w:color w:val="auto"/>
          <w:szCs w:val="21"/>
          <w:highlight w:val="none"/>
        </w:rPr>
        <w:t>；</w:t>
      </w:r>
    </w:p>
    <w:p w14:paraId="658BAC7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4.本项目的特定条件：</w:t>
      </w:r>
      <w:r>
        <w:rPr>
          <w:rFonts w:hint="eastAsia" w:ascii="宋体" w:hAnsi="宋体" w:eastAsia="宋体" w:cs="宋体"/>
          <w:color w:val="auto"/>
          <w:szCs w:val="21"/>
          <w:highlight w:val="none"/>
          <w:lang w:eastAsia="zh-CN"/>
        </w:rPr>
        <w:t>无；</w:t>
      </w:r>
    </w:p>
    <w:p w14:paraId="59CFB9F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7573299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6.对在“信用中国”网站</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www.creditchina.gov.cn</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 xml:space="preserve"> 、中国政府采购网</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www.ccgp.gov.cn</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被列入失信被执行人、重大税收违法案件当事人名单、政府采购严重违法失信行为记录名单及其他不符合《中华人民共和国政府采购法》第二十二条规定条件的供应商，不得参与政府采购活动。</w:t>
      </w:r>
    </w:p>
    <w:p w14:paraId="13DF4781">
      <w:pPr>
        <w:spacing w:line="360" w:lineRule="auto"/>
        <w:outlineLvl w:val="1"/>
        <w:rPr>
          <w:rFonts w:hint="eastAsia" w:ascii="宋体" w:hAnsi="宋体" w:eastAsia="宋体" w:cs="宋体"/>
          <w:b/>
          <w:bCs/>
          <w:color w:val="auto"/>
          <w:sz w:val="24"/>
          <w:highlight w:val="none"/>
        </w:rPr>
      </w:pPr>
      <w:bookmarkStart w:id="21" w:name="_Toc3566"/>
      <w:bookmarkStart w:id="22" w:name="_Toc35393623"/>
      <w:bookmarkStart w:id="23" w:name="_Toc35393792"/>
      <w:r>
        <w:rPr>
          <w:rFonts w:hint="eastAsia" w:ascii="宋体" w:hAnsi="宋体" w:eastAsia="宋体" w:cs="宋体"/>
          <w:b/>
          <w:bCs/>
          <w:color w:val="auto"/>
          <w:sz w:val="24"/>
          <w:highlight w:val="none"/>
        </w:rPr>
        <w:t>三、获取招标文件</w:t>
      </w:r>
      <w:bookmarkEnd w:id="19"/>
      <w:bookmarkEnd w:id="20"/>
      <w:bookmarkEnd w:id="21"/>
      <w:bookmarkEnd w:id="22"/>
      <w:bookmarkEnd w:id="23"/>
    </w:p>
    <w:p w14:paraId="2ABF2D3D">
      <w:pPr>
        <w:snapToGrid w:val="0"/>
        <w:spacing w:line="360" w:lineRule="auto"/>
        <w:ind w:firstLine="472" w:firstLineChars="225"/>
        <w:rPr>
          <w:rFonts w:hint="eastAsia" w:ascii="宋体" w:hAnsi="宋体" w:eastAsia="宋体" w:cs="宋体"/>
          <w:color w:val="auto"/>
          <w:szCs w:val="21"/>
          <w:highlight w:val="none"/>
        </w:rPr>
      </w:pPr>
      <w:bookmarkStart w:id="24" w:name="_Toc28359005"/>
      <w:bookmarkStart w:id="25" w:name="_Toc28359082"/>
      <w:bookmarkStart w:id="26" w:name="_Toc35393624"/>
      <w:bookmarkStart w:id="27" w:name="_Toc35393793"/>
      <w:r>
        <w:rPr>
          <w:rFonts w:hint="eastAsia" w:ascii="宋体" w:hAnsi="宋体" w:eastAsia="宋体" w:cs="宋体"/>
          <w:color w:val="auto"/>
          <w:szCs w:val="21"/>
          <w:highlight w:val="none"/>
        </w:rPr>
        <w:t>时间：自公告发布之日起</w:t>
      </w:r>
      <w:r>
        <w:rPr>
          <w:rFonts w:hint="eastAsia" w:ascii="宋体" w:hAnsi="宋体" w:eastAsia="宋体" w:cs="宋体"/>
          <w:color w:val="auto"/>
          <w:highlight w:val="none"/>
        </w:rPr>
        <w:t>至</w:t>
      </w:r>
      <w:r>
        <w:rPr>
          <w:rFonts w:hint="eastAsia" w:ascii="宋体" w:hAnsi="宋体" w:eastAsia="宋体" w:cs="宋体"/>
          <w:color w:val="0000FF"/>
          <w:szCs w:val="21"/>
          <w:highlight w:val="none"/>
          <w:u w:val="single"/>
          <w:lang w:eastAsia="zh-CN"/>
        </w:rPr>
        <w:t>202</w:t>
      </w:r>
      <w:r>
        <w:rPr>
          <w:rFonts w:hint="eastAsia" w:ascii="宋体" w:hAnsi="宋体" w:cs="宋体"/>
          <w:color w:val="0000FF"/>
          <w:szCs w:val="21"/>
          <w:highlight w:val="none"/>
          <w:u w:val="single"/>
          <w:lang w:val="en-US" w:eastAsia="zh-CN"/>
        </w:rPr>
        <w:t>5</w:t>
      </w:r>
      <w:r>
        <w:rPr>
          <w:rFonts w:hint="eastAsia" w:ascii="宋体" w:hAnsi="宋体" w:eastAsia="宋体" w:cs="宋体"/>
          <w:color w:val="0000FF"/>
          <w:szCs w:val="21"/>
          <w:highlight w:val="none"/>
          <w:u w:val="single"/>
          <w:lang w:eastAsia="zh-CN"/>
        </w:rPr>
        <w:t>年</w:t>
      </w:r>
      <w:r>
        <w:rPr>
          <w:rFonts w:hint="eastAsia" w:ascii="宋体" w:hAnsi="宋体" w:cs="宋体"/>
          <w:color w:val="0000FF"/>
          <w:szCs w:val="21"/>
          <w:highlight w:val="none"/>
          <w:u w:val="single"/>
          <w:lang w:val="en-US" w:eastAsia="zh-CN"/>
        </w:rPr>
        <w:t>6</w:t>
      </w:r>
      <w:r>
        <w:rPr>
          <w:rFonts w:hint="eastAsia" w:ascii="宋体" w:hAnsi="宋体" w:eastAsia="宋体" w:cs="宋体"/>
          <w:color w:val="0000FF"/>
          <w:szCs w:val="21"/>
          <w:highlight w:val="none"/>
          <w:u w:val="single"/>
          <w:lang w:eastAsia="zh-CN"/>
        </w:rPr>
        <w:t>月</w:t>
      </w:r>
      <w:r>
        <w:rPr>
          <w:rFonts w:hint="eastAsia" w:ascii="宋体" w:hAnsi="宋体" w:cs="宋体"/>
          <w:color w:val="0000FF"/>
          <w:szCs w:val="21"/>
          <w:highlight w:val="none"/>
          <w:u w:val="single"/>
          <w:lang w:val="en-US" w:eastAsia="zh-CN"/>
        </w:rPr>
        <w:t>30</w:t>
      </w:r>
      <w:r>
        <w:rPr>
          <w:rFonts w:hint="eastAsia" w:ascii="宋体" w:hAnsi="宋体" w:eastAsia="宋体" w:cs="宋体"/>
          <w:color w:val="0000FF"/>
          <w:szCs w:val="21"/>
          <w:highlight w:val="none"/>
          <w:u w:val="single"/>
          <w:lang w:eastAsia="zh-CN"/>
        </w:rPr>
        <w:t>日</w:t>
      </w:r>
      <w:r>
        <w:rPr>
          <w:rFonts w:hint="eastAsia" w:ascii="宋体" w:hAnsi="宋体" w:cs="宋体"/>
          <w:color w:val="0000FF"/>
          <w:szCs w:val="21"/>
          <w:highlight w:val="none"/>
          <w:u w:val="single"/>
          <w:lang w:val="en-US" w:eastAsia="zh-CN"/>
        </w:rPr>
        <w:t>09</w:t>
      </w:r>
      <w:r>
        <w:rPr>
          <w:rFonts w:hint="eastAsia" w:ascii="宋体" w:hAnsi="宋体" w:eastAsia="宋体" w:cs="宋体"/>
          <w:color w:val="0000FF"/>
          <w:szCs w:val="21"/>
          <w:highlight w:val="none"/>
          <w:u w:val="single"/>
        </w:rPr>
        <w:t>点</w:t>
      </w:r>
      <w:r>
        <w:rPr>
          <w:rFonts w:hint="eastAsia" w:ascii="宋体" w:hAnsi="宋体" w:cs="宋体"/>
          <w:color w:val="0000FF"/>
          <w:szCs w:val="21"/>
          <w:highlight w:val="none"/>
          <w:u w:val="single"/>
          <w:lang w:val="en-US" w:eastAsia="zh-CN"/>
        </w:rPr>
        <w:t>3</w:t>
      </w:r>
      <w:r>
        <w:rPr>
          <w:rFonts w:hint="eastAsia" w:ascii="宋体" w:hAnsi="宋体" w:eastAsia="宋体" w:cs="宋体"/>
          <w:color w:val="0000FF"/>
          <w:szCs w:val="21"/>
          <w:highlight w:val="none"/>
          <w:u w:val="single"/>
        </w:rPr>
        <w:t>0分</w:t>
      </w:r>
      <w:r>
        <w:rPr>
          <w:rFonts w:hint="eastAsia" w:ascii="宋体" w:hAnsi="宋体" w:eastAsia="宋体" w:cs="宋体"/>
          <w:bCs/>
          <w:color w:val="auto"/>
          <w:szCs w:val="21"/>
          <w:highlight w:val="none"/>
        </w:rPr>
        <w:t>（北京时间）</w:t>
      </w:r>
      <w:r>
        <w:rPr>
          <w:rFonts w:hint="eastAsia" w:ascii="宋体" w:hAnsi="宋体" w:eastAsia="宋体" w:cs="宋体"/>
          <w:color w:val="auto"/>
          <w:szCs w:val="21"/>
          <w:highlight w:val="none"/>
        </w:rPr>
        <w:t>。</w:t>
      </w:r>
    </w:p>
    <w:p w14:paraId="6E236332">
      <w:pPr>
        <w:spacing w:line="360" w:lineRule="auto"/>
        <w:ind w:firstLine="420" w:firstLineChars="200"/>
        <w:rPr>
          <w:rFonts w:hint="eastAsia" w:ascii="宋体" w:hAnsi="宋体" w:eastAsia="宋体" w:cs="宋体"/>
          <w:b/>
          <w:bCs/>
          <w:color w:val="auto"/>
          <w:sz w:val="24"/>
          <w:highlight w:val="none"/>
        </w:rPr>
      </w:pPr>
      <w:r>
        <w:rPr>
          <w:rFonts w:hint="eastAsia" w:ascii="宋体" w:hAnsi="宋体" w:eastAsia="宋体" w:cs="宋体"/>
          <w:color w:val="auto"/>
          <w:szCs w:val="21"/>
          <w:highlight w:val="none"/>
        </w:rPr>
        <w:t>获取方式</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网上下载。本项目不发放纸质文件，供应商可自行在</w:t>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fldChar w:fldCharType="end"/>
      </w:r>
      <w:r>
        <w:rPr>
          <w:rFonts w:hint="eastAsia" w:ascii="宋体" w:hAnsi="宋体" w:cs="宋体"/>
          <w:color w:val="auto"/>
          <w:szCs w:val="21"/>
          <w:highlight w:val="none"/>
          <w:lang w:eastAsia="zh-CN"/>
        </w:rPr>
        <w:t>广西政府采购云平台</w:t>
      </w:r>
      <w:r>
        <w:rPr>
          <w:rFonts w:hint="eastAsia" w:ascii="宋体" w:hAnsi="宋体" w:eastAsia="宋体" w:cs="宋体"/>
          <w:color w:val="auto"/>
          <w:szCs w:val="21"/>
          <w:highlight w:val="none"/>
        </w:rPr>
        <w:t>（</w:t>
      </w:r>
      <w:r>
        <w:rPr>
          <w:rFonts w:hint="eastAsia" w:ascii="宋体" w:hAnsi="宋体" w:cs="宋体"/>
          <w:color w:val="auto"/>
          <w:szCs w:val="21"/>
          <w:highlight w:val="none"/>
          <w:lang w:eastAsia="zh-CN"/>
        </w:rPr>
        <w:t>https：//www.gcy.zfcg.gxzf.gov.cn</w:t>
      </w:r>
      <w:r>
        <w:rPr>
          <w:rFonts w:hint="eastAsia" w:ascii="宋体" w:hAnsi="宋体" w:eastAsia="宋体" w:cs="宋体"/>
          <w:color w:val="auto"/>
          <w:szCs w:val="21"/>
          <w:highlight w:val="none"/>
        </w:rPr>
        <w:t>）下载招标文件（操作路径：登录</w:t>
      </w:r>
      <w:r>
        <w:rPr>
          <w:rFonts w:hint="eastAsia" w:ascii="宋体" w:hAnsi="宋体" w:cs="宋体"/>
          <w:color w:val="auto"/>
          <w:szCs w:val="21"/>
          <w:highlight w:val="none"/>
          <w:lang w:eastAsia="zh-CN"/>
        </w:rPr>
        <w:t>广西政府采购云平台</w:t>
      </w:r>
      <w:r>
        <w:rPr>
          <w:rFonts w:hint="eastAsia" w:ascii="宋体" w:hAnsi="宋体" w:eastAsia="宋体" w:cs="宋体"/>
          <w:color w:val="auto"/>
          <w:szCs w:val="21"/>
          <w:highlight w:val="none"/>
        </w:rPr>
        <w:t>-项目采购-获取采购文件-找到本项目-点击“申请获取采购文件”），电子投标文件制作需要基于</w:t>
      </w:r>
      <w:r>
        <w:rPr>
          <w:rFonts w:hint="eastAsia" w:ascii="宋体" w:hAnsi="宋体" w:cs="宋体"/>
          <w:color w:val="auto"/>
          <w:szCs w:val="21"/>
          <w:highlight w:val="none"/>
          <w:lang w:eastAsia="zh-CN"/>
        </w:rPr>
        <w:t>广西政府采购云平台</w:t>
      </w:r>
      <w:r>
        <w:rPr>
          <w:rFonts w:hint="eastAsia" w:ascii="宋体" w:hAnsi="宋体" w:eastAsia="宋体" w:cs="宋体"/>
          <w:color w:val="auto"/>
          <w:szCs w:val="21"/>
          <w:highlight w:val="none"/>
        </w:rPr>
        <w:t>获取的招标文件编制。</w:t>
      </w:r>
    </w:p>
    <w:p w14:paraId="1FF6008B">
      <w:pPr>
        <w:snapToGrid w:val="0"/>
        <w:spacing w:line="360" w:lineRule="auto"/>
        <w:ind w:firstLine="472" w:firstLineChars="225"/>
        <w:rPr>
          <w:rFonts w:hint="eastAsia" w:ascii="宋体" w:hAnsi="宋体" w:eastAsia="宋体" w:cs="宋体"/>
          <w:color w:val="auto"/>
          <w:szCs w:val="21"/>
          <w:highlight w:val="none"/>
        </w:rPr>
      </w:pPr>
      <w:r>
        <w:rPr>
          <w:rFonts w:hint="eastAsia" w:ascii="宋体" w:hAnsi="宋体" w:eastAsia="宋体" w:cs="宋体"/>
          <w:color w:val="auto"/>
          <w:szCs w:val="21"/>
          <w:highlight w:val="none"/>
        </w:rPr>
        <w:t>售价：0元。</w:t>
      </w:r>
    </w:p>
    <w:p w14:paraId="49A7E8CA">
      <w:pPr>
        <w:spacing w:line="360" w:lineRule="auto"/>
        <w:outlineLvl w:val="1"/>
        <w:rPr>
          <w:rFonts w:hint="eastAsia" w:ascii="宋体" w:hAnsi="宋体" w:eastAsia="宋体" w:cs="宋体"/>
          <w:b/>
          <w:bCs/>
          <w:color w:val="auto"/>
          <w:sz w:val="24"/>
          <w:highlight w:val="none"/>
        </w:rPr>
      </w:pPr>
      <w:bookmarkStart w:id="28" w:name="_Toc6173"/>
      <w:r>
        <w:rPr>
          <w:rFonts w:hint="eastAsia" w:ascii="宋体" w:hAnsi="宋体" w:eastAsia="宋体" w:cs="宋体"/>
          <w:b/>
          <w:bCs/>
          <w:color w:val="auto"/>
          <w:sz w:val="24"/>
          <w:highlight w:val="none"/>
        </w:rPr>
        <w:t>四、提交投标文件</w:t>
      </w:r>
      <w:bookmarkEnd w:id="24"/>
      <w:bookmarkEnd w:id="25"/>
      <w:r>
        <w:rPr>
          <w:rFonts w:hint="eastAsia" w:ascii="宋体" w:hAnsi="宋体" w:eastAsia="宋体" w:cs="宋体"/>
          <w:b/>
          <w:bCs/>
          <w:color w:val="auto"/>
          <w:sz w:val="24"/>
          <w:highlight w:val="none"/>
        </w:rPr>
        <w:t>截止时间、开标时间和地点</w:t>
      </w:r>
      <w:bookmarkEnd w:id="26"/>
      <w:bookmarkEnd w:id="27"/>
      <w:bookmarkEnd w:id="28"/>
    </w:p>
    <w:p w14:paraId="70AD3516">
      <w:pP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bCs/>
          <w:color w:val="auto"/>
          <w:szCs w:val="21"/>
          <w:highlight w:val="none"/>
        </w:rPr>
        <w:t>1、提交投标文件截止时间和开标时间：</w:t>
      </w:r>
      <w:r>
        <w:rPr>
          <w:rFonts w:hint="eastAsia" w:ascii="宋体" w:hAnsi="宋体" w:eastAsia="宋体" w:cs="宋体"/>
          <w:color w:val="0000FF"/>
          <w:szCs w:val="21"/>
          <w:highlight w:val="none"/>
          <w:u w:val="single"/>
          <w:lang w:eastAsia="zh-CN"/>
        </w:rPr>
        <w:t>202</w:t>
      </w:r>
      <w:r>
        <w:rPr>
          <w:rFonts w:hint="eastAsia" w:ascii="宋体" w:hAnsi="宋体" w:cs="宋体"/>
          <w:color w:val="0000FF"/>
          <w:szCs w:val="21"/>
          <w:highlight w:val="none"/>
          <w:u w:val="single"/>
          <w:lang w:val="en-US" w:eastAsia="zh-CN"/>
        </w:rPr>
        <w:t>5</w:t>
      </w:r>
      <w:r>
        <w:rPr>
          <w:rFonts w:hint="eastAsia" w:ascii="宋体" w:hAnsi="宋体" w:eastAsia="宋体" w:cs="宋体"/>
          <w:color w:val="0000FF"/>
          <w:szCs w:val="21"/>
          <w:highlight w:val="none"/>
          <w:u w:val="single"/>
          <w:lang w:eastAsia="zh-CN"/>
        </w:rPr>
        <w:t>年</w:t>
      </w:r>
      <w:r>
        <w:rPr>
          <w:rFonts w:hint="eastAsia" w:ascii="宋体" w:hAnsi="宋体" w:cs="宋体"/>
          <w:color w:val="0000FF"/>
          <w:szCs w:val="21"/>
          <w:highlight w:val="none"/>
          <w:u w:val="single"/>
          <w:lang w:val="en-US" w:eastAsia="zh-CN"/>
        </w:rPr>
        <w:t>6</w:t>
      </w:r>
      <w:r>
        <w:rPr>
          <w:rFonts w:hint="eastAsia" w:ascii="宋体" w:hAnsi="宋体" w:eastAsia="宋体" w:cs="宋体"/>
          <w:color w:val="0000FF"/>
          <w:szCs w:val="21"/>
          <w:highlight w:val="none"/>
          <w:u w:val="single"/>
          <w:lang w:eastAsia="zh-CN"/>
        </w:rPr>
        <w:t>月</w:t>
      </w:r>
      <w:r>
        <w:rPr>
          <w:rFonts w:hint="eastAsia" w:ascii="宋体" w:hAnsi="宋体" w:cs="宋体"/>
          <w:color w:val="0000FF"/>
          <w:szCs w:val="21"/>
          <w:highlight w:val="none"/>
          <w:u w:val="single"/>
          <w:lang w:val="en-US" w:eastAsia="zh-CN"/>
        </w:rPr>
        <w:t>30</w:t>
      </w:r>
      <w:r>
        <w:rPr>
          <w:rFonts w:hint="eastAsia" w:ascii="宋体" w:hAnsi="宋体" w:eastAsia="宋体" w:cs="宋体"/>
          <w:color w:val="0000FF"/>
          <w:szCs w:val="21"/>
          <w:highlight w:val="none"/>
          <w:u w:val="single"/>
          <w:lang w:eastAsia="zh-CN"/>
        </w:rPr>
        <w:t>日</w:t>
      </w:r>
      <w:r>
        <w:rPr>
          <w:rFonts w:hint="eastAsia" w:ascii="宋体" w:hAnsi="宋体" w:cs="宋体"/>
          <w:color w:val="0000FF"/>
          <w:szCs w:val="21"/>
          <w:highlight w:val="none"/>
          <w:u w:val="single"/>
          <w:lang w:val="en-US" w:eastAsia="zh-CN"/>
        </w:rPr>
        <w:t>09</w:t>
      </w:r>
      <w:r>
        <w:rPr>
          <w:rFonts w:hint="eastAsia" w:ascii="宋体" w:hAnsi="宋体" w:eastAsia="宋体" w:cs="宋体"/>
          <w:color w:val="0000FF"/>
          <w:szCs w:val="21"/>
          <w:highlight w:val="none"/>
          <w:u w:val="single"/>
        </w:rPr>
        <w:t>点</w:t>
      </w:r>
      <w:r>
        <w:rPr>
          <w:rFonts w:hint="eastAsia" w:ascii="宋体" w:hAnsi="宋体" w:cs="宋体"/>
          <w:color w:val="0000FF"/>
          <w:szCs w:val="21"/>
          <w:highlight w:val="none"/>
          <w:u w:val="single"/>
          <w:lang w:val="en-US" w:eastAsia="zh-CN"/>
        </w:rPr>
        <w:t>3</w:t>
      </w:r>
      <w:r>
        <w:rPr>
          <w:rFonts w:hint="eastAsia" w:ascii="宋体" w:hAnsi="宋体" w:eastAsia="宋体" w:cs="宋体"/>
          <w:color w:val="0000FF"/>
          <w:szCs w:val="21"/>
          <w:highlight w:val="none"/>
          <w:u w:val="single"/>
        </w:rPr>
        <w:t>0分</w:t>
      </w:r>
      <w:r>
        <w:rPr>
          <w:rFonts w:hint="eastAsia" w:ascii="宋体" w:hAnsi="宋体" w:eastAsia="宋体" w:cs="宋体"/>
          <w:bCs/>
          <w:color w:val="auto"/>
          <w:szCs w:val="21"/>
          <w:highlight w:val="none"/>
        </w:rPr>
        <w:t>（北京时间）</w:t>
      </w:r>
    </w:p>
    <w:p w14:paraId="397497D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2、投标和开标地点：</w:t>
      </w:r>
    </w:p>
    <w:p w14:paraId="2FD1E6AE">
      <w:pPr>
        <w:widowControl/>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（1）投标文件提交方式：本项目为南宁市全流程电子化项目，通过</w:t>
      </w:r>
      <w:r>
        <w:rPr>
          <w:rFonts w:hint="eastAsia" w:ascii="宋体" w:hAnsi="宋体" w:cs="宋体"/>
          <w:color w:val="auto"/>
          <w:szCs w:val="21"/>
          <w:highlight w:val="none"/>
          <w:lang w:eastAsia="zh-CN"/>
        </w:rPr>
        <w:t>广西政府采购云平台</w:t>
      </w:r>
      <w:r>
        <w:rPr>
          <w:rFonts w:hint="eastAsia" w:ascii="宋体" w:hAnsi="宋体" w:eastAsia="宋体" w:cs="宋体"/>
          <w:color w:val="auto"/>
          <w:szCs w:val="21"/>
          <w:highlight w:val="none"/>
        </w:rPr>
        <w:t>（</w:t>
      </w:r>
      <w:r>
        <w:rPr>
          <w:rFonts w:hint="eastAsia" w:ascii="宋体" w:hAnsi="宋体" w:cs="宋体"/>
          <w:color w:val="auto"/>
          <w:szCs w:val="21"/>
          <w:highlight w:val="none"/>
          <w:lang w:eastAsia="zh-CN"/>
        </w:rPr>
        <w:t>https：//www.gcy.zfcg.gxzf.gov.cn</w:t>
      </w:r>
      <w:r>
        <w:rPr>
          <w:rFonts w:hint="eastAsia" w:ascii="宋体" w:hAnsi="宋体" w:eastAsia="宋体" w:cs="宋体"/>
          <w:color w:val="auto"/>
          <w:szCs w:val="21"/>
          <w:highlight w:val="none"/>
        </w:rPr>
        <w:t>）实行在线电子投标，供应商应先安装“</w:t>
      </w:r>
      <w:r>
        <w:rPr>
          <w:rFonts w:hint="eastAsia" w:ascii="宋体" w:hAnsi="宋体" w:cs="宋体"/>
          <w:color w:val="auto"/>
          <w:szCs w:val="21"/>
          <w:highlight w:val="none"/>
          <w:lang w:eastAsia="zh-CN"/>
        </w:rPr>
        <w:t>广西政府采购云平台</w:t>
      </w:r>
      <w:r>
        <w:rPr>
          <w:rFonts w:hint="eastAsia" w:ascii="宋体" w:hAnsi="宋体" w:eastAsia="宋体" w:cs="宋体"/>
          <w:color w:val="auto"/>
          <w:szCs w:val="21"/>
          <w:highlight w:val="none"/>
        </w:rPr>
        <w:t>电子交易客户端”（请自行前往</w:t>
      </w:r>
      <w:r>
        <w:rPr>
          <w:rFonts w:hint="eastAsia" w:ascii="宋体" w:hAnsi="宋体" w:cs="宋体"/>
          <w:color w:val="auto"/>
          <w:szCs w:val="21"/>
          <w:highlight w:val="none"/>
          <w:lang w:eastAsia="zh-CN"/>
        </w:rPr>
        <w:t>广西政府采购云平台</w:t>
      </w:r>
      <w:r>
        <w:rPr>
          <w:rFonts w:hint="eastAsia" w:ascii="宋体" w:hAnsi="宋体" w:eastAsia="宋体" w:cs="宋体"/>
          <w:color w:val="auto"/>
          <w:szCs w:val="21"/>
          <w:highlight w:val="none"/>
        </w:rPr>
        <w:t>进行下载），并按照本项目招标文件和</w:t>
      </w:r>
      <w:r>
        <w:rPr>
          <w:rFonts w:hint="eastAsia" w:ascii="宋体" w:hAnsi="宋体" w:cs="宋体"/>
          <w:color w:val="auto"/>
          <w:szCs w:val="21"/>
          <w:highlight w:val="none"/>
          <w:lang w:eastAsia="zh-CN"/>
        </w:rPr>
        <w:t>广西政府采购云平台</w:t>
      </w:r>
      <w:r>
        <w:rPr>
          <w:rFonts w:hint="eastAsia" w:ascii="宋体" w:hAnsi="宋体" w:eastAsia="宋体" w:cs="宋体"/>
          <w:color w:val="auto"/>
          <w:szCs w:val="21"/>
          <w:highlight w:val="none"/>
        </w:rPr>
        <w:t>的要求编制、加密后在投标截止时间前通过网络上传至南宁市</w:t>
      </w:r>
      <w:r>
        <w:rPr>
          <w:rFonts w:hint="eastAsia" w:ascii="宋体" w:hAnsi="宋体" w:cs="宋体"/>
          <w:color w:val="auto"/>
          <w:szCs w:val="21"/>
          <w:highlight w:val="none"/>
          <w:lang w:eastAsia="zh-CN"/>
        </w:rPr>
        <w:t>广西政府采购云平台</w:t>
      </w: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供应商在</w:t>
      </w:r>
      <w:r>
        <w:rPr>
          <w:rFonts w:hint="eastAsia" w:ascii="宋体" w:hAnsi="宋体" w:cs="宋体"/>
          <w:b/>
          <w:color w:val="auto"/>
          <w:szCs w:val="21"/>
          <w:highlight w:val="none"/>
          <w:lang w:eastAsia="zh-CN"/>
        </w:rPr>
        <w:t>广西政府采购云平台</w:t>
      </w:r>
      <w:r>
        <w:rPr>
          <w:rFonts w:hint="eastAsia" w:ascii="宋体" w:hAnsi="宋体" w:eastAsia="宋体" w:cs="宋体"/>
          <w:b/>
          <w:color w:val="auto"/>
          <w:szCs w:val="21"/>
          <w:highlight w:val="none"/>
        </w:rPr>
        <w:t>提交电子版投标文件时，请填写参加远程开标活动经办人联系方式，</w:t>
      </w:r>
      <w:r>
        <w:rPr>
          <w:rFonts w:hint="eastAsia" w:ascii="宋体" w:hAnsi="宋体" w:eastAsia="宋体" w:cs="宋体"/>
          <w:color w:val="auto"/>
          <w:szCs w:val="21"/>
          <w:highlight w:val="none"/>
        </w:rPr>
        <w:t>电子投标具体操作流程详见本公告附件</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w:t>
      </w:r>
    </w:p>
    <w:p w14:paraId="5BEFE1A1">
      <w:pPr>
        <w:widowControl/>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（2）未进行网上注册并办理数字证书（CA认证）的供应商将无法参与本项目政府采购活动，潜在供应商应当在投标截止时间前，完成电子交易平台上的CA数字证书办理（申领流程见本公告附件</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）及投标文件的提交。完成CA数字证书办理预计7日左右，投标人只需办理其中一家CA数字证书及签章，建议各投标人抓紧时间办理。</w:t>
      </w:r>
    </w:p>
    <w:p w14:paraId="4B77AF67">
      <w:pPr>
        <w:widowControl/>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（3）为确保网上操作合法、有效和安全，请投标供应商确保在电子投标过程中能够对相关数据电文进行加密和使用电子签章，妥善保管CA数字证书并使用有效的CA数字证书参与整个招标活动。</w:t>
      </w:r>
    </w:p>
    <w:p w14:paraId="040FBF87">
      <w:pPr>
        <w:spacing w:line="360" w:lineRule="auto"/>
        <w:ind w:firstLine="420" w:firstLineChars="200"/>
        <w:rPr>
          <w:rFonts w:hint="eastAsia" w:ascii="宋体" w:hAnsi="宋体" w:eastAsia="宋体" w:cs="宋体"/>
          <w:bCs/>
          <w:color w:val="auto"/>
          <w:szCs w:val="21"/>
          <w:highlight w:val="none"/>
          <w:u w:val="single"/>
        </w:rPr>
      </w:pPr>
      <w:r>
        <w:rPr>
          <w:rFonts w:hint="eastAsia" w:ascii="宋体" w:hAnsi="宋体" w:eastAsia="宋体" w:cs="宋体"/>
          <w:bCs/>
          <w:color w:val="auto"/>
          <w:szCs w:val="21"/>
          <w:highlight w:val="none"/>
          <w:u w:val="single"/>
        </w:rPr>
        <w:t>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w:t>
      </w:r>
      <w:r>
        <w:rPr>
          <w:rFonts w:hint="eastAsia" w:ascii="宋体" w:hAnsi="宋体" w:cs="宋体"/>
          <w:bCs/>
          <w:color w:val="auto"/>
          <w:szCs w:val="21"/>
          <w:highlight w:val="none"/>
          <w:u w:val="single"/>
          <w:lang w:eastAsia="zh-CN"/>
        </w:rPr>
        <w:t>广西政府采购云平台</w:t>
      </w:r>
      <w:r>
        <w:rPr>
          <w:rFonts w:hint="eastAsia" w:ascii="宋体" w:hAnsi="宋体" w:eastAsia="宋体" w:cs="宋体"/>
          <w:bCs/>
          <w:color w:val="auto"/>
          <w:szCs w:val="21"/>
          <w:highlight w:val="none"/>
          <w:u w:val="single"/>
        </w:rPr>
        <w:t>将予以拒收。</w:t>
      </w:r>
    </w:p>
    <w:p w14:paraId="67CB09AE">
      <w:pPr>
        <w:widowControl/>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（4）开标地点：本次招标将</w:t>
      </w:r>
      <w:r>
        <w:rPr>
          <w:rFonts w:hint="eastAsia" w:ascii="宋体" w:hAnsi="宋体" w:eastAsia="宋体" w:cs="宋体"/>
          <w:color w:val="auto"/>
          <w:szCs w:val="21"/>
          <w:highlight w:val="none"/>
          <w:u w:val="none"/>
        </w:rPr>
        <w:t>于</w:t>
      </w:r>
      <w:r>
        <w:rPr>
          <w:rFonts w:hint="eastAsia" w:ascii="宋体" w:hAnsi="宋体" w:eastAsia="宋体" w:cs="宋体"/>
          <w:color w:val="0000FF"/>
          <w:szCs w:val="21"/>
          <w:highlight w:val="none"/>
          <w:u w:val="single"/>
          <w:lang w:eastAsia="zh-CN"/>
        </w:rPr>
        <w:t>202</w:t>
      </w:r>
      <w:r>
        <w:rPr>
          <w:rFonts w:hint="eastAsia" w:ascii="宋体" w:hAnsi="宋体" w:cs="宋体"/>
          <w:color w:val="0000FF"/>
          <w:szCs w:val="21"/>
          <w:highlight w:val="none"/>
          <w:u w:val="single"/>
          <w:lang w:val="en-US" w:eastAsia="zh-CN"/>
        </w:rPr>
        <w:t>5</w:t>
      </w:r>
      <w:r>
        <w:rPr>
          <w:rFonts w:hint="eastAsia" w:ascii="宋体" w:hAnsi="宋体" w:eastAsia="宋体" w:cs="宋体"/>
          <w:color w:val="0000FF"/>
          <w:szCs w:val="21"/>
          <w:highlight w:val="none"/>
          <w:u w:val="single"/>
          <w:lang w:eastAsia="zh-CN"/>
        </w:rPr>
        <w:t>年</w:t>
      </w:r>
      <w:r>
        <w:rPr>
          <w:rFonts w:hint="eastAsia" w:ascii="宋体" w:hAnsi="宋体" w:cs="宋体"/>
          <w:color w:val="0000FF"/>
          <w:szCs w:val="21"/>
          <w:highlight w:val="none"/>
          <w:u w:val="single"/>
          <w:lang w:val="en-US" w:eastAsia="zh-CN"/>
        </w:rPr>
        <w:t>6</w:t>
      </w:r>
      <w:r>
        <w:rPr>
          <w:rFonts w:hint="eastAsia" w:ascii="宋体" w:hAnsi="宋体" w:eastAsia="宋体" w:cs="宋体"/>
          <w:color w:val="0000FF"/>
          <w:szCs w:val="21"/>
          <w:highlight w:val="none"/>
          <w:u w:val="single"/>
          <w:lang w:eastAsia="zh-CN"/>
        </w:rPr>
        <w:t>月</w:t>
      </w:r>
      <w:r>
        <w:rPr>
          <w:rFonts w:hint="eastAsia" w:ascii="宋体" w:hAnsi="宋体" w:cs="宋体"/>
          <w:color w:val="0000FF"/>
          <w:szCs w:val="21"/>
          <w:highlight w:val="none"/>
          <w:u w:val="single"/>
          <w:lang w:val="en-US" w:eastAsia="zh-CN"/>
        </w:rPr>
        <w:t>30</w:t>
      </w:r>
      <w:r>
        <w:rPr>
          <w:rFonts w:hint="eastAsia" w:ascii="宋体" w:hAnsi="宋体" w:eastAsia="宋体" w:cs="宋体"/>
          <w:color w:val="0000FF"/>
          <w:szCs w:val="21"/>
          <w:highlight w:val="none"/>
          <w:u w:val="single"/>
          <w:lang w:eastAsia="zh-CN"/>
        </w:rPr>
        <w:t>日</w:t>
      </w:r>
      <w:r>
        <w:rPr>
          <w:rFonts w:hint="eastAsia" w:ascii="宋体" w:hAnsi="宋体" w:cs="宋体"/>
          <w:color w:val="0000FF"/>
          <w:szCs w:val="21"/>
          <w:highlight w:val="none"/>
          <w:u w:val="single"/>
          <w:lang w:val="en-US" w:eastAsia="zh-CN"/>
        </w:rPr>
        <w:t>09</w:t>
      </w:r>
      <w:r>
        <w:rPr>
          <w:rFonts w:hint="eastAsia" w:ascii="宋体" w:hAnsi="宋体" w:eastAsia="宋体" w:cs="宋体"/>
          <w:color w:val="0000FF"/>
          <w:szCs w:val="21"/>
          <w:highlight w:val="none"/>
          <w:u w:val="single"/>
        </w:rPr>
        <w:t>点</w:t>
      </w:r>
      <w:r>
        <w:rPr>
          <w:rFonts w:hint="eastAsia" w:ascii="宋体" w:hAnsi="宋体" w:cs="宋体"/>
          <w:color w:val="0000FF"/>
          <w:szCs w:val="21"/>
          <w:highlight w:val="none"/>
          <w:u w:val="single"/>
          <w:lang w:val="en-US" w:eastAsia="zh-CN"/>
        </w:rPr>
        <w:t>3</w:t>
      </w:r>
      <w:r>
        <w:rPr>
          <w:rFonts w:hint="eastAsia" w:ascii="宋体" w:hAnsi="宋体" w:eastAsia="宋体" w:cs="宋体"/>
          <w:color w:val="0000FF"/>
          <w:szCs w:val="21"/>
          <w:highlight w:val="none"/>
          <w:u w:val="single"/>
        </w:rPr>
        <w:t>0分</w:t>
      </w:r>
      <w:r>
        <w:rPr>
          <w:rFonts w:hint="eastAsia" w:ascii="宋体" w:hAnsi="宋体" w:eastAsia="宋体" w:cs="宋体"/>
          <w:color w:val="auto"/>
          <w:szCs w:val="21"/>
          <w:highlight w:val="none"/>
        </w:rPr>
        <w:t>在</w:t>
      </w:r>
      <w:r>
        <w:rPr>
          <w:rFonts w:hint="eastAsia" w:ascii="宋体" w:hAnsi="宋体" w:cs="宋体"/>
          <w:color w:val="auto"/>
          <w:szCs w:val="21"/>
          <w:highlight w:val="none"/>
          <w:lang w:eastAsia="zh-CN"/>
        </w:rPr>
        <w:t>广西政府采购云平台</w:t>
      </w:r>
      <w:r>
        <w:rPr>
          <w:rFonts w:hint="eastAsia" w:ascii="宋体" w:hAnsi="宋体" w:eastAsia="宋体" w:cs="宋体"/>
          <w:color w:val="auto"/>
          <w:szCs w:val="21"/>
          <w:highlight w:val="none"/>
        </w:rPr>
        <w:t>电子开标大厅开标。</w:t>
      </w:r>
    </w:p>
    <w:p w14:paraId="0B4EE7A3">
      <w:pPr>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（5）CA证书在线解密：供应商投标时，需携带制作投标文件时用来加密的有效数字证书（CA认证）登录</w:t>
      </w:r>
      <w:r>
        <w:rPr>
          <w:rFonts w:hint="eastAsia" w:ascii="宋体" w:hAnsi="宋体" w:cs="宋体"/>
          <w:color w:val="auto"/>
          <w:kern w:val="0"/>
          <w:szCs w:val="21"/>
          <w:highlight w:val="none"/>
          <w:lang w:eastAsia="zh-CN"/>
        </w:rPr>
        <w:t>广西政府采购云平台</w:t>
      </w:r>
      <w:r>
        <w:rPr>
          <w:rFonts w:hint="eastAsia" w:ascii="宋体" w:hAnsi="宋体" w:eastAsia="宋体" w:cs="宋体"/>
          <w:color w:val="auto"/>
          <w:kern w:val="0"/>
          <w:szCs w:val="21"/>
          <w:highlight w:val="none"/>
        </w:rPr>
        <w:t>电子开标大厅现场按规定时间对加密的投标文件进行解密，否则后果自负。</w:t>
      </w:r>
    </w:p>
    <w:p w14:paraId="50C5B08C">
      <w:pPr>
        <w:spacing w:line="360" w:lineRule="auto"/>
        <w:outlineLvl w:val="1"/>
        <w:rPr>
          <w:rFonts w:hint="eastAsia" w:ascii="宋体" w:hAnsi="宋体" w:eastAsia="宋体" w:cs="宋体"/>
          <w:b/>
          <w:bCs/>
          <w:color w:val="auto"/>
          <w:sz w:val="24"/>
          <w:highlight w:val="none"/>
        </w:rPr>
      </w:pPr>
      <w:bookmarkStart w:id="29" w:name="_Toc28359007"/>
      <w:bookmarkStart w:id="30" w:name="_Toc27118"/>
      <w:bookmarkStart w:id="31" w:name="_Toc35393625"/>
      <w:bookmarkStart w:id="32" w:name="_Toc35393794"/>
      <w:bookmarkStart w:id="33" w:name="_Toc28359084"/>
      <w:r>
        <w:rPr>
          <w:rFonts w:hint="eastAsia" w:ascii="宋体" w:hAnsi="宋体" w:eastAsia="宋体" w:cs="宋体"/>
          <w:b/>
          <w:bCs/>
          <w:color w:val="auto"/>
          <w:sz w:val="24"/>
          <w:highlight w:val="none"/>
        </w:rPr>
        <w:t>五、公告期限</w:t>
      </w:r>
      <w:bookmarkEnd w:id="29"/>
      <w:bookmarkEnd w:id="30"/>
      <w:bookmarkEnd w:id="31"/>
      <w:bookmarkEnd w:id="32"/>
      <w:bookmarkEnd w:id="33"/>
    </w:p>
    <w:p w14:paraId="3CB68D58">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自本公告发布之日起5个工作日。</w:t>
      </w:r>
    </w:p>
    <w:p w14:paraId="5E024AEC">
      <w:pPr>
        <w:spacing w:line="360" w:lineRule="auto"/>
        <w:outlineLvl w:val="1"/>
        <w:rPr>
          <w:rFonts w:hint="eastAsia" w:ascii="宋体" w:hAnsi="宋体" w:eastAsia="宋体" w:cs="宋体"/>
          <w:b/>
          <w:bCs/>
          <w:color w:val="auto"/>
          <w:sz w:val="24"/>
          <w:highlight w:val="none"/>
        </w:rPr>
      </w:pPr>
      <w:bookmarkStart w:id="34" w:name="_Toc35393626"/>
      <w:bookmarkStart w:id="35" w:name="_Toc35393795"/>
      <w:bookmarkStart w:id="36" w:name="_Toc27087"/>
      <w:r>
        <w:rPr>
          <w:rFonts w:hint="eastAsia" w:ascii="宋体" w:hAnsi="宋体" w:eastAsia="宋体" w:cs="宋体"/>
          <w:b/>
          <w:bCs/>
          <w:color w:val="auto"/>
          <w:sz w:val="24"/>
          <w:highlight w:val="none"/>
        </w:rPr>
        <w:t>六、其他补充事宜</w:t>
      </w:r>
      <w:bookmarkEnd w:id="34"/>
      <w:bookmarkEnd w:id="35"/>
      <w:bookmarkEnd w:id="36"/>
    </w:p>
    <w:p w14:paraId="69A9A9BB">
      <w:pPr>
        <w:spacing w:line="360" w:lineRule="auto"/>
        <w:ind w:firstLine="315" w:firstLineChars="15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1.投标保证金：本项目不收取投标保证金</w:t>
      </w:r>
    </w:p>
    <w:p w14:paraId="77C967A3">
      <w:pPr>
        <w:spacing w:line="360" w:lineRule="auto"/>
        <w:ind w:firstLine="315" w:firstLineChars="150"/>
        <w:jc w:val="left"/>
        <w:rPr>
          <w:rFonts w:hint="eastAsia" w:ascii="宋体" w:hAnsi="宋体" w:eastAsia="宋体" w:cs="宋体"/>
          <w:color w:val="auto"/>
          <w:kern w:val="0"/>
          <w:szCs w:val="21"/>
          <w:highlight w:val="none"/>
          <w:u w:val="single"/>
          <w:lang w:val="en-US" w:eastAsia="zh-CN"/>
        </w:rPr>
      </w:pPr>
      <w:r>
        <w:rPr>
          <w:rFonts w:hint="eastAsia" w:ascii="宋体" w:hAnsi="宋体" w:eastAsia="宋体" w:cs="宋体"/>
          <w:color w:val="auto"/>
          <w:kern w:val="0"/>
          <w:szCs w:val="21"/>
          <w:highlight w:val="none"/>
        </w:rPr>
        <w:t>2.采购意向公开链接：</w:t>
      </w:r>
      <w:r>
        <w:rPr>
          <w:rFonts w:hint="eastAsia" w:ascii="宋体" w:hAnsi="宋体" w:cs="宋体"/>
          <w:color w:val="auto"/>
          <w:kern w:val="0"/>
          <w:szCs w:val="21"/>
          <w:highlight w:val="none"/>
          <w:lang w:val="en-US" w:eastAsia="zh-CN"/>
        </w:rPr>
        <w:t>http://www.ccgp-guangxi.gov.cn/site/detail?parentId=66601&amp;articleId=eoqWD2sczYQOFMO2ymKlqw==&amp;utm=web-micro-app-back-front.6f701cd1.cPlanInfo.3.5d4bc820428011f0bfe779125b86adc8</w:t>
      </w:r>
    </w:p>
    <w:p w14:paraId="4875179C">
      <w:pPr>
        <w:spacing w:line="360" w:lineRule="auto"/>
        <w:ind w:firstLine="315" w:firstLineChars="150"/>
        <w:rPr>
          <w:rFonts w:hint="eastAsia" w:ascii="宋体" w:hAnsi="宋体" w:eastAsia="宋体" w:cs="宋体"/>
          <w:color w:val="auto"/>
          <w:kern w:val="0"/>
          <w:szCs w:val="21"/>
          <w:highlight w:val="none"/>
        </w:rPr>
      </w:pPr>
      <w:bookmarkStart w:id="37" w:name="_Hlk37429585"/>
      <w:r>
        <w:rPr>
          <w:rFonts w:hint="eastAsia" w:ascii="宋体" w:hAnsi="宋体" w:eastAsia="宋体" w:cs="宋体"/>
          <w:color w:val="auto"/>
          <w:kern w:val="0"/>
          <w:szCs w:val="21"/>
          <w:highlight w:val="none"/>
        </w:rPr>
        <w:t>3.</w:t>
      </w:r>
      <w:bookmarkStart w:id="38" w:name="_Hlk37429595"/>
      <w:r>
        <w:rPr>
          <w:rFonts w:hint="eastAsia" w:ascii="宋体" w:hAnsi="宋体" w:eastAsia="宋体" w:cs="宋体"/>
          <w:color w:val="auto"/>
          <w:kern w:val="0"/>
          <w:szCs w:val="21"/>
          <w:highlight w:val="none"/>
        </w:rPr>
        <w:t>网上查询地址</w:t>
      </w:r>
    </w:p>
    <w:bookmarkEnd w:id="37"/>
    <w:bookmarkEnd w:id="38"/>
    <w:p w14:paraId="1CAD8878">
      <w:pPr>
        <w:spacing w:line="360" w:lineRule="auto"/>
        <w:ind w:firstLine="420" w:firstLineChars="200"/>
        <w:rPr>
          <w:rFonts w:hint="eastAsia" w:ascii="宋体" w:hAnsi="宋体" w:eastAsia="宋体" w:cs="宋体"/>
          <w:color w:val="auto"/>
          <w:kern w:val="0"/>
          <w:szCs w:val="21"/>
          <w:highlight w:val="none"/>
          <w:lang w:eastAsia="zh-CN"/>
        </w:rPr>
      </w:pPr>
      <w:bookmarkStart w:id="39" w:name="_Hlk37429674"/>
      <w:r>
        <w:rPr>
          <w:rFonts w:hint="eastAsia" w:ascii="宋体" w:hAnsi="宋体" w:eastAsia="宋体" w:cs="宋体"/>
          <w:color w:val="auto"/>
          <w:kern w:val="0"/>
          <w:szCs w:val="21"/>
          <w:highlight w:val="none"/>
        </w:rPr>
        <w:t>中国政府采购网（www.ccgp.gov.cn）、广西壮族自治区政府采购网（http</w:t>
      </w:r>
      <w:r>
        <w:rPr>
          <w:rFonts w:hint="eastAsia" w:ascii="宋体" w:hAnsi="宋体" w:cs="宋体"/>
          <w:color w:val="auto"/>
          <w:kern w:val="0"/>
          <w:szCs w:val="21"/>
          <w:highlight w:val="none"/>
          <w:lang w:eastAsia="zh-CN"/>
        </w:rPr>
        <w:t>：</w:t>
      </w:r>
      <w:r>
        <w:rPr>
          <w:rFonts w:hint="eastAsia" w:ascii="宋体" w:hAnsi="宋体" w:eastAsia="宋体" w:cs="宋体"/>
          <w:color w:val="auto"/>
          <w:kern w:val="0"/>
          <w:szCs w:val="21"/>
          <w:highlight w:val="none"/>
        </w:rPr>
        <w:t>//zfcg.gxzf.gov.cn/）、</w:t>
      </w:r>
      <w:r>
        <w:rPr>
          <w:rFonts w:hint="eastAsia" w:ascii="宋体" w:hAnsi="宋体" w:eastAsia="宋体" w:cs="宋体"/>
          <w:color w:val="auto"/>
          <w:kern w:val="0"/>
          <w:szCs w:val="21"/>
          <w:highlight w:val="none"/>
          <w:lang w:eastAsia="zh-CN"/>
        </w:rPr>
        <w:t>全国公共资源交易平台（广西·南宁）（http</w:t>
      </w:r>
      <w:r>
        <w:rPr>
          <w:rFonts w:hint="eastAsia" w:ascii="宋体" w:hAnsi="宋体" w:cs="宋体"/>
          <w:color w:val="auto"/>
          <w:kern w:val="0"/>
          <w:szCs w:val="21"/>
          <w:highlight w:val="none"/>
          <w:lang w:eastAsia="zh-CN"/>
        </w:rPr>
        <w:t>：</w:t>
      </w:r>
      <w:r>
        <w:rPr>
          <w:rFonts w:hint="eastAsia" w:ascii="宋体" w:hAnsi="宋体" w:eastAsia="宋体" w:cs="宋体"/>
          <w:color w:val="auto"/>
          <w:kern w:val="0"/>
          <w:szCs w:val="21"/>
          <w:highlight w:val="none"/>
          <w:lang w:eastAsia="zh-CN"/>
        </w:rPr>
        <w:t>//ggzy.jgswj.gxzf.gov.cn/nnggzy/）</w:t>
      </w:r>
    </w:p>
    <w:p w14:paraId="2430DE41">
      <w:pPr>
        <w:spacing w:line="360" w:lineRule="auto"/>
        <w:ind w:firstLine="315" w:firstLineChars="150"/>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 xml:space="preserve">4. </w:t>
      </w:r>
      <w:r>
        <w:rPr>
          <w:rFonts w:hint="eastAsia" w:ascii="宋体" w:hAnsi="宋体" w:eastAsia="宋体" w:cs="宋体"/>
          <w:color w:val="auto"/>
          <w:kern w:val="0"/>
          <w:szCs w:val="21"/>
          <w:highlight w:val="none"/>
        </w:rPr>
        <w:t>本项目需要落实的政府采购政策：</w:t>
      </w:r>
    </w:p>
    <w:p w14:paraId="6FFEBB72">
      <w:pPr>
        <w:spacing w:line="360" w:lineRule="auto"/>
        <w:ind w:firstLine="315" w:firstLineChars="15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（1）政府采购促进中小企业发展。</w:t>
      </w:r>
    </w:p>
    <w:p w14:paraId="337259CB">
      <w:pPr>
        <w:spacing w:line="360" w:lineRule="auto"/>
        <w:ind w:firstLine="315" w:firstLineChars="15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（2）政府采购支持采用本国产品的政策。</w:t>
      </w:r>
    </w:p>
    <w:p w14:paraId="376399A6">
      <w:pPr>
        <w:spacing w:line="360" w:lineRule="auto"/>
        <w:ind w:firstLine="315" w:firstLineChars="15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（3）政府采购促进残疾人就业政策。</w:t>
      </w:r>
    </w:p>
    <w:p w14:paraId="7C8BE074">
      <w:pPr>
        <w:spacing w:line="360" w:lineRule="auto"/>
        <w:ind w:firstLine="315" w:firstLineChars="15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（4）政府采购支持监狱企业发展。</w:t>
      </w:r>
    </w:p>
    <w:bookmarkEnd w:id="39"/>
    <w:p w14:paraId="3F7DDEE5">
      <w:pPr>
        <w:spacing w:line="360" w:lineRule="auto"/>
        <w:ind w:firstLine="315" w:firstLineChars="15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供应商认为采购文件使自己的权益受到损害的，可以在知道或者应知其权益受到损害之日起7个工作日内，以书面形式向采购人、采购代理机构提出质疑。质疑供应商对采购人、采购代理机构的答复不满意或者采购人、采购代理机构未在规定的时间内作出答复的，可以在答复期满后十五个工作日内向同级政府采购监督管理部门投诉。</w:t>
      </w:r>
    </w:p>
    <w:p w14:paraId="19078CA1">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 若对项目采购电子交易系统操作有疑问，可登录</w:t>
      </w:r>
      <w:r>
        <w:rPr>
          <w:rFonts w:hint="eastAsia" w:ascii="宋体" w:hAnsi="宋体" w:cs="宋体"/>
          <w:color w:val="auto"/>
          <w:kern w:val="0"/>
          <w:szCs w:val="21"/>
          <w:highlight w:val="none"/>
          <w:lang w:eastAsia="zh-CN"/>
        </w:rPr>
        <w:t>广西政府采购云平台</w:t>
      </w:r>
      <w:r>
        <w:rPr>
          <w:rFonts w:hint="eastAsia" w:ascii="宋体" w:hAnsi="宋体" w:eastAsia="宋体" w:cs="宋体"/>
          <w:color w:val="auto"/>
          <w:kern w:val="0"/>
          <w:szCs w:val="21"/>
          <w:highlight w:val="none"/>
        </w:rPr>
        <w:t>（</w:t>
      </w:r>
      <w:r>
        <w:rPr>
          <w:rFonts w:hint="eastAsia" w:ascii="宋体" w:hAnsi="宋体" w:cs="宋体"/>
          <w:color w:val="auto"/>
          <w:kern w:val="0"/>
          <w:szCs w:val="21"/>
          <w:highlight w:val="none"/>
          <w:lang w:eastAsia="zh-CN"/>
        </w:rPr>
        <w:t>https：//www.gcy.zfcg.gxzf.gov.cn</w:t>
      </w:r>
      <w:r>
        <w:rPr>
          <w:rFonts w:hint="eastAsia" w:ascii="宋体" w:hAnsi="宋体" w:eastAsia="宋体" w:cs="宋体"/>
          <w:color w:val="auto"/>
          <w:kern w:val="0"/>
          <w:szCs w:val="21"/>
          <w:highlight w:val="none"/>
        </w:rPr>
        <w:t>），点击右侧咨询小采，获取采小蜜智能服务管家帮助，或拨打</w:t>
      </w:r>
      <w:r>
        <w:rPr>
          <w:rFonts w:hint="eastAsia" w:ascii="宋体" w:hAnsi="宋体" w:cs="宋体"/>
          <w:color w:val="auto"/>
          <w:kern w:val="0"/>
          <w:szCs w:val="21"/>
          <w:highlight w:val="none"/>
          <w:lang w:eastAsia="zh-CN"/>
        </w:rPr>
        <w:t>广西政府采购云平台</w:t>
      </w:r>
      <w:r>
        <w:rPr>
          <w:rFonts w:hint="eastAsia" w:ascii="宋体" w:hAnsi="宋体" w:eastAsia="宋体" w:cs="宋体"/>
          <w:color w:val="auto"/>
          <w:kern w:val="0"/>
          <w:szCs w:val="21"/>
          <w:highlight w:val="none"/>
        </w:rPr>
        <w:t>服务热线</w:t>
      </w:r>
      <w:r>
        <w:rPr>
          <w:rFonts w:hint="eastAsia" w:ascii="宋体" w:hAnsi="宋体" w:cs="宋体"/>
          <w:color w:val="auto"/>
          <w:kern w:val="0"/>
          <w:szCs w:val="21"/>
          <w:highlight w:val="none"/>
        </w:rPr>
        <w:t>95763</w:t>
      </w:r>
      <w:r>
        <w:rPr>
          <w:rFonts w:hint="eastAsia" w:ascii="宋体" w:hAnsi="宋体" w:eastAsia="宋体" w:cs="宋体"/>
          <w:color w:val="auto"/>
          <w:kern w:val="0"/>
          <w:sz w:val="21"/>
          <w:szCs w:val="21"/>
          <w:highlight w:val="none"/>
          <w:lang w:val="en-US" w:eastAsia="zh-CN" w:bidi="ar"/>
        </w:rPr>
        <w:t>或0771-3381253</w:t>
      </w:r>
      <w:r>
        <w:rPr>
          <w:rFonts w:hint="eastAsia" w:ascii="宋体" w:hAnsi="宋体" w:eastAsia="宋体" w:cs="宋体"/>
          <w:color w:val="auto"/>
          <w:kern w:val="0"/>
          <w:szCs w:val="21"/>
          <w:highlight w:val="none"/>
        </w:rPr>
        <w:t>获取热线服务帮助。</w:t>
      </w:r>
    </w:p>
    <w:p w14:paraId="467F5532">
      <w:pPr>
        <w:spacing w:line="360" w:lineRule="auto"/>
        <w:outlineLvl w:val="1"/>
        <w:rPr>
          <w:rFonts w:hint="eastAsia" w:ascii="宋体" w:hAnsi="宋体" w:eastAsia="宋体" w:cs="宋体"/>
          <w:b/>
          <w:bCs/>
          <w:color w:val="auto"/>
          <w:sz w:val="24"/>
          <w:highlight w:val="none"/>
        </w:rPr>
      </w:pPr>
      <w:bookmarkStart w:id="40" w:name="_Toc30432"/>
      <w:bookmarkStart w:id="41" w:name="_Toc28359008"/>
      <w:bookmarkStart w:id="42" w:name="_Toc28359085"/>
      <w:bookmarkStart w:id="43" w:name="_Toc35393796"/>
      <w:bookmarkStart w:id="44" w:name="_Toc35393627"/>
      <w:r>
        <w:rPr>
          <w:rFonts w:hint="eastAsia" w:ascii="宋体" w:hAnsi="宋体" w:eastAsia="宋体" w:cs="宋体"/>
          <w:b/>
          <w:bCs/>
          <w:color w:val="auto"/>
          <w:sz w:val="24"/>
          <w:highlight w:val="none"/>
        </w:rPr>
        <w:t>七、对本次招标提出询问，请按以下方式联系。</w:t>
      </w:r>
      <w:bookmarkEnd w:id="40"/>
      <w:bookmarkEnd w:id="41"/>
      <w:bookmarkEnd w:id="42"/>
      <w:bookmarkEnd w:id="43"/>
      <w:bookmarkEnd w:id="44"/>
    </w:p>
    <w:p w14:paraId="3E85B36F">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1.采购人信息</w:t>
      </w:r>
    </w:p>
    <w:p w14:paraId="03DE44E7">
      <w:pPr>
        <w:spacing w:line="360" w:lineRule="auto"/>
        <w:ind w:firstLine="735" w:firstLineChars="35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名称：</w:t>
      </w:r>
      <w:r>
        <w:rPr>
          <w:rFonts w:hint="eastAsia" w:ascii="宋体" w:hAnsi="宋体" w:cs="宋体"/>
          <w:color w:val="auto"/>
          <w:szCs w:val="21"/>
          <w:highlight w:val="none"/>
          <w:lang w:eastAsia="zh-CN"/>
        </w:rPr>
        <w:t>南宁市群众艺术馆</w:t>
      </w:r>
    </w:p>
    <w:p w14:paraId="34E7443F">
      <w:pPr>
        <w:spacing w:line="360" w:lineRule="auto"/>
        <w:ind w:firstLine="735" w:firstLineChars="35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地址：</w:t>
      </w:r>
      <w:r>
        <w:rPr>
          <w:rFonts w:hint="eastAsia" w:ascii="宋体" w:hAnsi="宋体" w:cs="宋体"/>
          <w:color w:val="auto"/>
          <w:szCs w:val="21"/>
          <w:highlight w:val="none"/>
          <w:lang w:eastAsia="zh-CN"/>
        </w:rPr>
        <w:t>南宁市五一东路一号</w:t>
      </w:r>
    </w:p>
    <w:p w14:paraId="13801344">
      <w:pPr>
        <w:spacing w:line="360" w:lineRule="auto"/>
        <w:ind w:firstLine="735" w:firstLineChars="35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项目联系人：</w:t>
      </w:r>
      <w:r>
        <w:rPr>
          <w:rFonts w:hint="eastAsia" w:ascii="宋体" w:hAnsi="宋体" w:cs="宋体"/>
          <w:color w:val="auto"/>
          <w:szCs w:val="21"/>
          <w:highlight w:val="none"/>
          <w:lang w:eastAsia="zh-CN"/>
        </w:rPr>
        <w:t>廖斌、吕莉</w:t>
      </w:r>
    </w:p>
    <w:p w14:paraId="239E2D47">
      <w:pPr>
        <w:spacing w:line="360" w:lineRule="auto"/>
        <w:ind w:firstLine="735" w:firstLineChars="35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联系电话：</w:t>
      </w:r>
      <w:r>
        <w:rPr>
          <w:rFonts w:hint="eastAsia" w:ascii="宋体" w:hAnsi="宋体" w:cs="宋体"/>
          <w:color w:val="auto"/>
          <w:szCs w:val="21"/>
          <w:highlight w:val="none"/>
          <w:lang w:eastAsia="zh-CN"/>
        </w:rPr>
        <w:t>0771-4857009</w:t>
      </w:r>
    </w:p>
    <w:p w14:paraId="65223F61">
      <w:pPr>
        <w:spacing w:line="360" w:lineRule="auto"/>
        <w:ind w:firstLine="630" w:firstLineChars="3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2.采购代理机构信息</w:t>
      </w:r>
    </w:p>
    <w:p w14:paraId="4021470A">
      <w:pPr>
        <w:spacing w:line="360" w:lineRule="auto"/>
        <w:ind w:firstLine="735" w:firstLineChars="35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名称：</w:t>
      </w:r>
      <w:r>
        <w:rPr>
          <w:rFonts w:hint="eastAsia" w:ascii="宋体" w:hAnsi="宋体" w:cs="宋体"/>
          <w:color w:val="auto"/>
          <w:szCs w:val="21"/>
          <w:highlight w:val="none"/>
          <w:lang w:eastAsia="zh-CN"/>
        </w:rPr>
        <w:t>广西合美工程咨询有限公司</w:t>
      </w:r>
    </w:p>
    <w:p w14:paraId="5D87B57A">
      <w:pPr>
        <w:spacing w:line="360" w:lineRule="auto"/>
        <w:ind w:firstLine="735" w:firstLineChars="35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地址：</w:t>
      </w:r>
      <w:r>
        <w:rPr>
          <w:rFonts w:hint="eastAsia" w:ascii="宋体" w:hAnsi="宋体" w:cs="宋体"/>
          <w:color w:val="auto"/>
          <w:szCs w:val="21"/>
          <w:highlight w:val="none"/>
          <w:lang w:eastAsia="zh-CN"/>
        </w:rPr>
        <w:t>南宁市青秀区双拥路36-1号绿城画卷B座1708-09号房</w:t>
      </w:r>
    </w:p>
    <w:p w14:paraId="47233770">
      <w:pPr>
        <w:spacing w:line="360" w:lineRule="auto"/>
        <w:ind w:firstLine="735" w:firstLineChars="35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项目联系人：</w:t>
      </w:r>
      <w:r>
        <w:rPr>
          <w:rFonts w:hint="eastAsia" w:ascii="宋体" w:hAnsi="宋体" w:cs="宋体"/>
          <w:color w:val="auto"/>
          <w:szCs w:val="21"/>
          <w:highlight w:val="none"/>
          <w:lang w:eastAsia="zh-CN"/>
        </w:rPr>
        <w:t>雷方敏、欧诗伶</w:t>
      </w:r>
    </w:p>
    <w:p w14:paraId="368E290B">
      <w:pPr>
        <w:spacing w:line="360" w:lineRule="auto"/>
        <w:ind w:firstLine="735" w:firstLineChars="35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联系电话：</w:t>
      </w:r>
      <w:r>
        <w:rPr>
          <w:rFonts w:hint="eastAsia" w:ascii="宋体" w:hAnsi="宋体" w:cs="宋体"/>
          <w:color w:val="auto"/>
          <w:szCs w:val="21"/>
          <w:highlight w:val="none"/>
          <w:lang w:eastAsia="zh-CN"/>
        </w:rPr>
        <w:t>0771-2420225</w:t>
      </w:r>
    </w:p>
    <w:p w14:paraId="30C28391">
      <w:pPr>
        <w:spacing w:line="360" w:lineRule="auto"/>
        <w:ind w:firstLine="630" w:firstLineChars="3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3.项目联系方式</w:t>
      </w:r>
    </w:p>
    <w:p w14:paraId="4FE0D298">
      <w:pPr>
        <w:spacing w:line="360" w:lineRule="auto"/>
        <w:ind w:firstLine="735" w:firstLineChars="35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项目联系人：</w:t>
      </w:r>
      <w:r>
        <w:rPr>
          <w:rFonts w:hint="eastAsia" w:ascii="宋体" w:hAnsi="宋体" w:cs="宋体"/>
          <w:color w:val="auto"/>
          <w:szCs w:val="21"/>
          <w:highlight w:val="none"/>
          <w:lang w:eastAsia="zh-CN"/>
        </w:rPr>
        <w:t>雷方敏、欧诗伶</w:t>
      </w:r>
    </w:p>
    <w:p w14:paraId="7947549B">
      <w:pPr>
        <w:spacing w:line="360" w:lineRule="auto"/>
        <w:ind w:firstLine="735" w:firstLineChars="35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电话：</w:t>
      </w:r>
      <w:r>
        <w:rPr>
          <w:rFonts w:hint="eastAsia" w:ascii="宋体" w:hAnsi="宋体" w:cs="宋体"/>
          <w:color w:val="auto"/>
          <w:szCs w:val="21"/>
          <w:highlight w:val="none"/>
          <w:lang w:eastAsia="zh-CN"/>
        </w:rPr>
        <w:t>0771-2420225</w:t>
      </w:r>
    </w:p>
    <w:p w14:paraId="0AEC15C8">
      <w:pPr>
        <w:rPr>
          <w:rFonts w:hint="eastAsia" w:ascii="宋体" w:hAnsi="宋体" w:eastAsia="宋体" w:cs="宋体"/>
          <w:color w:val="auto"/>
          <w:szCs w:val="21"/>
          <w:highlight w:val="none"/>
        </w:rPr>
      </w:pPr>
    </w:p>
    <w:p w14:paraId="361FF00D">
      <w:pPr>
        <w:pStyle w:val="9"/>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附件： 1.CA证书申请方式及操作指南下载地址（现场申请方式见网址：</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"http://www.ccgp-guangxi.gov.cn/OfficeService/DownloadArea/8354055.html?utm=a0003.39a112b4.cmp001.d0002.f0464b20ff2a11eb873141bf9e381949" </w:instrText>
      </w:r>
      <w:r>
        <w:rPr>
          <w:rFonts w:hint="eastAsia" w:ascii="宋体" w:hAnsi="宋体" w:eastAsia="宋体" w:cs="宋体"/>
          <w:color w:val="auto"/>
          <w:highlight w:val="none"/>
        </w:rPr>
        <w:fldChar w:fldCharType="separate"/>
      </w:r>
      <w:r>
        <w:rPr>
          <w:rStyle w:val="23"/>
          <w:rFonts w:hint="eastAsia" w:ascii="宋体" w:hAnsi="宋体" w:eastAsia="宋体" w:cs="宋体"/>
          <w:color w:val="auto"/>
          <w:highlight w:val="none"/>
        </w:rPr>
        <w:t>http</w:t>
      </w:r>
      <w:r>
        <w:rPr>
          <w:rStyle w:val="23"/>
          <w:rFonts w:hint="eastAsia" w:ascii="宋体" w:hAnsi="宋体" w:cs="宋体"/>
          <w:color w:val="auto"/>
          <w:highlight w:val="none"/>
          <w:lang w:eastAsia="zh-CN"/>
        </w:rPr>
        <w:t>：</w:t>
      </w:r>
      <w:r>
        <w:rPr>
          <w:rStyle w:val="23"/>
          <w:rFonts w:hint="eastAsia" w:ascii="宋体" w:hAnsi="宋体" w:eastAsia="宋体" w:cs="宋体"/>
          <w:color w:val="auto"/>
          <w:highlight w:val="none"/>
        </w:rPr>
        <w:t>//www.ccgp-guangxi.gov.cn/OfficeService/DownloadArea/8354055.html?utm=a0003.39a112b4.cmp001.d0002.f0464b20ff2a11eb873141bf9e381949</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t xml:space="preserve">（广西政府采购网）/网上申请方式见网址： </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"http://nncz.nanning.gov.cn/" </w:instrText>
      </w:r>
      <w:r>
        <w:rPr>
          <w:rFonts w:hint="eastAsia" w:ascii="宋体" w:hAnsi="宋体" w:eastAsia="宋体" w:cs="宋体"/>
          <w:color w:val="auto"/>
          <w:highlight w:val="none"/>
        </w:rPr>
        <w:fldChar w:fldCharType="separate"/>
      </w:r>
      <w:r>
        <w:rPr>
          <w:rStyle w:val="23"/>
          <w:rFonts w:hint="eastAsia" w:ascii="宋体" w:hAnsi="宋体" w:eastAsia="宋体" w:cs="宋体"/>
          <w:color w:val="auto"/>
          <w:highlight w:val="none"/>
        </w:rPr>
        <w:t>http</w:t>
      </w:r>
      <w:r>
        <w:rPr>
          <w:rStyle w:val="23"/>
          <w:rFonts w:hint="eastAsia" w:ascii="宋体" w:hAnsi="宋体" w:cs="宋体"/>
          <w:color w:val="auto"/>
          <w:highlight w:val="none"/>
          <w:lang w:eastAsia="zh-CN"/>
        </w:rPr>
        <w:t>：</w:t>
      </w:r>
      <w:r>
        <w:rPr>
          <w:rStyle w:val="23"/>
          <w:rFonts w:hint="eastAsia" w:ascii="宋体" w:hAnsi="宋体" w:eastAsia="宋体" w:cs="宋体"/>
          <w:color w:val="auto"/>
          <w:highlight w:val="none"/>
        </w:rPr>
        <w:t>//nncz.nanning.gov.cn/</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t>（南宁市财政局官网）-下载专区-“广西</w:t>
      </w:r>
      <w:r>
        <w:rPr>
          <w:rFonts w:hint="eastAsia" w:ascii="宋体" w:hAnsi="宋体" w:cs="宋体"/>
          <w:color w:val="auto"/>
          <w:highlight w:val="none"/>
          <w:lang w:eastAsia="zh-CN"/>
        </w:rPr>
        <w:t>广西政府采购云平台</w:t>
      </w:r>
      <w:r>
        <w:rPr>
          <w:rFonts w:hint="eastAsia" w:ascii="宋体" w:hAnsi="宋体" w:eastAsia="宋体" w:cs="宋体"/>
          <w:color w:val="auto"/>
          <w:highlight w:val="none"/>
        </w:rPr>
        <w:t>西部CA办理方式”或“南宁市</w:t>
      </w:r>
      <w:r>
        <w:rPr>
          <w:rFonts w:hint="eastAsia" w:ascii="宋体" w:hAnsi="宋体" w:cs="宋体"/>
          <w:color w:val="auto"/>
          <w:highlight w:val="none"/>
          <w:lang w:eastAsia="zh-CN"/>
        </w:rPr>
        <w:t>广西政府采购云平台</w:t>
      </w:r>
      <w:r>
        <w:rPr>
          <w:rFonts w:hint="eastAsia" w:ascii="宋体" w:hAnsi="宋体" w:eastAsia="宋体" w:cs="宋体"/>
          <w:color w:val="auto"/>
          <w:highlight w:val="none"/>
        </w:rPr>
        <w:t>CA证书办理操作指南”</w:t>
      </w:r>
      <w:r>
        <w:rPr>
          <w:rFonts w:hint="eastAsia" w:ascii="宋体" w:hAnsi="宋体" w:eastAsia="宋体" w:cs="宋体"/>
          <w:color w:val="auto"/>
          <w:szCs w:val="21"/>
          <w:highlight w:val="none"/>
        </w:rPr>
        <w:t>）</w:t>
      </w:r>
    </w:p>
    <w:p w14:paraId="446E6F97">
      <w:pPr>
        <w:pStyle w:val="9"/>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2.电子投标文件制作与投送教程（在此网址下载：</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"http://nncz.nanning.gov.cn/" </w:instrText>
      </w:r>
      <w:r>
        <w:rPr>
          <w:rFonts w:hint="eastAsia" w:ascii="宋体" w:hAnsi="宋体" w:eastAsia="宋体" w:cs="宋体"/>
          <w:color w:val="auto"/>
          <w:highlight w:val="none"/>
        </w:rPr>
        <w:fldChar w:fldCharType="separate"/>
      </w:r>
      <w:r>
        <w:rPr>
          <w:rStyle w:val="23"/>
          <w:rFonts w:hint="eastAsia" w:ascii="宋体" w:hAnsi="宋体" w:eastAsia="宋体" w:cs="宋体"/>
          <w:color w:val="auto"/>
          <w:highlight w:val="none"/>
        </w:rPr>
        <w:t>http</w:t>
      </w:r>
      <w:r>
        <w:rPr>
          <w:rStyle w:val="23"/>
          <w:rFonts w:hint="eastAsia" w:ascii="宋体" w:hAnsi="宋体" w:cs="宋体"/>
          <w:color w:val="auto"/>
          <w:highlight w:val="none"/>
          <w:lang w:eastAsia="zh-CN"/>
        </w:rPr>
        <w:t>：</w:t>
      </w:r>
      <w:r>
        <w:rPr>
          <w:rStyle w:val="23"/>
          <w:rFonts w:hint="eastAsia" w:ascii="宋体" w:hAnsi="宋体" w:eastAsia="宋体" w:cs="宋体"/>
          <w:color w:val="auto"/>
          <w:highlight w:val="none"/>
        </w:rPr>
        <w:t>//nncz.nanning.gov.cn/</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t>（南宁市财政局官网）-下载专区</w:t>
      </w:r>
      <w:r>
        <w:rPr>
          <w:rFonts w:hint="eastAsia" w:ascii="宋体" w:hAnsi="宋体" w:eastAsia="宋体" w:cs="宋体"/>
          <w:color w:val="auto"/>
          <w:szCs w:val="21"/>
          <w:highlight w:val="none"/>
        </w:rPr>
        <w:t>）</w:t>
      </w:r>
    </w:p>
    <w:p w14:paraId="7B687F77">
      <w:pPr>
        <w:spacing w:line="360" w:lineRule="auto"/>
        <w:rPr>
          <w:rFonts w:hint="eastAsia" w:ascii="宋体" w:hAnsi="宋体" w:eastAsia="宋体" w:cs="宋体"/>
          <w:color w:val="auto"/>
          <w:szCs w:val="21"/>
          <w:highlight w:val="none"/>
        </w:rPr>
      </w:pPr>
    </w:p>
    <w:p w14:paraId="510ACCE4">
      <w:pPr>
        <w:spacing w:line="360" w:lineRule="auto"/>
        <w:jc w:val="right"/>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广西合美工程咨询有限公司</w:t>
      </w:r>
    </w:p>
    <w:p w14:paraId="4029D8FC">
      <w:pPr>
        <w:spacing w:line="360" w:lineRule="auto"/>
        <w:ind w:firstLine="210" w:firstLineChars="100"/>
        <w:jc w:val="right"/>
        <w:rPr>
          <w:rFonts w:hint="eastAsia" w:ascii="宋体" w:hAnsi="宋体" w:eastAsia="宋体" w:cs="宋体"/>
          <w:color w:val="auto"/>
          <w:highlight w:val="none"/>
          <w:u w:val="none"/>
        </w:rPr>
      </w:pPr>
      <w:r>
        <w:rPr>
          <w:rFonts w:hint="eastAsia" w:ascii="宋体" w:hAnsi="宋体" w:eastAsia="宋体" w:cs="宋体"/>
          <w:color w:val="auto"/>
          <w:szCs w:val="21"/>
          <w:highlight w:val="none"/>
          <w:u w:val="none"/>
          <w:lang w:val="en-US" w:eastAsia="zh-CN"/>
        </w:rPr>
        <w:t>202</w:t>
      </w:r>
      <w:r>
        <w:rPr>
          <w:rFonts w:hint="eastAsia" w:ascii="宋体" w:hAnsi="宋体" w:cs="宋体"/>
          <w:color w:val="auto"/>
          <w:szCs w:val="21"/>
          <w:highlight w:val="none"/>
          <w:u w:val="none"/>
          <w:lang w:val="en-US" w:eastAsia="zh-CN"/>
        </w:rPr>
        <w:t>5</w:t>
      </w:r>
      <w:r>
        <w:rPr>
          <w:rFonts w:hint="eastAsia" w:ascii="宋体" w:hAnsi="宋体" w:eastAsia="宋体" w:cs="宋体"/>
          <w:color w:val="auto"/>
          <w:szCs w:val="21"/>
          <w:highlight w:val="none"/>
          <w:u w:val="none"/>
        </w:rPr>
        <w:t>年</w:t>
      </w:r>
      <w:r>
        <w:rPr>
          <w:rFonts w:hint="eastAsia" w:ascii="宋体" w:hAnsi="宋体" w:cs="宋体"/>
          <w:color w:val="auto"/>
          <w:szCs w:val="21"/>
          <w:highlight w:val="none"/>
          <w:u w:val="none"/>
          <w:lang w:val="en-US" w:eastAsia="zh-CN"/>
        </w:rPr>
        <w:t>6</w:t>
      </w:r>
      <w:r>
        <w:rPr>
          <w:rFonts w:hint="eastAsia" w:ascii="宋体" w:hAnsi="宋体" w:eastAsia="宋体" w:cs="宋体"/>
          <w:color w:val="auto"/>
          <w:szCs w:val="21"/>
          <w:highlight w:val="none"/>
          <w:u w:val="none"/>
        </w:rPr>
        <w:t>月</w:t>
      </w:r>
      <w:r>
        <w:rPr>
          <w:rFonts w:hint="eastAsia" w:ascii="宋体" w:hAnsi="宋体" w:cs="宋体"/>
          <w:color w:val="auto"/>
          <w:szCs w:val="21"/>
          <w:highlight w:val="none"/>
          <w:u w:val="none"/>
          <w:lang w:val="en-US" w:eastAsia="zh-CN"/>
        </w:rPr>
        <w:t>9</w:t>
      </w:r>
      <w:bookmarkStart w:id="350" w:name="_GoBack"/>
      <w:bookmarkEnd w:id="350"/>
      <w:r>
        <w:rPr>
          <w:rFonts w:hint="eastAsia" w:ascii="宋体" w:hAnsi="宋体" w:eastAsia="宋体" w:cs="宋体"/>
          <w:color w:val="auto"/>
          <w:szCs w:val="21"/>
          <w:highlight w:val="none"/>
          <w:u w:val="none"/>
        </w:rPr>
        <w:t>日</w:t>
      </w:r>
    </w:p>
    <w:p w14:paraId="3D98641D">
      <w:pPr>
        <w:widowControl/>
        <w:spacing w:line="360" w:lineRule="auto"/>
        <w:jc w:val="left"/>
        <w:rPr>
          <w:rFonts w:hint="eastAsia" w:ascii="宋体" w:hAnsi="宋体" w:eastAsia="宋体" w:cs="宋体"/>
          <w:color w:val="auto"/>
          <w:sz w:val="24"/>
          <w:highlight w:val="none"/>
          <w:u w:val="none"/>
          <w:lang w:val="zh-CN"/>
        </w:rPr>
        <w:sectPr>
          <w:footerReference r:id="rId4" w:type="default"/>
          <w:pgSz w:w="11906" w:h="16838"/>
          <w:pgMar w:top="1134" w:right="1134" w:bottom="1134" w:left="1134" w:header="720" w:footer="720" w:gutter="0"/>
          <w:pgNumType w:start="1"/>
          <w:cols w:space="720" w:num="1"/>
          <w:docGrid w:type="lines" w:linePitch="331" w:charSpace="0"/>
        </w:sectPr>
      </w:pPr>
    </w:p>
    <w:p w14:paraId="4FB03DF2">
      <w:pPr>
        <w:pStyle w:val="11"/>
        <w:jc w:val="center"/>
        <w:outlineLvl w:val="0"/>
        <w:rPr>
          <w:rFonts w:hint="eastAsia" w:ascii="宋体" w:hAnsi="宋体" w:eastAsia="宋体" w:cs="宋体"/>
          <w:b/>
          <w:color w:val="auto"/>
          <w:sz w:val="36"/>
          <w:highlight w:val="none"/>
        </w:rPr>
      </w:pPr>
      <w:bookmarkStart w:id="45" w:name="_Toc532545042"/>
      <w:bookmarkStart w:id="46" w:name="_Toc28689"/>
      <w:bookmarkStart w:id="47" w:name="_Toc9086"/>
      <w:r>
        <w:rPr>
          <w:rFonts w:hint="eastAsia" w:ascii="宋体" w:hAnsi="宋体" w:eastAsia="宋体" w:cs="宋体"/>
          <w:b/>
          <w:color w:val="auto"/>
          <w:sz w:val="36"/>
          <w:highlight w:val="none"/>
        </w:rPr>
        <w:t xml:space="preserve">第二章  </w:t>
      </w:r>
      <w:bookmarkEnd w:id="45"/>
      <w:r>
        <w:rPr>
          <w:rFonts w:hint="eastAsia" w:ascii="宋体" w:hAnsi="宋体" w:eastAsia="宋体" w:cs="宋体"/>
          <w:b/>
          <w:color w:val="auto"/>
          <w:sz w:val="36"/>
          <w:highlight w:val="none"/>
        </w:rPr>
        <w:t>采购需求</w:t>
      </w:r>
      <w:bookmarkEnd w:id="46"/>
      <w:bookmarkEnd w:id="47"/>
    </w:p>
    <w:p w14:paraId="4C6E6466">
      <w:pPr>
        <w:adjustRightInd w:val="0"/>
        <w:spacing w:line="340" w:lineRule="exact"/>
        <w:rPr>
          <w:rFonts w:hint="eastAsia" w:ascii="宋体" w:hAnsi="宋体" w:eastAsia="宋体" w:cs="宋体"/>
          <w:b/>
          <w:color w:val="auto"/>
          <w:szCs w:val="21"/>
          <w:highlight w:val="none"/>
        </w:rPr>
      </w:pPr>
    </w:p>
    <w:p w14:paraId="0380C0BC">
      <w:pPr>
        <w:adjustRightInd w:val="0"/>
        <w:spacing w:line="34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说明：</w:t>
      </w:r>
    </w:p>
    <w:p w14:paraId="16D42BA4">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 为落实政府采购政策需满足的要求（根据项目实际情况填写内容）</w:t>
      </w:r>
    </w:p>
    <w:p w14:paraId="52B92FBD">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（1）本招标文件所称</w:t>
      </w:r>
      <w:r>
        <w:rPr>
          <w:rFonts w:hint="eastAsia" w:ascii="宋体" w:hAnsi="宋体" w:eastAsia="宋体" w:cs="宋体"/>
          <w:color w:val="auto"/>
          <w:szCs w:val="21"/>
          <w:highlight w:val="none"/>
          <w:lang w:eastAsia="zh-CN"/>
        </w:rPr>
        <w:t>中小</w:t>
      </w:r>
      <w:r>
        <w:rPr>
          <w:rFonts w:hint="eastAsia" w:ascii="宋体" w:hAnsi="宋体" w:eastAsia="宋体" w:cs="宋体"/>
          <w:color w:val="auto"/>
          <w:szCs w:val="21"/>
          <w:highlight w:val="none"/>
        </w:rPr>
        <w:t>企业必须符合《政府采购促进中小企业发展管理办法》（财库〔2020〕46号）的规定。</w:t>
      </w:r>
    </w:p>
    <w:p w14:paraId="22ADCCD8">
      <w:pPr>
        <w:spacing w:line="360" w:lineRule="auto"/>
        <w:ind w:firstLine="424" w:firstLineChars="202"/>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（2）服务项目中伴随货物的，根据《财政部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详见本章附件1），投标人的投标货物必须使用政府强制采购的节能产品，投标人必须在投标文件中提供所投标产品的节能产品认证证书复印件（加盖投标人电子公章），否则投标文件作无效处理。如本项目包含的货物属于品目清单内非标注“★”的产品时，应优先采购，具体详见“第四章 评标方法和评标标准”。</w:t>
      </w:r>
    </w:p>
    <w:p w14:paraId="6533E042">
      <w:pPr>
        <w:spacing w:line="360" w:lineRule="auto"/>
        <w:ind w:firstLine="424" w:firstLineChars="202"/>
        <w:jc w:val="left"/>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b/>
          <w:color w:val="auto"/>
          <w:szCs w:val="21"/>
          <w:highlight w:val="none"/>
        </w:rPr>
        <w:t>服务项目中伴随的货物包含信息安全产品的（信息安全产品包括：防火墙、网络安全隔离卡与线路选择器、安全隔离与信息交换产品、安全路由器、智能卡COS、数据备份与恢复产品、安全操作系统、安全数据库系统、反垃圾邮件产品、入侵检测系统（IDS）、网络脆弱扫描产品、安全审计产品、网站恢复产品），根据《关于信息安全产品实施政府采购的通知》（财库〔2010〕48号）的规定，投标人必须在投标文件中提供中国网络安全审查技术与认证中心（原中国信息安全认证中心）颁发的有效的信息安全产品认证证书（加盖投标人公章），否则投标文件作无效处理。</w:t>
      </w:r>
    </w:p>
    <w:p w14:paraId="2EAC9C42">
      <w:pPr>
        <w:spacing w:line="360" w:lineRule="auto"/>
        <w:ind w:firstLine="424" w:firstLineChars="202"/>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p w14:paraId="7A814A87">
      <w:pPr>
        <w:numPr>
          <w:ilvl w:val="0"/>
          <w:numId w:val="1"/>
        </w:numPr>
        <w:spacing w:line="360" w:lineRule="auto"/>
        <w:ind w:firstLine="424" w:firstLineChars="202"/>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“实质性要求”是指招标文件中已经指明不满足则投标无效的条款，或者不能负偏离的条款，或者采购需求中带“▲”的条款。</w:t>
      </w:r>
    </w:p>
    <w:p w14:paraId="6A9FB55F">
      <w:pPr>
        <w:numPr>
          <w:ilvl w:val="0"/>
          <w:numId w:val="1"/>
        </w:numPr>
        <w:spacing w:line="360" w:lineRule="auto"/>
        <w:ind w:left="0" w:leftChars="0" w:firstLine="424" w:firstLineChars="202"/>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不需要投标人对采购需求响应为具体数值的，此采购需求的数值后将以◆号标注。</w:t>
      </w:r>
    </w:p>
    <w:p w14:paraId="0418AD2D">
      <w:pPr>
        <w:numPr>
          <w:ilvl w:val="0"/>
          <w:numId w:val="1"/>
        </w:numPr>
        <w:spacing w:line="360" w:lineRule="auto"/>
        <w:ind w:left="0" w:leftChars="0" w:firstLine="424" w:firstLineChars="202"/>
        <w:jc w:val="left"/>
        <w:rPr>
          <w:rFonts w:hint="eastAsia" w:ascii="宋体" w:hAnsi="宋体" w:eastAsia="宋体" w:cs="宋体"/>
          <w:color w:val="auto"/>
          <w:highlight w:val="none"/>
        </w:rPr>
      </w:pPr>
      <w:r>
        <w:rPr>
          <w:rFonts w:hint="eastAsia" w:ascii="宋体" w:hAnsi="宋体" w:eastAsia="宋体" w:cs="宋体"/>
          <w:color w:val="auto"/>
          <w:highlight w:val="none"/>
        </w:rPr>
        <w:t>如投标人投标产品存在侵犯他人的知识产权或者专利成果行为的，应承担相应法律责任。</w:t>
      </w:r>
    </w:p>
    <w:tbl>
      <w:tblPr>
        <w:tblStyle w:val="18"/>
        <w:tblW w:w="1067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81"/>
        <w:gridCol w:w="540"/>
        <w:gridCol w:w="855"/>
        <w:gridCol w:w="570"/>
        <w:gridCol w:w="525"/>
        <w:gridCol w:w="5640"/>
        <w:gridCol w:w="923"/>
        <w:gridCol w:w="1145"/>
      </w:tblGrid>
      <w:tr w14:paraId="0F8492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10679" w:type="dxa"/>
            <w:gridSpan w:val="8"/>
            <w:tcBorders>
              <w:top w:val="single" w:color="auto" w:sz="4" w:space="0"/>
            </w:tcBorders>
            <w:vAlign w:val="center"/>
          </w:tcPr>
          <w:p w14:paraId="5922B280">
            <w:pPr>
              <w:spacing w:line="320" w:lineRule="exact"/>
              <w:jc w:val="center"/>
              <w:rPr>
                <w:rFonts w:ascii="宋体" w:hAnsi="宋体" w:cs="宋体"/>
                <w:b/>
                <w:sz w:val="24"/>
                <w:highlight w:val="none"/>
              </w:rPr>
            </w:pPr>
            <w:r>
              <w:rPr>
                <w:rFonts w:hint="eastAsia" w:ascii="宋体" w:hAnsi="宋体" w:cs="宋体"/>
                <w:b/>
                <w:sz w:val="32"/>
                <w:szCs w:val="32"/>
                <w:highlight w:val="none"/>
              </w:rPr>
              <w:t>服务需求一览表</w:t>
            </w:r>
          </w:p>
        </w:tc>
      </w:tr>
      <w:tr w14:paraId="15E3E4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81" w:type="dxa"/>
            <w:vMerge w:val="restart"/>
            <w:tcBorders>
              <w:top w:val="single" w:color="auto" w:sz="4" w:space="0"/>
              <w:right w:val="single" w:color="auto" w:sz="4" w:space="0"/>
            </w:tcBorders>
            <w:vAlign w:val="center"/>
          </w:tcPr>
          <w:p w14:paraId="3B26C777">
            <w:pPr>
              <w:spacing w:line="360" w:lineRule="exact"/>
              <w:ind w:firstLine="420" w:firstLineChars="200"/>
              <w:rPr>
                <w:rFonts w:ascii="宋体" w:hAnsi="宋体" w:cs="宋体"/>
                <w:szCs w:val="21"/>
                <w:highlight w:val="none"/>
              </w:rPr>
            </w:pPr>
            <w:r>
              <w:rPr>
                <w:rFonts w:hint="eastAsia" w:ascii="宋体" w:hAnsi="宋体" w:cs="宋体"/>
                <w:szCs w:val="21"/>
                <w:highlight w:val="none"/>
              </w:rPr>
              <w:t>采购清单及技术参数</w:t>
            </w:r>
          </w:p>
        </w:tc>
        <w:tc>
          <w:tcPr>
            <w:tcW w:w="540"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588BA02D">
            <w:pPr>
              <w:spacing w:line="360" w:lineRule="exact"/>
              <w:jc w:val="center"/>
              <w:rPr>
                <w:rFonts w:ascii="宋体" w:hAnsi="宋体" w:cs="宋体"/>
                <w:szCs w:val="21"/>
                <w:highlight w:val="none"/>
              </w:rPr>
            </w:pPr>
            <w:r>
              <w:rPr>
                <w:rFonts w:hint="eastAsia" w:ascii="宋体" w:hAnsi="宋体" w:cs="宋体"/>
                <w:szCs w:val="21"/>
                <w:highlight w:val="none"/>
              </w:rPr>
              <w:t>序号</w:t>
            </w:r>
          </w:p>
        </w:tc>
        <w:tc>
          <w:tcPr>
            <w:tcW w:w="855" w:type="dxa"/>
            <w:tcBorders>
              <w:top w:val="single" w:color="auto" w:sz="4" w:space="0"/>
              <w:left w:val="single" w:color="auto" w:sz="4" w:space="0"/>
              <w:bottom w:val="single" w:color="auto" w:sz="4" w:space="0"/>
              <w:right w:val="single" w:color="auto" w:sz="4" w:space="0"/>
            </w:tcBorders>
            <w:vAlign w:val="center"/>
          </w:tcPr>
          <w:p w14:paraId="2A660C88">
            <w:pPr>
              <w:spacing w:line="360" w:lineRule="exact"/>
              <w:jc w:val="center"/>
              <w:rPr>
                <w:rFonts w:ascii="宋体" w:hAnsi="宋体" w:cs="宋体"/>
                <w:szCs w:val="21"/>
                <w:highlight w:val="none"/>
              </w:rPr>
            </w:pPr>
            <w:r>
              <w:rPr>
                <w:rFonts w:hint="eastAsia" w:ascii="宋体" w:hAnsi="宋体" w:cs="宋体"/>
                <w:szCs w:val="21"/>
                <w:highlight w:val="none"/>
              </w:rPr>
              <w:t>标的的名称</w:t>
            </w:r>
          </w:p>
        </w:tc>
        <w:tc>
          <w:tcPr>
            <w:tcW w:w="570" w:type="dxa"/>
            <w:tcBorders>
              <w:top w:val="single" w:color="auto" w:sz="4" w:space="0"/>
              <w:left w:val="single" w:color="auto" w:sz="4" w:space="0"/>
              <w:bottom w:val="single" w:color="auto" w:sz="4" w:space="0"/>
              <w:right w:val="single" w:color="auto" w:sz="4" w:space="0"/>
            </w:tcBorders>
            <w:vAlign w:val="center"/>
          </w:tcPr>
          <w:p w14:paraId="218A59AB">
            <w:pPr>
              <w:spacing w:line="360" w:lineRule="exact"/>
              <w:jc w:val="center"/>
              <w:rPr>
                <w:rFonts w:ascii="宋体" w:hAnsi="宋体" w:cs="宋体"/>
                <w:szCs w:val="21"/>
                <w:highlight w:val="none"/>
              </w:rPr>
            </w:pPr>
            <w:r>
              <w:rPr>
                <w:rFonts w:hint="eastAsia" w:ascii="宋体" w:hAnsi="宋体" w:cs="宋体"/>
                <w:szCs w:val="21"/>
                <w:highlight w:val="none"/>
              </w:rPr>
              <w:t>单位</w:t>
            </w:r>
          </w:p>
        </w:tc>
        <w:tc>
          <w:tcPr>
            <w:tcW w:w="525" w:type="dxa"/>
            <w:tcBorders>
              <w:top w:val="single" w:color="auto" w:sz="4" w:space="0"/>
              <w:left w:val="single" w:color="auto" w:sz="4" w:space="0"/>
              <w:bottom w:val="single" w:color="auto" w:sz="4" w:space="0"/>
              <w:right w:val="single" w:color="auto" w:sz="4" w:space="0"/>
            </w:tcBorders>
            <w:vAlign w:val="center"/>
          </w:tcPr>
          <w:p w14:paraId="7A7DECF1">
            <w:pPr>
              <w:spacing w:line="360" w:lineRule="exact"/>
              <w:jc w:val="center"/>
              <w:rPr>
                <w:rFonts w:ascii="宋体" w:hAnsi="宋体" w:cs="宋体"/>
                <w:szCs w:val="21"/>
                <w:highlight w:val="none"/>
              </w:rPr>
            </w:pPr>
            <w:r>
              <w:rPr>
                <w:rFonts w:hint="eastAsia" w:ascii="宋体" w:hAnsi="宋体" w:cs="宋体"/>
                <w:szCs w:val="21"/>
                <w:highlight w:val="none"/>
              </w:rPr>
              <w:t>数量</w:t>
            </w:r>
          </w:p>
        </w:tc>
        <w:tc>
          <w:tcPr>
            <w:tcW w:w="5640" w:type="dxa"/>
            <w:tcBorders>
              <w:top w:val="single" w:color="auto" w:sz="4" w:space="0"/>
              <w:left w:val="single" w:color="auto" w:sz="4" w:space="0"/>
              <w:bottom w:val="single" w:color="auto" w:sz="4" w:space="0"/>
              <w:right w:val="single" w:color="auto" w:sz="4" w:space="0"/>
            </w:tcBorders>
            <w:vAlign w:val="center"/>
          </w:tcPr>
          <w:p w14:paraId="45489F9E">
            <w:pPr>
              <w:spacing w:line="360" w:lineRule="exact"/>
              <w:jc w:val="center"/>
              <w:rPr>
                <w:rFonts w:ascii="宋体" w:hAnsi="宋体" w:cs="宋体"/>
                <w:szCs w:val="21"/>
                <w:highlight w:val="none"/>
              </w:rPr>
            </w:pPr>
            <w:r>
              <w:rPr>
                <w:rFonts w:hint="eastAsia" w:ascii="宋体" w:hAnsi="宋体" w:cs="宋体"/>
                <w:szCs w:val="21"/>
                <w:highlight w:val="none"/>
              </w:rPr>
              <w:t>服务参数</w:t>
            </w:r>
          </w:p>
        </w:tc>
        <w:tc>
          <w:tcPr>
            <w:tcW w:w="923" w:type="dxa"/>
            <w:tcBorders>
              <w:top w:val="single" w:color="auto" w:sz="4" w:space="0"/>
              <w:left w:val="single" w:color="auto" w:sz="4" w:space="0"/>
              <w:bottom w:val="single" w:color="auto" w:sz="4" w:space="0"/>
              <w:right w:val="single" w:color="auto" w:sz="4" w:space="0"/>
            </w:tcBorders>
            <w:vAlign w:val="center"/>
          </w:tcPr>
          <w:p w14:paraId="15297989">
            <w:pPr>
              <w:spacing w:line="360" w:lineRule="exact"/>
              <w:jc w:val="center"/>
              <w:rPr>
                <w:rFonts w:ascii="宋体" w:hAnsi="宋体" w:cs="宋体"/>
                <w:szCs w:val="21"/>
                <w:highlight w:val="none"/>
              </w:rPr>
            </w:pPr>
            <w:r>
              <w:rPr>
                <w:rFonts w:hint="eastAsia" w:ascii="宋体" w:hAnsi="宋体" w:cs="宋体"/>
                <w:szCs w:val="21"/>
                <w:highlight w:val="none"/>
              </w:rPr>
              <w:t>分项预算合计（元）</w:t>
            </w:r>
          </w:p>
        </w:tc>
        <w:tc>
          <w:tcPr>
            <w:tcW w:w="1145" w:type="dxa"/>
            <w:tcBorders>
              <w:top w:val="single" w:color="auto" w:sz="4" w:space="0"/>
              <w:left w:val="single" w:color="auto" w:sz="4" w:space="0"/>
              <w:bottom w:val="single" w:color="auto" w:sz="4" w:space="0"/>
            </w:tcBorders>
            <w:vAlign w:val="center"/>
          </w:tcPr>
          <w:p w14:paraId="507B1C33">
            <w:pPr>
              <w:spacing w:line="360" w:lineRule="exact"/>
              <w:jc w:val="center"/>
              <w:rPr>
                <w:rFonts w:ascii="宋体" w:hAnsi="宋体" w:cs="宋体"/>
                <w:szCs w:val="21"/>
                <w:highlight w:val="none"/>
              </w:rPr>
            </w:pPr>
            <w:r>
              <w:rPr>
                <w:rFonts w:hint="eastAsia" w:ascii="宋体" w:hAnsi="宋体" w:cs="宋体"/>
                <w:szCs w:val="21"/>
                <w:highlight w:val="none"/>
              </w:rPr>
              <w:t>中小企业划分标准所属行业名称（行业名称及划分见本章附件1）</w:t>
            </w:r>
          </w:p>
        </w:tc>
      </w:tr>
      <w:tr w14:paraId="6034E8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10" w:hRule="atLeast"/>
          <w:jc w:val="center"/>
        </w:trPr>
        <w:tc>
          <w:tcPr>
            <w:tcW w:w="481" w:type="dxa"/>
            <w:vMerge w:val="continue"/>
            <w:tcBorders>
              <w:right w:val="single" w:color="auto" w:sz="4" w:space="0"/>
            </w:tcBorders>
          </w:tcPr>
          <w:p w14:paraId="43262552">
            <w:pPr>
              <w:spacing w:line="360" w:lineRule="exact"/>
              <w:ind w:firstLine="422" w:firstLineChars="200"/>
              <w:jc w:val="center"/>
              <w:rPr>
                <w:rFonts w:ascii="宋体" w:hAnsi="宋体" w:cs="宋体"/>
                <w:b/>
                <w:bCs/>
                <w:highlight w:val="none"/>
              </w:rPr>
            </w:pPr>
          </w:p>
        </w:tc>
        <w:tc>
          <w:tcPr>
            <w:tcW w:w="540" w:type="dxa"/>
            <w:tcBorders>
              <w:top w:val="single" w:color="auto" w:sz="4" w:space="0"/>
              <w:left w:val="single" w:color="auto" w:sz="4" w:space="0"/>
              <w:right w:val="single" w:color="auto" w:sz="4" w:space="0"/>
            </w:tcBorders>
            <w:vAlign w:val="center"/>
          </w:tcPr>
          <w:p w14:paraId="66C28837">
            <w:pPr>
              <w:spacing w:line="360" w:lineRule="exact"/>
              <w:jc w:val="center"/>
              <w:rPr>
                <w:rFonts w:ascii="宋体" w:hAnsi="宋体" w:cs="宋体"/>
                <w:szCs w:val="21"/>
                <w:highlight w:val="none"/>
              </w:rPr>
            </w:pPr>
            <w:r>
              <w:rPr>
                <w:rFonts w:hint="eastAsia" w:ascii="宋体" w:hAnsi="宋体" w:cs="宋体"/>
                <w:szCs w:val="21"/>
                <w:highlight w:val="none"/>
              </w:rPr>
              <w:t>1</w:t>
            </w:r>
          </w:p>
        </w:tc>
        <w:tc>
          <w:tcPr>
            <w:tcW w:w="855" w:type="dxa"/>
            <w:tcBorders>
              <w:top w:val="single" w:color="auto" w:sz="4" w:space="0"/>
              <w:left w:val="single" w:color="auto" w:sz="4" w:space="0"/>
              <w:right w:val="single" w:color="auto" w:sz="4" w:space="0"/>
            </w:tcBorders>
            <w:vAlign w:val="center"/>
          </w:tcPr>
          <w:p w14:paraId="6184F47C">
            <w:pPr>
              <w:spacing w:line="360" w:lineRule="exact"/>
              <w:jc w:val="center"/>
              <w:rPr>
                <w:rFonts w:hint="eastAsia" w:ascii="宋体" w:hAnsi="宋体" w:eastAsia="宋体" w:cs="宋体"/>
                <w:szCs w:val="21"/>
                <w:highlight w:val="none"/>
                <w:lang w:eastAsia="zh-CN"/>
              </w:rPr>
            </w:pPr>
            <w:r>
              <w:rPr>
                <w:rFonts w:hint="eastAsia" w:ascii="宋体" w:hAnsi="宋体" w:cs="宋体"/>
                <w:szCs w:val="21"/>
                <w:highlight w:val="none"/>
                <w:lang w:eastAsia="zh-CN"/>
              </w:rPr>
              <w:t>2025年南宁市文化服务活动项目</w:t>
            </w:r>
          </w:p>
        </w:tc>
        <w:tc>
          <w:tcPr>
            <w:tcW w:w="570" w:type="dxa"/>
            <w:tcBorders>
              <w:top w:val="single" w:color="auto" w:sz="4" w:space="0"/>
              <w:left w:val="single" w:color="auto" w:sz="4" w:space="0"/>
              <w:right w:val="single" w:color="auto" w:sz="4" w:space="0"/>
            </w:tcBorders>
            <w:vAlign w:val="center"/>
          </w:tcPr>
          <w:p w14:paraId="4F68D399">
            <w:pPr>
              <w:spacing w:line="360" w:lineRule="exact"/>
              <w:jc w:val="center"/>
              <w:rPr>
                <w:rFonts w:ascii="宋体" w:hAnsi="宋体" w:cs="宋体"/>
                <w:szCs w:val="21"/>
                <w:highlight w:val="none"/>
              </w:rPr>
            </w:pPr>
            <w:r>
              <w:rPr>
                <w:rFonts w:hint="eastAsia" w:ascii="宋体" w:hAnsi="宋体" w:cs="宋体"/>
                <w:szCs w:val="21"/>
                <w:highlight w:val="none"/>
              </w:rPr>
              <w:t>项</w:t>
            </w:r>
          </w:p>
        </w:tc>
        <w:tc>
          <w:tcPr>
            <w:tcW w:w="525" w:type="dxa"/>
            <w:tcBorders>
              <w:top w:val="single" w:color="auto" w:sz="4" w:space="0"/>
              <w:left w:val="single" w:color="auto" w:sz="4" w:space="0"/>
              <w:right w:val="single" w:color="auto" w:sz="4" w:space="0"/>
            </w:tcBorders>
            <w:vAlign w:val="center"/>
          </w:tcPr>
          <w:p w14:paraId="4A0A22CE">
            <w:pPr>
              <w:spacing w:line="360" w:lineRule="exact"/>
              <w:jc w:val="center"/>
              <w:rPr>
                <w:rFonts w:ascii="宋体" w:hAnsi="宋体" w:cs="宋体"/>
                <w:szCs w:val="21"/>
                <w:highlight w:val="none"/>
              </w:rPr>
            </w:pPr>
            <w:r>
              <w:rPr>
                <w:rFonts w:hint="eastAsia" w:ascii="宋体" w:hAnsi="宋体" w:cs="宋体"/>
                <w:szCs w:val="21"/>
                <w:highlight w:val="none"/>
              </w:rPr>
              <w:t>1</w:t>
            </w:r>
          </w:p>
        </w:tc>
        <w:tc>
          <w:tcPr>
            <w:tcW w:w="5640" w:type="dxa"/>
            <w:tcBorders>
              <w:top w:val="single" w:color="auto" w:sz="4" w:space="0"/>
              <w:left w:val="single" w:color="auto" w:sz="4" w:space="0"/>
              <w:right w:val="single" w:color="auto" w:sz="4" w:space="0"/>
            </w:tcBorders>
            <w:vAlign w:val="center"/>
          </w:tcPr>
          <w:p w14:paraId="4D55DC43">
            <w:pPr>
              <w:snapToGrid w:val="0"/>
              <w:spacing w:line="360" w:lineRule="exact"/>
              <w:ind w:firstLine="422"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一、项目主题</w:t>
            </w:r>
          </w:p>
          <w:p w14:paraId="45EF821C">
            <w:pPr>
              <w:spacing w:line="36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“石榴结硕果 和美新时代”——第三届民族地区优秀美术作品交流展活动，是南宁市群众艺术馆开展地域性文化交流的一个新的尝试，活动以广西壮族自治区南宁市为起点，在全国五个民族自治区的城市进行巡回交流展览，该活动连续两年举办取得了圆满成功，形成了非常好的社会反响，促进了区域间文化艺术交流，推动了民族地区群众文化活动和文艺创作大繁荣大发展，增强文化认同,对建设各民族共有精神家园,铸牢中华民族共同体意识，全面推进民族团结进步事业，充分展现了文化是一个民族的魂魄这一重要作用，强化了文化认同是民族团结的根脉，促进了各民族在文化上相互尊重、相互欣赏，相互学习、相互借鉴。为了使该活动效应取得延续性影响及稳定持续的开展民族交流活动，2025年南宁市群众艺术馆拟举办“石榴结硕果 和美新时代”——第三届民族地区优秀美术作品交流展活动。</w:t>
            </w:r>
          </w:p>
          <w:p w14:paraId="57E195D7">
            <w:pPr>
              <w:spacing w:line="360" w:lineRule="exact"/>
              <w:ind w:firstLine="422" w:firstLineChars="200"/>
              <w:rPr>
                <w:rFonts w:hint="eastAsia"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二、展览时间、地点、作品数量</w:t>
            </w:r>
          </w:p>
          <w:p w14:paraId="17BA2209">
            <w:pPr>
              <w:spacing w:line="36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（一）展览时间（具体时间由采购人下达的文件通知为准）</w:t>
            </w:r>
          </w:p>
          <w:p w14:paraId="0F10F848">
            <w:pPr>
              <w:spacing w:line="36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1.南宁站：2025年</w:t>
            </w:r>
            <w:r>
              <w:rPr>
                <w:rFonts w:hint="eastAsia" w:ascii="宋体" w:hAnsi="宋体" w:cs="宋体"/>
                <w:color w:val="000000" w:themeColor="text1"/>
                <w:szCs w:val="21"/>
                <w:highlight w:val="none"/>
                <w:lang w:val="en-US" w:eastAsia="zh-CN"/>
                <w14:textFill>
                  <w14:solidFill>
                    <w14:schemeClr w14:val="tx1"/>
                  </w14:solidFill>
                </w14:textFill>
              </w:rPr>
              <w:t>6</w:t>
            </w:r>
            <w:r>
              <w:rPr>
                <w:rFonts w:hint="eastAsia" w:ascii="宋体" w:hAnsi="宋体" w:cs="宋体"/>
                <w:color w:val="000000" w:themeColor="text1"/>
                <w:szCs w:val="21"/>
                <w:highlight w:val="none"/>
                <w14:textFill>
                  <w14:solidFill>
                    <w14:schemeClr w14:val="tx1"/>
                  </w14:solidFill>
                </w14:textFill>
              </w:rPr>
              <w:t>月-7月</w:t>
            </w:r>
          </w:p>
          <w:p w14:paraId="586A637F">
            <w:pPr>
              <w:spacing w:line="36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2.省外站：2025年7月-11月</w:t>
            </w:r>
          </w:p>
          <w:p w14:paraId="185945BB">
            <w:pPr>
              <w:spacing w:line="36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3.每一站展期5-10天</w:t>
            </w:r>
          </w:p>
          <w:p w14:paraId="69C7CBFE">
            <w:pPr>
              <w:spacing w:line="36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（二）展览地点及场次</w:t>
            </w:r>
          </w:p>
          <w:p w14:paraId="3C8A5C2D">
            <w:pPr>
              <w:spacing w:line="36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1.场次：南宁1场、省外4场。</w:t>
            </w:r>
          </w:p>
          <w:p w14:paraId="2A3282B5">
            <w:pPr>
              <w:spacing w:line="36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2.南宁站：南宁市群众艺术馆美术展厅。</w:t>
            </w:r>
          </w:p>
          <w:p w14:paraId="3A2469CA">
            <w:pPr>
              <w:spacing w:line="36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3.省外站：首选西藏、宁夏、内蒙、新疆首府城市或采购人指定。</w:t>
            </w:r>
          </w:p>
          <w:p w14:paraId="415EB2CF">
            <w:pPr>
              <w:spacing w:line="36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4.省外要求：需举办四站并跨四个自治区，要求选用举办城市的专业艺术机构展厅（符合省外站列举名单优先考虑）。</w:t>
            </w:r>
          </w:p>
          <w:p w14:paraId="27764875">
            <w:pPr>
              <w:spacing w:line="36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（三）作品数量及规格</w:t>
            </w:r>
          </w:p>
          <w:p w14:paraId="29BB69BD">
            <w:pPr>
              <w:spacing w:line="36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1.中国画六尺、四尺整张（竖幅），六尺、四尺斗方。</w:t>
            </w:r>
          </w:p>
          <w:p w14:paraId="47E018E4">
            <w:pPr>
              <w:spacing w:line="36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2.油画、水彩、版画宽度要求1米至1.2米之间。</w:t>
            </w:r>
          </w:p>
          <w:p w14:paraId="36890B9B">
            <w:pPr>
              <w:spacing w:line="36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3.展出作品数量100幅以内。</w:t>
            </w:r>
          </w:p>
          <w:p w14:paraId="637654EC">
            <w:pPr>
              <w:spacing w:line="36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（四）作品要求</w:t>
            </w:r>
          </w:p>
          <w:p w14:paraId="6DCCC85F">
            <w:pPr>
              <w:spacing w:line="36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1.作品内容：作品需围绕民族团结进步、乡村振兴、城市建设、民俗风情，宣扬展现各民族的秀美河山和魅力人文，具有正能量。</w:t>
            </w:r>
          </w:p>
          <w:p w14:paraId="06340581">
            <w:pPr>
              <w:spacing w:line="36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2.参展作者要求：作者需来自五个自治区，市级美协会员不少于50幅，区级美协会员不少于20幅，国家级美协会员不少于5幅。</w:t>
            </w:r>
          </w:p>
          <w:p w14:paraId="4E34BB6C">
            <w:pPr>
              <w:spacing w:line="360" w:lineRule="exact"/>
              <w:ind w:firstLine="422" w:firstLineChars="200"/>
              <w:rPr>
                <w:rFonts w:hint="eastAsia"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三、工作内容</w:t>
            </w:r>
          </w:p>
          <w:p w14:paraId="24CC66D8">
            <w:pPr>
              <w:spacing w:line="36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（一）前期工作</w:t>
            </w:r>
          </w:p>
          <w:p w14:paraId="31373CE2">
            <w:pPr>
              <w:spacing w:line="36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1.协助开展作品征集活动，并组织专家对参展作品进行评选。</w:t>
            </w:r>
          </w:p>
          <w:p w14:paraId="52E4996D">
            <w:pPr>
              <w:spacing w:line="36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2.省外展览场地联络及档期确定，要求展览场地要在四个自治区城市的专业艺术机构展厅，展厅面积要求300平米以上（首府城市展厅优先考虑）。</w:t>
            </w:r>
          </w:p>
          <w:p w14:paraId="75BC9AFA">
            <w:pPr>
              <w:spacing w:line="36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3.作品装裱：</w:t>
            </w:r>
          </w:p>
          <w:p w14:paraId="227188B7">
            <w:pPr>
              <w:spacing w:line="36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中国画、水彩画、版画装裱要求：中国画托底需手工托裱，三种画作装框背板使用不小于0.5cm优质环保多层实木板，间隔不小于30cm*30cm打实木龙骨加固，画面使用5mm厚亚克力透明镜片保护并确保色彩不损失，装配后背面四角使用三角形加固板加固，并使用密封胶带密封接缝，画框使用原木色实木画框配卡纸及线边。</w:t>
            </w:r>
          </w:p>
          <w:p w14:paraId="21594EB4">
            <w:pPr>
              <w:spacing w:line="36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（2）油画使用不小于8CM以上实木框边及油画内衬，装配后背面四角使用三角形加固板加固。</w:t>
            </w:r>
          </w:p>
          <w:p w14:paraId="331C208D">
            <w:pPr>
              <w:spacing w:line="36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（3）需包含各种材料、人工、运输、包装等费用。</w:t>
            </w:r>
          </w:p>
          <w:p w14:paraId="05832616">
            <w:pPr>
              <w:spacing w:line="36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（4）所有作品装框和撤展后均需要使用卡纸四角包边保护。</w:t>
            </w:r>
          </w:p>
          <w:p w14:paraId="5720F2AF">
            <w:pPr>
              <w:spacing w:line="36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（二）展览部分</w:t>
            </w:r>
          </w:p>
          <w:p w14:paraId="34053082">
            <w:pPr>
              <w:spacing w:line="36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1.南宁站</w:t>
            </w:r>
          </w:p>
          <w:p w14:paraId="3B63419A">
            <w:pPr>
              <w:spacing w:line="36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（1）布置开展仪式</w:t>
            </w:r>
          </w:p>
          <w:p w14:paraId="5BEC051A">
            <w:pPr>
              <w:spacing w:line="36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①设计安装开幕式主题AI动画背景。</w:t>
            </w:r>
          </w:p>
          <w:p w14:paraId="176AF4F0">
            <w:pPr>
              <w:spacing w:line="36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②设计开幕式背景电子屏海报，并应用于开幕式倒计时触屏启动动画。</w:t>
            </w:r>
          </w:p>
          <w:p w14:paraId="23878FF0">
            <w:pPr>
              <w:spacing w:line="36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③设计安装作展厅门口主背景墙不小于3.6米*6米使用高清黑底喷绘布，UV印刷，使用卡钉固定安装。</w:t>
            </w:r>
          </w:p>
          <w:p w14:paraId="4E3A2F42">
            <w:pPr>
              <w:spacing w:line="36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④设计安装文化艺术长廊背景墙海报，使用3米*3.5米卡布灯箱布，UV印刷，手工安装。</w:t>
            </w:r>
          </w:p>
          <w:p w14:paraId="58048294">
            <w:pPr>
              <w:spacing w:line="36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⑤设计安装展厅内前言板使用3*4cm金属方通焊制，使用高清黑底喷绘布，UV印刷，使用卡钉固定安装。</w:t>
            </w:r>
          </w:p>
          <w:p w14:paraId="454E597D">
            <w:pPr>
              <w:spacing w:line="36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⑥设计安装展场立牌两个，使用5mmPVC板UV印刷制作展示内容。</w:t>
            </w:r>
          </w:p>
          <w:p w14:paraId="7261FC53">
            <w:pPr>
              <w:spacing w:line="36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⑦设计安装大门口大门横幅10米，二楼会议室横幅6米。</w:t>
            </w:r>
          </w:p>
          <w:p w14:paraId="7FED5DB3">
            <w:pPr>
              <w:spacing w:line="36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⑧设计安装全套作品标签，8*12cm要求使用5mmPVC每幅作品标签独立使用UV印刷，裁切单张，使用白色德国辉柏嘉宝贴胶黏土黏贴。</w:t>
            </w:r>
          </w:p>
          <w:p w14:paraId="26CCA6F3">
            <w:pPr>
              <w:spacing w:line="36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⑨租赁小线阵音响一套，并负责现场音响安装调试播放。</w:t>
            </w:r>
          </w:p>
          <w:p w14:paraId="01DD1A2B">
            <w:pPr>
              <w:spacing w:line="36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⑩开幕式现场布置相关工作。</w:t>
            </w:r>
          </w:p>
          <w:p w14:paraId="34992596">
            <w:pPr>
              <w:spacing w:line="36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⑪开幕式现场影像、图片直播记录</w:t>
            </w:r>
          </w:p>
          <w:p w14:paraId="23F4BE1B">
            <w:pPr>
              <w:spacing w:line="36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⑫设计以本次展览为主题的文创衍生品一套，内容包括帆布袋、手机架、书签、冰箱贴、笔记本。</w:t>
            </w:r>
          </w:p>
          <w:p w14:paraId="5F9FEEF1">
            <w:pPr>
              <w:spacing w:line="36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2.西藏、新疆、宁夏、内蒙四站展览</w:t>
            </w:r>
          </w:p>
          <w:p w14:paraId="22D74285">
            <w:pPr>
              <w:spacing w:line="36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协助地方馆方完成四站展览完成开幕式场地布置、桌椅摆放、音响安装、邀请函设计、物料设计、现场书画、影像记录等。</w:t>
            </w:r>
          </w:p>
          <w:p w14:paraId="50F3E219">
            <w:pPr>
              <w:spacing w:line="36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3.五城市展览的布展、撤展要求</w:t>
            </w:r>
          </w:p>
          <w:p w14:paraId="4B93A6A8">
            <w:pPr>
              <w:spacing w:line="36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（1）自备挂画钢丝绳，使用大S勾配2.5m1勾标准挂画钢丝绳。</w:t>
            </w:r>
          </w:p>
          <w:p w14:paraId="7EF2FDAC">
            <w:pPr>
              <w:spacing w:line="36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（2）布展、撤展，布撤展后场地清洁及标签黏贴留胶清洁处理。</w:t>
            </w:r>
          </w:p>
          <w:p w14:paraId="7269463F">
            <w:pPr>
              <w:spacing w:line="36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（3）作品标签配装使用白色德国辉柏嘉宝贴胶黏土黏贴。</w:t>
            </w:r>
          </w:p>
          <w:p w14:paraId="171B581B">
            <w:pPr>
              <w:spacing w:line="36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（4）南宁站分两次布展，首先在固定展厅展示部分作品，同期租赁1.2*3m展板，并于开幕式结束后搭建在开幕式场地，将剩余作品布展展示。</w:t>
            </w:r>
          </w:p>
          <w:p w14:paraId="0D34C033">
            <w:pPr>
              <w:spacing w:line="36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（5）展场灯光调试。</w:t>
            </w:r>
          </w:p>
          <w:p w14:paraId="1D3EC0E8">
            <w:pPr>
              <w:spacing w:line="36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4.五城市展览嘉宾邀约</w:t>
            </w:r>
          </w:p>
          <w:p w14:paraId="2BC30533">
            <w:pPr>
              <w:spacing w:line="36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（1）需邀请市级以上文联、美协、或政府领导参加展览开幕式。</w:t>
            </w:r>
          </w:p>
          <w:p w14:paraId="14E770D3">
            <w:pPr>
              <w:spacing w:line="36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（2）邀请当地美术界知名专家、学者参加展览开幕式（要求副高职称以上）。</w:t>
            </w:r>
          </w:p>
          <w:p w14:paraId="6BBF8105">
            <w:pPr>
              <w:spacing w:line="36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5.五城市展览宣传</w:t>
            </w:r>
          </w:p>
          <w:p w14:paraId="43D5DD96">
            <w:pPr>
              <w:spacing w:line="36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（1）开展前展览地与南宁本地的媒体宣传，不少于五家媒体，自有专业艺术类媒体有固定读者群并长期服务于书画艺术圈媒体者优先考虑。</w:t>
            </w:r>
          </w:p>
          <w:p w14:paraId="4BDB15FA">
            <w:pPr>
              <w:spacing w:line="36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（2）开展当天负责网络媒体、APP推送及当地主流媒体推送、电视台媒体发布等，不少于五家主流媒体，其中包括一家本地电视台。</w:t>
            </w:r>
          </w:p>
          <w:p w14:paraId="4CB51980">
            <w:pPr>
              <w:spacing w:line="36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（3）承担所有邀约工作。</w:t>
            </w:r>
          </w:p>
          <w:p w14:paraId="7CBFBB8B">
            <w:pPr>
              <w:spacing w:line="36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（4）拍摄现场照片及视频供媒体使用及采购人存档。</w:t>
            </w:r>
          </w:p>
          <w:p w14:paraId="396CA04D">
            <w:pPr>
              <w:spacing w:line="36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6.其他项目</w:t>
            </w:r>
          </w:p>
          <w:p w14:paraId="46E0679E">
            <w:pPr>
              <w:spacing w:line="36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（1）省外展览作品运输用外包装木箱打包，使用4*6木方框架+五合面板，根据作品尺寸打包，箱内作品使用气泡膜每幅独立包装后入箱防撞，保证作品安全（含材料、搬运、保险等）。</w:t>
            </w:r>
          </w:p>
          <w:p w14:paraId="323D2EEA">
            <w:pPr>
              <w:spacing w:line="36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（2）省外展览站点间的物流运输费用，必须使用全封闭式厢式货车运输，包含装车、卸车、保险等费用。</w:t>
            </w:r>
          </w:p>
          <w:p w14:paraId="104025DC">
            <w:pPr>
              <w:spacing w:line="36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（3）现场布置其他要求：</w:t>
            </w:r>
          </w:p>
          <w:p w14:paraId="6B18EF99">
            <w:pPr>
              <w:spacing w:line="36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①现场卡牌、桌椅布置。</w:t>
            </w:r>
          </w:p>
          <w:p w14:paraId="78692C48">
            <w:pPr>
              <w:spacing w:line="36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②现场影像摄录、现场语音录制。</w:t>
            </w:r>
          </w:p>
          <w:p w14:paraId="6B88FF4F">
            <w:pPr>
              <w:spacing w:line="36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③现场维护工作。</w:t>
            </w:r>
          </w:p>
          <w:p w14:paraId="186627D5">
            <w:pPr>
              <w:spacing w:line="360" w:lineRule="exact"/>
              <w:ind w:firstLine="422" w:firstLineChars="200"/>
              <w:rPr>
                <w:rFonts w:hint="eastAsia"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四、采购人的其他要求</w:t>
            </w:r>
          </w:p>
          <w:p w14:paraId="7FD5AD46">
            <w:pPr>
              <w:spacing w:line="36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1.提供服务能够达到或超出服务要求。</w:t>
            </w:r>
          </w:p>
          <w:p w14:paraId="66DCFC8E">
            <w:pPr>
              <w:spacing w:line="36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2.具有项目的策展及布展督导能力。</w:t>
            </w:r>
          </w:p>
          <w:p w14:paraId="4D7765E0">
            <w:pPr>
              <w:spacing w:line="360" w:lineRule="exact"/>
              <w:ind w:firstLine="420" w:firstLineChars="200"/>
              <w:rPr>
                <w:rFonts w:ascii="宋体" w:hAnsi="宋体" w:cs="宋体"/>
                <w:szCs w:val="21"/>
                <w:highlight w:val="none"/>
              </w:rPr>
            </w:pPr>
            <w:r>
              <w:rPr>
                <w:rFonts w:hint="eastAsia" w:ascii="宋体" w:hAnsi="宋体" w:cs="宋体"/>
                <w:color w:val="000000" w:themeColor="text1"/>
                <w:szCs w:val="21"/>
                <w:highlight w:val="none"/>
                <w14:textFill>
                  <w14:solidFill>
                    <w14:schemeClr w14:val="tx1"/>
                  </w14:solidFill>
                </w14:textFill>
              </w:rPr>
              <w:t>3.具有履行合同所必需的设备和专业技术能力，服务优质、态度良好。</w:t>
            </w:r>
          </w:p>
        </w:tc>
        <w:tc>
          <w:tcPr>
            <w:tcW w:w="923" w:type="dxa"/>
            <w:tcBorders>
              <w:top w:val="single" w:color="auto" w:sz="4" w:space="0"/>
              <w:left w:val="single" w:color="auto" w:sz="4" w:space="0"/>
              <w:right w:val="single" w:color="auto" w:sz="4" w:space="0"/>
            </w:tcBorders>
            <w:vAlign w:val="center"/>
          </w:tcPr>
          <w:p w14:paraId="4686FC24">
            <w:pPr>
              <w:snapToGrid w:val="0"/>
              <w:spacing w:line="360" w:lineRule="exact"/>
              <w:jc w:val="center"/>
              <w:rPr>
                <w:rFonts w:hint="eastAsia" w:ascii="宋体" w:hAnsi="宋体" w:eastAsia="宋体" w:cs="宋体"/>
                <w:szCs w:val="21"/>
                <w:highlight w:val="none"/>
                <w:lang w:eastAsia="zh-CN"/>
              </w:rPr>
            </w:pPr>
            <w:r>
              <w:rPr>
                <w:rFonts w:hint="eastAsia" w:ascii="宋体" w:hAnsi="宋体" w:cs="宋体"/>
                <w:szCs w:val="21"/>
                <w:highlight w:val="none"/>
                <w:lang w:eastAsia="zh-CN"/>
              </w:rPr>
              <w:t>550000.00</w:t>
            </w:r>
          </w:p>
        </w:tc>
        <w:tc>
          <w:tcPr>
            <w:tcW w:w="1145" w:type="dxa"/>
            <w:tcBorders>
              <w:top w:val="single" w:color="auto" w:sz="4" w:space="0"/>
              <w:left w:val="single" w:color="auto" w:sz="4" w:space="0"/>
              <w:bottom w:val="single" w:color="auto" w:sz="4" w:space="0"/>
            </w:tcBorders>
            <w:vAlign w:val="center"/>
          </w:tcPr>
          <w:p w14:paraId="46DA8911">
            <w:pPr>
              <w:snapToGrid w:val="0"/>
              <w:spacing w:line="360" w:lineRule="exact"/>
              <w:jc w:val="center"/>
              <w:rPr>
                <w:rFonts w:ascii="宋体" w:hAnsi="宋体" w:cs="宋体"/>
                <w:szCs w:val="21"/>
                <w:highlight w:val="none"/>
              </w:rPr>
            </w:pPr>
            <w:r>
              <w:rPr>
                <w:rFonts w:hint="eastAsia" w:ascii="宋体" w:hAnsi="宋体" w:cs="宋体"/>
                <w:color w:val="auto"/>
                <w:szCs w:val="21"/>
                <w:highlight w:val="none"/>
              </w:rPr>
              <w:t>租赁和商务服务业</w:t>
            </w:r>
          </w:p>
        </w:tc>
      </w:tr>
      <w:tr w14:paraId="002A2F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8" w:hRule="atLeast"/>
          <w:jc w:val="center"/>
        </w:trPr>
        <w:tc>
          <w:tcPr>
            <w:tcW w:w="1876" w:type="dxa"/>
            <w:gridSpan w:val="3"/>
            <w:tcBorders>
              <w:top w:val="single" w:color="auto" w:sz="4" w:space="0"/>
              <w:bottom w:val="single" w:color="auto" w:sz="4" w:space="0"/>
              <w:right w:val="single" w:color="auto" w:sz="4" w:space="0"/>
            </w:tcBorders>
            <w:vAlign w:val="center"/>
          </w:tcPr>
          <w:p w14:paraId="05659944">
            <w:pPr>
              <w:spacing w:line="360" w:lineRule="exact"/>
              <w:ind w:firstLine="420" w:firstLineChars="200"/>
              <w:jc w:val="center"/>
              <w:rPr>
                <w:rFonts w:ascii="宋体" w:hAnsi="宋体" w:cs="宋体"/>
                <w:highlight w:val="none"/>
              </w:rPr>
            </w:pPr>
          </w:p>
          <w:p w14:paraId="78524B88">
            <w:pPr>
              <w:spacing w:line="360" w:lineRule="exact"/>
              <w:ind w:firstLine="420" w:firstLineChars="200"/>
              <w:jc w:val="center"/>
              <w:rPr>
                <w:rFonts w:ascii="宋体" w:hAnsi="宋体" w:cs="宋体"/>
                <w:highlight w:val="none"/>
              </w:rPr>
            </w:pPr>
          </w:p>
          <w:p w14:paraId="61B35BE4">
            <w:pPr>
              <w:spacing w:line="360" w:lineRule="exact"/>
              <w:ind w:firstLine="420" w:firstLineChars="200"/>
              <w:jc w:val="center"/>
              <w:rPr>
                <w:rFonts w:ascii="宋体" w:hAnsi="宋体" w:cs="宋体"/>
                <w:highlight w:val="none"/>
              </w:rPr>
            </w:pPr>
            <w:r>
              <w:rPr>
                <w:rFonts w:hint="eastAsia" w:ascii="宋体" w:hAnsi="宋体" w:cs="宋体"/>
                <w:highlight w:val="none"/>
              </w:rPr>
              <w:t>商务条款</w:t>
            </w:r>
          </w:p>
        </w:tc>
        <w:tc>
          <w:tcPr>
            <w:tcW w:w="8803" w:type="dxa"/>
            <w:gridSpan w:val="5"/>
            <w:tcBorders>
              <w:top w:val="single" w:color="auto" w:sz="4" w:space="0"/>
              <w:left w:val="single" w:color="auto" w:sz="4" w:space="0"/>
              <w:bottom w:val="single" w:color="auto" w:sz="4" w:space="0"/>
            </w:tcBorders>
          </w:tcPr>
          <w:p w14:paraId="766CF9BE">
            <w:pPr>
              <w:spacing w:line="360" w:lineRule="exact"/>
              <w:ind w:firstLine="211" w:firstLineChars="100"/>
              <w:rPr>
                <w:rFonts w:ascii="宋体" w:hAnsi="宋体" w:cs="宋体"/>
                <w:bCs/>
                <w:szCs w:val="21"/>
                <w:highlight w:val="none"/>
              </w:rPr>
            </w:pPr>
            <w:r>
              <w:rPr>
                <w:rFonts w:hint="eastAsia" w:ascii="宋体" w:hAnsi="宋体" w:cs="宋体"/>
                <w:b/>
                <w:bCs w:val="0"/>
                <w:szCs w:val="21"/>
                <w:highlight w:val="none"/>
              </w:rPr>
              <w:t>一、合同签订期：</w:t>
            </w:r>
            <w:r>
              <w:rPr>
                <w:rFonts w:hint="eastAsia" w:ascii="宋体" w:hAnsi="宋体" w:cs="宋体"/>
                <w:bCs/>
                <w:szCs w:val="21"/>
                <w:highlight w:val="none"/>
              </w:rPr>
              <w:t>自中标通知书发出之日起25日内</w:t>
            </w:r>
          </w:p>
          <w:p w14:paraId="1EEB933C">
            <w:pPr>
              <w:spacing w:line="360" w:lineRule="exact"/>
              <w:rPr>
                <w:rFonts w:ascii="宋体" w:hAnsi="宋体" w:cs="宋体"/>
                <w:bCs/>
                <w:szCs w:val="21"/>
                <w:highlight w:val="none"/>
              </w:rPr>
            </w:pPr>
            <w:r>
              <w:rPr>
                <w:rFonts w:hint="eastAsia" w:ascii="宋体" w:hAnsi="宋体" w:cs="宋体"/>
                <w:szCs w:val="21"/>
                <w:highlight w:val="none"/>
              </w:rPr>
              <w:t>▲</w:t>
            </w:r>
            <w:r>
              <w:rPr>
                <w:rFonts w:hint="eastAsia" w:ascii="宋体" w:hAnsi="宋体" w:cs="宋体"/>
                <w:b/>
                <w:bCs w:val="0"/>
                <w:szCs w:val="21"/>
                <w:highlight w:val="none"/>
              </w:rPr>
              <w:t>二、服务期限：</w:t>
            </w:r>
            <w:r>
              <w:rPr>
                <w:rFonts w:hint="eastAsia" w:ascii="宋体" w:hAnsi="宋体" w:cs="宋体"/>
                <w:szCs w:val="21"/>
                <w:highlight w:val="none"/>
              </w:rPr>
              <w:t>自签订合同起至202</w:t>
            </w:r>
            <w:r>
              <w:rPr>
                <w:rFonts w:hint="eastAsia" w:ascii="宋体" w:hAnsi="宋体" w:cs="宋体"/>
                <w:szCs w:val="21"/>
                <w:highlight w:val="none"/>
                <w:lang w:val="en-US" w:eastAsia="zh-CN"/>
              </w:rPr>
              <w:t>5</w:t>
            </w:r>
            <w:r>
              <w:rPr>
                <w:rFonts w:hint="eastAsia" w:ascii="宋体" w:hAnsi="宋体" w:cs="宋体"/>
                <w:szCs w:val="21"/>
                <w:highlight w:val="none"/>
              </w:rPr>
              <w:t>年</w:t>
            </w:r>
            <w:r>
              <w:rPr>
                <w:rFonts w:hint="eastAsia" w:ascii="宋体" w:hAnsi="宋体" w:cs="宋体"/>
                <w:szCs w:val="21"/>
                <w:highlight w:val="none"/>
                <w:lang w:val="en-US" w:eastAsia="zh-CN"/>
              </w:rPr>
              <w:t>12</w:t>
            </w:r>
            <w:r>
              <w:rPr>
                <w:rFonts w:hint="eastAsia" w:ascii="宋体" w:hAnsi="宋体" w:cs="宋体"/>
                <w:szCs w:val="21"/>
                <w:highlight w:val="none"/>
              </w:rPr>
              <w:t>月</w:t>
            </w:r>
            <w:r>
              <w:rPr>
                <w:rFonts w:hint="eastAsia" w:ascii="宋体" w:hAnsi="宋体" w:cs="宋体"/>
                <w:szCs w:val="21"/>
                <w:highlight w:val="none"/>
                <w:lang w:val="en-US" w:eastAsia="zh-CN"/>
              </w:rPr>
              <w:t>31</w:t>
            </w:r>
            <w:r>
              <w:rPr>
                <w:rFonts w:hint="eastAsia" w:ascii="宋体" w:hAnsi="宋体" w:cs="宋体"/>
                <w:szCs w:val="21"/>
                <w:highlight w:val="none"/>
              </w:rPr>
              <w:t>日</w:t>
            </w:r>
          </w:p>
          <w:p w14:paraId="1E04FA03">
            <w:pPr>
              <w:spacing w:line="360" w:lineRule="exact"/>
              <w:rPr>
                <w:rFonts w:ascii="宋体" w:hAnsi="宋体" w:cs="宋体"/>
                <w:bCs/>
                <w:szCs w:val="21"/>
                <w:highlight w:val="none"/>
              </w:rPr>
            </w:pPr>
            <w:r>
              <w:rPr>
                <w:rFonts w:hint="eastAsia" w:ascii="宋体" w:hAnsi="宋体" w:cs="宋体"/>
                <w:szCs w:val="21"/>
                <w:highlight w:val="none"/>
              </w:rPr>
              <w:t>▲</w:t>
            </w:r>
            <w:r>
              <w:rPr>
                <w:rFonts w:hint="eastAsia" w:ascii="宋体" w:hAnsi="宋体" w:cs="宋体"/>
                <w:b/>
                <w:bCs/>
                <w:szCs w:val="21"/>
                <w:highlight w:val="none"/>
              </w:rPr>
              <w:t>三、服务地点：</w:t>
            </w:r>
            <w:r>
              <w:rPr>
                <w:rFonts w:hint="eastAsia" w:ascii="宋体" w:hAnsi="宋体" w:cs="宋体"/>
                <w:bCs/>
                <w:szCs w:val="21"/>
                <w:highlight w:val="none"/>
              </w:rPr>
              <w:t>采购单位指定地点</w:t>
            </w:r>
          </w:p>
          <w:p w14:paraId="2465E7C7">
            <w:pPr>
              <w:spacing w:line="360" w:lineRule="exact"/>
              <w:rPr>
                <w:rFonts w:ascii="宋体" w:hAnsi="宋体" w:cs="宋体"/>
                <w:bCs/>
                <w:szCs w:val="21"/>
                <w:highlight w:val="none"/>
              </w:rPr>
            </w:pPr>
            <w:r>
              <w:rPr>
                <w:rFonts w:hint="eastAsia" w:ascii="宋体" w:hAnsi="宋体" w:cs="宋体"/>
                <w:szCs w:val="21"/>
                <w:highlight w:val="none"/>
              </w:rPr>
              <w:t>▲</w:t>
            </w:r>
            <w:r>
              <w:rPr>
                <w:rFonts w:hint="eastAsia" w:ascii="宋体" w:hAnsi="宋体" w:cs="宋体"/>
                <w:b/>
                <w:bCs w:val="0"/>
                <w:szCs w:val="21"/>
                <w:highlight w:val="none"/>
              </w:rPr>
              <w:t>四、付款及结算方式</w:t>
            </w:r>
            <w:r>
              <w:rPr>
                <w:rFonts w:hint="eastAsia" w:ascii="宋体" w:hAnsi="宋体" w:cs="宋体"/>
                <w:bCs/>
                <w:szCs w:val="21"/>
                <w:highlight w:val="none"/>
              </w:rPr>
              <w:tab/>
            </w:r>
          </w:p>
          <w:p w14:paraId="6079418D">
            <w:pPr>
              <w:spacing w:line="360" w:lineRule="exact"/>
              <w:ind w:firstLine="420" w:firstLineChars="200"/>
              <w:rPr>
                <w:rFonts w:hint="eastAsia" w:ascii="宋体" w:hAnsi="宋体" w:cs="宋体"/>
                <w:bCs/>
                <w:szCs w:val="21"/>
                <w:highlight w:val="none"/>
              </w:rPr>
            </w:pPr>
            <w:r>
              <w:rPr>
                <w:rFonts w:hint="eastAsia" w:ascii="宋体" w:hAnsi="宋体" w:cs="宋体"/>
                <w:bCs/>
                <w:szCs w:val="21"/>
                <w:highlight w:val="none"/>
              </w:rPr>
              <w:t>1.合同签订10个工作日内向中标人支付该项合同金额的50%作为预付款，中标人开具相应的正规发票。</w:t>
            </w:r>
          </w:p>
          <w:p w14:paraId="78AD571A">
            <w:pPr>
              <w:spacing w:line="360" w:lineRule="exact"/>
              <w:ind w:firstLine="420" w:firstLineChars="200"/>
              <w:rPr>
                <w:rFonts w:hint="eastAsia" w:ascii="宋体" w:hAnsi="宋体" w:cs="宋体"/>
                <w:bCs/>
                <w:szCs w:val="21"/>
                <w:highlight w:val="none"/>
              </w:rPr>
            </w:pPr>
            <w:r>
              <w:rPr>
                <w:rFonts w:hint="eastAsia" w:ascii="宋体" w:hAnsi="宋体" w:cs="宋体"/>
                <w:bCs/>
                <w:szCs w:val="21"/>
                <w:highlight w:val="none"/>
              </w:rPr>
              <w:t>2.南宁站展览工作完工并验收均合格后10个工作日内支付该项合同金额的40%款项，中标人开具相应的正规发票。</w:t>
            </w:r>
          </w:p>
          <w:p w14:paraId="154FD76C">
            <w:pPr>
              <w:spacing w:line="360" w:lineRule="exact"/>
              <w:ind w:firstLine="420" w:firstLineChars="200"/>
              <w:rPr>
                <w:rFonts w:hint="eastAsia" w:ascii="宋体" w:hAnsi="宋体" w:cs="宋体"/>
                <w:bCs/>
                <w:szCs w:val="21"/>
                <w:highlight w:val="none"/>
              </w:rPr>
            </w:pPr>
            <w:r>
              <w:rPr>
                <w:rFonts w:hint="eastAsia" w:ascii="宋体" w:hAnsi="宋体" w:cs="宋体"/>
                <w:bCs/>
                <w:szCs w:val="21"/>
                <w:highlight w:val="none"/>
              </w:rPr>
              <w:t>3.省外巡展每次活动开幕后3个工作日内进行验收，总五场活动结束并验收均合格后10个工作日内向中标人支付该项合同金额的剩余价款，中标人根据收款情况开具相应的正规发票。</w:t>
            </w:r>
          </w:p>
          <w:p w14:paraId="525DE5D8">
            <w:pPr>
              <w:spacing w:line="360" w:lineRule="exact"/>
              <w:rPr>
                <w:rFonts w:ascii="宋体" w:hAnsi="宋体" w:cs="宋体"/>
                <w:bCs/>
                <w:szCs w:val="21"/>
                <w:highlight w:val="none"/>
              </w:rPr>
            </w:pPr>
            <w:r>
              <w:rPr>
                <w:rFonts w:hint="eastAsia" w:ascii="宋体" w:hAnsi="宋体" w:cs="宋体"/>
                <w:szCs w:val="21"/>
                <w:highlight w:val="none"/>
              </w:rPr>
              <w:t>▲</w:t>
            </w:r>
            <w:r>
              <w:rPr>
                <w:rFonts w:hint="eastAsia" w:ascii="宋体" w:hAnsi="宋体" w:cs="宋体"/>
                <w:b/>
                <w:bCs/>
                <w:szCs w:val="21"/>
                <w:highlight w:val="none"/>
              </w:rPr>
              <w:t>五、验收条件及标准：</w:t>
            </w:r>
            <w:r>
              <w:rPr>
                <w:rFonts w:hint="eastAsia" w:ascii="宋体" w:hAnsi="宋体" w:cs="宋体"/>
                <w:szCs w:val="21"/>
                <w:highlight w:val="none"/>
              </w:rPr>
              <w:t>每场活动方案严格按照项目要求和参数设计策划，由采购人按采购文件的技术要求及参数一一核对，尤其是对项目要求里省外展览场地、作品装裱及运输等一对一核对验收，并形成验收意见，如不符合不予验收通过</w:t>
            </w:r>
            <w:r>
              <w:rPr>
                <w:rFonts w:hint="eastAsia" w:ascii="宋体" w:hAnsi="宋体" w:cs="宋体"/>
                <w:bCs/>
                <w:szCs w:val="21"/>
                <w:highlight w:val="none"/>
              </w:rPr>
              <w:t>。</w:t>
            </w:r>
          </w:p>
          <w:p w14:paraId="373A6A49">
            <w:pPr>
              <w:spacing w:line="360" w:lineRule="exact"/>
              <w:rPr>
                <w:rFonts w:ascii="宋体" w:hAnsi="宋体" w:cs="宋体"/>
                <w:bCs/>
                <w:szCs w:val="21"/>
                <w:highlight w:val="none"/>
              </w:rPr>
            </w:pPr>
            <w:r>
              <w:rPr>
                <w:rFonts w:hint="eastAsia" w:ascii="宋体" w:hAnsi="宋体" w:cs="宋体"/>
                <w:szCs w:val="21"/>
                <w:highlight w:val="none"/>
              </w:rPr>
              <w:t>▲</w:t>
            </w:r>
            <w:r>
              <w:rPr>
                <w:rFonts w:hint="eastAsia" w:ascii="宋体" w:hAnsi="宋体" w:cs="宋体"/>
                <w:b/>
                <w:bCs w:val="0"/>
                <w:szCs w:val="21"/>
                <w:highlight w:val="none"/>
              </w:rPr>
              <w:t>六、报价要求</w:t>
            </w:r>
            <w:r>
              <w:rPr>
                <w:rFonts w:hint="eastAsia" w:ascii="宋体" w:hAnsi="宋体" w:cs="宋体"/>
                <w:bCs/>
                <w:szCs w:val="21"/>
                <w:highlight w:val="none"/>
              </w:rPr>
              <w:tab/>
            </w:r>
          </w:p>
          <w:p w14:paraId="423D8F2D">
            <w:pPr>
              <w:spacing w:line="360" w:lineRule="exact"/>
              <w:ind w:firstLine="420" w:firstLineChars="200"/>
              <w:rPr>
                <w:rFonts w:ascii="宋体" w:hAnsi="宋体" w:cs="宋体"/>
                <w:bCs/>
                <w:szCs w:val="21"/>
                <w:highlight w:val="none"/>
              </w:rPr>
            </w:pPr>
            <w:r>
              <w:rPr>
                <w:rFonts w:hint="eastAsia" w:ascii="宋体" w:hAnsi="宋体" w:cs="宋体"/>
                <w:bCs/>
                <w:szCs w:val="21"/>
                <w:highlight w:val="none"/>
              </w:rPr>
              <w:t>投标报价为采购人指定地点的现场交货价，包括：</w:t>
            </w:r>
          </w:p>
          <w:p w14:paraId="6EFB72B1">
            <w:pPr>
              <w:spacing w:line="360" w:lineRule="exact"/>
              <w:ind w:firstLine="420" w:firstLineChars="200"/>
              <w:rPr>
                <w:rFonts w:hint="eastAsia" w:ascii="宋体" w:hAnsi="宋体" w:cs="宋体"/>
                <w:bCs/>
                <w:szCs w:val="21"/>
                <w:highlight w:val="none"/>
              </w:rPr>
            </w:pPr>
            <w:r>
              <w:rPr>
                <w:rFonts w:hint="eastAsia" w:ascii="宋体" w:hAnsi="宋体" w:cs="宋体"/>
                <w:bCs/>
                <w:szCs w:val="21"/>
                <w:highlight w:val="none"/>
              </w:rPr>
              <w:t>（一）活动策划、省外展览场地联系咨询、场地租赁、整体规划和现场执行等费用</w:t>
            </w:r>
          </w:p>
          <w:p w14:paraId="751568D8">
            <w:pPr>
              <w:spacing w:line="360" w:lineRule="exact"/>
              <w:ind w:firstLine="420" w:firstLineChars="200"/>
              <w:rPr>
                <w:rFonts w:hint="eastAsia" w:ascii="宋体" w:hAnsi="宋体" w:cs="宋体"/>
                <w:bCs/>
                <w:szCs w:val="21"/>
                <w:highlight w:val="none"/>
              </w:rPr>
            </w:pPr>
            <w:r>
              <w:rPr>
                <w:rFonts w:hint="eastAsia" w:ascii="宋体" w:hAnsi="宋体" w:cs="宋体"/>
                <w:bCs/>
                <w:szCs w:val="21"/>
                <w:highlight w:val="none"/>
              </w:rPr>
              <w:t>1.包含联系省外展览场地发生的商务、会务费等费用。</w:t>
            </w:r>
          </w:p>
          <w:p w14:paraId="6BF501FF">
            <w:pPr>
              <w:spacing w:line="360" w:lineRule="exact"/>
              <w:ind w:firstLine="420" w:firstLineChars="200"/>
              <w:rPr>
                <w:rFonts w:hint="eastAsia" w:ascii="宋体" w:hAnsi="宋体" w:cs="宋体"/>
                <w:bCs/>
                <w:szCs w:val="21"/>
                <w:highlight w:val="none"/>
              </w:rPr>
            </w:pPr>
            <w:r>
              <w:rPr>
                <w:rFonts w:hint="eastAsia" w:ascii="宋体" w:hAnsi="宋体" w:cs="宋体"/>
                <w:bCs/>
                <w:szCs w:val="21"/>
                <w:highlight w:val="none"/>
              </w:rPr>
              <w:t>2.包含省外展览场地使用费用。</w:t>
            </w:r>
          </w:p>
          <w:p w14:paraId="785759DB">
            <w:pPr>
              <w:spacing w:line="360" w:lineRule="exact"/>
              <w:ind w:firstLine="420" w:firstLineChars="200"/>
              <w:rPr>
                <w:rFonts w:hint="eastAsia" w:ascii="宋体" w:hAnsi="宋体" w:cs="宋体"/>
                <w:bCs/>
                <w:szCs w:val="21"/>
                <w:highlight w:val="none"/>
              </w:rPr>
            </w:pPr>
            <w:r>
              <w:rPr>
                <w:rFonts w:hint="eastAsia" w:ascii="宋体" w:hAnsi="宋体" w:cs="宋体"/>
                <w:bCs/>
                <w:szCs w:val="21"/>
                <w:highlight w:val="none"/>
              </w:rPr>
              <w:t>3.包含规划服务费、现场执行费、税金、服务费。</w:t>
            </w:r>
          </w:p>
          <w:p w14:paraId="47A89BEE">
            <w:pPr>
              <w:spacing w:line="360" w:lineRule="exact"/>
              <w:ind w:firstLine="420" w:firstLineChars="200"/>
              <w:rPr>
                <w:rFonts w:hint="eastAsia" w:ascii="宋体" w:hAnsi="宋体" w:cs="宋体"/>
                <w:bCs/>
                <w:szCs w:val="21"/>
                <w:highlight w:val="none"/>
              </w:rPr>
            </w:pPr>
            <w:r>
              <w:rPr>
                <w:rFonts w:hint="eastAsia" w:ascii="宋体" w:hAnsi="宋体" w:cs="宋体"/>
                <w:bCs/>
                <w:szCs w:val="21"/>
                <w:highlight w:val="none"/>
              </w:rPr>
              <w:t>（二）物料设计、制作搭建费用</w:t>
            </w:r>
          </w:p>
          <w:p w14:paraId="0D1C5A42">
            <w:pPr>
              <w:spacing w:line="360" w:lineRule="exact"/>
              <w:ind w:firstLine="420" w:firstLineChars="200"/>
              <w:rPr>
                <w:rFonts w:hint="eastAsia" w:ascii="宋体" w:hAnsi="宋体" w:cs="宋体"/>
                <w:bCs/>
                <w:szCs w:val="21"/>
                <w:highlight w:val="none"/>
              </w:rPr>
            </w:pPr>
            <w:r>
              <w:rPr>
                <w:rFonts w:hint="eastAsia" w:ascii="宋体" w:hAnsi="宋体" w:cs="宋体"/>
                <w:bCs/>
                <w:szCs w:val="21"/>
                <w:highlight w:val="none"/>
              </w:rPr>
              <w:t>1.投标人在经过实地考察后，要根据每场展览活动场地和形式，在物料制作上提出建议方案，并负责每场展览的物料设计、制作、安装；</w:t>
            </w:r>
          </w:p>
          <w:p w14:paraId="21C9E6B9">
            <w:pPr>
              <w:spacing w:line="360" w:lineRule="exact"/>
              <w:ind w:firstLine="420" w:firstLineChars="200"/>
              <w:rPr>
                <w:rFonts w:hint="eastAsia" w:ascii="宋体" w:hAnsi="宋体" w:cs="宋体"/>
                <w:bCs/>
                <w:szCs w:val="21"/>
                <w:highlight w:val="none"/>
              </w:rPr>
            </w:pPr>
            <w:r>
              <w:rPr>
                <w:rFonts w:hint="eastAsia" w:ascii="宋体" w:hAnsi="宋体" w:cs="宋体"/>
                <w:bCs/>
                <w:szCs w:val="21"/>
                <w:highlight w:val="none"/>
              </w:rPr>
              <w:t>2.包含设计、校稿、送样、物料运输、现场搭建、安装调试、人工、交通、税金、部分餐水等费用；</w:t>
            </w:r>
          </w:p>
          <w:p w14:paraId="58FC0F64">
            <w:pPr>
              <w:spacing w:line="360" w:lineRule="exact"/>
              <w:ind w:firstLine="420" w:firstLineChars="200"/>
              <w:rPr>
                <w:rFonts w:hint="eastAsia" w:ascii="宋体" w:hAnsi="宋体" w:cs="宋体"/>
                <w:bCs/>
                <w:szCs w:val="21"/>
                <w:highlight w:val="none"/>
              </w:rPr>
            </w:pPr>
            <w:r>
              <w:rPr>
                <w:rFonts w:hint="eastAsia" w:ascii="宋体" w:hAnsi="宋体" w:cs="宋体"/>
                <w:bCs/>
                <w:szCs w:val="21"/>
                <w:highlight w:val="none"/>
              </w:rPr>
              <w:t>（三）参展作品的装裱、布展、撤展清场、材料、辅料、作品集等费用</w:t>
            </w:r>
          </w:p>
          <w:p w14:paraId="782871AE">
            <w:pPr>
              <w:spacing w:line="360" w:lineRule="exact"/>
              <w:ind w:firstLine="420" w:firstLineChars="200"/>
              <w:rPr>
                <w:rFonts w:hint="eastAsia" w:ascii="宋体" w:hAnsi="宋体" w:cs="宋体"/>
                <w:bCs/>
                <w:szCs w:val="21"/>
                <w:highlight w:val="none"/>
              </w:rPr>
            </w:pPr>
            <w:r>
              <w:rPr>
                <w:rFonts w:hint="eastAsia" w:ascii="宋体" w:hAnsi="宋体" w:cs="宋体"/>
                <w:bCs/>
                <w:szCs w:val="21"/>
                <w:highlight w:val="none"/>
              </w:rPr>
              <w:t>1.包含作品接收、装裱、撤展后外包装、省内外运输。</w:t>
            </w:r>
          </w:p>
          <w:p w14:paraId="5CD6777A">
            <w:pPr>
              <w:spacing w:line="360" w:lineRule="exact"/>
              <w:ind w:firstLine="420" w:firstLineChars="200"/>
              <w:rPr>
                <w:rFonts w:hint="eastAsia" w:ascii="宋体" w:hAnsi="宋体" w:cs="宋体"/>
                <w:bCs/>
                <w:szCs w:val="21"/>
                <w:highlight w:val="none"/>
              </w:rPr>
            </w:pPr>
            <w:r>
              <w:rPr>
                <w:rFonts w:hint="eastAsia" w:ascii="宋体" w:hAnsi="宋体" w:cs="宋体"/>
                <w:bCs/>
                <w:szCs w:val="21"/>
                <w:highlight w:val="none"/>
              </w:rPr>
              <w:t>2.包含布展费、撤展费、交通费、人工费、保险、税金等费用。</w:t>
            </w:r>
          </w:p>
          <w:p w14:paraId="4D35579F">
            <w:pPr>
              <w:spacing w:line="360" w:lineRule="exact"/>
              <w:ind w:firstLine="420" w:firstLineChars="200"/>
              <w:rPr>
                <w:rFonts w:hint="eastAsia" w:ascii="宋体" w:hAnsi="宋体" w:cs="宋体"/>
                <w:bCs/>
                <w:szCs w:val="21"/>
                <w:highlight w:val="none"/>
              </w:rPr>
            </w:pPr>
            <w:r>
              <w:rPr>
                <w:rFonts w:hint="eastAsia" w:ascii="宋体" w:hAnsi="宋体" w:cs="宋体"/>
                <w:bCs/>
                <w:szCs w:val="21"/>
                <w:highlight w:val="none"/>
              </w:rPr>
              <w:t>3.展览现场灯光师、音响师、电力保障、系统保障等等舞台设备操控技术人员费用。</w:t>
            </w:r>
          </w:p>
          <w:p w14:paraId="3572D88D">
            <w:pPr>
              <w:spacing w:line="360" w:lineRule="exact"/>
              <w:ind w:firstLine="420" w:firstLineChars="200"/>
              <w:rPr>
                <w:rFonts w:ascii="宋体" w:hAnsi="宋体" w:cs="宋体"/>
                <w:bCs/>
                <w:szCs w:val="21"/>
                <w:highlight w:val="none"/>
              </w:rPr>
            </w:pPr>
            <w:r>
              <w:rPr>
                <w:rFonts w:hint="eastAsia" w:ascii="宋体" w:hAnsi="宋体" w:cs="宋体"/>
                <w:bCs/>
                <w:szCs w:val="21"/>
                <w:highlight w:val="none"/>
              </w:rPr>
              <w:t>4.嘉宾邀约、电视录播费用、网络直播费、媒体宣传费、其他必要的消防安全保障费用、保险费用和各项税金，即是本项目里服务内容及要求所产生的所有费用。</w:t>
            </w:r>
          </w:p>
          <w:p w14:paraId="3534673C">
            <w:pPr>
              <w:spacing w:line="360" w:lineRule="exact"/>
              <w:ind w:firstLine="211" w:firstLineChars="100"/>
              <w:rPr>
                <w:rFonts w:ascii="宋体" w:hAnsi="宋体" w:cs="宋体"/>
                <w:b/>
                <w:bCs/>
                <w:szCs w:val="21"/>
                <w:highlight w:val="none"/>
              </w:rPr>
            </w:pPr>
            <w:r>
              <w:rPr>
                <w:rFonts w:hint="eastAsia" w:ascii="宋体" w:hAnsi="宋体" w:cs="宋体"/>
                <w:b/>
                <w:bCs/>
                <w:szCs w:val="21"/>
                <w:highlight w:val="none"/>
              </w:rPr>
              <w:t>七、其他要求</w:t>
            </w:r>
          </w:p>
          <w:p w14:paraId="47CA977F">
            <w:pPr>
              <w:spacing w:line="360" w:lineRule="exact"/>
              <w:ind w:firstLine="210" w:firstLineChars="100"/>
              <w:rPr>
                <w:rFonts w:hint="eastAsia" w:ascii="宋体" w:hAnsi="宋体" w:cs="宋体"/>
                <w:bCs/>
                <w:szCs w:val="21"/>
                <w:highlight w:val="none"/>
              </w:rPr>
            </w:pPr>
            <w:r>
              <w:rPr>
                <w:rFonts w:hint="eastAsia" w:ascii="宋体" w:hAnsi="宋体" w:cs="宋体"/>
                <w:bCs/>
                <w:szCs w:val="21"/>
                <w:highlight w:val="none"/>
              </w:rPr>
              <w:t>▲1.本项目是政府公益性文化惠民工程，活动策划设计中拒绝任何商业形式广告收益，包括冠名赞助、演出现场广告招商等任何与本项目无关内容。</w:t>
            </w:r>
          </w:p>
          <w:p w14:paraId="3CF441B0">
            <w:pPr>
              <w:spacing w:line="360" w:lineRule="exact"/>
              <w:ind w:firstLine="210" w:firstLineChars="100"/>
              <w:rPr>
                <w:rFonts w:hint="eastAsia" w:ascii="宋体" w:hAnsi="宋体" w:cs="宋体"/>
                <w:bCs/>
                <w:szCs w:val="21"/>
                <w:highlight w:val="none"/>
              </w:rPr>
            </w:pPr>
            <w:r>
              <w:rPr>
                <w:rFonts w:hint="eastAsia" w:ascii="宋体" w:hAnsi="宋体" w:cs="宋体"/>
                <w:bCs/>
                <w:szCs w:val="21"/>
                <w:highlight w:val="none"/>
              </w:rPr>
              <w:t>▲2.投标人必须承诺当本项目资金已经使用完毕，但是项目内容还没有完成时，中标成交单位必须无条件继续执行本项目内容，且费用自行承担。</w:t>
            </w:r>
          </w:p>
          <w:p w14:paraId="3A9CCFE6">
            <w:pPr>
              <w:spacing w:line="360" w:lineRule="exact"/>
              <w:ind w:firstLine="210" w:firstLineChars="100"/>
              <w:rPr>
                <w:rFonts w:hint="eastAsia" w:ascii="宋体" w:hAnsi="宋体" w:cs="宋体"/>
                <w:bCs/>
                <w:szCs w:val="21"/>
                <w:highlight w:val="none"/>
              </w:rPr>
            </w:pPr>
            <w:r>
              <w:rPr>
                <w:rFonts w:hint="eastAsia" w:ascii="宋体" w:hAnsi="宋体" w:cs="宋体"/>
                <w:bCs/>
                <w:szCs w:val="21"/>
                <w:highlight w:val="none"/>
              </w:rPr>
              <w:t>▲3.投标人必须承诺按采购人的要求，组织邀请相关专家参与创意策划，其发生的所有费用包含在投标报价中，费用控制在合理范围内。</w:t>
            </w:r>
          </w:p>
          <w:p w14:paraId="2602E1B4">
            <w:pPr>
              <w:spacing w:line="360" w:lineRule="exact"/>
              <w:ind w:firstLine="420" w:firstLineChars="200"/>
              <w:rPr>
                <w:rFonts w:hint="eastAsia" w:ascii="宋体" w:hAnsi="宋体" w:cs="宋体"/>
                <w:bCs/>
                <w:szCs w:val="21"/>
                <w:highlight w:val="none"/>
              </w:rPr>
            </w:pPr>
            <w:r>
              <w:rPr>
                <w:rFonts w:hint="eastAsia" w:ascii="宋体" w:hAnsi="宋体" w:cs="宋体"/>
                <w:bCs/>
                <w:szCs w:val="21"/>
                <w:highlight w:val="none"/>
              </w:rPr>
              <w:t>4.根据活动主题的实际情况，投标人必须承诺按采购人的要求，积极配合对已选定的活动策划设计方案进行相应的修改或调整，直至审核通过。并按采购人最终确定的方案实施，所发生的修改或调整费用已经包含在投标报价中。</w:t>
            </w:r>
          </w:p>
          <w:p w14:paraId="07160156">
            <w:pPr>
              <w:spacing w:line="360" w:lineRule="exact"/>
              <w:ind w:firstLine="210" w:firstLineChars="100"/>
              <w:rPr>
                <w:rFonts w:hint="eastAsia" w:ascii="宋体" w:hAnsi="宋体" w:cs="宋体"/>
                <w:bCs/>
                <w:szCs w:val="21"/>
                <w:highlight w:val="none"/>
              </w:rPr>
            </w:pPr>
            <w:r>
              <w:rPr>
                <w:rFonts w:hint="eastAsia" w:ascii="宋体" w:hAnsi="宋体" w:cs="宋体"/>
                <w:bCs/>
                <w:szCs w:val="21"/>
                <w:highlight w:val="none"/>
              </w:rPr>
              <w:t>▲5.中标人必须严格按照投标文件中投入人员配置表里的人员执行本项目和安排工作岗位，如在现场执行或验收中发现实际投入人员与投标文件中投入人员配置表不符，即视为虚假投标不予验收通过，并终止本合同，退回之前活动所支付的所有费用，赔偿采购人全部损失。</w:t>
            </w:r>
          </w:p>
          <w:p w14:paraId="47CC7265">
            <w:pPr>
              <w:spacing w:line="360" w:lineRule="exact"/>
              <w:ind w:firstLine="210" w:firstLineChars="100"/>
              <w:rPr>
                <w:rFonts w:hint="eastAsia" w:ascii="宋体" w:hAnsi="宋体" w:cs="宋体"/>
                <w:bCs/>
                <w:szCs w:val="21"/>
                <w:highlight w:val="none"/>
              </w:rPr>
            </w:pPr>
            <w:r>
              <w:rPr>
                <w:rFonts w:hint="eastAsia" w:ascii="宋体" w:hAnsi="宋体" w:cs="宋体"/>
                <w:bCs/>
                <w:szCs w:val="21"/>
                <w:highlight w:val="none"/>
              </w:rPr>
              <w:t>▲6.活动策划方案是作为结算的依据和最终所需方案展览的费用，采购方有权要求中标供应商修改不合理的策划方案和不满意的服务状况，确保为每场展览活动提供优质、高效的专业服务。</w:t>
            </w:r>
          </w:p>
          <w:p w14:paraId="7C23B328">
            <w:pPr>
              <w:spacing w:line="360" w:lineRule="exact"/>
              <w:ind w:firstLine="420" w:firstLineChars="200"/>
              <w:rPr>
                <w:rFonts w:hint="eastAsia" w:ascii="宋体" w:hAnsi="宋体" w:cs="宋体"/>
                <w:bCs/>
                <w:szCs w:val="21"/>
                <w:highlight w:val="none"/>
              </w:rPr>
            </w:pPr>
            <w:r>
              <w:rPr>
                <w:rFonts w:hint="eastAsia" w:ascii="宋体" w:hAnsi="宋体" w:cs="宋体"/>
                <w:bCs/>
                <w:szCs w:val="21"/>
                <w:highlight w:val="none"/>
              </w:rPr>
              <w:t>7.中标供应商根据南宁市群众艺术馆给的展览活动主题，必须两天内做出详细的活动方案，包括：展览活动流程、展览档期方案、物料设计效果图、作品运输方案、作品装裱方案等。</w:t>
            </w:r>
          </w:p>
          <w:p w14:paraId="219CCBD0">
            <w:pPr>
              <w:spacing w:line="360" w:lineRule="exact"/>
              <w:ind w:firstLine="210" w:firstLineChars="100"/>
              <w:rPr>
                <w:rFonts w:hint="eastAsia" w:ascii="宋体" w:hAnsi="宋体" w:cs="宋体"/>
                <w:bCs/>
                <w:szCs w:val="21"/>
                <w:highlight w:val="none"/>
              </w:rPr>
            </w:pPr>
            <w:r>
              <w:rPr>
                <w:rFonts w:hint="eastAsia" w:ascii="宋体" w:hAnsi="宋体" w:cs="宋体"/>
                <w:bCs/>
                <w:szCs w:val="21"/>
                <w:highlight w:val="none"/>
              </w:rPr>
              <w:t>▲8.在活动中中标供应商将负责展览活动搭建人员的人身安全，以及对展览活动中因中标供应商自身原因造成的人员安全事故或财产损失承担全部责任，对上述情况的发生，中标供应商应给予妥善处理，严禁由于上述原因影响采购方正常工作和影响采购方形象的情况发生。</w:t>
            </w:r>
          </w:p>
          <w:p w14:paraId="7F146F1F">
            <w:pPr>
              <w:spacing w:line="360" w:lineRule="exact"/>
              <w:ind w:firstLine="420" w:firstLineChars="200"/>
              <w:rPr>
                <w:rFonts w:hint="eastAsia" w:ascii="宋体" w:hAnsi="宋体" w:cs="宋体"/>
                <w:bCs/>
                <w:szCs w:val="21"/>
                <w:highlight w:val="none"/>
              </w:rPr>
            </w:pPr>
            <w:r>
              <w:rPr>
                <w:rFonts w:hint="eastAsia" w:ascii="宋体" w:hAnsi="宋体" w:cs="宋体"/>
                <w:bCs/>
                <w:szCs w:val="21"/>
                <w:highlight w:val="none"/>
              </w:rPr>
              <w:t>9.策划方案通过审核后中标人履约期间如更换省外场地，需向采购人提交书面申请及情况说明，经采购人书面同意后方可进行。</w:t>
            </w:r>
          </w:p>
          <w:p w14:paraId="7C20DFE1">
            <w:pPr>
              <w:spacing w:line="360" w:lineRule="exact"/>
              <w:ind w:firstLine="210" w:firstLineChars="100"/>
              <w:rPr>
                <w:rFonts w:hint="eastAsia" w:ascii="宋体" w:hAnsi="宋体" w:cs="宋体"/>
                <w:bCs/>
                <w:szCs w:val="21"/>
                <w:highlight w:val="none"/>
              </w:rPr>
            </w:pPr>
            <w:r>
              <w:rPr>
                <w:rFonts w:hint="eastAsia" w:ascii="宋体" w:hAnsi="宋体" w:cs="宋体"/>
                <w:bCs/>
                <w:szCs w:val="21"/>
                <w:highlight w:val="none"/>
              </w:rPr>
              <w:t>▲10.如中标人的服务达不到招标文件的服务内容及要求时，采购人有权要求中标方予以调整修改，乙方在接到采购人书面通知后，更换具有相应资质并经采购人认可的异地展场响应时间不大于24小时，否则，采购人有权中止合同并停止支付相应费用。</w:t>
            </w:r>
          </w:p>
          <w:p w14:paraId="74DA0073">
            <w:pPr>
              <w:spacing w:line="360" w:lineRule="exact"/>
              <w:ind w:firstLine="420" w:firstLineChars="200"/>
              <w:rPr>
                <w:rFonts w:hint="eastAsia" w:ascii="宋体" w:hAnsi="宋体" w:cs="宋体"/>
                <w:bCs/>
                <w:szCs w:val="21"/>
                <w:highlight w:val="none"/>
              </w:rPr>
            </w:pPr>
            <w:r>
              <w:rPr>
                <w:rFonts w:hint="eastAsia" w:ascii="宋体" w:hAnsi="宋体" w:cs="宋体"/>
                <w:bCs/>
                <w:szCs w:val="21"/>
                <w:highlight w:val="none"/>
              </w:rPr>
              <w:t>11.中标人提交的成果以满足项目内容及效果为准，并经采购人审核确认后方完成验收工作。</w:t>
            </w:r>
          </w:p>
          <w:p w14:paraId="669FF7C2">
            <w:pPr>
              <w:spacing w:line="360" w:lineRule="exact"/>
              <w:ind w:firstLine="210" w:firstLineChars="100"/>
              <w:rPr>
                <w:rFonts w:hint="eastAsia" w:ascii="宋体" w:hAnsi="宋体" w:cs="宋体"/>
                <w:bCs/>
                <w:szCs w:val="21"/>
                <w:highlight w:val="none"/>
              </w:rPr>
            </w:pPr>
            <w:r>
              <w:rPr>
                <w:rFonts w:hint="eastAsia" w:ascii="宋体" w:hAnsi="宋体" w:cs="宋体"/>
                <w:bCs/>
                <w:szCs w:val="21"/>
                <w:highlight w:val="none"/>
              </w:rPr>
              <w:t>▲12.中标方严格遵守职业道德，严守采购人商业机密，不向第三方泄露本项目涉及的所有内容和事项。</w:t>
            </w:r>
          </w:p>
          <w:p w14:paraId="3C161BB3">
            <w:pPr>
              <w:spacing w:line="360" w:lineRule="exact"/>
              <w:ind w:firstLine="420" w:firstLineChars="200"/>
              <w:rPr>
                <w:rFonts w:hint="eastAsia" w:ascii="宋体" w:hAnsi="宋体" w:cs="宋体"/>
                <w:bCs/>
                <w:szCs w:val="21"/>
                <w:highlight w:val="none"/>
              </w:rPr>
            </w:pPr>
            <w:r>
              <w:rPr>
                <w:rFonts w:hint="eastAsia" w:ascii="宋体" w:hAnsi="宋体" w:cs="宋体"/>
                <w:bCs/>
                <w:szCs w:val="21"/>
                <w:highlight w:val="none"/>
              </w:rPr>
              <w:t>13.展览前言、新闻通稿、各宣传单位的资讯宣传等各种资料需要相关部门审批通过。</w:t>
            </w:r>
          </w:p>
          <w:p w14:paraId="778205DA">
            <w:pPr>
              <w:spacing w:line="360" w:lineRule="exact"/>
              <w:ind w:firstLine="420" w:firstLineChars="200"/>
              <w:rPr>
                <w:rFonts w:hint="eastAsia" w:ascii="宋体" w:hAnsi="宋体" w:cs="宋体"/>
                <w:bCs/>
                <w:szCs w:val="21"/>
                <w:highlight w:val="none"/>
              </w:rPr>
            </w:pPr>
            <w:r>
              <w:rPr>
                <w:rFonts w:hint="eastAsia" w:ascii="宋体" w:hAnsi="宋体" w:cs="宋体"/>
                <w:bCs/>
                <w:szCs w:val="21"/>
                <w:highlight w:val="none"/>
              </w:rPr>
              <w:t>14.中标供应商未按招标文件中的内容提供服务或服务未达标准的，相应责任由中标供应商自负。</w:t>
            </w:r>
          </w:p>
          <w:p w14:paraId="772DA5C8">
            <w:pPr>
              <w:spacing w:line="360" w:lineRule="exact"/>
              <w:ind w:firstLine="420" w:firstLineChars="200"/>
              <w:rPr>
                <w:rFonts w:hint="eastAsia" w:ascii="宋体" w:hAnsi="宋体" w:cs="宋体"/>
                <w:bCs/>
                <w:szCs w:val="21"/>
                <w:highlight w:val="none"/>
              </w:rPr>
            </w:pPr>
            <w:r>
              <w:rPr>
                <w:rFonts w:hint="eastAsia" w:ascii="宋体" w:hAnsi="宋体" w:cs="宋体"/>
                <w:bCs/>
                <w:szCs w:val="21"/>
                <w:highlight w:val="none"/>
              </w:rPr>
              <w:t>15.采购人对已经执行的展览活动总结、审核、验收发现问题时，中标供应商不认真重视，并连续2次或累计3次未按要求及时整改的，相应责任和后果由中标供应商自负。</w:t>
            </w:r>
          </w:p>
          <w:p w14:paraId="61E12EDF">
            <w:pPr>
              <w:spacing w:line="360" w:lineRule="exact"/>
              <w:ind w:firstLine="210" w:firstLineChars="100"/>
              <w:rPr>
                <w:rFonts w:hint="eastAsia" w:ascii="宋体" w:hAnsi="宋体" w:cs="宋体"/>
                <w:bCs/>
                <w:szCs w:val="21"/>
                <w:highlight w:val="none"/>
              </w:rPr>
            </w:pPr>
            <w:r>
              <w:rPr>
                <w:rFonts w:hint="eastAsia" w:ascii="宋体" w:hAnsi="宋体" w:cs="宋体"/>
                <w:bCs/>
                <w:szCs w:val="21"/>
                <w:highlight w:val="none"/>
              </w:rPr>
              <w:t>▲16.策划方案通过审核后，中标供应商必须严格执行该方案，按照方案拟定的展览场地认真组织、筹划进行各项工作，如发现并未按通过方案拟定人员进行，每发现1名，将扣除总合同款5%。如采购人对中标方项目服务过程或成果达不到项目目标及效果时，经双方多次商洽仍不达到采购人要求的，采购人有权解除合同。未通过验收部分或未完成部分，采购人无需向中标人支付相应的费用。</w:t>
            </w:r>
          </w:p>
          <w:p w14:paraId="60BD3C02">
            <w:pPr>
              <w:spacing w:line="360" w:lineRule="exact"/>
              <w:ind w:firstLine="420" w:firstLineChars="200"/>
              <w:rPr>
                <w:rFonts w:hint="eastAsia" w:ascii="宋体" w:hAnsi="宋体" w:cs="宋体"/>
                <w:bCs/>
                <w:szCs w:val="21"/>
                <w:highlight w:val="none"/>
              </w:rPr>
            </w:pPr>
            <w:r>
              <w:rPr>
                <w:rFonts w:hint="eastAsia" w:ascii="宋体" w:hAnsi="宋体" w:cs="宋体"/>
                <w:bCs/>
                <w:szCs w:val="21"/>
                <w:highlight w:val="none"/>
              </w:rPr>
              <w:t>17.中标方必须严格按照合同要求约定于合同期满时完成整体项目验收工作，如中标人原因造成项目延期的，采购人将扣除项目全款；如中标人延期交付服务造成严重后果的，所造成的社会影响及经济损失均由中标人承担，采购人有权就所造成的损失向中标人追究法律责任。</w:t>
            </w:r>
          </w:p>
          <w:p w14:paraId="5AAB9B05">
            <w:pPr>
              <w:spacing w:line="360" w:lineRule="exact"/>
              <w:ind w:firstLine="210" w:firstLineChars="100"/>
              <w:rPr>
                <w:rFonts w:hint="eastAsia" w:ascii="宋体" w:hAnsi="宋体" w:cs="宋体"/>
                <w:bCs/>
                <w:szCs w:val="21"/>
                <w:highlight w:val="none"/>
              </w:rPr>
            </w:pPr>
            <w:r>
              <w:rPr>
                <w:rFonts w:hint="eastAsia" w:ascii="宋体" w:hAnsi="宋体" w:cs="宋体"/>
                <w:bCs/>
                <w:szCs w:val="21"/>
                <w:highlight w:val="none"/>
              </w:rPr>
              <w:t>▲18.如采购人对中标方项目服务过程或成果达不到项目目标及效果时，经双方多次商洽仍不达到采购人要求的，采购人有权解除合同。未通过验收部分或未完成部分，采购人无需向中标人支付相应的费用。</w:t>
            </w:r>
          </w:p>
          <w:p w14:paraId="0603998F">
            <w:pPr>
              <w:spacing w:line="360" w:lineRule="exact"/>
              <w:ind w:firstLine="420" w:firstLineChars="200"/>
              <w:rPr>
                <w:rFonts w:hint="eastAsia" w:ascii="宋体" w:hAnsi="宋体" w:cs="宋体"/>
                <w:bCs/>
                <w:szCs w:val="21"/>
                <w:highlight w:val="none"/>
              </w:rPr>
            </w:pPr>
            <w:r>
              <w:rPr>
                <w:rFonts w:hint="eastAsia" w:ascii="宋体" w:hAnsi="宋体" w:cs="宋体"/>
                <w:bCs/>
                <w:szCs w:val="21"/>
                <w:highlight w:val="none"/>
              </w:rPr>
              <w:t>19.中标人必须对采购人本项目所有内容及事项严格保密。</w:t>
            </w:r>
          </w:p>
          <w:p w14:paraId="643BBBD7">
            <w:pPr>
              <w:spacing w:line="360" w:lineRule="exact"/>
              <w:ind w:firstLine="420" w:firstLineChars="200"/>
              <w:rPr>
                <w:rFonts w:hint="eastAsia" w:ascii="宋体" w:hAnsi="宋体" w:cs="宋体"/>
                <w:bCs/>
                <w:szCs w:val="21"/>
                <w:highlight w:val="none"/>
              </w:rPr>
            </w:pPr>
            <w:r>
              <w:rPr>
                <w:rFonts w:hint="eastAsia" w:ascii="宋体" w:hAnsi="宋体" w:cs="宋体"/>
                <w:bCs/>
                <w:szCs w:val="21"/>
                <w:highlight w:val="none"/>
              </w:rPr>
              <w:t>20.如因政策原因影响本项目实施时，由双方协商解决相关问题。</w:t>
            </w:r>
          </w:p>
          <w:p w14:paraId="0674A1D3">
            <w:pPr>
              <w:spacing w:line="360" w:lineRule="exact"/>
              <w:ind w:firstLine="420" w:firstLineChars="200"/>
              <w:rPr>
                <w:rFonts w:hint="eastAsia" w:ascii="宋体" w:hAnsi="宋体" w:cs="宋体"/>
                <w:bCs/>
                <w:szCs w:val="21"/>
                <w:highlight w:val="none"/>
              </w:rPr>
            </w:pPr>
            <w:r>
              <w:rPr>
                <w:rFonts w:hint="eastAsia" w:ascii="宋体" w:hAnsi="宋体" w:cs="宋体"/>
                <w:bCs/>
                <w:szCs w:val="21"/>
                <w:highlight w:val="none"/>
              </w:rPr>
              <w:t>21.中标供应商中标后不能将服务外包给第三方管理和执行。</w:t>
            </w:r>
          </w:p>
          <w:p w14:paraId="4D6E5B7D">
            <w:pPr>
              <w:spacing w:line="360" w:lineRule="exact"/>
              <w:ind w:firstLine="420" w:firstLineChars="200"/>
              <w:rPr>
                <w:rFonts w:ascii="宋体" w:hAnsi="宋体" w:cs="宋体"/>
                <w:bCs/>
                <w:szCs w:val="21"/>
                <w:highlight w:val="none"/>
              </w:rPr>
            </w:pPr>
            <w:r>
              <w:rPr>
                <w:rFonts w:hint="eastAsia" w:ascii="宋体" w:hAnsi="宋体" w:cs="宋体"/>
                <w:bCs/>
                <w:szCs w:val="21"/>
                <w:highlight w:val="none"/>
              </w:rPr>
              <w:t>22.采购人有权通过传媒或者其他形式介绍、展示或评价策划设计方案。</w:t>
            </w:r>
          </w:p>
          <w:p w14:paraId="5F6EE6A8">
            <w:pPr>
              <w:spacing w:line="360" w:lineRule="exact"/>
              <w:rPr>
                <w:rFonts w:ascii="宋体" w:hAnsi="宋体" w:cs="宋体"/>
                <w:bCs/>
                <w:szCs w:val="21"/>
                <w:highlight w:val="none"/>
              </w:rPr>
            </w:pPr>
            <w:r>
              <w:rPr>
                <w:rFonts w:hint="eastAsia" w:ascii="宋体" w:hAnsi="宋体" w:cs="宋体"/>
                <w:szCs w:val="21"/>
                <w:highlight w:val="none"/>
              </w:rPr>
              <w:t>▲</w:t>
            </w:r>
            <w:r>
              <w:rPr>
                <w:rFonts w:hint="eastAsia" w:ascii="宋体" w:hAnsi="宋体" w:cs="宋体"/>
                <w:b/>
                <w:bCs/>
                <w:szCs w:val="21"/>
                <w:highlight w:val="none"/>
              </w:rPr>
              <w:t>八、采购人的特殊要求及说明</w:t>
            </w:r>
            <w:r>
              <w:rPr>
                <w:rFonts w:hint="eastAsia" w:ascii="宋体" w:hAnsi="宋体" w:cs="宋体"/>
                <w:bCs/>
                <w:szCs w:val="21"/>
                <w:highlight w:val="none"/>
              </w:rPr>
              <w:tab/>
            </w:r>
          </w:p>
          <w:p w14:paraId="296AFE62">
            <w:pPr>
              <w:spacing w:line="360" w:lineRule="exact"/>
              <w:ind w:firstLine="420" w:firstLineChars="200"/>
              <w:rPr>
                <w:highlight w:val="none"/>
              </w:rPr>
            </w:pPr>
            <w:r>
              <w:rPr>
                <w:rFonts w:hint="eastAsia" w:ascii="宋体" w:hAnsi="宋体" w:cs="宋体"/>
                <w:bCs/>
                <w:szCs w:val="21"/>
                <w:highlight w:val="none"/>
              </w:rPr>
              <w:t>知识产权:采购人在中华人民共和国境内使用中标人提供的产品及服务时免受第三方提出的侵犯其专利权或其它知识产权的起诉。如果第三方提出侵权指控，中标人应承担由此而引起的一切法律责任和费用。</w:t>
            </w:r>
          </w:p>
        </w:tc>
      </w:tr>
    </w:tbl>
    <w:p w14:paraId="5A690A1D">
      <w:pPr>
        <w:pStyle w:val="26"/>
        <w:outlineLvl w:val="9"/>
        <w:rPr>
          <w:rFonts w:hint="eastAsia" w:ascii="宋体" w:hAnsi="宋体" w:eastAsia="宋体" w:cs="宋体"/>
          <w:color w:val="auto"/>
          <w:highlight w:val="none"/>
        </w:rPr>
      </w:pPr>
    </w:p>
    <w:p w14:paraId="7CFFB107">
      <w:pPr>
        <w:pStyle w:val="26"/>
        <w:outlineLvl w:val="9"/>
        <w:rPr>
          <w:rFonts w:hint="eastAsia" w:ascii="宋体" w:hAnsi="宋体" w:eastAsia="宋体" w:cs="宋体"/>
          <w:color w:val="auto"/>
          <w:highlight w:val="none"/>
        </w:rPr>
      </w:pPr>
    </w:p>
    <w:p w14:paraId="1621536C">
      <w:pPr>
        <w:spacing w:line="428" w:lineRule="exact"/>
        <w:ind w:left="119"/>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00C7F7C2">
      <w:pPr>
        <w:spacing w:line="428" w:lineRule="exact"/>
        <w:ind w:left="119"/>
        <w:rPr>
          <w:rFonts w:hint="eastAsia" w:ascii="宋体" w:hAnsi="宋体" w:eastAsia="宋体" w:cs="宋体"/>
          <w:color w:val="auto"/>
          <w:sz w:val="32"/>
          <w:szCs w:val="32"/>
          <w:highlight w:val="none"/>
        </w:rPr>
      </w:pPr>
    </w:p>
    <w:p w14:paraId="5BA9630A">
      <w:pPr>
        <w:spacing w:line="428" w:lineRule="exact"/>
        <w:ind w:left="119"/>
        <w:rPr>
          <w:rFonts w:hint="eastAsia" w:ascii="宋体" w:hAnsi="宋体" w:eastAsia="宋体" w:cs="宋体"/>
          <w:color w:val="auto"/>
          <w:sz w:val="32"/>
          <w:szCs w:val="32"/>
          <w:highlight w:val="none"/>
        </w:rPr>
      </w:pPr>
    </w:p>
    <w:p w14:paraId="55D50C8F">
      <w:pPr>
        <w:spacing w:line="428" w:lineRule="exact"/>
        <w:ind w:left="119"/>
        <w:rPr>
          <w:rFonts w:hint="eastAsia" w:ascii="宋体" w:hAnsi="宋体" w:eastAsia="宋体" w:cs="宋体"/>
          <w:color w:val="auto"/>
          <w:sz w:val="32"/>
          <w:szCs w:val="32"/>
          <w:highlight w:val="none"/>
        </w:rPr>
      </w:pPr>
    </w:p>
    <w:p w14:paraId="30059E11">
      <w:pPr>
        <w:spacing w:line="428" w:lineRule="exact"/>
        <w:ind w:left="119"/>
        <w:rPr>
          <w:rFonts w:hint="eastAsia" w:ascii="宋体" w:hAnsi="宋体" w:eastAsia="宋体" w:cs="宋体"/>
          <w:color w:val="auto"/>
          <w:sz w:val="32"/>
          <w:szCs w:val="32"/>
          <w:highlight w:val="none"/>
        </w:rPr>
      </w:pPr>
    </w:p>
    <w:p w14:paraId="4330711A">
      <w:pPr>
        <w:spacing w:line="428" w:lineRule="exact"/>
        <w:ind w:left="119"/>
        <w:rPr>
          <w:rFonts w:hint="eastAsia" w:ascii="宋体" w:hAnsi="宋体" w:eastAsia="宋体" w:cs="宋体"/>
          <w:color w:val="auto"/>
          <w:sz w:val="32"/>
          <w:szCs w:val="32"/>
          <w:highlight w:val="none"/>
        </w:rPr>
      </w:pPr>
    </w:p>
    <w:p w14:paraId="5C886691">
      <w:pPr>
        <w:spacing w:line="428" w:lineRule="exact"/>
        <w:ind w:left="119"/>
        <w:rPr>
          <w:rFonts w:hint="eastAsia" w:ascii="宋体" w:hAnsi="宋体" w:eastAsia="宋体" w:cs="宋体"/>
          <w:color w:val="auto"/>
          <w:sz w:val="32"/>
          <w:szCs w:val="32"/>
          <w:highlight w:val="none"/>
        </w:rPr>
      </w:pPr>
    </w:p>
    <w:p w14:paraId="31E91FDD">
      <w:pPr>
        <w:spacing w:line="428" w:lineRule="exact"/>
        <w:ind w:left="119"/>
        <w:rPr>
          <w:rFonts w:hint="eastAsia" w:ascii="宋体" w:hAnsi="宋体" w:eastAsia="宋体" w:cs="宋体"/>
          <w:color w:val="auto"/>
          <w:sz w:val="32"/>
          <w:szCs w:val="32"/>
          <w:highlight w:val="none"/>
        </w:rPr>
      </w:pPr>
    </w:p>
    <w:p w14:paraId="46185C96">
      <w:pPr>
        <w:spacing w:line="428" w:lineRule="exact"/>
        <w:ind w:left="119"/>
        <w:rPr>
          <w:rFonts w:hint="eastAsia" w:ascii="宋体" w:hAnsi="宋体" w:eastAsia="宋体" w:cs="宋体"/>
          <w:color w:val="auto"/>
          <w:sz w:val="32"/>
          <w:szCs w:val="32"/>
          <w:highlight w:val="none"/>
        </w:rPr>
      </w:pPr>
    </w:p>
    <w:p w14:paraId="535FE7AC">
      <w:pPr>
        <w:spacing w:line="428" w:lineRule="exact"/>
        <w:ind w:left="119"/>
        <w:rPr>
          <w:rFonts w:hint="eastAsia" w:ascii="宋体" w:hAnsi="宋体" w:eastAsia="宋体" w:cs="宋体"/>
          <w:color w:val="auto"/>
          <w:sz w:val="32"/>
          <w:szCs w:val="32"/>
          <w:highlight w:val="none"/>
        </w:rPr>
      </w:pPr>
    </w:p>
    <w:p w14:paraId="56A1555A">
      <w:pPr>
        <w:spacing w:line="428" w:lineRule="exact"/>
        <w:ind w:left="119"/>
        <w:rPr>
          <w:rFonts w:hint="eastAsia" w:ascii="宋体" w:hAnsi="宋体" w:eastAsia="宋体" w:cs="宋体"/>
          <w:color w:val="auto"/>
          <w:sz w:val="32"/>
          <w:szCs w:val="32"/>
          <w:highlight w:val="none"/>
        </w:rPr>
      </w:pPr>
    </w:p>
    <w:p w14:paraId="6DCF8E84">
      <w:pPr>
        <w:spacing w:line="428" w:lineRule="exact"/>
        <w:ind w:left="119"/>
        <w:rPr>
          <w:rFonts w:hint="eastAsia" w:ascii="宋体" w:hAnsi="宋体" w:eastAsia="宋体" w:cs="宋体"/>
          <w:color w:val="auto"/>
          <w:sz w:val="32"/>
          <w:szCs w:val="32"/>
          <w:highlight w:val="none"/>
        </w:rPr>
      </w:pPr>
    </w:p>
    <w:p w14:paraId="14D6D7E2">
      <w:pPr>
        <w:spacing w:line="428" w:lineRule="exact"/>
        <w:ind w:left="119"/>
        <w:rPr>
          <w:rFonts w:hint="eastAsia" w:ascii="宋体" w:hAnsi="宋体" w:eastAsia="宋体" w:cs="宋体"/>
          <w:color w:val="auto"/>
          <w:sz w:val="32"/>
          <w:szCs w:val="32"/>
          <w:highlight w:val="none"/>
        </w:rPr>
      </w:pPr>
    </w:p>
    <w:p w14:paraId="11223D8B">
      <w:pPr>
        <w:spacing w:line="428" w:lineRule="exact"/>
        <w:ind w:left="119"/>
        <w:rPr>
          <w:rFonts w:hint="eastAsia" w:ascii="宋体" w:hAnsi="宋体" w:eastAsia="宋体" w:cs="宋体"/>
          <w:color w:val="auto"/>
          <w:sz w:val="32"/>
          <w:szCs w:val="32"/>
          <w:highlight w:val="none"/>
        </w:rPr>
      </w:pPr>
    </w:p>
    <w:p w14:paraId="32583712">
      <w:pPr>
        <w:spacing w:line="428" w:lineRule="exact"/>
        <w:ind w:left="119"/>
        <w:rPr>
          <w:rFonts w:hint="eastAsia" w:ascii="宋体" w:hAnsi="宋体" w:eastAsia="宋体" w:cs="宋体"/>
          <w:color w:val="auto"/>
          <w:sz w:val="32"/>
          <w:szCs w:val="32"/>
          <w:highlight w:val="none"/>
        </w:rPr>
      </w:pPr>
    </w:p>
    <w:p w14:paraId="2C997A40">
      <w:pPr>
        <w:spacing w:line="428" w:lineRule="exact"/>
        <w:ind w:left="119"/>
        <w:rPr>
          <w:rFonts w:hint="eastAsia" w:ascii="宋体" w:hAnsi="宋体" w:eastAsia="宋体" w:cs="宋体"/>
          <w:color w:val="auto"/>
          <w:sz w:val="32"/>
          <w:szCs w:val="32"/>
          <w:highlight w:val="none"/>
        </w:rPr>
      </w:pPr>
    </w:p>
    <w:p w14:paraId="3E5BBE1A">
      <w:pPr>
        <w:spacing w:line="428" w:lineRule="exact"/>
        <w:ind w:left="119"/>
        <w:rPr>
          <w:rFonts w:hint="eastAsia" w:ascii="宋体" w:hAnsi="宋体" w:eastAsia="宋体" w:cs="宋体"/>
          <w:color w:val="auto"/>
          <w:sz w:val="32"/>
          <w:szCs w:val="32"/>
          <w:highlight w:val="none"/>
        </w:rPr>
      </w:pPr>
    </w:p>
    <w:p w14:paraId="0BF7C0B9">
      <w:pPr>
        <w:spacing w:line="428" w:lineRule="exact"/>
        <w:ind w:left="119"/>
        <w:rPr>
          <w:rFonts w:hint="eastAsia" w:ascii="宋体" w:hAnsi="宋体" w:eastAsia="宋体" w:cs="宋体"/>
          <w:color w:val="auto"/>
          <w:sz w:val="32"/>
          <w:szCs w:val="32"/>
          <w:highlight w:val="none"/>
        </w:rPr>
      </w:pPr>
    </w:p>
    <w:p w14:paraId="16AB2F26">
      <w:pPr>
        <w:spacing w:line="428" w:lineRule="exact"/>
        <w:ind w:left="119"/>
        <w:rPr>
          <w:rFonts w:hint="eastAsia" w:ascii="宋体" w:hAnsi="宋体" w:eastAsia="宋体" w:cs="宋体"/>
          <w:color w:val="auto"/>
          <w:sz w:val="32"/>
          <w:szCs w:val="32"/>
          <w:highlight w:val="none"/>
        </w:rPr>
      </w:pPr>
    </w:p>
    <w:p w14:paraId="7562942A">
      <w:pPr>
        <w:spacing w:line="428" w:lineRule="exact"/>
        <w:ind w:left="11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附件1：</w:t>
      </w:r>
    </w:p>
    <w:p w14:paraId="6ADCE91A">
      <w:pPr>
        <w:spacing w:before="7"/>
        <w:rPr>
          <w:rFonts w:hint="eastAsia" w:ascii="宋体" w:hAnsi="宋体" w:eastAsia="宋体" w:cs="宋体"/>
          <w:color w:val="auto"/>
          <w:sz w:val="17"/>
          <w:szCs w:val="17"/>
          <w:highlight w:val="none"/>
        </w:rPr>
      </w:pPr>
    </w:p>
    <w:p w14:paraId="3EF64C54">
      <w:pPr>
        <w:spacing w:line="528" w:lineRule="exact"/>
        <w:jc w:val="center"/>
        <w:rPr>
          <w:rFonts w:hint="eastAsia" w:ascii="宋体" w:hAnsi="宋体" w:eastAsia="宋体" w:cs="宋体"/>
          <w:color w:val="auto"/>
          <w:sz w:val="40"/>
          <w:szCs w:val="40"/>
          <w:highlight w:val="none"/>
        </w:rPr>
      </w:pPr>
      <w:r>
        <w:rPr>
          <w:rFonts w:hint="eastAsia" w:ascii="宋体" w:hAnsi="宋体" w:eastAsia="宋体" w:cs="宋体"/>
          <w:color w:val="auto"/>
          <w:sz w:val="40"/>
          <w:szCs w:val="40"/>
          <w:highlight w:val="none"/>
        </w:rPr>
        <w:t>中小微企业划型标准</w:t>
      </w:r>
    </w:p>
    <w:tbl>
      <w:tblPr>
        <w:tblStyle w:val="18"/>
        <w:tblW w:w="9623" w:type="dxa"/>
        <w:jc w:val="center"/>
        <w:tblLayout w:type="fixed"/>
        <w:tblCellMar>
          <w:top w:w="0" w:type="dxa"/>
          <w:left w:w="108" w:type="dxa"/>
          <w:bottom w:w="0" w:type="dxa"/>
          <w:right w:w="108" w:type="dxa"/>
        </w:tblCellMar>
      </w:tblPr>
      <w:tblGrid>
        <w:gridCol w:w="3091"/>
        <w:gridCol w:w="1383"/>
        <w:gridCol w:w="913"/>
        <w:gridCol w:w="1619"/>
        <w:gridCol w:w="1439"/>
        <w:gridCol w:w="1178"/>
      </w:tblGrid>
      <w:tr w14:paraId="379A4877">
        <w:tblPrEx>
          <w:tblCellMar>
            <w:top w:w="0" w:type="dxa"/>
            <w:left w:w="108" w:type="dxa"/>
            <w:bottom w:w="0" w:type="dxa"/>
            <w:right w:w="108" w:type="dxa"/>
          </w:tblCellMar>
        </w:tblPrEx>
        <w:trPr>
          <w:trHeight w:val="285" w:hRule="atLeast"/>
          <w:jc w:val="center"/>
        </w:trPr>
        <w:tc>
          <w:tcPr>
            <w:tcW w:w="3091" w:type="dxa"/>
            <w:tcBorders>
              <w:top w:val="single" w:color="auto" w:sz="4" w:space="0"/>
              <w:left w:val="single" w:color="auto" w:sz="4" w:space="0"/>
              <w:bottom w:val="single" w:color="auto" w:sz="4" w:space="0"/>
              <w:right w:val="single" w:color="auto" w:sz="4" w:space="0"/>
            </w:tcBorders>
            <w:vAlign w:val="center"/>
          </w:tcPr>
          <w:p w14:paraId="1CACA12B">
            <w:pPr>
              <w:widowControl/>
              <w:jc w:val="cente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行业名称</w:t>
            </w:r>
          </w:p>
        </w:tc>
        <w:tc>
          <w:tcPr>
            <w:tcW w:w="1383" w:type="dxa"/>
            <w:tcBorders>
              <w:top w:val="single" w:color="auto" w:sz="4" w:space="0"/>
              <w:left w:val="nil"/>
              <w:bottom w:val="single" w:color="auto" w:sz="4" w:space="0"/>
              <w:right w:val="single" w:color="auto" w:sz="4" w:space="0"/>
            </w:tcBorders>
            <w:vAlign w:val="center"/>
          </w:tcPr>
          <w:p w14:paraId="393123FB">
            <w:pPr>
              <w:widowControl/>
              <w:jc w:val="cente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指标名称</w:t>
            </w:r>
          </w:p>
        </w:tc>
        <w:tc>
          <w:tcPr>
            <w:tcW w:w="913" w:type="dxa"/>
            <w:tcBorders>
              <w:top w:val="single" w:color="auto" w:sz="4" w:space="0"/>
              <w:left w:val="nil"/>
              <w:bottom w:val="single" w:color="auto" w:sz="4" w:space="0"/>
              <w:right w:val="single" w:color="auto" w:sz="4" w:space="0"/>
            </w:tcBorders>
            <w:vAlign w:val="center"/>
          </w:tcPr>
          <w:p w14:paraId="52F5A651">
            <w:pPr>
              <w:widowControl/>
              <w:jc w:val="cente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计量单位</w:t>
            </w:r>
          </w:p>
        </w:tc>
        <w:tc>
          <w:tcPr>
            <w:tcW w:w="1619" w:type="dxa"/>
            <w:tcBorders>
              <w:top w:val="single" w:color="auto" w:sz="4" w:space="0"/>
              <w:left w:val="nil"/>
              <w:bottom w:val="single" w:color="auto" w:sz="4" w:space="0"/>
              <w:right w:val="single" w:color="auto" w:sz="4" w:space="0"/>
            </w:tcBorders>
            <w:vAlign w:val="center"/>
          </w:tcPr>
          <w:p w14:paraId="5B5DFCC4">
            <w:pPr>
              <w:widowControl/>
              <w:jc w:val="cente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中型</w:t>
            </w:r>
          </w:p>
        </w:tc>
        <w:tc>
          <w:tcPr>
            <w:tcW w:w="1439" w:type="dxa"/>
            <w:tcBorders>
              <w:top w:val="single" w:color="auto" w:sz="4" w:space="0"/>
              <w:left w:val="nil"/>
              <w:bottom w:val="single" w:color="auto" w:sz="4" w:space="0"/>
              <w:right w:val="single" w:color="auto" w:sz="4" w:space="0"/>
            </w:tcBorders>
            <w:vAlign w:val="center"/>
          </w:tcPr>
          <w:p w14:paraId="40AE887B">
            <w:pPr>
              <w:widowControl/>
              <w:jc w:val="cente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小型</w:t>
            </w:r>
          </w:p>
        </w:tc>
        <w:tc>
          <w:tcPr>
            <w:tcW w:w="1178" w:type="dxa"/>
            <w:tcBorders>
              <w:top w:val="single" w:color="auto" w:sz="4" w:space="0"/>
              <w:left w:val="nil"/>
              <w:bottom w:val="single" w:color="auto" w:sz="4" w:space="0"/>
              <w:right w:val="single" w:color="auto" w:sz="4" w:space="0"/>
            </w:tcBorders>
            <w:vAlign w:val="center"/>
          </w:tcPr>
          <w:p w14:paraId="0EFF7F40">
            <w:pPr>
              <w:widowControl/>
              <w:jc w:val="cente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微型</w:t>
            </w:r>
          </w:p>
        </w:tc>
      </w:tr>
      <w:tr w14:paraId="56F1295D">
        <w:tblPrEx>
          <w:tblCellMar>
            <w:top w:w="0" w:type="dxa"/>
            <w:left w:w="108" w:type="dxa"/>
            <w:bottom w:w="0" w:type="dxa"/>
            <w:right w:w="108" w:type="dxa"/>
          </w:tblCellMar>
        </w:tblPrEx>
        <w:trPr>
          <w:trHeight w:val="225" w:hRule="atLeast"/>
          <w:jc w:val="center"/>
        </w:trPr>
        <w:tc>
          <w:tcPr>
            <w:tcW w:w="3091" w:type="dxa"/>
            <w:tcBorders>
              <w:top w:val="nil"/>
              <w:left w:val="single" w:color="auto" w:sz="4" w:space="0"/>
              <w:bottom w:val="single" w:color="auto" w:sz="4" w:space="0"/>
              <w:right w:val="single" w:color="auto" w:sz="4" w:space="0"/>
            </w:tcBorders>
            <w:vAlign w:val="bottom"/>
          </w:tcPr>
          <w:p w14:paraId="1DFEF732">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农、林、牧、渔</w:t>
            </w:r>
          </w:p>
        </w:tc>
        <w:tc>
          <w:tcPr>
            <w:tcW w:w="1383" w:type="dxa"/>
            <w:tcBorders>
              <w:top w:val="nil"/>
              <w:left w:val="nil"/>
              <w:bottom w:val="single" w:color="auto" w:sz="4" w:space="0"/>
              <w:right w:val="single" w:color="auto" w:sz="4" w:space="0"/>
            </w:tcBorders>
            <w:vAlign w:val="center"/>
          </w:tcPr>
          <w:p w14:paraId="1D8ABDE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5996960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619" w:type="dxa"/>
            <w:tcBorders>
              <w:top w:val="nil"/>
              <w:left w:val="nil"/>
              <w:bottom w:val="single" w:color="auto" w:sz="4" w:space="0"/>
              <w:right w:val="single" w:color="auto" w:sz="4" w:space="0"/>
            </w:tcBorders>
            <w:vAlign w:val="center"/>
          </w:tcPr>
          <w:p w14:paraId="03AC440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500≤Y＜20000</w:t>
            </w:r>
          </w:p>
        </w:tc>
        <w:tc>
          <w:tcPr>
            <w:tcW w:w="1439" w:type="dxa"/>
            <w:tcBorders>
              <w:top w:val="nil"/>
              <w:left w:val="nil"/>
              <w:bottom w:val="single" w:color="auto" w:sz="4" w:space="0"/>
              <w:right w:val="single" w:color="auto" w:sz="4" w:space="0"/>
            </w:tcBorders>
            <w:vAlign w:val="center"/>
          </w:tcPr>
          <w:p w14:paraId="0A89256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50≤Y＜500</w:t>
            </w:r>
          </w:p>
        </w:tc>
        <w:tc>
          <w:tcPr>
            <w:tcW w:w="1178" w:type="dxa"/>
            <w:tcBorders>
              <w:top w:val="nil"/>
              <w:left w:val="nil"/>
              <w:bottom w:val="single" w:color="auto" w:sz="4" w:space="0"/>
              <w:right w:val="single" w:color="auto" w:sz="4" w:space="0"/>
            </w:tcBorders>
            <w:vAlign w:val="center"/>
          </w:tcPr>
          <w:p w14:paraId="64D562B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Y＜50</w:t>
            </w:r>
          </w:p>
        </w:tc>
      </w:tr>
      <w:tr w14:paraId="3D0E76E2">
        <w:tblPrEx>
          <w:tblCellMar>
            <w:top w:w="0" w:type="dxa"/>
            <w:left w:w="108" w:type="dxa"/>
            <w:bottom w:w="0" w:type="dxa"/>
            <w:right w:w="108" w:type="dxa"/>
          </w:tblCellMar>
        </w:tblPrEx>
        <w:trPr>
          <w:trHeight w:val="225" w:hRule="atLeast"/>
          <w:jc w:val="center"/>
        </w:trPr>
        <w:tc>
          <w:tcPr>
            <w:tcW w:w="3091" w:type="dxa"/>
            <w:vMerge w:val="restart"/>
            <w:tcBorders>
              <w:top w:val="nil"/>
              <w:left w:val="single" w:color="auto" w:sz="4" w:space="0"/>
              <w:bottom w:val="single" w:color="auto" w:sz="4" w:space="0"/>
              <w:right w:val="single" w:color="auto" w:sz="4" w:space="0"/>
            </w:tcBorders>
            <w:vAlign w:val="bottom"/>
          </w:tcPr>
          <w:p w14:paraId="3E558E6A">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工业</w:t>
            </w:r>
          </w:p>
        </w:tc>
        <w:tc>
          <w:tcPr>
            <w:tcW w:w="1383" w:type="dxa"/>
            <w:tcBorders>
              <w:top w:val="nil"/>
              <w:left w:val="nil"/>
              <w:bottom w:val="single" w:color="auto" w:sz="4" w:space="0"/>
              <w:right w:val="single" w:color="auto" w:sz="4" w:space="0"/>
            </w:tcBorders>
            <w:vAlign w:val="center"/>
          </w:tcPr>
          <w:p w14:paraId="1FA9F6F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175AE1C4">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619" w:type="dxa"/>
            <w:tcBorders>
              <w:top w:val="nil"/>
              <w:left w:val="nil"/>
              <w:bottom w:val="single" w:color="auto" w:sz="4" w:space="0"/>
              <w:right w:val="single" w:color="auto" w:sz="4" w:space="0"/>
            </w:tcBorders>
            <w:vAlign w:val="center"/>
          </w:tcPr>
          <w:p w14:paraId="776BC3C7">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300≤X＜1000</w:t>
            </w:r>
          </w:p>
        </w:tc>
        <w:tc>
          <w:tcPr>
            <w:tcW w:w="1439" w:type="dxa"/>
            <w:tcBorders>
              <w:top w:val="nil"/>
              <w:left w:val="nil"/>
              <w:bottom w:val="single" w:color="auto" w:sz="4" w:space="0"/>
              <w:right w:val="single" w:color="auto" w:sz="4" w:space="0"/>
            </w:tcBorders>
            <w:vAlign w:val="center"/>
          </w:tcPr>
          <w:p w14:paraId="4E6779A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20≤X＜300</w:t>
            </w:r>
          </w:p>
        </w:tc>
        <w:tc>
          <w:tcPr>
            <w:tcW w:w="1178" w:type="dxa"/>
            <w:tcBorders>
              <w:top w:val="nil"/>
              <w:left w:val="nil"/>
              <w:bottom w:val="single" w:color="auto" w:sz="4" w:space="0"/>
              <w:right w:val="single" w:color="auto" w:sz="4" w:space="0"/>
            </w:tcBorders>
            <w:vAlign w:val="center"/>
          </w:tcPr>
          <w:p w14:paraId="38F2BAD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w:t>
            </w:r>
          </w:p>
        </w:tc>
      </w:tr>
      <w:tr w14:paraId="35B77F49">
        <w:tblPrEx>
          <w:tblCellMar>
            <w:top w:w="0" w:type="dxa"/>
            <w:left w:w="108" w:type="dxa"/>
            <w:bottom w:w="0" w:type="dxa"/>
            <w:right w:w="108" w:type="dxa"/>
          </w:tblCellMar>
        </w:tblPrEx>
        <w:trPr>
          <w:trHeight w:val="225" w:hRule="atLeast"/>
          <w:jc w:val="center"/>
        </w:trPr>
        <w:tc>
          <w:tcPr>
            <w:tcW w:w="3091" w:type="dxa"/>
            <w:vMerge w:val="continue"/>
            <w:tcBorders>
              <w:top w:val="nil"/>
              <w:left w:val="single" w:color="auto" w:sz="4" w:space="0"/>
              <w:bottom w:val="single" w:color="auto" w:sz="4" w:space="0"/>
              <w:right w:val="single" w:color="auto" w:sz="4" w:space="0"/>
            </w:tcBorders>
            <w:vAlign w:val="center"/>
          </w:tcPr>
          <w:p w14:paraId="670C73A0">
            <w:pPr>
              <w:widowControl/>
              <w:jc w:val="left"/>
              <w:rPr>
                <w:rFonts w:hint="eastAsia" w:ascii="宋体" w:hAnsi="宋体" w:eastAsia="宋体" w:cs="宋体"/>
                <w:b/>
                <w:bCs/>
                <w:color w:val="auto"/>
                <w:kern w:val="0"/>
                <w:sz w:val="18"/>
                <w:szCs w:val="18"/>
                <w:highlight w:val="none"/>
              </w:rPr>
            </w:pPr>
          </w:p>
        </w:tc>
        <w:tc>
          <w:tcPr>
            <w:tcW w:w="1383" w:type="dxa"/>
            <w:tcBorders>
              <w:top w:val="nil"/>
              <w:left w:val="nil"/>
              <w:bottom w:val="single" w:color="auto" w:sz="4" w:space="0"/>
              <w:right w:val="single" w:color="auto" w:sz="4" w:space="0"/>
            </w:tcBorders>
            <w:vAlign w:val="center"/>
          </w:tcPr>
          <w:p w14:paraId="09A24B14">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70245E2C">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619" w:type="dxa"/>
            <w:tcBorders>
              <w:top w:val="nil"/>
              <w:left w:val="nil"/>
              <w:bottom w:val="single" w:color="auto" w:sz="4" w:space="0"/>
              <w:right w:val="single" w:color="auto" w:sz="4" w:space="0"/>
            </w:tcBorders>
            <w:vAlign w:val="center"/>
          </w:tcPr>
          <w:p w14:paraId="59DA219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2000≤Y＜40000</w:t>
            </w:r>
          </w:p>
        </w:tc>
        <w:tc>
          <w:tcPr>
            <w:tcW w:w="1439" w:type="dxa"/>
            <w:tcBorders>
              <w:top w:val="nil"/>
              <w:left w:val="nil"/>
              <w:bottom w:val="single" w:color="auto" w:sz="4" w:space="0"/>
              <w:right w:val="single" w:color="auto" w:sz="4" w:space="0"/>
            </w:tcBorders>
            <w:vAlign w:val="center"/>
          </w:tcPr>
          <w:p w14:paraId="6BEA03A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300≤Y＜2000</w:t>
            </w:r>
          </w:p>
        </w:tc>
        <w:tc>
          <w:tcPr>
            <w:tcW w:w="1178" w:type="dxa"/>
            <w:tcBorders>
              <w:top w:val="nil"/>
              <w:left w:val="nil"/>
              <w:bottom w:val="single" w:color="auto" w:sz="4" w:space="0"/>
              <w:right w:val="single" w:color="auto" w:sz="4" w:space="0"/>
            </w:tcBorders>
            <w:vAlign w:val="center"/>
          </w:tcPr>
          <w:p w14:paraId="6D7C43E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Y＜300</w:t>
            </w:r>
          </w:p>
        </w:tc>
      </w:tr>
      <w:tr w14:paraId="03ED4394">
        <w:tblPrEx>
          <w:tblCellMar>
            <w:top w:w="0" w:type="dxa"/>
            <w:left w:w="108" w:type="dxa"/>
            <w:bottom w:w="0" w:type="dxa"/>
            <w:right w:w="108" w:type="dxa"/>
          </w:tblCellMar>
        </w:tblPrEx>
        <w:trPr>
          <w:trHeight w:val="225" w:hRule="atLeast"/>
          <w:jc w:val="center"/>
        </w:trPr>
        <w:tc>
          <w:tcPr>
            <w:tcW w:w="3091" w:type="dxa"/>
            <w:vMerge w:val="restart"/>
            <w:tcBorders>
              <w:top w:val="nil"/>
              <w:left w:val="single" w:color="auto" w:sz="4" w:space="0"/>
              <w:bottom w:val="single" w:color="auto" w:sz="4" w:space="0"/>
              <w:right w:val="single" w:color="auto" w:sz="4" w:space="0"/>
            </w:tcBorders>
            <w:vAlign w:val="bottom"/>
          </w:tcPr>
          <w:p w14:paraId="1C97D6FE">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建筑业</w:t>
            </w:r>
          </w:p>
        </w:tc>
        <w:tc>
          <w:tcPr>
            <w:tcW w:w="1383" w:type="dxa"/>
            <w:tcBorders>
              <w:top w:val="nil"/>
              <w:left w:val="nil"/>
              <w:bottom w:val="single" w:color="auto" w:sz="4" w:space="0"/>
              <w:right w:val="single" w:color="auto" w:sz="4" w:space="0"/>
            </w:tcBorders>
            <w:vAlign w:val="center"/>
          </w:tcPr>
          <w:p w14:paraId="6D3A626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79989D9C">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619" w:type="dxa"/>
            <w:tcBorders>
              <w:top w:val="nil"/>
              <w:left w:val="nil"/>
              <w:bottom w:val="single" w:color="auto" w:sz="4" w:space="0"/>
              <w:right w:val="single" w:color="auto" w:sz="4" w:space="0"/>
            </w:tcBorders>
            <w:vAlign w:val="center"/>
          </w:tcPr>
          <w:p w14:paraId="4C61E12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6000≤Y＜80000</w:t>
            </w:r>
          </w:p>
        </w:tc>
        <w:tc>
          <w:tcPr>
            <w:tcW w:w="1439" w:type="dxa"/>
            <w:tcBorders>
              <w:top w:val="nil"/>
              <w:left w:val="nil"/>
              <w:bottom w:val="single" w:color="auto" w:sz="4" w:space="0"/>
              <w:right w:val="single" w:color="auto" w:sz="4" w:space="0"/>
            </w:tcBorders>
            <w:vAlign w:val="center"/>
          </w:tcPr>
          <w:p w14:paraId="5230F74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300≤Y＜6000</w:t>
            </w:r>
          </w:p>
        </w:tc>
        <w:tc>
          <w:tcPr>
            <w:tcW w:w="1178" w:type="dxa"/>
            <w:tcBorders>
              <w:top w:val="nil"/>
              <w:left w:val="nil"/>
              <w:bottom w:val="single" w:color="auto" w:sz="4" w:space="0"/>
              <w:right w:val="single" w:color="auto" w:sz="4" w:space="0"/>
            </w:tcBorders>
            <w:vAlign w:val="center"/>
          </w:tcPr>
          <w:p w14:paraId="096078C6">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Y＜300</w:t>
            </w:r>
          </w:p>
        </w:tc>
      </w:tr>
      <w:tr w14:paraId="550849F0">
        <w:tblPrEx>
          <w:tblCellMar>
            <w:top w:w="0" w:type="dxa"/>
            <w:left w:w="108" w:type="dxa"/>
            <w:bottom w:w="0" w:type="dxa"/>
            <w:right w:w="108" w:type="dxa"/>
          </w:tblCellMar>
        </w:tblPrEx>
        <w:trPr>
          <w:trHeight w:val="225" w:hRule="atLeast"/>
          <w:jc w:val="center"/>
        </w:trPr>
        <w:tc>
          <w:tcPr>
            <w:tcW w:w="3091" w:type="dxa"/>
            <w:vMerge w:val="continue"/>
            <w:tcBorders>
              <w:top w:val="nil"/>
              <w:left w:val="single" w:color="auto" w:sz="4" w:space="0"/>
              <w:bottom w:val="single" w:color="auto" w:sz="4" w:space="0"/>
              <w:right w:val="single" w:color="auto" w:sz="4" w:space="0"/>
            </w:tcBorders>
            <w:vAlign w:val="center"/>
          </w:tcPr>
          <w:p w14:paraId="61C96899">
            <w:pPr>
              <w:widowControl/>
              <w:jc w:val="left"/>
              <w:rPr>
                <w:rFonts w:hint="eastAsia" w:ascii="宋体" w:hAnsi="宋体" w:eastAsia="宋体" w:cs="宋体"/>
                <w:b/>
                <w:bCs/>
                <w:color w:val="auto"/>
                <w:kern w:val="0"/>
                <w:sz w:val="18"/>
                <w:szCs w:val="18"/>
                <w:highlight w:val="none"/>
              </w:rPr>
            </w:pPr>
          </w:p>
        </w:tc>
        <w:tc>
          <w:tcPr>
            <w:tcW w:w="1383" w:type="dxa"/>
            <w:tcBorders>
              <w:top w:val="nil"/>
              <w:left w:val="nil"/>
              <w:bottom w:val="single" w:color="auto" w:sz="4" w:space="0"/>
              <w:right w:val="single" w:color="auto" w:sz="4" w:space="0"/>
            </w:tcBorders>
            <w:vAlign w:val="center"/>
          </w:tcPr>
          <w:p w14:paraId="0CF97EE9">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资产总额（Z）</w:t>
            </w:r>
          </w:p>
        </w:tc>
        <w:tc>
          <w:tcPr>
            <w:tcW w:w="913" w:type="dxa"/>
            <w:tcBorders>
              <w:top w:val="nil"/>
              <w:left w:val="nil"/>
              <w:bottom w:val="single" w:color="auto" w:sz="4" w:space="0"/>
              <w:right w:val="single" w:color="auto" w:sz="4" w:space="0"/>
            </w:tcBorders>
            <w:vAlign w:val="center"/>
          </w:tcPr>
          <w:p w14:paraId="70EF97E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619" w:type="dxa"/>
            <w:tcBorders>
              <w:top w:val="nil"/>
              <w:left w:val="nil"/>
              <w:bottom w:val="single" w:color="auto" w:sz="4" w:space="0"/>
              <w:right w:val="single" w:color="auto" w:sz="4" w:space="0"/>
            </w:tcBorders>
            <w:vAlign w:val="center"/>
          </w:tcPr>
          <w:p w14:paraId="14EB299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5000≤Z＜80000</w:t>
            </w:r>
          </w:p>
        </w:tc>
        <w:tc>
          <w:tcPr>
            <w:tcW w:w="1439" w:type="dxa"/>
            <w:tcBorders>
              <w:top w:val="nil"/>
              <w:left w:val="nil"/>
              <w:bottom w:val="single" w:color="auto" w:sz="4" w:space="0"/>
              <w:right w:val="single" w:color="auto" w:sz="4" w:space="0"/>
            </w:tcBorders>
            <w:vAlign w:val="center"/>
          </w:tcPr>
          <w:p w14:paraId="013B6DC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300≤Z＜5000</w:t>
            </w:r>
          </w:p>
        </w:tc>
        <w:tc>
          <w:tcPr>
            <w:tcW w:w="1178" w:type="dxa"/>
            <w:tcBorders>
              <w:top w:val="nil"/>
              <w:left w:val="nil"/>
              <w:bottom w:val="single" w:color="auto" w:sz="4" w:space="0"/>
              <w:right w:val="single" w:color="auto" w:sz="4" w:space="0"/>
            </w:tcBorders>
            <w:vAlign w:val="center"/>
          </w:tcPr>
          <w:p w14:paraId="27831E8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Z＜300</w:t>
            </w:r>
          </w:p>
        </w:tc>
      </w:tr>
      <w:tr w14:paraId="00274387">
        <w:tblPrEx>
          <w:tblCellMar>
            <w:top w:w="0" w:type="dxa"/>
            <w:left w:w="108" w:type="dxa"/>
            <w:bottom w:w="0" w:type="dxa"/>
            <w:right w:w="108" w:type="dxa"/>
          </w:tblCellMar>
        </w:tblPrEx>
        <w:trPr>
          <w:trHeight w:val="225" w:hRule="atLeast"/>
          <w:jc w:val="center"/>
        </w:trPr>
        <w:tc>
          <w:tcPr>
            <w:tcW w:w="3091" w:type="dxa"/>
            <w:vMerge w:val="restart"/>
            <w:tcBorders>
              <w:top w:val="nil"/>
              <w:left w:val="single" w:color="auto" w:sz="4" w:space="0"/>
              <w:bottom w:val="single" w:color="auto" w:sz="4" w:space="0"/>
              <w:right w:val="single" w:color="auto" w:sz="4" w:space="0"/>
            </w:tcBorders>
            <w:vAlign w:val="bottom"/>
          </w:tcPr>
          <w:p w14:paraId="7D8C8C40">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批发业</w:t>
            </w:r>
          </w:p>
        </w:tc>
        <w:tc>
          <w:tcPr>
            <w:tcW w:w="1383" w:type="dxa"/>
            <w:tcBorders>
              <w:top w:val="nil"/>
              <w:left w:val="nil"/>
              <w:bottom w:val="single" w:color="auto" w:sz="4" w:space="0"/>
              <w:right w:val="single" w:color="auto" w:sz="4" w:space="0"/>
            </w:tcBorders>
            <w:vAlign w:val="center"/>
          </w:tcPr>
          <w:p w14:paraId="42D7531C">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181E6909">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619" w:type="dxa"/>
            <w:tcBorders>
              <w:top w:val="nil"/>
              <w:left w:val="nil"/>
              <w:bottom w:val="single" w:color="auto" w:sz="4" w:space="0"/>
              <w:right w:val="single" w:color="auto" w:sz="4" w:space="0"/>
            </w:tcBorders>
            <w:vAlign w:val="center"/>
          </w:tcPr>
          <w:p w14:paraId="5F229D0C">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20≤X＜200</w:t>
            </w:r>
          </w:p>
        </w:tc>
        <w:tc>
          <w:tcPr>
            <w:tcW w:w="1439" w:type="dxa"/>
            <w:tcBorders>
              <w:top w:val="nil"/>
              <w:left w:val="nil"/>
              <w:bottom w:val="single" w:color="auto" w:sz="4" w:space="0"/>
              <w:right w:val="single" w:color="auto" w:sz="4" w:space="0"/>
            </w:tcBorders>
            <w:vAlign w:val="center"/>
          </w:tcPr>
          <w:p w14:paraId="4E5D764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5≤X＜20</w:t>
            </w:r>
          </w:p>
        </w:tc>
        <w:tc>
          <w:tcPr>
            <w:tcW w:w="1178" w:type="dxa"/>
            <w:tcBorders>
              <w:top w:val="nil"/>
              <w:left w:val="nil"/>
              <w:bottom w:val="single" w:color="auto" w:sz="4" w:space="0"/>
              <w:right w:val="single" w:color="auto" w:sz="4" w:space="0"/>
            </w:tcBorders>
            <w:vAlign w:val="center"/>
          </w:tcPr>
          <w:p w14:paraId="1549D4D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X＜5</w:t>
            </w:r>
          </w:p>
        </w:tc>
      </w:tr>
      <w:tr w14:paraId="559C6A77">
        <w:tblPrEx>
          <w:tblCellMar>
            <w:top w:w="0" w:type="dxa"/>
            <w:left w:w="108" w:type="dxa"/>
            <w:bottom w:w="0" w:type="dxa"/>
            <w:right w:w="108" w:type="dxa"/>
          </w:tblCellMar>
        </w:tblPrEx>
        <w:trPr>
          <w:trHeight w:val="225" w:hRule="atLeast"/>
          <w:jc w:val="center"/>
        </w:trPr>
        <w:tc>
          <w:tcPr>
            <w:tcW w:w="3091" w:type="dxa"/>
            <w:vMerge w:val="continue"/>
            <w:tcBorders>
              <w:top w:val="nil"/>
              <w:left w:val="single" w:color="auto" w:sz="4" w:space="0"/>
              <w:bottom w:val="single" w:color="auto" w:sz="4" w:space="0"/>
              <w:right w:val="single" w:color="auto" w:sz="4" w:space="0"/>
            </w:tcBorders>
            <w:vAlign w:val="center"/>
          </w:tcPr>
          <w:p w14:paraId="3B08106A">
            <w:pPr>
              <w:widowControl/>
              <w:jc w:val="left"/>
              <w:rPr>
                <w:rFonts w:hint="eastAsia" w:ascii="宋体" w:hAnsi="宋体" w:eastAsia="宋体" w:cs="宋体"/>
                <w:b/>
                <w:bCs/>
                <w:color w:val="auto"/>
                <w:kern w:val="0"/>
                <w:sz w:val="18"/>
                <w:szCs w:val="18"/>
                <w:highlight w:val="none"/>
              </w:rPr>
            </w:pPr>
          </w:p>
        </w:tc>
        <w:tc>
          <w:tcPr>
            <w:tcW w:w="1383" w:type="dxa"/>
            <w:tcBorders>
              <w:top w:val="nil"/>
              <w:left w:val="nil"/>
              <w:bottom w:val="single" w:color="auto" w:sz="4" w:space="0"/>
              <w:right w:val="single" w:color="auto" w:sz="4" w:space="0"/>
            </w:tcBorders>
            <w:vAlign w:val="center"/>
          </w:tcPr>
          <w:p w14:paraId="6F12C31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2A4B1F5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619" w:type="dxa"/>
            <w:tcBorders>
              <w:top w:val="nil"/>
              <w:left w:val="nil"/>
              <w:bottom w:val="single" w:color="auto" w:sz="4" w:space="0"/>
              <w:right w:val="single" w:color="auto" w:sz="4" w:space="0"/>
            </w:tcBorders>
            <w:vAlign w:val="center"/>
          </w:tcPr>
          <w:p w14:paraId="4EA8E1D4">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5000≤Y＜40000</w:t>
            </w:r>
          </w:p>
        </w:tc>
        <w:tc>
          <w:tcPr>
            <w:tcW w:w="1439" w:type="dxa"/>
            <w:tcBorders>
              <w:top w:val="nil"/>
              <w:left w:val="nil"/>
              <w:bottom w:val="single" w:color="auto" w:sz="4" w:space="0"/>
              <w:right w:val="single" w:color="auto" w:sz="4" w:space="0"/>
            </w:tcBorders>
            <w:vAlign w:val="center"/>
          </w:tcPr>
          <w:p w14:paraId="0A3194C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1000≤Y＜5000</w:t>
            </w:r>
          </w:p>
        </w:tc>
        <w:tc>
          <w:tcPr>
            <w:tcW w:w="1178" w:type="dxa"/>
            <w:tcBorders>
              <w:top w:val="nil"/>
              <w:left w:val="nil"/>
              <w:bottom w:val="single" w:color="auto" w:sz="4" w:space="0"/>
              <w:right w:val="single" w:color="auto" w:sz="4" w:space="0"/>
            </w:tcBorders>
            <w:vAlign w:val="center"/>
          </w:tcPr>
          <w:p w14:paraId="0281DEB7">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Y＜1000</w:t>
            </w:r>
          </w:p>
        </w:tc>
      </w:tr>
      <w:tr w14:paraId="7FD8417A">
        <w:tblPrEx>
          <w:tblCellMar>
            <w:top w:w="0" w:type="dxa"/>
            <w:left w:w="108" w:type="dxa"/>
            <w:bottom w:w="0" w:type="dxa"/>
            <w:right w:w="108" w:type="dxa"/>
          </w:tblCellMar>
        </w:tblPrEx>
        <w:trPr>
          <w:trHeight w:val="225" w:hRule="atLeast"/>
          <w:jc w:val="center"/>
        </w:trPr>
        <w:tc>
          <w:tcPr>
            <w:tcW w:w="3091" w:type="dxa"/>
            <w:vMerge w:val="restart"/>
            <w:tcBorders>
              <w:top w:val="nil"/>
              <w:left w:val="single" w:color="auto" w:sz="4" w:space="0"/>
              <w:bottom w:val="single" w:color="auto" w:sz="4" w:space="0"/>
              <w:right w:val="single" w:color="auto" w:sz="4" w:space="0"/>
            </w:tcBorders>
            <w:vAlign w:val="bottom"/>
          </w:tcPr>
          <w:p w14:paraId="24669780">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零售业</w:t>
            </w:r>
          </w:p>
        </w:tc>
        <w:tc>
          <w:tcPr>
            <w:tcW w:w="1383" w:type="dxa"/>
            <w:tcBorders>
              <w:top w:val="nil"/>
              <w:left w:val="nil"/>
              <w:bottom w:val="single" w:color="auto" w:sz="4" w:space="0"/>
              <w:right w:val="single" w:color="auto" w:sz="4" w:space="0"/>
            </w:tcBorders>
            <w:vAlign w:val="center"/>
          </w:tcPr>
          <w:p w14:paraId="38053B3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678E6B3A">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619" w:type="dxa"/>
            <w:tcBorders>
              <w:top w:val="nil"/>
              <w:left w:val="nil"/>
              <w:bottom w:val="single" w:color="auto" w:sz="4" w:space="0"/>
              <w:right w:val="single" w:color="auto" w:sz="4" w:space="0"/>
            </w:tcBorders>
            <w:vAlign w:val="center"/>
          </w:tcPr>
          <w:p w14:paraId="241F0E5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50≤X＜300</w:t>
            </w:r>
          </w:p>
        </w:tc>
        <w:tc>
          <w:tcPr>
            <w:tcW w:w="1439" w:type="dxa"/>
            <w:tcBorders>
              <w:top w:val="nil"/>
              <w:left w:val="nil"/>
              <w:bottom w:val="single" w:color="auto" w:sz="4" w:space="0"/>
              <w:right w:val="single" w:color="auto" w:sz="4" w:space="0"/>
            </w:tcBorders>
            <w:vAlign w:val="center"/>
          </w:tcPr>
          <w:p w14:paraId="6CFFE747">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10≤X＜50</w:t>
            </w:r>
          </w:p>
        </w:tc>
        <w:tc>
          <w:tcPr>
            <w:tcW w:w="1178" w:type="dxa"/>
            <w:tcBorders>
              <w:top w:val="nil"/>
              <w:left w:val="nil"/>
              <w:bottom w:val="single" w:color="auto" w:sz="4" w:space="0"/>
              <w:right w:val="single" w:color="auto" w:sz="4" w:space="0"/>
            </w:tcBorders>
            <w:vAlign w:val="center"/>
          </w:tcPr>
          <w:p w14:paraId="6E0059C9">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382BB118">
        <w:tblPrEx>
          <w:tblCellMar>
            <w:top w:w="0" w:type="dxa"/>
            <w:left w:w="108" w:type="dxa"/>
            <w:bottom w:w="0" w:type="dxa"/>
            <w:right w:w="108" w:type="dxa"/>
          </w:tblCellMar>
        </w:tblPrEx>
        <w:trPr>
          <w:trHeight w:val="225" w:hRule="atLeast"/>
          <w:jc w:val="center"/>
        </w:trPr>
        <w:tc>
          <w:tcPr>
            <w:tcW w:w="3091" w:type="dxa"/>
            <w:vMerge w:val="continue"/>
            <w:tcBorders>
              <w:top w:val="nil"/>
              <w:left w:val="single" w:color="auto" w:sz="4" w:space="0"/>
              <w:bottom w:val="single" w:color="auto" w:sz="4" w:space="0"/>
              <w:right w:val="single" w:color="auto" w:sz="4" w:space="0"/>
            </w:tcBorders>
            <w:vAlign w:val="center"/>
          </w:tcPr>
          <w:p w14:paraId="6CBFF001">
            <w:pPr>
              <w:widowControl/>
              <w:jc w:val="left"/>
              <w:rPr>
                <w:rFonts w:hint="eastAsia" w:ascii="宋体" w:hAnsi="宋体" w:eastAsia="宋体" w:cs="宋体"/>
                <w:b/>
                <w:bCs/>
                <w:color w:val="auto"/>
                <w:kern w:val="0"/>
                <w:sz w:val="18"/>
                <w:szCs w:val="18"/>
                <w:highlight w:val="none"/>
              </w:rPr>
            </w:pPr>
          </w:p>
        </w:tc>
        <w:tc>
          <w:tcPr>
            <w:tcW w:w="1383" w:type="dxa"/>
            <w:tcBorders>
              <w:top w:val="nil"/>
              <w:left w:val="nil"/>
              <w:bottom w:val="single" w:color="auto" w:sz="4" w:space="0"/>
              <w:right w:val="single" w:color="auto" w:sz="4" w:space="0"/>
            </w:tcBorders>
            <w:vAlign w:val="center"/>
          </w:tcPr>
          <w:p w14:paraId="747BEF8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5CD587B6">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619" w:type="dxa"/>
            <w:tcBorders>
              <w:top w:val="nil"/>
              <w:left w:val="nil"/>
              <w:bottom w:val="single" w:color="auto" w:sz="4" w:space="0"/>
              <w:right w:val="single" w:color="auto" w:sz="4" w:space="0"/>
            </w:tcBorders>
            <w:vAlign w:val="center"/>
          </w:tcPr>
          <w:p w14:paraId="2321F1BD">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500≤Y＜20000</w:t>
            </w:r>
          </w:p>
        </w:tc>
        <w:tc>
          <w:tcPr>
            <w:tcW w:w="1439" w:type="dxa"/>
            <w:tcBorders>
              <w:top w:val="nil"/>
              <w:left w:val="nil"/>
              <w:bottom w:val="single" w:color="auto" w:sz="4" w:space="0"/>
              <w:right w:val="single" w:color="auto" w:sz="4" w:space="0"/>
            </w:tcBorders>
            <w:vAlign w:val="center"/>
          </w:tcPr>
          <w:p w14:paraId="16B0D7D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100≤Y＜500</w:t>
            </w:r>
          </w:p>
        </w:tc>
        <w:tc>
          <w:tcPr>
            <w:tcW w:w="1178" w:type="dxa"/>
            <w:tcBorders>
              <w:top w:val="nil"/>
              <w:left w:val="nil"/>
              <w:bottom w:val="single" w:color="auto" w:sz="4" w:space="0"/>
              <w:right w:val="single" w:color="auto" w:sz="4" w:space="0"/>
            </w:tcBorders>
            <w:vAlign w:val="center"/>
          </w:tcPr>
          <w:p w14:paraId="1FCBC22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7FF31DCC">
        <w:tblPrEx>
          <w:tblCellMar>
            <w:top w:w="0" w:type="dxa"/>
            <w:left w:w="108" w:type="dxa"/>
            <w:bottom w:w="0" w:type="dxa"/>
            <w:right w:w="108" w:type="dxa"/>
          </w:tblCellMar>
        </w:tblPrEx>
        <w:trPr>
          <w:trHeight w:val="225" w:hRule="atLeast"/>
          <w:jc w:val="center"/>
        </w:trPr>
        <w:tc>
          <w:tcPr>
            <w:tcW w:w="3091" w:type="dxa"/>
            <w:vMerge w:val="restart"/>
            <w:tcBorders>
              <w:top w:val="nil"/>
              <w:left w:val="single" w:color="auto" w:sz="4" w:space="0"/>
              <w:bottom w:val="single" w:color="auto" w:sz="4" w:space="0"/>
              <w:right w:val="single" w:color="auto" w:sz="4" w:space="0"/>
            </w:tcBorders>
            <w:vAlign w:val="bottom"/>
          </w:tcPr>
          <w:p w14:paraId="71515644">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交通运输业</w:t>
            </w:r>
          </w:p>
        </w:tc>
        <w:tc>
          <w:tcPr>
            <w:tcW w:w="1383" w:type="dxa"/>
            <w:tcBorders>
              <w:top w:val="nil"/>
              <w:left w:val="nil"/>
              <w:bottom w:val="single" w:color="auto" w:sz="4" w:space="0"/>
              <w:right w:val="single" w:color="auto" w:sz="4" w:space="0"/>
            </w:tcBorders>
            <w:vAlign w:val="center"/>
          </w:tcPr>
          <w:p w14:paraId="63FDA19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55A1BB1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619" w:type="dxa"/>
            <w:tcBorders>
              <w:top w:val="nil"/>
              <w:left w:val="nil"/>
              <w:bottom w:val="single" w:color="auto" w:sz="4" w:space="0"/>
              <w:right w:val="single" w:color="auto" w:sz="4" w:space="0"/>
            </w:tcBorders>
            <w:vAlign w:val="center"/>
          </w:tcPr>
          <w:p w14:paraId="719ECC7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300≤X＜1000</w:t>
            </w:r>
          </w:p>
        </w:tc>
        <w:tc>
          <w:tcPr>
            <w:tcW w:w="1439" w:type="dxa"/>
            <w:tcBorders>
              <w:top w:val="nil"/>
              <w:left w:val="nil"/>
              <w:bottom w:val="single" w:color="auto" w:sz="4" w:space="0"/>
              <w:right w:val="single" w:color="auto" w:sz="4" w:space="0"/>
            </w:tcBorders>
            <w:vAlign w:val="center"/>
          </w:tcPr>
          <w:p w14:paraId="07A4BB6D">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20≤X＜300</w:t>
            </w:r>
          </w:p>
        </w:tc>
        <w:tc>
          <w:tcPr>
            <w:tcW w:w="1178" w:type="dxa"/>
            <w:tcBorders>
              <w:top w:val="nil"/>
              <w:left w:val="nil"/>
              <w:bottom w:val="single" w:color="auto" w:sz="4" w:space="0"/>
              <w:right w:val="single" w:color="auto" w:sz="4" w:space="0"/>
            </w:tcBorders>
            <w:vAlign w:val="center"/>
          </w:tcPr>
          <w:p w14:paraId="15268D6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w:t>
            </w:r>
          </w:p>
        </w:tc>
      </w:tr>
      <w:tr w14:paraId="7F37ED05">
        <w:tblPrEx>
          <w:tblCellMar>
            <w:top w:w="0" w:type="dxa"/>
            <w:left w:w="108" w:type="dxa"/>
            <w:bottom w:w="0" w:type="dxa"/>
            <w:right w:w="108" w:type="dxa"/>
          </w:tblCellMar>
        </w:tblPrEx>
        <w:trPr>
          <w:trHeight w:val="225" w:hRule="atLeast"/>
          <w:jc w:val="center"/>
        </w:trPr>
        <w:tc>
          <w:tcPr>
            <w:tcW w:w="3091" w:type="dxa"/>
            <w:vMerge w:val="continue"/>
            <w:tcBorders>
              <w:top w:val="nil"/>
              <w:left w:val="single" w:color="auto" w:sz="4" w:space="0"/>
              <w:bottom w:val="single" w:color="auto" w:sz="4" w:space="0"/>
              <w:right w:val="single" w:color="auto" w:sz="4" w:space="0"/>
            </w:tcBorders>
            <w:vAlign w:val="center"/>
          </w:tcPr>
          <w:p w14:paraId="7F897412">
            <w:pPr>
              <w:widowControl/>
              <w:jc w:val="left"/>
              <w:rPr>
                <w:rFonts w:hint="eastAsia" w:ascii="宋体" w:hAnsi="宋体" w:eastAsia="宋体" w:cs="宋体"/>
                <w:b/>
                <w:bCs/>
                <w:color w:val="auto"/>
                <w:kern w:val="0"/>
                <w:sz w:val="18"/>
                <w:szCs w:val="18"/>
                <w:highlight w:val="none"/>
              </w:rPr>
            </w:pPr>
          </w:p>
        </w:tc>
        <w:tc>
          <w:tcPr>
            <w:tcW w:w="1383" w:type="dxa"/>
            <w:tcBorders>
              <w:top w:val="nil"/>
              <w:left w:val="nil"/>
              <w:bottom w:val="single" w:color="auto" w:sz="4" w:space="0"/>
              <w:right w:val="single" w:color="auto" w:sz="4" w:space="0"/>
            </w:tcBorders>
            <w:vAlign w:val="center"/>
          </w:tcPr>
          <w:p w14:paraId="1993B8DA">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7779E50A">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619" w:type="dxa"/>
            <w:tcBorders>
              <w:top w:val="nil"/>
              <w:left w:val="nil"/>
              <w:bottom w:val="single" w:color="auto" w:sz="4" w:space="0"/>
              <w:right w:val="single" w:color="auto" w:sz="4" w:space="0"/>
            </w:tcBorders>
            <w:vAlign w:val="center"/>
          </w:tcPr>
          <w:p w14:paraId="45A68946">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3000≤Y＜30000</w:t>
            </w:r>
          </w:p>
        </w:tc>
        <w:tc>
          <w:tcPr>
            <w:tcW w:w="1439" w:type="dxa"/>
            <w:tcBorders>
              <w:top w:val="nil"/>
              <w:left w:val="nil"/>
              <w:bottom w:val="single" w:color="auto" w:sz="4" w:space="0"/>
              <w:right w:val="single" w:color="auto" w:sz="4" w:space="0"/>
            </w:tcBorders>
            <w:vAlign w:val="center"/>
          </w:tcPr>
          <w:p w14:paraId="1A5E0E2A">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200≤Y＜3000</w:t>
            </w:r>
          </w:p>
        </w:tc>
        <w:tc>
          <w:tcPr>
            <w:tcW w:w="1178" w:type="dxa"/>
            <w:tcBorders>
              <w:top w:val="nil"/>
              <w:left w:val="nil"/>
              <w:bottom w:val="single" w:color="auto" w:sz="4" w:space="0"/>
              <w:right w:val="single" w:color="auto" w:sz="4" w:space="0"/>
            </w:tcBorders>
            <w:vAlign w:val="center"/>
          </w:tcPr>
          <w:p w14:paraId="7203C06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Y＜200</w:t>
            </w:r>
          </w:p>
        </w:tc>
      </w:tr>
      <w:tr w14:paraId="1B31651A">
        <w:tblPrEx>
          <w:tblCellMar>
            <w:top w:w="0" w:type="dxa"/>
            <w:left w:w="108" w:type="dxa"/>
            <w:bottom w:w="0" w:type="dxa"/>
            <w:right w:w="108" w:type="dxa"/>
          </w:tblCellMar>
        </w:tblPrEx>
        <w:trPr>
          <w:trHeight w:val="225" w:hRule="atLeast"/>
          <w:jc w:val="center"/>
        </w:trPr>
        <w:tc>
          <w:tcPr>
            <w:tcW w:w="3091" w:type="dxa"/>
            <w:vMerge w:val="restart"/>
            <w:tcBorders>
              <w:top w:val="nil"/>
              <w:left w:val="single" w:color="auto" w:sz="4" w:space="0"/>
              <w:bottom w:val="single" w:color="auto" w:sz="4" w:space="0"/>
              <w:right w:val="single" w:color="auto" w:sz="4" w:space="0"/>
            </w:tcBorders>
            <w:vAlign w:val="bottom"/>
          </w:tcPr>
          <w:p w14:paraId="75577FDA">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仓储业</w:t>
            </w:r>
          </w:p>
        </w:tc>
        <w:tc>
          <w:tcPr>
            <w:tcW w:w="1383" w:type="dxa"/>
            <w:tcBorders>
              <w:top w:val="nil"/>
              <w:left w:val="nil"/>
              <w:bottom w:val="single" w:color="auto" w:sz="4" w:space="0"/>
              <w:right w:val="single" w:color="auto" w:sz="4" w:space="0"/>
            </w:tcBorders>
            <w:vAlign w:val="center"/>
          </w:tcPr>
          <w:p w14:paraId="47DC7BA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2603891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619" w:type="dxa"/>
            <w:tcBorders>
              <w:top w:val="nil"/>
              <w:left w:val="nil"/>
              <w:bottom w:val="single" w:color="auto" w:sz="4" w:space="0"/>
              <w:right w:val="single" w:color="auto" w:sz="4" w:space="0"/>
            </w:tcBorders>
            <w:vAlign w:val="center"/>
          </w:tcPr>
          <w:p w14:paraId="435CDB7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100≤X＜200</w:t>
            </w:r>
          </w:p>
        </w:tc>
        <w:tc>
          <w:tcPr>
            <w:tcW w:w="1439" w:type="dxa"/>
            <w:tcBorders>
              <w:top w:val="nil"/>
              <w:left w:val="nil"/>
              <w:bottom w:val="single" w:color="auto" w:sz="4" w:space="0"/>
              <w:right w:val="single" w:color="auto" w:sz="4" w:space="0"/>
            </w:tcBorders>
            <w:vAlign w:val="center"/>
          </w:tcPr>
          <w:p w14:paraId="5CABFF7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20≤X＜100</w:t>
            </w:r>
          </w:p>
        </w:tc>
        <w:tc>
          <w:tcPr>
            <w:tcW w:w="1178" w:type="dxa"/>
            <w:tcBorders>
              <w:top w:val="nil"/>
              <w:left w:val="nil"/>
              <w:bottom w:val="single" w:color="auto" w:sz="4" w:space="0"/>
              <w:right w:val="single" w:color="auto" w:sz="4" w:space="0"/>
            </w:tcBorders>
            <w:vAlign w:val="center"/>
          </w:tcPr>
          <w:p w14:paraId="359F87A7">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w:t>
            </w:r>
          </w:p>
        </w:tc>
      </w:tr>
      <w:tr w14:paraId="210F898A">
        <w:tblPrEx>
          <w:tblCellMar>
            <w:top w:w="0" w:type="dxa"/>
            <w:left w:w="108" w:type="dxa"/>
            <w:bottom w:w="0" w:type="dxa"/>
            <w:right w:w="108" w:type="dxa"/>
          </w:tblCellMar>
        </w:tblPrEx>
        <w:trPr>
          <w:trHeight w:val="225" w:hRule="atLeast"/>
          <w:jc w:val="center"/>
        </w:trPr>
        <w:tc>
          <w:tcPr>
            <w:tcW w:w="3091" w:type="dxa"/>
            <w:vMerge w:val="continue"/>
            <w:tcBorders>
              <w:top w:val="nil"/>
              <w:left w:val="single" w:color="auto" w:sz="4" w:space="0"/>
              <w:bottom w:val="single" w:color="auto" w:sz="4" w:space="0"/>
              <w:right w:val="single" w:color="auto" w:sz="4" w:space="0"/>
            </w:tcBorders>
            <w:vAlign w:val="center"/>
          </w:tcPr>
          <w:p w14:paraId="4FDAD473">
            <w:pPr>
              <w:widowControl/>
              <w:jc w:val="left"/>
              <w:rPr>
                <w:rFonts w:hint="eastAsia" w:ascii="宋体" w:hAnsi="宋体" w:eastAsia="宋体" w:cs="宋体"/>
                <w:b/>
                <w:bCs/>
                <w:color w:val="auto"/>
                <w:kern w:val="0"/>
                <w:sz w:val="18"/>
                <w:szCs w:val="18"/>
                <w:highlight w:val="none"/>
              </w:rPr>
            </w:pPr>
          </w:p>
        </w:tc>
        <w:tc>
          <w:tcPr>
            <w:tcW w:w="1383" w:type="dxa"/>
            <w:tcBorders>
              <w:top w:val="nil"/>
              <w:left w:val="nil"/>
              <w:bottom w:val="single" w:color="auto" w:sz="4" w:space="0"/>
              <w:right w:val="single" w:color="auto" w:sz="4" w:space="0"/>
            </w:tcBorders>
            <w:vAlign w:val="center"/>
          </w:tcPr>
          <w:p w14:paraId="243BD95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7A877324">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619" w:type="dxa"/>
            <w:tcBorders>
              <w:top w:val="nil"/>
              <w:left w:val="nil"/>
              <w:bottom w:val="single" w:color="auto" w:sz="4" w:space="0"/>
              <w:right w:val="single" w:color="auto" w:sz="4" w:space="0"/>
            </w:tcBorders>
            <w:vAlign w:val="center"/>
          </w:tcPr>
          <w:p w14:paraId="6DA4F95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1000≤Y＜30000</w:t>
            </w:r>
          </w:p>
        </w:tc>
        <w:tc>
          <w:tcPr>
            <w:tcW w:w="1439" w:type="dxa"/>
            <w:tcBorders>
              <w:top w:val="nil"/>
              <w:left w:val="nil"/>
              <w:bottom w:val="single" w:color="auto" w:sz="4" w:space="0"/>
              <w:right w:val="single" w:color="auto" w:sz="4" w:space="0"/>
            </w:tcBorders>
            <w:vAlign w:val="center"/>
          </w:tcPr>
          <w:p w14:paraId="7D74703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100≤Y＜1000</w:t>
            </w:r>
          </w:p>
        </w:tc>
        <w:tc>
          <w:tcPr>
            <w:tcW w:w="1178" w:type="dxa"/>
            <w:tcBorders>
              <w:top w:val="nil"/>
              <w:left w:val="nil"/>
              <w:bottom w:val="single" w:color="auto" w:sz="4" w:space="0"/>
              <w:right w:val="single" w:color="auto" w:sz="4" w:space="0"/>
            </w:tcBorders>
            <w:vAlign w:val="center"/>
          </w:tcPr>
          <w:p w14:paraId="7996D377">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3C711A9B">
        <w:tblPrEx>
          <w:tblCellMar>
            <w:top w:w="0" w:type="dxa"/>
            <w:left w:w="108" w:type="dxa"/>
            <w:bottom w:w="0" w:type="dxa"/>
            <w:right w:w="108" w:type="dxa"/>
          </w:tblCellMar>
        </w:tblPrEx>
        <w:trPr>
          <w:trHeight w:val="225" w:hRule="atLeast"/>
          <w:jc w:val="center"/>
        </w:trPr>
        <w:tc>
          <w:tcPr>
            <w:tcW w:w="3091" w:type="dxa"/>
            <w:vMerge w:val="restart"/>
            <w:tcBorders>
              <w:top w:val="nil"/>
              <w:left w:val="single" w:color="auto" w:sz="4" w:space="0"/>
              <w:bottom w:val="single" w:color="auto" w:sz="4" w:space="0"/>
              <w:right w:val="single" w:color="auto" w:sz="4" w:space="0"/>
            </w:tcBorders>
            <w:vAlign w:val="bottom"/>
          </w:tcPr>
          <w:p w14:paraId="0B6AC009">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邮政业</w:t>
            </w:r>
          </w:p>
        </w:tc>
        <w:tc>
          <w:tcPr>
            <w:tcW w:w="1383" w:type="dxa"/>
            <w:tcBorders>
              <w:top w:val="nil"/>
              <w:left w:val="nil"/>
              <w:bottom w:val="single" w:color="auto" w:sz="4" w:space="0"/>
              <w:right w:val="single" w:color="auto" w:sz="4" w:space="0"/>
            </w:tcBorders>
            <w:vAlign w:val="center"/>
          </w:tcPr>
          <w:p w14:paraId="0368722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65AE7C4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619" w:type="dxa"/>
            <w:tcBorders>
              <w:top w:val="nil"/>
              <w:left w:val="nil"/>
              <w:bottom w:val="single" w:color="auto" w:sz="4" w:space="0"/>
              <w:right w:val="single" w:color="auto" w:sz="4" w:space="0"/>
            </w:tcBorders>
            <w:vAlign w:val="center"/>
          </w:tcPr>
          <w:p w14:paraId="0DC0FD2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300≤X＜1000</w:t>
            </w:r>
          </w:p>
        </w:tc>
        <w:tc>
          <w:tcPr>
            <w:tcW w:w="1439" w:type="dxa"/>
            <w:tcBorders>
              <w:top w:val="nil"/>
              <w:left w:val="nil"/>
              <w:bottom w:val="single" w:color="auto" w:sz="4" w:space="0"/>
              <w:right w:val="single" w:color="auto" w:sz="4" w:space="0"/>
            </w:tcBorders>
            <w:vAlign w:val="center"/>
          </w:tcPr>
          <w:p w14:paraId="65C37FED">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20≤X＜300</w:t>
            </w:r>
          </w:p>
        </w:tc>
        <w:tc>
          <w:tcPr>
            <w:tcW w:w="1178" w:type="dxa"/>
            <w:tcBorders>
              <w:top w:val="nil"/>
              <w:left w:val="nil"/>
              <w:bottom w:val="single" w:color="auto" w:sz="4" w:space="0"/>
              <w:right w:val="single" w:color="auto" w:sz="4" w:space="0"/>
            </w:tcBorders>
            <w:vAlign w:val="center"/>
          </w:tcPr>
          <w:p w14:paraId="3AD7809D">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w:t>
            </w:r>
          </w:p>
        </w:tc>
      </w:tr>
      <w:tr w14:paraId="5A740094">
        <w:tblPrEx>
          <w:tblCellMar>
            <w:top w:w="0" w:type="dxa"/>
            <w:left w:w="108" w:type="dxa"/>
            <w:bottom w:w="0" w:type="dxa"/>
            <w:right w:w="108" w:type="dxa"/>
          </w:tblCellMar>
        </w:tblPrEx>
        <w:trPr>
          <w:trHeight w:val="225" w:hRule="atLeast"/>
          <w:jc w:val="center"/>
        </w:trPr>
        <w:tc>
          <w:tcPr>
            <w:tcW w:w="3091" w:type="dxa"/>
            <w:vMerge w:val="continue"/>
            <w:tcBorders>
              <w:top w:val="nil"/>
              <w:left w:val="single" w:color="auto" w:sz="4" w:space="0"/>
              <w:bottom w:val="single" w:color="auto" w:sz="4" w:space="0"/>
              <w:right w:val="single" w:color="auto" w:sz="4" w:space="0"/>
            </w:tcBorders>
            <w:vAlign w:val="center"/>
          </w:tcPr>
          <w:p w14:paraId="628F3F81">
            <w:pPr>
              <w:widowControl/>
              <w:jc w:val="left"/>
              <w:rPr>
                <w:rFonts w:hint="eastAsia" w:ascii="宋体" w:hAnsi="宋体" w:eastAsia="宋体" w:cs="宋体"/>
                <w:b/>
                <w:bCs/>
                <w:color w:val="auto"/>
                <w:kern w:val="0"/>
                <w:sz w:val="18"/>
                <w:szCs w:val="18"/>
                <w:highlight w:val="none"/>
              </w:rPr>
            </w:pPr>
          </w:p>
        </w:tc>
        <w:tc>
          <w:tcPr>
            <w:tcW w:w="1383" w:type="dxa"/>
            <w:tcBorders>
              <w:top w:val="nil"/>
              <w:left w:val="nil"/>
              <w:bottom w:val="single" w:color="auto" w:sz="4" w:space="0"/>
              <w:right w:val="single" w:color="auto" w:sz="4" w:space="0"/>
            </w:tcBorders>
            <w:vAlign w:val="center"/>
          </w:tcPr>
          <w:p w14:paraId="204235E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3DCCF12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619" w:type="dxa"/>
            <w:tcBorders>
              <w:top w:val="nil"/>
              <w:left w:val="nil"/>
              <w:bottom w:val="single" w:color="auto" w:sz="4" w:space="0"/>
              <w:right w:val="single" w:color="auto" w:sz="4" w:space="0"/>
            </w:tcBorders>
            <w:vAlign w:val="center"/>
          </w:tcPr>
          <w:p w14:paraId="5C1CF23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2000≤Y＜30000</w:t>
            </w:r>
          </w:p>
        </w:tc>
        <w:tc>
          <w:tcPr>
            <w:tcW w:w="1439" w:type="dxa"/>
            <w:tcBorders>
              <w:top w:val="nil"/>
              <w:left w:val="nil"/>
              <w:bottom w:val="single" w:color="auto" w:sz="4" w:space="0"/>
              <w:right w:val="single" w:color="auto" w:sz="4" w:space="0"/>
            </w:tcBorders>
            <w:vAlign w:val="center"/>
          </w:tcPr>
          <w:p w14:paraId="019B0AA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100≤Y＜2000</w:t>
            </w:r>
          </w:p>
        </w:tc>
        <w:tc>
          <w:tcPr>
            <w:tcW w:w="1178" w:type="dxa"/>
            <w:tcBorders>
              <w:top w:val="nil"/>
              <w:left w:val="nil"/>
              <w:bottom w:val="single" w:color="auto" w:sz="4" w:space="0"/>
              <w:right w:val="single" w:color="auto" w:sz="4" w:space="0"/>
            </w:tcBorders>
            <w:vAlign w:val="center"/>
          </w:tcPr>
          <w:p w14:paraId="3163F3A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6BD98DA3">
        <w:tblPrEx>
          <w:tblCellMar>
            <w:top w:w="0" w:type="dxa"/>
            <w:left w:w="108" w:type="dxa"/>
            <w:bottom w:w="0" w:type="dxa"/>
            <w:right w:w="108" w:type="dxa"/>
          </w:tblCellMar>
        </w:tblPrEx>
        <w:trPr>
          <w:trHeight w:val="225" w:hRule="atLeast"/>
          <w:jc w:val="center"/>
        </w:trPr>
        <w:tc>
          <w:tcPr>
            <w:tcW w:w="3091" w:type="dxa"/>
            <w:vMerge w:val="restart"/>
            <w:tcBorders>
              <w:top w:val="nil"/>
              <w:left w:val="single" w:color="auto" w:sz="4" w:space="0"/>
              <w:bottom w:val="single" w:color="auto" w:sz="4" w:space="0"/>
              <w:right w:val="single" w:color="auto" w:sz="4" w:space="0"/>
            </w:tcBorders>
            <w:vAlign w:val="bottom"/>
          </w:tcPr>
          <w:p w14:paraId="605C3C9A">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住宿业</w:t>
            </w:r>
          </w:p>
        </w:tc>
        <w:tc>
          <w:tcPr>
            <w:tcW w:w="1383" w:type="dxa"/>
            <w:tcBorders>
              <w:top w:val="nil"/>
              <w:left w:val="nil"/>
              <w:bottom w:val="single" w:color="auto" w:sz="4" w:space="0"/>
              <w:right w:val="single" w:color="auto" w:sz="4" w:space="0"/>
            </w:tcBorders>
            <w:vAlign w:val="center"/>
          </w:tcPr>
          <w:p w14:paraId="3AB870C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3B7A661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619" w:type="dxa"/>
            <w:tcBorders>
              <w:top w:val="nil"/>
              <w:left w:val="nil"/>
              <w:bottom w:val="single" w:color="auto" w:sz="4" w:space="0"/>
              <w:right w:val="single" w:color="auto" w:sz="4" w:space="0"/>
            </w:tcBorders>
            <w:vAlign w:val="center"/>
          </w:tcPr>
          <w:p w14:paraId="1FDC9844">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439" w:type="dxa"/>
            <w:tcBorders>
              <w:top w:val="nil"/>
              <w:left w:val="nil"/>
              <w:bottom w:val="single" w:color="auto" w:sz="4" w:space="0"/>
              <w:right w:val="single" w:color="auto" w:sz="4" w:space="0"/>
            </w:tcBorders>
            <w:vAlign w:val="center"/>
          </w:tcPr>
          <w:p w14:paraId="377E071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1178" w:type="dxa"/>
            <w:tcBorders>
              <w:top w:val="nil"/>
              <w:left w:val="nil"/>
              <w:bottom w:val="single" w:color="auto" w:sz="4" w:space="0"/>
              <w:right w:val="single" w:color="auto" w:sz="4" w:space="0"/>
            </w:tcBorders>
            <w:vAlign w:val="center"/>
          </w:tcPr>
          <w:p w14:paraId="46F5CDC6">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32405C08">
        <w:tblPrEx>
          <w:tblCellMar>
            <w:top w:w="0" w:type="dxa"/>
            <w:left w:w="108" w:type="dxa"/>
            <w:bottom w:w="0" w:type="dxa"/>
            <w:right w:w="108" w:type="dxa"/>
          </w:tblCellMar>
        </w:tblPrEx>
        <w:trPr>
          <w:trHeight w:val="225" w:hRule="atLeast"/>
          <w:jc w:val="center"/>
        </w:trPr>
        <w:tc>
          <w:tcPr>
            <w:tcW w:w="3091" w:type="dxa"/>
            <w:vMerge w:val="continue"/>
            <w:tcBorders>
              <w:top w:val="nil"/>
              <w:left w:val="single" w:color="auto" w:sz="4" w:space="0"/>
              <w:bottom w:val="single" w:color="auto" w:sz="4" w:space="0"/>
              <w:right w:val="single" w:color="auto" w:sz="4" w:space="0"/>
            </w:tcBorders>
            <w:vAlign w:val="center"/>
          </w:tcPr>
          <w:p w14:paraId="02C4DE8C">
            <w:pPr>
              <w:widowControl/>
              <w:jc w:val="left"/>
              <w:rPr>
                <w:rFonts w:hint="eastAsia" w:ascii="宋体" w:hAnsi="宋体" w:eastAsia="宋体" w:cs="宋体"/>
                <w:b/>
                <w:bCs/>
                <w:color w:val="auto"/>
                <w:kern w:val="0"/>
                <w:sz w:val="18"/>
                <w:szCs w:val="18"/>
                <w:highlight w:val="none"/>
              </w:rPr>
            </w:pPr>
          </w:p>
        </w:tc>
        <w:tc>
          <w:tcPr>
            <w:tcW w:w="1383" w:type="dxa"/>
            <w:tcBorders>
              <w:top w:val="nil"/>
              <w:left w:val="nil"/>
              <w:bottom w:val="single" w:color="auto" w:sz="4" w:space="0"/>
              <w:right w:val="single" w:color="auto" w:sz="4" w:space="0"/>
            </w:tcBorders>
            <w:vAlign w:val="center"/>
          </w:tcPr>
          <w:p w14:paraId="0DC4AF1C">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652BB649">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619" w:type="dxa"/>
            <w:tcBorders>
              <w:top w:val="nil"/>
              <w:left w:val="nil"/>
              <w:bottom w:val="single" w:color="auto" w:sz="4" w:space="0"/>
              <w:right w:val="single" w:color="auto" w:sz="4" w:space="0"/>
            </w:tcBorders>
            <w:vAlign w:val="center"/>
          </w:tcPr>
          <w:p w14:paraId="7B534B8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2000≤Y＜10000</w:t>
            </w:r>
          </w:p>
        </w:tc>
        <w:tc>
          <w:tcPr>
            <w:tcW w:w="1439" w:type="dxa"/>
            <w:tcBorders>
              <w:top w:val="nil"/>
              <w:left w:val="nil"/>
              <w:bottom w:val="single" w:color="auto" w:sz="4" w:space="0"/>
              <w:right w:val="single" w:color="auto" w:sz="4" w:space="0"/>
            </w:tcBorders>
            <w:vAlign w:val="center"/>
          </w:tcPr>
          <w:p w14:paraId="23A3584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100≤Y＜2000</w:t>
            </w:r>
          </w:p>
        </w:tc>
        <w:tc>
          <w:tcPr>
            <w:tcW w:w="1178" w:type="dxa"/>
            <w:tcBorders>
              <w:top w:val="nil"/>
              <w:left w:val="nil"/>
              <w:bottom w:val="single" w:color="auto" w:sz="4" w:space="0"/>
              <w:right w:val="single" w:color="auto" w:sz="4" w:space="0"/>
            </w:tcBorders>
            <w:vAlign w:val="center"/>
          </w:tcPr>
          <w:p w14:paraId="35EF6DF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2A740083">
        <w:tblPrEx>
          <w:tblCellMar>
            <w:top w:w="0" w:type="dxa"/>
            <w:left w:w="108" w:type="dxa"/>
            <w:bottom w:w="0" w:type="dxa"/>
            <w:right w:w="108" w:type="dxa"/>
          </w:tblCellMar>
        </w:tblPrEx>
        <w:trPr>
          <w:trHeight w:val="225" w:hRule="atLeast"/>
          <w:jc w:val="center"/>
        </w:trPr>
        <w:tc>
          <w:tcPr>
            <w:tcW w:w="3091" w:type="dxa"/>
            <w:vMerge w:val="restart"/>
            <w:tcBorders>
              <w:top w:val="nil"/>
              <w:left w:val="single" w:color="auto" w:sz="4" w:space="0"/>
              <w:bottom w:val="single" w:color="auto" w:sz="4" w:space="0"/>
              <w:right w:val="single" w:color="auto" w:sz="4" w:space="0"/>
            </w:tcBorders>
            <w:vAlign w:val="bottom"/>
          </w:tcPr>
          <w:p w14:paraId="5BA718BC">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餐饮业</w:t>
            </w:r>
          </w:p>
        </w:tc>
        <w:tc>
          <w:tcPr>
            <w:tcW w:w="1383" w:type="dxa"/>
            <w:tcBorders>
              <w:top w:val="nil"/>
              <w:left w:val="nil"/>
              <w:bottom w:val="single" w:color="auto" w:sz="4" w:space="0"/>
              <w:right w:val="single" w:color="auto" w:sz="4" w:space="0"/>
            </w:tcBorders>
            <w:vAlign w:val="center"/>
          </w:tcPr>
          <w:p w14:paraId="076AD889">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342DE96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619" w:type="dxa"/>
            <w:tcBorders>
              <w:top w:val="nil"/>
              <w:left w:val="nil"/>
              <w:bottom w:val="single" w:color="auto" w:sz="4" w:space="0"/>
              <w:right w:val="single" w:color="auto" w:sz="4" w:space="0"/>
            </w:tcBorders>
            <w:vAlign w:val="center"/>
          </w:tcPr>
          <w:p w14:paraId="13B41FA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439" w:type="dxa"/>
            <w:tcBorders>
              <w:top w:val="nil"/>
              <w:left w:val="nil"/>
              <w:bottom w:val="single" w:color="auto" w:sz="4" w:space="0"/>
              <w:right w:val="single" w:color="auto" w:sz="4" w:space="0"/>
            </w:tcBorders>
            <w:vAlign w:val="center"/>
          </w:tcPr>
          <w:p w14:paraId="7CB3AE34">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1178" w:type="dxa"/>
            <w:tcBorders>
              <w:top w:val="nil"/>
              <w:left w:val="nil"/>
              <w:bottom w:val="single" w:color="auto" w:sz="4" w:space="0"/>
              <w:right w:val="single" w:color="auto" w:sz="4" w:space="0"/>
            </w:tcBorders>
            <w:vAlign w:val="center"/>
          </w:tcPr>
          <w:p w14:paraId="19F34C1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47DD1F42">
        <w:tblPrEx>
          <w:tblCellMar>
            <w:top w:w="0" w:type="dxa"/>
            <w:left w:w="108" w:type="dxa"/>
            <w:bottom w:w="0" w:type="dxa"/>
            <w:right w:w="108" w:type="dxa"/>
          </w:tblCellMar>
        </w:tblPrEx>
        <w:trPr>
          <w:trHeight w:val="225" w:hRule="atLeast"/>
          <w:jc w:val="center"/>
        </w:trPr>
        <w:tc>
          <w:tcPr>
            <w:tcW w:w="3091" w:type="dxa"/>
            <w:vMerge w:val="continue"/>
            <w:tcBorders>
              <w:top w:val="nil"/>
              <w:left w:val="single" w:color="auto" w:sz="4" w:space="0"/>
              <w:bottom w:val="single" w:color="auto" w:sz="4" w:space="0"/>
              <w:right w:val="single" w:color="auto" w:sz="4" w:space="0"/>
            </w:tcBorders>
            <w:vAlign w:val="center"/>
          </w:tcPr>
          <w:p w14:paraId="65078BDE">
            <w:pPr>
              <w:widowControl/>
              <w:jc w:val="left"/>
              <w:rPr>
                <w:rFonts w:hint="eastAsia" w:ascii="宋体" w:hAnsi="宋体" w:eastAsia="宋体" w:cs="宋体"/>
                <w:b/>
                <w:bCs/>
                <w:color w:val="auto"/>
                <w:kern w:val="0"/>
                <w:sz w:val="18"/>
                <w:szCs w:val="18"/>
                <w:highlight w:val="none"/>
              </w:rPr>
            </w:pPr>
          </w:p>
        </w:tc>
        <w:tc>
          <w:tcPr>
            <w:tcW w:w="1383" w:type="dxa"/>
            <w:tcBorders>
              <w:top w:val="nil"/>
              <w:left w:val="nil"/>
              <w:bottom w:val="single" w:color="auto" w:sz="4" w:space="0"/>
              <w:right w:val="single" w:color="auto" w:sz="4" w:space="0"/>
            </w:tcBorders>
            <w:vAlign w:val="center"/>
          </w:tcPr>
          <w:p w14:paraId="497AB08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6F2E276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619" w:type="dxa"/>
            <w:tcBorders>
              <w:top w:val="nil"/>
              <w:left w:val="nil"/>
              <w:bottom w:val="single" w:color="auto" w:sz="4" w:space="0"/>
              <w:right w:val="single" w:color="auto" w:sz="4" w:space="0"/>
            </w:tcBorders>
            <w:vAlign w:val="center"/>
          </w:tcPr>
          <w:p w14:paraId="18F1D8F7">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2000≤Y＜10000</w:t>
            </w:r>
          </w:p>
        </w:tc>
        <w:tc>
          <w:tcPr>
            <w:tcW w:w="1439" w:type="dxa"/>
            <w:tcBorders>
              <w:top w:val="nil"/>
              <w:left w:val="nil"/>
              <w:bottom w:val="single" w:color="auto" w:sz="4" w:space="0"/>
              <w:right w:val="single" w:color="auto" w:sz="4" w:space="0"/>
            </w:tcBorders>
            <w:vAlign w:val="center"/>
          </w:tcPr>
          <w:p w14:paraId="7CFEAC7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100≤Y＜2000</w:t>
            </w:r>
          </w:p>
        </w:tc>
        <w:tc>
          <w:tcPr>
            <w:tcW w:w="1178" w:type="dxa"/>
            <w:tcBorders>
              <w:top w:val="nil"/>
              <w:left w:val="nil"/>
              <w:bottom w:val="single" w:color="auto" w:sz="4" w:space="0"/>
              <w:right w:val="single" w:color="auto" w:sz="4" w:space="0"/>
            </w:tcBorders>
            <w:vAlign w:val="center"/>
          </w:tcPr>
          <w:p w14:paraId="28874AC6">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70541E9F">
        <w:tblPrEx>
          <w:tblCellMar>
            <w:top w:w="0" w:type="dxa"/>
            <w:left w:w="108" w:type="dxa"/>
            <w:bottom w:w="0" w:type="dxa"/>
            <w:right w:w="108" w:type="dxa"/>
          </w:tblCellMar>
        </w:tblPrEx>
        <w:trPr>
          <w:trHeight w:val="90" w:hRule="atLeast"/>
          <w:jc w:val="center"/>
        </w:trPr>
        <w:tc>
          <w:tcPr>
            <w:tcW w:w="3091" w:type="dxa"/>
            <w:vMerge w:val="restart"/>
            <w:tcBorders>
              <w:top w:val="nil"/>
              <w:left w:val="single" w:color="auto" w:sz="4" w:space="0"/>
              <w:bottom w:val="single" w:color="auto" w:sz="4" w:space="0"/>
              <w:right w:val="single" w:color="auto" w:sz="4" w:space="0"/>
            </w:tcBorders>
            <w:vAlign w:val="bottom"/>
          </w:tcPr>
          <w:p w14:paraId="4C502545">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信息传输业</w:t>
            </w:r>
          </w:p>
        </w:tc>
        <w:tc>
          <w:tcPr>
            <w:tcW w:w="1383" w:type="dxa"/>
            <w:tcBorders>
              <w:top w:val="nil"/>
              <w:left w:val="nil"/>
              <w:bottom w:val="single" w:color="auto" w:sz="4" w:space="0"/>
              <w:right w:val="single" w:color="auto" w:sz="4" w:space="0"/>
            </w:tcBorders>
            <w:vAlign w:val="center"/>
          </w:tcPr>
          <w:p w14:paraId="300FD8AC">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0EF1C41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619" w:type="dxa"/>
            <w:tcBorders>
              <w:top w:val="nil"/>
              <w:left w:val="nil"/>
              <w:bottom w:val="single" w:color="auto" w:sz="4" w:space="0"/>
              <w:right w:val="single" w:color="auto" w:sz="4" w:space="0"/>
            </w:tcBorders>
            <w:vAlign w:val="center"/>
          </w:tcPr>
          <w:p w14:paraId="12DED96A">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100≤X＜2000</w:t>
            </w:r>
          </w:p>
        </w:tc>
        <w:tc>
          <w:tcPr>
            <w:tcW w:w="1439" w:type="dxa"/>
            <w:tcBorders>
              <w:top w:val="nil"/>
              <w:left w:val="nil"/>
              <w:bottom w:val="single" w:color="auto" w:sz="4" w:space="0"/>
              <w:right w:val="single" w:color="auto" w:sz="4" w:space="0"/>
            </w:tcBorders>
            <w:vAlign w:val="center"/>
          </w:tcPr>
          <w:p w14:paraId="7E133F3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1178" w:type="dxa"/>
            <w:tcBorders>
              <w:top w:val="nil"/>
              <w:left w:val="nil"/>
              <w:bottom w:val="single" w:color="auto" w:sz="4" w:space="0"/>
              <w:right w:val="single" w:color="auto" w:sz="4" w:space="0"/>
            </w:tcBorders>
            <w:vAlign w:val="center"/>
          </w:tcPr>
          <w:p w14:paraId="2A2B4EB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043ED419">
        <w:tblPrEx>
          <w:tblCellMar>
            <w:top w:w="0" w:type="dxa"/>
            <w:left w:w="108" w:type="dxa"/>
            <w:bottom w:w="0" w:type="dxa"/>
            <w:right w:w="108" w:type="dxa"/>
          </w:tblCellMar>
        </w:tblPrEx>
        <w:trPr>
          <w:trHeight w:val="225" w:hRule="atLeast"/>
          <w:jc w:val="center"/>
        </w:trPr>
        <w:tc>
          <w:tcPr>
            <w:tcW w:w="3091" w:type="dxa"/>
            <w:vMerge w:val="continue"/>
            <w:tcBorders>
              <w:top w:val="nil"/>
              <w:left w:val="single" w:color="auto" w:sz="4" w:space="0"/>
              <w:bottom w:val="single" w:color="auto" w:sz="4" w:space="0"/>
              <w:right w:val="single" w:color="auto" w:sz="4" w:space="0"/>
            </w:tcBorders>
            <w:vAlign w:val="center"/>
          </w:tcPr>
          <w:p w14:paraId="38E16F94">
            <w:pPr>
              <w:widowControl/>
              <w:jc w:val="left"/>
              <w:rPr>
                <w:rFonts w:hint="eastAsia" w:ascii="宋体" w:hAnsi="宋体" w:eastAsia="宋体" w:cs="宋体"/>
                <w:b/>
                <w:bCs/>
                <w:color w:val="auto"/>
                <w:kern w:val="0"/>
                <w:sz w:val="18"/>
                <w:szCs w:val="18"/>
                <w:highlight w:val="none"/>
              </w:rPr>
            </w:pPr>
          </w:p>
        </w:tc>
        <w:tc>
          <w:tcPr>
            <w:tcW w:w="1383" w:type="dxa"/>
            <w:tcBorders>
              <w:top w:val="nil"/>
              <w:left w:val="nil"/>
              <w:bottom w:val="single" w:color="auto" w:sz="4" w:space="0"/>
              <w:right w:val="single" w:color="auto" w:sz="4" w:space="0"/>
            </w:tcBorders>
            <w:vAlign w:val="center"/>
          </w:tcPr>
          <w:p w14:paraId="56DE448D">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3C6F20E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619" w:type="dxa"/>
            <w:tcBorders>
              <w:top w:val="nil"/>
              <w:left w:val="nil"/>
              <w:bottom w:val="single" w:color="auto" w:sz="4" w:space="0"/>
              <w:right w:val="single" w:color="auto" w:sz="4" w:space="0"/>
            </w:tcBorders>
            <w:vAlign w:val="center"/>
          </w:tcPr>
          <w:p w14:paraId="471AB5B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1000≤Y＜100000</w:t>
            </w:r>
          </w:p>
        </w:tc>
        <w:tc>
          <w:tcPr>
            <w:tcW w:w="1439" w:type="dxa"/>
            <w:tcBorders>
              <w:top w:val="nil"/>
              <w:left w:val="nil"/>
              <w:bottom w:val="single" w:color="auto" w:sz="4" w:space="0"/>
              <w:right w:val="single" w:color="auto" w:sz="4" w:space="0"/>
            </w:tcBorders>
            <w:vAlign w:val="center"/>
          </w:tcPr>
          <w:p w14:paraId="0CA7C07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100≤Y＜1000</w:t>
            </w:r>
          </w:p>
        </w:tc>
        <w:tc>
          <w:tcPr>
            <w:tcW w:w="1178" w:type="dxa"/>
            <w:tcBorders>
              <w:top w:val="nil"/>
              <w:left w:val="nil"/>
              <w:bottom w:val="single" w:color="auto" w:sz="4" w:space="0"/>
              <w:right w:val="single" w:color="auto" w:sz="4" w:space="0"/>
            </w:tcBorders>
            <w:vAlign w:val="center"/>
          </w:tcPr>
          <w:p w14:paraId="01B4629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1E5E38DA">
        <w:tblPrEx>
          <w:tblCellMar>
            <w:top w:w="0" w:type="dxa"/>
            <w:left w:w="108" w:type="dxa"/>
            <w:bottom w:w="0" w:type="dxa"/>
            <w:right w:w="108" w:type="dxa"/>
          </w:tblCellMar>
        </w:tblPrEx>
        <w:trPr>
          <w:trHeight w:val="225" w:hRule="atLeast"/>
          <w:jc w:val="center"/>
        </w:trPr>
        <w:tc>
          <w:tcPr>
            <w:tcW w:w="3091" w:type="dxa"/>
            <w:vMerge w:val="restart"/>
            <w:tcBorders>
              <w:top w:val="nil"/>
              <w:left w:val="single" w:color="auto" w:sz="4" w:space="0"/>
              <w:bottom w:val="single" w:color="auto" w:sz="4" w:space="0"/>
              <w:right w:val="single" w:color="auto" w:sz="4" w:space="0"/>
            </w:tcBorders>
            <w:vAlign w:val="bottom"/>
          </w:tcPr>
          <w:p w14:paraId="6230EB10">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软件和信息技术服务业</w:t>
            </w:r>
          </w:p>
        </w:tc>
        <w:tc>
          <w:tcPr>
            <w:tcW w:w="1383" w:type="dxa"/>
            <w:tcBorders>
              <w:top w:val="nil"/>
              <w:left w:val="nil"/>
              <w:bottom w:val="single" w:color="auto" w:sz="4" w:space="0"/>
              <w:right w:val="single" w:color="auto" w:sz="4" w:space="0"/>
            </w:tcBorders>
            <w:vAlign w:val="center"/>
          </w:tcPr>
          <w:p w14:paraId="370C74B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60D56067">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619" w:type="dxa"/>
            <w:tcBorders>
              <w:top w:val="nil"/>
              <w:left w:val="nil"/>
              <w:bottom w:val="single" w:color="auto" w:sz="4" w:space="0"/>
              <w:right w:val="single" w:color="auto" w:sz="4" w:space="0"/>
            </w:tcBorders>
            <w:vAlign w:val="center"/>
          </w:tcPr>
          <w:p w14:paraId="53D6FD66">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439" w:type="dxa"/>
            <w:tcBorders>
              <w:top w:val="nil"/>
              <w:left w:val="nil"/>
              <w:bottom w:val="single" w:color="auto" w:sz="4" w:space="0"/>
              <w:right w:val="single" w:color="auto" w:sz="4" w:space="0"/>
            </w:tcBorders>
            <w:vAlign w:val="center"/>
          </w:tcPr>
          <w:p w14:paraId="516722E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1178" w:type="dxa"/>
            <w:tcBorders>
              <w:top w:val="nil"/>
              <w:left w:val="nil"/>
              <w:bottom w:val="single" w:color="auto" w:sz="4" w:space="0"/>
              <w:right w:val="single" w:color="auto" w:sz="4" w:space="0"/>
            </w:tcBorders>
            <w:vAlign w:val="center"/>
          </w:tcPr>
          <w:p w14:paraId="1956F04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41579AC9">
        <w:tblPrEx>
          <w:tblCellMar>
            <w:top w:w="0" w:type="dxa"/>
            <w:left w:w="108" w:type="dxa"/>
            <w:bottom w:w="0" w:type="dxa"/>
            <w:right w:w="108" w:type="dxa"/>
          </w:tblCellMar>
        </w:tblPrEx>
        <w:trPr>
          <w:trHeight w:val="225" w:hRule="atLeast"/>
          <w:jc w:val="center"/>
        </w:trPr>
        <w:tc>
          <w:tcPr>
            <w:tcW w:w="3091" w:type="dxa"/>
            <w:vMerge w:val="continue"/>
            <w:tcBorders>
              <w:top w:val="nil"/>
              <w:left w:val="single" w:color="auto" w:sz="4" w:space="0"/>
              <w:bottom w:val="single" w:color="auto" w:sz="4" w:space="0"/>
              <w:right w:val="single" w:color="auto" w:sz="4" w:space="0"/>
            </w:tcBorders>
            <w:vAlign w:val="center"/>
          </w:tcPr>
          <w:p w14:paraId="301B2FFC">
            <w:pPr>
              <w:widowControl/>
              <w:jc w:val="left"/>
              <w:rPr>
                <w:rFonts w:hint="eastAsia" w:ascii="宋体" w:hAnsi="宋体" w:eastAsia="宋体" w:cs="宋体"/>
                <w:b/>
                <w:bCs/>
                <w:color w:val="auto"/>
                <w:kern w:val="0"/>
                <w:sz w:val="18"/>
                <w:szCs w:val="18"/>
                <w:highlight w:val="none"/>
              </w:rPr>
            </w:pPr>
          </w:p>
        </w:tc>
        <w:tc>
          <w:tcPr>
            <w:tcW w:w="1383" w:type="dxa"/>
            <w:tcBorders>
              <w:top w:val="nil"/>
              <w:left w:val="nil"/>
              <w:bottom w:val="single" w:color="auto" w:sz="4" w:space="0"/>
              <w:right w:val="single" w:color="auto" w:sz="4" w:space="0"/>
            </w:tcBorders>
            <w:vAlign w:val="center"/>
          </w:tcPr>
          <w:p w14:paraId="6C26DA7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53BC607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619" w:type="dxa"/>
            <w:tcBorders>
              <w:top w:val="nil"/>
              <w:left w:val="nil"/>
              <w:bottom w:val="single" w:color="auto" w:sz="4" w:space="0"/>
              <w:right w:val="single" w:color="auto" w:sz="4" w:space="0"/>
            </w:tcBorders>
            <w:vAlign w:val="center"/>
          </w:tcPr>
          <w:p w14:paraId="26EB1C1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1000≤Y＜10000</w:t>
            </w:r>
          </w:p>
        </w:tc>
        <w:tc>
          <w:tcPr>
            <w:tcW w:w="1439" w:type="dxa"/>
            <w:tcBorders>
              <w:top w:val="nil"/>
              <w:left w:val="nil"/>
              <w:bottom w:val="single" w:color="auto" w:sz="4" w:space="0"/>
              <w:right w:val="single" w:color="auto" w:sz="4" w:space="0"/>
            </w:tcBorders>
            <w:vAlign w:val="center"/>
          </w:tcPr>
          <w:p w14:paraId="461127A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50≤Y＜1000</w:t>
            </w:r>
          </w:p>
        </w:tc>
        <w:tc>
          <w:tcPr>
            <w:tcW w:w="1178" w:type="dxa"/>
            <w:tcBorders>
              <w:top w:val="nil"/>
              <w:left w:val="nil"/>
              <w:bottom w:val="single" w:color="auto" w:sz="4" w:space="0"/>
              <w:right w:val="single" w:color="auto" w:sz="4" w:space="0"/>
            </w:tcBorders>
            <w:vAlign w:val="center"/>
          </w:tcPr>
          <w:p w14:paraId="4E35017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Y＜50</w:t>
            </w:r>
          </w:p>
        </w:tc>
      </w:tr>
      <w:tr w14:paraId="1DADFB3A">
        <w:tblPrEx>
          <w:tblCellMar>
            <w:top w:w="0" w:type="dxa"/>
            <w:left w:w="108" w:type="dxa"/>
            <w:bottom w:w="0" w:type="dxa"/>
            <w:right w:w="108" w:type="dxa"/>
          </w:tblCellMar>
        </w:tblPrEx>
        <w:trPr>
          <w:trHeight w:val="225" w:hRule="atLeast"/>
          <w:jc w:val="center"/>
        </w:trPr>
        <w:tc>
          <w:tcPr>
            <w:tcW w:w="3091" w:type="dxa"/>
            <w:vMerge w:val="restart"/>
            <w:tcBorders>
              <w:top w:val="nil"/>
              <w:left w:val="single" w:color="auto" w:sz="4" w:space="0"/>
              <w:bottom w:val="single" w:color="auto" w:sz="4" w:space="0"/>
              <w:right w:val="single" w:color="auto" w:sz="4" w:space="0"/>
            </w:tcBorders>
            <w:vAlign w:val="bottom"/>
          </w:tcPr>
          <w:p w14:paraId="2B85074D">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房地产开发经营</w:t>
            </w:r>
          </w:p>
        </w:tc>
        <w:tc>
          <w:tcPr>
            <w:tcW w:w="1383" w:type="dxa"/>
            <w:tcBorders>
              <w:top w:val="nil"/>
              <w:left w:val="nil"/>
              <w:bottom w:val="single" w:color="auto" w:sz="4" w:space="0"/>
              <w:right w:val="single" w:color="auto" w:sz="4" w:space="0"/>
            </w:tcBorders>
            <w:vAlign w:val="center"/>
          </w:tcPr>
          <w:p w14:paraId="71B1651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594EFF8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619" w:type="dxa"/>
            <w:tcBorders>
              <w:top w:val="nil"/>
              <w:left w:val="nil"/>
              <w:bottom w:val="single" w:color="auto" w:sz="4" w:space="0"/>
              <w:right w:val="single" w:color="auto" w:sz="4" w:space="0"/>
            </w:tcBorders>
            <w:vAlign w:val="center"/>
          </w:tcPr>
          <w:p w14:paraId="395946F7">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1000≤Y＜200000</w:t>
            </w:r>
          </w:p>
        </w:tc>
        <w:tc>
          <w:tcPr>
            <w:tcW w:w="1439" w:type="dxa"/>
            <w:tcBorders>
              <w:top w:val="nil"/>
              <w:left w:val="nil"/>
              <w:bottom w:val="single" w:color="auto" w:sz="4" w:space="0"/>
              <w:right w:val="single" w:color="auto" w:sz="4" w:space="0"/>
            </w:tcBorders>
            <w:vAlign w:val="center"/>
          </w:tcPr>
          <w:p w14:paraId="12F9910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100≤X＜1000</w:t>
            </w:r>
          </w:p>
        </w:tc>
        <w:tc>
          <w:tcPr>
            <w:tcW w:w="1178" w:type="dxa"/>
            <w:tcBorders>
              <w:top w:val="nil"/>
              <w:left w:val="nil"/>
              <w:bottom w:val="single" w:color="auto" w:sz="4" w:space="0"/>
              <w:right w:val="single" w:color="auto" w:sz="4" w:space="0"/>
            </w:tcBorders>
            <w:vAlign w:val="center"/>
          </w:tcPr>
          <w:p w14:paraId="04CDACB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X＜100</w:t>
            </w:r>
          </w:p>
        </w:tc>
      </w:tr>
      <w:tr w14:paraId="416283A0">
        <w:tblPrEx>
          <w:tblCellMar>
            <w:top w:w="0" w:type="dxa"/>
            <w:left w:w="108" w:type="dxa"/>
            <w:bottom w:w="0" w:type="dxa"/>
            <w:right w:w="108" w:type="dxa"/>
          </w:tblCellMar>
        </w:tblPrEx>
        <w:trPr>
          <w:trHeight w:val="225" w:hRule="atLeast"/>
          <w:jc w:val="center"/>
        </w:trPr>
        <w:tc>
          <w:tcPr>
            <w:tcW w:w="3091" w:type="dxa"/>
            <w:vMerge w:val="continue"/>
            <w:tcBorders>
              <w:top w:val="nil"/>
              <w:left w:val="single" w:color="auto" w:sz="4" w:space="0"/>
              <w:bottom w:val="single" w:color="auto" w:sz="4" w:space="0"/>
              <w:right w:val="single" w:color="auto" w:sz="4" w:space="0"/>
            </w:tcBorders>
            <w:vAlign w:val="center"/>
          </w:tcPr>
          <w:p w14:paraId="0EF592CA">
            <w:pPr>
              <w:widowControl/>
              <w:jc w:val="left"/>
              <w:rPr>
                <w:rFonts w:hint="eastAsia" w:ascii="宋体" w:hAnsi="宋体" w:eastAsia="宋体" w:cs="宋体"/>
                <w:b/>
                <w:bCs/>
                <w:color w:val="auto"/>
                <w:kern w:val="0"/>
                <w:sz w:val="18"/>
                <w:szCs w:val="18"/>
                <w:highlight w:val="none"/>
              </w:rPr>
            </w:pPr>
          </w:p>
        </w:tc>
        <w:tc>
          <w:tcPr>
            <w:tcW w:w="1383" w:type="dxa"/>
            <w:tcBorders>
              <w:top w:val="nil"/>
              <w:left w:val="nil"/>
              <w:bottom w:val="single" w:color="auto" w:sz="4" w:space="0"/>
              <w:right w:val="single" w:color="auto" w:sz="4" w:space="0"/>
            </w:tcBorders>
            <w:vAlign w:val="center"/>
          </w:tcPr>
          <w:p w14:paraId="26B2592C">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资产总额（Z）</w:t>
            </w:r>
          </w:p>
        </w:tc>
        <w:tc>
          <w:tcPr>
            <w:tcW w:w="913" w:type="dxa"/>
            <w:tcBorders>
              <w:top w:val="nil"/>
              <w:left w:val="nil"/>
              <w:bottom w:val="single" w:color="auto" w:sz="4" w:space="0"/>
              <w:right w:val="single" w:color="auto" w:sz="4" w:space="0"/>
            </w:tcBorders>
            <w:vAlign w:val="center"/>
          </w:tcPr>
          <w:p w14:paraId="4E7B1F3D">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619" w:type="dxa"/>
            <w:tcBorders>
              <w:top w:val="nil"/>
              <w:left w:val="nil"/>
              <w:bottom w:val="single" w:color="auto" w:sz="4" w:space="0"/>
              <w:right w:val="single" w:color="auto" w:sz="4" w:space="0"/>
            </w:tcBorders>
            <w:vAlign w:val="center"/>
          </w:tcPr>
          <w:p w14:paraId="36C0D4E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5000≤Z＜10000</w:t>
            </w:r>
          </w:p>
        </w:tc>
        <w:tc>
          <w:tcPr>
            <w:tcW w:w="1439" w:type="dxa"/>
            <w:tcBorders>
              <w:top w:val="nil"/>
              <w:left w:val="nil"/>
              <w:bottom w:val="single" w:color="auto" w:sz="4" w:space="0"/>
              <w:right w:val="single" w:color="auto" w:sz="4" w:space="0"/>
            </w:tcBorders>
            <w:vAlign w:val="center"/>
          </w:tcPr>
          <w:p w14:paraId="57070BD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2000≤Y＜5000</w:t>
            </w:r>
          </w:p>
        </w:tc>
        <w:tc>
          <w:tcPr>
            <w:tcW w:w="1178" w:type="dxa"/>
            <w:tcBorders>
              <w:top w:val="nil"/>
              <w:left w:val="nil"/>
              <w:bottom w:val="single" w:color="auto" w:sz="4" w:space="0"/>
              <w:right w:val="single" w:color="auto" w:sz="4" w:space="0"/>
            </w:tcBorders>
            <w:vAlign w:val="center"/>
          </w:tcPr>
          <w:p w14:paraId="6B4F99F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Y＜2000</w:t>
            </w:r>
          </w:p>
        </w:tc>
      </w:tr>
      <w:tr w14:paraId="653A9FC2">
        <w:tblPrEx>
          <w:tblCellMar>
            <w:top w:w="0" w:type="dxa"/>
            <w:left w:w="108" w:type="dxa"/>
            <w:bottom w:w="0" w:type="dxa"/>
            <w:right w:w="108" w:type="dxa"/>
          </w:tblCellMar>
        </w:tblPrEx>
        <w:trPr>
          <w:trHeight w:val="225" w:hRule="atLeast"/>
          <w:jc w:val="center"/>
        </w:trPr>
        <w:tc>
          <w:tcPr>
            <w:tcW w:w="3091" w:type="dxa"/>
            <w:vMerge w:val="restart"/>
            <w:tcBorders>
              <w:top w:val="nil"/>
              <w:left w:val="single" w:color="auto" w:sz="4" w:space="0"/>
              <w:bottom w:val="single" w:color="auto" w:sz="4" w:space="0"/>
              <w:right w:val="single" w:color="auto" w:sz="4" w:space="0"/>
            </w:tcBorders>
            <w:vAlign w:val="bottom"/>
          </w:tcPr>
          <w:p w14:paraId="1BDBAA60">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物业管理</w:t>
            </w:r>
          </w:p>
        </w:tc>
        <w:tc>
          <w:tcPr>
            <w:tcW w:w="1383" w:type="dxa"/>
            <w:tcBorders>
              <w:top w:val="nil"/>
              <w:left w:val="nil"/>
              <w:bottom w:val="single" w:color="auto" w:sz="4" w:space="0"/>
              <w:right w:val="single" w:color="auto" w:sz="4" w:space="0"/>
            </w:tcBorders>
            <w:vAlign w:val="center"/>
          </w:tcPr>
          <w:p w14:paraId="5B9CC17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70A0A7A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619" w:type="dxa"/>
            <w:tcBorders>
              <w:top w:val="nil"/>
              <w:left w:val="nil"/>
              <w:bottom w:val="single" w:color="auto" w:sz="4" w:space="0"/>
              <w:right w:val="single" w:color="auto" w:sz="4" w:space="0"/>
            </w:tcBorders>
            <w:vAlign w:val="center"/>
          </w:tcPr>
          <w:p w14:paraId="11B90FF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300≤X＜1000</w:t>
            </w:r>
          </w:p>
        </w:tc>
        <w:tc>
          <w:tcPr>
            <w:tcW w:w="1439" w:type="dxa"/>
            <w:tcBorders>
              <w:top w:val="nil"/>
              <w:left w:val="nil"/>
              <w:bottom w:val="single" w:color="auto" w:sz="4" w:space="0"/>
              <w:right w:val="single" w:color="auto" w:sz="4" w:space="0"/>
            </w:tcBorders>
            <w:vAlign w:val="center"/>
          </w:tcPr>
          <w:p w14:paraId="2388466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178" w:type="dxa"/>
            <w:tcBorders>
              <w:top w:val="nil"/>
              <w:left w:val="nil"/>
              <w:bottom w:val="single" w:color="auto" w:sz="4" w:space="0"/>
              <w:right w:val="single" w:color="auto" w:sz="4" w:space="0"/>
            </w:tcBorders>
            <w:vAlign w:val="center"/>
          </w:tcPr>
          <w:p w14:paraId="16A2338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X＜100</w:t>
            </w:r>
          </w:p>
        </w:tc>
      </w:tr>
      <w:tr w14:paraId="2CC936AF">
        <w:tblPrEx>
          <w:tblCellMar>
            <w:top w:w="0" w:type="dxa"/>
            <w:left w:w="108" w:type="dxa"/>
            <w:bottom w:w="0" w:type="dxa"/>
            <w:right w:w="108" w:type="dxa"/>
          </w:tblCellMar>
        </w:tblPrEx>
        <w:trPr>
          <w:trHeight w:val="225" w:hRule="atLeast"/>
          <w:jc w:val="center"/>
        </w:trPr>
        <w:tc>
          <w:tcPr>
            <w:tcW w:w="3091" w:type="dxa"/>
            <w:vMerge w:val="continue"/>
            <w:tcBorders>
              <w:top w:val="nil"/>
              <w:left w:val="single" w:color="auto" w:sz="4" w:space="0"/>
              <w:bottom w:val="single" w:color="auto" w:sz="4" w:space="0"/>
              <w:right w:val="single" w:color="auto" w:sz="4" w:space="0"/>
            </w:tcBorders>
            <w:vAlign w:val="center"/>
          </w:tcPr>
          <w:p w14:paraId="3F9AAF23">
            <w:pPr>
              <w:widowControl/>
              <w:jc w:val="left"/>
              <w:rPr>
                <w:rFonts w:hint="eastAsia" w:ascii="宋体" w:hAnsi="宋体" w:eastAsia="宋体" w:cs="宋体"/>
                <w:b/>
                <w:bCs/>
                <w:color w:val="auto"/>
                <w:kern w:val="0"/>
                <w:sz w:val="18"/>
                <w:szCs w:val="18"/>
                <w:highlight w:val="none"/>
              </w:rPr>
            </w:pPr>
          </w:p>
        </w:tc>
        <w:tc>
          <w:tcPr>
            <w:tcW w:w="1383" w:type="dxa"/>
            <w:tcBorders>
              <w:top w:val="nil"/>
              <w:left w:val="nil"/>
              <w:bottom w:val="single" w:color="auto" w:sz="4" w:space="0"/>
              <w:right w:val="single" w:color="auto" w:sz="4" w:space="0"/>
            </w:tcBorders>
            <w:vAlign w:val="center"/>
          </w:tcPr>
          <w:p w14:paraId="1EAD3C4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3D0F7A4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619" w:type="dxa"/>
            <w:tcBorders>
              <w:top w:val="nil"/>
              <w:left w:val="nil"/>
              <w:bottom w:val="single" w:color="auto" w:sz="4" w:space="0"/>
              <w:right w:val="single" w:color="auto" w:sz="4" w:space="0"/>
            </w:tcBorders>
            <w:vAlign w:val="center"/>
          </w:tcPr>
          <w:p w14:paraId="1E7CE627">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1000≤Y＜5000</w:t>
            </w:r>
          </w:p>
        </w:tc>
        <w:tc>
          <w:tcPr>
            <w:tcW w:w="1439" w:type="dxa"/>
            <w:tcBorders>
              <w:top w:val="nil"/>
              <w:left w:val="nil"/>
              <w:bottom w:val="single" w:color="auto" w:sz="4" w:space="0"/>
              <w:right w:val="single" w:color="auto" w:sz="4" w:space="0"/>
            </w:tcBorders>
            <w:vAlign w:val="center"/>
          </w:tcPr>
          <w:p w14:paraId="7EE89FA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500≤Y＜1000</w:t>
            </w:r>
          </w:p>
        </w:tc>
        <w:tc>
          <w:tcPr>
            <w:tcW w:w="1178" w:type="dxa"/>
            <w:tcBorders>
              <w:top w:val="nil"/>
              <w:left w:val="nil"/>
              <w:bottom w:val="single" w:color="auto" w:sz="4" w:space="0"/>
              <w:right w:val="single" w:color="auto" w:sz="4" w:space="0"/>
            </w:tcBorders>
            <w:vAlign w:val="center"/>
          </w:tcPr>
          <w:p w14:paraId="16A9621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Y＜500</w:t>
            </w:r>
          </w:p>
        </w:tc>
      </w:tr>
      <w:tr w14:paraId="35E97001">
        <w:tblPrEx>
          <w:tblCellMar>
            <w:top w:w="0" w:type="dxa"/>
            <w:left w:w="108" w:type="dxa"/>
            <w:bottom w:w="0" w:type="dxa"/>
            <w:right w:w="108" w:type="dxa"/>
          </w:tblCellMar>
        </w:tblPrEx>
        <w:trPr>
          <w:trHeight w:val="225" w:hRule="atLeast"/>
          <w:jc w:val="center"/>
        </w:trPr>
        <w:tc>
          <w:tcPr>
            <w:tcW w:w="3091" w:type="dxa"/>
            <w:vMerge w:val="restart"/>
            <w:tcBorders>
              <w:top w:val="nil"/>
              <w:left w:val="single" w:color="auto" w:sz="4" w:space="0"/>
              <w:bottom w:val="single" w:color="auto" w:sz="4" w:space="0"/>
              <w:right w:val="single" w:color="auto" w:sz="4" w:space="0"/>
            </w:tcBorders>
            <w:vAlign w:val="bottom"/>
          </w:tcPr>
          <w:p w14:paraId="04AAFCD8">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租赁和商务服务业</w:t>
            </w:r>
          </w:p>
        </w:tc>
        <w:tc>
          <w:tcPr>
            <w:tcW w:w="1383" w:type="dxa"/>
            <w:tcBorders>
              <w:top w:val="nil"/>
              <w:left w:val="nil"/>
              <w:bottom w:val="single" w:color="auto" w:sz="4" w:space="0"/>
              <w:right w:val="single" w:color="auto" w:sz="4" w:space="0"/>
            </w:tcBorders>
            <w:vAlign w:val="center"/>
          </w:tcPr>
          <w:p w14:paraId="43A5F94D">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1F0A9086">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619" w:type="dxa"/>
            <w:tcBorders>
              <w:top w:val="nil"/>
              <w:left w:val="nil"/>
              <w:bottom w:val="single" w:color="auto" w:sz="4" w:space="0"/>
              <w:right w:val="single" w:color="auto" w:sz="4" w:space="0"/>
            </w:tcBorders>
            <w:vAlign w:val="center"/>
          </w:tcPr>
          <w:p w14:paraId="180C1656">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439" w:type="dxa"/>
            <w:tcBorders>
              <w:top w:val="nil"/>
              <w:left w:val="nil"/>
              <w:bottom w:val="single" w:color="auto" w:sz="4" w:space="0"/>
              <w:right w:val="single" w:color="auto" w:sz="4" w:space="0"/>
            </w:tcBorders>
            <w:vAlign w:val="center"/>
          </w:tcPr>
          <w:p w14:paraId="5E943509">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1178" w:type="dxa"/>
            <w:tcBorders>
              <w:top w:val="nil"/>
              <w:left w:val="nil"/>
              <w:bottom w:val="single" w:color="auto" w:sz="4" w:space="0"/>
              <w:right w:val="single" w:color="auto" w:sz="4" w:space="0"/>
            </w:tcBorders>
            <w:vAlign w:val="center"/>
          </w:tcPr>
          <w:p w14:paraId="4E2DBA94">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44A69B3B">
        <w:tblPrEx>
          <w:tblCellMar>
            <w:top w:w="0" w:type="dxa"/>
            <w:left w:w="108" w:type="dxa"/>
            <w:bottom w:w="0" w:type="dxa"/>
            <w:right w:w="108" w:type="dxa"/>
          </w:tblCellMar>
        </w:tblPrEx>
        <w:trPr>
          <w:trHeight w:val="225" w:hRule="atLeast"/>
          <w:jc w:val="center"/>
        </w:trPr>
        <w:tc>
          <w:tcPr>
            <w:tcW w:w="3091" w:type="dxa"/>
            <w:vMerge w:val="continue"/>
            <w:tcBorders>
              <w:top w:val="nil"/>
              <w:left w:val="single" w:color="auto" w:sz="4" w:space="0"/>
              <w:bottom w:val="single" w:color="auto" w:sz="4" w:space="0"/>
              <w:right w:val="single" w:color="auto" w:sz="4" w:space="0"/>
            </w:tcBorders>
            <w:vAlign w:val="center"/>
          </w:tcPr>
          <w:p w14:paraId="45EBC04C">
            <w:pPr>
              <w:widowControl/>
              <w:jc w:val="left"/>
              <w:rPr>
                <w:rFonts w:hint="eastAsia" w:ascii="宋体" w:hAnsi="宋体" w:eastAsia="宋体" w:cs="宋体"/>
                <w:b/>
                <w:bCs/>
                <w:color w:val="auto"/>
                <w:kern w:val="0"/>
                <w:sz w:val="18"/>
                <w:szCs w:val="18"/>
                <w:highlight w:val="none"/>
              </w:rPr>
            </w:pPr>
          </w:p>
        </w:tc>
        <w:tc>
          <w:tcPr>
            <w:tcW w:w="1383" w:type="dxa"/>
            <w:tcBorders>
              <w:top w:val="nil"/>
              <w:left w:val="nil"/>
              <w:bottom w:val="single" w:color="auto" w:sz="4" w:space="0"/>
              <w:right w:val="single" w:color="auto" w:sz="4" w:space="0"/>
            </w:tcBorders>
            <w:vAlign w:val="center"/>
          </w:tcPr>
          <w:p w14:paraId="7DD3A34C">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资产总额（Z）</w:t>
            </w:r>
          </w:p>
        </w:tc>
        <w:tc>
          <w:tcPr>
            <w:tcW w:w="913" w:type="dxa"/>
            <w:tcBorders>
              <w:top w:val="nil"/>
              <w:left w:val="nil"/>
              <w:bottom w:val="single" w:color="auto" w:sz="4" w:space="0"/>
              <w:right w:val="single" w:color="auto" w:sz="4" w:space="0"/>
            </w:tcBorders>
            <w:vAlign w:val="center"/>
          </w:tcPr>
          <w:p w14:paraId="0D42CE5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619" w:type="dxa"/>
            <w:tcBorders>
              <w:top w:val="nil"/>
              <w:left w:val="nil"/>
              <w:bottom w:val="single" w:color="auto" w:sz="4" w:space="0"/>
              <w:right w:val="single" w:color="auto" w:sz="4" w:space="0"/>
            </w:tcBorders>
            <w:vAlign w:val="center"/>
          </w:tcPr>
          <w:p w14:paraId="1D57867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8000≤Z＜120000</w:t>
            </w:r>
          </w:p>
        </w:tc>
        <w:tc>
          <w:tcPr>
            <w:tcW w:w="1439" w:type="dxa"/>
            <w:tcBorders>
              <w:top w:val="nil"/>
              <w:left w:val="nil"/>
              <w:bottom w:val="single" w:color="auto" w:sz="4" w:space="0"/>
              <w:right w:val="single" w:color="auto" w:sz="4" w:space="0"/>
            </w:tcBorders>
            <w:vAlign w:val="center"/>
          </w:tcPr>
          <w:p w14:paraId="1838E247">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100≤Z＜8000</w:t>
            </w:r>
          </w:p>
        </w:tc>
        <w:tc>
          <w:tcPr>
            <w:tcW w:w="1178" w:type="dxa"/>
            <w:tcBorders>
              <w:top w:val="nil"/>
              <w:left w:val="nil"/>
              <w:bottom w:val="single" w:color="auto" w:sz="4" w:space="0"/>
              <w:right w:val="single" w:color="auto" w:sz="4" w:space="0"/>
            </w:tcBorders>
            <w:vAlign w:val="center"/>
          </w:tcPr>
          <w:p w14:paraId="6C643BA9">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6202B96D">
        <w:tblPrEx>
          <w:tblCellMar>
            <w:top w:w="0" w:type="dxa"/>
            <w:left w:w="108" w:type="dxa"/>
            <w:bottom w:w="0" w:type="dxa"/>
            <w:right w:w="108" w:type="dxa"/>
          </w:tblCellMar>
        </w:tblPrEx>
        <w:trPr>
          <w:trHeight w:val="225" w:hRule="atLeast"/>
          <w:jc w:val="center"/>
        </w:trPr>
        <w:tc>
          <w:tcPr>
            <w:tcW w:w="3091" w:type="dxa"/>
            <w:tcBorders>
              <w:top w:val="nil"/>
              <w:left w:val="single" w:color="auto" w:sz="4" w:space="0"/>
              <w:bottom w:val="single" w:color="auto" w:sz="4" w:space="0"/>
              <w:right w:val="single" w:color="auto" w:sz="4" w:space="0"/>
            </w:tcBorders>
            <w:vAlign w:val="bottom"/>
          </w:tcPr>
          <w:p w14:paraId="449AC5E1">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其他未列明行业</w:t>
            </w:r>
          </w:p>
        </w:tc>
        <w:tc>
          <w:tcPr>
            <w:tcW w:w="1383" w:type="dxa"/>
            <w:tcBorders>
              <w:top w:val="nil"/>
              <w:left w:val="nil"/>
              <w:bottom w:val="single" w:color="auto" w:sz="4" w:space="0"/>
              <w:right w:val="single" w:color="auto" w:sz="4" w:space="0"/>
            </w:tcBorders>
            <w:vAlign w:val="center"/>
          </w:tcPr>
          <w:p w14:paraId="17548A7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56C6FE59">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619" w:type="dxa"/>
            <w:tcBorders>
              <w:top w:val="nil"/>
              <w:left w:val="nil"/>
              <w:bottom w:val="single" w:color="auto" w:sz="4" w:space="0"/>
              <w:right w:val="single" w:color="auto" w:sz="4" w:space="0"/>
            </w:tcBorders>
            <w:vAlign w:val="center"/>
          </w:tcPr>
          <w:p w14:paraId="49F6F39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439" w:type="dxa"/>
            <w:tcBorders>
              <w:top w:val="nil"/>
              <w:left w:val="nil"/>
              <w:bottom w:val="single" w:color="auto" w:sz="4" w:space="0"/>
              <w:right w:val="single" w:color="auto" w:sz="4" w:space="0"/>
            </w:tcBorders>
            <w:vAlign w:val="center"/>
          </w:tcPr>
          <w:p w14:paraId="244C0CE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1178" w:type="dxa"/>
            <w:tcBorders>
              <w:top w:val="nil"/>
              <w:left w:val="nil"/>
              <w:bottom w:val="single" w:color="auto" w:sz="4" w:space="0"/>
              <w:right w:val="single" w:color="auto" w:sz="4" w:space="0"/>
            </w:tcBorders>
            <w:vAlign w:val="center"/>
          </w:tcPr>
          <w:p w14:paraId="575F5BCA">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bl>
    <w:p w14:paraId="626ECDD9">
      <w:pPr>
        <w:spacing w:line="360" w:lineRule="auto"/>
        <w:ind w:firstLine="525" w:firstLineChars="25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说明：上述标准参照《关于印发中小企业划型标准规定的通知》（工信部联企业[2011]300号），大型、中型和小型企业须同时满足所列指标的下限，否则下划一档；微型企业只须满足所列指标中的一项即可。</w:t>
      </w:r>
    </w:p>
    <w:p w14:paraId="55DE715D">
      <w:pPr>
        <w:pStyle w:val="27"/>
        <w:rPr>
          <w:rFonts w:hint="eastAsia" w:ascii="宋体" w:hAnsi="宋体" w:eastAsia="宋体" w:cs="宋体"/>
          <w:color w:val="auto"/>
          <w:szCs w:val="21"/>
          <w:highlight w:val="none"/>
        </w:rPr>
      </w:pPr>
    </w:p>
    <w:p w14:paraId="5EDCBBB9">
      <w:pPr>
        <w:pStyle w:val="27"/>
        <w:rPr>
          <w:rFonts w:hint="eastAsia" w:ascii="宋体" w:hAnsi="宋体" w:eastAsia="宋体" w:cs="宋体"/>
          <w:color w:val="auto"/>
          <w:szCs w:val="21"/>
          <w:highlight w:val="none"/>
        </w:rPr>
      </w:pPr>
    </w:p>
    <w:p w14:paraId="3B1B2EE2">
      <w:pPr>
        <w:pStyle w:val="11"/>
        <w:jc w:val="center"/>
        <w:outlineLvl w:val="0"/>
        <w:rPr>
          <w:rFonts w:hint="eastAsia" w:ascii="宋体" w:hAnsi="宋体" w:eastAsia="宋体" w:cs="宋体"/>
          <w:b/>
          <w:color w:val="auto"/>
          <w:sz w:val="36"/>
          <w:szCs w:val="36"/>
          <w:highlight w:val="none"/>
        </w:rPr>
      </w:pPr>
      <w:bookmarkStart w:id="48" w:name="_Toc9063"/>
      <w:bookmarkStart w:id="49" w:name="_Toc25554"/>
      <w:bookmarkStart w:id="50" w:name="_Toc532545044"/>
      <w:r>
        <w:rPr>
          <w:rFonts w:hint="eastAsia" w:ascii="宋体" w:hAnsi="宋体" w:eastAsia="宋体" w:cs="宋体"/>
          <w:b/>
          <w:color w:val="auto"/>
          <w:sz w:val="36"/>
          <w:highlight w:val="none"/>
        </w:rPr>
        <w:t>第三章  投标人须知</w:t>
      </w:r>
      <w:bookmarkEnd w:id="48"/>
      <w:bookmarkEnd w:id="49"/>
      <w:bookmarkEnd w:id="50"/>
    </w:p>
    <w:p w14:paraId="36AC44D1">
      <w:pPr>
        <w:pStyle w:val="11"/>
        <w:spacing w:line="720" w:lineRule="auto"/>
        <w:jc w:val="center"/>
        <w:outlineLvl w:val="1"/>
        <w:rPr>
          <w:rFonts w:hint="eastAsia" w:ascii="宋体" w:hAnsi="宋体" w:eastAsia="宋体" w:cs="宋体"/>
          <w:b/>
          <w:color w:val="auto"/>
          <w:sz w:val="30"/>
          <w:szCs w:val="30"/>
          <w:highlight w:val="none"/>
        </w:rPr>
      </w:pPr>
      <w:bookmarkStart w:id="51" w:name="_Toc25856"/>
      <w:bookmarkStart w:id="52" w:name="_Toc32208"/>
      <w:r>
        <w:rPr>
          <w:rFonts w:hint="eastAsia" w:ascii="宋体" w:hAnsi="宋体" w:eastAsia="宋体" w:cs="宋体"/>
          <w:b/>
          <w:color w:val="auto"/>
          <w:sz w:val="30"/>
          <w:szCs w:val="30"/>
          <w:highlight w:val="none"/>
        </w:rPr>
        <w:t>第一节 投标人须知前附表</w:t>
      </w:r>
      <w:bookmarkEnd w:id="51"/>
      <w:bookmarkEnd w:id="52"/>
    </w:p>
    <w:tbl>
      <w:tblPr>
        <w:tblStyle w:val="18"/>
        <w:tblW w:w="1024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268"/>
        <w:gridCol w:w="7297"/>
      </w:tblGrid>
      <w:tr w14:paraId="247D6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1EA2A4B9">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条款号</w:t>
            </w:r>
          </w:p>
        </w:tc>
        <w:tc>
          <w:tcPr>
            <w:tcW w:w="2268" w:type="dxa"/>
            <w:vAlign w:val="center"/>
          </w:tcPr>
          <w:p w14:paraId="379F8805">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项目内容</w:t>
            </w:r>
          </w:p>
        </w:tc>
        <w:tc>
          <w:tcPr>
            <w:tcW w:w="7297" w:type="dxa"/>
            <w:vAlign w:val="center"/>
          </w:tcPr>
          <w:p w14:paraId="5D06CE64">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编列内容</w:t>
            </w:r>
          </w:p>
        </w:tc>
      </w:tr>
      <w:tr w14:paraId="2C934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71DBE868">
            <w:pPr>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6.1</w:t>
            </w:r>
          </w:p>
        </w:tc>
        <w:tc>
          <w:tcPr>
            <w:tcW w:w="2268" w:type="dxa"/>
            <w:vAlign w:val="center"/>
          </w:tcPr>
          <w:p w14:paraId="7C427934">
            <w:pPr>
              <w:spacing w:line="380" w:lineRule="exact"/>
              <w:rPr>
                <w:rFonts w:hint="eastAsia" w:ascii="宋体" w:hAnsi="宋体" w:eastAsia="宋体" w:cs="宋体"/>
                <w:color w:val="auto"/>
                <w:szCs w:val="21"/>
                <w:highlight w:val="none"/>
              </w:rPr>
            </w:pPr>
            <w:bookmarkStart w:id="53" w:name="_8.1"/>
            <w:bookmarkEnd w:id="53"/>
            <w:bookmarkStart w:id="54" w:name="_5"/>
            <w:bookmarkEnd w:id="54"/>
            <w:bookmarkStart w:id="55" w:name="_9.2"/>
            <w:bookmarkEnd w:id="55"/>
            <w:r>
              <w:rPr>
                <w:rFonts w:hint="eastAsia" w:ascii="宋体" w:hAnsi="宋体" w:eastAsia="宋体" w:cs="宋体"/>
                <w:color w:val="auto"/>
                <w:szCs w:val="21"/>
                <w:highlight w:val="none"/>
              </w:rPr>
              <w:t>是否接受联合体投标</w:t>
            </w:r>
          </w:p>
        </w:tc>
        <w:tc>
          <w:tcPr>
            <w:tcW w:w="7297" w:type="dxa"/>
            <w:vAlign w:val="center"/>
          </w:tcPr>
          <w:p w14:paraId="08FA0983">
            <w:pPr>
              <w:pStyle w:val="9"/>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详见公告。</w:t>
            </w:r>
          </w:p>
        </w:tc>
      </w:tr>
      <w:tr w14:paraId="2378E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32928825">
            <w:pPr>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6.2</w:t>
            </w:r>
          </w:p>
        </w:tc>
        <w:tc>
          <w:tcPr>
            <w:tcW w:w="2268" w:type="dxa"/>
            <w:vAlign w:val="center"/>
          </w:tcPr>
          <w:p w14:paraId="6687552C">
            <w:pPr>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联合体投标要求</w:t>
            </w:r>
          </w:p>
        </w:tc>
        <w:tc>
          <w:tcPr>
            <w:tcW w:w="7297" w:type="dxa"/>
            <w:vAlign w:val="center"/>
          </w:tcPr>
          <w:p w14:paraId="1AA78CB8">
            <w:pPr>
              <w:pStyle w:val="9"/>
              <w:spacing w:line="380" w:lineRule="exac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无</w:t>
            </w:r>
          </w:p>
        </w:tc>
      </w:tr>
      <w:tr w14:paraId="6BD33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643BAA4C">
            <w:pPr>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7.2</w:t>
            </w:r>
          </w:p>
        </w:tc>
        <w:tc>
          <w:tcPr>
            <w:tcW w:w="2268" w:type="dxa"/>
            <w:vAlign w:val="center"/>
          </w:tcPr>
          <w:p w14:paraId="793752F3">
            <w:pPr>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是否允许转包/分包</w:t>
            </w:r>
          </w:p>
        </w:tc>
        <w:tc>
          <w:tcPr>
            <w:tcW w:w="7297" w:type="dxa"/>
            <w:vAlign w:val="center"/>
          </w:tcPr>
          <w:p w14:paraId="213174BA">
            <w:pPr>
              <w:pStyle w:val="9"/>
              <w:pageBreakBefore w:val="0"/>
              <w:widowControl w:val="0"/>
              <w:kinsoku/>
              <w:wordWrap/>
              <w:overflowPunct/>
              <w:topLinePunct w:val="0"/>
              <w:bidi w:val="0"/>
              <w:adjustRightInd/>
              <w:spacing w:line="360" w:lineRule="exac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☑不允许转包/分包</w:t>
            </w:r>
          </w:p>
          <w:p w14:paraId="6BC9E324">
            <w:pPr>
              <w:pStyle w:val="9"/>
              <w:pageBreakBefore w:val="0"/>
              <w:widowControl w:val="0"/>
              <w:kinsoku/>
              <w:wordWrap/>
              <w:overflowPunct/>
              <w:topLinePunct w:val="0"/>
              <w:bidi w:val="0"/>
              <w:adjustRightInd/>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□允许转包/分包</w:t>
            </w:r>
          </w:p>
          <w:p w14:paraId="3981683C">
            <w:pPr>
              <w:pStyle w:val="9"/>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转包/分包内容：</w:t>
            </w:r>
            <w:r>
              <w:rPr>
                <w:rFonts w:hint="eastAsia" w:ascii="宋体" w:hAnsi="宋体" w:eastAsia="宋体" w:cs="宋体"/>
                <w:color w:val="auto"/>
                <w:szCs w:val="21"/>
                <w:highlight w:val="none"/>
                <w:u w:val="single"/>
              </w:rPr>
              <w:t xml:space="preserve">                                     。</w:t>
            </w:r>
          </w:p>
          <w:p w14:paraId="563803E0">
            <w:pPr>
              <w:pStyle w:val="9"/>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转包/分包金额或者比例：</w:t>
            </w:r>
            <w:r>
              <w:rPr>
                <w:rFonts w:hint="eastAsia" w:ascii="宋体" w:hAnsi="宋体" w:eastAsia="宋体" w:cs="宋体"/>
                <w:color w:val="auto"/>
                <w:szCs w:val="21"/>
                <w:highlight w:val="none"/>
                <w:u w:val="single"/>
              </w:rPr>
              <w:t xml:space="preserve">                                     。</w:t>
            </w:r>
          </w:p>
        </w:tc>
      </w:tr>
      <w:tr w14:paraId="097F7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2D8A51D8">
            <w:pPr>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11.4</w:t>
            </w:r>
          </w:p>
        </w:tc>
        <w:tc>
          <w:tcPr>
            <w:tcW w:w="2268" w:type="dxa"/>
            <w:vAlign w:val="center"/>
          </w:tcPr>
          <w:p w14:paraId="0CE71014">
            <w:pPr>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媒体发布渠道</w:t>
            </w:r>
          </w:p>
        </w:tc>
        <w:tc>
          <w:tcPr>
            <w:tcW w:w="7297" w:type="dxa"/>
            <w:vAlign w:val="center"/>
          </w:tcPr>
          <w:p w14:paraId="7EEFC480">
            <w:pPr>
              <w:rPr>
                <w:rFonts w:hint="eastAsia" w:ascii="宋体" w:hAnsi="宋体" w:eastAsia="宋体" w:cs="宋体"/>
                <w:color w:val="auto"/>
                <w:sz w:val="28"/>
                <w:szCs w:val="18"/>
                <w:highlight w:val="none"/>
              </w:rPr>
            </w:pPr>
            <w:r>
              <w:rPr>
                <w:rFonts w:hint="eastAsia" w:ascii="宋体" w:hAnsi="宋体" w:eastAsia="宋体" w:cs="宋体"/>
                <w:color w:val="auto"/>
                <w:szCs w:val="21"/>
                <w:highlight w:val="none"/>
              </w:rPr>
              <w:t>与本项目相关的政府采购业务澄清、更正及与之相关的事项将在采购公告中“六、其他补充事宜”中网上查询地址上发布</w:t>
            </w:r>
            <w:r>
              <w:rPr>
                <w:rFonts w:hint="eastAsia" w:ascii="宋体" w:hAnsi="宋体" w:eastAsia="宋体" w:cs="宋体"/>
                <w:color w:val="auto"/>
                <w:kern w:val="0"/>
                <w:szCs w:val="21"/>
                <w:highlight w:val="none"/>
              </w:rPr>
              <w:t>。</w:t>
            </w:r>
          </w:p>
        </w:tc>
      </w:tr>
      <w:tr w14:paraId="3365C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79FF97A7">
            <w:pPr>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11.6</w:t>
            </w:r>
          </w:p>
        </w:tc>
        <w:tc>
          <w:tcPr>
            <w:tcW w:w="2268" w:type="dxa"/>
            <w:vAlign w:val="center"/>
          </w:tcPr>
          <w:p w14:paraId="5A02797B">
            <w:pPr>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是否组织标前答疑会</w:t>
            </w:r>
          </w:p>
        </w:tc>
        <w:tc>
          <w:tcPr>
            <w:tcW w:w="7297" w:type="dxa"/>
            <w:vAlign w:val="center"/>
          </w:tcPr>
          <w:p w14:paraId="69F86236">
            <w:pPr>
              <w:snapToGrid w:val="0"/>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不组织召开开标前答疑会</w:t>
            </w:r>
          </w:p>
          <w:p w14:paraId="44F71F9B">
            <w:pPr>
              <w:snapToGrid w:val="0"/>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□组织召开开标前答疑会</w:t>
            </w:r>
          </w:p>
          <w:p w14:paraId="2168F481">
            <w:pPr>
              <w:snapToGrid w:val="0"/>
              <w:spacing w:line="380" w:lineRule="exac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会议开始时间：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日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时</w:t>
            </w:r>
            <w:r>
              <w:rPr>
                <w:rFonts w:hint="eastAsia" w:ascii="宋体" w:hAnsi="宋体" w:eastAsia="宋体" w:cs="宋体"/>
                <w:color w:val="auto"/>
                <w:szCs w:val="21"/>
                <w:highlight w:val="none"/>
                <w:u w:val="single"/>
              </w:rPr>
              <w:t xml:space="preserve">  分</w:t>
            </w:r>
            <w:r>
              <w:rPr>
                <w:rFonts w:hint="eastAsia" w:ascii="宋体" w:hAnsi="宋体" w:eastAsia="宋体" w:cs="宋体"/>
                <w:color w:val="auto"/>
                <w:szCs w:val="21"/>
                <w:highlight w:val="none"/>
              </w:rPr>
              <w:t>，逾期后果自负。会议地点：</w:t>
            </w:r>
            <w:r>
              <w:rPr>
                <w:rFonts w:hint="eastAsia" w:ascii="宋体" w:hAnsi="宋体" w:eastAsia="宋体" w:cs="宋体"/>
                <w:color w:val="auto"/>
                <w:szCs w:val="21"/>
                <w:highlight w:val="none"/>
                <w:u w:val="single"/>
              </w:rPr>
              <w:t xml:space="preserve">              </w:t>
            </w:r>
          </w:p>
        </w:tc>
      </w:tr>
      <w:tr w14:paraId="6D8E2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32A58606">
            <w:pPr>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13.1</w:t>
            </w:r>
          </w:p>
        </w:tc>
        <w:tc>
          <w:tcPr>
            <w:tcW w:w="2268" w:type="dxa"/>
            <w:vAlign w:val="center"/>
          </w:tcPr>
          <w:p w14:paraId="2F185520">
            <w:pPr>
              <w:snapToGrid w:val="0"/>
              <w:spacing w:line="380" w:lineRule="exact"/>
              <w:jc w:val="left"/>
              <w:rPr>
                <w:rFonts w:hint="eastAsia" w:ascii="宋体" w:hAnsi="宋体" w:eastAsia="宋体" w:cs="宋体"/>
                <w:color w:val="auto"/>
                <w:szCs w:val="21"/>
                <w:highlight w:val="none"/>
              </w:rPr>
            </w:pPr>
            <w:bookmarkStart w:id="56" w:name="_13.2"/>
            <w:bookmarkEnd w:id="56"/>
            <w:r>
              <w:rPr>
                <w:rFonts w:hint="eastAsia" w:ascii="宋体" w:hAnsi="宋体" w:eastAsia="宋体" w:cs="宋体"/>
                <w:color w:val="auto"/>
                <w:szCs w:val="21"/>
                <w:highlight w:val="none"/>
              </w:rPr>
              <w:t>资格证明文件组成</w:t>
            </w:r>
          </w:p>
        </w:tc>
        <w:tc>
          <w:tcPr>
            <w:tcW w:w="7297" w:type="dxa"/>
            <w:vAlign w:val="center"/>
          </w:tcPr>
          <w:p w14:paraId="2A289DC2">
            <w:pPr>
              <w:pageBreakBefore w:val="0"/>
              <w:widowControl w:val="0"/>
              <w:kinsoku/>
              <w:wordWrap/>
              <w:overflowPunct/>
              <w:topLinePunct w:val="0"/>
              <w:bidi w:val="0"/>
              <w:adjustRightInd/>
              <w:snapToGrid w:val="0"/>
              <w:spacing w:line="36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1、投标人为法人或者其他组织的，提供营业执照等证明文件（如营业执照或者事业单位法人证书或者</w:t>
            </w:r>
            <w:r>
              <w:rPr>
                <w:rStyle w:val="32"/>
                <w:rFonts w:hint="eastAsia" w:ascii="宋体" w:hAnsi="宋体" w:eastAsia="宋体" w:cs="宋体"/>
                <w:color w:val="auto"/>
                <w:szCs w:val="21"/>
                <w:highlight w:val="none"/>
              </w:rPr>
              <w:t>执业许可证</w:t>
            </w:r>
            <w:r>
              <w:rPr>
                <w:rFonts w:hint="eastAsia" w:ascii="宋体" w:hAnsi="宋体" w:eastAsia="宋体" w:cs="宋体"/>
                <w:color w:val="auto"/>
                <w:szCs w:val="21"/>
                <w:highlight w:val="none"/>
              </w:rPr>
              <w:t>等），投标人为自然人的，提供身份证复印件；（</w:t>
            </w:r>
            <w:r>
              <w:rPr>
                <w:rFonts w:hint="eastAsia" w:ascii="宋体" w:hAnsi="宋体" w:eastAsia="宋体" w:cs="宋体"/>
                <w:b/>
                <w:color w:val="auto"/>
                <w:szCs w:val="21"/>
                <w:highlight w:val="none"/>
              </w:rPr>
              <w:t>必须提供，否则作无效投标处理</w:t>
            </w:r>
            <w:r>
              <w:rPr>
                <w:rFonts w:hint="eastAsia" w:ascii="宋体" w:hAnsi="宋体" w:eastAsia="宋体" w:cs="宋体"/>
                <w:color w:val="auto"/>
                <w:szCs w:val="21"/>
                <w:highlight w:val="none"/>
              </w:rPr>
              <w:t>）</w:t>
            </w:r>
          </w:p>
          <w:p w14:paraId="017C555C">
            <w:pPr>
              <w:pageBreakBefore w:val="0"/>
              <w:widowControl w:val="0"/>
              <w:kinsoku/>
              <w:wordWrap/>
              <w:overflowPunct/>
              <w:topLinePunct w:val="0"/>
              <w:bidi w:val="0"/>
              <w:adjustRightInd/>
              <w:snapToGrid w:val="0"/>
              <w:spacing w:line="36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2、投标人依法缴纳税收的相关材料</w:t>
            </w:r>
            <w:r>
              <w:rPr>
                <w:rFonts w:hint="eastAsia" w:ascii="宋体" w:hAnsi="宋体" w:eastAsia="宋体" w:cs="宋体"/>
                <w:color w:val="auto"/>
                <w:szCs w:val="21"/>
                <w:highlight w:val="none"/>
                <w:lang w:eastAsia="zh-CN"/>
              </w:rPr>
              <w:t>：提供</w:t>
            </w:r>
            <w:r>
              <w:rPr>
                <w:rFonts w:hint="eastAsia" w:ascii="宋体" w:hAnsi="宋体" w:eastAsia="宋体" w:cs="宋体"/>
                <w:color w:val="auto"/>
                <w:szCs w:val="21"/>
                <w:highlight w:val="none"/>
                <w:u w:val="single"/>
              </w:rPr>
              <w:t>202</w:t>
            </w:r>
            <w:r>
              <w:rPr>
                <w:rFonts w:hint="eastAsia" w:ascii="宋体" w:hAnsi="宋体" w:cs="宋体"/>
                <w:color w:val="auto"/>
                <w:szCs w:val="21"/>
                <w:highlight w:val="none"/>
                <w:u w:val="single"/>
                <w:lang w:val="en-US" w:eastAsia="zh-CN"/>
              </w:rPr>
              <w:t>4</w:t>
            </w:r>
            <w:r>
              <w:rPr>
                <w:rFonts w:hint="eastAsia" w:ascii="宋体" w:hAnsi="宋体" w:eastAsia="宋体" w:cs="宋体"/>
                <w:color w:val="auto"/>
                <w:szCs w:val="21"/>
                <w:highlight w:val="none"/>
              </w:rPr>
              <w:t>年</w:t>
            </w:r>
            <w:r>
              <w:rPr>
                <w:rFonts w:hint="eastAsia" w:ascii="宋体" w:hAnsi="宋体" w:cs="宋体"/>
                <w:color w:val="auto"/>
                <w:szCs w:val="21"/>
                <w:highlight w:val="none"/>
                <w:u w:val="single"/>
                <w:lang w:val="en-US" w:eastAsia="zh-CN"/>
              </w:rPr>
              <w:t>12</w:t>
            </w:r>
            <w:r>
              <w:rPr>
                <w:rFonts w:hint="eastAsia" w:ascii="宋体" w:hAnsi="宋体" w:eastAsia="宋体" w:cs="宋体"/>
                <w:color w:val="auto"/>
                <w:szCs w:val="21"/>
                <w:highlight w:val="none"/>
              </w:rPr>
              <w:t>月至</w:t>
            </w:r>
            <w:r>
              <w:rPr>
                <w:rFonts w:hint="eastAsia" w:ascii="宋体" w:hAnsi="宋体" w:eastAsia="宋体" w:cs="宋体"/>
                <w:color w:val="auto"/>
                <w:szCs w:val="21"/>
                <w:highlight w:val="none"/>
                <w:u w:val="single"/>
              </w:rPr>
              <w:t>202</w:t>
            </w:r>
            <w:r>
              <w:rPr>
                <w:rFonts w:hint="eastAsia" w:ascii="宋体" w:hAnsi="宋体" w:cs="宋体"/>
                <w:color w:val="auto"/>
                <w:szCs w:val="21"/>
                <w:highlight w:val="none"/>
                <w:u w:val="single"/>
                <w:lang w:val="en-US" w:eastAsia="zh-CN"/>
              </w:rPr>
              <w:t>5</w:t>
            </w:r>
            <w:r>
              <w:rPr>
                <w:rFonts w:hint="eastAsia" w:ascii="宋体" w:hAnsi="宋体" w:eastAsia="宋体" w:cs="宋体"/>
                <w:color w:val="auto"/>
                <w:szCs w:val="21"/>
                <w:highlight w:val="none"/>
              </w:rPr>
              <w:t>年</w:t>
            </w:r>
            <w:r>
              <w:rPr>
                <w:rFonts w:hint="eastAsia" w:ascii="宋体" w:hAnsi="宋体" w:cs="宋体"/>
                <w:color w:val="auto"/>
                <w:szCs w:val="21"/>
                <w:highlight w:val="none"/>
                <w:u w:val="single"/>
                <w:lang w:val="en-US" w:eastAsia="zh-CN"/>
              </w:rPr>
              <w:t>6</w:t>
            </w:r>
            <w:r>
              <w:rPr>
                <w:rFonts w:hint="eastAsia" w:ascii="宋体" w:hAnsi="宋体" w:eastAsia="宋体" w:cs="宋体"/>
                <w:color w:val="auto"/>
                <w:szCs w:val="21"/>
                <w:highlight w:val="none"/>
              </w:rPr>
              <w:t>月期间连续</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3</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个月的依法缴纳税收的凭据复印件；依法免税的供应商，必须提供相应文件证明其依法免税。从取得营业执照时间起到投标文件提交截止时间为止不足要求月数的，只需提供从取得营业执照起的依法缴纳税收相应证明文件；（</w:t>
            </w:r>
            <w:r>
              <w:rPr>
                <w:rFonts w:hint="eastAsia" w:ascii="宋体" w:hAnsi="宋体" w:eastAsia="宋体" w:cs="宋体"/>
                <w:b/>
                <w:color w:val="auto"/>
                <w:szCs w:val="21"/>
                <w:highlight w:val="none"/>
              </w:rPr>
              <w:t>必须提供，否则作无效投标处理</w:t>
            </w:r>
            <w:r>
              <w:rPr>
                <w:rFonts w:hint="eastAsia" w:ascii="宋体" w:hAnsi="宋体" w:eastAsia="宋体" w:cs="宋体"/>
                <w:color w:val="auto"/>
                <w:szCs w:val="21"/>
                <w:highlight w:val="none"/>
              </w:rPr>
              <w:t>）</w:t>
            </w:r>
          </w:p>
          <w:p w14:paraId="35815CDE">
            <w:pPr>
              <w:pageBreakBefore w:val="0"/>
              <w:widowControl w:val="0"/>
              <w:kinsoku/>
              <w:wordWrap/>
              <w:overflowPunct/>
              <w:topLinePunct w:val="0"/>
              <w:bidi w:val="0"/>
              <w:adjustRightInd/>
              <w:snapToGrid w:val="0"/>
              <w:spacing w:line="36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3、投标人依法缴纳社会保障资金的相关材料</w:t>
            </w:r>
            <w:r>
              <w:rPr>
                <w:rFonts w:hint="eastAsia" w:ascii="宋体" w:hAnsi="宋体" w:eastAsia="宋体" w:cs="宋体"/>
                <w:color w:val="auto"/>
                <w:szCs w:val="21"/>
                <w:highlight w:val="none"/>
                <w:lang w:eastAsia="zh-CN"/>
              </w:rPr>
              <w:t>：提供</w:t>
            </w:r>
            <w:r>
              <w:rPr>
                <w:rFonts w:hint="eastAsia" w:ascii="宋体" w:hAnsi="宋体" w:eastAsia="宋体" w:cs="宋体"/>
                <w:color w:val="auto"/>
                <w:szCs w:val="21"/>
                <w:highlight w:val="none"/>
                <w:u w:val="single"/>
              </w:rPr>
              <w:t>202</w:t>
            </w:r>
            <w:r>
              <w:rPr>
                <w:rFonts w:hint="eastAsia" w:ascii="宋体" w:hAnsi="宋体" w:cs="宋体"/>
                <w:color w:val="auto"/>
                <w:szCs w:val="21"/>
                <w:highlight w:val="none"/>
                <w:u w:val="single"/>
                <w:lang w:val="en-US" w:eastAsia="zh-CN"/>
              </w:rPr>
              <w:t>4</w:t>
            </w:r>
            <w:r>
              <w:rPr>
                <w:rFonts w:hint="eastAsia" w:ascii="宋体" w:hAnsi="宋体" w:eastAsia="宋体" w:cs="宋体"/>
                <w:color w:val="auto"/>
                <w:szCs w:val="21"/>
                <w:highlight w:val="none"/>
              </w:rPr>
              <w:t>年</w:t>
            </w:r>
            <w:r>
              <w:rPr>
                <w:rFonts w:hint="eastAsia" w:ascii="宋体" w:hAnsi="宋体" w:cs="宋体"/>
                <w:color w:val="auto"/>
                <w:szCs w:val="21"/>
                <w:highlight w:val="none"/>
                <w:u w:val="single"/>
                <w:lang w:val="en-US" w:eastAsia="zh-CN"/>
              </w:rPr>
              <w:t>12</w:t>
            </w:r>
            <w:r>
              <w:rPr>
                <w:rFonts w:hint="eastAsia" w:ascii="宋体" w:hAnsi="宋体" w:eastAsia="宋体" w:cs="宋体"/>
                <w:color w:val="auto"/>
                <w:szCs w:val="21"/>
                <w:highlight w:val="none"/>
              </w:rPr>
              <w:t>月至</w:t>
            </w:r>
            <w:r>
              <w:rPr>
                <w:rFonts w:hint="eastAsia" w:ascii="宋体" w:hAnsi="宋体" w:eastAsia="宋体" w:cs="宋体"/>
                <w:color w:val="auto"/>
                <w:szCs w:val="21"/>
                <w:highlight w:val="none"/>
                <w:u w:val="single"/>
              </w:rPr>
              <w:t>202</w:t>
            </w:r>
            <w:r>
              <w:rPr>
                <w:rFonts w:hint="eastAsia" w:ascii="宋体" w:hAnsi="宋体" w:cs="宋体"/>
                <w:color w:val="auto"/>
                <w:szCs w:val="21"/>
                <w:highlight w:val="none"/>
                <w:u w:val="single"/>
                <w:lang w:val="en-US" w:eastAsia="zh-CN"/>
              </w:rPr>
              <w:t>5</w:t>
            </w:r>
            <w:r>
              <w:rPr>
                <w:rFonts w:hint="eastAsia" w:ascii="宋体" w:hAnsi="宋体" w:eastAsia="宋体" w:cs="宋体"/>
                <w:color w:val="auto"/>
                <w:szCs w:val="21"/>
                <w:highlight w:val="none"/>
              </w:rPr>
              <w:t>年</w:t>
            </w:r>
            <w:r>
              <w:rPr>
                <w:rFonts w:hint="eastAsia" w:ascii="宋体" w:hAnsi="宋体" w:cs="宋体"/>
                <w:color w:val="auto"/>
                <w:szCs w:val="21"/>
                <w:highlight w:val="none"/>
                <w:u w:val="single"/>
                <w:lang w:val="en-US" w:eastAsia="zh-CN"/>
              </w:rPr>
              <w:t>6</w:t>
            </w:r>
            <w:r>
              <w:rPr>
                <w:rFonts w:hint="eastAsia" w:ascii="宋体" w:hAnsi="宋体" w:eastAsia="宋体" w:cs="宋体"/>
                <w:color w:val="auto"/>
                <w:szCs w:val="21"/>
                <w:highlight w:val="none"/>
              </w:rPr>
              <w:t>月期间连续</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3</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个月的依法缴纳社会保障资金的缴费凭证（专用收据或者社会保险缴纳清单）复印件；依法不需要缴纳社会保障资金的供应商，必须提供相应文件证明不需要缴纳社会保障资金。从取得营业执照时间起到投标文件提交截止时间为止不足要求月数的只需提供从取得营业执照起的依法缴纳社会保障资金的相应证明文件；（</w:t>
            </w:r>
            <w:r>
              <w:rPr>
                <w:rFonts w:hint="eastAsia" w:ascii="宋体" w:hAnsi="宋体" w:eastAsia="宋体" w:cs="宋体"/>
                <w:b/>
                <w:color w:val="auto"/>
                <w:szCs w:val="21"/>
                <w:highlight w:val="none"/>
              </w:rPr>
              <w:t>必须提供，否则作无效投标处理</w:t>
            </w:r>
            <w:r>
              <w:rPr>
                <w:rFonts w:hint="eastAsia" w:ascii="宋体" w:hAnsi="宋体" w:eastAsia="宋体" w:cs="宋体"/>
                <w:color w:val="auto"/>
                <w:szCs w:val="21"/>
                <w:highlight w:val="none"/>
              </w:rPr>
              <w:t>）</w:t>
            </w:r>
          </w:p>
          <w:p w14:paraId="4B46BCB3">
            <w:pPr>
              <w:pageBreakBefore w:val="0"/>
              <w:widowControl w:val="0"/>
              <w:kinsoku/>
              <w:wordWrap/>
              <w:overflowPunct/>
              <w:topLinePunct w:val="0"/>
              <w:bidi w:val="0"/>
              <w:adjustRightInd/>
              <w:snapToGrid w:val="0"/>
              <w:spacing w:line="36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r>
              <w:rPr>
                <w:rFonts w:hint="eastAsia" w:ascii="宋体" w:hAnsi="宋体" w:eastAsia="宋体" w:cs="宋体"/>
                <w:color w:val="auto"/>
                <w:szCs w:val="21"/>
                <w:highlight w:val="none"/>
                <w:lang w:eastAsia="zh-CN"/>
              </w:rPr>
              <w:t>投标人财务状况报告：提供</w:t>
            </w:r>
            <w:r>
              <w:rPr>
                <w:rFonts w:hint="eastAsia" w:ascii="宋体" w:hAnsi="宋体" w:eastAsia="宋体" w:cs="宋体"/>
                <w:color w:val="auto"/>
                <w:szCs w:val="21"/>
                <w:highlight w:val="none"/>
                <w:lang w:val="en-US" w:eastAsia="zh-CN"/>
              </w:rPr>
              <w:t>202</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lang w:val="en-US" w:eastAsia="zh-CN"/>
              </w:rPr>
              <w:t>年</w:t>
            </w:r>
            <w:r>
              <w:rPr>
                <w:rFonts w:hint="eastAsia" w:ascii="宋体" w:hAnsi="宋体" w:cs="宋体"/>
                <w:color w:val="auto"/>
                <w:szCs w:val="21"/>
                <w:highlight w:val="none"/>
                <w:lang w:val="en-US" w:eastAsia="zh-CN"/>
              </w:rPr>
              <w:t>或2024年</w:t>
            </w:r>
            <w:r>
              <w:rPr>
                <w:rFonts w:hint="eastAsia" w:ascii="宋体" w:hAnsi="宋体" w:eastAsia="宋体" w:cs="宋体"/>
                <w:color w:val="auto"/>
                <w:szCs w:val="21"/>
                <w:highlight w:val="none"/>
              </w:rPr>
              <w:t>财务状况报告复印件，供应商成立不满一年的应按提供首次响应文件提交截止时间上一个月的财务状况报告复印件；（上述财务状况报告包括：①供应商执行《企业会计准则》的，提供资产负债表、利润表、现金流量表、所有者权益变动表（如有）</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附注，以下称“四/三表一注”；②供应商执行《小企业会计准则》的</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提供资产负债表、利润表、现金流量表</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附注，以下称“三表一注”）；③供应商执行《政府会计制度》的，提供资产负债表、收入费用表</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净资产变动表</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附注]；（</w:t>
            </w:r>
            <w:r>
              <w:rPr>
                <w:rFonts w:hint="eastAsia" w:ascii="宋体" w:hAnsi="宋体" w:eastAsia="宋体" w:cs="宋体"/>
                <w:b/>
                <w:color w:val="auto"/>
                <w:szCs w:val="21"/>
                <w:highlight w:val="none"/>
              </w:rPr>
              <w:t>必须提供，否则作无效投标处理</w:t>
            </w:r>
            <w:r>
              <w:rPr>
                <w:rFonts w:hint="eastAsia" w:ascii="宋体" w:hAnsi="宋体" w:eastAsia="宋体" w:cs="宋体"/>
                <w:color w:val="auto"/>
                <w:szCs w:val="21"/>
                <w:highlight w:val="none"/>
              </w:rPr>
              <w:t xml:space="preserve">） </w:t>
            </w:r>
          </w:p>
          <w:p w14:paraId="40884F61">
            <w:pPr>
              <w:pageBreakBefore w:val="0"/>
              <w:widowControl w:val="0"/>
              <w:kinsoku/>
              <w:wordWrap/>
              <w:overflowPunct/>
              <w:topLinePunct w:val="0"/>
              <w:bidi w:val="0"/>
              <w:adjustRightInd/>
              <w:snapToGrid w:val="0"/>
              <w:spacing w:line="36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5、投标人直接控股、管理关系信息表；（</w:t>
            </w:r>
            <w:r>
              <w:rPr>
                <w:rFonts w:hint="eastAsia" w:ascii="宋体" w:hAnsi="宋体" w:eastAsia="宋体" w:cs="宋体"/>
                <w:b/>
                <w:color w:val="auto"/>
                <w:szCs w:val="21"/>
                <w:highlight w:val="none"/>
              </w:rPr>
              <w:t>必须提供，否则作无效投标处理</w:t>
            </w:r>
            <w:r>
              <w:rPr>
                <w:rFonts w:hint="eastAsia" w:ascii="宋体" w:hAnsi="宋体" w:eastAsia="宋体" w:cs="宋体"/>
                <w:color w:val="auto"/>
                <w:szCs w:val="21"/>
                <w:highlight w:val="none"/>
              </w:rPr>
              <w:t>）</w:t>
            </w:r>
          </w:p>
          <w:p w14:paraId="6A81A37F">
            <w:pPr>
              <w:pageBreakBefore w:val="0"/>
              <w:widowControl w:val="0"/>
              <w:numPr>
                <w:ilvl w:val="0"/>
                <w:numId w:val="0"/>
              </w:numPr>
              <w:kinsoku/>
              <w:wordWrap/>
              <w:overflowPunct/>
              <w:topLinePunct w:val="0"/>
              <w:bidi w:val="0"/>
              <w:adjustRightInd/>
              <w:snapToGrid w:val="0"/>
              <w:spacing w:line="360" w:lineRule="exact"/>
              <w:ind w:leftChars="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投标资格声明；（</w:t>
            </w:r>
            <w:r>
              <w:rPr>
                <w:rFonts w:hint="eastAsia" w:ascii="宋体" w:hAnsi="宋体" w:eastAsia="宋体" w:cs="宋体"/>
                <w:b/>
                <w:color w:val="auto"/>
                <w:szCs w:val="21"/>
                <w:highlight w:val="none"/>
              </w:rPr>
              <w:t>必须提供，否则作无效投标处理</w:t>
            </w:r>
            <w:r>
              <w:rPr>
                <w:rFonts w:hint="eastAsia" w:ascii="宋体" w:hAnsi="宋体" w:eastAsia="宋体" w:cs="宋体"/>
                <w:color w:val="auto"/>
                <w:szCs w:val="21"/>
                <w:highlight w:val="none"/>
              </w:rPr>
              <w:t>）</w:t>
            </w:r>
          </w:p>
          <w:p w14:paraId="233EFA8B">
            <w:pPr>
              <w:pageBreakBefore w:val="0"/>
              <w:widowControl w:val="0"/>
              <w:kinsoku/>
              <w:wordWrap/>
              <w:overflowPunct/>
              <w:topLinePunct w:val="0"/>
              <w:bidi w:val="0"/>
              <w:adjustRightInd/>
              <w:snapToGrid w:val="0"/>
              <w:spacing w:line="36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7、联合体协议书</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联合体投标时必须提供，否则作无效投标处理</w:t>
            </w:r>
            <w:r>
              <w:rPr>
                <w:rFonts w:hint="eastAsia" w:ascii="宋体" w:hAnsi="宋体" w:eastAsia="宋体" w:cs="宋体"/>
                <w:color w:val="auto"/>
                <w:szCs w:val="21"/>
                <w:highlight w:val="none"/>
              </w:rPr>
              <w:t>）</w:t>
            </w:r>
          </w:p>
          <w:p w14:paraId="7E8F63E4">
            <w:pPr>
              <w:pageBreakBefore w:val="0"/>
              <w:widowControl w:val="0"/>
              <w:kinsoku/>
              <w:wordWrap/>
              <w:overflowPunct/>
              <w:topLinePunct w:val="0"/>
              <w:bidi w:val="0"/>
              <w:adjustRightInd/>
              <w:snapToGrid w:val="0"/>
              <w:spacing w:line="360" w:lineRule="exact"/>
              <w:jc w:val="left"/>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8、</w:t>
            </w:r>
            <w:r>
              <w:rPr>
                <w:rFonts w:hint="eastAsia" w:ascii="宋体" w:hAnsi="宋体" w:eastAsia="宋体" w:cs="宋体"/>
                <w:color w:val="auto"/>
                <w:szCs w:val="21"/>
                <w:highlight w:val="none"/>
                <w:lang w:val="en-US" w:eastAsia="zh-CN"/>
              </w:rPr>
              <w:t>中小</w:t>
            </w:r>
            <w:r>
              <w:rPr>
                <w:rFonts w:hint="eastAsia" w:ascii="宋体" w:hAnsi="宋体" w:eastAsia="宋体" w:cs="宋体"/>
                <w:color w:val="auto"/>
                <w:szCs w:val="21"/>
                <w:highlight w:val="none"/>
              </w:rPr>
              <w:t>企业声明函或残疾人福利性单位声明函或属于监狱企业的证明文件；</w:t>
            </w:r>
            <w:r>
              <w:rPr>
                <w:rFonts w:hint="eastAsia" w:ascii="宋体" w:hAnsi="宋体" w:eastAsia="宋体" w:cs="宋体"/>
                <w:color w:val="auto"/>
                <w:szCs w:val="21"/>
                <w:highlight w:val="none"/>
                <w:lang w:val="en-US" w:eastAsia="zh-CN"/>
              </w:rPr>
              <w:t>（</w:t>
            </w:r>
            <w:r>
              <w:rPr>
                <w:rFonts w:hint="eastAsia" w:ascii="宋体" w:hAnsi="宋体" w:eastAsia="宋体" w:cs="宋体"/>
                <w:b/>
                <w:color w:val="auto"/>
                <w:szCs w:val="21"/>
                <w:highlight w:val="none"/>
              </w:rPr>
              <w:t>必须提供，否则作无效投标处理</w:t>
            </w:r>
            <w:r>
              <w:rPr>
                <w:rFonts w:hint="eastAsia" w:ascii="宋体" w:hAnsi="宋体" w:eastAsia="宋体" w:cs="宋体"/>
                <w:color w:val="auto"/>
                <w:szCs w:val="21"/>
                <w:highlight w:val="none"/>
                <w:lang w:val="en-US" w:eastAsia="zh-CN"/>
              </w:rPr>
              <w:t>）</w:t>
            </w:r>
          </w:p>
          <w:p w14:paraId="74C6197A">
            <w:pPr>
              <w:snapToGrid w:val="0"/>
              <w:spacing w:line="380" w:lineRule="exact"/>
              <w:jc w:val="left"/>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9</w:t>
            </w:r>
            <w:r>
              <w:rPr>
                <w:rFonts w:hint="eastAsia" w:ascii="宋体" w:hAnsi="宋体" w:eastAsia="宋体" w:cs="宋体"/>
                <w:color w:val="auto"/>
                <w:szCs w:val="21"/>
                <w:highlight w:val="none"/>
              </w:rPr>
              <w:t>、</w:t>
            </w:r>
            <w:r>
              <w:rPr>
                <w:rFonts w:hint="eastAsia" w:ascii="宋体" w:hAnsi="宋体" w:cs="宋体"/>
                <w:color w:val="auto"/>
                <w:szCs w:val="21"/>
                <w:highlight w:val="none"/>
              </w:rPr>
              <w:t>符合特定资格条件（如有）的有关证明材料</w:t>
            </w:r>
            <w:r>
              <w:rPr>
                <w:rFonts w:hint="eastAsia" w:ascii="宋体" w:hAnsi="宋体" w:eastAsia="宋体" w:cs="宋体"/>
                <w:color w:val="auto"/>
                <w:szCs w:val="21"/>
                <w:highlight w:val="none"/>
              </w:rPr>
              <w:t>；</w:t>
            </w:r>
            <w:r>
              <w:rPr>
                <w:rFonts w:hint="eastAsia" w:ascii="宋体" w:hAnsi="宋体" w:eastAsia="宋体" w:cs="宋体"/>
                <w:b/>
                <w:bCs/>
                <w:color w:val="auto"/>
                <w:szCs w:val="21"/>
                <w:highlight w:val="none"/>
              </w:rPr>
              <w:t>（</w:t>
            </w:r>
            <w:r>
              <w:rPr>
                <w:rFonts w:hint="eastAsia" w:ascii="宋体" w:hAnsi="宋体" w:cs="宋体"/>
                <w:b/>
                <w:bCs/>
                <w:color w:val="auto"/>
                <w:szCs w:val="21"/>
                <w:highlight w:val="none"/>
                <w:lang w:val="en-US" w:eastAsia="zh-CN"/>
              </w:rPr>
              <w:t>如有要求</w:t>
            </w:r>
            <w:r>
              <w:rPr>
                <w:rFonts w:hint="eastAsia" w:ascii="宋体" w:hAnsi="宋体" w:eastAsia="宋体" w:cs="宋体"/>
                <w:b/>
                <w:color w:val="auto"/>
                <w:szCs w:val="21"/>
                <w:highlight w:val="none"/>
              </w:rPr>
              <w:t>必须提供，否则作无效投标处理</w:t>
            </w:r>
            <w:r>
              <w:rPr>
                <w:rFonts w:hint="eastAsia" w:ascii="宋体" w:hAnsi="宋体" w:eastAsia="宋体" w:cs="宋体"/>
                <w:color w:val="auto"/>
                <w:szCs w:val="21"/>
                <w:highlight w:val="none"/>
              </w:rPr>
              <w:t>）</w:t>
            </w:r>
          </w:p>
          <w:p w14:paraId="72635962">
            <w:pPr>
              <w:snapToGrid w:val="0"/>
              <w:spacing w:line="380" w:lineRule="exact"/>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10、</w:t>
            </w:r>
            <w:r>
              <w:rPr>
                <w:rFonts w:hint="eastAsia" w:ascii="宋体" w:hAnsi="宋体" w:eastAsia="宋体" w:cs="宋体"/>
                <w:color w:val="auto"/>
                <w:szCs w:val="21"/>
                <w:highlight w:val="none"/>
              </w:rPr>
              <w:t>除招标文件规定必须提供以外，投标人认为需要提供的其他证明材料</w:t>
            </w:r>
            <w:r>
              <w:rPr>
                <w:rFonts w:hint="eastAsia" w:ascii="宋体" w:hAnsi="宋体" w:cs="宋体"/>
                <w:color w:val="auto"/>
                <w:szCs w:val="21"/>
                <w:highlight w:val="none"/>
                <w:lang w:eastAsia="zh-CN"/>
              </w:rPr>
              <w:t>。</w:t>
            </w:r>
          </w:p>
          <w:p w14:paraId="4F79372B">
            <w:pPr>
              <w:snapToGrid w:val="0"/>
              <w:spacing w:line="380" w:lineRule="exact"/>
              <w:jc w:val="left"/>
              <w:rPr>
                <w:rFonts w:hint="eastAsia" w:ascii="宋体" w:hAnsi="宋体" w:eastAsia="宋体" w:cs="宋体"/>
                <w:b/>
                <w:color w:val="auto"/>
                <w:szCs w:val="21"/>
                <w:highlight w:val="none"/>
              </w:rPr>
            </w:pPr>
            <w:r>
              <w:rPr>
                <w:rFonts w:hint="eastAsia" w:ascii="宋体" w:hAnsi="宋体" w:eastAsia="宋体" w:cs="宋体"/>
                <w:b/>
                <w:bCs/>
                <w:color w:val="auto"/>
                <w:szCs w:val="21"/>
                <w:highlight w:val="none"/>
              </w:rPr>
              <w:t>注：1.</w:t>
            </w:r>
            <w:r>
              <w:rPr>
                <w:rFonts w:hint="eastAsia" w:ascii="宋体" w:hAnsi="宋体" w:eastAsia="宋体" w:cs="宋体"/>
                <w:color w:val="auto"/>
                <w:szCs w:val="21"/>
                <w:highlight w:val="none"/>
              </w:rPr>
              <w:t xml:space="preserve"> </w:t>
            </w:r>
            <w:r>
              <w:rPr>
                <w:rFonts w:hint="eastAsia" w:ascii="宋体" w:hAnsi="宋体" w:eastAsia="宋体" w:cs="宋体"/>
                <w:b/>
                <w:bCs/>
                <w:color w:val="auto"/>
                <w:szCs w:val="21"/>
                <w:highlight w:val="none"/>
              </w:rPr>
              <w:t>以上标明“必须提供”的材料</w:t>
            </w:r>
            <w:r>
              <w:rPr>
                <w:rFonts w:hint="eastAsia" w:ascii="宋体" w:hAnsi="宋体" w:eastAsia="宋体" w:cs="宋体"/>
                <w:b/>
                <w:color w:val="auto"/>
                <w:szCs w:val="21"/>
                <w:highlight w:val="none"/>
              </w:rPr>
              <w:t>属于复印件的扫描件的</w:t>
            </w:r>
            <w:r>
              <w:rPr>
                <w:rFonts w:hint="eastAsia" w:ascii="宋体" w:hAnsi="宋体" w:eastAsia="宋体" w:cs="宋体"/>
                <w:b/>
                <w:bCs/>
                <w:color w:val="auto"/>
                <w:szCs w:val="21"/>
                <w:highlight w:val="none"/>
              </w:rPr>
              <w:t>，必须加盖投标人电子公章，否则</w:t>
            </w:r>
            <w:r>
              <w:rPr>
                <w:rFonts w:hint="eastAsia" w:ascii="宋体" w:hAnsi="宋体" w:eastAsia="宋体" w:cs="宋体"/>
                <w:b/>
                <w:color w:val="auto"/>
                <w:szCs w:val="21"/>
                <w:highlight w:val="none"/>
              </w:rPr>
              <w:t>作无效投标处理。</w:t>
            </w:r>
          </w:p>
          <w:p w14:paraId="4FB016CB">
            <w:pPr>
              <w:snapToGrid w:val="0"/>
              <w:spacing w:line="380" w:lineRule="exact"/>
              <w:ind w:firstLine="422" w:firstLineChars="200"/>
              <w:jc w:val="left"/>
              <w:rPr>
                <w:rFonts w:hint="eastAsia" w:ascii="宋体" w:hAnsi="宋体" w:eastAsia="宋体" w:cs="宋体"/>
                <w:b/>
                <w:bCs/>
                <w:color w:val="auto"/>
                <w:szCs w:val="21"/>
                <w:highlight w:val="none"/>
              </w:rPr>
            </w:pPr>
            <w:r>
              <w:rPr>
                <w:rFonts w:hint="eastAsia" w:ascii="宋体" w:hAnsi="宋体" w:eastAsia="宋体" w:cs="宋体"/>
                <w:b/>
                <w:color w:val="auto"/>
                <w:szCs w:val="21"/>
                <w:highlight w:val="none"/>
              </w:rPr>
              <w:t>2</w:t>
            </w:r>
            <w:r>
              <w:rPr>
                <w:rFonts w:hint="eastAsia" w:ascii="宋体" w:hAnsi="宋体" w:eastAsia="宋体" w:cs="宋体"/>
                <w:b/>
                <w:bCs/>
                <w:color w:val="auto"/>
                <w:szCs w:val="21"/>
                <w:highlight w:val="none"/>
              </w:rPr>
              <w:t>.联合体投标时，第1-5项资格证明文件联合体各方均必须分别提供，联合体各方分别盖章和签字，否则投标文件按无效响应处理。</w:t>
            </w:r>
          </w:p>
        </w:tc>
      </w:tr>
      <w:tr w14:paraId="24AD6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37B98E53">
            <w:pPr>
              <w:spacing w:line="380" w:lineRule="exact"/>
              <w:rPr>
                <w:rFonts w:hint="eastAsia" w:ascii="宋体" w:hAnsi="宋体" w:eastAsia="宋体" w:cs="宋体"/>
                <w:color w:val="auto"/>
                <w:szCs w:val="21"/>
                <w:highlight w:val="none"/>
              </w:rPr>
            </w:pPr>
          </w:p>
        </w:tc>
        <w:tc>
          <w:tcPr>
            <w:tcW w:w="2268" w:type="dxa"/>
            <w:vAlign w:val="center"/>
          </w:tcPr>
          <w:p w14:paraId="5D411A74">
            <w:pPr>
              <w:snapToGrid w:val="0"/>
              <w:spacing w:line="380" w:lineRule="exact"/>
              <w:jc w:val="left"/>
              <w:rPr>
                <w:rFonts w:hint="eastAsia" w:ascii="宋体" w:hAnsi="宋体" w:eastAsia="宋体" w:cs="宋体"/>
                <w:color w:val="auto"/>
                <w:szCs w:val="21"/>
                <w:highlight w:val="none"/>
              </w:rPr>
            </w:pPr>
            <w:bookmarkStart w:id="57" w:name="_13.3"/>
            <w:bookmarkEnd w:id="57"/>
            <w:r>
              <w:rPr>
                <w:rFonts w:hint="eastAsia" w:ascii="宋体" w:hAnsi="宋体" w:eastAsia="宋体" w:cs="宋体"/>
                <w:color w:val="auto"/>
                <w:szCs w:val="21"/>
                <w:highlight w:val="none"/>
              </w:rPr>
              <w:t>商务文件组成</w:t>
            </w:r>
          </w:p>
          <w:p w14:paraId="7FEA5BBC">
            <w:pPr>
              <w:spacing w:line="380" w:lineRule="exact"/>
              <w:rPr>
                <w:rFonts w:hint="eastAsia" w:ascii="宋体" w:hAnsi="宋体" w:eastAsia="宋体" w:cs="宋体"/>
                <w:color w:val="auto"/>
                <w:szCs w:val="21"/>
                <w:highlight w:val="none"/>
              </w:rPr>
            </w:pPr>
          </w:p>
        </w:tc>
        <w:tc>
          <w:tcPr>
            <w:tcW w:w="7297" w:type="dxa"/>
            <w:vAlign w:val="center"/>
          </w:tcPr>
          <w:p w14:paraId="5BE67F76">
            <w:pPr>
              <w:snapToGrid w:val="0"/>
              <w:spacing w:line="38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1、无串标行为承诺函；（</w:t>
            </w:r>
            <w:r>
              <w:rPr>
                <w:rFonts w:hint="eastAsia" w:ascii="宋体" w:hAnsi="宋体" w:eastAsia="宋体" w:cs="宋体"/>
                <w:b/>
                <w:color w:val="auto"/>
                <w:szCs w:val="21"/>
                <w:highlight w:val="none"/>
              </w:rPr>
              <w:t>必须提供，否则作无效投标处理</w:t>
            </w:r>
            <w:r>
              <w:rPr>
                <w:rFonts w:hint="eastAsia" w:ascii="宋体" w:hAnsi="宋体" w:eastAsia="宋体" w:cs="宋体"/>
                <w:color w:val="auto"/>
                <w:szCs w:val="21"/>
                <w:highlight w:val="none"/>
              </w:rPr>
              <w:t>）</w:t>
            </w:r>
          </w:p>
          <w:p w14:paraId="45A03EFC">
            <w:pPr>
              <w:snapToGrid w:val="0"/>
              <w:spacing w:line="38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2、法定代表人身份证明及法定代表人有效身份证正反面复印件；（</w:t>
            </w:r>
            <w:r>
              <w:rPr>
                <w:rFonts w:hint="eastAsia" w:ascii="宋体" w:hAnsi="宋体" w:eastAsia="宋体" w:cs="宋体"/>
                <w:b/>
                <w:bCs/>
                <w:color w:val="auto"/>
                <w:szCs w:val="21"/>
                <w:highlight w:val="none"/>
              </w:rPr>
              <w:t>除自然人投标外</w:t>
            </w:r>
            <w:r>
              <w:rPr>
                <w:rFonts w:hint="eastAsia" w:ascii="宋体" w:hAnsi="宋体" w:eastAsia="宋体" w:cs="宋体"/>
                <w:b/>
                <w:color w:val="auto"/>
                <w:szCs w:val="21"/>
                <w:highlight w:val="none"/>
              </w:rPr>
              <w:t>必须提供，否则作无效投标处理</w:t>
            </w:r>
            <w:r>
              <w:rPr>
                <w:rFonts w:hint="eastAsia" w:ascii="宋体" w:hAnsi="宋体" w:eastAsia="宋体" w:cs="宋体"/>
                <w:color w:val="auto"/>
                <w:szCs w:val="21"/>
                <w:highlight w:val="none"/>
              </w:rPr>
              <w:t>）</w:t>
            </w:r>
          </w:p>
          <w:p w14:paraId="353B607E">
            <w:pPr>
              <w:snapToGrid w:val="0"/>
              <w:spacing w:line="38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3、法定代表人授权委托书及委托代理人有效身份证正反面复印件；（</w:t>
            </w:r>
            <w:r>
              <w:rPr>
                <w:rFonts w:hint="eastAsia" w:ascii="宋体" w:hAnsi="宋体" w:eastAsia="宋体" w:cs="宋体"/>
                <w:b/>
                <w:color w:val="auto"/>
                <w:szCs w:val="21"/>
                <w:highlight w:val="none"/>
              </w:rPr>
              <w:t>委托时必须提供，否则作无效投标处理</w:t>
            </w:r>
            <w:r>
              <w:rPr>
                <w:rFonts w:hint="eastAsia" w:ascii="宋体" w:hAnsi="宋体" w:eastAsia="宋体" w:cs="宋体"/>
                <w:color w:val="auto"/>
                <w:szCs w:val="21"/>
                <w:highlight w:val="none"/>
              </w:rPr>
              <w:t>）</w:t>
            </w:r>
          </w:p>
          <w:p w14:paraId="46901E96">
            <w:pPr>
              <w:snapToGrid w:val="0"/>
              <w:spacing w:line="38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4、商务条款偏离表；（</w:t>
            </w:r>
            <w:r>
              <w:rPr>
                <w:rFonts w:hint="eastAsia" w:ascii="宋体" w:hAnsi="宋体" w:eastAsia="宋体" w:cs="宋体"/>
                <w:b/>
                <w:color w:val="auto"/>
                <w:szCs w:val="21"/>
                <w:highlight w:val="none"/>
              </w:rPr>
              <w:t>必须提供，否则作无效投标处理</w:t>
            </w:r>
            <w:r>
              <w:rPr>
                <w:rFonts w:hint="eastAsia" w:ascii="宋体" w:hAnsi="宋体" w:eastAsia="宋体" w:cs="宋体"/>
                <w:color w:val="auto"/>
                <w:szCs w:val="21"/>
                <w:highlight w:val="none"/>
              </w:rPr>
              <w:t>）</w:t>
            </w:r>
          </w:p>
          <w:p w14:paraId="40861734">
            <w:pPr>
              <w:snapToGrid w:val="0"/>
              <w:spacing w:line="38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5、投标人情况介绍；</w:t>
            </w:r>
          </w:p>
          <w:p w14:paraId="3CB50899">
            <w:pPr>
              <w:snapToGrid w:val="0"/>
              <w:spacing w:line="38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r>
              <w:rPr>
                <w:rFonts w:hint="eastAsia" w:ascii="宋体" w:hAnsi="宋体" w:eastAsia="宋体" w:cs="宋体"/>
                <w:color w:val="auto"/>
                <w:highlight w:val="none"/>
              </w:rPr>
              <w:t>投标人类似的业绩证明文件</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如有</w:t>
            </w:r>
            <w:r>
              <w:rPr>
                <w:rFonts w:hint="eastAsia" w:ascii="宋体" w:hAnsi="宋体" w:eastAsia="宋体" w:cs="宋体"/>
                <w:color w:val="auto"/>
                <w:highlight w:val="none"/>
                <w:lang w:eastAsia="zh-CN"/>
              </w:rPr>
              <w:t>）；</w:t>
            </w:r>
          </w:p>
          <w:p w14:paraId="7F2B72D1">
            <w:pPr>
              <w:snapToGrid w:val="0"/>
              <w:spacing w:line="380" w:lineRule="exact"/>
              <w:jc w:val="left"/>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7、</w:t>
            </w:r>
            <w:r>
              <w:rPr>
                <w:rFonts w:hint="eastAsia" w:ascii="宋体" w:hAnsi="宋体" w:eastAsia="宋体" w:cs="宋体"/>
                <w:color w:val="auto"/>
                <w:szCs w:val="21"/>
                <w:highlight w:val="none"/>
              </w:rPr>
              <w:t>除招标文件规定必须提供以外，投标人认为需要提供的其他证明材料。（投标人根据“第二章 采购需求”及“第四章 评标方法及评标标准”提供有关证明材料）。</w:t>
            </w:r>
          </w:p>
          <w:p w14:paraId="40B24996">
            <w:pPr>
              <w:snapToGrid w:val="0"/>
              <w:spacing w:line="380" w:lineRule="exact"/>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注： 1.法定代表人授权委托书必须由法定代表人及委托代理人签字，并加盖投标人公章，否则作无效投标处理。</w:t>
            </w:r>
          </w:p>
          <w:p w14:paraId="1BE647B0">
            <w:pPr>
              <w:snapToGrid w:val="0"/>
              <w:spacing w:line="380" w:lineRule="exact"/>
              <w:ind w:firstLine="422" w:firstLineChars="200"/>
              <w:jc w:val="left"/>
              <w:rPr>
                <w:rFonts w:hint="eastAsia" w:ascii="宋体" w:hAnsi="宋体" w:eastAsia="宋体" w:cs="宋体"/>
                <w:b/>
                <w:color w:val="auto"/>
                <w:szCs w:val="21"/>
                <w:highlight w:val="none"/>
              </w:rPr>
            </w:pPr>
            <w:r>
              <w:rPr>
                <w:rFonts w:hint="eastAsia" w:ascii="宋体" w:hAnsi="宋体" w:eastAsia="宋体" w:cs="宋体"/>
                <w:b/>
                <w:bCs/>
                <w:color w:val="auto"/>
                <w:szCs w:val="21"/>
                <w:highlight w:val="none"/>
              </w:rPr>
              <w:t>2.</w:t>
            </w:r>
            <w:r>
              <w:rPr>
                <w:rFonts w:hint="eastAsia" w:ascii="宋体" w:hAnsi="宋体" w:eastAsia="宋体" w:cs="宋体"/>
                <w:color w:val="auto"/>
                <w:szCs w:val="21"/>
                <w:highlight w:val="none"/>
              </w:rPr>
              <w:t xml:space="preserve"> </w:t>
            </w:r>
            <w:r>
              <w:rPr>
                <w:rFonts w:hint="eastAsia" w:ascii="宋体" w:hAnsi="宋体" w:eastAsia="宋体" w:cs="宋体"/>
                <w:b/>
                <w:bCs/>
                <w:color w:val="auto"/>
                <w:szCs w:val="21"/>
                <w:highlight w:val="none"/>
              </w:rPr>
              <w:t>以上标明“必须提供”的材料</w:t>
            </w:r>
            <w:r>
              <w:rPr>
                <w:rFonts w:hint="eastAsia" w:ascii="宋体" w:hAnsi="宋体" w:eastAsia="宋体" w:cs="宋体"/>
                <w:b/>
                <w:color w:val="auto"/>
                <w:szCs w:val="21"/>
                <w:highlight w:val="none"/>
              </w:rPr>
              <w:t>属于复印件的扫描件的</w:t>
            </w:r>
            <w:r>
              <w:rPr>
                <w:rFonts w:hint="eastAsia" w:ascii="宋体" w:hAnsi="宋体" w:eastAsia="宋体" w:cs="宋体"/>
                <w:b/>
                <w:bCs/>
                <w:color w:val="auto"/>
                <w:szCs w:val="21"/>
                <w:highlight w:val="none"/>
              </w:rPr>
              <w:t>，必须加盖投标人电子公章，否则</w:t>
            </w:r>
            <w:r>
              <w:rPr>
                <w:rFonts w:hint="eastAsia" w:ascii="宋体" w:hAnsi="宋体" w:eastAsia="宋体" w:cs="宋体"/>
                <w:b/>
                <w:color w:val="auto"/>
                <w:szCs w:val="21"/>
                <w:highlight w:val="none"/>
              </w:rPr>
              <w:t>作无效投标处理</w:t>
            </w:r>
            <w:r>
              <w:rPr>
                <w:rFonts w:hint="eastAsia" w:ascii="宋体" w:hAnsi="宋体" w:eastAsia="宋体" w:cs="宋体"/>
                <w:b/>
                <w:bCs/>
                <w:color w:val="auto"/>
                <w:szCs w:val="21"/>
                <w:highlight w:val="none"/>
              </w:rPr>
              <w:t>。</w:t>
            </w:r>
          </w:p>
        </w:tc>
      </w:tr>
      <w:tr w14:paraId="4C62B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vAlign w:val="center"/>
          </w:tcPr>
          <w:p w14:paraId="0DAF1B89">
            <w:pPr>
              <w:spacing w:line="380" w:lineRule="exact"/>
              <w:rPr>
                <w:rFonts w:hint="eastAsia" w:ascii="宋体" w:hAnsi="宋体" w:eastAsia="宋体" w:cs="宋体"/>
                <w:color w:val="auto"/>
                <w:szCs w:val="21"/>
                <w:highlight w:val="none"/>
              </w:rPr>
            </w:pPr>
          </w:p>
        </w:tc>
        <w:tc>
          <w:tcPr>
            <w:tcW w:w="2268" w:type="dxa"/>
            <w:vAlign w:val="center"/>
          </w:tcPr>
          <w:p w14:paraId="6369E26B">
            <w:pPr>
              <w:snapToGrid w:val="0"/>
              <w:spacing w:line="380" w:lineRule="exact"/>
              <w:jc w:val="left"/>
              <w:rPr>
                <w:rFonts w:hint="eastAsia" w:ascii="宋体" w:hAnsi="宋体" w:eastAsia="宋体" w:cs="宋体"/>
                <w:color w:val="auto"/>
                <w:szCs w:val="21"/>
                <w:highlight w:val="none"/>
              </w:rPr>
            </w:pPr>
            <w:bookmarkStart w:id="58" w:name="_13.4"/>
            <w:bookmarkEnd w:id="58"/>
            <w:r>
              <w:rPr>
                <w:rFonts w:hint="eastAsia" w:ascii="宋体" w:hAnsi="宋体" w:eastAsia="宋体" w:cs="宋体"/>
                <w:color w:val="auto"/>
                <w:szCs w:val="21"/>
                <w:highlight w:val="none"/>
              </w:rPr>
              <w:t>技术文件组成</w:t>
            </w:r>
          </w:p>
          <w:p w14:paraId="5E9BAAE7">
            <w:pPr>
              <w:spacing w:line="380" w:lineRule="exact"/>
              <w:rPr>
                <w:rFonts w:hint="eastAsia" w:ascii="宋体" w:hAnsi="宋体" w:eastAsia="宋体" w:cs="宋体"/>
                <w:color w:val="auto"/>
                <w:szCs w:val="21"/>
                <w:highlight w:val="none"/>
              </w:rPr>
            </w:pPr>
          </w:p>
        </w:tc>
        <w:tc>
          <w:tcPr>
            <w:tcW w:w="7297" w:type="dxa"/>
            <w:vAlign w:val="center"/>
          </w:tcPr>
          <w:p w14:paraId="5EFFDD29">
            <w:pPr>
              <w:snapToGrid w:val="0"/>
              <w:spacing w:line="38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highlight w:val="none"/>
              </w:rPr>
              <w:t>投标服务技术需求偏离表</w:t>
            </w: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必须提供，否则作无效投标处理</w:t>
            </w:r>
            <w:r>
              <w:rPr>
                <w:rFonts w:hint="eastAsia" w:ascii="宋体" w:hAnsi="宋体" w:eastAsia="宋体" w:cs="宋体"/>
                <w:color w:val="auto"/>
                <w:szCs w:val="21"/>
                <w:highlight w:val="none"/>
              </w:rPr>
              <w:t>）</w:t>
            </w:r>
          </w:p>
          <w:p w14:paraId="288C5934">
            <w:pPr>
              <w:snapToGrid w:val="0"/>
              <w:spacing w:line="38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cs="宋体"/>
                <w:color w:val="auto"/>
                <w:szCs w:val="21"/>
                <w:highlight w:val="none"/>
                <w:lang w:val="en-US" w:eastAsia="zh-CN"/>
              </w:rPr>
              <w:t>技术</w:t>
            </w:r>
            <w:r>
              <w:rPr>
                <w:rFonts w:hint="eastAsia" w:ascii="宋体" w:hAnsi="宋体" w:eastAsia="宋体" w:cs="宋体"/>
                <w:color w:val="auto"/>
                <w:szCs w:val="21"/>
                <w:highlight w:val="none"/>
              </w:rPr>
              <w:t>服务方案；</w:t>
            </w:r>
          </w:p>
          <w:p w14:paraId="7547ED3F">
            <w:pPr>
              <w:snapToGrid w:val="0"/>
              <w:spacing w:line="38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3、售后服务方案；</w:t>
            </w:r>
          </w:p>
          <w:p w14:paraId="54281276">
            <w:pPr>
              <w:snapToGrid w:val="0"/>
              <w:spacing w:line="38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4、项目实施人员一览表；</w:t>
            </w:r>
          </w:p>
          <w:p w14:paraId="18C670C7">
            <w:pPr>
              <w:snapToGrid w:val="0"/>
              <w:spacing w:line="38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5、投标人对本项目的合理化建议和改进措施；</w:t>
            </w:r>
          </w:p>
          <w:p w14:paraId="6B292DFA">
            <w:pPr>
              <w:snapToGrid w:val="0"/>
              <w:spacing w:line="380" w:lineRule="exact"/>
              <w:jc w:val="left"/>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6、除招标文件规定必须提供以外，投标人需要说明的其他文件和说明。</w:t>
            </w:r>
          </w:p>
          <w:p w14:paraId="65D69269">
            <w:pPr>
              <w:snapToGrid w:val="0"/>
              <w:spacing w:line="380" w:lineRule="exact"/>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注：以上标明“必须提供”的材料</w:t>
            </w:r>
            <w:r>
              <w:rPr>
                <w:rFonts w:hint="eastAsia" w:ascii="宋体" w:hAnsi="宋体" w:eastAsia="宋体" w:cs="宋体"/>
                <w:b/>
                <w:color w:val="auto"/>
                <w:szCs w:val="21"/>
                <w:highlight w:val="none"/>
              </w:rPr>
              <w:t>属于复印件的扫描件的</w:t>
            </w:r>
            <w:r>
              <w:rPr>
                <w:rFonts w:hint="eastAsia" w:ascii="宋体" w:hAnsi="宋体" w:eastAsia="宋体" w:cs="宋体"/>
                <w:b/>
                <w:bCs/>
                <w:color w:val="auto"/>
                <w:szCs w:val="21"/>
                <w:highlight w:val="none"/>
              </w:rPr>
              <w:t>，必须加盖投标人电子公章，否则</w:t>
            </w:r>
            <w:r>
              <w:rPr>
                <w:rFonts w:hint="eastAsia" w:ascii="宋体" w:hAnsi="宋体" w:eastAsia="宋体" w:cs="宋体"/>
                <w:b/>
                <w:color w:val="auto"/>
                <w:szCs w:val="21"/>
                <w:highlight w:val="none"/>
              </w:rPr>
              <w:t>作无效投标处理</w:t>
            </w:r>
            <w:r>
              <w:rPr>
                <w:rFonts w:hint="eastAsia" w:ascii="宋体" w:hAnsi="宋体" w:eastAsia="宋体" w:cs="宋体"/>
                <w:b/>
                <w:bCs/>
                <w:color w:val="auto"/>
                <w:szCs w:val="21"/>
                <w:highlight w:val="none"/>
              </w:rPr>
              <w:t>。</w:t>
            </w:r>
          </w:p>
        </w:tc>
      </w:tr>
      <w:tr w14:paraId="4102A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vAlign w:val="center"/>
          </w:tcPr>
          <w:p w14:paraId="62861B73">
            <w:pPr>
              <w:widowControl/>
              <w:jc w:val="left"/>
              <w:rPr>
                <w:rFonts w:hint="eastAsia" w:ascii="宋体" w:hAnsi="宋体" w:eastAsia="宋体" w:cs="宋体"/>
                <w:color w:val="auto"/>
                <w:szCs w:val="21"/>
                <w:highlight w:val="none"/>
              </w:rPr>
            </w:pPr>
          </w:p>
        </w:tc>
        <w:tc>
          <w:tcPr>
            <w:tcW w:w="2268" w:type="dxa"/>
            <w:vAlign w:val="center"/>
          </w:tcPr>
          <w:p w14:paraId="6BB60FB3">
            <w:pPr>
              <w:snapToGrid w:val="0"/>
              <w:spacing w:line="38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报价文件组成</w:t>
            </w:r>
          </w:p>
        </w:tc>
        <w:tc>
          <w:tcPr>
            <w:tcW w:w="7297" w:type="dxa"/>
            <w:vAlign w:val="center"/>
          </w:tcPr>
          <w:p w14:paraId="6FEC023B">
            <w:pPr>
              <w:tabs>
                <w:tab w:val="left" w:pos="459"/>
              </w:tabs>
              <w:snapToGrid w:val="0"/>
              <w:spacing w:line="38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1、投标函；</w:t>
            </w:r>
            <w:r>
              <w:rPr>
                <w:rFonts w:hint="eastAsia" w:ascii="宋体" w:hAnsi="宋体" w:eastAsia="宋体" w:cs="宋体"/>
                <w:b/>
                <w:color w:val="auto"/>
                <w:szCs w:val="21"/>
                <w:highlight w:val="none"/>
              </w:rPr>
              <w:t>（必须提供，否则作无效投标处理）</w:t>
            </w:r>
          </w:p>
          <w:p w14:paraId="08608995">
            <w:pPr>
              <w:snapToGrid w:val="0"/>
              <w:spacing w:line="38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2、开标一览表；（</w:t>
            </w:r>
            <w:r>
              <w:rPr>
                <w:rFonts w:hint="eastAsia" w:ascii="宋体" w:hAnsi="宋体" w:eastAsia="宋体" w:cs="宋体"/>
                <w:b/>
                <w:color w:val="auto"/>
                <w:szCs w:val="21"/>
                <w:highlight w:val="none"/>
              </w:rPr>
              <w:t>必须提供，否则作无效投标处理</w:t>
            </w:r>
            <w:r>
              <w:rPr>
                <w:rFonts w:hint="eastAsia" w:ascii="宋体" w:hAnsi="宋体" w:eastAsia="宋体" w:cs="宋体"/>
                <w:color w:val="auto"/>
                <w:szCs w:val="21"/>
                <w:highlight w:val="none"/>
              </w:rPr>
              <w:t>）</w:t>
            </w:r>
          </w:p>
          <w:p w14:paraId="198EAE7B">
            <w:pPr>
              <w:tabs>
                <w:tab w:val="left" w:pos="459"/>
              </w:tabs>
              <w:snapToGrid w:val="0"/>
              <w:spacing w:line="380" w:lineRule="exact"/>
              <w:jc w:val="left"/>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投标人针对报价需要说明的其他文件和说明。</w:t>
            </w:r>
          </w:p>
        </w:tc>
      </w:tr>
      <w:tr w14:paraId="0A1C0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075A52A0">
            <w:pPr>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16.2</w:t>
            </w:r>
          </w:p>
        </w:tc>
        <w:tc>
          <w:tcPr>
            <w:tcW w:w="2268" w:type="dxa"/>
            <w:vAlign w:val="center"/>
          </w:tcPr>
          <w:p w14:paraId="5725AD8A">
            <w:pPr>
              <w:spacing w:line="380" w:lineRule="exact"/>
              <w:rPr>
                <w:rFonts w:hint="eastAsia" w:ascii="宋体" w:hAnsi="宋体" w:eastAsia="宋体" w:cs="宋体"/>
                <w:color w:val="auto"/>
                <w:szCs w:val="21"/>
                <w:highlight w:val="none"/>
              </w:rPr>
            </w:pPr>
            <w:bookmarkStart w:id="59" w:name="_16.2"/>
            <w:bookmarkEnd w:id="59"/>
            <w:r>
              <w:rPr>
                <w:rFonts w:hint="eastAsia" w:ascii="宋体" w:hAnsi="宋体" w:eastAsia="宋体" w:cs="宋体"/>
                <w:color w:val="auto"/>
                <w:szCs w:val="21"/>
                <w:highlight w:val="none"/>
              </w:rPr>
              <w:t>投标报价要求</w:t>
            </w:r>
          </w:p>
        </w:tc>
        <w:tc>
          <w:tcPr>
            <w:tcW w:w="7297" w:type="dxa"/>
            <w:vAlign w:val="center"/>
          </w:tcPr>
          <w:p w14:paraId="6727070C">
            <w:pPr>
              <w:snapToGrid w:val="0"/>
              <w:spacing w:line="380" w:lineRule="exact"/>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投标报价是履行合同的最终价格，必须包含满足本次投标全部采购需求所应提供的服务，以及伴随的货物和工程（如有）的价格；包含投标服务、货物、工程的成本、运输（含保险）、安装（如有）、调试、检验、技术服务、培训、税费等所有费用。（采购需求另有约定的，从其约定）</w:t>
            </w:r>
          </w:p>
        </w:tc>
      </w:tr>
      <w:tr w14:paraId="61918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4075185F">
            <w:pPr>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17.2</w:t>
            </w:r>
          </w:p>
        </w:tc>
        <w:tc>
          <w:tcPr>
            <w:tcW w:w="2268" w:type="dxa"/>
            <w:vAlign w:val="center"/>
          </w:tcPr>
          <w:p w14:paraId="41D12A34">
            <w:pPr>
              <w:spacing w:line="380" w:lineRule="exact"/>
              <w:rPr>
                <w:rFonts w:hint="eastAsia" w:ascii="宋体" w:hAnsi="宋体" w:eastAsia="宋体" w:cs="宋体"/>
                <w:color w:val="auto"/>
                <w:szCs w:val="21"/>
                <w:highlight w:val="none"/>
              </w:rPr>
            </w:pPr>
            <w:bookmarkStart w:id="60" w:name="_17.1"/>
            <w:bookmarkEnd w:id="60"/>
            <w:r>
              <w:rPr>
                <w:rFonts w:hint="eastAsia" w:ascii="宋体" w:hAnsi="宋体" w:eastAsia="宋体" w:cs="宋体"/>
                <w:color w:val="auto"/>
                <w:szCs w:val="21"/>
                <w:highlight w:val="none"/>
              </w:rPr>
              <w:t>投标有效期</w:t>
            </w:r>
          </w:p>
        </w:tc>
        <w:tc>
          <w:tcPr>
            <w:tcW w:w="7297" w:type="dxa"/>
            <w:vAlign w:val="center"/>
          </w:tcPr>
          <w:p w14:paraId="192B644F">
            <w:pPr>
              <w:snapToGrid w:val="0"/>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自投标截止之日起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90 </w:t>
            </w:r>
            <w:r>
              <w:rPr>
                <w:rFonts w:hint="eastAsia" w:ascii="宋体" w:hAnsi="宋体" w:eastAsia="宋体" w:cs="宋体"/>
                <w:color w:val="auto"/>
                <w:szCs w:val="21"/>
                <w:highlight w:val="none"/>
              </w:rPr>
              <w:t>日。</w:t>
            </w:r>
          </w:p>
        </w:tc>
      </w:tr>
      <w:tr w14:paraId="24242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1D9E88D1">
            <w:pPr>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18</w:t>
            </w:r>
          </w:p>
        </w:tc>
        <w:tc>
          <w:tcPr>
            <w:tcW w:w="2268" w:type="dxa"/>
            <w:vAlign w:val="center"/>
          </w:tcPr>
          <w:p w14:paraId="65F2AA71">
            <w:pPr>
              <w:spacing w:line="380" w:lineRule="exact"/>
              <w:rPr>
                <w:rFonts w:hint="eastAsia" w:ascii="宋体" w:hAnsi="宋体" w:eastAsia="宋体" w:cs="宋体"/>
                <w:color w:val="auto"/>
                <w:szCs w:val="21"/>
                <w:highlight w:val="none"/>
              </w:rPr>
            </w:pPr>
            <w:bookmarkStart w:id="61" w:name="_18"/>
            <w:bookmarkEnd w:id="61"/>
            <w:r>
              <w:rPr>
                <w:rFonts w:hint="eastAsia" w:ascii="宋体" w:hAnsi="宋体" w:eastAsia="宋体" w:cs="宋体"/>
                <w:color w:val="auto"/>
                <w:szCs w:val="21"/>
                <w:highlight w:val="none"/>
              </w:rPr>
              <w:t>投标保证金金额</w:t>
            </w:r>
          </w:p>
        </w:tc>
        <w:tc>
          <w:tcPr>
            <w:tcW w:w="7297" w:type="dxa"/>
            <w:vAlign w:val="center"/>
          </w:tcPr>
          <w:p w14:paraId="47364446">
            <w:pPr>
              <w:autoSpaceDE w:val="0"/>
              <w:autoSpaceDN w:val="0"/>
              <w:snapToGrid w:val="0"/>
              <w:spacing w:line="380" w:lineRule="exact"/>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本项目不收取投标保证金。</w:t>
            </w:r>
          </w:p>
        </w:tc>
      </w:tr>
      <w:tr w14:paraId="4C45C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3AF58AD1">
            <w:pPr>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19.1</w:t>
            </w:r>
          </w:p>
        </w:tc>
        <w:tc>
          <w:tcPr>
            <w:tcW w:w="2268" w:type="dxa"/>
            <w:vAlign w:val="center"/>
          </w:tcPr>
          <w:p w14:paraId="3817E1A0">
            <w:pPr>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投标文件编制要求</w:t>
            </w:r>
          </w:p>
        </w:tc>
        <w:tc>
          <w:tcPr>
            <w:tcW w:w="7297" w:type="dxa"/>
            <w:vAlign w:val="center"/>
          </w:tcPr>
          <w:p w14:paraId="61C6CB0D">
            <w:pPr>
              <w:spacing w:line="360" w:lineRule="auto"/>
              <w:rPr>
                <w:rFonts w:hint="eastAsia" w:ascii="宋体" w:hAnsi="宋体" w:eastAsia="宋体" w:cs="宋体"/>
                <w:b/>
                <w:color w:val="auto"/>
                <w:szCs w:val="21"/>
                <w:highlight w:val="none"/>
                <w:u w:val="single"/>
              </w:rPr>
            </w:pPr>
            <w:r>
              <w:rPr>
                <w:rFonts w:hint="eastAsia" w:ascii="宋体" w:hAnsi="宋体" w:eastAsia="宋体" w:cs="宋体"/>
                <w:color w:val="auto"/>
                <w:szCs w:val="21"/>
                <w:highlight w:val="none"/>
              </w:rPr>
              <w:t>投标文件应按报价文件、资格证明文件、商务文件、技术文件分别编制，报价文件、资格证明文件分别生产电子文件，商务文件和技术文件按顺序合并生成电子文件。</w:t>
            </w:r>
            <w:r>
              <w:rPr>
                <w:rFonts w:hint="eastAsia" w:ascii="宋体" w:hAnsi="宋体" w:eastAsia="宋体" w:cs="宋体"/>
                <w:b/>
                <w:color w:val="auto"/>
                <w:szCs w:val="21"/>
                <w:highlight w:val="none"/>
                <w:u w:val="single"/>
              </w:rPr>
              <w:t>电子版投标文件制作方式见招标公告附件。</w:t>
            </w:r>
          </w:p>
        </w:tc>
      </w:tr>
      <w:tr w14:paraId="5DAC1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53C88D24">
            <w:pPr>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20</w:t>
            </w:r>
          </w:p>
        </w:tc>
        <w:tc>
          <w:tcPr>
            <w:tcW w:w="2268" w:type="dxa"/>
            <w:vAlign w:val="center"/>
          </w:tcPr>
          <w:p w14:paraId="5B8510F3">
            <w:pPr>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备份投标文件</w:t>
            </w:r>
          </w:p>
        </w:tc>
        <w:tc>
          <w:tcPr>
            <w:tcW w:w="7297" w:type="dxa"/>
            <w:vAlign w:val="center"/>
          </w:tcPr>
          <w:p w14:paraId="13EBC2F8">
            <w:pPr>
              <w:autoSpaceDE w:val="0"/>
              <w:autoSpaceDN w:val="0"/>
              <w:snapToGrid w:val="0"/>
              <w:spacing w:line="380" w:lineRule="exact"/>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本项目不接受备份投标文件。</w:t>
            </w:r>
          </w:p>
        </w:tc>
      </w:tr>
      <w:tr w14:paraId="7EA06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675" w:type="dxa"/>
            <w:vMerge w:val="restart"/>
            <w:vAlign w:val="center"/>
          </w:tcPr>
          <w:p w14:paraId="7CCE541A">
            <w:pPr>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21.1</w:t>
            </w:r>
          </w:p>
        </w:tc>
        <w:tc>
          <w:tcPr>
            <w:tcW w:w="2268" w:type="dxa"/>
            <w:vAlign w:val="center"/>
          </w:tcPr>
          <w:p w14:paraId="3F77C8A3">
            <w:pPr>
              <w:spacing w:line="380" w:lineRule="exact"/>
              <w:rPr>
                <w:rFonts w:hint="eastAsia" w:ascii="宋体" w:hAnsi="宋体" w:eastAsia="宋体" w:cs="宋体"/>
                <w:color w:val="auto"/>
                <w:szCs w:val="21"/>
                <w:highlight w:val="none"/>
              </w:rPr>
            </w:pPr>
            <w:bookmarkStart w:id="62" w:name="_21.1"/>
            <w:bookmarkEnd w:id="62"/>
            <w:r>
              <w:rPr>
                <w:rFonts w:hint="eastAsia" w:ascii="宋体" w:hAnsi="宋体" w:eastAsia="宋体" w:cs="宋体"/>
                <w:color w:val="auto"/>
                <w:szCs w:val="21"/>
                <w:highlight w:val="none"/>
              </w:rPr>
              <w:t>投标截止时间</w:t>
            </w:r>
          </w:p>
        </w:tc>
        <w:tc>
          <w:tcPr>
            <w:tcW w:w="7297" w:type="dxa"/>
            <w:vAlign w:val="center"/>
          </w:tcPr>
          <w:p w14:paraId="137330A6">
            <w:pPr>
              <w:snapToGrid w:val="0"/>
              <w:spacing w:line="380" w:lineRule="exac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详见招标公告</w:t>
            </w:r>
          </w:p>
        </w:tc>
      </w:tr>
      <w:tr w14:paraId="7AE35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75" w:type="dxa"/>
            <w:vMerge w:val="continue"/>
            <w:vAlign w:val="center"/>
          </w:tcPr>
          <w:p w14:paraId="55EBF7EE">
            <w:pPr>
              <w:widowControl/>
              <w:jc w:val="left"/>
              <w:rPr>
                <w:rFonts w:hint="eastAsia" w:ascii="宋体" w:hAnsi="宋体" w:eastAsia="宋体" w:cs="宋体"/>
                <w:color w:val="auto"/>
                <w:szCs w:val="21"/>
                <w:highlight w:val="none"/>
              </w:rPr>
            </w:pPr>
          </w:p>
        </w:tc>
        <w:tc>
          <w:tcPr>
            <w:tcW w:w="2268" w:type="dxa"/>
            <w:vAlign w:val="center"/>
          </w:tcPr>
          <w:p w14:paraId="78B7AB2D">
            <w:pPr>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投标文件提交起止时间</w:t>
            </w:r>
          </w:p>
        </w:tc>
        <w:tc>
          <w:tcPr>
            <w:tcW w:w="7297" w:type="dxa"/>
            <w:vAlign w:val="center"/>
          </w:tcPr>
          <w:p w14:paraId="708D6496">
            <w:pPr>
              <w:snapToGrid w:val="0"/>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详见招标公告</w:t>
            </w:r>
          </w:p>
        </w:tc>
      </w:tr>
      <w:tr w14:paraId="2326D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75" w:type="dxa"/>
            <w:vMerge w:val="continue"/>
            <w:vAlign w:val="center"/>
          </w:tcPr>
          <w:p w14:paraId="32A37870">
            <w:pPr>
              <w:widowControl/>
              <w:jc w:val="left"/>
              <w:rPr>
                <w:rFonts w:hint="eastAsia" w:ascii="宋体" w:hAnsi="宋体" w:eastAsia="宋体" w:cs="宋体"/>
                <w:color w:val="auto"/>
                <w:szCs w:val="21"/>
                <w:highlight w:val="none"/>
              </w:rPr>
            </w:pPr>
          </w:p>
        </w:tc>
        <w:tc>
          <w:tcPr>
            <w:tcW w:w="2268" w:type="dxa"/>
            <w:vAlign w:val="center"/>
          </w:tcPr>
          <w:p w14:paraId="715570DA">
            <w:pPr>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投标地点</w:t>
            </w:r>
          </w:p>
        </w:tc>
        <w:tc>
          <w:tcPr>
            <w:tcW w:w="7297" w:type="dxa"/>
            <w:vAlign w:val="center"/>
          </w:tcPr>
          <w:p w14:paraId="4B9FD5DB">
            <w:pPr>
              <w:snapToGrid w:val="0"/>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详见招标公告</w:t>
            </w:r>
          </w:p>
        </w:tc>
      </w:tr>
      <w:tr w14:paraId="18A6A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75" w:type="dxa"/>
            <w:vMerge w:val="continue"/>
            <w:vAlign w:val="center"/>
          </w:tcPr>
          <w:p w14:paraId="76337BC4">
            <w:pPr>
              <w:widowControl/>
              <w:jc w:val="left"/>
              <w:rPr>
                <w:rFonts w:hint="eastAsia" w:ascii="宋体" w:hAnsi="宋体" w:eastAsia="宋体" w:cs="宋体"/>
                <w:color w:val="auto"/>
                <w:szCs w:val="21"/>
                <w:highlight w:val="none"/>
              </w:rPr>
            </w:pPr>
          </w:p>
        </w:tc>
        <w:tc>
          <w:tcPr>
            <w:tcW w:w="2268" w:type="dxa"/>
            <w:vAlign w:val="center"/>
          </w:tcPr>
          <w:p w14:paraId="01424506">
            <w:pPr>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投标人递交投标样品截止时间及地点</w:t>
            </w:r>
          </w:p>
        </w:tc>
        <w:tc>
          <w:tcPr>
            <w:tcW w:w="7297" w:type="dxa"/>
            <w:vAlign w:val="center"/>
          </w:tcPr>
          <w:p w14:paraId="0C40BD9A">
            <w:pPr>
              <w:snapToGrid w:val="0"/>
              <w:spacing w:line="380" w:lineRule="exac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时间：</w:t>
            </w:r>
            <w:r>
              <w:rPr>
                <w:rFonts w:hint="eastAsia" w:ascii="宋体" w:hAnsi="宋体" w:eastAsia="宋体" w:cs="宋体"/>
                <w:bCs/>
                <w:color w:val="auto"/>
                <w:szCs w:val="21"/>
                <w:highlight w:val="none"/>
                <w:u w:val="single"/>
              </w:rPr>
              <w:t xml:space="preserve">    年  </w:t>
            </w:r>
            <w:r>
              <w:rPr>
                <w:rFonts w:hint="eastAsia" w:ascii="宋体" w:hAnsi="宋体" w:cs="宋体"/>
                <w:bCs/>
                <w:color w:val="auto"/>
                <w:szCs w:val="21"/>
                <w:highlight w:val="none"/>
                <w:u w:val="single"/>
                <w:lang w:val="en-US" w:eastAsia="zh-CN"/>
              </w:rPr>
              <w:t xml:space="preserve"> </w:t>
            </w:r>
            <w:r>
              <w:rPr>
                <w:rFonts w:hint="eastAsia" w:ascii="宋体" w:hAnsi="宋体" w:eastAsia="宋体" w:cs="宋体"/>
                <w:bCs/>
                <w:color w:val="auto"/>
                <w:szCs w:val="21"/>
                <w:highlight w:val="none"/>
                <w:u w:val="single"/>
              </w:rPr>
              <w:t>月</w:t>
            </w:r>
            <w:r>
              <w:rPr>
                <w:rFonts w:hint="eastAsia" w:ascii="宋体" w:hAnsi="宋体" w:cs="宋体"/>
                <w:bCs/>
                <w:color w:val="auto"/>
                <w:szCs w:val="21"/>
                <w:highlight w:val="none"/>
                <w:u w:val="single"/>
                <w:lang w:val="en-US" w:eastAsia="zh-CN"/>
              </w:rPr>
              <w:t xml:space="preserve"> </w:t>
            </w:r>
            <w:r>
              <w:rPr>
                <w:rFonts w:hint="eastAsia" w:ascii="宋体" w:hAnsi="宋体" w:eastAsia="宋体" w:cs="宋体"/>
                <w:bCs/>
                <w:color w:val="auto"/>
                <w:szCs w:val="21"/>
                <w:highlight w:val="none"/>
                <w:u w:val="single"/>
              </w:rPr>
              <w:t xml:space="preserve">  日   时   分</w:t>
            </w:r>
            <w:r>
              <w:rPr>
                <w:rFonts w:hint="eastAsia" w:ascii="宋体" w:hAnsi="宋体" w:eastAsia="宋体" w:cs="宋体"/>
                <w:bCs/>
                <w:color w:val="auto"/>
                <w:szCs w:val="21"/>
                <w:highlight w:val="none"/>
              </w:rPr>
              <w:t>（北京时间）</w:t>
            </w:r>
          </w:p>
          <w:p w14:paraId="2E91BEAA">
            <w:pPr>
              <w:snapToGrid w:val="0"/>
              <w:spacing w:line="380" w:lineRule="exact"/>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地点：</w:t>
            </w:r>
            <w:r>
              <w:rPr>
                <w:rFonts w:hint="eastAsia" w:ascii="宋体" w:hAnsi="宋体" w:eastAsia="宋体" w:cs="宋体"/>
                <w:bCs/>
                <w:color w:val="auto"/>
                <w:szCs w:val="21"/>
                <w:highlight w:val="none"/>
                <w:u w:val="single"/>
              </w:rPr>
              <w:t xml:space="preserve">                                </w:t>
            </w:r>
          </w:p>
        </w:tc>
      </w:tr>
      <w:tr w14:paraId="7246A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726DF18E">
            <w:pPr>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23</w:t>
            </w:r>
          </w:p>
        </w:tc>
        <w:tc>
          <w:tcPr>
            <w:tcW w:w="2268" w:type="dxa"/>
            <w:vAlign w:val="center"/>
          </w:tcPr>
          <w:p w14:paraId="47CF35A5">
            <w:pPr>
              <w:spacing w:line="380" w:lineRule="exact"/>
              <w:rPr>
                <w:rFonts w:hint="eastAsia" w:ascii="宋体" w:hAnsi="宋体" w:eastAsia="宋体" w:cs="宋体"/>
                <w:color w:val="auto"/>
                <w:szCs w:val="21"/>
                <w:highlight w:val="none"/>
              </w:rPr>
            </w:pPr>
            <w:bookmarkStart w:id="63" w:name="_23"/>
            <w:bookmarkEnd w:id="63"/>
            <w:r>
              <w:rPr>
                <w:rFonts w:hint="eastAsia" w:ascii="宋体" w:hAnsi="宋体" w:eastAsia="宋体" w:cs="宋体"/>
                <w:color w:val="auto"/>
                <w:szCs w:val="21"/>
                <w:highlight w:val="none"/>
              </w:rPr>
              <w:t>开标时间、地点</w:t>
            </w:r>
          </w:p>
        </w:tc>
        <w:tc>
          <w:tcPr>
            <w:tcW w:w="7297" w:type="dxa"/>
            <w:vAlign w:val="center"/>
          </w:tcPr>
          <w:p w14:paraId="6303F556">
            <w:pPr>
              <w:snapToGrid w:val="0"/>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详见招标公告 </w:t>
            </w:r>
          </w:p>
        </w:tc>
      </w:tr>
      <w:tr w14:paraId="74273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7" w:hRule="atLeast"/>
        </w:trPr>
        <w:tc>
          <w:tcPr>
            <w:tcW w:w="675" w:type="dxa"/>
            <w:vMerge w:val="restart"/>
            <w:vAlign w:val="center"/>
          </w:tcPr>
          <w:p w14:paraId="19944CD7">
            <w:pPr>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25.3（2）</w:t>
            </w:r>
          </w:p>
        </w:tc>
        <w:tc>
          <w:tcPr>
            <w:tcW w:w="2268" w:type="dxa"/>
            <w:vAlign w:val="center"/>
          </w:tcPr>
          <w:p w14:paraId="183B9DAA">
            <w:pPr>
              <w:spacing w:line="380" w:lineRule="exact"/>
              <w:rPr>
                <w:rFonts w:hint="eastAsia" w:ascii="宋体" w:hAnsi="宋体" w:eastAsia="宋体" w:cs="宋体"/>
                <w:color w:val="auto"/>
                <w:szCs w:val="21"/>
                <w:highlight w:val="none"/>
              </w:rPr>
            </w:pPr>
            <w:bookmarkStart w:id="64" w:name="_25.3"/>
            <w:bookmarkEnd w:id="64"/>
            <w:r>
              <w:rPr>
                <w:rFonts w:hint="eastAsia" w:ascii="宋体" w:hAnsi="宋体" w:eastAsia="宋体" w:cs="宋体"/>
                <w:color w:val="auto"/>
                <w:szCs w:val="21"/>
                <w:highlight w:val="none"/>
              </w:rPr>
              <w:t>投标人信用查询渠道</w:t>
            </w:r>
          </w:p>
        </w:tc>
        <w:tc>
          <w:tcPr>
            <w:tcW w:w="7297" w:type="dxa"/>
            <w:vAlign w:val="center"/>
          </w:tcPr>
          <w:p w14:paraId="3B1A355A">
            <w:pPr>
              <w:snapToGrid w:val="0"/>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采购人或者采购代理机构在资格审查结束前，对投标人进行信用查询。</w:t>
            </w:r>
          </w:p>
          <w:p w14:paraId="7812C8D5">
            <w:pPr>
              <w:snapToGrid w:val="0"/>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查询渠道：“信用中国”网站</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www.creditchina.gov.cn</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 xml:space="preserve"> 、中国政府采购网</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www.ccgp.gov.cn</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w:t>
            </w:r>
          </w:p>
        </w:tc>
      </w:tr>
      <w:tr w14:paraId="7A821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675" w:type="dxa"/>
            <w:vMerge w:val="continue"/>
            <w:vAlign w:val="center"/>
          </w:tcPr>
          <w:p w14:paraId="7766B6BE">
            <w:pPr>
              <w:widowControl/>
              <w:jc w:val="left"/>
              <w:rPr>
                <w:rFonts w:hint="eastAsia" w:ascii="宋体" w:hAnsi="宋体" w:eastAsia="宋体" w:cs="宋体"/>
                <w:color w:val="auto"/>
                <w:szCs w:val="21"/>
                <w:highlight w:val="none"/>
              </w:rPr>
            </w:pPr>
          </w:p>
        </w:tc>
        <w:tc>
          <w:tcPr>
            <w:tcW w:w="2268" w:type="dxa"/>
            <w:vAlign w:val="center"/>
          </w:tcPr>
          <w:p w14:paraId="0C048AD0">
            <w:pPr>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信用查询截止时点</w:t>
            </w:r>
          </w:p>
        </w:tc>
        <w:tc>
          <w:tcPr>
            <w:tcW w:w="7297" w:type="dxa"/>
            <w:vAlign w:val="center"/>
          </w:tcPr>
          <w:p w14:paraId="426F053D">
            <w:pPr>
              <w:snapToGrid w:val="0"/>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资格审查结束前</w:t>
            </w:r>
          </w:p>
        </w:tc>
      </w:tr>
      <w:tr w14:paraId="02773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675" w:type="dxa"/>
            <w:vMerge w:val="continue"/>
            <w:vAlign w:val="center"/>
          </w:tcPr>
          <w:p w14:paraId="2064C250">
            <w:pPr>
              <w:widowControl/>
              <w:jc w:val="left"/>
              <w:rPr>
                <w:rFonts w:hint="eastAsia" w:ascii="宋体" w:hAnsi="宋体" w:eastAsia="宋体" w:cs="宋体"/>
                <w:color w:val="auto"/>
                <w:szCs w:val="21"/>
                <w:highlight w:val="none"/>
              </w:rPr>
            </w:pPr>
          </w:p>
        </w:tc>
        <w:tc>
          <w:tcPr>
            <w:tcW w:w="2268" w:type="dxa"/>
            <w:vAlign w:val="center"/>
          </w:tcPr>
          <w:p w14:paraId="35F74AB5">
            <w:pPr>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查询记录和证据留存方式</w:t>
            </w:r>
          </w:p>
        </w:tc>
        <w:tc>
          <w:tcPr>
            <w:tcW w:w="7297" w:type="dxa"/>
            <w:vAlign w:val="center"/>
          </w:tcPr>
          <w:p w14:paraId="6AF86EB7">
            <w:pPr>
              <w:snapToGrid w:val="0"/>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在查询网站中直接截图查询记录，截图作为在</w:t>
            </w:r>
            <w:r>
              <w:rPr>
                <w:rFonts w:hint="eastAsia" w:ascii="宋体" w:hAnsi="宋体" w:cs="宋体"/>
                <w:color w:val="auto"/>
                <w:szCs w:val="21"/>
                <w:highlight w:val="none"/>
                <w:lang w:eastAsia="zh-CN"/>
              </w:rPr>
              <w:t>广西政府采购云平台</w:t>
            </w:r>
            <w:r>
              <w:rPr>
                <w:rFonts w:hint="eastAsia" w:ascii="宋体" w:hAnsi="宋体" w:eastAsia="宋体" w:cs="宋体"/>
                <w:color w:val="auto"/>
                <w:szCs w:val="21"/>
                <w:highlight w:val="none"/>
              </w:rPr>
              <w:t>作为附件上传保存。</w:t>
            </w:r>
          </w:p>
        </w:tc>
      </w:tr>
      <w:tr w14:paraId="165A8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675" w:type="dxa"/>
            <w:vMerge w:val="continue"/>
            <w:vAlign w:val="center"/>
          </w:tcPr>
          <w:p w14:paraId="03CCC59C">
            <w:pPr>
              <w:widowControl/>
              <w:jc w:val="left"/>
              <w:rPr>
                <w:rFonts w:hint="eastAsia" w:ascii="宋体" w:hAnsi="宋体" w:eastAsia="宋体" w:cs="宋体"/>
                <w:color w:val="auto"/>
                <w:szCs w:val="21"/>
                <w:highlight w:val="none"/>
              </w:rPr>
            </w:pPr>
          </w:p>
        </w:tc>
        <w:tc>
          <w:tcPr>
            <w:tcW w:w="2268" w:type="dxa"/>
            <w:vAlign w:val="center"/>
          </w:tcPr>
          <w:p w14:paraId="7837A53F">
            <w:pPr>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信用信息使用规则</w:t>
            </w:r>
          </w:p>
        </w:tc>
        <w:tc>
          <w:tcPr>
            <w:tcW w:w="7297" w:type="dxa"/>
            <w:vAlign w:val="center"/>
          </w:tcPr>
          <w:p w14:paraId="54C59DFD">
            <w:pPr>
              <w:snapToGrid w:val="0"/>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对在“信用中国”网站</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www.creditchina.gov.cn</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 xml:space="preserve"> 、中国政府采购网</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www.ccgp.gov.cn</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被列入失信被执行人、重大税收违法案件当事人名单、政府采购严重违法失信行为记录名单及其他不符合《中华人民共和国政府采购法》第二十二条规定条件的供应商，采购人或者采购代理机构</w:t>
            </w:r>
            <w:r>
              <w:rPr>
                <w:rFonts w:hint="eastAsia" w:ascii="宋体" w:hAnsi="宋体" w:eastAsia="宋体" w:cs="宋体"/>
                <w:color w:val="auto"/>
                <w:sz w:val="22"/>
                <w:szCs w:val="22"/>
                <w:highlight w:val="none"/>
              </w:rPr>
              <w:t>应当拒绝其参与政府采购活动</w:t>
            </w:r>
            <w:r>
              <w:rPr>
                <w:rFonts w:hint="eastAsia" w:ascii="宋体" w:hAnsi="宋体" w:eastAsia="宋体" w:cs="宋体"/>
                <w:color w:val="auto"/>
                <w:szCs w:val="21"/>
                <w:highlight w:val="none"/>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14:paraId="1ED9E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5EDAC15D">
            <w:pPr>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29.1</w:t>
            </w:r>
          </w:p>
        </w:tc>
        <w:tc>
          <w:tcPr>
            <w:tcW w:w="2268" w:type="dxa"/>
            <w:vAlign w:val="center"/>
          </w:tcPr>
          <w:p w14:paraId="1B3C6C75">
            <w:pPr>
              <w:spacing w:line="380" w:lineRule="exact"/>
              <w:rPr>
                <w:rFonts w:hint="eastAsia" w:ascii="宋体" w:hAnsi="宋体" w:eastAsia="宋体" w:cs="宋体"/>
                <w:color w:val="auto"/>
                <w:szCs w:val="21"/>
                <w:highlight w:val="none"/>
              </w:rPr>
            </w:pPr>
            <w:bookmarkStart w:id="65" w:name="_28.3"/>
            <w:bookmarkEnd w:id="65"/>
            <w:bookmarkStart w:id="66" w:name="_26"/>
            <w:bookmarkEnd w:id="66"/>
            <w:r>
              <w:rPr>
                <w:rFonts w:hint="eastAsia" w:ascii="宋体" w:hAnsi="宋体" w:eastAsia="宋体" w:cs="宋体"/>
                <w:color w:val="auto"/>
                <w:szCs w:val="21"/>
                <w:highlight w:val="none"/>
              </w:rPr>
              <w:t>评标方法</w:t>
            </w:r>
          </w:p>
        </w:tc>
        <w:tc>
          <w:tcPr>
            <w:tcW w:w="7297" w:type="dxa"/>
            <w:vAlign w:val="center"/>
          </w:tcPr>
          <w:p w14:paraId="68F939E2">
            <w:pPr>
              <w:autoSpaceDE w:val="0"/>
              <w:autoSpaceDN w:val="0"/>
              <w:snapToGrid w:val="0"/>
              <w:spacing w:line="380" w:lineRule="exact"/>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综合评分法</w:t>
            </w:r>
          </w:p>
          <w:p w14:paraId="7391CD86">
            <w:pPr>
              <w:autoSpaceDE w:val="0"/>
              <w:autoSpaceDN w:val="0"/>
              <w:snapToGrid w:val="0"/>
              <w:spacing w:line="380" w:lineRule="exact"/>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□最低评标价法</w:t>
            </w:r>
          </w:p>
        </w:tc>
      </w:tr>
      <w:tr w14:paraId="22497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75" w:type="dxa"/>
            <w:vAlign w:val="center"/>
          </w:tcPr>
          <w:p w14:paraId="1A5DE8DF">
            <w:pPr>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29.2</w:t>
            </w:r>
          </w:p>
        </w:tc>
        <w:tc>
          <w:tcPr>
            <w:tcW w:w="2268" w:type="dxa"/>
            <w:vAlign w:val="center"/>
          </w:tcPr>
          <w:p w14:paraId="09E71674">
            <w:pPr>
              <w:spacing w:line="380" w:lineRule="exact"/>
              <w:rPr>
                <w:rFonts w:hint="eastAsia" w:ascii="宋体" w:hAnsi="宋体" w:eastAsia="宋体" w:cs="宋体"/>
                <w:color w:val="auto"/>
                <w:szCs w:val="21"/>
                <w:highlight w:val="none"/>
              </w:rPr>
            </w:pPr>
            <w:bookmarkStart w:id="67" w:name="_29.2.2（2）"/>
            <w:bookmarkEnd w:id="67"/>
            <w:r>
              <w:rPr>
                <w:rFonts w:hint="eastAsia" w:ascii="宋体" w:hAnsi="宋体" w:eastAsia="宋体" w:cs="宋体"/>
                <w:color w:val="auto"/>
                <w:szCs w:val="21"/>
                <w:highlight w:val="none"/>
              </w:rPr>
              <w:t>允许负偏离项</w:t>
            </w:r>
          </w:p>
        </w:tc>
        <w:tc>
          <w:tcPr>
            <w:tcW w:w="7297" w:type="dxa"/>
            <w:vAlign w:val="center"/>
          </w:tcPr>
          <w:p w14:paraId="0124A93A">
            <w:pPr>
              <w:snapToGrid w:val="0"/>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商务条款评审中允许负偏离的条款数为</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0</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项。</w:t>
            </w:r>
          </w:p>
          <w:p w14:paraId="529D9F96">
            <w:pPr>
              <w:snapToGrid w:val="0"/>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技术需求评审中允许负偏离的条款数为</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0</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项。</w:t>
            </w:r>
          </w:p>
        </w:tc>
      </w:tr>
      <w:tr w14:paraId="3193F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7B327FE8">
            <w:pPr>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30.1</w:t>
            </w:r>
          </w:p>
        </w:tc>
        <w:tc>
          <w:tcPr>
            <w:tcW w:w="2268" w:type="dxa"/>
            <w:vAlign w:val="center"/>
          </w:tcPr>
          <w:p w14:paraId="06FF133F">
            <w:pPr>
              <w:autoSpaceDE w:val="0"/>
              <w:autoSpaceDN w:val="0"/>
              <w:snapToGrid w:val="0"/>
              <w:spacing w:line="380" w:lineRule="exact"/>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确定中标人时，出现中标候选人分数并列的情形，确定中标人方式 </w:t>
            </w:r>
          </w:p>
        </w:tc>
        <w:tc>
          <w:tcPr>
            <w:tcW w:w="7297" w:type="dxa"/>
            <w:vAlign w:val="center"/>
          </w:tcPr>
          <w:p w14:paraId="36DDAA7F">
            <w:pPr>
              <w:autoSpaceDE w:val="0"/>
              <w:autoSpaceDN w:val="0"/>
              <w:snapToGrid w:val="0"/>
              <w:spacing w:line="380" w:lineRule="exact"/>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□采用最低评标价法的，投标文件满足招标文件全部实质性要求且投标报价最低的投标人为排名第一的中标候选人； </w:t>
            </w:r>
          </w:p>
          <w:p w14:paraId="25A925BC">
            <w:pPr>
              <w:autoSpaceDE w:val="0"/>
              <w:autoSpaceDN w:val="0"/>
              <w:snapToGrid w:val="0"/>
              <w:spacing w:line="380" w:lineRule="exact"/>
              <w:textAlignment w:val="bottom"/>
              <w:rPr>
                <w:rFonts w:hint="eastAsia" w:ascii="宋体" w:hAnsi="宋体" w:eastAsia="宋体" w:cs="宋体"/>
                <w:b/>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采用综合评分法的，按投标报价由低到高顺序排列。得分且投标报价相同的并列。投标文件满足招标文件全部实质性要求，且按照评审因素的量化指标评审得分最高的投标人为排名第一的中标候选人。</w:t>
            </w:r>
          </w:p>
        </w:tc>
      </w:tr>
      <w:tr w14:paraId="36F8A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75" w:type="dxa"/>
            <w:vAlign w:val="center"/>
          </w:tcPr>
          <w:p w14:paraId="4116F435">
            <w:pPr>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35</w:t>
            </w:r>
          </w:p>
        </w:tc>
        <w:tc>
          <w:tcPr>
            <w:tcW w:w="2268" w:type="dxa"/>
            <w:vAlign w:val="center"/>
          </w:tcPr>
          <w:p w14:paraId="6FCC7A51">
            <w:pPr>
              <w:spacing w:line="380" w:lineRule="exact"/>
              <w:rPr>
                <w:rFonts w:hint="eastAsia" w:ascii="宋体" w:hAnsi="宋体" w:eastAsia="宋体" w:cs="宋体"/>
                <w:color w:val="auto"/>
                <w:szCs w:val="21"/>
                <w:highlight w:val="none"/>
              </w:rPr>
            </w:pPr>
            <w:bookmarkStart w:id="68" w:name="_39.1"/>
            <w:bookmarkEnd w:id="68"/>
            <w:r>
              <w:rPr>
                <w:rFonts w:hint="eastAsia" w:ascii="宋体" w:hAnsi="宋体" w:eastAsia="宋体" w:cs="宋体"/>
                <w:color w:val="auto"/>
                <w:szCs w:val="21"/>
                <w:highlight w:val="none"/>
              </w:rPr>
              <w:t>履约保证金金额</w:t>
            </w:r>
          </w:p>
        </w:tc>
        <w:tc>
          <w:tcPr>
            <w:tcW w:w="7297" w:type="dxa"/>
            <w:vAlign w:val="bottom"/>
          </w:tcPr>
          <w:p w14:paraId="28390B21">
            <w:pPr>
              <w:autoSpaceDE w:val="0"/>
              <w:autoSpaceDN w:val="0"/>
              <w:snapToGrid w:val="0"/>
              <w:spacing w:line="380" w:lineRule="exact"/>
              <w:jc w:val="left"/>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本项目不收取履约保证金。</w:t>
            </w:r>
          </w:p>
        </w:tc>
      </w:tr>
      <w:tr w14:paraId="7FD22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523A4F0F">
            <w:pPr>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36.1</w:t>
            </w:r>
          </w:p>
        </w:tc>
        <w:tc>
          <w:tcPr>
            <w:tcW w:w="2268" w:type="dxa"/>
            <w:vAlign w:val="center"/>
          </w:tcPr>
          <w:p w14:paraId="15BBE3DF">
            <w:pPr>
              <w:spacing w:line="380" w:lineRule="exact"/>
              <w:rPr>
                <w:rFonts w:hint="eastAsia" w:ascii="宋体" w:hAnsi="宋体" w:eastAsia="宋体" w:cs="宋体"/>
                <w:color w:val="auto"/>
                <w:szCs w:val="21"/>
                <w:highlight w:val="none"/>
              </w:rPr>
            </w:pPr>
            <w:bookmarkStart w:id="69" w:name="_40.1"/>
            <w:bookmarkEnd w:id="69"/>
            <w:r>
              <w:rPr>
                <w:rFonts w:hint="eastAsia" w:ascii="宋体" w:hAnsi="宋体" w:eastAsia="宋体" w:cs="宋体"/>
                <w:color w:val="auto"/>
                <w:szCs w:val="21"/>
                <w:highlight w:val="none"/>
              </w:rPr>
              <w:t>签订电子合同携带的材料</w:t>
            </w:r>
          </w:p>
        </w:tc>
        <w:tc>
          <w:tcPr>
            <w:tcW w:w="7297" w:type="dxa"/>
            <w:vAlign w:val="center"/>
          </w:tcPr>
          <w:p w14:paraId="7E73B03A">
            <w:pPr>
              <w:autoSpaceDE w:val="0"/>
              <w:autoSpaceDN w:val="0"/>
              <w:snapToGrid w:val="0"/>
              <w:spacing w:line="380" w:lineRule="exact"/>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电子采购合同需要供应商通过有效CA证书进行电子签署</w:t>
            </w:r>
          </w:p>
        </w:tc>
      </w:tr>
      <w:tr w14:paraId="7A5C2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675" w:type="dxa"/>
            <w:vMerge w:val="restart"/>
            <w:vAlign w:val="center"/>
          </w:tcPr>
          <w:p w14:paraId="761C3884">
            <w:pPr>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38.2.1</w:t>
            </w:r>
          </w:p>
        </w:tc>
        <w:tc>
          <w:tcPr>
            <w:tcW w:w="2268" w:type="dxa"/>
            <w:vAlign w:val="center"/>
          </w:tcPr>
          <w:p w14:paraId="63A6C25C">
            <w:pPr>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接收质疑函方式</w:t>
            </w:r>
          </w:p>
        </w:tc>
        <w:tc>
          <w:tcPr>
            <w:tcW w:w="7297" w:type="dxa"/>
            <w:vAlign w:val="center"/>
          </w:tcPr>
          <w:p w14:paraId="070A687A">
            <w:pPr>
              <w:snapToGrid w:val="0"/>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以书面形式</w:t>
            </w:r>
          </w:p>
        </w:tc>
      </w:tr>
      <w:tr w14:paraId="37C52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675" w:type="dxa"/>
            <w:vMerge w:val="continue"/>
            <w:vAlign w:val="center"/>
          </w:tcPr>
          <w:p w14:paraId="5EDAC436">
            <w:pPr>
              <w:widowControl/>
              <w:jc w:val="left"/>
              <w:rPr>
                <w:rFonts w:hint="eastAsia" w:ascii="宋体" w:hAnsi="宋体" w:eastAsia="宋体" w:cs="宋体"/>
                <w:color w:val="auto"/>
                <w:szCs w:val="21"/>
                <w:highlight w:val="none"/>
              </w:rPr>
            </w:pPr>
          </w:p>
        </w:tc>
        <w:tc>
          <w:tcPr>
            <w:tcW w:w="2268" w:type="dxa"/>
            <w:vAlign w:val="center"/>
          </w:tcPr>
          <w:p w14:paraId="0E6218F0">
            <w:pPr>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质疑联系部门及联系方式</w:t>
            </w:r>
          </w:p>
        </w:tc>
        <w:tc>
          <w:tcPr>
            <w:tcW w:w="7297" w:type="dxa"/>
            <w:vAlign w:val="center"/>
          </w:tcPr>
          <w:p w14:paraId="55F074E0">
            <w:pPr>
              <w:snapToGrid w:val="0"/>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u w:val="none"/>
              </w:rPr>
              <w:t>（1）</w:t>
            </w:r>
            <w:r>
              <w:rPr>
                <w:rFonts w:hint="eastAsia" w:ascii="宋体" w:hAnsi="宋体" w:cs="宋体"/>
                <w:color w:val="auto"/>
                <w:szCs w:val="21"/>
                <w:highlight w:val="none"/>
                <w:u w:val="single"/>
                <w:lang w:eastAsia="zh-CN"/>
              </w:rPr>
              <w:t>广西合美工程咨询有限公司</w:t>
            </w:r>
            <w:r>
              <w:rPr>
                <w:rFonts w:hint="eastAsia" w:ascii="宋体" w:hAnsi="宋体" w:eastAsia="宋体" w:cs="宋体"/>
                <w:color w:val="auto"/>
                <w:szCs w:val="21"/>
                <w:highlight w:val="none"/>
              </w:rPr>
              <w:t>部门；</w:t>
            </w:r>
          </w:p>
          <w:p w14:paraId="2AD4171C">
            <w:pPr>
              <w:snapToGrid w:val="0"/>
              <w:spacing w:line="380" w:lineRule="exac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联系电话：</w:t>
            </w:r>
            <w:r>
              <w:rPr>
                <w:rFonts w:hint="eastAsia" w:ascii="宋体" w:hAnsi="宋体" w:cs="宋体"/>
                <w:color w:val="auto"/>
                <w:szCs w:val="21"/>
                <w:highlight w:val="none"/>
                <w:u w:val="single"/>
                <w:lang w:eastAsia="zh-CN"/>
              </w:rPr>
              <w:t>0771-2420225</w:t>
            </w:r>
          </w:p>
          <w:p w14:paraId="43CE1582">
            <w:pPr>
              <w:snapToGrid w:val="0"/>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通讯地址：</w:t>
            </w:r>
            <w:r>
              <w:rPr>
                <w:rFonts w:hint="eastAsia" w:ascii="宋体" w:hAnsi="宋体" w:cs="宋体"/>
                <w:color w:val="auto"/>
                <w:szCs w:val="21"/>
                <w:highlight w:val="none"/>
                <w:u w:val="single"/>
                <w:lang w:eastAsia="zh-CN"/>
              </w:rPr>
              <w:t>南宁市青秀区双拥路36-1号绿城画卷B座1708-09号房</w:t>
            </w:r>
            <w:r>
              <w:rPr>
                <w:rFonts w:hint="eastAsia" w:ascii="宋体" w:hAnsi="宋体" w:eastAsia="宋体" w:cs="宋体"/>
                <w:color w:val="auto"/>
                <w:szCs w:val="21"/>
                <w:highlight w:val="none"/>
              </w:rPr>
              <w:t xml:space="preserve"> </w:t>
            </w:r>
          </w:p>
          <w:p w14:paraId="5C9EE358">
            <w:pPr>
              <w:snapToGrid w:val="0"/>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u w:val="none"/>
              </w:rPr>
              <w:t>（2）</w:t>
            </w:r>
            <w:r>
              <w:rPr>
                <w:rFonts w:hint="eastAsia" w:ascii="宋体" w:hAnsi="宋体" w:cs="宋体"/>
                <w:color w:val="auto"/>
                <w:szCs w:val="21"/>
                <w:highlight w:val="none"/>
                <w:u w:val="single"/>
                <w:lang w:eastAsia="zh-CN"/>
              </w:rPr>
              <w:t>南宁市群众艺术馆</w:t>
            </w:r>
            <w:r>
              <w:rPr>
                <w:rFonts w:hint="eastAsia" w:ascii="宋体" w:hAnsi="宋体" w:eastAsia="宋体" w:cs="宋体"/>
                <w:color w:val="auto"/>
                <w:szCs w:val="21"/>
                <w:highlight w:val="none"/>
              </w:rPr>
              <w:t>部门；</w:t>
            </w:r>
          </w:p>
          <w:p w14:paraId="63576749">
            <w:pPr>
              <w:snapToGrid w:val="0"/>
              <w:spacing w:line="380" w:lineRule="exac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联系电话：</w:t>
            </w:r>
            <w:r>
              <w:rPr>
                <w:rFonts w:hint="eastAsia" w:ascii="宋体" w:hAnsi="宋体" w:cs="宋体"/>
                <w:color w:val="auto"/>
                <w:szCs w:val="21"/>
                <w:highlight w:val="none"/>
                <w:u w:val="single"/>
                <w:lang w:eastAsia="zh-CN"/>
              </w:rPr>
              <w:t>0771-4857009</w:t>
            </w:r>
          </w:p>
          <w:p w14:paraId="4CCE72DA">
            <w:pPr>
              <w:snapToGrid w:val="0"/>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通讯地址：</w:t>
            </w:r>
            <w:r>
              <w:rPr>
                <w:rFonts w:hint="eastAsia" w:ascii="宋体" w:hAnsi="宋体" w:cs="宋体"/>
                <w:color w:val="auto"/>
                <w:szCs w:val="21"/>
                <w:highlight w:val="none"/>
                <w:u w:val="single"/>
                <w:lang w:eastAsia="zh-CN"/>
              </w:rPr>
              <w:t>南宁市五一东路一号</w:t>
            </w:r>
            <w:r>
              <w:rPr>
                <w:rFonts w:hint="eastAsia" w:ascii="宋体" w:hAnsi="宋体" w:eastAsia="宋体" w:cs="宋体"/>
                <w:color w:val="auto"/>
                <w:szCs w:val="21"/>
                <w:highlight w:val="none"/>
              </w:rPr>
              <w:t xml:space="preserve"> </w:t>
            </w:r>
          </w:p>
        </w:tc>
      </w:tr>
      <w:tr w14:paraId="40038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675" w:type="dxa"/>
            <w:vMerge w:val="continue"/>
            <w:vAlign w:val="center"/>
          </w:tcPr>
          <w:p w14:paraId="6BE0B133">
            <w:pPr>
              <w:widowControl/>
              <w:jc w:val="left"/>
              <w:rPr>
                <w:rFonts w:hint="eastAsia" w:ascii="宋体" w:hAnsi="宋体" w:eastAsia="宋体" w:cs="宋体"/>
                <w:color w:val="auto"/>
                <w:szCs w:val="21"/>
                <w:highlight w:val="none"/>
              </w:rPr>
            </w:pPr>
          </w:p>
        </w:tc>
        <w:tc>
          <w:tcPr>
            <w:tcW w:w="2268" w:type="dxa"/>
            <w:vAlign w:val="center"/>
          </w:tcPr>
          <w:p w14:paraId="6847F89E">
            <w:pPr>
              <w:spacing w:line="380" w:lineRule="exact"/>
              <w:rPr>
                <w:rFonts w:hint="eastAsia" w:ascii="宋体" w:hAnsi="宋体" w:eastAsia="宋体" w:cs="宋体"/>
                <w:color w:val="auto"/>
                <w:szCs w:val="21"/>
                <w:highlight w:val="none"/>
              </w:rPr>
            </w:pPr>
            <w:r>
              <w:rPr>
                <w:rFonts w:hint="eastAsia" w:ascii="宋体" w:hAnsi="宋体" w:eastAsia="宋体" w:cs="宋体"/>
                <w:color w:val="auto"/>
                <w:highlight w:val="none"/>
              </w:rPr>
              <w:t>现场提交质疑办理业务时间</w:t>
            </w:r>
          </w:p>
        </w:tc>
        <w:tc>
          <w:tcPr>
            <w:tcW w:w="7297" w:type="dxa"/>
            <w:vAlign w:val="center"/>
          </w:tcPr>
          <w:p w14:paraId="5F07ABCF">
            <w:pPr>
              <w:snapToGrid w:val="0"/>
              <w:spacing w:line="380" w:lineRule="exact"/>
              <w:rPr>
                <w:rFonts w:hint="eastAsia" w:ascii="宋体" w:hAnsi="宋体" w:eastAsia="宋体" w:cs="宋体"/>
                <w:color w:val="auto"/>
                <w:szCs w:val="21"/>
                <w:highlight w:val="none"/>
              </w:rPr>
            </w:pPr>
            <w:r>
              <w:rPr>
                <w:rFonts w:hint="eastAsia" w:ascii="宋体" w:hAnsi="宋体" w:eastAsia="宋体" w:cs="宋体"/>
                <w:color w:val="auto"/>
                <w:highlight w:val="none"/>
              </w:rPr>
              <w:t>质疑期内每个工作日</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8</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时</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0</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分到</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12</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时</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0</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分，</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15</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时</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0</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分到</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1</w:t>
            </w:r>
            <w:r>
              <w:rPr>
                <w:rFonts w:hint="eastAsia" w:ascii="宋体" w:hAnsi="宋体" w:cs="宋体"/>
                <w:color w:val="auto"/>
                <w:highlight w:val="none"/>
                <w:u w:val="single"/>
                <w:lang w:val="en-US" w:eastAsia="zh-CN"/>
              </w:rPr>
              <w:t>7</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时</w:t>
            </w:r>
            <w:r>
              <w:rPr>
                <w:rFonts w:hint="eastAsia" w:ascii="宋体" w:hAnsi="宋体" w:eastAsia="宋体" w:cs="宋体"/>
                <w:color w:val="auto"/>
                <w:highlight w:val="none"/>
                <w:u w:val="single"/>
              </w:rPr>
              <w:t xml:space="preserve"> </w:t>
            </w:r>
            <w:r>
              <w:rPr>
                <w:rFonts w:hint="eastAsia" w:ascii="宋体" w:hAnsi="宋体" w:cs="宋体"/>
                <w:color w:val="auto"/>
                <w:highlight w:val="none"/>
                <w:u w:val="single"/>
                <w:lang w:val="en-US" w:eastAsia="zh-CN"/>
              </w:rPr>
              <w:t>3</w:t>
            </w:r>
            <w:r>
              <w:rPr>
                <w:rFonts w:hint="eastAsia" w:ascii="宋体" w:hAnsi="宋体" w:eastAsia="宋体" w:cs="宋体"/>
                <w:color w:val="auto"/>
                <w:highlight w:val="none"/>
                <w:u w:val="single"/>
                <w:lang w:val="en-US" w:eastAsia="zh-CN"/>
              </w:rPr>
              <w:t>0</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分</w:t>
            </w:r>
          </w:p>
        </w:tc>
      </w:tr>
      <w:tr w14:paraId="5CD9E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675" w:type="dxa"/>
            <w:vAlign w:val="center"/>
          </w:tcPr>
          <w:p w14:paraId="5BEBCD26">
            <w:pPr>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38.3.1</w:t>
            </w:r>
          </w:p>
        </w:tc>
        <w:tc>
          <w:tcPr>
            <w:tcW w:w="2268" w:type="dxa"/>
            <w:vAlign w:val="center"/>
          </w:tcPr>
          <w:p w14:paraId="6110FC8E">
            <w:pPr>
              <w:spacing w:line="380" w:lineRule="exact"/>
              <w:rPr>
                <w:rFonts w:hint="eastAsia" w:ascii="宋体" w:hAnsi="宋体" w:eastAsia="宋体" w:cs="宋体"/>
                <w:color w:val="auto"/>
                <w:highlight w:val="none"/>
              </w:rPr>
            </w:pPr>
            <w:r>
              <w:rPr>
                <w:rFonts w:hint="eastAsia" w:ascii="宋体" w:hAnsi="宋体" w:eastAsia="宋体" w:cs="宋体"/>
                <w:color w:val="auto"/>
                <w:highlight w:val="none"/>
              </w:rPr>
              <w:t>投诉受理方式</w:t>
            </w:r>
          </w:p>
        </w:tc>
        <w:tc>
          <w:tcPr>
            <w:tcW w:w="7297" w:type="dxa"/>
            <w:vAlign w:val="center"/>
          </w:tcPr>
          <w:p w14:paraId="27B342B5">
            <w:pPr>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1、受理方式：纸质方式受理，投诉书正、副本（经过质疑的事项才可投诉）。</w:t>
            </w:r>
          </w:p>
          <w:p w14:paraId="494D220E">
            <w:pPr>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2、邮寄地址：</w:t>
            </w:r>
          </w:p>
          <w:p w14:paraId="1FFE747B">
            <w:pPr>
              <w:snapToGrid w:val="0"/>
              <w:spacing w:line="360" w:lineRule="auto"/>
              <w:rPr>
                <w:rFonts w:ascii="宋体" w:hAnsi="宋体" w:cs="宋体"/>
                <w:color w:val="000000"/>
                <w:highlight w:val="none"/>
              </w:rPr>
            </w:pPr>
            <w:r>
              <w:rPr>
                <w:rFonts w:hint="eastAsia" w:ascii="宋体" w:hAnsi="宋体" w:cs="宋体"/>
                <w:color w:val="000000"/>
                <w:highlight w:val="none"/>
              </w:rPr>
              <w:t>名称：南宁市财政局政府采购监督管理科</w:t>
            </w:r>
          </w:p>
          <w:p w14:paraId="11C94D14">
            <w:pPr>
              <w:snapToGrid w:val="0"/>
              <w:spacing w:line="360" w:lineRule="auto"/>
              <w:rPr>
                <w:rFonts w:ascii="宋体" w:hAnsi="宋体" w:cs="宋体"/>
                <w:color w:val="000000"/>
                <w:highlight w:val="none"/>
              </w:rPr>
            </w:pPr>
            <w:r>
              <w:rPr>
                <w:rFonts w:hint="eastAsia" w:ascii="宋体" w:hAnsi="宋体" w:cs="宋体"/>
                <w:color w:val="000000"/>
                <w:highlight w:val="none"/>
              </w:rPr>
              <w:t>地址：南宁市青秀区东葛路129号</w:t>
            </w:r>
          </w:p>
          <w:p w14:paraId="61CDF127">
            <w:pPr>
              <w:snapToGrid w:val="0"/>
              <w:spacing w:line="360" w:lineRule="auto"/>
              <w:rPr>
                <w:rFonts w:hint="eastAsia" w:ascii="宋体" w:hAnsi="宋体" w:eastAsia="宋体" w:cs="宋体"/>
                <w:color w:val="auto"/>
                <w:highlight w:val="none"/>
              </w:rPr>
            </w:pPr>
            <w:r>
              <w:rPr>
                <w:rFonts w:hint="eastAsia" w:ascii="宋体" w:hAnsi="宋体" w:cs="宋体"/>
                <w:color w:val="000000"/>
                <w:highlight w:val="none"/>
              </w:rPr>
              <w:t>联系电话：0771-2189091</w:t>
            </w:r>
          </w:p>
        </w:tc>
      </w:tr>
      <w:tr w14:paraId="15247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0" w:hRule="atLeast"/>
        </w:trPr>
        <w:tc>
          <w:tcPr>
            <w:tcW w:w="675" w:type="dxa"/>
            <w:vMerge w:val="restart"/>
            <w:vAlign w:val="center"/>
          </w:tcPr>
          <w:p w14:paraId="112A8283">
            <w:pPr>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40</w:t>
            </w:r>
          </w:p>
        </w:tc>
        <w:tc>
          <w:tcPr>
            <w:tcW w:w="2268" w:type="dxa"/>
            <w:vAlign w:val="center"/>
          </w:tcPr>
          <w:p w14:paraId="221D79C7">
            <w:pPr>
              <w:spacing w:line="380" w:lineRule="exact"/>
              <w:rPr>
                <w:rFonts w:hint="eastAsia" w:ascii="宋体" w:hAnsi="宋体" w:eastAsia="宋体" w:cs="宋体"/>
                <w:color w:val="auto"/>
                <w:szCs w:val="21"/>
                <w:highlight w:val="none"/>
              </w:rPr>
            </w:pPr>
            <w:bookmarkStart w:id="70" w:name="_41"/>
            <w:bookmarkEnd w:id="70"/>
            <w:bookmarkStart w:id="71" w:name="_42"/>
            <w:bookmarkEnd w:id="71"/>
            <w:r>
              <w:rPr>
                <w:rFonts w:hint="eastAsia" w:ascii="宋体" w:hAnsi="宋体" w:eastAsia="宋体" w:cs="宋体"/>
                <w:color w:val="auto"/>
                <w:highlight w:val="none"/>
              </w:rPr>
              <w:t>采购代理费支付方式</w:t>
            </w:r>
          </w:p>
        </w:tc>
        <w:tc>
          <w:tcPr>
            <w:tcW w:w="7297" w:type="dxa"/>
            <w:vAlign w:val="center"/>
          </w:tcPr>
          <w:p w14:paraId="0E54E54F">
            <w:pPr>
              <w:pStyle w:val="11"/>
              <w:snapToGrid w:val="0"/>
              <w:spacing w:line="380" w:lineRule="exact"/>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rPr>
              <w:t>本项目代理服务费由</w:t>
            </w:r>
            <w:r>
              <w:rPr>
                <w:rFonts w:hint="eastAsia" w:ascii="宋体" w:hAnsi="宋体" w:eastAsia="宋体" w:cs="宋体"/>
                <w:color w:val="auto"/>
                <w:highlight w:val="none"/>
                <w:u w:val="single"/>
              </w:rPr>
              <w:t>中标人</w:t>
            </w:r>
            <w:r>
              <w:rPr>
                <w:rFonts w:hint="eastAsia" w:ascii="宋体" w:hAnsi="宋体" w:eastAsia="宋体" w:cs="宋体"/>
                <w:color w:val="auto"/>
                <w:highlight w:val="none"/>
              </w:rPr>
              <w:t>在领取中标通知书前，一次性向采购代理机构支付。</w:t>
            </w:r>
          </w:p>
          <w:p w14:paraId="62FD56D4">
            <w:pPr>
              <w:pStyle w:val="11"/>
              <w:snapToGrid w:val="0"/>
              <w:spacing w:line="380" w:lineRule="exact"/>
              <w:rPr>
                <w:rFonts w:hint="eastAsia" w:ascii="宋体" w:hAnsi="宋体" w:eastAsia="宋体" w:cs="宋体"/>
                <w:color w:val="auto"/>
                <w:highlight w:val="none"/>
              </w:rPr>
            </w:pPr>
            <w:r>
              <w:rPr>
                <w:rFonts w:hint="eastAsia" w:ascii="宋体" w:hAnsi="宋体" w:eastAsia="宋体" w:cs="宋体"/>
                <w:color w:val="auto"/>
                <w:highlight w:val="none"/>
              </w:rPr>
              <w:t>□采购人支付。</w:t>
            </w:r>
          </w:p>
          <w:p w14:paraId="6A400F73">
            <w:pPr>
              <w:pStyle w:val="11"/>
              <w:snapToGrid w:val="0"/>
              <w:spacing w:line="380" w:lineRule="exact"/>
              <w:rPr>
                <w:rFonts w:hint="eastAsia" w:ascii="宋体" w:hAnsi="宋体" w:eastAsia="宋体" w:cs="宋体"/>
                <w:color w:val="auto"/>
                <w:highlight w:val="none"/>
              </w:rPr>
            </w:pPr>
            <w:r>
              <w:rPr>
                <w:rFonts w:hint="eastAsia" w:ascii="宋体" w:hAnsi="宋体" w:eastAsia="宋体" w:cs="宋体"/>
                <w:color w:val="auto"/>
                <w:highlight w:val="none"/>
              </w:rPr>
              <w:t>□本项目不收取代理服务费。</w:t>
            </w:r>
          </w:p>
        </w:tc>
      </w:tr>
      <w:tr w14:paraId="3CA6A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5" w:type="dxa"/>
            <w:vMerge w:val="continue"/>
            <w:vAlign w:val="center"/>
          </w:tcPr>
          <w:p w14:paraId="01BCBDB1">
            <w:pPr>
              <w:widowControl/>
              <w:jc w:val="left"/>
              <w:rPr>
                <w:rFonts w:hint="eastAsia" w:ascii="宋体" w:hAnsi="宋体" w:eastAsia="宋体" w:cs="宋体"/>
                <w:color w:val="auto"/>
                <w:szCs w:val="21"/>
                <w:highlight w:val="none"/>
              </w:rPr>
            </w:pPr>
          </w:p>
        </w:tc>
        <w:tc>
          <w:tcPr>
            <w:tcW w:w="2268" w:type="dxa"/>
            <w:vAlign w:val="center"/>
          </w:tcPr>
          <w:p w14:paraId="367588F5">
            <w:pPr>
              <w:spacing w:line="380" w:lineRule="exact"/>
              <w:rPr>
                <w:rFonts w:hint="eastAsia" w:ascii="宋体" w:hAnsi="宋体" w:eastAsia="宋体" w:cs="宋体"/>
                <w:color w:val="auto"/>
                <w:szCs w:val="21"/>
                <w:highlight w:val="none"/>
              </w:rPr>
            </w:pPr>
            <w:r>
              <w:rPr>
                <w:rFonts w:hint="eastAsia" w:ascii="宋体" w:hAnsi="宋体" w:eastAsia="宋体" w:cs="宋体"/>
                <w:color w:val="auto"/>
                <w:highlight w:val="none"/>
              </w:rPr>
              <w:t>采购代理费收取标准</w:t>
            </w:r>
          </w:p>
        </w:tc>
        <w:tc>
          <w:tcPr>
            <w:tcW w:w="7297" w:type="dxa"/>
            <w:vAlign w:val="center"/>
          </w:tcPr>
          <w:p w14:paraId="70E7D2A9">
            <w:pPr>
              <w:pStyle w:val="26"/>
              <w:jc w:val="both"/>
              <w:rPr>
                <w:rFonts w:hint="eastAsia" w:ascii="宋体" w:hAnsi="宋体" w:eastAsia="宋体" w:cs="宋体"/>
                <w:color w:val="auto"/>
                <w:highlight w:val="none"/>
                <w:lang w:val="en-US" w:eastAsia="zh-CN"/>
              </w:rPr>
            </w:pPr>
            <w:r>
              <w:rPr>
                <w:rFonts w:hint="eastAsia" w:ascii="宋体" w:hAnsi="宋体" w:eastAsia="宋体" w:cs="宋体"/>
                <w:b w:val="0"/>
                <w:color w:val="auto"/>
                <w:kern w:val="2"/>
                <w:sz w:val="21"/>
                <w:szCs w:val="20"/>
                <w:highlight w:val="none"/>
                <w:lang w:val="en-US" w:eastAsia="zh-CN" w:bidi="ar-SA"/>
              </w:rPr>
              <w:t>按原国家发展计划委员会计价格[2002]1980号《招标代理服务费管理暂行办法》收费标准（服务类型）向中标供应商收取。</w:t>
            </w:r>
            <w:r>
              <w:rPr>
                <w:rFonts w:hint="eastAsia" w:ascii="宋体" w:hAnsi="宋体" w:eastAsia="宋体" w:cs="宋体"/>
                <w:b w:val="0"/>
                <w:color w:val="000000"/>
                <w:szCs w:val="20"/>
                <w:highlight w:val="none"/>
              </w:rPr>
              <w:t>如项目单个项目或单个标段代理服务费低于人民币捌仟元整（￥8000.00）的，按捌仟元整（￥8000.00）收取</w:t>
            </w:r>
            <w:r>
              <w:rPr>
                <w:rFonts w:hint="eastAsia" w:ascii="宋体" w:hAnsi="宋体" w:eastAsia="宋体" w:cs="宋体"/>
                <w:b w:val="0"/>
                <w:color w:val="000000"/>
                <w:szCs w:val="20"/>
                <w:highlight w:val="none"/>
                <w:lang w:eastAsia="zh-CN"/>
              </w:rPr>
              <w:t>。</w:t>
            </w:r>
          </w:p>
        </w:tc>
      </w:tr>
      <w:tr w14:paraId="500D6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trPr>
        <w:tc>
          <w:tcPr>
            <w:tcW w:w="675" w:type="dxa"/>
            <w:vMerge w:val="continue"/>
            <w:vAlign w:val="center"/>
          </w:tcPr>
          <w:p w14:paraId="0EBB83BF">
            <w:pPr>
              <w:widowControl/>
              <w:jc w:val="left"/>
              <w:rPr>
                <w:rFonts w:hint="eastAsia" w:ascii="宋体" w:hAnsi="宋体" w:eastAsia="宋体" w:cs="宋体"/>
                <w:color w:val="auto"/>
                <w:szCs w:val="21"/>
                <w:highlight w:val="none"/>
              </w:rPr>
            </w:pPr>
          </w:p>
        </w:tc>
        <w:tc>
          <w:tcPr>
            <w:tcW w:w="2268" w:type="dxa"/>
            <w:vAlign w:val="center"/>
          </w:tcPr>
          <w:p w14:paraId="3345B78A">
            <w:pPr>
              <w:spacing w:line="380" w:lineRule="exact"/>
              <w:rPr>
                <w:rFonts w:hint="eastAsia" w:ascii="宋体" w:hAnsi="宋体" w:eastAsia="宋体" w:cs="宋体"/>
                <w:color w:val="auto"/>
                <w:szCs w:val="21"/>
                <w:highlight w:val="none"/>
              </w:rPr>
            </w:pPr>
            <w:r>
              <w:rPr>
                <w:rFonts w:hint="eastAsia" w:ascii="宋体" w:hAnsi="宋体" w:eastAsia="宋体" w:cs="宋体"/>
                <w:color w:val="auto"/>
                <w:highlight w:val="none"/>
              </w:rPr>
              <w:t>代理服务费收款账户信息</w:t>
            </w:r>
          </w:p>
        </w:tc>
        <w:tc>
          <w:tcPr>
            <w:tcW w:w="7297" w:type="dxa"/>
            <w:vAlign w:val="center"/>
          </w:tcPr>
          <w:p w14:paraId="5EB6E943">
            <w:pPr>
              <w:pStyle w:val="11"/>
              <w:snapToGrid w:val="0"/>
              <w:spacing w:line="380" w:lineRule="exact"/>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开户名称：</w:t>
            </w:r>
            <w:r>
              <w:rPr>
                <w:rFonts w:hint="eastAsia" w:hAnsi="宋体" w:cs="宋体"/>
                <w:color w:val="auto"/>
                <w:highlight w:val="none"/>
                <w:lang w:eastAsia="zh-CN"/>
              </w:rPr>
              <w:t>广西合美工程咨询有限公司</w:t>
            </w:r>
            <w:r>
              <w:rPr>
                <w:rFonts w:hint="eastAsia" w:ascii="宋体" w:hAnsi="宋体" w:eastAsia="宋体" w:cs="宋体"/>
                <w:color w:val="auto"/>
                <w:highlight w:val="none"/>
                <w:lang w:eastAsia="zh-CN"/>
              </w:rPr>
              <w:t xml:space="preserve"> </w:t>
            </w:r>
          </w:p>
          <w:p w14:paraId="1B6AA25D">
            <w:pPr>
              <w:pStyle w:val="11"/>
              <w:snapToGrid w:val="0"/>
              <w:spacing w:line="380" w:lineRule="exact"/>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开户银行：</w:t>
            </w:r>
            <w:r>
              <w:rPr>
                <w:rFonts w:hint="eastAsia" w:hAnsi="宋体" w:cs="宋体"/>
                <w:color w:val="auto"/>
                <w:highlight w:val="none"/>
                <w:lang w:eastAsia="zh-CN"/>
              </w:rPr>
              <w:t>中国建设银行股份有限公司南宁水利电力大厦支行</w:t>
            </w:r>
            <w:r>
              <w:rPr>
                <w:rFonts w:hint="eastAsia" w:ascii="宋体" w:hAnsi="宋体" w:eastAsia="宋体" w:cs="宋体"/>
                <w:color w:val="auto"/>
                <w:highlight w:val="none"/>
                <w:lang w:eastAsia="zh-CN"/>
              </w:rPr>
              <w:t xml:space="preserve"> </w:t>
            </w:r>
          </w:p>
          <w:p w14:paraId="3AD55EBA">
            <w:pPr>
              <w:pStyle w:val="11"/>
              <w:snapToGrid w:val="0"/>
              <w:spacing w:line="380" w:lineRule="exact"/>
              <w:rPr>
                <w:rFonts w:hint="eastAsia" w:ascii="宋体" w:hAnsi="宋体" w:eastAsia="宋体" w:cs="宋体"/>
                <w:color w:val="auto"/>
                <w:highlight w:val="none"/>
              </w:rPr>
            </w:pPr>
            <w:r>
              <w:rPr>
                <w:rFonts w:hint="eastAsia" w:ascii="宋体" w:hAnsi="宋体" w:eastAsia="宋体" w:cs="宋体"/>
                <w:color w:val="auto"/>
                <w:highlight w:val="none"/>
                <w:lang w:eastAsia="zh-CN"/>
              </w:rPr>
              <w:t>银行账号：45050160477200001333</w:t>
            </w:r>
          </w:p>
        </w:tc>
      </w:tr>
      <w:tr w14:paraId="48A76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479531BE">
            <w:pPr>
              <w:snapToGrid w:val="0"/>
              <w:spacing w:line="3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41.1</w:t>
            </w:r>
          </w:p>
        </w:tc>
        <w:tc>
          <w:tcPr>
            <w:tcW w:w="2268" w:type="dxa"/>
            <w:vAlign w:val="center"/>
          </w:tcPr>
          <w:p w14:paraId="08C0835E">
            <w:pPr>
              <w:snapToGrid w:val="0"/>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解释</w:t>
            </w:r>
          </w:p>
        </w:tc>
        <w:tc>
          <w:tcPr>
            <w:tcW w:w="7297" w:type="dxa"/>
            <w:vAlign w:val="center"/>
          </w:tcPr>
          <w:p w14:paraId="667B90C0">
            <w:pPr>
              <w:snapToGrid w:val="0"/>
              <w:spacing w:line="38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解释权：</w:t>
            </w:r>
            <w:r>
              <w:rPr>
                <w:rFonts w:hint="eastAsia" w:ascii="宋体" w:hAnsi="宋体" w:eastAsia="宋体" w:cs="宋体"/>
                <w:color w:val="auto"/>
                <w:szCs w:val="21"/>
                <w:highlight w:val="none"/>
              </w:rPr>
              <w:t>构成本招标文件的各个组成文件应互为解释，互为说明；除招标文件中有特别规定外，仅适用于招标投标阶段的规定，按更正公告（澄清公告）、招标公告、采购需求、投标人须知、评标方法及评标标准、拟签订的合同文本、投标文件格式的先后顺序解释；同一组成文件中就同一事项的规定或者约定不一致的，以编排顺序在后者为准；同一组成文件不同版本之间有不一致的，以形成时间在后者为准；更正公告（澄清公告）与同步更新的招标文件不一致时以更正公告（澄清公告）为准。按本款前述规定仍不能形成结论的</w:t>
            </w:r>
            <w:r>
              <w:rPr>
                <w:rFonts w:hint="eastAsia" w:ascii="宋体" w:hAnsi="宋体" w:eastAsia="宋体" w:cs="宋体"/>
                <w:b/>
                <w:color w:val="auto"/>
                <w:szCs w:val="21"/>
                <w:highlight w:val="none"/>
              </w:rPr>
              <w:t>，由采购人或者采购代理机构负责解释。</w:t>
            </w:r>
          </w:p>
          <w:p w14:paraId="17959E2B">
            <w:pPr>
              <w:snapToGrid w:val="0"/>
              <w:spacing w:line="38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法律责任：</w:t>
            </w:r>
          </w:p>
          <w:p w14:paraId="0BBCEDD5">
            <w:pPr>
              <w:snapToGrid w:val="0"/>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本采购文件根据《中华人民共和国政府采购法》、《中华人民共和国民法典》；《中华人民共和国政府采购法实施条例》、《政府采购非招标采购方式管理办法》等有关法律、法规编制，参与本项目的各政府采购当事人依法享有上述法律法规所赋予的权利与义务。</w:t>
            </w:r>
          </w:p>
          <w:p w14:paraId="37D75BB6">
            <w:pPr>
              <w:spacing w:line="380" w:lineRule="exact"/>
              <w:rPr>
                <w:rFonts w:hint="eastAsia" w:ascii="宋体" w:hAnsi="宋体" w:eastAsia="宋体" w:cs="宋体"/>
                <w:color w:val="auto"/>
                <w:highlight w:val="none"/>
              </w:rPr>
            </w:pPr>
            <w:r>
              <w:rPr>
                <w:rFonts w:hint="eastAsia" w:ascii="宋体" w:hAnsi="宋体" w:eastAsia="宋体" w:cs="宋体"/>
                <w:b/>
                <w:bCs/>
                <w:color w:val="auto"/>
                <w:kern w:val="2"/>
                <w:sz w:val="21"/>
                <w:szCs w:val="20"/>
                <w:highlight w:val="none"/>
                <w:lang w:val="en-US" w:eastAsia="zh-CN" w:bidi="ar-SA"/>
              </w:rPr>
              <w:t>2.本项目采购代理机构应严格按照</w:t>
            </w:r>
            <w:r>
              <w:rPr>
                <w:rFonts w:hint="eastAsia" w:ascii="宋体" w:hAnsi="宋体" w:cs="宋体"/>
                <w:b/>
                <w:bCs/>
                <w:color w:val="auto"/>
                <w:kern w:val="2"/>
                <w:sz w:val="21"/>
                <w:szCs w:val="20"/>
                <w:highlight w:val="none"/>
                <w:lang w:val="en-US" w:eastAsia="zh-CN" w:bidi="ar-SA"/>
              </w:rPr>
              <w:t>广西政府采购云平台</w:t>
            </w:r>
            <w:r>
              <w:rPr>
                <w:rFonts w:hint="eastAsia" w:ascii="宋体" w:hAnsi="宋体" w:eastAsia="宋体" w:cs="宋体"/>
                <w:b/>
                <w:bCs/>
                <w:color w:val="auto"/>
                <w:kern w:val="2"/>
                <w:sz w:val="21"/>
                <w:szCs w:val="20"/>
                <w:highlight w:val="none"/>
                <w:lang w:val="en-US" w:eastAsia="zh-CN" w:bidi="ar-SA"/>
              </w:rPr>
              <w:t>项目采购全流程电子化电子开评标规程执行项目采购活动，代理机构在</w:t>
            </w:r>
            <w:r>
              <w:rPr>
                <w:rFonts w:hint="eastAsia" w:ascii="宋体" w:hAnsi="宋体" w:cs="宋体"/>
                <w:b/>
                <w:bCs/>
                <w:color w:val="auto"/>
                <w:kern w:val="2"/>
                <w:sz w:val="21"/>
                <w:szCs w:val="20"/>
                <w:highlight w:val="none"/>
                <w:lang w:val="en-US" w:eastAsia="zh-CN" w:bidi="ar-SA"/>
              </w:rPr>
              <w:t>广西政府采购云平台</w:t>
            </w:r>
            <w:r>
              <w:rPr>
                <w:rFonts w:hint="eastAsia" w:ascii="宋体" w:hAnsi="宋体" w:eastAsia="宋体" w:cs="宋体"/>
                <w:b/>
                <w:bCs/>
                <w:color w:val="auto"/>
                <w:kern w:val="2"/>
                <w:sz w:val="21"/>
                <w:szCs w:val="20"/>
                <w:highlight w:val="none"/>
                <w:lang w:val="en-US" w:eastAsia="zh-CN" w:bidi="ar-SA"/>
              </w:rPr>
              <w:t>的“项目管理”—“采购文件管理”内开评标规则设置作为本采购文件的组成部分，截标之后不可更改，因代理机构开评标规则设置错误导致采购活动无法开展下去的情况，由代理机构负责解释并承担其后果。</w:t>
            </w:r>
          </w:p>
        </w:tc>
      </w:tr>
      <w:tr w14:paraId="14281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387C712D">
            <w:pPr>
              <w:snapToGrid w:val="0"/>
              <w:spacing w:line="3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41.2</w:t>
            </w:r>
          </w:p>
        </w:tc>
        <w:tc>
          <w:tcPr>
            <w:tcW w:w="2268" w:type="dxa"/>
            <w:vAlign w:val="center"/>
          </w:tcPr>
          <w:p w14:paraId="4C62BA90">
            <w:pPr>
              <w:snapToGrid w:val="0"/>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其他释义</w:t>
            </w:r>
          </w:p>
        </w:tc>
        <w:tc>
          <w:tcPr>
            <w:tcW w:w="7297" w:type="dxa"/>
            <w:vAlign w:val="center"/>
          </w:tcPr>
          <w:p w14:paraId="274A352F">
            <w:pPr>
              <w:pStyle w:val="11"/>
              <w:snapToGrid w:val="0"/>
              <w:spacing w:line="380" w:lineRule="exact"/>
              <w:rPr>
                <w:rFonts w:hint="eastAsia" w:ascii="宋体" w:hAnsi="宋体" w:eastAsia="宋体" w:cs="宋体"/>
                <w:b/>
                <w:bCs/>
                <w:color w:val="auto"/>
                <w:highlight w:val="none"/>
              </w:rPr>
            </w:pPr>
            <w:r>
              <w:rPr>
                <w:rFonts w:hint="eastAsia" w:ascii="宋体" w:hAnsi="宋体" w:eastAsia="宋体" w:cs="宋体"/>
                <w:b/>
                <w:bCs/>
                <w:color w:val="auto"/>
                <w:highlight w:val="none"/>
              </w:rPr>
              <w:t>1.本招标文件中描述投标人的“公章”是指根据我国对公章的管理规定，用投标人法定主体行为名称制作的印章，除本招标文件有特殊规定外，投标人的财务章、部门章、分公司章、工会章、合同章、投标专用章、业务专用章及银行的转账章、现金收讫章、现金付讫章等其他形式印章均不能代替公章。</w:t>
            </w:r>
          </w:p>
          <w:p w14:paraId="3765FB69">
            <w:pPr>
              <w:pStyle w:val="11"/>
              <w:snapToGrid w:val="0"/>
              <w:spacing w:line="380" w:lineRule="exact"/>
              <w:rPr>
                <w:rFonts w:hint="eastAsia" w:ascii="宋体" w:hAnsi="宋体" w:eastAsia="宋体" w:cs="宋体"/>
                <w:b/>
                <w:bCs/>
                <w:color w:val="auto"/>
                <w:highlight w:val="none"/>
              </w:rPr>
            </w:pPr>
            <w:r>
              <w:rPr>
                <w:rFonts w:hint="eastAsia" w:ascii="宋体" w:hAnsi="宋体" w:eastAsia="宋体" w:cs="宋体"/>
                <w:b/>
                <w:bCs/>
                <w:color w:val="auto"/>
                <w:highlight w:val="none"/>
              </w:rPr>
              <w:t>2.投标人为其他组织或者自然人时，本招标文件规定的法定代表人指负责人或者自然人。本招标文件所称负责人是指参加投标的其他组织营业执照上的负责人，本招标文件所称自然人指参与投标的自然人本人。</w:t>
            </w:r>
          </w:p>
          <w:p w14:paraId="521CB5A7">
            <w:pPr>
              <w:pStyle w:val="11"/>
              <w:snapToGrid w:val="0"/>
              <w:spacing w:line="380" w:lineRule="exact"/>
              <w:rPr>
                <w:rFonts w:hint="eastAsia" w:ascii="宋体" w:hAnsi="宋体" w:eastAsia="宋体" w:cs="宋体"/>
                <w:b/>
                <w:bCs/>
                <w:color w:val="auto"/>
                <w:highlight w:val="none"/>
              </w:rPr>
            </w:pPr>
            <w:r>
              <w:rPr>
                <w:rFonts w:hint="eastAsia" w:ascii="宋体" w:hAnsi="宋体" w:eastAsia="宋体" w:cs="宋体"/>
                <w:b/>
                <w:bCs/>
                <w:color w:val="auto"/>
                <w:highlight w:val="none"/>
              </w:rPr>
              <w:t>3.本招标文件中描述投标人的“签字”是指投标人的法定代表人或者委托代理人亲自在文件规定签署处亲笔写上个人的名字的行为，私章、签字章、印鉴、影印等其他形式均不能代替亲笔签字。</w:t>
            </w:r>
          </w:p>
          <w:p w14:paraId="1084AE0A">
            <w:pPr>
              <w:pStyle w:val="11"/>
              <w:snapToGrid w:val="0"/>
              <w:spacing w:line="380" w:lineRule="exact"/>
              <w:rPr>
                <w:rFonts w:hint="eastAsia" w:ascii="宋体" w:hAnsi="宋体" w:eastAsia="宋体" w:cs="宋体"/>
                <w:b/>
                <w:bCs/>
                <w:color w:val="auto"/>
                <w:highlight w:val="none"/>
              </w:rPr>
            </w:pPr>
            <w:r>
              <w:rPr>
                <w:rFonts w:hint="eastAsia" w:ascii="宋体" w:hAnsi="宋体" w:eastAsia="宋体" w:cs="宋体"/>
                <w:b/>
                <w:bCs/>
                <w:color w:val="auto"/>
                <w:highlight w:val="none"/>
              </w:rPr>
              <w:t>4.自然人投标的，招标文件规定盖公章处由自然人摁手指指印。</w:t>
            </w:r>
          </w:p>
          <w:p w14:paraId="268ABB36">
            <w:pPr>
              <w:spacing w:line="380" w:lineRule="exact"/>
              <w:jc w:val="left"/>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5.本招标文件所称的“以上”“以下”“以内”“届满”，包括本数；所称的“不满”“超过”“以外”，不包括本数。</w:t>
            </w:r>
          </w:p>
        </w:tc>
      </w:tr>
    </w:tbl>
    <w:p w14:paraId="51E3B744">
      <w:pPr>
        <w:widowControl/>
        <w:spacing w:line="412" w:lineRule="auto"/>
        <w:jc w:val="left"/>
        <w:rPr>
          <w:rFonts w:hint="eastAsia" w:ascii="宋体" w:hAnsi="宋体" w:eastAsia="宋体" w:cs="宋体"/>
          <w:b/>
          <w:bCs/>
          <w:color w:val="auto"/>
          <w:sz w:val="32"/>
          <w:szCs w:val="32"/>
          <w:highlight w:val="none"/>
        </w:rPr>
        <w:sectPr>
          <w:pgSz w:w="11906" w:h="16838"/>
          <w:pgMar w:top="1134" w:right="1134" w:bottom="1134" w:left="1134" w:header="720" w:footer="720" w:gutter="0"/>
          <w:cols w:space="720" w:num="1"/>
          <w:docGrid w:type="lines" w:linePitch="331" w:charSpace="0"/>
        </w:sectPr>
      </w:pPr>
    </w:p>
    <w:p w14:paraId="7AE7C2B6">
      <w:pPr>
        <w:pStyle w:val="3"/>
        <w:jc w:val="center"/>
        <w:rPr>
          <w:rFonts w:hint="eastAsia" w:ascii="宋体" w:hAnsi="宋体" w:eastAsia="宋体" w:cs="宋体"/>
          <w:color w:val="auto"/>
          <w:highlight w:val="none"/>
        </w:rPr>
      </w:pPr>
      <w:bookmarkStart w:id="72" w:name="_Toc23067"/>
      <w:bookmarkStart w:id="73" w:name="_Toc11336"/>
      <w:r>
        <w:rPr>
          <w:rFonts w:hint="eastAsia" w:ascii="宋体" w:hAnsi="宋体" w:eastAsia="宋体" w:cs="宋体"/>
          <w:color w:val="auto"/>
          <w:highlight w:val="none"/>
        </w:rPr>
        <w:t>第二节 投标人须知正文</w:t>
      </w:r>
      <w:bookmarkEnd w:id="72"/>
      <w:bookmarkEnd w:id="73"/>
    </w:p>
    <w:p w14:paraId="31E5304D">
      <w:pPr>
        <w:pStyle w:val="4"/>
        <w:keepNext w:val="0"/>
        <w:keepLines w:val="0"/>
        <w:spacing w:line="400" w:lineRule="exact"/>
        <w:jc w:val="center"/>
        <w:rPr>
          <w:rFonts w:hint="eastAsia" w:ascii="宋体" w:hAnsi="宋体" w:eastAsia="宋体" w:cs="宋体"/>
          <w:color w:val="auto"/>
          <w:highlight w:val="none"/>
        </w:rPr>
      </w:pPr>
      <w:bookmarkStart w:id="74" w:name="_Toc22266"/>
      <w:r>
        <w:rPr>
          <w:rFonts w:hint="eastAsia" w:ascii="宋体" w:hAnsi="宋体" w:eastAsia="宋体" w:cs="宋体"/>
          <w:color w:val="auto"/>
          <w:highlight w:val="none"/>
        </w:rPr>
        <w:t>一、总  则</w:t>
      </w:r>
      <w:bookmarkEnd w:id="74"/>
    </w:p>
    <w:p w14:paraId="0165B911">
      <w:pPr>
        <w:spacing w:line="360" w:lineRule="auto"/>
        <w:ind w:firstLine="480" w:firstLineChars="200"/>
        <w:rPr>
          <w:rFonts w:hint="eastAsia" w:ascii="宋体" w:hAnsi="宋体" w:eastAsia="宋体" w:cs="宋体"/>
          <w:color w:val="auto"/>
          <w:sz w:val="24"/>
          <w:highlight w:val="none"/>
        </w:rPr>
      </w:pPr>
      <w:bookmarkStart w:id="75" w:name="_Toc254970527"/>
      <w:bookmarkStart w:id="76" w:name="_Toc254970668"/>
      <w:r>
        <w:rPr>
          <w:rFonts w:hint="eastAsia" w:ascii="宋体" w:hAnsi="宋体" w:eastAsia="宋体" w:cs="宋体"/>
          <w:color w:val="auto"/>
          <w:sz w:val="24"/>
          <w:highlight w:val="none"/>
        </w:rPr>
        <w:t>1.适用范围</w:t>
      </w:r>
      <w:bookmarkEnd w:id="75"/>
      <w:bookmarkEnd w:id="76"/>
    </w:p>
    <w:p w14:paraId="1531653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适用法律：本项目采购人、采购代理机构、投标人、评标委员会的相关行为均受《中华人民共和国政府采购法》、《中华人民共和国政府采购法实施条例》、《政府采购货物和服务招标投标管理办法》及本项目本级和上级财政部门政府采购有关规定的约束和保护。</w:t>
      </w:r>
    </w:p>
    <w:p w14:paraId="4B4BB9D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1.2本招标文件</w:t>
      </w:r>
      <w:r>
        <w:rPr>
          <w:rFonts w:hint="eastAsia" w:ascii="宋体" w:hAnsi="宋体" w:eastAsia="宋体" w:cs="宋体"/>
          <w:color w:val="auto"/>
          <w:spacing w:val="-6"/>
          <w:szCs w:val="21"/>
          <w:highlight w:val="none"/>
        </w:rPr>
        <w:t>适用于本项目的所有采购程序和环节（法律、法规另有规定的，从其规定）。</w:t>
      </w:r>
    </w:p>
    <w:p w14:paraId="57AE527D">
      <w:pPr>
        <w:spacing w:line="360" w:lineRule="auto"/>
        <w:ind w:firstLine="480" w:firstLineChars="200"/>
        <w:rPr>
          <w:rFonts w:hint="eastAsia" w:ascii="宋体" w:hAnsi="宋体" w:eastAsia="宋体" w:cs="宋体"/>
          <w:color w:val="auto"/>
          <w:sz w:val="24"/>
          <w:highlight w:val="none"/>
        </w:rPr>
      </w:pPr>
      <w:bookmarkStart w:id="77" w:name="_Toc254970669"/>
      <w:bookmarkStart w:id="78" w:name="_Toc254970528"/>
      <w:r>
        <w:rPr>
          <w:rFonts w:hint="eastAsia" w:ascii="宋体" w:hAnsi="宋体" w:eastAsia="宋体" w:cs="宋体"/>
          <w:color w:val="auto"/>
          <w:sz w:val="24"/>
          <w:highlight w:val="none"/>
        </w:rPr>
        <w:t>2.定义</w:t>
      </w:r>
      <w:bookmarkEnd w:id="77"/>
      <w:bookmarkEnd w:id="78"/>
    </w:p>
    <w:p w14:paraId="2DE6B8D8">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2.1“采购人”是指依法进行政府采购的国家机关、事业单位、团体组织。</w:t>
      </w:r>
    </w:p>
    <w:p w14:paraId="06EB7105">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2.2“采购代理机构” 指政府采购集中采购机构和集中采购机构以外的采购代理机构。</w:t>
      </w:r>
    </w:p>
    <w:p w14:paraId="2BD07DC7">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2.3“供应商”是指向采购人提供货物、工程或者服务的法人、其他组织或者自然人。</w:t>
      </w:r>
    </w:p>
    <w:p w14:paraId="2BE5E07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2.4“投标人”是指响应招标、参加投标竞争的法人、非法人组织或者自然人。</w:t>
      </w:r>
    </w:p>
    <w:p w14:paraId="332EBC34">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2.5“服务”是指除货物和工程以外的其他政府采购对象。</w:t>
      </w:r>
    </w:p>
    <w:p w14:paraId="7F20A26A">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2.6“书面形式”是指合同书、信件和数据电文（包括电报、电传、传真、短信、电子数据交换和电子邮件）等可以有形地表现所载内容的形式。</w:t>
      </w:r>
    </w:p>
    <w:p w14:paraId="2AFFDF2A">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2.7“实质性要求”是指招标文件中已经指明不满足则投标无效的条款，或者不能负偏离的条款，或者采购需求中带“</w:t>
      </w:r>
      <w:r>
        <w:rPr>
          <w:rFonts w:hint="eastAsia" w:ascii="宋体" w:hAnsi="宋体" w:eastAsia="宋体" w:cs="宋体"/>
          <w:b/>
          <w:bCs/>
          <w:color w:val="auto"/>
          <w:szCs w:val="21"/>
          <w:highlight w:val="none"/>
        </w:rPr>
        <w:t>▲</w:t>
      </w:r>
      <w:r>
        <w:rPr>
          <w:rFonts w:hint="eastAsia" w:ascii="宋体" w:hAnsi="宋体" w:eastAsia="宋体" w:cs="宋体"/>
          <w:b/>
          <w:color w:val="auto"/>
          <w:szCs w:val="21"/>
          <w:highlight w:val="none"/>
        </w:rPr>
        <w:t>”的条款。</w:t>
      </w:r>
    </w:p>
    <w:p w14:paraId="6C082DC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2.8“正偏离”，是指投标文件对招标文件“采购需求”中有关条款作出的响应优于条款要求并有利于采购人的情形。</w:t>
      </w:r>
    </w:p>
    <w:p w14:paraId="1B2C273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2.9“负偏离”，是指投标文件对招标文件“采购需求”中有关条款作出的响应不满足条款要求，导致采购人要求不能得到满足的情形。</w:t>
      </w:r>
    </w:p>
    <w:p w14:paraId="60539EE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2.10“允许负偏离的条款”是指采购需求中的不属于“实质性要求”的条款。</w:t>
      </w:r>
      <w:bookmarkStart w:id="79" w:name="_Toc254970670"/>
      <w:bookmarkStart w:id="80" w:name="_Toc254970529"/>
    </w:p>
    <w:p w14:paraId="25F1D27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bookmarkEnd w:id="79"/>
      <w:bookmarkEnd w:id="80"/>
      <w:r>
        <w:rPr>
          <w:rFonts w:hint="eastAsia" w:ascii="宋体" w:hAnsi="宋体" w:eastAsia="宋体" w:cs="宋体"/>
          <w:color w:val="auto"/>
          <w:sz w:val="24"/>
          <w:highlight w:val="none"/>
        </w:rPr>
        <w:t>投标人的资格要求</w:t>
      </w:r>
    </w:p>
    <w:p w14:paraId="253E712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投标人的资格要求详见“招标公告”。</w:t>
      </w:r>
    </w:p>
    <w:p w14:paraId="75203B11">
      <w:pPr>
        <w:spacing w:line="360" w:lineRule="auto"/>
        <w:ind w:firstLine="480" w:firstLineChars="200"/>
        <w:rPr>
          <w:rFonts w:hint="eastAsia" w:ascii="宋体" w:hAnsi="宋体" w:eastAsia="宋体" w:cs="宋体"/>
          <w:color w:val="auto"/>
          <w:sz w:val="24"/>
          <w:highlight w:val="none"/>
        </w:rPr>
      </w:pPr>
      <w:bookmarkStart w:id="81" w:name="_Toc254970530"/>
      <w:bookmarkStart w:id="82" w:name="_Toc254970671"/>
      <w:r>
        <w:rPr>
          <w:rFonts w:hint="eastAsia" w:ascii="宋体" w:hAnsi="宋体" w:eastAsia="宋体" w:cs="宋体"/>
          <w:color w:val="auto"/>
          <w:sz w:val="24"/>
          <w:highlight w:val="none"/>
        </w:rPr>
        <w:t>4.投标委托</w:t>
      </w:r>
      <w:bookmarkEnd w:id="81"/>
      <w:bookmarkEnd w:id="82"/>
    </w:p>
    <w:p w14:paraId="6402D4A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投标人代表参加投标活动过程中必须携带个人有效身份证件。如投标人代表不是法定代表人，须持有法定代表人授权委托书（正本用原件，副本用复印件，按第六章要求格式填写）。</w:t>
      </w:r>
    </w:p>
    <w:p w14:paraId="0DE469A6">
      <w:pPr>
        <w:spacing w:line="360" w:lineRule="auto"/>
        <w:ind w:firstLine="480" w:firstLineChars="200"/>
        <w:rPr>
          <w:rFonts w:hint="eastAsia" w:ascii="宋体" w:hAnsi="宋体" w:eastAsia="宋体" w:cs="宋体"/>
          <w:color w:val="auto"/>
          <w:sz w:val="24"/>
          <w:highlight w:val="none"/>
        </w:rPr>
      </w:pPr>
      <w:bookmarkStart w:id="83" w:name="_5.投标费用"/>
      <w:bookmarkEnd w:id="83"/>
      <w:bookmarkStart w:id="84" w:name="_Toc254970531"/>
      <w:bookmarkStart w:id="85" w:name="_Toc254970672"/>
      <w:r>
        <w:rPr>
          <w:rFonts w:hint="eastAsia" w:ascii="宋体" w:hAnsi="宋体" w:eastAsia="宋体" w:cs="宋体"/>
          <w:color w:val="auto"/>
          <w:sz w:val="24"/>
          <w:highlight w:val="none"/>
        </w:rPr>
        <w:t>5.投标费用</w:t>
      </w:r>
      <w:bookmarkEnd w:id="84"/>
      <w:bookmarkEnd w:id="85"/>
    </w:p>
    <w:p w14:paraId="3B180C1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投标费用：投标人应承担参与本次采购活动有关的所有费用，包括但不限于勘查现场、编制投标文件、参加澄清说明、签订合同等，不论投标结果如何，均应自行承担。</w:t>
      </w:r>
    </w:p>
    <w:p w14:paraId="11107A7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6.联合体投标</w:t>
      </w:r>
    </w:p>
    <w:p w14:paraId="58E5B20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6.1本项目是否接受联合体投标，详见“投标人须知前附表”。</w:t>
      </w:r>
    </w:p>
    <w:p w14:paraId="7CAF51BD">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6.2如接受联合体投标，联合体投标要求详见“投标人须知前附表”。</w:t>
      </w:r>
    </w:p>
    <w:p w14:paraId="32332D8D">
      <w:pPr>
        <w:spacing w:line="360" w:lineRule="auto"/>
        <w:ind w:firstLine="420" w:firstLineChars="200"/>
        <w:rPr>
          <w:rFonts w:hint="eastAsia" w:ascii="宋体" w:hAnsi="宋体" w:eastAsia="宋体" w:cs="宋体"/>
          <w:bCs/>
          <w:color w:val="auto"/>
          <w:sz w:val="24"/>
          <w:szCs w:val="21"/>
          <w:highlight w:val="none"/>
          <w:shd w:val="clear" w:color="auto" w:fill="FFFFFF"/>
        </w:rPr>
      </w:pPr>
      <w:r>
        <w:rPr>
          <w:rFonts w:hint="eastAsia" w:ascii="宋体" w:hAnsi="宋体" w:eastAsia="宋体" w:cs="宋体"/>
          <w:bCs/>
          <w:color w:val="auto"/>
          <w:szCs w:val="21"/>
          <w:highlight w:val="none"/>
        </w:rPr>
        <w:t>6.3根据《政府采购促进中小企业发展管理办法》（财库[2020]46号）第九条、《广西壮族自治区财政厅关于进一步发挥政府采购政策功能促进企业发展的通知》（桂财采〔2022〕30号）</w:t>
      </w:r>
      <w:r>
        <w:rPr>
          <w:rFonts w:hint="eastAsia" w:ascii="宋体" w:hAnsi="宋体" w:eastAsia="宋体" w:cs="宋体"/>
          <w:bCs/>
          <w:color w:val="auto"/>
          <w:szCs w:val="21"/>
          <w:highlight w:val="none"/>
          <w:lang w:eastAsia="zh-CN"/>
        </w:rPr>
        <w:t>、</w:t>
      </w:r>
      <w:r>
        <w:rPr>
          <w:rFonts w:hint="eastAsia" w:ascii="宋体" w:hAnsi="宋体" w:eastAsia="宋体" w:cs="宋体"/>
          <w:color w:val="auto"/>
          <w:highlight w:val="none"/>
        </w:rPr>
        <w:t>《广西壮族自治区财政厅关于贯彻落实政府采购支持中小企业发展政策的通知》（桂财采〔2022〕31号）</w:t>
      </w:r>
      <w:r>
        <w:rPr>
          <w:rFonts w:hint="eastAsia" w:ascii="宋体" w:hAnsi="宋体" w:eastAsia="宋体" w:cs="宋体"/>
          <w:bCs/>
          <w:color w:val="auto"/>
          <w:szCs w:val="21"/>
          <w:highlight w:val="none"/>
        </w:rPr>
        <w:t>及《广西壮族自治区财政厅 广西壮族自治区工业和信息化厅转发财政部 工业和信息化部政府采购促进中小企业发展管理办法的通知》（桂财采〔2021〕70号）规定，接受大中型企业与小微企业组成联合体的采购项目，对于联合协议约定小微企业的合同份额占到合同总金额 30%以上的，采购人、采购代理机构应当对联合体的报价给予 4%-6%（工程项目为 1%—2%）的扣除，用扣除后的价格参加评审。组成联合体的小微企业与联合体内其他企业、分包企业之间存在直接控股、管理关系的，不享受价格扣除优惠政策。</w:t>
      </w:r>
    </w:p>
    <w:p w14:paraId="7B44F61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7.转包与分包             </w:t>
      </w:r>
    </w:p>
    <w:p w14:paraId="1D093490">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7.1本项目是否允许分包详见“投标人须知前附表”，本项目不允许违法分包。投标人根据招标文件的规定和采购项目的实际情况，拟在中标后将中标项目的非主体、非关键性工作分包的，应当在投标文件中载明分包承担主体，分包承担主体应当具备相应资质条件且不得再次分包。</w:t>
      </w:r>
    </w:p>
    <w:p w14:paraId="0100DD37">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7.2根据《政府采购促进中小企业发展管理办法》（财库[2020]46号）第九条及《广西壮族自治区财政厅关于进一步发挥政府采购政策功能促进企业发展的通知》（桂财采〔2022〕30号）</w:t>
      </w:r>
      <w:r>
        <w:rPr>
          <w:rFonts w:hint="eastAsia" w:ascii="宋体" w:hAnsi="宋体" w:eastAsia="宋体" w:cs="宋体"/>
          <w:bCs/>
          <w:color w:val="auto"/>
          <w:szCs w:val="21"/>
          <w:highlight w:val="none"/>
          <w:lang w:eastAsia="zh-CN"/>
        </w:rPr>
        <w:t>、</w:t>
      </w:r>
      <w:r>
        <w:rPr>
          <w:rFonts w:hint="eastAsia" w:ascii="宋体" w:hAnsi="宋体" w:eastAsia="宋体" w:cs="宋体"/>
          <w:color w:val="auto"/>
          <w:highlight w:val="none"/>
        </w:rPr>
        <w:t>《广西壮族自治区财政厅关于贯彻落实政府采购支持中小企业发展政策的通知》（桂财采〔2022〕31号）</w:t>
      </w:r>
      <w:r>
        <w:rPr>
          <w:rFonts w:hint="eastAsia" w:ascii="宋体" w:hAnsi="宋体" w:eastAsia="宋体" w:cs="宋体"/>
          <w:bCs/>
          <w:color w:val="auto"/>
          <w:szCs w:val="21"/>
          <w:highlight w:val="none"/>
        </w:rPr>
        <w:t>规定，允许大中型企业向一家或者多家小微企业分包的采购项目，对于分包意向协议约定小微企业的合同份额占到合同总金额 30%以上的，采购人、采购代理机构应当对大中型企业的报价给予 4%-6%的扣除，用扣除后的价格参加评审。接受分包的小微企业与分包企业之间存在直接控股、管理关系的，不享受价格扣除优惠政策。</w:t>
      </w:r>
    </w:p>
    <w:p w14:paraId="1DCA3BC7">
      <w:pPr>
        <w:spacing w:line="360" w:lineRule="auto"/>
        <w:ind w:firstLine="480" w:firstLineChars="200"/>
        <w:rPr>
          <w:rFonts w:hint="eastAsia" w:ascii="宋体" w:hAnsi="宋体" w:eastAsia="宋体" w:cs="宋体"/>
          <w:color w:val="auto"/>
          <w:sz w:val="24"/>
          <w:highlight w:val="none"/>
        </w:rPr>
      </w:pPr>
      <w:bookmarkStart w:id="86" w:name="_Toc254970673"/>
      <w:bookmarkStart w:id="87" w:name="_Toc254970532"/>
      <w:r>
        <w:rPr>
          <w:rFonts w:hint="eastAsia" w:ascii="宋体" w:hAnsi="宋体" w:eastAsia="宋体" w:cs="宋体"/>
          <w:color w:val="auto"/>
          <w:sz w:val="24"/>
          <w:highlight w:val="none"/>
        </w:rPr>
        <w:t>8.特别说明：</w:t>
      </w:r>
      <w:bookmarkEnd w:id="86"/>
      <w:bookmarkEnd w:id="87"/>
      <w:bookmarkStart w:id="88" w:name="_8.1提供相同品牌产品且通过资格审查、符合性审查的不同投标人参加同一合"/>
      <w:bookmarkEnd w:id="88"/>
    </w:p>
    <w:p w14:paraId="6823E987">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8.1如果本招标文件要求投标人提供资格、信誉、荣誉、业绩与企业认证等材料的，则投标人所提供的以上材料必须为投标人所拥有。</w:t>
      </w:r>
    </w:p>
    <w:p w14:paraId="1C1AD263">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8.2投标人应仔细阅读招标文件的所有内容，按照招标文件的要求提交投标文件，并对所提供的全部资料的真实性承担法律责任。</w:t>
      </w:r>
    </w:p>
    <w:p w14:paraId="1F64EDC9">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8.3投标人在投标活动中提供任何虚假材料，将报监管部门查处；中标后发现的，中标人须依照《中华人民共和国消费者权益保护法》规定赔偿采购人，且民事赔偿并不免除违法投标人的行政与刑事责任。</w:t>
      </w:r>
    </w:p>
    <w:p w14:paraId="72C4916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9.回避与串通投标</w:t>
      </w:r>
    </w:p>
    <w:p w14:paraId="48CFDD89">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9.1在政府采购活动中，采购人员及相关人员与供应商有下列利害关系之一的，应当回避：</w:t>
      </w:r>
    </w:p>
    <w:p w14:paraId="507D5EBC">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（1）参加采购活动前3年内与供应商存在劳动关系；</w:t>
      </w:r>
    </w:p>
    <w:p w14:paraId="6ED46FE3">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（2）参加采购活动前3年内担任供应商的董事、监事；</w:t>
      </w:r>
    </w:p>
    <w:p w14:paraId="2B1E162C">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（3）参加采购活动前3年内是供应商的控股股东或者实际控制人；</w:t>
      </w:r>
    </w:p>
    <w:p w14:paraId="47E24538">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（4）与供应商的法定代表人或者负责人有夫妻、直系血亲、三代以内旁系血亲或者近姻亲关系；</w:t>
      </w:r>
    </w:p>
    <w:p w14:paraId="0F6A079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（5）与供应商有其他可能影响政府采购活动公平、公正进行的关系。</w:t>
      </w:r>
    </w:p>
    <w:p w14:paraId="580E8EBC">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636F07B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9.2有下列情形之一的视为投标人相互串通投标，投标文件将被视为无效：</w:t>
      </w:r>
    </w:p>
    <w:p w14:paraId="0082F1CD">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（1）不同投标人的投标文件由同一单位或者个人编制；或者不同投标人报名的IP地址一致的；或者不同投标人报名的IP地址一致的；或者编制标书硬件设备CPU编号、硬盘编号、网卡地址一致的情况。</w:t>
      </w:r>
    </w:p>
    <w:p w14:paraId="65497B7A">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（2）不同投标人委托同一单位或者个人办理投标事宜；</w:t>
      </w:r>
    </w:p>
    <w:p w14:paraId="350B89DA">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（3）不同的投标人的投标文件载明的项目管理员为同一个人；</w:t>
      </w:r>
    </w:p>
    <w:p w14:paraId="2164244A">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（4）不同投标人的电子或纸质投标文件异常一致或者投标报价呈规律性差异；</w:t>
      </w:r>
    </w:p>
    <w:p w14:paraId="17F89B33">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（5）不同投标人的纸质投标文件相互混装；</w:t>
      </w:r>
    </w:p>
    <w:p w14:paraId="52625D5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9.3供应商有下列情形之一的，属于恶意串通行为，将报同级监督管理部门：</w:t>
      </w:r>
    </w:p>
    <w:p w14:paraId="74246E09">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（1）供应商直接或者间接从采购人或者采购代理机构处获得其他供应商的相关信息并修改其投标文件或者投标文件；</w:t>
      </w:r>
    </w:p>
    <w:p w14:paraId="2A5C728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（2）供应商按照采购人或者采购代理机构的授意撤换、修改投标文件或者投标文件；</w:t>
      </w:r>
    </w:p>
    <w:p w14:paraId="51E55983">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（3）供应商之间协商报价、技术方案等投标文件或者投标文件的实质性内容；</w:t>
      </w:r>
    </w:p>
    <w:p w14:paraId="567F5CF9">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（4）属于同一集团、协会、商会等组织成员的供应商按照该组织要求协同参加政府采购活动；</w:t>
      </w:r>
    </w:p>
    <w:p w14:paraId="661E8943">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（5）供应商之间事先约定一致抬高或者压低投标报价，或者在招标项目中事先约定轮流以高价位或者低价位中标，或者事先约定由某一特定供应商中标，然后再参加投标；</w:t>
      </w:r>
    </w:p>
    <w:p w14:paraId="5C785F5A">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（6）供应商之间商定部分供应商放弃参加政府采购活动或者放弃中标；</w:t>
      </w:r>
    </w:p>
    <w:p w14:paraId="4BB46AEA">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（7）供应商与采购人或者采购代理机构之间、供应商相互之间，为谋求特定供应商中标或者排斥其他供应商的其他串通行为。</w:t>
      </w:r>
    </w:p>
    <w:p w14:paraId="5F1BAAA4">
      <w:pPr>
        <w:pStyle w:val="11"/>
        <w:snapToGrid w:val="0"/>
        <w:spacing w:line="360" w:lineRule="auto"/>
        <w:ind w:left="2" w:leftChars="1" w:firstLine="422" w:firstLineChars="200"/>
        <w:rPr>
          <w:rFonts w:hint="eastAsia" w:ascii="宋体" w:hAnsi="宋体" w:eastAsia="宋体" w:cs="宋体"/>
          <w:b/>
          <w:color w:val="auto"/>
          <w:highlight w:val="none"/>
        </w:rPr>
      </w:pPr>
    </w:p>
    <w:p w14:paraId="60E33AB0">
      <w:pPr>
        <w:pStyle w:val="4"/>
        <w:keepNext w:val="0"/>
        <w:keepLines w:val="0"/>
        <w:spacing w:line="400" w:lineRule="exact"/>
        <w:jc w:val="center"/>
        <w:rPr>
          <w:rFonts w:hint="eastAsia" w:ascii="宋体" w:hAnsi="宋体" w:eastAsia="宋体" w:cs="宋体"/>
          <w:color w:val="auto"/>
          <w:highlight w:val="none"/>
        </w:rPr>
      </w:pPr>
      <w:bookmarkStart w:id="89" w:name="_Toc254970675"/>
      <w:bookmarkStart w:id="90" w:name="_Toc254970534"/>
      <w:bookmarkStart w:id="91" w:name="_Toc9988"/>
      <w:r>
        <w:rPr>
          <w:rFonts w:hint="eastAsia" w:ascii="宋体" w:hAnsi="宋体" w:eastAsia="宋体" w:cs="宋体"/>
          <w:color w:val="auto"/>
          <w:highlight w:val="none"/>
        </w:rPr>
        <w:t>二、招标文件</w:t>
      </w:r>
      <w:bookmarkEnd w:id="89"/>
      <w:bookmarkEnd w:id="90"/>
      <w:bookmarkEnd w:id="91"/>
    </w:p>
    <w:p w14:paraId="646E6A7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10.招标文件的组成</w:t>
      </w:r>
    </w:p>
    <w:p w14:paraId="12125DB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第一章 招标公告；</w:t>
      </w:r>
    </w:p>
    <w:p w14:paraId="6AE7DC5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第二章 采购需求； </w:t>
      </w:r>
    </w:p>
    <w:p w14:paraId="2697BD2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第三章 投标人须知；</w:t>
      </w:r>
    </w:p>
    <w:p w14:paraId="2EEB22B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第四章 评标方法及评标标准；</w:t>
      </w:r>
    </w:p>
    <w:p w14:paraId="01B94CF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第五章 拟签订的合同文本；</w:t>
      </w:r>
    </w:p>
    <w:p w14:paraId="32FD909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第六章 投标文件格式；</w:t>
      </w:r>
    </w:p>
    <w:p w14:paraId="5EE6155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第七章 质疑、投诉材料格式</w:t>
      </w:r>
    </w:p>
    <w:p w14:paraId="3D0DEC2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根据本章第11.1项的规定对公开招标文件所做的澄清、修改，构成招标文件的组成部分。当公开招标文件与招标文件的澄清和修改就同一内容的表述不一致时，以最后澄清或修改公告为准。</w:t>
      </w:r>
    </w:p>
    <w:p w14:paraId="3569AF9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11.招标文件的澄清、修改 、现场考察和答疑会</w:t>
      </w:r>
    </w:p>
    <w:p w14:paraId="617FF20E">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 xml:space="preserve"> 11.1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14:paraId="3FC042DB">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11.2 投标人应认真审阅本公开招标文件，如有疑问，或发现其中有误或有要求不合理的，应在投标人须知前附表规定的</w:t>
      </w:r>
      <w:r>
        <w:rPr>
          <w:rFonts w:hint="eastAsia" w:ascii="宋体" w:hAnsi="宋体" w:eastAsia="宋体" w:cs="宋体"/>
          <w:color w:val="auto"/>
          <w:kern w:val="0"/>
          <w:szCs w:val="21"/>
          <w:highlight w:val="none"/>
        </w:rPr>
        <w:t>投标截止时间</w:t>
      </w:r>
      <w:r>
        <w:rPr>
          <w:rFonts w:hint="eastAsia" w:ascii="宋体" w:hAnsi="宋体" w:eastAsia="宋体" w:cs="宋体"/>
          <w:color w:val="auto"/>
          <w:highlight w:val="none"/>
        </w:rPr>
        <w:t>前以书面形式要求采购人或采购代理机构对招标文件予以澄清；否则，由此产生的后果由投标人自行负责。</w:t>
      </w:r>
    </w:p>
    <w:p w14:paraId="0D79696D">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11.3 采购人或者采购代理机构可以对已发出的招标文件进行必要的澄清或者修改。澄清或者修改的内容可能影响投标文件编制的，采购人或者采购代理机构应当在投标截止时间至少15日前，以书面形式通知</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在“</w:t>
      </w:r>
      <w:r>
        <w:rPr>
          <w:rFonts w:hint="eastAsia" w:ascii="宋体" w:hAnsi="宋体" w:eastAsia="宋体" w:cs="宋体"/>
          <w:color w:val="auto"/>
          <w:szCs w:val="21"/>
          <w:highlight w:val="none"/>
        </w:rPr>
        <w:t>投标人须知前附表”</w:t>
      </w:r>
      <w:r>
        <w:rPr>
          <w:rFonts w:hint="eastAsia" w:ascii="宋体" w:hAnsi="宋体" w:eastAsia="宋体" w:cs="宋体"/>
          <w:color w:val="auto"/>
          <w:highlight w:val="none"/>
        </w:rPr>
        <w:t>规定的政府采购信息发布媒体上发布更正公告及平台短信通知</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所有获取招标文件的潜在投标人；不足15日的，采购人或者采购代理机构应当顺延提交投标文件的截止时间。发出的澄清或者修改不影响投标文件编制的也应在截标前3日发出。</w:t>
      </w:r>
    </w:p>
    <w:p w14:paraId="3F962735">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11.4 采购人和采购代理机构可以视采购具体情况，变更投标截止时间和开标时间，将变更时间将在“</w:t>
      </w:r>
      <w:r>
        <w:rPr>
          <w:rFonts w:hint="eastAsia" w:ascii="宋体" w:hAnsi="宋体" w:eastAsia="宋体" w:cs="宋体"/>
          <w:color w:val="auto"/>
          <w:szCs w:val="21"/>
          <w:highlight w:val="none"/>
        </w:rPr>
        <w:t>投标人须知前附表”</w:t>
      </w:r>
      <w:r>
        <w:rPr>
          <w:rFonts w:hint="eastAsia" w:ascii="宋体" w:hAnsi="宋体" w:eastAsia="宋体" w:cs="宋体"/>
          <w:color w:val="auto"/>
          <w:kern w:val="0"/>
          <w:szCs w:val="21"/>
          <w:highlight w:val="none"/>
        </w:rPr>
        <w:t>规定的政府采购信息发布媒体上</w:t>
      </w:r>
      <w:r>
        <w:rPr>
          <w:rFonts w:hint="eastAsia" w:ascii="宋体" w:hAnsi="宋体" w:eastAsia="宋体" w:cs="宋体"/>
          <w:color w:val="auto"/>
          <w:highlight w:val="none"/>
        </w:rPr>
        <w:t>发布更正公告。</w:t>
      </w:r>
    </w:p>
    <w:p w14:paraId="7C2928DA">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w:t>
      </w:r>
      <w:bookmarkStart w:id="92" w:name="_Hlk53134511"/>
      <w:r>
        <w:rPr>
          <w:rFonts w:hint="eastAsia" w:ascii="宋体" w:hAnsi="宋体" w:eastAsia="宋体" w:cs="宋体"/>
          <w:color w:val="auto"/>
          <w:highlight w:val="none"/>
        </w:rPr>
        <w:t>5采购人或者采购代理机构可以在招标文件提供期限截止后，组织已获取招标文件的潜在投标人现场考察或者召开开标前答疑会，具体详见“投标人须知前附表”。</w:t>
      </w:r>
    </w:p>
    <w:bookmarkEnd w:id="92"/>
    <w:p w14:paraId="65E5D49A">
      <w:pPr>
        <w:pStyle w:val="4"/>
        <w:keepNext w:val="0"/>
        <w:keepLines w:val="0"/>
        <w:spacing w:line="400" w:lineRule="exact"/>
        <w:jc w:val="center"/>
        <w:rPr>
          <w:rFonts w:hint="eastAsia" w:ascii="宋体" w:hAnsi="宋体" w:eastAsia="宋体" w:cs="宋体"/>
          <w:color w:val="auto"/>
          <w:highlight w:val="none"/>
        </w:rPr>
      </w:pPr>
      <w:bookmarkStart w:id="93" w:name="_Toc12080"/>
      <w:bookmarkStart w:id="94" w:name="_Toc254970676"/>
      <w:bookmarkStart w:id="95" w:name="_Toc254970535"/>
      <w:r>
        <w:rPr>
          <w:rFonts w:hint="eastAsia" w:ascii="宋体" w:hAnsi="宋体" w:eastAsia="宋体" w:cs="宋体"/>
          <w:color w:val="auto"/>
          <w:highlight w:val="none"/>
        </w:rPr>
        <w:t>三、投标文件的编制</w:t>
      </w:r>
      <w:bookmarkEnd w:id="93"/>
      <w:bookmarkEnd w:id="94"/>
      <w:bookmarkEnd w:id="95"/>
    </w:p>
    <w:p w14:paraId="46509399">
      <w:pPr>
        <w:spacing w:line="360" w:lineRule="auto"/>
        <w:ind w:firstLine="480" w:firstLineChars="200"/>
        <w:rPr>
          <w:rFonts w:hint="eastAsia" w:ascii="宋体" w:hAnsi="宋体" w:eastAsia="宋体" w:cs="宋体"/>
          <w:color w:val="auto"/>
          <w:sz w:val="24"/>
          <w:highlight w:val="none"/>
        </w:rPr>
      </w:pPr>
      <w:bookmarkStart w:id="96" w:name="_Toc254970677"/>
      <w:bookmarkStart w:id="97" w:name="_Toc254970536"/>
      <w:r>
        <w:rPr>
          <w:rFonts w:hint="eastAsia" w:ascii="宋体" w:hAnsi="宋体" w:eastAsia="宋体" w:cs="宋体"/>
          <w:color w:val="auto"/>
          <w:sz w:val="24"/>
          <w:highlight w:val="none"/>
        </w:rPr>
        <w:t>12.投标文件的编制原则</w:t>
      </w:r>
    </w:p>
    <w:p w14:paraId="11D0F14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12.1投标人必须按照招标文件的要求编制投标文件。投标文件必须对招标文件提出的要求和条件作出明确响应。</w:t>
      </w:r>
    </w:p>
    <w:p w14:paraId="41624F3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12.2投标人应根据自身实际情况如实响应招标文件，不得仅将招标文件内容简单复制粘贴作为投标响应，还应当提供相关证明材料，否则将作无效响应处理（定制采购项目不适用本条款）。对于重要技术条款或技术参数应当在投标文件中提供技术支持资料，技术支持资料以招标文件中规定的形式为准，否则将视为无效技术支持资料。</w:t>
      </w:r>
    </w:p>
    <w:p w14:paraId="5BF8B68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13.投标文件的组成</w:t>
      </w:r>
      <w:bookmarkEnd w:id="96"/>
      <w:bookmarkEnd w:id="97"/>
    </w:p>
    <w:p w14:paraId="49144AB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13.1投标文件由报价文件、资格证明文件、商务文件、技术文件四部分组成。</w:t>
      </w:r>
    </w:p>
    <w:p w14:paraId="2627259C">
      <w:pPr>
        <w:spacing w:line="360" w:lineRule="auto"/>
        <w:ind w:firstLine="420" w:firstLineChars="200"/>
        <w:rPr>
          <w:rFonts w:hint="eastAsia" w:ascii="宋体" w:hAnsi="宋体" w:eastAsia="宋体" w:cs="宋体"/>
          <w:bCs/>
          <w:color w:val="auto"/>
          <w:szCs w:val="21"/>
          <w:highlight w:val="none"/>
        </w:rPr>
      </w:pPr>
      <w:bookmarkStart w:id="98" w:name="_13.1报价文件:_具体材料见“投标人须知前附表”。"/>
      <w:bookmarkEnd w:id="98"/>
      <w:bookmarkStart w:id="99" w:name="_13.2资格证明文件：具体材料见“投标人须知前附表”。"/>
      <w:bookmarkEnd w:id="99"/>
      <w:r>
        <w:rPr>
          <w:rFonts w:hint="eastAsia" w:ascii="宋体" w:hAnsi="宋体" w:eastAsia="宋体" w:cs="宋体"/>
          <w:bCs/>
          <w:color w:val="auto"/>
          <w:szCs w:val="21"/>
          <w:highlight w:val="none"/>
        </w:rPr>
        <w:t>（1）资格证明文件：具体材料见“投标人须知前附表”。</w:t>
      </w:r>
    </w:p>
    <w:p w14:paraId="13F4168F">
      <w:pPr>
        <w:spacing w:line="360" w:lineRule="auto"/>
        <w:ind w:firstLine="420" w:firstLineChars="200"/>
        <w:rPr>
          <w:rFonts w:hint="eastAsia" w:ascii="宋体" w:hAnsi="宋体" w:eastAsia="宋体" w:cs="宋体"/>
          <w:bCs/>
          <w:color w:val="auto"/>
          <w:szCs w:val="21"/>
          <w:highlight w:val="none"/>
        </w:rPr>
      </w:pPr>
      <w:bookmarkStart w:id="100" w:name="_13.3商务文件:_具体材料见“投标人须知前附表”。"/>
      <w:bookmarkEnd w:id="100"/>
      <w:r>
        <w:rPr>
          <w:rFonts w:hint="eastAsia" w:ascii="宋体" w:hAnsi="宋体" w:eastAsia="宋体" w:cs="宋体"/>
          <w:bCs/>
          <w:color w:val="auto"/>
          <w:szCs w:val="21"/>
          <w:highlight w:val="none"/>
        </w:rPr>
        <w:t>（2）商务文件：具体材料见“投标人须知前附表”。</w:t>
      </w:r>
    </w:p>
    <w:p w14:paraId="209B93F9">
      <w:pPr>
        <w:spacing w:line="360" w:lineRule="auto"/>
        <w:ind w:firstLine="420" w:firstLineChars="200"/>
        <w:rPr>
          <w:rFonts w:hint="eastAsia" w:ascii="宋体" w:hAnsi="宋体" w:eastAsia="宋体" w:cs="宋体"/>
          <w:bCs/>
          <w:color w:val="auto"/>
          <w:szCs w:val="21"/>
          <w:highlight w:val="none"/>
        </w:rPr>
      </w:pPr>
      <w:bookmarkStart w:id="101" w:name="_13.4技术文件：具体材料见“投标人须知前附表”。"/>
      <w:bookmarkEnd w:id="101"/>
      <w:r>
        <w:rPr>
          <w:rFonts w:hint="eastAsia" w:ascii="宋体" w:hAnsi="宋体" w:eastAsia="宋体" w:cs="宋体"/>
          <w:bCs/>
          <w:color w:val="auto"/>
          <w:szCs w:val="21"/>
          <w:highlight w:val="none"/>
        </w:rPr>
        <w:t xml:space="preserve">（3）技术文件：具体材料见“投标人须知前附表”。 </w:t>
      </w:r>
    </w:p>
    <w:p w14:paraId="6436CE7D">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（4）报价文件： 具体材料见“投标人须知前附表”。</w:t>
      </w:r>
    </w:p>
    <w:p w14:paraId="37EC4E94">
      <w:pPr>
        <w:spacing w:line="360" w:lineRule="auto"/>
        <w:ind w:firstLine="420" w:firstLineChars="200"/>
        <w:rPr>
          <w:rFonts w:hint="eastAsia" w:ascii="宋体" w:hAnsi="宋体" w:eastAsia="宋体" w:cs="宋体"/>
          <w:bCs/>
          <w:color w:val="auto"/>
          <w:szCs w:val="21"/>
          <w:highlight w:val="none"/>
        </w:rPr>
      </w:pPr>
      <w:bookmarkStart w:id="102" w:name="_13.5投标文件电子版：具体材料见“投标人须知前附表”。"/>
      <w:bookmarkEnd w:id="102"/>
      <w:r>
        <w:rPr>
          <w:rFonts w:hint="eastAsia" w:ascii="宋体" w:hAnsi="宋体" w:eastAsia="宋体" w:cs="宋体"/>
          <w:bCs/>
          <w:color w:val="auto"/>
          <w:szCs w:val="21"/>
          <w:highlight w:val="none"/>
        </w:rPr>
        <w:t>13.2投标文件电子版：具体要求见本节19.投标文件编制。</w:t>
      </w:r>
    </w:p>
    <w:p w14:paraId="0C29DDE4">
      <w:pPr>
        <w:spacing w:line="360" w:lineRule="auto"/>
        <w:ind w:firstLine="480" w:firstLineChars="200"/>
        <w:rPr>
          <w:rFonts w:hint="eastAsia" w:ascii="宋体" w:hAnsi="宋体" w:eastAsia="宋体" w:cs="宋体"/>
          <w:color w:val="auto"/>
          <w:sz w:val="24"/>
          <w:highlight w:val="none"/>
        </w:rPr>
      </w:pPr>
      <w:bookmarkStart w:id="103" w:name="_Toc254970678"/>
      <w:bookmarkStart w:id="104" w:name="_Toc254970537"/>
      <w:r>
        <w:rPr>
          <w:rFonts w:hint="eastAsia" w:ascii="宋体" w:hAnsi="宋体" w:eastAsia="宋体" w:cs="宋体"/>
          <w:color w:val="auto"/>
          <w:sz w:val="24"/>
          <w:highlight w:val="none"/>
        </w:rPr>
        <w:t>14.投标文件的语言及计量</w:t>
      </w:r>
      <w:bookmarkEnd w:id="103"/>
      <w:bookmarkEnd w:id="104"/>
    </w:p>
    <w:p w14:paraId="0CDE86AC">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14.1语言文字</w:t>
      </w:r>
    </w:p>
    <w:p w14:paraId="781D4C42">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14:paraId="3A56B1B1">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14.2投标计量单位</w:t>
      </w:r>
    </w:p>
    <w:p w14:paraId="22A7E5FF">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招标文件已有明确规定的，使用招标文件规定的计量单位；招标文件没有规定的，应采用中华人民共和国法定计量单位，货币种类为人民币，否则视同未响应。</w:t>
      </w:r>
    </w:p>
    <w:p w14:paraId="49A5996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15.投标的风险</w:t>
      </w:r>
    </w:p>
    <w:p w14:paraId="38C69A4B">
      <w:pPr>
        <w:spacing w:line="360" w:lineRule="auto"/>
        <w:ind w:firstLine="420" w:firstLineChars="200"/>
        <w:rPr>
          <w:rFonts w:hint="eastAsia" w:ascii="宋体" w:hAnsi="宋体" w:eastAsia="宋体" w:cs="宋体"/>
          <w:b/>
          <w:bCs/>
          <w:color w:val="auto"/>
          <w:highlight w:val="none"/>
        </w:rPr>
      </w:pPr>
      <w:r>
        <w:rPr>
          <w:rFonts w:hint="eastAsia" w:ascii="宋体" w:hAnsi="宋体" w:eastAsia="宋体" w:cs="宋体"/>
          <w:color w:val="auto"/>
          <w:highlight w:val="none"/>
        </w:rPr>
        <w:t>投标文件分为资格文件、商务文件、技术文件、报价文件四部分（其中：商务文件与技术文件合并编辑成一个电子文档）。各投标人在编制投标文件时请按照招标文件规定的格式进行，混乱的编排导致投标文件被误读或评标委员会查找不到有效文件是投标人的风险。▲</w:t>
      </w:r>
      <w:r>
        <w:rPr>
          <w:rFonts w:hint="eastAsia" w:ascii="宋体" w:hAnsi="宋体" w:eastAsia="宋体" w:cs="宋体"/>
          <w:b/>
          <w:bCs/>
          <w:color w:val="auto"/>
          <w:highlight w:val="none"/>
        </w:rPr>
        <w:t>投标文件未按规定的格式编制的、没有按照招标文件要求提供全部资料、没有对招标文件作出实质性响应，投标无效；</w:t>
      </w:r>
    </w:p>
    <w:p w14:paraId="01AABBB8">
      <w:pPr>
        <w:spacing w:line="360" w:lineRule="auto"/>
        <w:ind w:firstLine="480" w:firstLineChars="200"/>
        <w:rPr>
          <w:rFonts w:hint="eastAsia" w:ascii="宋体" w:hAnsi="宋体" w:eastAsia="宋体" w:cs="宋体"/>
          <w:color w:val="auto"/>
          <w:sz w:val="24"/>
          <w:highlight w:val="none"/>
        </w:rPr>
      </w:pPr>
      <w:bookmarkStart w:id="105" w:name="_Toc254970679"/>
      <w:bookmarkStart w:id="106" w:name="_Toc254970538"/>
      <w:r>
        <w:rPr>
          <w:rFonts w:hint="eastAsia" w:ascii="宋体" w:hAnsi="宋体" w:eastAsia="宋体" w:cs="宋体"/>
          <w:color w:val="auto"/>
          <w:sz w:val="24"/>
          <w:highlight w:val="none"/>
        </w:rPr>
        <w:t>16.投标报价</w:t>
      </w:r>
      <w:bookmarkEnd w:id="105"/>
      <w:bookmarkEnd w:id="106"/>
    </w:p>
    <w:p w14:paraId="5A47AA89">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16.1投标报价应</w:t>
      </w:r>
      <w:r>
        <w:rPr>
          <w:rFonts w:hint="eastAsia" w:ascii="宋体" w:hAnsi="宋体" w:eastAsia="宋体" w:cs="宋体"/>
          <w:bCs/>
          <w:color w:val="auto"/>
          <w:szCs w:val="20"/>
          <w:highlight w:val="none"/>
        </w:rPr>
        <w:t>按“第六章　投标文件格式”中“开标一览表”格式填写。</w:t>
      </w:r>
    </w:p>
    <w:p w14:paraId="7BE1CD0D">
      <w:pPr>
        <w:spacing w:line="360" w:lineRule="auto"/>
        <w:ind w:firstLine="420" w:firstLineChars="200"/>
        <w:rPr>
          <w:rFonts w:hint="eastAsia" w:ascii="宋体" w:hAnsi="宋体" w:eastAsia="宋体" w:cs="宋体"/>
          <w:bCs/>
          <w:color w:val="auto"/>
          <w:szCs w:val="21"/>
          <w:highlight w:val="none"/>
        </w:rPr>
      </w:pPr>
      <w:bookmarkStart w:id="107" w:name="_16.2投标报价具体定义见投标人须知前附表。"/>
      <w:bookmarkEnd w:id="107"/>
      <w:r>
        <w:rPr>
          <w:rFonts w:hint="eastAsia" w:ascii="宋体" w:hAnsi="宋体" w:eastAsia="宋体" w:cs="宋体"/>
          <w:bCs/>
          <w:color w:val="auto"/>
          <w:szCs w:val="21"/>
          <w:highlight w:val="none"/>
        </w:rPr>
        <w:t>16.2投标报价具体包括内容详见“投标人须知前附表”。</w:t>
      </w:r>
    </w:p>
    <w:p w14:paraId="0D6CBDD5">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16.3投标人必须就所投每个分标的全部内容分别作完整唯一总价报价，不得存在漏项报价；投标人必须就所投分标的单项内容作唯一报价。</w:t>
      </w:r>
    </w:p>
    <w:p w14:paraId="2005EEC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17.投标有效期</w:t>
      </w:r>
    </w:p>
    <w:p w14:paraId="5818953F">
      <w:pPr>
        <w:spacing w:line="360" w:lineRule="auto"/>
        <w:ind w:firstLine="420" w:firstLineChars="200"/>
        <w:rPr>
          <w:rFonts w:hint="eastAsia" w:ascii="宋体" w:hAnsi="宋体" w:eastAsia="宋体" w:cs="宋体"/>
          <w:bCs/>
          <w:color w:val="auto"/>
          <w:szCs w:val="21"/>
          <w:highlight w:val="none"/>
        </w:rPr>
      </w:pPr>
      <w:bookmarkStart w:id="108" w:name="_17.1投标有效期应按“投标人须知中的前附表”规定的期限。"/>
      <w:bookmarkEnd w:id="108"/>
      <w:r>
        <w:rPr>
          <w:rFonts w:hint="eastAsia" w:ascii="宋体" w:hAnsi="宋体" w:eastAsia="宋体" w:cs="宋体"/>
          <w:bCs/>
          <w:color w:val="auto"/>
          <w:szCs w:val="21"/>
          <w:highlight w:val="none"/>
        </w:rPr>
        <w:t>17.1投标有效期是指为保证采购人有足够的时间在开标后完成评标、定标、合同签订等工作而要求投标人提交的投标文件在一定时间内保持有效的期限。</w:t>
      </w:r>
    </w:p>
    <w:p w14:paraId="667D8B54">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17.2</w:t>
      </w:r>
      <w:bookmarkStart w:id="109" w:name="_Toc254970681"/>
      <w:bookmarkStart w:id="110" w:name="_Toc254970540"/>
      <w:r>
        <w:rPr>
          <w:rFonts w:hint="eastAsia" w:ascii="宋体" w:hAnsi="宋体" w:eastAsia="宋体" w:cs="宋体"/>
          <w:bCs/>
          <w:color w:val="auto"/>
          <w:szCs w:val="21"/>
          <w:highlight w:val="none"/>
        </w:rPr>
        <w:t xml:space="preserve"> 投标有效期应按规定的期限作出承诺，具体详见“投标人须知前附表”。</w:t>
      </w:r>
    </w:p>
    <w:p w14:paraId="333A1920">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17.3投标人的投标文件在投标有效期内均保持有效。</w:t>
      </w:r>
      <w:bookmarkEnd w:id="109"/>
      <w:bookmarkEnd w:id="110"/>
    </w:p>
    <w:p w14:paraId="4F52512C">
      <w:pPr>
        <w:spacing w:line="360" w:lineRule="auto"/>
        <w:ind w:firstLine="480" w:firstLineChars="200"/>
        <w:rPr>
          <w:rFonts w:hint="eastAsia" w:ascii="宋体" w:hAnsi="宋体" w:eastAsia="宋体" w:cs="宋体"/>
          <w:color w:val="auto"/>
          <w:sz w:val="24"/>
          <w:highlight w:val="none"/>
        </w:rPr>
      </w:pPr>
      <w:bookmarkStart w:id="111" w:name="_18.投标保证金"/>
      <w:bookmarkEnd w:id="111"/>
      <w:bookmarkStart w:id="112" w:name="_Toc254970682"/>
      <w:bookmarkStart w:id="113" w:name="_Toc254970541"/>
      <w:r>
        <w:rPr>
          <w:rFonts w:hint="eastAsia" w:ascii="宋体" w:hAnsi="宋体" w:eastAsia="宋体" w:cs="宋体"/>
          <w:color w:val="auto"/>
          <w:sz w:val="24"/>
          <w:highlight w:val="none"/>
        </w:rPr>
        <w:t>18.投标保证金</w:t>
      </w:r>
      <w:bookmarkEnd w:id="112"/>
      <w:bookmarkEnd w:id="113"/>
    </w:p>
    <w:p w14:paraId="38359578">
      <w:pPr>
        <w:spacing w:line="360" w:lineRule="auto"/>
        <w:ind w:firstLine="420" w:firstLineChars="200"/>
        <w:rPr>
          <w:rFonts w:hint="eastAsia" w:ascii="宋体" w:hAnsi="宋体" w:eastAsia="宋体" w:cs="宋体"/>
          <w:color w:val="auto"/>
          <w:szCs w:val="21"/>
          <w:highlight w:val="none"/>
        </w:rPr>
      </w:pPr>
      <w:bookmarkStart w:id="114" w:name="_Toc254970542"/>
      <w:bookmarkStart w:id="115" w:name="_Toc254970683"/>
      <w:r>
        <w:rPr>
          <w:rFonts w:hint="eastAsia" w:ascii="宋体" w:hAnsi="宋体" w:eastAsia="宋体" w:cs="宋体"/>
          <w:color w:val="auto"/>
          <w:szCs w:val="21"/>
          <w:highlight w:val="none"/>
        </w:rPr>
        <w:t>见“投标人须知前附表”。</w:t>
      </w:r>
    </w:p>
    <w:p w14:paraId="76C93E2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19.投标文件的</w:t>
      </w:r>
      <w:bookmarkEnd w:id="114"/>
      <w:bookmarkEnd w:id="115"/>
      <w:r>
        <w:rPr>
          <w:rFonts w:hint="eastAsia" w:ascii="宋体" w:hAnsi="宋体" w:eastAsia="宋体" w:cs="宋体"/>
          <w:color w:val="auto"/>
          <w:sz w:val="24"/>
          <w:highlight w:val="none"/>
        </w:rPr>
        <w:t>编制</w:t>
      </w:r>
    </w:p>
    <w:p w14:paraId="459626AA">
      <w:pPr>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 xml:space="preserve"> </w:t>
      </w:r>
      <w:r>
        <w:rPr>
          <w:rFonts w:hint="eastAsia" w:ascii="宋体" w:hAnsi="宋体" w:eastAsia="宋体" w:cs="宋体"/>
          <w:color w:val="auto"/>
          <w:szCs w:val="21"/>
          <w:highlight w:val="none"/>
        </w:rPr>
        <w:t>19.1投标文件编制要求详见“投标人须知前附表”。投标人应按本招标文件规定的格式和顺序编制、装订投标文件并标注页码，投标文件内容不完整、编排混乱导致投标文件被误读、漏读或者查找不到相关内容的，由此引发的后果由投标人承担。</w:t>
      </w:r>
      <w:bookmarkStart w:id="116" w:name="_19.2投标文件应按报价文件、资格证明文件、商务文件、技术文件分别编制"/>
      <w:bookmarkEnd w:id="116"/>
      <w:r>
        <w:rPr>
          <w:rFonts w:hint="eastAsia" w:ascii="宋体" w:hAnsi="宋体" w:eastAsia="宋体" w:cs="宋体"/>
          <w:color w:val="auto"/>
          <w:szCs w:val="21"/>
          <w:highlight w:val="none"/>
        </w:rPr>
        <w:t xml:space="preserve"> </w:t>
      </w:r>
    </w:p>
    <w:p w14:paraId="5EF383BB">
      <w:pPr>
        <w:pStyle w:val="33"/>
        <w:snapToGrid w:val="0"/>
        <w:spacing w:before="0"/>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19.2投标文件按照招标文件第六章格式要求在规定位置进行签署、盖章。投标人的投标文件未按照招标文件要求签署、盖章的，</w:t>
      </w:r>
      <w:r>
        <w:rPr>
          <w:rFonts w:hint="eastAsia" w:ascii="宋体" w:hAnsi="宋体" w:eastAsia="宋体" w:cs="宋体"/>
          <w:b/>
          <w:color w:val="auto"/>
          <w:sz w:val="21"/>
          <w:szCs w:val="21"/>
          <w:highlight w:val="none"/>
        </w:rPr>
        <w:t>其投标无效。</w:t>
      </w:r>
      <w:r>
        <w:rPr>
          <w:rFonts w:hint="eastAsia" w:ascii="宋体" w:hAnsi="宋体" w:eastAsia="宋体" w:cs="宋体"/>
          <w:color w:val="auto"/>
          <w:sz w:val="21"/>
          <w:szCs w:val="21"/>
          <w:highlight w:val="none"/>
        </w:rPr>
        <w:t>骑缝盖公章不视为在规定位置盖章。</w:t>
      </w:r>
    </w:p>
    <w:p w14:paraId="028E2F38">
      <w:pPr>
        <w:pStyle w:val="33"/>
        <w:snapToGrid w:val="0"/>
        <w:spacing w:before="0"/>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19.3为确保网上操作合法、有效和安全，投标人应当在投标截止时间前完成在</w:t>
      </w:r>
      <w:r>
        <w:rPr>
          <w:rFonts w:hint="eastAsia" w:ascii="宋体" w:hAnsi="宋体" w:cs="宋体"/>
          <w:color w:val="auto"/>
          <w:sz w:val="21"/>
          <w:szCs w:val="21"/>
          <w:highlight w:val="none"/>
          <w:lang w:eastAsia="zh-CN"/>
        </w:rPr>
        <w:t>广西政府采购云平台</w:t>
      </w:r>
      <w:r>
        <w:rPr>
          <w:rFonts w:hint="eastAsia" w:ascii="宋体" w:hAnsi="宋体" w:eastAsia="宋体" w:cs="宋体"/>
          <w:color w:val="auto"/>
          <w:sz w:val="21"/>
          <w:szCs w:val="21"/>
          <w:highlight w:val="none"/>
        </w:rPr>
        <w:t>的身份认证，确保在电子投标过程中能够对相关数据电文进行加密和使用电子签名。</w:t>
      </w:r>
    </w:p>
    <w:p w14:paraId="026DCC1D">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19.4投标文件中标注的投标人名称应与主体资格证明（如营业执照、事业单位法人证书、执业许可证、自然人身份证等）及公章一致，</w:t>
      </w:r>
      <w:r>
        <w:rPr>
          <w:rFonts w:hint="eastAsia" w:ascii="宋体" w:hAnsi="宋体" w:eastAsia="宋体" w:cs="宋体"/>
          <w:color w:val="auto"/>
          <w:szCs w:val="21"/>
          <w:highlight w:val="none"/>
        </w:rPr>
        <w:t>否则作无效投标处理</w:t>
      </w:r>
      <w:r>
        <w:rPr>
          <w:rFonts w:hint="eastAsia" w:ascii="宋体" w:hAnsi="宋体" w:eastAsia="宋体" w:cs="宋体"/>
          <w:b/>
          <w:color w:val="auto"/>
          <w:szCs w:val="21"/>
          <w:highlight w:val="none"/>
        </w:rPr>
        <w:t>。</w:t>
      </w:r>
    </w:p>
    <w:p w14:paraId="6487020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19.5投标文件应避免涂改、行间插字或者删除，</w:t>
      </w:r>
      <w:r>
        <w:rPr>
          <w:rFonts w:hint="eastAsia" w:ascii="宋体" w:hAnsi="宋体" w:eastAsia="宋体" w:cs="宋体"/>
          <w:b/>
          <w:color w:val="auto"/>
          <w:szCs w:val="21"/>
          <w:highlight w:val="none"/>
        </w:rPr>
        <w:t>否则其投标无效。</w:t>
      </w:r>
    </w:p>
    <w:p w14:paraId="77BAC7F1">
      <w:pPr>
        <w:spacing w:line="360" w:lineRule="auto"/>
        <w:ind w:firstLine="525" w:firstLineChars="250"/>
        <w:rPr>
          <w:rFonts w:hint="eastAsia" w:ascii="宋体" w:hAnsi="宋体" w:eastAsia="宋体" w:cs="宋体"/>
          <w:color w:val="auto"/>
          <w:highlight w:val="none"/>
        </w:rPr>
      </w:pPr>
      <w:r>
        <w:rPr>
          <w:rFonts w:hint="eastAsia" w:ascii="宋体" w:hAnsi="宋体" w:eastAsia="宋体" w:cs="宋体"/>
          <w:color w:val="auto"/>
          <w:highlight w:val="none"/>
        </w:rPr>
        <w:t>19.6 对招标文件的实质性要求和条件作出响应是指投标人必须对招标文件中标注为实质性要求和条件的</w:t>
      </w:r>
      <w:r>
        <w:rPr>
          <w:rFonts w:hint="eastAsia" w:ascii="宋体" w:hAnsi="宋体" w:eastAsia="宋体" w:cs="宋体"/>
          <w:color w:val="auto"/>
          <w:szCs w:val="21"/>
          <w:highlight w:val="none"/>
        </w:rPr>
        <w:t>服务内容及要求</w:t>
      </w:r>
      <w:r>
        <w:rPr>
          <w:rFonts w:hint="eastAsia" w:ascii="宋体" w:hAnsi="宋体" w:eastAsia="宋体" w:cs="宋体"/>
          <w:color w:val="auto"/>
          <w:highlight w:val="none"/>
        </w:rPr>
        <w:t>、商务条款及其它内容</w:t>
      </w:r>
      <w:r>
        <w:rPr>
          <w:rFonts w:hint="eastAsia" w:ascii="宋体" w:hAnsi="宋体" w:eastAsia="宋体" w:cs="宋体"/>
          <w:b/>
          <w:color w:val="auto"/>
          <w:highlight w:val="none"/>
        </w:rPr>
        <w:t>作出满足或者优于原要求和条件的承诺</w:t>
      </w:r>
      <w:r>
        <w:rPr>
          <w:rFonts w:hint="eastAsia" w:ascii="宋体" w:hAnsi="宋体" w:eastAsia="宋体" w:cs="宋体"/>
          <w:color w:val="auto"/>
          <w:highlight w:val="none"/>
        </w:rPr>
        <w:t>。</w:t>
      </w:r>
    </w:p>
    <w:p w14:paraId="6A5D8211">
      <w:pPr>
        <w:spacing w:line="360" w:lineRule="auto"/>
        <w:ind w:firstLine="422" w:firstLineChars="200"/>
        <w:rPr>
          <w:rFonts w:hint="eastAsia" w:ascii="宋体" w:hAnsi="宋体" w:eastAsia="宋体" w:cs="宋体"/>
          <w:b/>
          <w:color w:val="auto"/>
          <w:szCs w:val="21"/>
          <w:highlight w:val="none"/>
          <w:u w:val="single"/>
        </w:rPr>
      </w:pPr>
      <w:r>
        <w:rPr>
          <w:rFonts w:hint="eastAsia" w:ascii="宋体" w:hAnsi="宋体" w:eastAsia="宋体" w:cs="宋体"/>
          <w:b/>
          <w:color w:val="auto"/>
          <w:szCs w:val="21"/>
          <w:highlight w:val="none"/>
          <w:u w:val="single"/>
        </w:rPr>
        <w:t>19.7本项目为南宁市全流程电子化项目，异常情况见“第二节 投标人须知正文”中“四、24.2开标程序。</w:t>
      </w:r>
    </w:p>
    <w:p w14:paraId="253EE2A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20.备份投标文件</w:t>
      </w:r>
    </w:p>
    <w:p w14:paraId="439955A1">
      <w:pPr>
        <w:spacing w:line="360" w:lineRule="auto"/>
        <w:ind w:firstLine="420" w:firstLineChars="200"/>
        <w:rPr>
          <w:rFonts w:hint="eastAsia" w:ascii="宋体" w:hAnsi="宋体" w:eastAsia="宋体" w:cs="宋体"/>
          <w:color w:val="auto"/>
          <w:sz w:val="24"/>
          <w:highlight w:val="none"/>
        </w:rPr>
      </w:pPr>
      <w:r>
        <w:rPr>
          <w:rFonts w:hint="eastAsia" w:ascii="宋体" w:hAnsi="宋体" w:eastAsia="宋体" w:cs="宋体"/>
          <w:bCs/>
          <w:color w:val="auto"/>
          <w:szCs w:val="21"/>
          <w:highlight w:val="none"/>
        </w:rPr>
        <w:t>详见在“投标人须知前附表”。</w:t>
      </w:r>
    </w:p>
    <w:p w14:paraId="2F4C398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21.投标文件的提交</w:t>
      </w:r>
    </w:p>
    <w:p w14:paraId="1BBB2A4A">
      <w:pPr>
        <w:spacing w:line="360" w:lineRule="auto"/>
        <w:ind w:firstLine="420" w:firstLineChars="200"/>
        <w:rPr>
          <w:rFonts w:hint="eastAsia" w:ascii="宋体" w:hAnsi="宋体" w:eastAsia="宋体" w:cs="宋体"/>
          <w:b/>
          <w:color w:val="auto"/>
          <w:highlight w:val="none"/>
        </w:rPr>
      </w:pPr>
      <w:bookmarkStart w:id="117" w:name="_21.1投标人必须在“投标人须知中的前附表”规定的投标文件接收时间和投"/>
      <w:bookmarkEnd w:id="117"/>
      <w:r>
        <w:rPr>
          <w:rFonts w:hint="eastAsia" w:ascii="宋体" w:hAnsi="宋体" w:eastAsia="宋体" w:cs="宋体"/>
          <w:bCs/>
          <w:color w:val="auto"/>
          <w:szCs w:val="21"/>
          <w:highlight w:val="none"/>
        </w:rPr>
        <w:t>21.1投标人必须在“投标人须知前附表”规定的投标文件接收时间和投标地点提交电子版投标文件。电子投标文件应在制作完成后，在投标截止时间前通过有效数字证书（CA认证锁）进行电子签章、加密，然后通过网络将加密的电子投标文件递交至“南宁市</w:t>
      </w:r>
      <w:r>
        <w:rPr>
          <w:rFonts w:hint="eastAsia" w:ascii="宋体" w:hAnsi="宋体" w:cs="宋体"/>
          <w:bCs/>
          <w:color w:val="auto"/>
          <w:szCs w:val="21"/>
          <w:highlight w:val="none"/>
          <w:lang w:eastAsia="zh-CN"/>
        </w:rPr>
        <w:t>广西政府采购云平台</w:t>
      </w:r>
      <w:r>
        <w:rPr>
          <w:rFonts w:hint="eastAsia" w:ascii="宋体" w:hAnsi="宋体" w:eastAsia="宋体" w:cs="宋体"/>
          <w:bCs/>
          <w:color w:val="auto"/>
          <w:szCs w:val="21"/>
          <w:highlight w:val="none"/>
        </w:rPr>
        <w:t xml:space="preserve">平台”。 </w:t>
      </w:r>
      <w:r>
        <w:rPr>
          <w:rFonts w:hint="eastAsia" w:ascii="宋体" w:hAnsi="宋体" w:eastAsia="宋体" w:cs="宋体"/>
          <w:b/>
          <w:color w:val="auto"/>
          <w:highlight w:val="none"/>
        </w:rPr>
        <w:t xml:space="preserve"> </w:t>
      </w:r>
    </w:p>
    <w:p w14:paraId="320B97B1">
      <w:pPr>
        <w:spacing w:line="360" w:lineRule="auto"/>
        <w:ind w:firstLine="422" w:firstLineChars="200"/>
        <w:rPr>
          <w:rFonts w:hint="eastAsia" w:ascii="宋体" w:hAnsi="宋体" w:eastAsia="宋体" w:cs="宋体"/>
          <w:b/>
          <w:color w:val="auto"/>
          <w:szCs w:val="20"/>
          <w:highlight w:val="none"/>
        </w:rPr>
      </w:pPr>
      <w:r>
        <w:rPr>
          <w:rFonts w:hint="eastAsia" w:ascii="宋体" w:hAnsi="宋体" w:eastAsia="宋体" w:cs="宋体"/>
          <w:b/>
          <w:color w:val="auto"/>
          <w:szCs w:val="21"/>
          <w:highlight w:val="none"/>
        </w:rPr>
        <w:t>21.2未在规定时间内提交或者未按照招标文件要求密封或者标记的电子投标文件，</w:t>
      </w:r>
      <w:r>
        <w:rPr>
          <w:rFonts w:hint="eastAsia" w:ascii="宋体" w:hAnsi="宋体" w:cs="宋体"/>
          <w:b/>
          <w:color w:val="auto"/>
          <w:szCs w:val="21"/>
          <w:highlight w:val="none"/>
          <w:lang w:eastAsia="zh-CN"/>
        </w:rPr>
        <w:t>广西政府采购云平台</w:t>
      </w:r>
      <w:r>
        <w:rPr>
          <w:rFonts w:hint="eastAsia" w:ascii="宋体" w:hAnsi="宋体" w:eastAsia="宋体" w:cs="宋体"/>
          <w:b/>
          <w:color w:val="auto"/>
          <w:szCs w:val="21"/>
          <w:highlight w:val="none"/>
        </w:rPr>
        <w:t>将拒收。</w:t>
      </w:r>
    </w:p>
    <w:p w14:paraId="0E9B2DF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21.3电子版投标文件提交方式见“招标公告”中“四、提交投标文件截止时间、开标时间和地点”</w:t>
      </w:r>
      <w:r>
        <w:rPr>
          <w:rFonts w:hint="eastAsia" w:ascii="宋体" w:hAnsi="宋体" w:eastAsia="宋体" w:cs="宋体"/>
          <w:b/>
          <w:color w:val="auto"/>
          <w:szCs w:val="21"/>
          <w:highlight w:val="none"/>
        </w:rPr>
        <w:t xml:space="preserve"> 。</w:t>
      </w:r>
    </w:p>
    <w:p w14:paraId="5CF522C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 投标文件的补充、修改、撤回与退回</w:t>
      </w:r>
      <w:bookmarkStart w:id="118" w:name="_Toc254970684"/>
      <w:bookmarkStart w:id="119" w:name="_Toc254970543"/>
    </w:p>
    <w:p w14:paraId="3E275279">
      <w:pPr>
        <w:spacing w:line="360" w:lineRule="auto"/>
        <w:ind w:firstLine="420" w:firstLineChars="200"/>
        <w:rPr>
          <w:rFonts w:hint="eastAsia" w:ascii="宋体" w:hAnsi="宋体" w:eastAsia="宋体" w:cs="宋体"/>
          <w:color w:val="auto"/>
          <w:sz w:val="24"/>
          <w:highlight w:val="none"/>
        </w:rPr>
      </w:pPr>
      <w:r>
        <w:rPr>
          <w:rFonts w:hint="eastAsia" w:ascii="宋体" w:hAnsi="宋体" w:eastAsia="宋体" w:cs="宋体"/>
          <w:color w:val="auto"/>
          <w:szCs w:val="21"/>
          <w:highlight w:val="none"/>
        </w:rPr>
        <w:t>22.1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w:t>
      </w:r>
      <w:r>
        <w:rPr>
          <w:rFonts w:hint="eastAsia" w:ascii="宋体" w:hAnsi="宋体" w:cs="宋体"/>
          <w:color w:val="auto"/>
          <w:szCs w:val="21"/>
          <w:highlight w:val="none"/>
          <w:lang w:eastAsia="zh-CN"/>
        </w:rPr>
        <w:t>广西政府采购云平台</w:t>
      </w:r>
      <w:r>
        <w:rPr>
          <w:rFonts w:hint="eastAsia" w:ascii="宋体" w:hAnsi="宋体" w:eastAsia="宋体" w:cs="宋体"/>
          <w:color w:val="auto"/>
          <w:szCs w:val="21"/>
          <w:highlight w:val="none"/>
        </w:rPr>
        <w:t>将拒收。（补充、修改或者撤回方式见公告附件“电子投标文件制作与投送教程”）</w:t>
      </w:r>
    </w:p>
    <w:p w14:paraId="360E3A34">
      <w:pPr>
        <w:pStyle w:val="33"/>
        <w:spacing w:before="0"/>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22.2</w:t>
      </w:r>
      <w:r>
        <w:rPr>
          <w:rFonts w:hint="eastAsia" w:ascii="宋体" w:hAnsi="宋体" w:cs="宋体"/>
          <w:color w:val="auto"/>
          <w:sz w:val="21"/>
          <w:szCs w:val="21"/>
          <w:highlight w:val="none"/>
          <w:lang w:eastAsia="zh-CN"/>
        </w:rPr>
        <w:t>广西政府采购云平台</w:t>
      </w:r>
      <w:r>
        <w:rPr>
          <w:rFonts w:hint="eastAsia" w:ascii="宋体" w:hAnsi="宋体" w:eastAsia="宋体" w:cs="宋体"/>
          <w:color w:val="auto"/>
          <w:sz w:val="21"/>
          <w:szCs w:val="21"/>
          <w:highlight w:val="none"/>
        </w:rPr>
        <w:t>收到投标文件，将妥善保存并即时向供应商发出确认回执通知。在投标截止时间前，除供应商补充、修改或者撤回投标文件外，任何单位和个人不得解密或提取投标文件。</w:t>
      </w:r>
    </w:p>
    <w:bookmarkEnd w:id="118"/>
    <w:bookmarkEnd w:id="119"/>
    <w:p w14:paraId="2C80217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22.3在投标截止时间止提交电子版投标文件的投标人不足3家时，电子版投标文件由代理机构在</w:t>
      </w:r>
      <w:r>
        <w:rPr>
          <w:rFonts w:hint="eastAsia" w:ascii="宋体" w:hAnsi="宋体" w:cs="宋体"/>
          <w:color w:val="auto"/>
          <w:szCs w:val="21"/>
          <w:highlight w:val="none"/>
          <w:lang w:eastAsia="zh-CN"/>
        </w:rPr>
        <w:t>广西政府采购云平台</w:t>
      </w:r>
      <w:r>
        <w:rPr>
          <w:rFonts w:hint="eastAsia" w:ascii="宋体" w:hAnsi="宋体" w:eastAsia="宋体" w:cs="宋体"/>
          <w:color w:val="auto"/>
          <w:szCs w:val="21"/>
          <w:highlight w:val="none"/>
        </w:rPr>
        <w:t>操作退回，除此之外采购人和采购代理机构对已提交的投标文件概不退回。</w:t>
      </w:r>
    </w:p>
    <w:p w14:paraId="68015071">
      <w:pPr>
        <w:pStyle w:val="10"/>
        <w:snapToGrid w:val="0"/>
        <w:spacing w:line="400" w:lineRule="exact"/>
        <w:ind w:firstLine="739"/>
        <w:rPr>
          <w:rFonts w:hint="eastAsia" w:ascii="宋体" w:hAnsi="宋体" w:eastAsia="宋体" w:cs="宋体"/>
          <w:snapToGrid w:val="0"/>
          <w:color w:val="auto"/>
          <w:sz w:val="21"/>
          <w:szCs w:val="21"/>
          <w:highlight w:val="none"/>
        </w:rPr>
      </w:pPr>
    </w:p>
    <w:p w14:paraId="67D5DAEC">
      <w:pPr>
        <w:pStyle w:val="4"/>
        <w:keepNext w:val="0"/>
        <w:keepLines w:val="0"/>
        <w:spacing w:line="400" w:lineRule="exact"/>
        <w:jc w:val="center"/>
        <w:rPr>
          <w:rFonts w:hint="eastAsia" w:ascii="宋体" w:hAnsi="宋体" w:eastAsia="宋体" w:cs="宋体"/>
          <w:color w:val="auto"/>
          <w:highlight w:val="none"/>
        </w:rPr>
      </w:pPr>
      <w:bookmarkStart w:id="120" w:name="_Toc254970685"/>
      <w:bookmarkStart w:id="121" w:name="_Toc13250"/>
      <w:bookmarkStart w:id="122" w:name="_Toc254970544"/>
      <w:r>
        <w:rPr>
          <w:rFonts w:hint="eastAsia" w:ascii="宋体" w:hAnsi="宋体" w:eastAsia="宋体" w:cs="宋体"/>
          <w:color w:val="auto"/>
          <w:highlight w:val="none"/>
        </w:rPr>
        <w:t>四、开    标</w:t>
      </w:r>
      <w:bookmarkEnd w:id="120"/>
      <w:bookmarkEnd w:id="121"/>
      <w:bookmarkEnd w:id="122"/>
    </w:p>
    <w:p w14:paraId="65823976">
      <w:pPr>
        <w:spacing w:line="360" w:lineRule="auto"/>
        <w:ind w:firstLine="480" w:firstLineChars="200"/>
        <w:rPr>
          <w:rFonts w:hint="eastAsia" w:ascii="宋体" w:hAnsi="宋体" w:eastAsia="宋体" w:cs="宋体"/>
          <w:color w:val="auto"/>
          <w:sz w:val="24"/>
          <w:highlight w:val="none"/>
        </w:rPr>
      </w:pPr>
      <w:bookmarkStart w:id="123" w:name="_23.开标时间和地点"/>
      <w:bookmarkEnd w:id="123"/>
      <w:r>
        <w:rPr>
          <w:rFonts w:hint="eastAsia" w:ascii="宋体" w:hAnsi="宋体" w:eastAsia="宋体" w:cs="宋体"/>
          <w:color w:val="auto"/>
          <w:sz w:val="24"/>
          <w:highlight w:val="none"/>
        </w:rPr>
        <w:t>23.开标时间和地点</w:t>
      </w:r>
    </w:p>
    <w:p w14:paraId="3838F649">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23.1开标时间及地点详见“投标人须知前附表”</w:t>
      </w:r>
    </w:p>
    <w:p w14:paraId="65CB9468">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23.2如</w:t>
      </w:r>
      <w:r>
        <w:rPr>
          <w:rFonts w:hint="eastAsia" w:ascii="宋体" w:hAnsi="宋体" w:eastAsia="宋体" w:cs="宋体"/>
          <w:bCs/>
          <w:color w:val="auto"/>
          <w:highlight w:val="none"/>
        </w:rPr>
        <w:t>投标人成功解密投标文件，但未在“</w:t>
      </w:r>
      <w:r>
        <w:rPr>
          <w:rFonts w:hint="eastAsia" w:ascii="宋体" w:hAnsi="宋体" w:cs="宋体"/>
          <w:bCs/>
          <w:color w:val="auto"/>
          <w:highlight w:val="none"/>
          <w:lang w:eastAsia="zh-CN"/>
        </w:rPr>
        <w:t>广西政府采购云平台</w:t>
      </w:r>
      <w:r>
        <w:rPr>
          <w:rFonts w:hint="eastAsia" w:ascii="宋体" w:hAnsi="宋体" w:eastAsia="宋体" w:cs="宋体"/>
          <w:bCs/>
          <w:color w:val="auto"/>
          <w:highlight w:val="none"/>
        </w:rPr>
        <w:t>”电子开标大厅参加开标的，视同认可开标过程和结果，</w:t>
      </w:r>
      <w:r>
        <w:rPr>
          <w:rFonts w:hint="eastAsia" w:ascii="宋体" w:hAnsi="宋体" w:eastAsia="宋体" w:cs="宋体"/>
          <w:color w:val="auto"/>
          <w:highlight w:val="none"/>
        </w:rPr>
        <w:t>由此产生的后果由投标人自行负责。 投标人不足3家的，不得开标。</w:t>
      </w:r>
    </w:p>
    <w:p w14:paraId="3FD97B2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24.开标程序</w:t>
      </w:r>
    </w:p>
    <w:p w14:paraId="473C30CF">
      <w:pPr>
        <w:autoSpaceDE w:val="0"/>
        <w:autoSpaceDN w:val="0"/>
        <w:adjustRightInd w:val="0"/>
        <w:spacing w:line="44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bCs/>
          <w:color w:val="auto"/>
          <w:szCs w:val="21"/>
          <w:highlight w:val="none"/>
        </w:rPr>
        <w:t>24.1</w:t>
      </w:r>
      <w:r>
        <w:rPr>
          <w:rFonts w:hint="eastAsia" w:ascii="宋体" w:hAnsi="宋体" w:eastAsia="宋体" w:cs="宋体"/>
          <w:color w:val="auto"/>
          <w:kern w:val="0"/>
          <w:szCs w:val="21"/>
          <w:highlight w:val="none"/>
        </w:rPr>
        <w:t>开标形式：</w:t>
      </w:r>
    </w:p>
    <w:p w14:paraId="7571ACDA">
      <w:pPr>
        <w:autoSpaceDE w:val="0"/>
        <w:autoSpaceDN w:val="0"/>
        <w:adjustRightInd w:val="0"/>
        <w:spacing w:line="44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bCs/>
          <w:color w:val="auto"/>
          <w:szCs w:val="21"/>
          <w:highlight w:val="none"/>
        </w:rPr>
        <w:t>开标的准备工作由采购代理机构负责落实，采购代理机构必须基于</w:t>
      </w:r>
      <w:r>
        <w:rPr>
          <w:rFonts w:hint="eastAsia" w:ascii="宋体" w:hAnsi="宋体" w:cs="宋体"/>
          <w:bCs/>
          <w:color w:val="auto"/>
          <w:szCs w:val="21"/>
          <w:highlight w:val="none"/>
          <w:lang w:eastAsia="zh-CN"/>
        </w:rPr>
        <w:t>广西政府采购云平台</w:t>
      </w:r>
      <w:r>
        <w:rPr>
          <w:rFonts w:hint="eastAsia" w:ascii="宋体" w:hAnsi="宋体" w:eastAsia="宋体" w:cs="宋体"/>
          <w:bCs/>
          <w:color w:val="auto"/>
          <w:szCs w:val="21"/>
          <w:highlight w:val="none"/>
        </w:rPr>
        <w:t>选取评审专家，如采购代理机构未按规定选取专家的，视为本次开评标无效，应当重新采购；</w:t>
      </w:r>
    </w:p>
    <w:p w14:paraId="43571086">
      <w:pPr>
        <w:autoSpaceDE w:val="0"/>
        <w:autoSpaceDN w:val="0"/>
        <w:adjustRightInd w:val="0"/>
        <w:spacing w:line="44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（2）采购代理机构将按照招标文件规定的时间通过</w:t>
      </w:r>
      <w:r>
        <w:rPr>
          <w:rFonts w:hint="eastAsia" w:ascii="宋体" w:hAnsi="宋体" w:cs="宋体"/>
          <w:bCs/>
          <w:color w:val="auto"/>
          <w:szCs w:val="21"/>
          <w:highlight w:val="none"/>
          <w:lang w:eastAsia="zh-CN"/>
        </w:rPr>
        <w:t>广西政府采购云平台</w:t>
      </w:r>
      <w:r>
        <w:rPr>
          <w:rFonts w:hint="eastAsia" w:ascii="宋体" w:hAnsi="宋体" w:eastAsia="宋体" w:cs="宋体"/>
          <w:bCs/>
          <w:color w:val="auto"/>
          <w:szCs w:val="21"/>
          <w:highlight w:val="none"/>
        </w:rPr>
        <w:t>组织线上开标活动、开启投标文件，所有供应商均应当准时在线参加。投标人如不参加开标大会的，视同认可开标结果，事后不得对采购相关人员、开标过程和开标结果提出异议，同时投标人因未在线参加开标而导致投标文件无法按时解密等一切后果由投标人自己承担。</w:t>
      </w:r>
    </w:p>
    <w:p w14:paraId="38066EC4">
      <w:pPr>
        <w:autoSpaceDE w:val="0"/>
        <w:autoSpaceDN w:val="0"/>
        <w:adjustRightInd w:val="0"/>
        <w:spacing w:line="44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24.2开标程序：</w:t>
      </w:r>
    </w:p>
    <w:p w14:paraId="76A3F9A2">
      <w:pPr>
        <w:pStyle w:val="11"/>
        <w:snapToGrid w:val="0"/>
        <w:spacing w:line="440" w:lineRule="exact"/>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（1）解密电子投标文件。</w:t>
      </w:r>
      <w:r>
        <w:rPr>
          <w:rFonts w:hint="eastAsia" w:hAnsi="宋体" w:cs="宋体"/>
          <w:b/>
          <w:color w:val="auto"/>
          <w:szCs w:val="21"/>
          <w:highlight w:val="none"/>
          <w:lang w:eastAsia="zh-CN"/>
        </w:rPr>
        <w:t>广西政府采购云平台</w:t>
      </w:r>
      <w:r>
        <w:rPr>
          <w:rFonts w:hint="eastAsia" w:ascii="宋体" w:hAnsi="宋体" w:eastAsia="宋体" w:cs="宋体"/>
          <w:color w:val="auto"/>
          <w:szCs w:val="21"/>
          <w:highlight w:val="none"/>
        </w:rPr>
        <w:t>按开标时间自动提取所有投标文件。采购代理机构依托</w:t>
      </w:r>
      <w:r>
        <w:rPr>
          <w:rFonts w:hint="eastAsia" w:hAnsi="宋体" w:cs="宋体"/>
          <w:color w:val="auto"/>
          <w:szCs w:val="21"/>
          <w:highlight w:val="none"/>
          <w:lang w:eastAsia="zh-CN"/>
        </w:rPr>
        <w:t>广西政府采购云平台</w:t>
      </w:r>
      <w:r>
        <w:rPr>
          <w:rFonts w:hint="eastAsia" w:ascii="宋体" w:hAnsi="宋体" w:eastAsia="宋体" w:cs="宋体"/>
          <w:color w:val="auto"/>
          <w:szCs w:val="21"/>
          <w:highlight w:val="none"/>
        </w:rPr>
        <w:t>向各投标人发出电子加密投标文件【开始解密】通知，由投标人按招标文件规定的时间内自行进行投标文件解密。投标人的法定代表人或其委托代理人</w:t>
      </w:r>
      <w:r>
        <w:rPr>
          <w:rFonts w:hint="eastAsia" w:ascii="宋体" w:hAnsi="宋体" w:eastAsia="宋体" w:cs="宋体"/>
          <w:b/>
          <w:color w:val="auto"/>
          <w:szCs w:val="21"/>
          <w:highlight w:val="none"/>
        </w:rPr>
        <w:t>须携带加密时所用的CA锁准时登录到</w:t>
      </w:r>
      <w:r>
        <w:rPr>
          <w:rFonts w:hint="eastAsia" w:hAnsi="宋体" w:cs="宋体"/>
          <w:b/>
          <w:color w:val="auto"/>
          <w:szCs w:val="21"/>
          <w:highlight w:val="none"/>
          <w:lang w:eastAsia="zh-CN"/>
        </w:rPr>
        <w:t>广西政府采购云平台</w:t>
      </w:r>
      <w:r>
        <w:rPr>
          <w:rFonts w:hint="eastAsia" w:ascii="宋体" w:hAnsi="宋体" w:eastAsia="宋体" w:cs="宋体"/>
          <w:b/>
          <w:color w:val="auto"/>
          <w:szCs w:val="21"/>
          <w:highlight w:val="none"/>
        </w:rPr>
        <w:t>电子开标大厅签到并对电子投标文件解密</w:t>
      </w:r>
      <w:r>
        <w:rPr>
          <w:rFonts w:hint="eastAsia" w:ascii="宋体" w:hAnsi="宋体" w:eastAsia="宋体" w:cs="宋体"/>
          <w:color w:val="auto"/>
          <w:szCs w:val="21"/>
          <w:highlight w:val="none"/>
        </w:rPr>
        <w:t>。开标后5分钟投标人还未进行解密的，代理机构要通知投标人。通知后，投标文件仍未按时解密，或者投标人没预留联系方式或预留联系方式无效，导致代理机构无法联系到投标人进行解密的，</w:t>
      </w:r>
      <w:r>
        <w:rPr>
          <w:rFonts w:hint="eastAsia" w:ascii="宋体" w:hAnsi="宋体" w:eastAsia="宋体" w:cs="宋体"/>
          <w:b/>
          <w:color w:val="auto"/>
          <w:szCs w:val="21"/>
          <w:highlight w:val="none"/>
        </w:rPr>
        <w:t>均视为无效投标。</w:t>
      </w:r>
    </w:p>
    <w:p w14:paraId="671AB614">
      <w:pPr>
        <w:pStyle w:val="11"/>
        <w:snapToGrid w:val="0"/>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（解密</w:t>
      </w:r>
      <w:r>
        <w:rPr>
          <w:rFonts w:hint="eastAsia" w:ascii="宋体" w:hAnsi="宋体" w:eastAsia="宋体" w:cs="宋体"/>
          <w:bCs/>
          <w:color w:val="auto"/>
          <w:szCs w:val="21"/>
          <w:highlight w:val="none"/>
        </w:rPr>
        <w:t>异常情况处理：详见本章</w:t>
      </w:r>
      <w:r>
        <w:rPr>
          <w:rFonts w:hint="eastAsia" w:ascii="宋体" w:hAnsi="宋体" w:eastAsia="宋体" w:cs="宋体"/>
          <w:color w:val="auto"/>
          <w:highlight w:val="none"/>
        </w:rPr>
        <w:t>29.3 电子交易活动的中止。</w:t>
      </w:r>
      <w:r>
        <w:rPr>
          <w:rFonts w:hint="eastAsia" w:ascii="宋体" w:hAnsi="宋体" w:eastAsia="宋体" w:cs="宋体"/>
          <w:color w:val="auto"/>
          <w:szCs w:val="21"/>
          <w:highlight w:val="none"/>
        </w:rPr>
        <w:t>）</w:t>
      </w:r>
    </w:p>
    <w:p w14:paraId="74E8481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b/>
          <w:color w:val="auto"/>
          <w:szCs w:val="21"/>
          <w:highlight w:val="none"/>
        </w:rPr>
        <w:t>电子唱标。</w:t>
      </w:r>
      <w:r>
        <w:rPr>
          <w:rFonts w:hint="eastAsia" w:ascii="宋体" w:hAnsi="宋体" w:eastAsia="宋体" w:cs="宋体"/>
          <w:color w:val="auto"/>
          <w:szCs w:val="21"/>
          <w:highlight w:val="none"/>
        </w:rPr>
        <w:t>投标文件解密结束，各投标供应商报价均在</w:t>
      </w:r>
      <w:r>
        <w:rPr>
          <w:rFonts w:hint="eastAsia" w:ascii="宋体" w:hAnsi="宋体" w:cs="宋体"/>
          <w:color w:val="auto"/>
          <w:szCs w:val="21"/>
          <w:highlight w:val="none"/>
          <w:lang w:eastAsia="zh-CN"/>
        </w:rPr>
        <w:t>广西政府采购云平台</w:t>
      </w:r>
      <w:r>
        <w:rPr>
          <w:rFonts w:hint="eastAsia" w:ascii="宋体" w:hAnsi="宋体" w:eastAsia="宋体" w:cs="宋体"/>
          <w:color w:val="auto"/>
          <w:szCs w:val="21"/>
          <w:highlight w:val="none"/>
        </w:rPr>
        <w:t>远程不见面开标大厅展示；</w:t>
      </w:r>
    </w:p>
    <w:p w14:paraId="5101D38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b/>
          <w:color w:val="auto"/>
          <w:szCs w:val="21"/>
          <w:highlight w:val="none"/>
        </w:rPr>
        <w:t>签署电子《政府采购活动现场确认声明书》。</w:t>
      </w:r>
      <w:r>
        <w:rPr>
          <w:rFonts w:hint="eastAsia" w:ascii="宋体" w:hAnsi="宋体" w:eastAsia="宋体" w:cs="宋体"/>
          <w:color w:val="auto"/>
          <w:szCs w:val="21"/>
          <w:highlight w:val="none"/>
        </w:rPr>
        <w:t>通过邮件形式在远程不见面开标大厅发送各投标人签署电子《政府采购活动现场确认声明书》。</w:t>
      </w:r>
    </w:p>
    <w:p w14:paraId="5D26CABA">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（4）开标过程由采购代理机构如实记录，并电子留痕，由参加电子开标的各投标人代表对电子开标记录在开标记录公布后15分钟内进行当场校核及勘误，并线上确认，未确认的视同认可开标结果。</w:t>
      </w:r>
    </w:p>
    <w:p w14:paraId="2F1A4405">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5）投标人代表对开标过程和开标记录有疑义，以及认为采购人、采购代理机构相关工作人员有需要回避的情形的，应当场提出在线询问或者回避申请。采购人、采购代理机构对投标人代表提出的询问或者回避申请应当及时处理。</w:t>
      </w:r>
    </w:p>
    <w:p w14:paraId="1C316615">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（6）开标结束。</w:t>
      </w:r>
    </w:p>
    <w:p w14:paraId="68EBD2C6">
      <w:pPr>
        <w:pStyle w:val="11"/>
        <w:snapToGrid w:val="0"/>
        <w:spacing w:line="440" w:lineRule="exact"/>
        <w:ind w:firstLine="422" w:firstLineChars="200"/>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特别说明：</w:t>
      </w:r>
      <w:r>
        <w:rPr>
          <w:rFonts w:hint="eastAsia" w:ascii="宋体" w:hAnsi="宋体" w:eastAsia="宋体" w:cs="宋体"/>
          <w:color w:val="auto"/>
          <w:szCs w:val="21"/>
          <w:highlight w:val="none"/>
        </w:rPr>
        <w:t>如遇</w:t>
      </w:r>
      <w:r>
        <w:rPr>
          <w:rFonts w:hint="eastAsia" w:hAnsi="宋体" w:cs="宋体"/>
          <w:color w:val="auto"/>
          <w:szCs w:val="21"/>
          <w:highlight w:val="none"/>
          <w:lang w:eastAsia="zh-CN"/>
        </w:rPr>
        <w:t>广西政府采购云平台</w:t>
      </w:r>
      <w:r>
        <w:rPr>
          <w:rFonts w:hint="eastAsia" w:ascii="宋体" w:hAnsi="宋体" w:eastAsia="宋体" w:cs="宋体"/>
          <w:color w:val="auto"/>
          <w:szCs w:val="21"/>
          <w:highlight w:val="none"/>
        </w:rPr>
        <w:t>电子化开标或评审程序调整的，按调整后执行。</w:t>
      </w:r>
    </w:p>
    <w:p w14:paraId="1FCB2568">
      <w:pPr>
        <w:pStyle w:val="11"/>
        <w:snapToGrid w:val="0"/>
        <w:spacing w:line="400" w:lineRule="exact"/>
        <w:ind w:left="689" w:leftChars="228" w:hanging="210" w:hangingChars="100"/>
        <w:rPr>
          <w:rFonts w:hint="eastAsia" w:ascii="宋体" w:hAnsi="宋体" w:eastAsia="宋体" w:cs="宋体"/>
          <w:color w:val="auto"/>
          <w:highlight w:val="none"/>
        </w:rPr>
      </w:pPr>
    </w:p>
    <w:p w14:paraId="1440F3F5">
      <w:pPr>
        <w:pStyle w:val="4"/>
        <w:keepNext w:val="0"/>
        <w:keepLines w:val="0"/>
        <w:spacing w:line="400" w:lineRule="exact"/>
        <w:jc w:val="center"/>
        <w:rPr>
          <w:rFonts w:hint="eastAsia" w:ascii="宋体" w:hAnsi="宋体" w:eastAsia="宋体" w:cs="宋体"/>
          <w:color w:val="auto"/>
          <w:highlight w:val="none"/>
        </w:rPr>
      </w:pPr>
      <w:bookmarkStart w:id="124" w:name="_Toc31994"/>
      <w:r>
        <w:rPr>
          <w:rFonts w:hint="eastAsia" w:ascii="宋体" w:hAnsi="宋体" w:eastAsia="宋体" w:cs="宋体"/>
          <w:color w:val="auto"/>
          <w:highlight w:val="none"/>
        </w:rPr>
        <w:t>五、资格审查</w:t>
      </w:r>
      <w:bookmarkEnd w:id="124"/>
    </w:p>
    <w:p w14:paraId="0658D6BA">
      <w:pPr>
        <w:pStyle w:val="6"/>
        <w:keepNext w:val="0"/>
        <w:keepLines w:val="0"/>
        <w:spacing w:before="0" w:after="0"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25.资格审查</w:t>
      </w:r>
    </w:p>
    <w:p w14:paraId="6BC63645">
      <w:pPr>
        <w:spacing w:line="360" w:lineRule="auto"/>
        <w:ind w:firstLine="422" w:firstLineChars="200"/>
        <w:rPr>
          <w:rFonts w:hint="eastAsia" w:ascii="宋体" w:hAnsi="宋体" w:eastAsia="宋体" w:cs="宋体"/>
          <w:b/>
          <w:bCs/>
          <w:color w:val="auto"/>
          <w:szCs w:val="20"/>
          <w:highlight w:val="none"/>
        </w:rPr>
      </w:pPr>
      <w:r>
        <w:rPr>
          <w:rFonts w:hint="eastAsia" w:ascii="宋体" w:hAnsi="宋体" w:eastAsia="宋体" w:cs="宋体"/>
          <w:b/>
          <w:bCs/>
          <w:color w:val="auto"/>
          <w:szCs w:val="20"/>
          <w:highlight w:val="none"/>
        </w:rPr>
        <w:t xml:space="preserve"> 25.1开标结束后，采购人或采购机构依法通过电子投标文件对投标人的资格进行线上审查。</w:t>
      </w:r>
    </w:p>
    <w:p w14:paraId="5B5E13EA">
      <w:pPr>
        <w:spacing w:line="360" w:lineRule="auto"/>
        <w:ind w:firstLine="422" w:firstLineChars="200"/>
        <w:rPr>
          <w:rFonts w:hint="eastAsia" w:ascii="宋体" w:hAnsi="宋体" w:eastAsia="宋体" w:cs="宋体"/>
          <w:b/>
          <w:bCs/>
          <w:color w:val="auto"/>
          <w:szCs w:val="20"/>
          <w:highlight w:val="none"/>
        </w:rPr>
      </w:pPr>
      <w:r>
        <w:rPr>
          <w:rFonts w:hint="eastAsia" w:ascii="宋体" w:hAnsi="宋体" w:eastAsia="宋体" w:cs="宋体"/>
          <w:b/>
          <w:bCs/>
          <w:color w:val="auto"/>
          <w:szCs w:val="20"/>
          <w:highlight w:val="none"/>
        </w:rPr>
        <w:t xml:space="preserve"> 25.2采购人或采购机构依据法律法规和招标文件的规定，对投标人的基本资格条件、特定资格条件进行审查。</w:t>
      </w:r>
    </w:p>
    <w:p w14:paraId="3CB32ECA">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25.3资格审查标准为本“招标文件”中“投标人须知前附表”13.1点载明对投标人资格要求的条件。本项目资格审查采用合格制，凡符合招标文件规定的投标人资格要求的投标人均通过资格审查。</w:t>
      </w:r>
    </w:p>
    <w:p w14:paraId="64BE04D8">
      <w:pPr>
        <w:spacing w:line="360" w:lineRule="auto"/>
        <w:ind w:firstLine="422" w:firstLineChars="200"/>
        <w:rPr>
          <w:rFonts w:hint="eastAsia" w:ascii="宋体" w:hAnsi="宋体" w:eastAsia="宋体" w:cs="宋体"/>
          <w:b/>
          <w:bCs/>
          <w:color w:val="auto"/>
          <w:szCs w:val="20"/>
          <w:highlight w:val="none"/>
        </w:rPr>
      </w:pPr>
      <w:bookmarkStart w:id="125" w:name="_25.3_投标人有下列情形之一的，资格审查不通过而导致其投标无效："/>
      <w:bookmarkEnd w:id="125"/>
      <w:r>
        <w:rPr>
          <w:rFonts w:hint="eastAsia" w:ascii="宋体" w:hAnsi="宋体" w:eastAsia="宋体" w:cs="宋体"/>
          <w:b/>
          <w:bCs/>
          <w:color w:val="auto"/>
          <w:szCs w:val="20"/>
          <w:highlight w:val="none"/>
        </w:rPr>
        <w:t>25.4投标人有下列情形之一的，资格审查不通过，作无效投标处理：</w:t>
      </w:r>
    </w:p>
    <w:p w14:paraId="09F2E730">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（1）不具备招标文件中规定的资格要求的；（注：其中信用查询规则见“投标人须知前附表”，</w:t>
      </w:r>
      <w:r>
        <w:rPr>
          <w:rFonts w:hint="eastAsia" w:ascii="宋体" w:hAnsi="宋体" w:cs="宋体"/>
          <w:color w:val="auto"/>
          <w:highlight w:val="none"/>
          <w:lang w:eastAsia="zh-CN"/>
        </w:rPr>
        <w:t>广西政府采购云平台</w:t>
      </w:r>
      <w:r>
        <w:rPr>
          <w:rFonts w:hint="eastAsia" w:ascii="宋体" w:hAnsi="宋体" w:eastAsia="宋体" w:cs="宋体"/>
          <w:color w:val="auto"/>
          <w:highlight w:val="none"/>
        </w:rPr>
        <w:t>已与“信用中国”平台做接口，审查专家可直接在线查询）</w:t>
      </w:r>
    </w:p>
    <w:p w14:paraId="68D39E21">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（2）投标文件未提供任一项“投标人须知前附表”资格证明文件规定的“必须提供”的文件资料的；</w:t>
      </w:r>
    </w:p>
    <w:p w14:paraId="41C34F02">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（3）投标文件提供的资格证明文件出现任一项不符合“投标人须知前附表”资格证明文件规定的“必须提供”的文件资料要求或者无效的。</w:t>
      </w:r>
    </w:p>
    <w:p w14:paraId="30EFDD5E">
      <w:pPr>
        <w:pStyle w:val="6"/>
        <w:keepNext w:val="0"/>
        <w:keepLines w:val="0"/>
        <w:spacing w:before="0" w:after="0" w:line="360" w:lineRule="auto"/>
        <w:ind w:firstLine="420" w:firstLineChars="200"/>
        <w:rPr>
          <w:rFonts w:hint="eastAsia" w:ascii="宋体" w:hAnsi="宋体" w:eastAsia="宋体" w:cs="宋体"/>
          <w:b w:val="0"/>
          <w:bCs w:val="0"/>
          <w:color w:val="auto"/>
          <w:sz w:val="21"/>
          <w:szCs w:val="20"/>
          <w:highlight w:val="none"/>
        </w:rPr>
      </w:pPr>
      <w:r>
        <w:rPr>
          <w:rFonts w:hint="eastAsia" w:ascii="宋体" w:hAnsi="宋体" w:eastAsia="宋体" w:cs="宋体"/>
          <w:b w:val="0"/>
          <w:bCs w:val="0"/>
          <w:color w:val="auto"/>
          <w:sz w:val="21"/>
          <w:szCs w:val="20"/>
          <w:highlight w:val="none"/>
        </w:rPr>
        <w:t>25.5资格审查的合格投标人不足3家的，不得评标。</w:t>
      </w:r>
    </w:p>
    <w:p w14:paraId="518DE18C">
      <w:pPr>
        <w:pStyle w:val="4"/>
        <w:keepNext w:val="0"/>
        <w:keepLines w:val="0"/>
        <w:spacing w:line="360" w:lineRule="auto"/>
        <w:jc w:val="center"/>
        <w:rPr>
          <w:rFonts w:hint="eastAsia" w:ascii="宋体" w:hAnsi="宋体" w:eastAsia="宋体" w:cs="宋体"/>
          <w:color w:val="auto"/>
          <w:highlight w:val="none"/>
        </w:rPr>
      </w:pPr>
      <w:bookmarkStart w:id="126" w:name="_Toc20983"/>
      <w:r>
        <w:rPr>
          <w:rFonts w:hint="eastAsia" w:ascii="宋体" w:hAnsi="宋体" w:eastAsia="宋体" w:cs="宋体"/>
          <w:color w:val="auto"/>
          <w:highlight w:val="none"/>
        </w:rPr>
        <w:t>六、评   标</w:t>
      </w:r>
      <w:bookmarkEnd w:id="126"/>
    </w:p>
    <w:p w14:paraId="60DB9872">
      <w:pPr>
        <w:spacing w:line="360" w:lineRule="auto"/>
        <w:ind w:firstLine="480" w:firstLineChars="200"/>
        <w:rPr>
          <w:rFonts w:hint="eastAsia" w:ascii="宋体" w:hAnsi="宋体" w:eastAsia="宋体" w:cs="宋体"/>
          <w:color w:val="auto"/>
          <w:sz w:val="24"/>
          <w:highlight w:val="none"/>
        </w:rPr>
      </w:pPr>
      <w:bookmarkStart w:id="127" w:name="_26.组建评标委员会"/>
      <w:bookmarkEnd w:id="127"/>
      <w:r>
        <w:rPr>
          <w:rFonts w:hint="eastAsia" w:ascii="宋体" w:hAnsi="宋体" w:eastAsia="宋体" w:cs="宋体"/>
          <w:color w:val="auto"/>
          <w:sz w:val="24"/>
          <w:highlight w:val="none"/>
        </w:rPr>
        <w:t>26.组建评标委员会</w:t>
      </w:r>
    </w:p>
    <w:p w14:paraId="0B731A72">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评标委员会由采购人代表和评审专家组成，人数为5人以上单数，其中评审专家不得少于成员总数的三分之二。</w:t>
      </w:r>
    </w:p>
    <w:p w14:paraId="7BCD13BC">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参加过采购项目前期咨询论证的专家，不得参加该采购项目的评审活动。</w:t>
      </w:r>
    </w:p>
    <w:p w14:paraId="49128C3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27.评标的依据</w:t>
      </w:r>
    </w:p>
    <w:p w14:paraId="0285D65B">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评标委员会以招标文件为依据对投标文件进行评审，“第四章 评标方法和评标标准”没有规定的方法、评审因素和标准，不作为评标依据。</w:t>
      </w:r>
    </w:p>
    <w:p w14:paraId="7A9E6BA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28.评标原则</w:t>
      </w:r>
    </w:p>
    <w:p w14:paraId="25374D8E">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14:paraId="4A36295B">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28.2评委表决。在评标过程中出现法律法规和招标文件均没有明确规定的情形时，由评标委员会现场协商解决，协商不一致的，由全体评委投票表决，以得票率二分之一以上专家的意见为准并由采购代理机构作记录。</w:t>
      </w:r>
      <w:bookmarkStart w:id="128" w:name="_28.3评标方法。本项目将按须知前附表规定的评标办法进行评标，具体评标"/>
      <w:bookmarkEnd w:id="128"/>
    </w:p>
    <w:p w14:paraId="19CCE099">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28.3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14:paraId="7725948F">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28.4评标过程的监控。本项目电子评标过程实行网上留痕、全程录音、录像监控，投标人在评标过程中所进行的试图影响评标结果的不公正活动，可能导致其投标按无效处理。</w:t>
      </w:r>
    </w:p>
    <w:p w14:paraId="05421476">
      <w:pPr>
        <w:widowControl/>
        <w:spacing w:line="560" w:lineRule="exact"/>
        <w:ind w:firstLine="420" w:firstLineChars="200"/>
        <w:jc w:val="left"/>
        <w:textAlignment w:val="baseline"/>
        <w:rPr>
          <w:rFonts w:hint="eastAsia" w:ascii="宋体" w:hAnsi="宋体" w:eastAsia="宋体" w:cs="宋体"/>
          <w:color w:val="auto"/>
          <w:highlight w:val="none"/>
        </w:rPr>
      </w:pPr>
      <w:r>
        <w:rPr>
          <w:rFonts w:hint="eastAsia" w:ascii="宋体" w:hAnsi="宋体" w:eastAsia="宋体" w:cs="宋体"/>
          <w:color w:val="auto"/>
          <w:highlight w:val="none"/>
        </w:rPr>
        <w:t>28.5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590CD3F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29.评标方法及评标标准</w:t>
      </w:r>
    </w:p>
    <w:p w14:paraId="70C0B181">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29.1本项目的评标方法详见“投标人须知前附表”。</w:t>
      </w:r>
    </w:p>
    <w:p w14:paraId="480BDBA1">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29.2 评标委员会按照</w:t>
      </w:r>
      <w:r>
        <w:rPr>
          <w:rFonts w:hint="eastAsia" w:ascii="宋体" w:hAnsi="宋体" w:eastAsia="宋体" w:cs="宋体"/>
          <w:b/>
          <w:color w:val="auto"/>
          <w:highlight w:val="none"/>
        </w:rPr>
        <w:t>“第四章 评标方法和评标标准”</w:t>
      </w:r>
      <w:r>
        <w:rPr>
          <w:rFonts w:hint="eastAsia" w:ascii="宋体" w:hAnsi="宋体" w:eastAsia="宋体" w:cs="宋体"/>
          <w:color w:val="auto"/>
          <w:highlight w:val="none"/>
        </w:rPr>
        <w:t>规定的方法、评审因素、标准和程序对投标文件进行评审。</w:t>
      </w:r>
    </w:p>
    <w:p w14:paraId="58C86D39">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29.3 电子交易活动的中止。采购过程中出现以下情形，导致电子交易平台无法正常运行，或者无法保证电子交易的公平、公正和安全时，采购机构可中止电子交易活动：</w:t>
      </w:r>
    </w:p>
    <w:p w14:paraId="6D782A6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（1）电子交易平台发生故障而无法登录访问的； </w:t>
      </w:r>
    </w:p>
    <w:p w14:paraId="6CC50B45">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（2）电子交易平台应用或数据库出现错误，不能进行正常操作的；</w:t>
      </w:r>
    </w:p>
    <w:p w14:paraId="3DA8DBF2">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（3）电子交易平台发现严重安全漏洞，有潜在泄密危险的；</w:t>
      </w:r>
    </w:p>
    <w:p w14:paraId="502A23D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（4）病毒发作导致不能进行正常操作的； </w:t>
      </w:r>
    </w:p>
    <w:p w14:paraId="755AEF55">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（4）其他无法保证电子交易的公平、公正和安全的情况。</w:t>
      </w:r>
    </w:p>
    <w:p w14:paraId="65EAC70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29.4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16EA1D09">
      <w:pPr>
        <w:pStyle w:val="11"/>
        <w:snapToGrid w:val="0"/>
        <w:spacing w:line="400" w:lineRule="exact"/>
        <w:ind w:firstLine="420" w:firstLineChars="200"/>
        <w:rPr>
          <w:rFonts w:hint="eastAsia" w:ascii="宋体" w:hAnsi="宋体" w:eastAsia="宋体" w:cs="宋体"/>
          <w:color w:val="auto"/>
          <w:highlight w:val="none"/>
        </w:rPr>
      </w:pPr>
    </w:p>
    <w:p w14:paraId="7832A1F0">
      <w:pPr>
        <w:pStyle w:val="4"/>
        <w:keepNext w:val="0"/>
        <w:keepLines w:val="0"/>
        <w:spacing w:line="400" w:lineRule="exact"/>
        <w:jc w:val="center"/>
        <w:rPr>
          <w:rFonts w:hint="eastAsia" w:ascii="宋体" w:hAnsi="宋体" w:eastAsia="宋体" w:cs="宋体"/>
          <w:color w:val="auto"/>
          <w:highlight w:val="none"/>
        </w:rPr>
      </w:pPr>
      <w:bookmarkStart w:id="129" w:name="_Toc254970687"/>
      <w:bookmarkStart w:id="130" w:name="_Toc254970546"/>
      <w:bookmarkStart w:id="131" w:name="_Toc24771"/>
      <w:r>
        <w:rPr>
          <w:rFonts w:hint="eastAsia" w:ascii="宋体" w:hAnsi="宋体" w:eastAsia="宋体" w:cs="宋体"/>
          <w:color w:val="auto"/>
          <w:highlight w:val="none"/>
        </w:rPr>
        <w:t>七、</w:t>
      </w:r>
      <w:bookmarkEnd w:id="129"/>
      <w:bookmarkEnd w:id="130"/>
      <w:r>
        <w:rPr>
          <w:rFonts w:hint="eastAsia" w:ascii="宋体" w:hAnsi="宋体" w:eastAsia="宋体" w:cs="宋体"/>
          <w:color w:val="auto"/>
          <w:highlight w:val="none"/>
        </w:rPr>
        <w:t>中标和合同</w:t>
      </w:r>
      <w:bookmarkEnd w:id="131"/>
    </w:p>
    <w:p w14:paraId="76F351E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30.确定中标人</w:t>
      </w:r>
    </w:p>
    <w:p w14:paraId="62F52BD7">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30.1本项目授权评标委员会直接按第四章“评标方法及标准”的规定排列中标候选人顺序，并依照次序确定中标人。</w:t>
      </w:r>
    </w:p>
    <w:p w14:paraId="1C9441C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30.2采购人、采购代理机构认为供应商对采购过程、中标结果提出的质疑成立且影响或者可能影响中标结果的，合格供应商符合法定数量时，可以从合格的中标候选人中另行确定中标人的，应当依法另行确定中标人；否则应当重新开展采购活动。</w:t>
      </w:r>
    </w:p>
    <w:p w14:paraId="3859D25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30.3中标供应商无正当理由拒签合同的，根据《中华人民共和国政府采购法》第七十七条第一款规定处理。</w:t>
      </w:r>
    </w:p>
    <w:p w14:paraId="129F2B3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30.4根据《中华人民共和国民法典》</w:t>
      </w:r>
      <w:r>
        <w:rPr>
          <w:rFonts w:hint="eastAsia" w:ascii="宋体" w:hAnsi="宋体" w:eastAsia="宋体" w:cs="宋体"/>
          <w:color w:val="auto"/>
          <w:sz w:val="19"/>
          <w:szCs w:val="19"/>
          <w:highlight w:val="none"/>
        </w:rPr>
        <w:t>第五百六十三条</w:t>
      </w:r>
      <w:r>
        <w:rPr>
          <w:rFonts w:hint="eastAsia" w:ascii="宋体" w:hAnsi="宋体" w:eastAsia="宋体" w:cs="宋体"/>
          <w:color w:val="auto"/>
          <w:szCs w:val="21"/>
          <w:highlight w:val="none"/>
        </w:rPr>
        <w:t>，因不可抗力致使不能实现合同目的的，当事人可以解除合同。</w:t>
      </w:r>
    </w:p>
    <w:p w14:paraId="46CA27C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 结果公告</w:t>
      </w:r>
    </w:p>
    <w:p w14:paraId="36D7EB35">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31.1</w:t>
      </w:r>
      <w:r>
        <w:rPr>
          <w:rFonts w:hint="eastAsia" w:ascii="宋体" w:hAnsi="宋体" w:eastAsia="宋体" w:cs="宋体"/>
          <w:color w:val="auto"/>
          <w:highlight w:val="none"/>
        </w:rPr>
        <w:t>在中标供应商确定之日起2个工作日内，由采购代理机构</w:t>
      </w:r>
      <w:r>
        <w:rPr>
          <w:rFonts w:hint="eastAsia" w:ascii="宋体" w:hAnsi="宋体" w:eastAsia="宋体" w:cs="宋体"/>
          <w:b/>
          <w:color w:val="auto"/>
          <w:szCs w:val="21"/>
          <w:highlight w:val="none"/>
        </w:rPr>
        <w:t>在招标公告发布媒体上</w:t>
      </w:r>
      <w:r>
        <w:rPr>
          <w:rFonts w:hint="eastAsia" w:ascii="宋体" w:hAnsi="宋体" w:eastAsia="宋体" w:cs="宋体"/>
          <w:color w:val="auto"/>
          <w:highlight w:val="none"/>
        </w:rPr>
        <w:t>发布中标结果公告，中标结果公告期限为1个工作日，发布中标结果公告的同时向中标供应商发出中标通知书。</w:t>
      </w:r>
      <w:r>
        <w:rPr>
          <w:rFonts w:hint="eastAsia" w:ascii="宋体" w:hAnsi="宋体" w:eastAsia="宋体" w:cs="宋体"/>
          <w:b/>
          <w:color w:val="auto"/>
          <w:szCs w:val="21"/>
          <w:highlight w:val="none"/>
        </w:rPr>
        <w:t>采购代理机构发出中标通知书前，应当对中标人信用进行核实，对列入失信被执行人、重大税收违法案件当事人名单、政府采购严重违法失信行为记录名单及其他不符合《中华人民共和国政府采购法》第二十二条规定条件的投标人，取消其中标资格，并确定排名第二的中标候选人为中标人。</w:t>
      </w:r>
      <w:r>
        <w:rPr>
          <w:rFonts w:hint="eastAsia" w:ascii="宋体" w:hAnsi="宋体" w:eastAsia="宋体" w:cs="宋体"/>
          <w:color w:val="auto"/>
          <w:szCs w:val="21"/>
          <w:highlight w:val="none"/>
        </w:rPr>
        <w:t>排名第二的中标候选人因前款规定的同样原因被取消中标资格的，授权的评标委员会可以确定排名第三的中标候选人为中标人，以此类推。</w:t>
      </w:r>
    </w:p>
    <w:p w14:paraId="79C2770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以上信息查询记录及相关证据与采购文件一并保存。</w:t>
      </w:r>
    </w:p>
    <w:p w14:paraId="3717102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31.2中小企业在政府采购活动过程中，请根据企业的真实情况出具《中小企业声明函》。依法享受中小企业优惠政策的，采购人或者采购代理机构在公告中标结果时，同时公告其《中小企业声明函》，接受社会监督。</w:t>
      </w:r>
    </w:p>
    <w:p w14:paraId="7651A0E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32.发出中标通知书</w:t>
      </w:r>
    </w:p>
    <w:p w14:paraId="394899CE">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32.1在发布中标公告的同时，采购代理机构向中标人通过</w:t>
      </w:r>
      <w:r>
        <w:rPr>
          <w:rFonts w:hint="eastAsia" w:ascii="宋体" w:hAnsi="宋体" w:cs="宋体"/>
          <w:b/>
          <w:color w:val="auto"/>
          <w:szCs w:val="21"/>
          <w:highlight w:val="none"/>
          <w:lang w:eastAsia="zh-CN"/>
        </w:rPr>
        <w:t>广西政府采购云平台</w:t>
      </w:r>
      <w:r>
        <w:rPr>
          <w:rFonts w:hint="eastAsia" w:ascii="宋体" w:hAnsi="宋体" w:eastAsia="宋体" w:cs="宋体"/>
          <w:b/>
          <w:color w:val="auto"/>
          <w:szCs w:val="21"/>
          <w:highlight w:val="none"/>
        </w:rPr>
        <w:t>发出电子中标通知书。</w:t>
      </w:r>
    </w:p>
    <w:p w14:paraId="53E10EB5">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32.2对未通过资格审查的投标人，采购人或采购机构应当告知其未通过的原因；采用综合评分办法评审的，采购人或采购机构还应当告知未中标人本人的评审得分与排序。</w:t>
      </w:r>
    </w:p>
    <w:p w14:paraId="3EEC04D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 无义务解释未中标原因</w:t>
      </w:r>
    </w:p>
    <w:p w14:paraId="77D8ABB9">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采购代理机构无义务向未中标的投标人解释未中标原因和退还投标文件。</w:t>
      </w:r>
    </w:p>
    <w:p w14:paraId="45A83BF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34.合同授予标准</w:t>
      </w:r>
    </w:p>
    <w:p w14:paraId="1184447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合同将授予被确定实质上响应招标文件要求，具备履行合同能力的中标人（招标文件另有约定多名中标人的除外）。</w:t>
      </w:r>
    </w:p>
    <w:p w14:paraId="39DEC13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35.履约保证金</w:t>
      </w:r>
    </w:p>
    <w:p w14:paraId="3B6FBFAB">
      <w:pPr>
        <w:spacing w:line="360" w:lineRule="auto"/>
        <w:ind w:firstLine="420" w:firstLineChars="200"/>
        <w:rPr>
          <w:rFonts w:hint="eastAsia" w:ascii="宋体" w:hAnsi="宋体" w:eastAsia="宋体" w:cs="宋体"/>
          <w:color w:val="auto"/>
          <w:szCs w:val="21"/>
          <w:highlight w:val="none"/>
        </w:rPr>
      </w:pPr>
      <w:bookmarkStart w:id="132" w:name="_39.1中标人须于签订合同前按本须知前附表规定的金额转账或电汇到指定账"/>
      <w:bookmarkEnd w:id="132"/>
      <w:r>
        <w:rPr>
          <w:rFonts w:hint="eastAsia" w:ascii="宋体" w:hAnsi="宋体" w:eastAsia="宋体" w:cs="宋体"/>
          <w:color w:val="auto"/>
          <w:szCs w:val="21"/>
          <w:highlight w:val="none"/>
        </w:rPr>
        <w:t>见“投标人须知前附表”。</w:t>
      </w:r>
    </w:p>
    <w:p w14:paraId="1B7A64F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36.签订合同</w:t>
      </w:r>
    </w:p>
    <w:p w14:paraId="20651B19">
      <w:pPr>
        <w:pStyle w:val="33"/>
        <w:snapToGrid w:val="0"/>
        <w:spacing w:before="0"/>
        <w:ind w:firstLine="422"/>
        <w:rPr>
          <w:rFonts w:hint="eastAsia" w:ascii="宋体" w:hAnsi="宋体" w:eastAsia="宋体" w:cs="宋体"/>
          <w:color w:val="auto"/>
          <w:kern w:val="0"/>
          <w:sz w:val="21"/>
          <w:szCs w:val="21"/>
          <w:highlight w:val="none"/>
          <w:lang w:val="zh-CN"/>
        </w:rPr>
      </w:pPr>
      <w:bookmarkStart w:id="133" w:name="_40.1投标人接到中标通知书后，按须知前附表规定向采购人出示相关资格证"/>
      <w:bookmarkEnd w:id="133"/>
      <w:r>
        <w:rPr>
          <w:rFonts w:hint="eastAsia" w:ascii="宋体" w:hAnsi="宋体" w:eastAsia="宋体" w:cs="宋体"/>
          <w:b/>
          <w:color w:val="auto"/>
          <w:sz w:val="21"/>
          <w:szCs w:val="21"/>
          <w:highlight w:val="none"/>
        </w:rPr>
        <w:t xml:space="preserve"> 36.1中标人领取中标通知书后，</w:t>
      </w:r>
      <w:r>
        <w:rPr>
          <w:rFonts w:hint="eastAsia" w:ascii="宋体" w:hAnsi="宋体" w:eastAsia="宋体" w:cs="宋体"/>
          <w:color w:val="auto"/>
          <w:kern w:val="0"/>
          <w:sz w:val="21"/>
          <w:szCs w:val="21"/>
          <w:highlight w:val="none"/>
          <w:lang w:val="zh-CN"/>
        </w:rPr>
        <w:t>按规定的日期、时间、地点，由法定代表人或其授权代表与采购人代表签订采购合同。如中标人为联合体的，由联合体成员各方法定代表人或其授权代表与采购人代表签订合同，签订携带资料详见“投标人须知前附表”。</w:t>
      </w:r>
    </w:p>
    <w:p w14:paraId="2D0817C7">
      <w:pPr>
        <w:pStyle w:val="33"/>
        <w:snapToGrid w:val="0"/>
        <w:spacing w:before="0"/>
        <w:ind w:firstLine="420"/>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36.2</w:t>
      </w:r>
      <w:r>
        <w:rPr>
          <w:rFonts w:hint="eastAsia" w:ascii="宋体" w:hAnsi="宋体" w:eastAsia="宋体" w:cs="宋体"/>
          <w:color w:val="auto"/>
          <w:sz w:val="21"/>
          <w:szCs w:val="21"/>
          <w:highlight w:val="none"/>
        </w:rPr>
        <w:t>采购合同由采购人与中标供应商根据招标文件、投标文件等内容通过政府采购电子交易平台在线签订，自动备案。</w:t>
      </w:r>
    </w:p>
    <w:p w14:paraId="5EF05A56">
      <w:pPr>
        <w:pStyle w:val="33"/>
        <w:snapToGrid w:val="0"/>
        <w:spacing w:before="0"/>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36.3签订合同时间：按中标通知书规定的时间与采购人签订合同（最长不能超过25日）。</w:t>
      </w:r>
    </w:p>
    <w:p w14:paraId="624F213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36.4中标人拒绝与采购人签订合同的，采购人可以按照评审报告推荐的中标候选人名单排序，确定下一候选人为中标人，也可以重新开展政府采购活动。如采购人无正当理由拒签合同的，给中标供应商造成损失的，中标供应商可追究采购人承担相应的法律责任。</w:t>
      </w:r>
    </w:p>
    <w:p w14:paraId="614324E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36.5政府采购合同是政府采购项目验收的依据，中标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03FEDBD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36.6采购人或中标供应商不得单方面向合同另一方提出任何招标文件没有约定的条件或不合理的要求，作为签订合同的条件；也不得协商另行订立背离招标文件和合同实质性内容的协议。</w:t>
      </w:r>
    </w:p>
    <w:p w14:paraId="53C83D3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36.7如签订合同并生效后，供应商无故拒绝或延期，除按照合同条款处理外，将承担相应的法律责任。</w:t>
      </w:r>
    </w:p>
    <w:p w14:paraId="505FB46F">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36.8采购人需追加与合同标的相同的货物或者服务的，在不改变原合同条款且已报财政部门批准落实资金的前提下，可从原中标供应商处添购， 所签订的补充添置合同的采购资金总额不超过原采购合同金额的10%。</w:t>
      </w:r>
    </w:p>
    <w:p w14:paraId="6F5983FB">
      <w:pPr>
        <w:spacing w:line="360" w:lineRule="auto"/>
        <w:ind w:firstLine="480" w:firstLineChars="200"/>
        <w:rPr>
          <w:rFonts w:hint="eastAsia" w:ascii="宋体" w:hAnsi="宋体" w:eastAsia="宋体" w:cs="宋体"/>
          <w:color w:val="auto"/>
          <w:sz w:val="24"/>
          <w:highlight w:val="none"/>
        </w:rPr>
      </w:pPr>
      <w:bookmarkStart w:id="134" w:name="_41.政府采购合同公告"/>
      <w:bookmarkEnd w:id="134"/>
      <w:r>
        <w:rPr>
          <w:rFonts w:hint="eastAsia" w:ascii="宋体" w:hAnsi="宋体" w:eastAsia="宋体" w:cs="宋体"/>
          <w:color w:val="auto"/>
          <w:sz w:val="24"/>
          <w:highlight w:val="none"/>
        </w:rPr>
        <w:t>37.政府采购合同公告</w:t>
      </w:r>
    </w:p>
    <w:p w14:paraId="21559A2A">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采购人或者受托采购代理机构应当自政府采购合同签订之日起2个工作日内，将政府采购合同</w:t>
      </w:r>
      <w:r>
        <w:rPr>
          <w:rFonts w:hint="eastAsia" w:ascii="宋体" w:hAnsi="宋体" w:eastAsia="宋体" w:cs="宋体"/>
          <w:bCs/>
          <w:color w:val="auto"/>
          <w:highlight w:val="none"/>
        </w:rPr>
        <w:t>在以下媒体上发布</w:t>
      </w:r>
      <w:r>
        <w:rPr>
          <w:rFonts w:hint="eastAsia" w:ascii="宋体" w:hAnsi="宋体" w:eastAsia="宋体" w:cs="宋体"/>
          <w:color w:val="auto"/>
          <w:kern w:val="0"/>
          <w:szCs w:val="21"/>
          <w:highlight w:val="none"/>
        </w:rPr>
        <w:t xml:space="preserve"> “广西政府采购网”（http</w:t>
      </w:r>
      <w:r>
        <w:rPr>
          <w:rFonts w:hint="eastAsia" w:ascii="宋体" w:hAnsi="宋体" w:cs="宋体"/>
          <w:color w:val="auto"/>
          <w:kern w:val="0"/>
          <w:szCs w:val="21"/>
          <w:highlight w:val="none"/>
          <w:lang w:eastAsia="zh-CN"/>
        </w:rPr>
        <w:t>：</w:t>
      </w:r>
      <w:r>
        <w:rPr>
          <w:rFonts w:hint="eastAsia" w:ascii="宋体" w:hAnsi="宋体" w:eastAsia="宋体" w:cs="宋体"/>
          <w:color w:val="auto"/>
          <w:kern w:val="0"/>
          <w:szCs w:val="21"/>
          <w:highlight w:val="none"/>
        </w:rPr>
        <w:t>//zfcg.gxzf.gov.cn）</w:t>
      </w:r>
      <w:r>
        <w:rPr>
          <w:rFonts w:hint="eastAsia" w:ascii="宋体" w:hAnsi="宋体" w:eastAsia="宋体" w:cs="宋体"/>
          <w:color w:val="auto"/>
          <w:highlight w:val="none"/>
        </w:rPr>
        <w:t>上公告，但政府采购合同中涉及国家秘密、商业秘密的内容除外。</w:t>
      </w:r>
    </w:p>
    <w:p w14:paraId="08DEFEB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38. 询问、质疑和投诉</w:t>
      </w:r>
    </w:p>
    <w:p w14:paraId="2FF84B3F">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38.1询问</w:t>
      </w:r>
    </w:p>
    <w:p w14:paraId="5CB0EC64">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38.1.1供应商在开标前对政府采购活动事项有疑问的，可以向采购人或采购代理机构项目负责人提出询问。</w:t>
      </w:r>
    </w:p>
    <w:p w14:paraId="65E9E8E3">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38.1.2采购人或采购人委托的采购代理机构自受理询问之日起3个工作日内对供应商依法提出的询问作出答复，</w:t>
      </w:r>
      <w:r>
        <w:rPr>
          <w:rFonts w:hint="eastAsia" w:ascii="宋体" w:hAnsi="宋体" w:eastAsia="宋体" w:cs="宋体"/>
          <w:color w:val="auto"/>
          <w:highlight w:val="none"/>
        </w:rPr>
        <w:t>但答复内容不得涉及商业秘密</w:t>
      </w:r>
      <w:r>
        <w:rPr>
          <w:rFonts w:hint="eastAsia" w:ascii="宋体" w:hAnsi="宋体" w:eastAsia="宋体" w:cs="宋体"/>
          <w:bCs/>
          <w:color w:val="auto"/>
          <w:szCs w:val="21"/>
          <w:highlight w:val="none"/>
        </w:rPr>
        <w:t>。</w:t>
      </w:r>
    </w:p>
    <w:p w14:paraId="180EA095">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38.1.3 询问事项可能影响中标、成交结果的，采购人应当暂停签订合同，已经签订合同的，应当中止履行合同。</w:t>
      </w:r>
    </w:p>
    <w:p w14:paraId="100F7FDD">
      <w:pPr>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 xml:space="preserve"> </w:t>
      </w:r>
      <w:r>
        <w:rPr>
          <w:rFonts w:hint="eastAsia" w:ascii="宋体" w:hAnsi="宋体" w:eastAsia="宋体" w:cs="宋体"/>
          <w:color w:val="auto"/>
          <w:szCs w:val="21"/>
          <w:highlight w:val="none"/>
        </w:rPr>
        <w:t>38.2质疑</w:t>
      </w:r>
    </w:p>
    <w:p w14:paraId="2BF1AF5F">
      <w:pPr>
        <w:spacing w:line="360" w:lineRule="auto"/>
        <w:ind w:firstLine="420" w:firstLineChars="200"/>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38.2.1</w:t>
      </w:r>
      <w:r>
        <w:rPr>
          <w:rFonts w:hint="eastAsia" w:ascii="宋体" w:hAnsi="宋体" w:eastAsia="宋体" w:cs="宋体"/>
          <w:b/>
          <w:color w:val="auto"/>
          <w:szCs w:val="21"/>
          <w:highlight w:val="none"/>
        </w:rPr>
        <w:t xml:space="preserve">供应商认为招标文件、采购过程或者中标结果使自己的合法权益受到损害的，必须在知道或者应知其权益受到损害之日起7个工作日内，以书面形式向采购人、采购代理机构提出质疑，质疑有效期结束后，采购人或采购代理机构不再受理该项目质疑。采购人、采购代理机构接收质疑函的方式、联系部门、联系电话和通讯地址等信息详见“投标人须知前附表”。具体质疑起算时间及处理方式如下： </w:t>
      </w:r>
    </w:p>
    <w:p w14:paraId="170DA235">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（1）潜在供应商依法获取公开招标文件后，认为采购文件使自己的权益受到损害的，应当在公开招标文件公告期限届满之日起7个工作日内提出质疑。</w:t>
      </w:r>
      <w:r>
        <w:rPr>
          <w:rFonts w:hint="eastAsia" w:ascii="宋体" w:hAnsi="宋体" w:eastAsia="宋体" w:cs="宋体"/>
          <w:color w:val="auto"/>
          <w:highlight w:val="none"/>
        </w:rPr>
        <w:t>委托代理协议无特殊约定的，</w:t>
      </w:r>
      <w:r>
        <w:rPr>
          <w:rFonts w:hint="eastAsia" w:ascii="宋体" w:hAnsi="宋体" w:eastAsia="宋体" w:cs="宋体"/>
          <w:bCs/>
          <w:color w:val="auto"/>
          <w:highlight w:val="none"/>
        </w:rPr>
        <w:t>对公开招标文件中采购需求（含资格要求、采购预算和评分办法）的质疑由采购人受理并负责答复；对公开招标文件中的采购执行程序的质疑由采购代理机构受理并负责答复。</w:t>
      </w:r>
    </w:p>
    <w:p w14:paraId="4FF85A71">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2）供应商认为采购过程使自己的权益受到损害的，应当在各采购程序环节结束之日起7个工作日内提出质疑。对采购过程中资格审查、符合性审查等具体评审情况的质疑应向采购人或代理机构提出，由采购人或代理机构受理并负责答复；对采购过程中采购执行程序的质疑由采购代理机构受理并负责答复。</w:t>
      </w:r>
    </w:p>
    <w:p w14:paraId="6F362B1F">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（3）供应商认为中标或者成交结果使自己的权益受到损害的，应当在中标或者成交结果公告期限届满之日起7个工作日内提出质疑，由采购人受理并负责答复。</w:t>
      </w:r>
    </w:p>
    <w:p w14:paraId="59302279">
      <w:pPr>
        <w:spacing w:line="360" w:lineRule="auto"/>
        <w:ind w:firstLine="422" w:firstLineChars="200"/>
        <w:rPr>
          <w:rFonts w:hint="eastAsia" w:ascii="宋体" w:hAnsi="宋体" w:eastAsia="宋体" w:cs="宋体"/>
          <w:bCs/>
          <w:color w:val="auto"/>
          <w:szCs w:val="21"/>
          <w:highlight w:val="none"/>
        </w:rPr>
      </w:pPr>
      <w:r>
        <w:rPr>
          <w:rFonts w:hint="eastAsia" w:ascii="宋体" w:hAnsi="宋体" w:eastAsia="宋体" w:cs="宋体"/>
          <w:b/>
          <w:bCs/>
          <w:color w:val="auto"/>
          <w:szCs w:val="21"/>
          <w:highlight w:val="none"/>
        </w:rPr>
        <w:t>38.2.2</w:t>
      </w:r>
      <w:r>
        <w:rPr>
          <w:rFonts w:hint="eastAsia" w:ascii="宋体" w:hAnsi="宋体" w:eastAsia="宋体" w:cs="宋体"/>
          <w:bCs/>
          <w:color w:val="auto"/>
          <w:szCs w:val="21"/>
          <w:highlight w:val="none"/>
        </w:rPr>
        <w:t>供应商质疑实行实名制，其质疑应当有具体的质疑事项及事实根据，质疑应当坚持依法依规、诚实信用原则，不得进行虚假、恶意质疑。</w:t>
      </w:r>
    </w:p>
    <w:p w14:paraId="2DDD51CB">
      <w:pPr>
        <w:spacing w:line="360" w:lineRule="auto"/>
        <w:ind w:firstLine="422" w:firstLineChars="200"/>
        <w:rPr>
          <w:rFonts w:hint="eastAsia" w:ascii="宋体" w:hAnsi="宋体" w:eastAsia="宋体" w:cs="宋体"/>
          <w:bCs/>
          <w:color w:val="auto"/>
          <w:highlight w:val="none"/>
        </w:rPr>
      </w:pPr>
      <w:r>
        <w:rPr>
          <w:rFonts w:hint="eastAsia" w:ascii="宋体" w:hAnsi="宋体" w:eastAsia="宋体" w:cs="宋体"/>
          <w:b/>
          <w:bCs/>
          <w:color w:val="auto"/>
          <w:highlight w:val="none"/>
        </w:rPr>
        <w:t>38.2.3</w:t>
      </w:r>
      <w:r>
        <w:rPr>
          <w:rFonts w:hint="eastAsia" w:ascii="宋体" w:hAnsi="宋体" w:eastAsia="宋体" w:cs="宋体"/>
          <w:bCs/>
          <w:color w:val="auto"/>
          <w:highlight w:val="none"/>
        </w:rPr>
        <w:t xml:space="preserve"> 质疑供应商可以委托代理人办理质疑事务。委托代理人应熟悉相关业务情况。代理人办理质疑事务时，除提交质疑书外，还应当提交质疑供应商的授权委托书和委托代理人身份证明复印件</w:t>
      </w:r>
      <w:r>
        <w:rPr>
          <w:rFonts w:hint="eastAsia" w:ascii="宋体" w:hAnsi="宋体" w:eastAsia="宋体" w:cs="宋体"/>
          <w:color w:val="auto"/>
          <w:highlight w:val="none"/>
        </w:rPr>
        <w:t>。</w:t>
      </w:r>
    </w:p>
    <w:p w14:paraId="66FBE45A">
      <w:pPr>
        <w:spacing w:line="360" w:lineRule="auto"/>
        <w:ind w:firstLine="422"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rPr>
        <w:t>38.2.4 质疑供应商提起质疑应当符合下列条件：</w:t>
      </w:r>
    </w:p>
    <w:p w14:paraId="0DC55E3B">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（1）质疑供应商是参与所质疑</w:t>
      </w:r>
      <w:r>
        <w:rPr>
          <w:rFonts w:hint="eastAsia" w:ascii="宋体" w:hAnsi="宋体" w:eastAsia="宋体" w:cs="宋体"/>
          <w:bCs/>
          <w:color w:val="auto"/>
          <w:szCs w:val="21"/>
          <w:highlight w:val="none"/>
        </w:rPr>
        <w:t>项目</w:t>
      </w:r>
      <w:r>
        <w:rPr>
          <w:rFonts w:hint="eastAsia" w:ascii="宋体" w:hAnsi="宋体" w:eastAsia="宋体" w:cs="宋体"/>
          <w:bCs/>
          <w:color w:val="auto"/>
          <w:highlight w:val="none"/>
        </w:rPr>
        <w:t>采购活动的供应商（潜在供应商已依法获取可之一的采购文件的，可以对该采购文件质疑）；</w:t>
      </w:r>
    </w:p>
    <w:p w14:paraId="24046F0F">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（2）质疑函内容符合本章第38.2.5项的规定；</w:t>
      </w:r>
    </w:p>
    <w:p w14:paraId="371D7B93">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（3）在质疑有效期限内提起质疑；</w:t>
      </w:r>
    </w:p>
    <w:p w14:paraId="0476BF68">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（4）属于所质疑的采购人或采购人委托的采购代理机构组织的采购活动；</w:t>
      </w:r>
    </w:p>
    <w:p w14:paraId="29907D09">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 xml:space="preserve">（5）同一质疑事项未经采购人或采购人委托的采购代理机构质疑处理； </w:t>
      </w:r>
    </w:p>
    <w:p w14:paraId="2D3BA239">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（6）供应商对同一采购程序环节的质疑应当在质疑有效期内一次性提出；</w:t>
      </w:r>
    </w:p>
    <w:p w14:paraId="02D7B08A">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（7）供应商提交质疑应当提交必要的证明材料，证明材料应以合法手段取得；</w:t>
      </w:r>
    </w:p>
    <w:p w14:paraId="461DDDC3">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bCs/>
          <w:color w:val="auto"/>
          <w:highlight w:val="none"/>
        </w:rPr>
        <w:t>（8）财政部门规定的其他条件。</w:t>
      </w:r>
    </w:p>
    <w:p w14:paraId="5B0C807F">
      <w:pPr>
        <w:spacing w:line="360" w:lineRule="auto"/>
        <w:ind w:firstLine="420" w:firstLineChars="200"/>
        <w:rPr>
          <w:rFonts w:hint="eastAsia" w:ascii="宋体" w:hAnsi="宋体" w:eastAsia="宋体" w:cs="宋体"/>
          <w:b/>
          <w:color w:val="auto"/>
          <w:szCs w:val="21"/>
          <w:highlight w:val="none"/>
        </w:rPr>
      </w:pPr>
      <w:bookmarkStart w:id="135" w:name="_9.2质疑、投诉应当采用书面形式，质疑函、投诉书均应明确阐述招标文件、"/>
      <w:bookmarkEnd w:id="135"/>
      <w:r>
        <w:rPr>
          <w:rFonts w:hint="eastAsia" w:ascii="宋体" w:hAnsi="宋体" w:eastAsia="宋体" w:cs="宋体"/>
          <w:color w:val="auto"/>
          <w:szCs w:val="21"/>
          <w:highlight w:val="none"/>
        </w:rPr>
        <w:t xml:space="preserve"> 38.2.5 </w:t>
      </w:r>
      <w:r>
        <w:rPr>
          <w:rFonts w:hint="eastAsia" w:ascii="宋体" w:hAnsi="宋体" w:eastAsia="宋体" w:cs="宋体"/>
          <w:bCs/>
          <w:color w:val="auto"/>
          <w:highlight w:val="none"/>
        </w:rPr>
        <w:t>供应商提出质疑应当提交质疑函和必要的证明材料，针对同一采购程序环节的质疑必须在法定质疑期内一次性提出。质疑函应当包括下列内容（质疑函格式后附）：</w:t>
      </w:r>
    </w:p>
    <w:p w14:paraId="6FEFD234">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（1）供应商的姓名或者名称、地址、邮编、联系人及联系电话；</w:t>
      </w:r>
    </w:p>
    <w:p w14:paraId="1D791DBD">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（2）质疑项目的名称、编号；</w:t>
      </w:r>
    </w:p>
    <w:p w14:paraId="7FA48BB5">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（3）具体、明确的质疑事项和与质疑事项相关的请求；</w:t>
      </w:r>
    </w:p>
    <w:p w14:paraId="67078C36">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（4）事实依据（列明权益受到损害的事实和理由）；</w:t>
      </w:r>
    </w:p>
    <w:p w14:paraId="011E2CC1">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（5）必要的法律依据；</w:t>
      </w:r>
    </w:p>
    <w:p w14:paraId="1B2F7E96">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（6）提出质疑的日期。</w:t>
      </w:r>
    </w:p>
    <w:p w14:paraId="76AF899B">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供应商为自然人的，应当由本人签字；供应商为法人或者其他组织的，应当由法定代表人、主要负责人，或者其委托代理人签字或者盖章，并加盖公章。</w:t>
      </w:r>
    </w:p>
    <w:p w14:paraId="565C946E">
      <w:pPr>
        <w:spacing w:line="360" w:lineRule="auto"/>
        <w:ind w:firstLine="422" w:firstLineChars="200"/>
        <w:rPr>
          <w:rFonts w:hint="eastAsia" w:ascii="宋体" w:hAnsi="宋体" w:eastAsia="宋体" w:cs="宋体"/>
          <w:b/>
          <w:color w:val="auto"/>
          <w:szCs w:val="20"/>
          <w:highlight w:val="none"/>
        </w:rPr>
      </w:pPr>
      <w:r>
        <w:rPr>
          <w:rFonts w:hint="eastAsia" w:ascii="宋体" w:hAnsi="宋体" w:eastAsia="宋体" w:cs="宋体"/>
          <w:b/>
          <w:color w:val="auto"/>
          <w:szCs w:val="20"/>
          <w:highlight w:val="none"/>
        </w:rPr>
        <w:t>38.2.6采购人或采购人委托的采购代理机构在收到质疑函后7个工作日内作出答复，并以书面形式通知质疑供应商及其他有关供应商。对不符合质疑条件的质疑，答复不予受理，并说明理由；对符合质疑条件的质疑，对质疑事项作出答复</w:t>
      </w:r>
    </w:p>
    <w:p w14:paraId="5ED9382D">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bCs/>
          <w:color w:val="auto"/>
          <w:szCs w:val="21"/>
          <w:highlight w:val="none"/>
        </w:rPr>
        <w:t>8.2.7采购人、采购代理机构认为供应商质疑不成立，或者成立但未对中标结果构成影响的，继续开展采购活动；认为供应商质疑成立且影响或者可能影响中标结果的，按照下列情况处理：</w:t>
      </w:r>
    </w:p>
    <w:p w14:paraId="29A59E74">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　　（一）对招标文件提出的质疑，依法通过澄清或者修改可以继续开展采购活动的，澄清或者修改招标文件后继续开展采购活动；否则应当修改招标文件后重新开展采购活动。</w:t>
      </w:r>
    </w:p>
    <w:p w14:paraId="0538AF71">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　　（二）对采购过程、中标结果提出的质疑，合格供应商符合法定数量时，可以从合格的中标候选人中另行确定中标供应商的，应当依法另行确定中标供应商；否则应当重新开展采购活动。</w:t>
      </w:r>
    </w:p>
    <w:p w14:paraId="588F8297">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质疑答复导致中标结果改变的，采购人或者采购代理机构应当将有关情况书面报告本级财政部门。</w:t>
      </w:r>
    </w:p>
    <w:p w14:paraId="1B754028">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38.3投诉</w:t>
      </w:r>
    </w:p>
    <w:p w14:paraId="3B6A418E">
      <w:pPr>
        <w:spacing w:line="360" w:lineRule="auto"/>
        <w:ind w:firstLine="422" w:firstLineChars="200"/>
        <w:rPr>
          <w:rFonts w:hint="eastAsia" w:ascii="宋体" w:hAnsi="宋体" w:eastAsia="宋体" w:cs="宋体"/>
          <w:bCs/>
          <w:color w:val="auto"/>
          <w:highlight w:val="none"/>
        </w:rPr>
      </w:pPr>
      <w:r>
        <w:rPr>
          <w:rFonts w:hint="eastAsia" w:ascii="宋体" w:hAnsi="宋体" w:eastAsia="宋体" w:cs="宋体"/>
          <w:b/>
          <w:color w:val="auto"/>
          <w:highlight w:val="none"/>
        </w:rPr>
        <w:t>38.3</w:t>
      </w:r>
      <w:r>
        <w:rPr>
          <w:rFonts w:hint="eastAsia" w:ascii="宋体" w:hAnsi="宋体" w:eastAsia="宋体" w:cs="宋体"/>
          <w:bCs/>
          <w:color w:val="auto"/>
          <w:highlight w:val="none"/>
        </w:rPr>
        <w:t>.</w:t>
      </w:r>
      <w:r>
        <w:rPr>
          <w:rFonts w:hint="eastAsia" w:ascii="宋体" w:hAnsi="宋体" w:eastAsia="宋体" w:cs="宋体"/>
          <w:b/>
          <w:bCs/>
          <w:color w:val="auto"/>
          <w:highlight w:val="none"/>
        </w:rPr>
        <w:t xml:space="preserve">1 </w:t>
      </w:r>
      <w:r>
        <w:rPr>
          <w:rFonts w:hint="eastAsia" w:ascii="宋体" w:hAnsi="宋体" w:eastAsia="宋体" w:cs="宋体"/>
          <w:bCs/>
          <w:color w:val="auto"/>
          <w:highlight w:val="none"/>
        </w:rPr>
        <w:t xml:space="preserve"> 供应商认为采购文件、采购过程、中标和成交结果使自己的合法权益受到损害的，应当首先依法向采购人或采购人委托的</w:t>
      </w:r>
      <w:r>
        <w:rPr>
          <w:rFonts w:hint="eastAsia" w:ascii="宋体" w:hAnsi="宋体" w:eastAsia="宋体" w:cs="宋体"/>
          <w:color w:val="auto"/>
          <w:highlight w:val="none"/>
        </w:rPr>
        <w:t>采购代理机构</w:t>
      </w:r>
      <w:r>
        <w:rPr>
          <w:rFonts w:hint="eastAsia" w:ascii="宋体" w:hAnsi="宋体" w:eastAsia="宋体" w:cs="宋体"/>
          <w:bCs/>
          <w:color w:val="auto"/>
          <w:highlight w:val="none"/>
        </w:rPr>
        <w:t>提出质疑。对采购人、</w:t>
      </w:r>
      <w:r>
        <w:rPr>
          <w:rFonts w:hint="eastAsia" w:ascii="宋体" w:hAnsi="宋体" w:eastAsia="宋体" w:cs="宋体"/>
          <w:color w:val="auto"/>
          <w:highlight w:val="none"/>
        </w:rPr>
        <w:t>采购代理机构</w:t>
      </w:r>
      <w:r>
        <w:rPr>
          <w:rFonts w:hint="eastAsia" w:ascii="宋体" w:hAnsi="宋体" w:eastAsia="宋体" w:cs="宋体"/>
          <w:bCs/>
          <w:color w:val="auto"/>
          <w:highlight w:val="none"/>
        </w:rPr>
        <w:t>的答复不满意，或者采购人、</w:t>
      </w:r>
      <w:r>
        <w:rPr>
          <w:rFonts w:hint="eastAsia" w:ascii="宋体" w:hAnsi="宋体" w:eastAsia="宋体" w:cs="宋体"/>
          <w:color w:val="auto"/>
          <w:highlight w:val="none"/>
        </w:rPr>
        <w:t>采购代理机构</w:t>
      </w:r>
      <w:r>
        <w:rPr>
          <w:rFonts w:hint="eastAsia" w:ascii="宋体" w:hAnsi="宋体" w:eastAsia="宋体" w:cs="宋体"/>
          <w:bCs/>
          <w:color w:val="auto"/>
          <w:highlight w:val="none"/>
        </w:rPr>
        <w:t>未在规定期限内做出答复的，供应商可以在答复期满后15个工作日内向南宁市政府采购监督管理部门提起投诉，投诉方式见“投标人须知前附表”。</w:t>
      </w:r>
    </w:p>
    <w:p w14:paraId="45E3B7C3">
      <w:pPr>
        <w:spacing w:line="360" w:lineRule="auto"/>
        <w:ind w:firstLine="422" w:firstLineChars="200"/>
        <w:rPr>
          <w:rFonts w:hint="eastAsia" w:ascii="宋体" w:hAnsi="宋体" w:eastAsia="宋体" w:cs="宋体"/>
          <w:bCs/>
          <w:color w:val="auto"/>
          <w:highlight w:val="none"/>
        </w:rPr>
      </w:pPr>
      <w:r>
        <w:rPr>
          <w:rFonts w:hint="eastAsia" w:ascii="宋体" w:hAnsi="宋体" w:eastAsia="宋体" w:cs="宋体"/>
          <w:b/>
          <w:color w:val="auto"/>
          <w:highlight w:val="none"/>
        </w:rPr>
        <w:t xml:space="preserve">38.3.2 </w:t>
      </w:r>
      <w:r>
        <w:rPr>
          <w:rFonts w:hint="eastAsia" w:ascii="宋体" w:hAnsi="宋体" w:eastAsia="宋体" w:cs="宋体"/>
          <w:color w:val="auto"/>
          <w:highlight w:val="none"/>
        </w:rPr>
        <w:t xml:space="preserve"> 投诉人投诉时，应当提交投诉书，并按照被投诉采购人、采购代理机构和与投诉事项有关的供应商数量提供投诉书的副本。投诉书</w:t>
      </w:r>
      <w:r>
        <w:rPr>
          <w:rFonts w:hint="eastAsia" w:ascii="宋体" w:hAnsi="宋体" w:eastAsia="宋体" w:cs="宋体"/>
          <w:color w:val="auto"/>
          <w:szCs w:val="21"/>
          <w:highlight w:val="none"/>
        </w:rPr>
        <w:t>应当包括下列主要内容</w:t>
      </w:r>
      <w:r>
        <w:rPr>
          <w:rFonts w:hint="eastAsia" w:ascii="宋体" w:hAnsi="宋体" w:eastAsia="宋体" w:cs="宋体"/>
          <w:color w:val="auto"/>
          <w:highlight w:val="none"/>
        </w:rPr>
        <w:t>（如材料中有外文资料应同时附上对应的中文译本）</w:t>
      </w:r>
      <w:r>
        <w:rPr>
          <w:rFonts w:hint="eastAsia" w:ascii="宋体" w:hAnsi="宋体" w:eastAsia="宋体" w:cs="宋体"/>
          <w:bCs/>
          <w:color w:val="auto"/>
          <w:highlight w:val="none"/>
        </w:rPr>
        <w:t>（投诉书格式后附）</w:t>
      </w:r>
      <w:r>
        <w:rPr>
          <w:rFonts w:hint="eastAsia" w:ascii="宋体" w:hAnsi="宋体" w:eastAsia="宋体" w:cs="宋体"/>
          <w:color w:val="auto"/>
          <w:szCs w:val="21"/>
          <w:highlight w:val="none"/>
        </w:rPr>
        <w:t>：</w:t>
      </w:r>
    </w:p>
    <w:p w14:paraId="0CEC8891">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（1）投诉人和被投诉人的名称、地址、邮编、联系人及联系电话等； </w:t>
      </w:r>
    </w:p>
    <w:p w14:paraId="11F69523">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（2）质疑和质疑答复情况及相关证明材料； </w:t>
      </w:r>
    </w:p>
    <w:p w14:paraId="18688E6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（3）具体、明确的投诉事项和与投诉事项相关的投诉请求；</w:t>
      </w:r>
    </w:p>
    <w:p w14:paraId="5D482C39">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（4）事实依据；</w:t>
      </w:r>
    </w:p>
    <w:p w14:paraId="620F38E8">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（5）法律依据；</w:t>
      </w:r>
    </w:p>
    <w:p w14:paraId="4BAE07F6">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（6）提起投诉的日期。</w:t>
      </w:r>
    </w:p>
    <w:p w14:paraId="43A2EF22">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（7）附件材料：营业执照副本内页复印件（要求证件有效并清晰反映企业法人经营范围；近期连续三个月依法缴纳税收和在职职工社会保障资金证明材料（复印件）。</w:t>
      </w:r>
      <w:r>
        <w:rPr>
          <w:rFonts w:hint="eastAsia" w:ascii="宋体" w:hAnsi="宋体" w:eastAsia="宋体" w:cs="宋体"/>
          <w:color w:val="auto"/>
          <w:highlight w:val="none"/>
        </w:rPr>
        <w:tab/>
      </w:r>
    </w:p>
    <w:p w14:paraId="1557977C">
      <w:pPr>
        <w:spacing w:line="360" w:lineRule="auto"/>
        <w:ind w:firstLine="422" w:firstLineChars="200"/>
        <w:rPr>
          <w:rFonts w:hint="eastAsia" w:ascii="宋体" w:hAnsi="宋体" w:eastAsia="宋体" w:cs="宋体"/>
          <w:bCs/>
          <w:color w:val="auto"/>
          <w:highlight w:val="none"/>
        </w:rPr>
      </w:pPr>
      <w:r>
        <w:rPr>
          <w:rFonts w:hint="eastAsia" w:ascii="宋体" w:hAnsi="宋体" w:eastAsia="宋体" w:cs="宋体"/>
          <w:b/>
          <w:color w:val="auto"/>
          <w:highlight w:val="none"/>
        </w:rPr>
        <w:t xml:space="preserve">38.3.3  </w:t>
      </w:r>
      <w:r>
        <w:rPr>
          <w:rFonts w:hint="eastAsia" w:ascii="宋体" w:hAnsi="宋体" w:eastAsia="宋体" w:cs="宋体"/>
          <w:color w:val="auto"/>
          <w:highlight w:val="none"/>
        </w:rPr>
        <w:t>投诉人可以委托代理人办理投诉事务。</w:t>
      </w:r>
      <w:r>
        <w:rPr>
          <w:rFonts w:hint="eastAsia" w:ascii="宋体" w:hAnsi="宋体" w:eastAsia="宋体" w:cs="宋体"/>
          <w:bCs/>
          <w:color w:val="auto"/>
          <w:highlight w:val="none"/>
        </w:rPr>
        <w:t>委托代理人应熟悉相关业务情况。</w:t>
      </w:r>
      <w:r>
        <w:rPr>
          <w:rFonts w:hint="eastAsia" w:ascii="宋体" w:hAnsi="宋体" w:eastAsia="宋体" w:cs="宋体"/>
          <w:color w:val="auto"/>
          <w:highlight w:val="none"/>
        </w:rPr>
        <w:t>代理人办理投诉事务时，除提交投诉书外，还应当提交投诉人的授权委托书和委托代理人身份证明复印件。</w:t>
      </w:r>
    </w:p>
    <w:p w14:paraId="1CCA3F84">
      <w:pPr>
        <w:spacing w:line="360" w:lineRule="auto"/>
        <w:ind w:firstLine="422" w:firstLineChars="200"/>
        <w:rPr>
          <w:rFonts w:hint="eastAsia" w:ascii="宋体" w:hAnsi="宋体" w:eastAsia="宋体" w:cs="宋体"/>
          <w:color w:val="auto"/>
          <w:highlight w:val="none"/>
        </w:rPr>
      </w:pPr>
      <w:r>
        <w:rPr>
          <w:rFonts w:hint="eastAsia" w:ascii="宋体" w:hAnsi="宋体" w:eastAsia="宋体" w:cs="宋体"/>
          <w:b/>
          <w:color w:val="auto"/>
          <w:highlight w:val="none"/>
        </w:rPr>
        <w:t>38.3.4</w:t>
      </w:r>
      <w:r>
        <w:rPr>
          <w:rFonts w:hint="eastAsia" w:ascii="宋体" w:hAnsi="宋体" w:eastAsia="宋体" w:cs="宋体"/>
          <w:color w:val="auto"/>
          <w:highlight w:val="none"/>
        </w:rPr>
        <w:t xml:space="preserve">  投诉人提起投诉应当符合下列条件：</w:t>
      </w:r>
    </w:p>
    <w:p w14:paraId="7A2D604D">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（1）投诉人是参与所投诉政府采购活动的供应商；</w:t>
      </w:r>
    </w:p>
    <w:p w14:paraId="11AB24E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（2）提起投诉前已依法进行质疑；</w:t>
      </w:r>
    </w:p>
    <w:p w14:paraId="40F8A890">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（3）投诉书内容符合本章第38.3.2项的规定；</w:t>
      </w:r>
    </w:p>
    <w:p w14:paraId="321020E3">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（4）在投诉有效期限内提起投诉；</w:t>
      </w:r>
    </w:p>
    <w:p w14:paraId="0CCCD798">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（5）属于南宁市政府采购监督管理部门管辖；</w:t>
      </w:r>
    </w:p>
    <w:p w14:paraId="7EA6089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（6）同一投诉事项未经</w:t>
      </w:r>
      <w:r>
        <w:rPr>
          <w:rFonts w:hint="eastAsia" w:ascii="宋体" w:hAnsi="宋体" w:eastAsia="宋体" w:cs="宋体"/>
          <w:bCs/>
          <w:color w:val="auto"/>
          <w:highlight w:val="none"/>
        </w:rPr>
        <w:t>南宁市政府采购监督管理部门</w:t>
      </w:r>
      <w:r>
        <w:rPr>
          <w:rFonts w:hint="eastAsia" w:ascii="宋体" w:hAnsi="宋体" w:eastAsia="宋体" w:cs="宋体"/>
          <w:color w:val="auto"/>
          <w:highlight w:val="none"/>
        </w:rPr>
        <w:t>投诉处理；</w:t>
      </w:r>
    </w:p>
    <w:p w14:paraId="5CDCD219">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（7）国务院财政部门规定的其他条件。</w:t>
      </w:r>
    </w:p>
    <w:p w14:paraId="17674212">
      <w:pPr>
        <w:spacing w:line="360" w:lineRule="auto"/>
        <w:ind w:firstLine="422" w:firstLineChars="200"/>
        <w:rPr>
          <w:rFonts w:hint="eastAsia" w:ascii="宋体" w:hAnsi="宋体" w:eastAsia="宋体" w:cs="宋体"/>
          <w:color w:val="auto"/>
          <w:highlight w:val="none"/>
        </w:rPr>
      </w:pPr>
      <w:r>
        <w:rPr>
          <w:rFonts w:hint="eastAsia" w:ascii="宋体" w:hAnsi="宋体" w:eastAsia="宋体" w:cs="宋体"/>
          <w:b/>
          <w:color w:val="auto"/>
          <w:highlight w:val="none"/>
        </w:rPr>
        <w:t>38.3.5</w:t>
      </w:r>
      <w:r>
        <w:rPr>
          <w:rFonts w:hint="eastAsia" w:ascii="宋体" w:hAnsi="宋体" w:eastAsia="宋体" w:cs="宋体"/>
          <w:color w:val="auto"/>
          <w:highlight w:val="none"/>
        </w:rPr>
        <w:t xml:space="preserve">  南宁市政府采购监督管理部门自受理投诉之日起30个工作日内，对投诉事项作出处理决定，并以书面形式通知投诉人、被投诉人及其他与投诉处理结果有利害关系的政府采购当事人。并将投诉结果在</w:t>
      </w:r>
      <w:r>
        <w:rPr>
          <w:rFonts w:hint="eastAsia" w:ascii="宋体" w:hAnsi="宋体" w:eastAsia="宋体" w:cs="宋体"/>
          <w:color w:val="auto"/>
          <w:kern w:val="0"/>
          <w:szCs w:val="21"/>
          <w:highlight w:val="none"/>
        </w:rPr>
        <w:t>“广西政府采购网”（http</w:t>
      </w:r>
      <w:r>
        <w:rPr>
          <w:rFonts w:hint="eastAsia" w:ascii="宋体" w:hAnsi="宋体" w:cs="宋体"/>
          <w:color w:val="auto"/>
          <w:kern w:val="0"/>
          <w:szCs w:val="21"/>
          <w:highlight w:val="none"/>
          <w:lang w:eastAsia="zh-CN"/>
        </w:rPr>
        <w:t>：</w:t>
      </w:r>
      <w:r>
        <w:rPr>
          <w:rFonts w:hint="eastAsia" w:ascii="宋体" w:hAnsi="宋体" w:eastAsia="宋体" w:cs="宋体"/>
          <w:color w:val="auto"/>
          <w:kern w:val="0"/>
          <w:szCs w:val="21"/>
          <w:highlight w:val="none"/>
        </w:rPr>
        <w:t>//zfcg.gxzf.gov.cn）</w:t>
      </w:r>
      <w:r>
        <w:rPr>
          <w:rFonts w:hint="eastAsia" w:ascii="宋体" w:hAnsi="宋体" w:eastAsia="宋体" w:cs="宋体"/>
          <w:color w:val="auto"/>
          <w:highlight w:val="none"/>
        </w:rPr>
        <w:t>发布。</w:t>
      </w:r>
    </w:p>
    <w:p w14:paraId="175AC737">
      <w:pPr>
        <w:spacing w:line="360" w:lineRule="auto"/>
        <w:ind w:firstLine="422" w:firstLineChars="200"/>
        <w:rPr>
          <w:rFonts w:hint="eastAsia" w:ascii="宋体" w:hAnsi="宋体" w:eastAsia="宋体" w:cs="宋体"/>
          <w:color w:val="auto"/>
          <w:highlight w:val="none"/>
        </w:rPr>
      </w:pPr>
      <w:r>
        <w:rPr>
          <w:rFonts w:hint="eastAsia" w:ascii="宋体" w:hAnsi="宋体" w:eastAsia="宋体" w:cs="宋体"/>
          <w:b/>
          <w:color w:val="auto"/>
          <w:highlight w:val="none"/>
        </w:rPr>
        <w:t>38.3.6</w:t>
      </w:r>
      <w:r>
        <w:rPr>
          <w:rFonts w:hint="eastAsia" w:ascii="宋体" w:hAnsi="宋体" w:eastAsia="宋体" w:cs="宋体"/>
          <w:color w:val="auto"/>
          <w:highlight w:val="none"/>
        </w:rPr>
        <w:t xml:space="preserve">  南宁市政府采购监督管理部门在处理投诉事项期间，可以视具体情况暂停采购活动。</w:t>
      </w:r>
    </w:p>
    <w:p w14:paraId="6541040B">
      <w:pPr>
        <w:snapToGrid w:val="0"/>
        <w:spacing w:line="360" w:lineRule="auto"/>
        <w:ind w:left="120" w:leftChars="57" w:firstLine="482" w:firstLineChars="150"/>
        <w:jc w:val="center"/>
        <w:outlineLvl w:val="2"/>
        <w:rPr>
          <w:rFonts w:hint="eastAsia" w:ascii="宋体" w:hAnsi="宋体" w:eastAsia="宋体" w:cs="宋体"/>
          <w:b/>
          <w:bCs/>
          <w:color w:val="auto"/>
          <w:sz w:val="32"/>
          <w:szCs w:val="32"/>
          <w:highlight w:val="none"/>
        </w:rPr>
      </w:pPr>
      <w:bookmarkStart w:id="136" w:name="_Toc27653"/>
      <w:r>
        <w:rPr>
          <w:rFonts w:hint="eastAsia" w:ascii="宋体" w:hAnsi="宋体" w:eastAsia="宋体" w:cs="宋体"/>
          <w:b/>
          <w:bCs/>
          <w:color w:val="auto"/>
          <w:sz w:val="32"/>
          <w:szCs w:val="32"/>
          <w:highlight w:val="none"/>
        </w:rPr>
        <w:t>八、验收</w:t>
      </w:r>
      <w:bookmarkEnd w:id="136"/>
    </w:p>
    <w:p w14:paraId="31C62A66">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39.验收</w:t>
      </w:r>
    </w:p>
    <w:p w14:paraId="3198BA23">
      <w:pPr>
        <w:tabs>
          <w:tab w:val="left" w:pos="0"/>
        </w:tabs>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39.1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7CCB705">
      <w:pPr>
        <w:tabs>
          <w:tab w:val="left" w:pos="0"/>
        </w:tabs>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39.2采购人可以邀请参加本项目的其他投标人或者第三方机构参与验收。参与验收的投标人或者第三方机构的意见作为验收书的参考资料一并存档。</w:t>
      </w:r>
    </w:p>
    <w:p w14:paraId="7CDFDFE4">
      <w:pPr>
        <w:tabs>
          <w:tab w:val="left" w:pos="0"/>
        </w:tabs>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39.3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2086358">
      <w:pPr>
        <w:tabs>
          <w:tab w:val="left" w:pos="0"/>
        </w:tabs>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39.4验收合格的项目，采购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54CC0A2A">
      <w:pPr>
        <w:pStyle w:val="11"/>
        <w:snapToGrid w:val="0"/>
        <w:spacing w:line="400" w:lineRule="exact"/>
        <w:rPr>
          <w:rFonts w:hint="eastAsia" w:ascii="宋体" w:hAnsi="宋体" w:eastAsia="宋体" w:cs="宋体"/>
          <w:color w:val="auto"/>
          <w:highlight w:val="none"/>
        </w:rPr>
      </w:pPr>
    </w:p>
    <w:p w14:paraId="2555E000">
      <w:pPr>
        <w:pStyle w:val="4"/>
        <w:keepNext w:val="0"/>
        <w:keepLines w:val="0"/>
        <w:spacing w:line="360" w:lineRule="auto"/>
        <w:jc w:val="center"/>
        <w:rPr>
          <w:rFonts w:hint="eastAsia" w:ascii="宋体" w:hAnsi="宋体" w:eastAsia="宋体" w:cs="宋体"/>
          <w:color w:val="auto"/>
          <w:highlight w:val="none"/>
        </w:rPr>
      </w:pPr>
      <w:bookmarkStart w:id="137" w:name="_八、其他事项"/>
      <w:bookmarkEnd w:id="137"/>
      <w:bookmarkStart w:id="138" w:name="_Toc16509"/>
      <w:r>
        <w:rPr>
          <w:rFonts w:hint="eastAsia" w:ascii="宋体" w:hAnsi="宋体" w:eastAsia="宋体" w:cs="宋体"/>
          <w:color w:val="auto"/>
          <w:highlight w:val="none"/>
        </w:rPr>
        <w:t>九、其他事项</w:t>
      </w:r>
      <w:bookmarkEnd w:id="138"/>
    </w:p>
    <w:p w14:paraId="340D679C">
      <w:pPr>
        <w:spacing w:line="360" w:lineRule="auto"/>
        <w:ind w:firstLine="480" w:firstLineChars="200"/>
        <w:rPr>
          <w:rFonts w:hint="eastAsia" w:ascii="宋体" w:hAnsi="宋体" w:eastAsia="宋体" w:cs="宋体"/>
          <w:color w:val="auto"/>
          <w:sz w:val="24"/>
          <w:highlight w:val="none"/>
        </w:rPr>
      </w:pPr>
      <w:bookmarkStart w:id="139" w:name="_42.代理服务费"/>
      <w:bookmarkEnd w:id="139"/>
      <w:r>
        <w:rPr>
          <w:rFonts w:hint="eastAsia" w:ascii="宋体" w:hAnsi="宋体" w:eastAsia="宋体" w:cs="宋体"/>
          <w:color w:val="auto"/>
          <w:sz w:val="24"/>
          <w:highlight w:val="none"/>
        </w:rPr>
        <w:t>40.代理服务费</w:t>
      </w:r>
    </w:p>
    <w:p w14:paraId="434BB7D1">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代理服务收费标准及缴费账户详见“投标人须知前附表”，投标人为联合体的，可以由联合体中的一方或者多方共同交纳代理服务费。</w:t>
      </w:r>
    </w:p>
    <w:p w14:paraId="263F81B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41. 需要补充的其他内容</w:t>
      </w:r>
    </w:p>
    <w:p w14:paraId="4E84209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41.1本招标文件解释规则详见“投标人须知前附表”。</w:t>
      </w:r>
    </w:p>
    <w:p w14:paraId="17074311">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41.2 其他事项详见“投标人须知前附表”。</w:t>
      </w:r>
    </w:p>
    <w:p w14:paraId="614C170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41.3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服务的人员为中小企业依照《中华人民共和国劳动合同法》订立劳动合同的从业人员，不对其中涉及的货物的制造商和工程承建商作出要求的，享受本文件规定的中小企业扶持政策。</w:t>
      </w:r>
    </w:p>
    <w:p w14:paraId="332E184F">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以联合体形式参加政府采购活动，联合体各方均为中小企业的，联合体视同中小企业。其中，联合体各方均为小微企业的，联合体视同小微企业。</w:t>
      </w:r>
    </w:p>
    <w:p w14:paraId="0D4ABE9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依据本文件规定享受扶持政策获得政府采购合同的，小微企业不得将合同分包给大中型企业，中型企业不得将合同分包给大型企业。</w:t>
      </w:r>
    </w:p>
    <w:p w14:paraId="0845539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42. 政采贷相关说明</w:t>
      </w:r>
    </w:p>
    <w:p w14:paraId="3F6C1B49">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为优化政府采购营商环境，缓解供应商资金难题，南宁市政府采购试行政府采购信用融资制度，中标供应商如有融资需求，可凭政府采购合同通过以下方式申请政府采购信用融资贷款：</w:t>
      </w:r>
    </w:p>
    <w:p w14:paraId="3E2F1753">
      <w:pPr>
        <w:numPr>
          <w:ilvl w:val="0"/>
          <w:numId w:val="2"/>
        </w:num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线下渠道：在“南宁市公共资源交易中心”官网（网址：</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"http://www.nnggzy.org.cn）\“交易信息-政府采购-政府采购信用融资\”中融资银行和南宁市企业融资服务中心专栏信息申请政府采购信用融资。" </w:instrText>
      </w:r>
      <w:r>
        <w:rPr>
          <w:rFonts w:hint="eastAsia" w:ascii="宋体" w:hAnsi="宋体" w:eastAsia="宋体" w:cs="宋体"/>
          <w:color w:val="auto"/>
          <w:highlight w:val="none"/>
        </w:rPr>
        <w:fldChar w:fldCharType="separate"/>
      </w:r>
      <w:r>
        <w:rPr>
          <w:rStyle w:val="23"/>
          <w:rFonts w:hint="eastAsia" w:ascii="宋体" w:hAnsi="宋体" w:eastAsia="宋体" w:cs="宋体"/>
          <w:color w:val="auto"/>
          <w:highlight w:val="none"/>
        </w:rPr>
        <w:t>http</w:t>
      </w:r>
      <w:r>
        <w:rPr>
          <w:rStyle w:val="23"/>
          <w:rFonts w:hint="eastAsia" w:ascii="宋体" w:hAnsi="宋体" w:cs="宋体"/>
          <w:color w:val="auto"/>
          <w:highlight w:val="none"/>
          <w:lang w:eastAsia="zh-CN"/>
        </w:rPr>
        <w:t>：</w:t>
      </w:r>
      <w:r>
        <w:rPr>
          <w:rStyle w:val="23"/>
          <w:rFonts w:hint="eastAsia" w:ascii="宋体" w:hAnsi="宋体" w:eastAsia="宋体" w:cs="宋体"/>
          <w:color w:val="auto"/>
          <w:highlight w:val="none"/>
        </w:rPr>
        <w:t>//www.nnggzy.org.cn）“交易信息-政府采购-政府采购信用融资”中融资银行和南宁市企业融资服务中心专栏信息申请政府采购信用融资。</w:t>
      </w:r>
      <w:r>
        <w:rPr>
          <w:rFonts w:hint="eastAsia" w:ascii="宋体" w:hAnsi="宋体" w:eastAsia="宋体" w:cs="宋体"/>
          <w:color w:val="auto"/>
          <w:highlight w:val="none"/>
        </w:rPr>
        <w:fldChar w:fldCharType="end"/>
      </w:r>
    </w:p>
    <w:p w14:paraId="66D1E765">
      <w:pPr>
        <w:numPr>
          <w:ilvl w:val="0"/>
          <w:numId w:val="2"/>
        </w:num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线上渠道：登录中征营应收账款融资服务平台（网址：https</w:t>
      </w:r>
      <w:r>
        <w:rPr>
          <w:rFonts w:hint="eastAsia" w:ascii="宋体" w:hAnsi="宋体" w:cs="宋体"/>
          <w:color w:val="auto"/>
          <w:highlight w:val="none"/>
          <w:lang w:eastAsia="zh-CN"/>
        </w:rPr>
        <w:t>：</w:t>
      </w:r>
      <w:r>
        <w:rPr>
          <w:rFonts w:hint="eastAsia" w:ascii="宋体" w:hAnsi="宋体" w:eastAsia="宋体" w:cs="宋体"/>
          <w:color w:val="auto"/>
          <w:highlight w:val="none"/>
        </w:rPr>
        <w:t>//www.crcrfsp.com，客服电话：400-009-0001），选择相关金融产品和银行业金融机构金融融资贷款。具体操作方式见《中国人民银行南宁中心支行广西壮族自治区财政厅关于推广线上“政采贷”融资模式的通知》（南宁银发〔2021〕258号）文（文件公开网址详情见：“广西政府采购网”——http</w:t>
      </w:r>
      <w:r>
        <w:rPr>
          <w:rFonts w:hint="eastAsia" w:ascii="宋体" w:hAnsi="宋体" w:cs="宋体"/>
          <w:color w:val="auto"/>
          <w:highlight w:val="none"/>
          <w:lang w:eastAsia="zh-CN"/>
        </w:rPr>
        <w:t>：</w:t>
      </w:r>
      <w:r>
        <w:rPr>
          <w:rFonts w:hint="eastAsia" w:ascii="宋体" w:hAnsi="宋体" w:eastAsia="宋体" w:cs="宋体"/>
          <w:color w:val="auto"/>
          <w:highlight w:val="none"/>
        </w:rPr>
        <w:t>//www.ccgp-guangxi.gov.cn/AdministrativeRegulations/AutonomousRegion/9830442.html）</w:t>
      </w:r>
      <w:r>
        <w:rPr>
          <w:rFonts w:hint="eastAsia" w:ascii="宋体" w:hAnsi="宋体" w:eastAsia="宋体" w:cs="宋体"/>
          <w:color w:val="auto"/>
          <w:highlight w:val="none"/>
        </w:rPr>
        <w:br w:type="page"/>
      </w:r>
      <w:bookmarkStart w:id="140" w:name="_Toc532545043"/>
    </w:p>
    <w:p w14:paraId="3C0AE258">
      <w:pPr>
        <w:pStyle w:val="11"/>
        <w:jc w:val="center"/>
        <w:outlineLvl w:val="0"/>
        <w:rPr>
          <w:rFonts w:hint="eastAsia" w:ascii="宋体" w:hAnsi="宋体" w:eastAsia="宋体" w:cs="宋体"/>
          <w:b/>
          <w:color w:val="auto"/>
          <w:sz w:val="36"/>
          <w:highlight w:val="none"/>
        </w:rPr>
      </w:pPr>
      <w:bookmarkStart w:id="141" w:name="_Toc18631"/>
      <w:bookmarkStart w:id="142" w:name="_Toc19788"/>
      <w:r>
        <w:rPr>
          <w:rFonts w:hint="eastAsia" w:ascii="宋体" w:hAnsi="宋体" w:eastAsia="宋体" w:cs="宋体"/>
          <w:b/>
          <w:color w:val="auto"/>
          <w:sz w:val="36"/>
          <w:highlight w:val="none"/>
        </w:rPr>
        <w:t>第四章  评标方法</w:t>
      </w:r>
      <w:bookmarkEnd w:id="140"/>
      <w:r>
        <w:rPr>
          <w:rFonts w:hint="eastAsia" w:ascii="宋体" w:hAnsi="宋体" w:eastAsia="宋体" w:cs="宋体"/>
          <w:b/>
          <w:color w:val="auto"/>
          <w:sz w:val="36"/>
          <w:highlight w:val="none"/>
        </w:rPr>
        <w:t>及评分标准</w:t>
      </w:r>
      <w:bookmarkEnd w:id="141"/>
      <w:bookmarkEnd w:id="142"/>
    </w:p>
    <w:p w14:paraId="648B2B43">
      <w:pPr>
        <w:pStyle w:val="11"/>
        <w:jc w:val="center"/>
        <w:outlineLvl w:val="1"/>
        <w:rPr>
          <w:rFonts w:hint="eastAsia" w:ascii="宋体" w:hAnsi="宋体" w:eastAsia="宋体" w:cs="宋体"/>
          <w:b/>
          <w:bCs/>
          <w:color w:val="auto"/>
          <w:sz w:val="32"/>
          <w:szCs w:val="32"/>
          <w:highlight w:val="none"/>
        </w:rPr>
      </w:pPr>
      <w:bookmarkStart w:id="143" w:name="_Toc1758"/>
      <w:bookmarkStart w:id="144" w:name="_Toc9604"/>
      <w:r>
        <w:rPr>
          <w:rFonts w:hint="eastAsia" w:ascii="宋体" w:hAnsi="宋体" w:eastAsia="宋体" w:cs="宋体"/>
          <w:b/>
          <w:bCs/>
          <w:color w:val="auto"/>
          <w:sz w:val="32"/>
          <w:szCs w:val="32"/>
          <w:highlight w:val="none"/>
        </w:rPr>
        <w:t>第一节 评标方法</w:t>
      </w:r>
      <w:bookmarkEnd w:id="143"/>
      <w:bookmarkEnd w:id="144"/>
    </w:p>
    <w:p w14:paraId="4C9C5377">
      <w:pPr>
        <w:pStyle w:val="11"/>
        <w:tabs>
          <w:tab w:val="left" w:pos="2472"/>
        </w:tabs>
        <w:spacing w:line="4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本项目采用</w:t>
      </w:r>
      <w:r>
        <w:rPr>
          <w:rFonts w:hint="eastAsia" w:ascii="宋体" w:hAnsi="宋体" w:eastAsia="宋体" w:cs="宋体"/>
          <w:color w:val="auto"/>
          <w:szCs w:val="21"/>
          <w:highlight w:val="none"/>
          <w:u w:val="single"/>
        </w:rPr>
        <w:t xml:space="preserve"> 以下勾选的方式</w:t>
      </w:r>
      <w:r>
        <w:rPr>
          <w:rFonts w:hint="eastAsia" w:ascii="宋体" w:hAnsi="宋体" w:eastAsia="宋体" w:cs="宋体"/>
          <w:color w:val="auto"/>
          <w:szCs w:val="21"/>
          <w:highlight w:val="none"/>
        </w:rPr>
        <w:t>进行评审。</w:t>
      </w:r>
    </w:p>
    <w:p w14:paraId="36C7C27E">
      <w:pPr>
        <w:pStyle w:val="11"/>
        <w:spacing w:line="360" w:lineRule="auto"/>
        <w:ind w:firstLine="420"/>
        <w:rPr>
          <w:rFonts w:hint="eastAsia" w:ascii="宋体" w:hAnsi="宋体" w:eastAsia="宋体" w:cs="宋体"/>
          <w:color w:val="auto"/>
          <w:highlight w:val="none"/>
        </w:rPr>
      </w:pPr>
      <w:r>
        <w:rPr>
          <w:rFonts w:hint="eastAsia" w:ascii="宋体" w:hAnsi="宋体" w:eastAsia="宋体" w:cs="宋体"/>
          <w:color w:val="auto"/>
          <w:szCs w:val="21"/>
          <w:highlight w:val="none"/>
        </w:rPr>
        <w:t>□最低评标价法，是指投标文件满足招标文件</w:t>
      </w:r>
      <w:r>
        <w:rPr>
          <w:rFonts w:hint="eastAsia" w:ascii="宋体" w:hAnsi="宋体" w:eastAsia="宋体" w:cs="宋体"/>
          <w:color w:val="auto"/>
          <w:highlight w:val="none"/>
        </w:rPr>
        <w:t>全部实质性要求，且投标报价最低的投标人为中标候选人的评标方法。</w:t>
      </w:r>
    </w:p>
    <w:p w14:paraId="0ADF5C09">
      <w:pPr>
        <w:autoSpaceDE w:val="0"/>
        <w:autoSpaceDN w:val="0"/>
        <w:adjustRightInd w:val="0"/>
        <w:spacing w:line="440" w:lineRule="exact"/>
        <w:ind w:firstLine="420" w:firstLineChars="200"/>
        <w:rPr>
          <w:rFonts w:hint="eastAsia" w:ascii="宋体" w:hAnsi="宋体" w:eastAsia="宋体" w:cs="宋体"/>
          <w:color w:val="auto"/>
          <w:sz w:val="24"/>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rPr>
        <w:t>综合评分法，</w:t>
      </w:r>
      <w:r>
        <w:rPr>
          <w:rFonts w:hint="eastAsia" w:ascii="宋体" w:hAnsi="宋体" w:eastAsia="宋体" w:cs="宋体"/>
          <w:color w:val="auto"/>
          <w:szCs w:val="20"/>
          <w:highlight w:val="none"/>
        </w:rPr>
        <w:t xml:space="preserve">是指投标文件满足招标文件全部实质性要求，且按照评审因素的量化指标评审得分最高的投标人为中标候选人的评标方法。评标委员会将对各投标人的投标报价、技术和服务方案、投标人的企业实力及资质等方面进行综合评审，对实质上响应招标文件的投标人，由各评委独立记名打分。经统计，得出各投标人的综合得分,按综合得分由高到低顺序排列。若综合得分相同的，按投标报价由低到高顺序排列。若综合得分且投标报价相同的，货物类采购项目以技术性能得分较高者为先，服务类采购项目以实力信誉及业绩得分较高者为先。 </w:t>
      </w:r>
    </w:p>
    <w:p w14:paraId="48007621">
      <w:pPr>
        <w:pStyle w:val="11"/>
        <w:spacing w:line="360" w:lineRule="auto"/>
        <w:ind w:firstLine="420"/>
        <w:rPr>
          <w:rFonts w:hint="eastAsia" w:ascii="宋体" w:hAnsi="宋体" w:eastAsia="宋体" w:cs="宋体"/>
          <w:color w:val="auto"/>
          <w:highlight w:val="none"/>
        </w:rPr>
      </w:pPr>
    </w:p>
    <w:p w14:paraId="7582D8DA">
      <w:pPr>
        <w:pStyle w:val="11"/>
        <w:tabs>
          <w:tab w:val="left" w:pos="2472"/>
        </w:tabs>
        <w:spacing w:line="460" w:lineRule="exact"/>
        <w:jc w:val="center"/>
        <w:outlineLvl w:val="1"/>
        <w:rPr>
          <w:rFonts w:hint="eastAsia" w:ascii="宋体" w:hAnsi="宋体" w:eastAsia="宋体" w:cs="宋体"/>
          <w:b/>
          <w:bCs/>
          <w:color w:val="auto"/>
          <w:sz w:val="32"/>
          <w:szCs w:val="32"/>
          <w:highlight w:val="none"/>
        </w:rPr>
      </w:pPr>
      <w:bookmarkStart w:id="145" w:name="_Toc23151"/>
      <w:bookmarkStart w:id="146" w:name="_Toc16547"/>
      <w:r>
        <w:rPr>
          <w:rFonts w:hint="eastAsia" w:ascii="宋体" w:hAnsi="宋体" w:eastAsia="宋体" w:cs="宋体"/>
          <w:b/>
          <w:bCs/>
          <w:color w:val="auto"/>
          <w:sz w:val="32"/>
          <w:szCs w:val="32"/>
          <w:highlight w:val="none"/>
        </w:rPr>
        <w:t>第二节 评标程序</w:t>
      </w:r>
      <w:bookmarkEnd w:id="145"/>
      <w:bookmarkEnd w:id="146"/>
    </w:p>
    <w:p w14:paraId="54FC87C9">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1.符合性审查</w:t>
      </w:r>
    </w:p>
    <w:p w14:paraId="741B1B92">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评标委员会应当对符合资格的投标人的投标文件进行投标报价、商务、技术等实质性内容符合性审查，以确定其是否满足招标文件的实质性要求。</w:t>
      </w:r>
    </w:p>
    <w:p w14:paraId="14748968">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2.符合性审查不通过而导致投标无效的情形</w:t>
      </w:r>
    </w:p>
    <w:p w14:paraId="473F827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投标人的投标文件中存在对招标文件的任何实质性要求和条件的负偏离，将被视为投标无效。</w:t>
      </w:r>
    </w:p>
    <w:p w14:paraId="2262A8B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2.1在报价评审时，如发现下列情形之一的，将被视为投标无效：</w:t>
      </w:r>
    </w:p>
    <w:p w14:paraId="4C50FEB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（1）投标文件未提供“投标人须知前附表”第13.1条规定中“必须提供”的文件资料的;</w:t>
      </w:r>
    </w:p>
    <w:p w14:paraId="6234984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（2）未采用人民币报价或者未按照招标文件标明的币种报价的；</w:t>
      </w:r>
    </w:p>
    <w:p w14:paraId="188B62B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（3）报价超出招标文件规定最高限价，或者超出采购预算金额（包括分项预算）的；</w:t>
      </w:r>
    </w:p>
    <w:p w14:paraId="466F264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投标人未就所投分标进行报价或者存在漏项报价；投标人未就所投分标的单项内容作唯一报价；投标人未就所投分标的全部内容作唯一总价报价；存在有选择、有条件报价的（招标文件允许有备选方案或者其他约定的除外）；</w:t>
      </w:r>
    </w:p>
    <w:p w14:paraId="4E25B19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（5）修正后的报价，投标人不确认的；</w:t>
      </w:r>
    </w:p>
    <w:p w14:paraId="73F0312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（6）投标人属于本章第5条第（2）项情形的。</w:t>
      </w:r>
    </w:p>
    <w:p w14:paraId="543ECCF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2.2在商务评审时，如发现下列情形之一的，将被视为投标无效：</w:t>
      </w:r>
    </w:p>
    <w:p w14:paraId="7C8EFEE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（1）投标文件未按招标文件要求签署、盖章的；</w:t>
      </w:r>
    </w:p>
    <w:p w14:paraId="5608423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（2）委托代理人未能出具有效身份证明或者出具的身份证明与授权委托书中的信息不符的； </w:t>
      </w:r>
    </w:p>
    <w:p w14:paraId="70790E8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（3）投标文件未提供“投标人须知前附表”第13.1条规定中“必须提供”或者“委托时必须提供”的文件资料的;</w:t>
      </w:r>
    </w:p>
    <w:p w14:paraId="356B639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（4）投标有效期、项目完成时间（交货时间、服务完成时间或者服务期等）、质保期、售后服务等招标文件中标“▲”的商务条款发生负偏离的；</w:t>
      </w:r>
    </w:p>
    <w:p w14:paraId="38F4CF4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（5）商务条款评审允许负偏离的条款数超过“投标人须知前附表”规定项数的。</w:t>
      </w:r>
    </w:p>
    <w:p w14:paraId="0153561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（6）投标文件的实质性内容未使用中文表述、使用计量单位不符合招标文件要求的；</w:t>
      </w:r>
    </w:p>
    <w:p w14:paraId="3EB4F8F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（7）投标文件中的文件资料因填写不齐全或者内容虚假或者出现其他情形而导致被评标委员会认定无效的；</w:t>
      </w:r>
    </w:p>
    <w:p w14:paraId="382B2EC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（8）投标文件含有采购人不能接受的附加条件的；</w:t>
      </w:r>
    </w:p>
    <w:p w14:paraId="47A3DCC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（9）未响应招标文件实质性要求的；</w:t>
      </w:r>
    </w:p>
    <w:p w14:paraId="4957C16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（10）属于投标人须知正文第9.2条情形的；</w:t>
      </w:r>
    </w:p>
    <w:p w14:paraId="7881BD2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（11）法律、法规和招标文件规定的其他无效情形。</w:t>
      </w:r>
    </w:p>
    <w:p w14:paraId="25AC3CD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2.3在技术评审时，如发现下列情形之一的，将被视为投标无效：</w:t>
      </w:r>
    </w:p>
    <w:p w14:paraId="0ADDFD7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（1）不满足招标文件要求的服务内容、技术要求、安全、质量标准，或者与招标文件中标“▲”的技术需求发生负偏离的；</w:t>
      </w:r>
    </w:p>
    <w:p w14:paraId="4C430C3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（2）技术需求评审允许负偏离的条款数超过“投标人须知前附表”规定项数的；</w:t>
      </w:r>
    </w:p>
    <w:p w14:paraId="19CA21C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（3）投标文件未提供“投标人须知前附表”第13.1条规定中“必须提供”的文件资料的;</w:t>
      </w:r>
    </w:p>
    <w:p w14:paraId="2B8B026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（4）虚假投标，或者出现其他情形而导致被评标委员会认定无效的；</w:t>
      </w:r>
    </w:p>
    <w:p w14:paraId="6ACCAB6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（5）如招标文件需要提供技术方案的，投标技术方案不明确，招标文件未允许但存在一个或者一个以上备选（替代）投标方案的。</w:t>
      </w:r>
    </w:p>
    <w:p w14:paraId="4B54B0DC">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3.澄清补正、说明或者补正</w:t>
      </w:r>
    </w:p>
    <w:p w14:paraId="72741DC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对投标文件中含义不明确、同类问题表述不一致或者有明显文字和计算错误的内容，评标委员会应在</w:t>
      </w:r>
      <w:r>
        <w:rPr>
          <w:rFonts w:hint="eastAsia" w:ascii="宋体" w:hAnsi="宋体" w:cs="宋体"/>
          <w:color w:val="auto"/>
          <w:szCs w:val="21"/>
          <w:highlight w:val="none"/>
          <w:lang w:eastAsia="zh-CN"/>
        </w:rPr>
        <w:t>广西政府采购云平台</w:t>
      </w:r>
      <w:r>
        <w:rPr>
          <w:rFonts w:hint="eastAsia" w:ascii="宋体" w:hAnsi="宋体" w:eastAsia="宋体" w:cs="宋体"/>
          <w:color w:val="auto"/>
          <w:szCs w:val="21"/>
          <w:highlight w:val="none"/>
        </w:rPr>
        <w:t>发布电子澄清函，要求投标人在规定时间内作出必要的澄清、说明或者补正。投标人在</w:t>
      </w:r>
      <w:r>
        <w:rPr>
          <w:rFonts w:hint="eastAsia" w:ascii="宋体" w:hAnsi="宋体" w:cs="宋体"/>
          <w:color w:val="auto"/>
          <w:szCs w:val="21"/>
          <w:highlight w:val="none"/>
          <w:lang w:eastAsia="zh-CN"/>
        </w:rPr>
        <w:t>广西政府采购云平台</w:t>
      </w:r>
      <w:r>
        <w:rPr>
          <w:rFonts w:hint="eastAsia" w:ascii="宋体" w:hAnsi="宋体" w:eastAsia="宋体" w:cs="宋体"/>
          <w:color w:val="auto"/>
          <w:szCs w:val="21"/>
          <w:highlight w:val="none"/>
        </w:rPr>
        <w:t>接收到电子澄清函后根据澄清函内容上传PDF格式回函，电子澄清答复函使用CA证书加盖单位公章后在线上传至评标委员会。投标人的澄清、说明或者补正不得超出投标文件的范围或者改变投标文件的实质性内容。投标人未在规定时间内进行澄清、说明或者补正的，按无效投标处理。</w:t>
      </w:r>
    </w:p>
    <w:p w14:paraId="434949A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异常情况处理：如遇无法正常使用线上发送澄清函的情况，将启动书面形式办理。启动书面形式办理的情况下，评标委员会以书面形式要求投标人在规定时间内作出必要的澄清、说明或者补正。投标人的澄清、说明或者补正必须采用书面形式，并加盖公章，或者由法定代表人或者其授权的代表签字。</w:t>
      </w:r>
    </w:p>
    <w:p w14:paraId="7422FE9B">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4.投标文件修正</w:t>
      </w:r>
    </w:p>
    <w:p w14:paraId="2504529E">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4.1投标文件报价出现前后不一致的，按照下列规定修正： </w:t>
      </w:r>
    </w:p>
    <w:p w14:paraId="731F19DB">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（1）报价文件中“开标一览表”内容与投标文件中相应内容不一致的，以“开标一览表”为准；</w:t>
      </w:r>
    </w:p>
    <w:p w14:paraId="6D2E212E">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（2）大写金额和小写金额不一致的，以大写金额为准；</w:t>
      </w:r>
    </w:p>
    <w:p w14:paraId="308D53A5">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（3）单价金额小数点或者百分比有明显错位的，以开标一览表的总价为准，并修改单价；</w:t>
      </w:r>
    </w:p>
    <w:p w14:paraId="7C656C67">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（4）总价金额与按单价汇总金额不一致的，以单价金额计算结果为准。</w:t>
      </w:r>
    </w:p>
    <w:p w14:paraId="713CC561">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同时出现两种以上不一致的，按照以上（1）-（4）规定的顺序修正。修正后的报价经投标人确认后产生约束力，投标人不确认的，其投标无效。</w:t>
      </w:r>
    </w:p>
    <w:p w14:paraId="5EBD5A5F">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4.2经投标人确认修正后的报价若超过采购预算金额或者最高限价，投标人的投标文件作无效投标处理。</w:t>
      </w:r>
    </w:p>
    <w:p w14:paraId="573D24DC">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4.3经投标人确认修正后的报价作为签订合同的依据，并以此报价计算价格分。</w:t>
      </w:r>
    </w:p>
    <w:p w14:paraId="3E6EE2F6">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5.比较与评价</w:t>
      </w:r>
    </w:p>
    <w:p w14:paraId="586840FC">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5.1评标委员会按照招标文件中规定的评标方法和评标标准，对符合性审查合格的投标文件进行商务和技术评估，综合比较与评价。</w:t>
      </w:r>
    </w:p>
    <w:p w14:paraId="281DB31E">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5.2评标委员会独立对每个投标人的投标文件进行评价，并汇总每个投标人的得分。</w:t>
      </w:r>
    </w:p>
    <w:p w14:paraId="3CE4D6E9">
      <w:pPr>
        <w:keepNext w:val="0"/>
        <w:keepLines w:val="0"/>
        <w:pageBreakBefore w:val="0"/>
        <w:widowControl/>
        <w:numPr>
          <w:ilvl w:val="0"/>
          <w:numId w:val="3"/>
        </w:numPr>
        <w:kinsoku/>
        <w:wordWrap/>
        <w:overflowPunct/>
        <w:topLinePunct w:val="0"/>
        <w:autoSpaceDE/>
        <w:autoSpaceDN/>
        <w:bidi w:val="0"/>
        <w:adjustRightInd/>
        <w:snapToGrid/>
        <w:spacing w:after="150" w:line="360" w:lineRule="auto"/>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评审委员会成员要根据政府采购法律法规和采购文件所载明的评审方法、标准进行评审。对供应商的价格分等客观评分项的评分应当一致，对其他需要借助专业知识评判的主观评分项，应当严格按照评分细则公正评分。</w:t>
      </w:r>
    </w:p>
    <w:p w14:paraId="792B4266">
      <w:pPr>
        <w:keepNext w:val="0"/>
        <w:keepLines w:val="0"/>
        <w:pageBreakBefore w:val="0"/>
        <w:widowControl/>
        <w:numPr>
          <w:ilvl w:val="0"/>
          <w:numId w:val="3"/>
        </w:numPr>
        <w:kinsoku/>
        <w:wordWrap/>
        <w:overflowPunct/>
        <w:topLinePunct w:val="0"/>
        <w:autoSpaceDE/>
        <w:autoSpaceDN/>
        <w:bidi w:val="0"/>
        <w:adjustRightInd/>
        <w:snapToGrid/>
        <w:spacing w:after="150" w:line="360" w:lineRule="auto"/>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将其作为无效投标处理。</w:t>
      </w:r>
    </w:p>
    <w:p w14:paraId="13BA56A9">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5.3评标委员会按照招标文件中规定的评标方法和标准计算各投标人的报价得分。在计算过程中，不得去掉最高报价或者最低报价。</w:t>
      </w:r>
    </w:p>
    <w:p w14:paraId="57262FC3">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5.4各投标人的得分为所有评委的有效评分的算术平均数。</w:t>
      </w:r>
    </w:p>
    <w:p w14:paraId="7BE52678">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5.5评标委员会按照招标文件中的规定推荐中标候选人。</w:t>
      </w:r>
    </w:p>
    <w:p w14:paraId="3297A84F">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5.6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应当在评标报告上签署不同意见及理由，否则视为同意评标报告。</w:t>
      </w:r>
    </w:p>
    <w:p w14:paraId="390571C1">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6.评审复核</w:t>
      </w:r>
    </w:p>
    <w:p w14:paraId="59FA738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6.1评标报告签署前，评标委员会要对评审结果进行复核，复核意见要体现在评标报告中。</w:t>
      </w:r>
    </w:p>
    <w:p w14:paraId="52751824">
      <w:pPr>
        <w:widowControl/>
        <w:spacing w:line="560" w:lineRule="exact"/>
        <w:ind w:firstLine="420" w:firstLineChars="200"/>
        <w:jc w:val="left"/>
        <w:textAlignment w:val="baseline"/>
        <w:rPr>
          <w:rFonts w:hint="eastAsia" w:ascii="宋体" w:hAnsi="宋体" w:eastAsia="宋体" w:cs="宋体"/>
          <w:color w:val="auto"/>
          <w:highlight w:val="none"/>
        </w:rPr>
      </w:pPr>
      <w:r>
        <w:rPr>
          <w:rFonts w:hint="eastAsia" w:ascii="宋体" w:hAnsi="宋体" w:eastAsia="宋体" w:cs="宋体"/>
          <w:color w:val="auto"/>
          <w:highlight w:val="none"/>
        </w:rPr>
        <w:t>6.2评标结果汇总完成后，除下列情形外，任何人不得修改评标结果：</w:t>
      </w:r>
    </w:p>
    <w:p w14:paraId="7CEC28CC">
      <w:pPr>
        <w:widowControl/>
        <w:spacing w:line="560" w:lineRule="exact"/>
        <w:jc w:val="left"/>
        <w:textAlignment w:val="baseline"/>
        <w:rPr>
          <w:rFonts w:hint="eastAsia" w:ascii="宋体" w:hAnsi="宋体" w:eastAsia="宋体" w:cs="宋体"/>
          <w:color w:val="auto"/>
          <w:highlight w:val="none"/>
        </w:rPr>
      </w:pPr>
      <w:r>
        <w:rPr>
          <w:rFonts w:hint="eastAsia" w:ascii="宋体" w:hAnsi="宋体" w:eastAsia="宋体" w:cs="宋体"/>
          <w:color w:val="auto"/>
          <w:highlight w:val="none"/>
        </w:rPr>
        <w:t>　　（一）分值汇总计算错误的；</w:t>
      </w:r>
    </w:p>
    <w:p w14:paraId="5B815E34">
      <w:pPr>
        <w:widowControl/>
        <w:spacing w:line="560" w:lineRule="exact"/>
        <w:jc w:val="left"/>
        <w:textAlignment w:val="baseline"/>
        <w:rPr>
          <w:rFonts w:hint="eastAsia" w:ascii="宋体" w:hAnsi="宋体" w:eastAsia="宋体" w:cs="宋体"/>
          <w:color w:val="auto"/>
          <w:highlight w:val="none"/>
        </w:rPr>
      </w:pPr>
      <w:r>
        <w:rPr>
          <w:rFonts w:hint="eastAsia" w:ascii="宋体" w:hAnsi="宋体" w:eastAsia="宋体" w:cs="宋体"/>
          <w:color w:val="auto"/>
          <w:highlight w:val="none"/>
        </w:rPr>
        <w:t>　　（二）分项评分超出评分标准范围的；</w:t>
      </w:r>
    </w:p>
    <w:p w14:paraId="073F15C0">
      <w:pPr>
        <w:widowControl/>
        <w:spacing w:line="560" w:lineRule="exact"/>
        <w:jc w:val="left"/>
        <w:textAlignment w:val="baseline"/>
        <w:rPr>
          <w:rFonts w:hint="eastAsia" w:ascii="宋体" w:hAnsi="宋体" w:eastAsia="宋体" w:cs="宋体"/>
          <w:color w:val="auto"/>
          <w:highlight w:val="none"/>
        </w:rPr>
      </w:pPr>
      <w:r>
        <w:rPr>
          <w:rFonts w:hint="eastAsia" w:ascii="宋体" w:hAnsi="宋体" w:eastAsia="宋体" w:cs="宋体"/>
          <w:color w:val="auto"/>
          <w:highlight w:val="none"/>
        </w:rPr>
        <w:t>　　（三）评标委员会成员对客观评审因素评分不一致的；</w:t>
      </w:r>
    </w:p>
    <w:p w14:paraId="16A59D42">
      <w:pPr>
        <w:widowControl/>
        <w:spacing w:line="560" w:lineRule="exact"/>
        <w:jc w:val="left"/>
        <w:textAlignment w:val="baseline"/>
        <w:rPr>
          <w:rFonts w:hint="eastAsia" w:ascii="宋体" w:hAnsi="宋体" w:eastAsia="宋体" w:cs="宋体"/>
          <w:color w:val="auto"/>
          <w:highlight w:val="none"/>
        </w:rPr>
      </w:pPr>
      <w:r>
        <w:rPr>
          <w:rFonts w:hint="eastAsia" w:ascii="宋体" w:hAnsi="宋体" w:eastAsia="宋体" w:cs="宋体"/>
          <w:color w:val="auto"/>
          <w:highlight w:val="none"/>
        </w:rPr>
        <w:t>　　（四）经评标委员会认定评分畸高、畸低的。</w:t>
      </w:r>
    </w:p>
    <w:p w14:paraId="3E50D7A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16761579">
      <w:pPr>
        <w:pStyle w:val="3"/>
        <w:jc w:val="center"/>
        <w:rPr>
          <w:rFonts w:hint="eastAsia" w:ascii="宋体" w:hAnsi="宋体" w:eastAsia="宋体" w:cs="宋体"/>
          <w:b w:val="0"/>
          <w:color w:val="auto"/>
          <w:sz w:val="30"/>
          <w:szCs w:val="30"/>
          <w:highlight w:val="none"/>
        </w:rPr>
      </w:pPr>
      <w:bookmarkStart w:id="147" w:name="_Toc16406"/>
      <w:bookmarkStart w:id="148" w:name="_Toc5755"/>
      <w:r>
        <w:rPr>
          <w:rFonts w:hint="eastAsia" w:ascii="宋体" w:hAnsi="宋体" w:eastAsia="宋体" w:cs="宋体"/>
          <w:b w:val="0"/>
          <w:color w:val="auto"/>
          <w:sz w:val="30"/>
          <w:szCs w:val="30"/>
          <w:highlight w:val="none"/>
        </w:rPr>
        <w:t>第三节 评分标准</w:t>
      </w:r>
      <w:bookmarkEnd w:id="147"/>
      <w:bookmarkEnd w:id="148"/>
    </w:p>
    <w:p w14:paraId="71633CC8">
      <w:pPr>
        <w:spacing w:line="360" w:lineRule="auto"/>
        <w:ind w:firstLine="602" w:firstLineChars="200"/>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一、最低评标价法</w:t>
      </w:r>
    </w:p>
    <w:p w14:paraId="506BBEDC">
      <w:pPr>
        <w:pStyle w:val="11"/>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通过资格审查、符合性审查的投标人，评标委员会将按照有效报价从低到高排序并推荐中标候选人。报价相同的，评标委员会推荐方式见本章“第四节中标候选人推荐原则”。</w:t>
      </w:r>
    </w:p>
    <w:p w14:paraId="52655516">
      <w:pPr>
        <w:pStyle w:val="11"/>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说明：</w:t>
      </w:r>
    </w:p>
    <w:p w14:paraId="0A8D6692">
      <w:pPr>
        <w:pStyle w:val="11"/>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对于非专门面向中小企业的项目，投标人在其投标文件中提供《中小企业声明函》，且其服务为小型和微型企业承接的，对其小型和微型企业产品的最后报价给予20%的价格扣除，扣除后的价格为评标价，即评标价＝投标报价×（1-20%）；（以投标人按第</w:t>
      </w:r>
      <w:r>
        <w:rPr>
          <w:rFonts w:hint="eastAsia" w:ascii="宋体" w:hAnsi="宋体" w:eastAsia="宋体" w:cs="宋体"/>
          <w:color w:val="auto"/>
          <w:highlight w:val="none"/>
          <w:lang w:eastAsia="zh-CN"/>
        </w:rPr>
        <w:t>六</w:t>
      </w:r>
      <w:r>
        <w:rPr>
          <w:rFonts w:hint="eastAsia" w:ascii="宋体" w:hAnsi="宋体" w:eastAsia="宋体" w:cs="宋体"/>
          <w:color w:val="auto"/>
          <w:highlight w:val="none"/>
        </w:rPr>
        <w:t>章“投标文件格式”要求提供的《投标报价表》和《中小企业声明函》为评审依据）</w:t>
      </w:r>
    </w:p>
    <w:p w14:paraId="2A3BF5D2">
      <w:pPr>
        <w:pStyle w:val="11"/>
        <w:spacing w:line="400" w:lineRule="exact"/>
        <w:ind w:firstLine="420" w:firstLineChars="200"/>
        <w:rPr>
          <w:rFonts w:hint="eastAsia" w:ascii="宋体" w:hAnsi="宋体" w:eastAsia="宋体" w:cs="宋体"/>
          <w:bCs/>
          <w:color w:val="auto"/>
          <w:highlight w:val="none"/>
          <w:lang w:eastAsia="zh-CN"/>
        </w:rPr>
      </w:pPr>
      <w:r>
        <w:rPr>
          <w:rFonts w:hint="eastAsia" w:ascii="宋体" w:hAnsi="宋体" w:eastAsia="宋体" w:cs="宋体"/>
          <w:color w:val="auto"/>
          <w:highlight w:val="none"/>
        </w:rPr>
        <w:t>（2）接受大中型企业与小微企业组成联合体或者允许大中型企业向一家或者多家小微企业分包的采购项目，联合协议或者分包意向协议约定小微企业的合同份额占到合同总金额30%以上的，对联合体或者大中型企业的报价给予6%的扣除，用扣除后的价格参加评审，扣除后的价格为评标报价，即评标报价=投标报价×（1-6%）。（以投标人按第</w:t>
      </w:r>
      <w:r>
        <w:rPr>
          <w:rFonts w:hint="eastAsia" w:ascii="宋体" w:hAnsi="宋体" w:eastAsia="宋体" w:cs="宋体"/>
          <w:color w:val="auto"/>
          <w:highlight w:val="none"/>
          <w:lang w:eastAsia="zh-CN"/>
        </w:rPr>
        <w:t>六</w:t>
      </w:r>
      <w:r>
        <w:rPr>
          <w:rFonts w:hint="eastAsia" w:ascii="宋体" w:hAnsi="宋体" w:eastAsia="宋体" w:cs="宋体"/>
          <w:color w:val="auto"/>
          <w:highlight w:val="none"/>
        </w:rPr>
        <w:t>章“投标文件格式”要求提供的《投标报价表》、《中小企业声明函》和《联合体协议书》为评审依据）</w:t>
      </w:r>
      <w:r>
        <w:rPr>
          <w:rFonts w:hint="eastAsia" w:ascii="宋体" w:hAnsi="宋体" w:eastAsia="宋体" w:cs="宋体"/>
          <w:color w:val="auto"/>
          <w:highlight w:val="none"/>
          <w:lang w:eastAsia="zh-CN"/>
        </w:rPr>
        <w:t>。</w:t>
      </w:r>
    </w:p>
    <w:p w14:paraId="5F34BAE8">
      <w:pPr>
        <w:pStyle w:val="11"/>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）按照</w:t>
      </w:r>
      <w:r>
        <w:rPr>
          <w:rFonts w:hint="eastAsia" w:ascii="宋体" w:hAnsi="宋体" w:eastAsia="宋体" w:cs="宋体"/>
          <w:bCs/>
          <w:color w:val="auto"/>
          <w:szCs w:val="21"/>
          <w:highlight w:val="none"/>
        </w:rPr>
        <w:t>《关于促进残疾人就业政府采购政策的通知》（财库〔2017〕141号）的规定，残疾人福利性单位视同小型、微型企业，享受预留份额、评审中价格扣除等促进中小企业发展的政府采购政策。</w:t>
      </w:r>
      <w:r>
        <w:rPr>
          <w:rFonts w:hint="eastAsia" w:ascii="宋体" w:hAnsi="宋体" w:eastAsia="宋体" w:cs="宋体"/>
          <w:color w:val="auto"/>
          <w:szCs w:val="21"/>
          <w:highlight w:val="none"/>
        </w:rPr>
        <w:t>残疾人福利性单位参加政府采购活动时，应当提供《残疾人福利性单位声明函》，并对声明的真实性负责。</w:t>
      </w:r>
      <w:r>
        <w:rPr>
          <w:rFonts w:hint="eastAsia" w:ascii="宋体" w:hAnsi="宋体" w:eastAsia="宋体" w:cs="宋体"/>
          <w:bCs/>
          <w:color w:val="auto"/>
          <w:szCs w:val="21"/>
          <w:highlight w:val="none"/>
        </w:rPr>
        <w:t>残疾人福利性单位属于小型、微型企业的，不重复享受政策。</w:t>
      </w:r>
      <w:r>
        <w:rPr>
          <w:rFonts w:hint="eastAsia" w:ascii="宋体" w:hAnsi="宋体" w:eastAsia="宋体" w:cs="宋体"/>
          <w:bCs/>
          <w:color w:val="auto"/>
          <w:highlight w:val="none"/>
        </w:rPr>
        <w:t>（以投标人按第</w:t>
      </w:r>
      <w:r>
        <w:rPr>
          <w:rFonts w:hint="eastAsia" w:ascii="宋体" w:hAnsi="宋体" w:eastAsia="宋体" w:cs="宋体"/>
          <w:color w:val="auto"/>
          <w:highlight w:val="none"/>
          <w:lang w:eastAsia="zh-CN"/>
        </w:rPr>
        <w:t>六</w:t>
      </w:r>
      <w:r>
        <w:rPr>
          <w:rFonts w:hint="eastAsia" w:ascii="宋体" w:hAnsi="宋体" w:eastAsia="宋体" w:cs="宋体"/>
          <w:bCs/>
          <w:color w:val="auto"/>
          <w:highlight w:val="none"/>
        </w:rPr>
        <w:t>章“投标文件格式”要求提供的《投标报价表》和《</w:t>
      </w:r>
      <w:r>
        <w:rPr>
          <w:rFonts w:hint="eastAsia" w:ascii="宋体" w:hAnsi="宋体" w:eastAsia="宋体" w:cs="宋体"/>
          <w:color w:val="auto"/>
          <w:szCs w:val="21"/>
          <w:highlight w:val="none"/>
        </w:rPr>
        <w:t>残疾人福利性单位声明函</w:t>
      </w:r>
      <w:r>
        <w:rPr>
          <w:rFonts w:hint="eastAsia" w:ascii="宋体" w:hAnsi="宋体" w:eastAsia="宋体" w:cs="宋体"/>
          <w:bCs/>
          <w:color w:val="auto"/>
          <w:highlight w:val="none"/>
        </w:rPr>
        <w:t>》为评审依据）</w:t>
      </w:r>
    </w:p>
    <w:p w14:paraId="34B582CB">
      <w:pPr>
        <w:pStyle w:val="11"/>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）除上述情况外，评标价＝投标报价；</w:t>
      </w:r>
    </w:p>
    <w:p w14:paraId="3130E80A">
      <w:pPr>
        <w:pStyle w:val="11"/>
        <w:ind w:firstLine="602" w:firstLineChars="200"/>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二、综合评分法</w:t>
      </w:r>
    </w:p>
    <w:p w14:paraId="1C6CD20A">
      <w:pPr>
        <w:pStyle w:val="11"/>
        <w:spacing w:line="360" w:lineRule="auto"/>
        <w:ind w:firstLine="420"/>
        <w:rPr>
          <w:rFonts w:hint="eastAsia" w:ascii="宋体" w:hAnsi="宋体" w:eastAsia="宋体" w:cs="宋体"/>
          <w:bCs/>
          <w:color w:val="auto"/>
          <w:highlight w:val="none"/>
        </w:rPr>
      </w:pPr>
      <w:bookmarkStart w:id="149" w:name="PO_3000001866_PM051"/>
      <w:r>
        <w:rPr>
          <w:rFonts w:hint="eastAsia" w:ascii="宋体" w:hAnsi="宋体" w:eastAsia="宋体" w:cs="宋体"/>
          <w:bCs/>
          <w:color w:val="auto"/>
          <w:highlight w:val="none"/>
        </w:rPr>
        <w:t>注：</w:t>
      </w:r>
    </w:p>
    <w:p w14:paraId="5454A044">
      <w:pPr>
        <w:pStyle w:val="11"/>
        <w:spacing w:line="360" w:lineRule="auto"/>
        <w:ind w:firstLine="420"/>
        <w:rPr>
          <w:rFonts w:hint="eastAsia" w:ascii="宋体" w:hAnsi="宋体" w:eastAsia="宋体" w:cs="宋体"/>
          <w:bCs/>
          <w:color w:val="auto"/>
          <w:highlight w:val="none"/>
        </w:rPr>
      </w:pPr>
      <w:r>
        <w:rPr>
          <w:rFonts w:hint="eastAsia" w:ascii="宋体" w:hAnsi="宋体" w:eastAsia="宋体" w:cs="宋体"/>
          <w:bCs/>
          <w:color w:val="auto"/>
          <w:highlight w:val="none"/>
        </w:rPr>
        <w:t>1、计分方法按四舍五入取至百分位。</w:t>
      </w:r>
    </w:p>
    <w:p w14:paraId="77D85F33">
      <w:pPr>
        <w:pStyle w:val="11"/>
        <w:spacing w:line="360" w:lineRule="auto"/>
        <w:ind w:firstLine="420"/>
        <w:rPr>
          <w:rFonts w:hint="eastAsia" w:ascii="宋体" w:hAnsi="宋体" w:eastAsia="宋体" w:cs="宋体"/>
          <w:bCs/>
          <w:color w:val="auto"/>
          <w:highlight w:val="none"/>
          <w:u w:val="single"/>
          <w:lang w:val="en-US"/>
        </w:rPr>
      </w:pPr>
      <w:r>
        <w:rPr>
          <w:rFonts w:hint="eastAsia" w:ascii="宋体" w:hAnsi="宋体" w:eastAsia="宋体" w:cs="宋体"/>
          <w:bCs/>
          <w:color w:val="auto"/>
          <w:highlight w:val="none"/>
        </w:rPr>
        <w:t>总得分=</w:t>
      </w:r>
      <w:r>
        <w:rPr>
          <w:rFonts w:hint="eastAsia" w:ascii="宋体" w:hAnsi="宋体" w:eastAsia="宋体" w:cs="宋体"/>
          <w:bCs/>
          <w:color w:val="auto"/>
          <w:highlight w:val="none"/>
          <w:u w:val="single"/>
        </w:rPr>
        <w:t xml:space="preserve"> </w:t>
      </w:r>
      <w:r>
        <w:rPr>
          <w:rFonts w:hint="eastAsia" w:ascii="宋体" w:hAnsi="宋体" w:eastAsia="宋体" w:cs="宋体"/>
          <w:bCs/>
          <w:color w:val="auto"/>
          <w:highlight w:val="none"/>
          <w:u w:val="single"/>
          <w:lang w:val="en-US" w:eastAsia="zh-CN"/>
        </w:rPr>
        <w:t>1+2+3</w:t>
      </w:r>
    </w:p>
    <w:p w14:paraId="3F9B7312">
      <w:pPr>
        <w:pStyle w:val="11"/>
        <w:spacing w:line="360" w:lineRule="auto"/>
        <w:ind w:firstLine="420"/>
        <w:rPr>
          <w:rFonts w:hint="eastAsia" w:ascii="宋体" w:hAnsi="宋体" w:eastAsia="宋体" w:cs="宋体"/>
          <w:bCs/>
          <w:color w:val="auto"/>
          <w:highlight w:val="none"/>
          <w:u w:val="single"/>
        </w:rPr>
      </w:pPr>
      <w:r>
        <w:rPr>
          <w:rFonts w:hint="eastAsia" w:ascii="宋体" w:hAnsi="宋体" w:eastAsia="宋体" w:cs="宋体"/>
          <w:bCs/>
          <w:color w:val="auto"/>
          <w:highlight w:val="none"/>
        </w:rPr>
        <w:t>2、商务技术评审因素为客观评分项的，应在评分项目或评分标准中予以标注为“客观分”。对投标人的客观评分项目，各评标专家评分应当一致。</w:t>
      </w:r>
    </w:p>
    <w:bookmarkEnd w:id="149"/>
    <w:tbl>
      <w:tblPr>
        <w:tblStyle w:val="18"/>
        <w:tblW w:w="96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1086"/>
        <w:gridCol w:w="7110"/>
        <w:gridCol w:w="772"/>
      </w:tblGrid>
      <w:tr w14:paraId="79B4D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52" w:type="dxa"/>
            <w:vAlign w:val="center"/>
          </w:tcPr>
          <w:p w14:paraId="5BB1D786">
            <w:pPr>
              <w:keepNext w:val="0"/>
              <w:keepLines w:val="0"/>
              <w:pageBreakBefore w:val="0"/>
              <w:widowControl/>
              <w:kinsoku/>
              <w:wordWrap/>
              <w:overflowPunct/>
              <w:topLinePunct w:val="0"/>
              <w:autoSpaceDE/>
              <w:autoSpaceDN/>
              <w:bidi w:val="0"/>
              <w:spacing w:line="360" w:lineRule="exact"/>
              <w:jc w:val="center"/>
              <w:rPr>
                <w:rFonts w:hint="eastAsia" w:ascii="宋体" w:hAnsi="宋体" w:eastAsia="宋体" w:cs="宋体"/>
                <w:b/>
                <w:bCs/>
                <w:color w:val="auto"/>
                <w:kern w:val="0"/>
                <w:szCs w:val="21"/>
                <w:highlight w:val="none"/>
              </w:rPr>
            </w:pPr>
            <w:bookmarkStart w:id="150" w:name="_Toc23273"/>
            <w:bookmarkStart w:id="151" w:name="_Toc23906"/>
            <w:r>
              <w:rPr>
                <w:rFonts w:hint="eastAsia" w:ascii="宋体" w:hAnsi="宋体" w:eastAsia="宋体" w:cs="宋体"/>
                <w:b/>
                <w:bCs/>
                <w:color w:val="auto"/>
                <w:kern w:val="0"/>
                <w:szCs w:val="21"/>
                <w:highlight w:val="none"/>
              </w:rPr>
              <w:t>序号</w:t>
            </w:r>
          </w:p>
        </w:tc>
        <w:tc>
          <w:tcPr>
            <w:tcW w:w="1086" w:type="dxa"/>
            <w:vAlign w:val="center"/>
          </w:tcPr>
          <w:p w14:paraId="55B7A755">
            <w:pPr>
              <w:keepNext w:val="0"/>
              <w:keepLines w:val="0"/>
              <w:pageBreakBefore w:val="0"/>
              <w:widowControl/>
              <w:kinsoku/>
              <w:wordWrap/>
              <w:overflowPunct/>
              <w:topLinePunct w:val="0"/>
              <w:autoSpaceDE/>
              <w:autoSpaceDN/>
              <w:bidi w:val="0"/>
              <w:spacing w:line="360" w:lineRule="exact"/>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评</w:t>
            </w:r>
            <w:r>
              <w:rPr>
                <w:rFonts w:hint="eastAsia" w:ascii="宋体" w:hAnsi="宋体" w:eastAsia="宋体" w:cs="宋体"/>
                <w:b/>
                <w:bCs/>
                <w:color w:val="auto"/>
                <w:kern w:val="0"/>
                <w:szCs w:val="21"/>
                <w:highlight w:val="none"/>
                <w:lang w:eastAsia="zh-CN"/>
              </w:rPr>
              <w:t>分</w:t>
            </w:r>
            <w:r>
              <w:rPr>
                <w:rFonts w:hint="eastAsia" w:ascii="宋体" w:hAnsi="宋体" w:eastAsia="宋体" w:cs="宋体"/>
                <w:b/>
                <w:bCs/>
                <w:color w:val="auto"/>
                <w:kern w:val="0"/>
                <w:szCs w:val="21"/>
                <w:highlight w:val="none"/>
              </w:rPr>
              <w:t>因素</w:t>
            </w:r>
          </w:p>
        </w:tc>
        <w:tc>
          <w:tcPr>
            <w:tcW w:w="7110" w:type="dxa"/>
            <w:vAlign w:val="center"/>
          </w:tcPr>
          <w:p w14:paraId="22E25C49">
            <w:pPr>
              <w:keepNext w:val="0"/>
              <w:keepLines w:val="0"/>
              <w:pageBreakBefore w:val="0"/>
              <w:widowControl/>
              <w:kinsoku/>
              <w:wordWrap/>
              <w:overflowPunct/>
              <w:topLinePunct w:val="0"/>
              <w:autoSpaceDE/>
              <w:autoSpaceDN/>
              <w:bidi w:val="0"/>
              <w:spacing w:line="360" w:lineRule="exact"/>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评</w:t>
            </w:r>
            <w:r>
              <w:rPr>
                <w:rFonts w:hint="eastAsia" w:ascii="宋体" w:hAnsi="宋体" w:eastAsia="宋体" w:cs="宋体"/>
                <w:b/>
                <w:bCs/>
                <w:color w:val="auto"/>
                <w:kern w:val="0"/>
                <w:szCs w:val="21"/>
                <w:highlight w:val="none"/>
                <w:lang w:eastAsia="zh-CN"/>
              </w:rPr>
              <w:t>分</w:t>
            </w:r>
            <w:r>
              <w:rPr>
                <w:rFonts w:hint="eastAsia" w:ascii="宋体" w:hAnsi="宋体" w:eastAsia="宋体" w:cs="宋体"/>
                <w:b/>
                <w:bCs/>
                <w:color w:val="auto"/>
                <w:kern w:val="0"/>
                <w:szCs w:val="21"/>
                <w:highlight w:val="none"/>
              </w:rPr>
              <w:t>因素</w:t>
            </w:r>
          </w:p>
        </w:tc>
        <w:tc>
          <w:tcPr>
            <w:tcW w:w="772" w:type="dxa"/>
            <w:vAlign w:val="center"/>
          </w:tcPr>
          <w:p w14:paraId="4E9BA646">
            <w:pPr>
              <w:keepNext w:val="0"/>
              <w:keepLines w:val="0"/>
              <w:pageBreakBefore w:val="0"/>
              <w:widowControl/>
              <w:kinsoku/>
              <w:wordWrap/>
              <w:overflowPunct/>
              <w:topLinePunct w:val="0"/>
              <w:autoSpaceDE/>
              <w:autoSpaceDN/>
              <w:bidi w:val="0"/>
              <w:spacing w:line="360" w:lineRule="exact"/>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分值</w:t>
            </w:r>
          </w:p>
        </w:tc>
      </w:tr>
      <w:tr w14:paraId="054C0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652" w:type="dxa"/>
            <w:vAlign w:val="center"/>
          </w:tcPr>
          <w:p w14:paraId="64AEF294">
            <w:pPr>
              <w:keepNext w:val="0"/>
              <w:keepLines w:val="0"/>
              <w:pageBreakBefore w:val="0"/>
              <w:widowControl/>
              <w:kinsoku/>
              <w:wordWrap/>
              <w:overflowPunct/>
              <w:topLinePunct w:val="0"/>
              <w:autoSpaceDE/>
              <w:autoSpaceDN/>
              <w:bidi w:val="0"/>
              <w:spacing w:line="3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1086" w:type="dxa"/>
            <w:vAlign w:val="center"/>
          </w:tcPr>
          <w:p w14:paraId="2D4207E9">
            <w:pPr>
              <w:keepNext w:val="0"/>
              <w:keepLines w:val="0"/>
              <w:pageBreakBefore w:val="0"/>
              <w:widowControl/>
              <w:kinsoku/>
              <w:wordWrap/>
              <w:overflowPunct/>
              <w:topLinePunct w:val="0"/>
              <w:autoSpaceDE/>
              <w:autoSpaceDN/>
              <w:bidi w:val="0"/>
              <w:spacing w:line="3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价格分（服务项目的价格分值占总分值的比重</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即权值</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为10%至30%。政务信息系统采购服务的，价格分值占总分值比重应当为10%）</w:t>
            </w:r>
          </w:p>
        </w:tc>
        <w:tc>
          <w:tcPr>
            <w:tcW w:w="7110" w:type="dxa"/>
          </w:tcPr>
          <w:p w14:paraId="29BB8666">
            <w:pPr>
              <w:pStyle w:val="11"/>
              <w:keepNext w:val="0"/>
              <w:keepLines w:val="0"/>
              <w:pageBreakBefore w:val="0"/>
              <w:kinsoku/>
              <w:wordWrap/>
              <w:overflowPunct/>
              <w:topLinePunct w:val="0"/>
              <w:autoSpaceDN/>
              <w:bidi w:val="0"/>
              <w:snapToGrid/>
              <w:spacing w:line="400" w:lineRule="exact"/>
              <w:ind w:firstLine="420" w:firstLineChars="200"/>
              <w:rPr>
                <w:rFonts w:hAnsi="宋体" w:cs="宋体"/>
                <w:bCs/>
                <w:color w:val="auto"/>
                <w:szCs w:val="21"/>
                <w:highlight w:val="none"/>
              </w:rPr>
            </w:pPr>
            <w:r>
              <w:rPr>
                <w:rFonts w:hint="eastAsia" w:hAnsi="宋体" w:cs="宋体"/>
                <w:bCs/>
                <w:color w:val="auto"/>
                <w:szCs w:val="21"/>
                <w:highlight w:val="none"/>
              </w:rPr>
              <w:t>（1）本项目为专门面向</w:t>
            </w:r>
            <w:r>
              <w:rPr>
                <w:rFonts w:hint="eastAsia" w:hAnsi="宋体" w:cs="宋体"/>
                <w:bCs/>
                <w:color w:val="auto"/>
                <w:szCs w:val="21"/>
                <w:highlight w:val="none"/>
                <w:lang w:val="en-US" w:eastAsia="zh-CN"/>
              </w:rPr>
              <w:t>小微</w:t>
            </w:r>
            <w:r>
              <w:rPr>
                <w:rFonts w:hint="eastAsia" w:hAnsi="宋体" w:cs="宋体"/>
                <w:bCs/>
                <w:color w:val="auto"/>
                <w:szCs w:val="21"/>
                <w:highlight w:val="none"/>
              </w:rPr>
              <w:t>企业采购项目，不执行价格扣除优惠政策；评标价＝投标报价</w:t>
            </w:r>
          </w:p>
          <w:p w14:paraId="77D1C24D">
            <w:pPr>
              <w:pStyle w:val="11"/>
              <w:keepNext w:val="0"/>
              <w:keepLines w:val="0"/>
              <w:pageBreakBefore w:val="0"/>
              <w:kinsoku/>
              <w:wordWrap/>
              <w:overflowPunct/>
              <w:topLinePunct w:val="0"/>
              <w:autoSpaceDN/>
              <w:bidi w:val="0"/>
              <w:snapToGrid/>
              <w:spacing w:line="400" w:lineRule="exact"/>
              <w:ind w:firstLine="420" w:firstLineChars="200"/>
              <w:rPr>
                <w:rFonts w:hAnsi="宋体" w:cs="宋体"/>
                <w:bCs/>
                <w:color w:val="auto"/>
                <w:szCs w:val="21"/>
                <w:highlight w:val="none"/>
              </w:rPr>
            </w:pPr>
            <w:r>
              <w:rPr>
                <w:rFonts w:hint="eastAsia" w:hAnsi="宋体" w:cs="宋体"/>
                <w:bCs/>
                <w:color w:val="auto"/>
                <w:szCs w:val="21"/>
                <w:highlight w:val="none"/>
              </w:rPr>
              <w:t>（2）投标服务/产品提供企业按《关于政府采购支持监狱企业发展有关问题的通知》（财库[2014]68号）认定为监狱企业的，在政府采购活动中，监狱企业视同小型、微型企业，享受预留份额。监狱企业参加政府采购活动时，应当提供由省级以上监狱管理局、戒毒管理局（含新疆生产建设兵团）出具的属于监狱企业的证明文件；</w:t>
            </w:r>
          </w:p>
          <w:p w14:paraId="540C72F4">
            <w:pPr>
              <w:pStyle w:val="11"/>
              <w:keepNext w:val="0"/>
              <w:keepLines w:val="0"/>
              <w:pageBreakBefore w:val="0"/>
              <w:kinsoku/>
              <w:wordWrap/>
              <w:overflowPunct/>
              <w:topLinePunct w:val="0"/>
              <w:autoSpaceDN/>
              <w:bidi w:val="0"/>
              <w:snapToGrid/>
              <w:spacing w:line="400" w:lineRule="exact"/>
              <w:ind w:firstLine="420" w:firstLineChars="200"/>
              <w:rPr>
                <w:rFonts w:hAnsi="宋体" w:cs="宋体"/>
                <w:bCs/>
                <w:color w:val="auto"/>
                <w:szCs w:val="21"/>
                <w:highlight w:val="none"/>
              </w:rPr>
            </w:pPr>
            <w:r>
              <w:rPr>
                <w:rFonts w:hint="eastAsia" w:hAnsi="宋体" w:cs="宋体"/>
                <w:bCs/>
                <w:color w:val="auto"/>
                <w:szCs w:val="21"/>
                <w:highlight w:val="none"/>
              </w:rPr>
              <w:t>（3）投标服务/产品提供企业按《关于促进残疾人就业政府采购政策的通知》（财库〔2017〕141号）认定为残疾人福利性单位的，在政府采购活动中，残疾人福利性单位视同小型、微型企业，享受预留份额。残疾人福利性单位参加政府采购活动时，应当提供该《残疾人福利性单位声明函》为证明文件（格式见第六章 投标文件格式）。</w:t>
            </w:r>
          </w:p>
          <w:p w14:paraId="4BC778D1">
            <w:pPr>
              <w:pStyle w:val="11"/>
              <w:keepNext w:val="0"/>
              <w:keepLines w:val="0"/>
              <w:pageBreakBefore w:val="0"/>
              <w:kinsoku/>
              <w:wordWrap/>
              <w:overflowPunct/>
              <w:topLinePunct w:val="0"/>
              <w:autoSpaceDN/>
              <w:bidi w:val="0"/>
              <w:snapToGrid/>
              <w:spacing w:line="400" w:lineRule="exact"/>
              <w:ind w:firstLine="420" w:firstLineChars="200"/>
              <w:rPr>
                <w:rFonts w:hAnsi="宋体" w:cs="宋体"/>
                <w:bCs/>
                <w:color w:val="auto"/>
                <w:szCs w:val="21"/>
                <w:highlight w:val="none"/>
              </w:rPr>
            </w:pPr>
            <w:r>
              <w:rPr>
                <w:rFonts w:hint="eastAsia" w:hAnsi="宋体" w:cs="宋体"/>
                <w:bCs/>
                <w:color w:val="auto"/>
                <w:szCs w:val="21"/>
                <w:highlight w:val="none"/>
              </w:rPr>
              <w:t>（4）以进入比较与评价环节的最低的投标报价为基准价，基准价得分为满分。</w:t>
            </w:r>
          </w:p>
          <w:p w14:paraId="03AA193A">
            <w:pPr>
              <w:pStyle w:val="11"/>
              <w:keepNext w:val="0"/>
              <w:keepLines w:val="0"/>
              <w:pageBreakBefore w:val="0"/>
              <w:kinsoku/>
              <w:wordWrap/>
              <w:overflowPunct/>
              <w:topLinePunct w:val="0"/>
              <w:autoSpaceDN/>
              <w:bidi w:val="0"/>
              <w:snapToGrid/>
              <w:spacing w:line="400" w:lineRule="exact"/>
              <w:ind w:firstLine="420" w:firstLineChars="200"/>
              <w:rPr>
                <w:rFonts w:hAnsi="宋体" w:cs="宋体"/>
                <w:bCs/>
                <w:color w:val="auto"/>
                <w:szCs w:val="21"/>
                <w:highlight w:val="none"/>
              </w:rPr>
            </w:pPr>
            <w:r>
              <w:rPr>
                <w:rFonts w:hint="eastAsia" w:hAnsi="宋体" w:cs="宋体"/>
                <w:bCs/>
                <w:color w:val="auto"/>
                <w:szCs w:val="21"/>
                <w:highlight w:val="none"/>
              </w:rPr>
              <w:t>（5）价格分计算公式：</w:t>
            </w:r>
          </w:p>
          <w:p w14:paraId="1A8E16A5">
            <w:pPr>
              <w:pStyle w:val="11"/>
              <w:keepNext w:val="0"/>
              <w:keepLines w:val="0"/>
              <w:pageBreakBefore w:val="0"/>
              <w:kinsoku/>
              <w:wordWrap/>
              <w:overflowPunct/>
              <w:topLinePunct w:val="0"/>
              <w:autoSpaceDE/>
              <w:autoSpaceDN/>
              <w:bidi w:val="0"/>
              <w:spacing w:line="360" w:lineRule="exact"/>
              <w:ind w:firstLine="630" w:firstLineChars="300"/>
              <w:rPr>
                <w:rFonts w:hint="eastAsia" w:ascii="宋体" w:hAnsi="宋体" w:eastAsia="宋体" w:cs="宋体"/>
                <w:bCs/>
                <w:color w:val="auto"/>
                <w:kern w:val="2"/>
                <w:sz w:val="21"/>
                <w:highlight w:val="none"/>
                <w:lang w:val="en-US" w:eastAsia="zh-CN"/>
              </w:rPr>
            </w:pPr>
            <w:r>
              <w:rPr>
                <w:rFonts w:hint="eastAsia" w:hAnsi="宋体" w:cs="宋体"/>
                <w:bCs/>
                <w:color w:val="auto"/>
                <w:szCs w:val="21"/>
                <w:highlight w:val="none"/>
              </w:rPr>
              <w:t>报价得分=基准价/投标报价×</w:t>
            </w:r>
            <w:r>
              <w:rPr>
                <w:rFonts w:hint="eastAsia" w:hAnsi="宋体" w:cs="宋体"/>
                <w:bCs/>
                <w:color w:val="auto"/>
                <w:szCs w:val="21"/>
                <w:highlight w:val="none"/>
                <w:u w:val="single"/>
              </w:rPr>
              <w:t xml:space="preserve"> 1</w:t>
            </w:r>
            <w:r>
              <w:rPr>
                <w:rFonts w:hint="eastAsia" w:hAnsi="宋体" w:cs="宋体"/>
                <w:bCs/>
                <w:color w:val="auto"/>
                <w:szCs w:val="21"/>
                <w:highlight w:val="none"/>
                <w:u w:val="single"/>
                <w:lang w:val="en-US" w:eastAsia="zh-CN"/>
              </w:rPr>
              <w:t>0</w:t>
            </w:r>
            <w:r>
              <w:rPr>
                <w:rFonts w:hint="eastAsia" w:hAnsi="宋体" w:cs="宋体"/>
                <w:bCs/>
                <w:color w:val="auto"/>
                <w:szCs w:val="21"/>
                <w:highlight w:val="none"/>
                <w:u w:val="single"/>
              </w:rPr>
              <w:t xml:space="preserve"> </w:t>
            </w:r>
            <w:r>
              <w:rPr>
                <w:rFonts w:hint="eastAsia" w:hAnsi="宋体" w:cs="宋体"/>
                <w:bCs/>
                <w:color w:val="auto"/>
                <w:szCs w:val="21"/>
                <w:highlight w:val="none"/>
              </w:rPr>
              <w:t>分</w:t>
            </w:r>
          </w:p>
        </w:tc>
        <w:tc>
          <w:tcPr>
            <w:tcW w:w="772" w:type="dxa"/>
            <w:vAlign w:val="center"/>
          </w:tcPr>
          <w:p w14:paraId="2D0E1F8A">
            <w:pPr>
              <w:keepNext w:val="0"/>
              <w:keepLines w:val="0"/>
              <w:pageBreakBefore w:val="0"/>
              <w:widowControl/>
              <w:kinsoku/>
              <w:wordWrap/>
              <w:overflowPunct/>
              <w:topLinePunct w:val="0"/>
              <w:autoSpaceDE/>
              <w:autoSpaceDN/>
              <w:bidi w:val="0"/>
              <w:spacing w:line="3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10</w:t>
            </w:r>
            <w:r>
              <w:rPr>
                <w:rFonts w:hint="eastAsia" w:ascii="宋体" w:hAnsi="宋体" w:eastAsia="宋体" w:cs="宋体"/>
                <w:color w:val="auto"/>
                <w:kern w:val="0"/>
                <w:szCs w:val="21"/>
                <w:highlight w:val="none"/>
              </w:rPr>
              <w:t>分</w:t>
            </w:r>
          </w:p>
        </w:tc>
      </w:tr>
      <w:tr w14:paraId="4ECC1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652" w:type="dxa"/>
            <w:vAlign w:val="center"/>
          </w:tcPr>
          <w:p w14:paraId="1E53047D">
            <w:pPr>
              <w:widowControl/>
              <w:spacing w:line="320" w:lineRule="exact"/>
              <w:jc w:val="center"/>
              <w:rPr>
                <w:rFonts w:hint="eastAsia" w:ascii="宋体" w:hAnsi="宋体" w:eastAsia="宋体" w:cs="宋体"/>
                <w:b/>
                <w:bCs w:val="0"/>
                <w:color w:val="auto"/>
                <w:kern w:val="0"/>
                <w:szCs w:val="21"/>
                <w:highlight w:val="none"/>
              </w:rPr>
            </w:pPr>
            <w:r>
              <w:rPr>
                <w:rFonts w:hint="eastAsia" w:ascii="宋体" w:hAnsi="宋体" w:eastAsia="宋体" w:cs="宋体"/>
                <w:b/>
                <w:bCs w:val="0"/>
                <w:color w:val="auto"/>
                <w:kern w:val="0"/>
                <w:szCs w:val="21"/>
                <w:highlight w:val="none"/>
              </w:rPr>
              <w:t>2</w:t>
            </w:r>
          </w:p>
        </w:tc>
        <w:tc>
          <w:tcPr>
            <w:tcW w:w="1086" w:type="dxa"/>
            <w:vAlign w:val="center"/>
          </w:tcPr>
          <w:p w14:paraId="38276ABC">
            <w:pPr>
              <w:widowControl/>
              <w:spacing w:line="320" w:lineRule="exact"/>
              <w:jc w:val="center"/>
              <w:rPr>
                <w:rFonts w:hint="eastAsia" w:ascii="宋体" w:hAnsi="宋体" w:eastAsia="宋体" w:cs="宋体"/>
                <w:b/>
                <w:bCs w:val="0"/>
                <w:color w:val="auto"/>
                <w:kern w:val="0"/>
                <w:szCs w:val="21"/>
                <w:highlight w:val="none"/>
              </w:rPr>
            </w:pPr>
            <w:r>
              <w:rPr>
                <w:rFonts w:hint="eastAsia" w:ascii="宋体" w:hAnsi="宋体" w:eastAsia="宋体" w:cs="宋体"/>
                <w:b/>
                <w:bCs w:val="0"/>
                <w:color w:val="auto"/>
                <w:kern w:val="0"/>
                <w:szCs w:val="21"/>
                <w:highlight w:val="none"/>
              </w:rPr>
              <w:t>技术分</w:t>
            </w:r>
          </w:p>
        </w:tc>
        <w:tc>
          <w:tcPr>
            <w:tcW w:w="7110" w:type="dxa"/>
            <w:vAlign w:val="center"/>
          </w:tcPr>
          <w:p w14:paraId="2595E276">
            <w:pPr>
              <w:widowControl/>
              <w:spacing w:line="320" w:lineRule="exact"/>
              <w:jc w:val="center"/>
              <w:rPr>
                <w:rFonts w:hint="eastAsia" w:ascii="宋体" w:hAnsi="宋体" w:eastAsia="宋体" w:cs="宋体"/>
                <w:b/>
                <w:bCs w:val="0"/>
                <w:color w:val="auto"/>
                <w:kern w:val="0"/>
                <w:szCs w:val="21"/>
                <w:highlight w:val="none"/>
              </w:rPr>
            </w:pPr>
            <w:r>
              <w:rPr>
                <w:rFonts w:hint="eastAsia" w:ascii="宋体" w:hAnsi="宋体" w:eastAsia="宋体" w:cs="宋体"/>
                <w:b/>
                <w:bCs w:val="0"/>
                <w:color w:val="auto"/>
                <w:kern w:val="0"/>
                <w:szCs w:val="21"/>
                <w:highlight w:val="none"/>
              </w:rPr>
              <w:t>评审因素</w:t>
            </w:r>
          </w:p>
        </w:tc>
        <w:tc>
          <w:tcPr>
            <w:tcW w:w="772" w:type="dxa"/>
            <w:vAlign w:val="center"/>
          </w:tcPr>
          <w:p w14:paraId="69A63250">
            <w:pPr>
              <w:widowControl/>
              <w:spacing w:line="320" w:lineRule="exact"/>
              <w:jc w:val="center"/>
              <w:rPr>
                <w:rFonts w:hint="eastAsia" w:ascii="宋体" w:hAnsi="宋体" w:eastAsia="宋体" w:cs="宋体"/>
                <w:b/>
                <w:bCs w:val="0"/>
                <w:color w:val="auto"/>
                <w:kern w:val="0"/>
                <w:szCs w:val="21"/>
                <w:highlight w:val="none"/>
                <w:lang w:val="en-US" w:eastAsia="zh-CN"/>
              </w:rPr>
            </w:pPr>
            <w:r>
              <w:rPr>
                <w:rFonts w:hint="eastAsia" w:ascii="宋体" w:hAnsi="宋体" w:cs="宋体"/>
                <w:b/>
                <w:bCs w:val="0"/>
                <w:color w:val="auto"/>
                <w:kern w:val="0"/>
                <w:szCs w:val="21"/>
                <w:highlight w:val="none"/>
                <w:lang w:val="en-US" w:eastAsia="zh-CN"/>
              </w:rPr>
              <w:t>60</w:t>
            </w:r>
            <w:r>
              <w:rPr>
                <w:rFonts w:hint="eastAsia" w:ascii="宋体" w:hAnsi="宋体" w:eastAsia="宋体" w:cs="宋体"/>
                <w:b/>
                <w:bCs w:val="0"/>
                <w:color w:val="auto"/>
                <w:kern w:val="0"/>
                <w:szCs w:val="21"/>
                <w:highlight w:val="none"/>
              </w:rPr>
              <w:t>分</w:t>
            </w:r>
          </w:p>
        </w:tc>
      </w:tr>
      <w:tr w14:paraId="4D27A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2" w:type="dxa"/>
            <w:vAlign w:val="center"/>
          </w:tcPr>
          <w:p w14:paraId="305D126B">
            <w:pPr>
              <w:adjustRightInd w:val="0"/>
              <w:spacing w:line="320" w:lineRule="exact"/>
              <w:ind w:left="-105" w:leftChars="-50" w:right="-105" w:rightChars="-50"/>
              <w:jc w:val="center"/>
              <w:textAlignment w:val="baseline"/>
              <w:rPr>
                <w:rFonts w:hint="eastAsia" w:ascii="宋体" w:hAnsi="宋体" w:eastAsia="宋体" w:cs="宋体"/>
                <w:bCs/>
                <w:color w:val="auto"/>
                <w:kern w:val="0"/>
                <w:szCs w:val="21"/>
                <w:highlight w:val="none"/>
                <w:lang w:val="en-US" w:eastAsia="zh-CN"/>
              </w:rPr>
            </w:pPr>
            <w:r>
              <w:rPr>
                <w:rFonts w:hint="eastAsia" w:ascii="宋体" w:hAnsi="宋体" w:eastAsia="宋体" w:cs="宋体"/>
                <w:bCs/>
                <w:color w:val="auto"/>
                <w:kern w:val="0"/>
                <w:szCs w:val="21"/>
                <w:highlight w:val="none"/>
              </w:rPr>
              <w:t>2.1</w:t>
            </w:r>
          </w:p>
        </w:tc>
        <w:tc>
          <w:tcPr>
            <w:tcW w:w="1086" w:type="dxa"/>
            <w:vAlign w:val="center"/>
          </w:tcPr>
          <w:p w14:paraId="068A85C1">
            <w:pPr>
              <w:adjustRightInd w:val="0"/>
              <w:spacing w:line="320" w:lineRule="exact"/>
              <w:jc w:val="center"/>
              <w:textAlignment w:val="baseline"/>
              <w:rPr>
                <w:rFonts w:hint="eastAsia" w:ascii="宋体" w:hAnsi="宋体" w:eastAsia="宋体" w:cs="宋体"/>
                <w:bCs/>
                <w:color w:val="auto"/>
                <w:kern w:val="0"/>
                <w:szCs w:val="21"/>
                <w:highlight w:val="none"/>
                <w:lang w:val="en-US" w:eastAsia="zh-CN"/>
              </w:rPr>
            </w:pPr>
            <w:r>
              <w:rPr>
                <w:rFonts w:hint="eastAsia" w:hAnsi="Courier New"/>
                <w:bCs/>
                <w:highlight w:val="none"/>
              </w:rPr>
              <w:t>活动总方案</w:t>
            </w:r>
          </w:p>
        </w:tc>
        <w:tc>
          <w:tcPr>
            <w:tcW w:w="7110" w:type="dxa"/>
            <w:vAlign w:val="center"/>
          </w:tcPr>
          <w:p w14:paraId="7D8C9603">
            <w:pPr>
              <w:autoSpaceDE w:val="0"/>
              <w:spacing w:line="360" w:lineRule="exact"/>
              <w:ind w:firstLine="420" w:firstLineChars="20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活动总方案包含但不限于以下各项内容：①活动整体流程策划、②现场整体展现策划、③物料准备计划、④人员安排、⑤活动宣传推送计划。</w:t>
            </w:r>
          </w:p>
          <w:p w14:paraId="59D537E9">
            <w:pPr>
              <w:autoSpaceDE w:val="0"/>
              <w:spacing w:line="360" w:lineRule="exact"/>
              <w:ind w:firstLine="420" w:firstLineChars="200"/>
              <w:rPr>
                <w:rFonts w:ascii="宋体" w:hAnsi="宋体" w:cs="宋体"/>
                <w:bCs/>
                <w:highlight w:val="none"/>
              </w:rPr>
            </w:pPr>
            <w:r>
              <w:rPr>
                <w:rFonts w:hint="eastAsia" w:ascii="宋体" w:hAnsi="宋体" w:cs="宋体"/>
                <w:bCs/>
                <w:highlight w:val="none"/>
              </w:rPr>
              <w:t>一档（0分）：未提供此内容的，不得分；</w:t>
            </w:r>
          </w:p>
          <w:p w14:paraId="4E2BFDCD">
            <w:pPr>
              <w:autoSpaceDE w:val="0"/>
              <w:spacing w:line="360" w:lineRule="exact"/>
              <w:ind w:firstLine="420" w:firstLineChars="200"/>
              <w:rPr>
                <w:rFonts w:hint="eastAsia" w:ascii="宋体" w:hAnsi="宋体" w:eastAsia="宋体" w:cs="宋体"/>
                <w:bCs/>
                <w:kern w:val="0"/>
                <w:szCs w:val="21"/>
                <w:highlight w:val="none"/>
                <w:lang w:eastAsia="zh-CN"/>
              </w:rPr>
            </w:pPr>
            <w:r>
              <w:rPr>
                <w:rFonts w:hint="eastAsia" w:ascii="宋体" w:hAnsi="宋体" w:cs="宋体"/>
                <w:bCs/>
                <w:kern w:val="0"/>
                <w:szCs w:val="21"/>
                <w:highlight w:val="none"/>
                <w:lang w:val="en-US" w:eastAsia="zh-CN"/>
              </w:rPr>
              <w:t>二</w:t>
            </w:r>
            <w:r>
              <w:rPr>
                <w:rFonts w:hint="eastAsia" w:ascii="宋体" w:hAnsi="宋体" w:cs="宋体"/>
                <w:bCs/>
                <w:kern w:val="0"/>
                <w:szCs w:val="21"/>
                <w:highlight w:val="none"/>
              </w:rPr>
              <w:t>档（</w:t>
            </w:r>
            <w:r>
              <w:rPr>
                <w:rFonts w:hint="eastAsia" w:ascii="宋体" w:hAnsi="宋体" w:cs="宋体"/>
                <w:bCs/>
                <w:kern w:val="0"/>
                <w:szCs w:val="21"/>
                <w:highlight w:val="none"/>
                <w:lang w:val="en-US" w:eastAsia="zh-CN"/>
              </w:rPr>
              <w:t>4</w:t>
            </w:r>
            <w:r>
              <w:rPr>
                <w:rFonts w:hint="eastAsia" w:ascii="宋体" w:hAnsi="宋体" w:cs="宋体"/>
                <w:bCs/>
                <w:kern w:val="0"/>
                <w:szCs w:val="21"/>
                <w:highlight w:val="none"/>
              </w:rPr>
              <w:t>分）：</w:t>
            </w:r>
            <w:r>
              <w:rPr>
                <w:rFonts w:hint="eastAsia"/>
                <w:highlight w:val="none"/>
              </w:rPr>
              <w:t>方案</w:t>
            </w:r>
            <w:r>
              <w:rPr>
                <w:rFonts w:hint="eastAsia"/>
                <w:highlight w:val="none"/>
                <w:lang w:val="en-US" w:eastAsia="zh-CN"/>
              </w:rPr>
              <w:t>有</w:t>
            </w:r>
            <w:r>
              <w:rPr>
                <w:rFonts w:hint="eastAsia"/>
                <w:highlight w:val="none"/>
              </w:rPr>
              <w:t>缺漏</w:t>
            </w:r>
            <w:r>
              <w:rPr>
                <w:rFonts w:hint="eastAsia"/>
                <w:kern w:val="0"/>
                <w:highlight w:val="none"/>
              </w:rPr>
              <w:t>（</w:t>
            </w:r>
            <w:r>
              <w:rPr>
                <w:rFonts w:hint="eastAsia"/>
                <w:kern w:val="0"/>
                <w:highlight w:val="none"/>
                <w:lang w:val="en-US" w:eastAsia="zh-CN"/>
              </w:rPr>
              <w:t>少于</w:t>
            </w:r>
            <w:r>
              <w:rPr>
                <w:rFonts w:hint="eastAsia"/>
                <w:kern w:val="0"/>
                <w:sz w:val="20"/>
                <w:highlight w:val="none"/>
              </w:rPr>
              <w:t>上述</w:t>
            </w:r>
            <w:r>
              <w:rPr>
                <w:rFonts w:hint="eastAsia"/>
                <w:kern w:val="0"/>
                <w:sz w:val="20"/>
                <w:highlight w:val="none"/>
                <w:lang w:val="en-US" w:eastAsia="zh-CN"/>
              </w:rPr>
              <w:t>5</w:t>
            </w:r>
            <w:r>
              <w:rPr>
                <w:rFonts w:hint="eastAsia"/>
                <w:kern w:val="0"/>
                <w:sz w:val="20"/>
                <w:highlight w:val="none"/>
              </w:rPr>
              <w:t>项</w:t>
            </w:r>
            <w:r>
              <w:rPr>
                <w:rFonts w:hint="eastAsia"/>
                <w:kern w:val="0"/>
                <w:highlight w:val="none"/>
              </w:rPr>
              <w:t>）</w:t>
            </w:r>
            <w:r>
              <w:rPr>
                <w:rFonts w:hint="eastAsia" w:ascii="宋体" w:hAnsi="宋体" w:cs="宋体"/>
                <w:bCs/>
                <w:kern w:val="0"/>
                <w:szCs w:val="21"/>
                <w:highlight w:val="none"/>
                <w:lang w:eastAsia="zh-CN"/>
              </w:rPr>
              <w:t>；</w:t>
            </w:r>
          </w:p>
          <w:p w14:paraId="78E67167">
            <w:pPr>
              <w:autoSpaceDE w:val="0"/>
              <w:spacing w:line="360" w:lineRule="exact"/>
              <w:ind w:firstLine="420" w:firstLineChars="200"/>
              <w:rPr>
                <w:rFonts w:hint="eastAsia" w:ascii="宋体" w:hAnsi="宋体" w:cs="宋体"/>
                <w:bCs/>
                <w:kern w:val="0"/>
                <w:szCs w:val="21"/>
                <w:highlight w:val="none"/>
                <w:lang w:val="en-US" w:eastAsia="zh-CN"/>
              </w:rPr>
            </w:pPr>
            <w:r>
              <w:rPr>
                <w:rFonts w:hint="eastAsia" w:ascii="宋体" w:hAnsi="宋体"/>
                <w:bCs/>
                <w:szCs w:val="21"/>
                <w:highlight w:val="none"/>
                <w:lang w:val="en-US" w:eastAsia="zh-CN"/>
              </w:rPr>
              <w:t>三</w:t>
            </w:r>
            <w:r>
              <w:rPr>
                <w:rFonts w:hint="eastAsia" w:ascii="宋体" w:hAnsi="宋体"/>
                <w:bCs/>
                <w:szCs w:val="21"/>
                <w:highlight w:val="none"/>
              </w:rPr>
              <w:t>档（8分）：</w:t>
            </w:r>
            <w:r>
              <w:rPr>
                <w:rFonts w:hint="eastAsia"/>
                <w:highlight w:val="none"/>
              </w:rPr>
              <w:t>方案无缺漏</w:t>
            </w:r>
            <w:r>
              <w:rPr>
                <w:rFonts w:hint="eastAsia"/>
                <w:kern w:val="0"/>
                <w:highlight w:val="none"/>
              </w:rPr>
              <w:t>（</w:t>
            </w:r>
            <w:r>
              <w:rPr>
                <w:rFonts w:hint="eastAsia"/>
                <w:kern w:val="0"/>
                <w:sz w:val="20"/>
                <w:highlight w:val="none"/>
              </w:rPr>
              <w:t>上述</w:t>
            </w:r>
            <w:r>
              <w:rPr>
                <w:rFonts w:hint="eastAsia"/>
                <w:kern w:val="0"/>
                <w:sz w:val="20"/>
                <w:highlight w:val="none"/>
                <w:lang w:val="en-US" w:eastAsia="zh-CN"/>
              </w:rPr>
              <w:t>5</w:t>
            </w:r>
            <w:r>
              <w:rPr>
                <w:rFonts w:hint="eastAsia"/>
                <w:kern w:val="0"/>
                <w:sz w:val="20"/>
                <w:highlight w:val="none"/>
              </w:rPr>
              <w:t>项</w:t>
            </w:r>
            <w:r>
              <w:rPr>
                <w:rFonts w:hint="eastAsia"/>
                <w:kern w:val="0"/>
                <w:highlight w:val="none"/>
              </w:rPr>
              <w:t>）</w:t>
            </w:r>
            <w:r>
              <w:rPr>
                <w:rFonts w:hint="eastAsia"/>
                <w:kern w:val="0"/>
                <w:highlight w:val="none"/>
                <w:lang w:eastAsia="zh-CN"/>
              </w:rPr>
              <w:t>；</w:t>
            </w:r>
            <w:r>
              <w:rPr>
                <w:rFonts w:hint="eastAsia" w:ascii="宋体" w:hAnsi="宋体"/>
                <w:bCs/>
                <w:szCs w:val="21"/>
                <w:highlight w:val="none"/>
              </w:rPr>
              <w:t>方案内容齐全不够全面、可操作性粗糙，针对性与可执行性欠缺，活动流程设计完整性不足，活动配合人员安排、配置物料简单，未提供</w:t>
            </w:r>
            <w:r>
              <w:rPr>
                <w:rFonts w:hint="eastAsia" w:ascii="宋体" w:hAnsi="宋体"/>
                <w:bCs/>
                <w:szCs w:val="21"/>
                <w:highlight w:val="none"/>
                <w:lang w:val="en-US" w:eastAsia="zh-CN"/>
              </w:rPr>
              <w:t>物料</w:t>
            </w:r>
            <w:r>
              <w:rPr>
                <w:rFonts w:hint="eastAsia" w:ascii="宋体" w:hAnsi="宋体"/>
                <w:bCs/>
                <w:szCs w:val="21"/>
                <w:highlight w:val="none"/>
              </w:rPr>
              <w:t>效果图。</w:t>
            </w:r>
          </w:p>
          <w:p w14:paraId="511481E4">
            <w:pPr>
              <w:autoSpaceDE w:val="0"/>
              <w:spacing w:line="360" w:lineRule="exact"/>
              <w:ind w:firstLine="420" w:firstLineChars="200"/>
              <w:rPr>
                <w:rFonts w:hint="eastAsia" w:ascii="宋体" w:hAnsi="宋体" w:cs="宋体"/>
                <w:bCs/>
                <w:kern w:val="0"/>
                <w:szCs w:val="21"/>
                <w:highlight w:val="none"/>
              </w:rPr>
            </w:pPr>
            <w:r>
              <w:rPr>
                <w:rFonts w:hint="eastAsia" w:ascii="宋体" w:hAnsi="宋体" w:cs="宋体"/>
                <w:bCs/>
                <w:kern w:val="0"/>
                <w:szCs w:val="21"/>
                <w:highlight w:val="none"/>
                <w:lang w:val="en-US" w:eastAsia="zh-CN"/>
              </w:rPr>
              <w:t>四</w:t>
            </w:r>
            <w:r>
              <w:rPr>
                <w:rFonts w:hint="eastAsia" w:ascii="宋体" w:hAnsi="宋体" w:cs="宋体"/>
                <w:bCs/>
                <w:kern w:val="0"/>
                <w:szCs w:val="21"/>
                <w:highlight w:val="none"/>
              </w:rPr>
              <w:t>档（</w:t>
            </w:r>
            <w:r>
              <w:rPr>
                <w:rFonts w:hint="eastAsia" w:ascii="宋体" w:hAnsi="宋体" w:cs="宋体"/>
                <w:bCs/>
                <w:kern w:val="0"/>
                <w:szCs w:val="21"/>
                <w:highlight w:val="none"/>
                <w:lang w:val="en-US" w:eastAsia="zh-CN"/>
              </w:rPr>
              <w:t>17</w:t>
            </w:r>
            <w:r>
              <w:rPr>
                <w:rFonts w:hint="eastAsia" w:ascii="宋体" w:hAnsi="宋体" w:cs="宋体"/>
                <w:bCs/>
                <w:kern w:val="0"/>
                <w:szCs w:val="21"/>
                <w:highlight w:val="none"/>
              </w:rPr>
              <w:t>分）：</w:t>
            </w:r>
            <w:r>
              <w:rPr>
                <w:rFonts w:hint="eastAsia"/>
                <w:highlight w:val="none"/>
              </w:rPr>
              <w:t>方案无缺漏</w:t>
            </w:r>
            <w:r>
              <w:rPr>
                <w:rFonts w:hint="eastAsia"/>
                <w:kern w:val="0"/>
                <w:highlight w:val="none"/>
              </w:rPr>
              <w:t>（</w:t>
            </w:r>
            <w:r>
              <w:rPr>
                <w:rFonts w:hint="eastAsia"/>
                <w:kern w:val="0"/>
                <w:sz w:val="20"/>
                <w:highlight w:val="none"/>
              </w:rPr>
              <w:t>上述</w:t>
            </w:r>
            <w:r>
              <w:rPr>
                <w:rFonts w:hint="eastAsia"/>
                <w:kern w:val="0"/>
                <w:sz w:val="20"/>
                <w:highlight w:val="none"/>
                <w:lang w:val="en-US" w:eastAsia="zh-CN"/>
              </w:rPr>
              <w:t>5</w:t>
            </w:r>
            <w:r>
              <w:rPr>
                <w:rFonts w:hint="eastAsia"/>
                <w:kern w:val="0"/>
                <w:sz w:val="20"/>
                <w:highlight w:val="none"/>
              </w:rPr>
              <w:t>项</w:t>
            </w:r>
            <w:r>
              <w:rPr>
                <w:rFonts w:hint="eastAsia"/>
                <w:kern w:val="0"/>
                <w:highlight w:val="none"/>
              </w:rPr>
              <w:t>）</w:t>
            </w:r>
            <w:r>
              <w:rPr>
                <w:rFonts w:hint="eastAsia"/>
                <w:kern w:val="0"/>
                <w:highlight w:val="none"/>
                <w:lang w:eastAsia="zh-CN"/>
              </w:rPr>
              <w:t>；</w:t>
            </w:r>
            <w:r>
              <w:rPr>
                <w:rFonts w:hint="eastAsia" w:ascii="宋体" w:hAnsi="宋体" w:cs="宋体"/>
                <w:bCs/>
                <w:kern w:val="0"/>
                <w:szCs w:val="21"/>
                <w:highlight w:val="none"/>
              </w:rPr>
              <w:t>方案内容齐全，具有可行的操作性，有针对性与可执行性，活动流程清晰完整，活动配合人员、配置物料详细；提供</w:t>
            </w:r>
            <w:r>
              <w:rPr>
                <w:rFonts w:hint="eastAsia" w:ascii="宋体" w:hAnsi="宋体" w:cs="宋体"/>
                <w:bCs/>
                <w:kern w:val="0"/>
                <w:szCs w:val="21"/>
                <w:highlight w:val="none"/>
                <w:lang w:val="en-US" w:eastAsia="zh-CN"/>
              </w:rPr>
              <w:t>物料</w:t>
            </w:r>
            <w:r>
              <w:rPr>
                <w:rFonts w:hint="eastAsia" w:ascii="宋体" w:hAnsi="宋体" w:cs="宋体"/>
                <w:bCs/>
                <w:kern w:val="0"/>
                <w:szCs w:val="21"/>
                <w:highlight w:val="none"/>
              </w:rPr>
              <w:t>效果图，但效果过于简单，不完整。</w:t>
            </w:r>
          </w:p>
          <w:p w14:paraId="1CEC5089">
            <w:pPr>
              <w:autoSpaceDE w:val="0"/>
              <w:spacing w:line="360" w:lineRule="exact"/>
              <w:ind w:firstLine="420" w:firstLineChars="200"/>
              <w:rPr>
                <w:rFonts w:hint="eastAsia" w:ascii="宋体" w:hAnsi="宋体" w:cs="宋体"/>
                <w:bCs/>
                <w:kern w:val="0"/>
                <w:szCs w:val="21"/>
                <w:highlight w:val="none"/>
              </w:rPr>
            </w:pPr>
            <w:r>
              <w:rPr>
                <w:rFonts w:hint="eastAsia" w:ascii="宋体" w:hAnsi="宋体" w:cs="宋体"/>
                <w:bCs/>
                <w:kern w:val="0"/>
                <w:szCs w:val="21"/>
                <w:highlight w:val="none"/>
                <w:lang w:val="en-US" w:eastAsia="zh-CN"/>
              </w:rPr>
              <w:t>五</w:t>
            </w:r>
            <w:r>
              <w:rPr>
                <w:rFonts w:hint="eastAsia" w:ascii="宋体" w:hAnsi="宋体" w:cs="宋体"/>
                <w:bCs/>
                <w:kern w:val="0"/>
                <w:szCs w:val="21"/>
                <w:highlight w:val="none"/>
              </w:rPr>
              <w:t>档（26分）：</w:t>
            </w:r>
            <w:r>
              <w:rPr>
                <w:rFonts w:hint="eastAsia"/>
                <w:highlight w:val="none"/>
              </w:rPr>
              <w:t>方案无缺漏</w:t>
            </w:r>
            <w:r>
              <w:rPr>
                <w:rFonts w:hint="eastAsia"/>
                <w:kern w:val="0"/>
                <w:highlight w:val="none"/>
              </w:rPr>
              <w:t>（</w:t>
            </w:r>
            <w:r>
              <w:rPr>
                <w:rFonts w:hint="eastAsia"/>
                <w:kern w:val="0"/>
                <w:sz w:val="20"/>
                <w:highlight w:val="none"/>
              </w:rPr>
              <w:t>上述</w:t>
            </w:r>
            <w:r>
              <w:rPr>
                <w:rFonts w:hint="eastAsia"/>
                <w:kern w:val="0"/>
                <w:sz w:val="20"/>
                <w:highlight w:val="none"/>
                <w:lang w:val="en-US" w:eastAsia="zh-CN"/>
              </w:rPr>
              <w:t>5</w:t>
            </w:r>
            <w:r>
              <w:rPr>
                <w:rFonts w:hint="eastAsia"/>
                <w:kern w:val="0"/>
                <w:sz w:val="20"/>
                <w:highlight w:val="none"/>
              </w:rPr>
              <w:t>项</w:t>
            </w:r>
            <w:r>
              <w:rPr>
                <w:rFonts w:hint="eastAsia"/>
                <w:kern w:val="0"/>
                <w:highlight w:val="none"/>
              </w:rPr>
              <w:t>）</w:t>
            </w:r>
            <w:r>
              <w:rPr>
                <w:rFonts w:hint="eastAsia"/>
                <w:kern w:val="0"/>
                <w:highlight w:val="none"/>
                <w:lang w:eastAsia="zh-CN"/>
              </w:rPr>
              <w:t>；</w:t>
            </w:r>
            <w:r>
              <w:rPr>
                <w:rFonts w:hint="eastAsia" w:ascii="宋体" w:hAnsi="宋体" w:cs="宋体"/>
                <w:bCs/>
                <w:kern w:val="0"/>
                <w:szCs w:val="21"/>
                <w:highlight w:val="none"/>
              </w:rPr>
              <w:t>方案内容齐全，具有可行的操作性，有针对性与可执行性，活动流程清晰完整，活动配合人员，提供的</w:t>
            </w:r>
            <w:r>
              <w:rPr>
                <w:rFonts w:hint="eastAsia" w:ascii="宋体" w:hAnsi="宋体" w:cs="宋体"/>
                <w:bCs/>
                <w:kern w:val="0"/>
                <w:szCs w:val="21"/>
                <w:highlight w:val="none"/>
                <w:lang w:val="en-US" w:eastAsia="zh-CN"/>
              </w:rPr>
              <w:t>物料</w:t>
            </w:r>
            <w:r>
              <w:rPr>
                <w:rFonts w:hint="eastAsia" w:ascii="宋体" w:hAnsi="宋体" w:cs="宋体"/>
                <w:bCs/>
                <w:kern w:val="0"/>
                <w:szCs w:val="21"/>
                <w:highlight w:val="none"/>
              </w:rPr>
              <w:t>效果图基本符合要求，定位基本准确，能够完整的表现主题，物料种类完整；有突发安全事件应急方案。</w:t>
            </w:r>
          </w:p>
          <w:p w14:paraId="54176E7F">
            <w:pPr>
              <w:autoSpaceDE w:val="0"/>
              <w:spacing w:line="360" w:lineRule="exact"/>
              <w:ind w:firstLine="420" w:firstLineChars="200"/>
              <w:rPr>
                <w:rFonts w:hint="eastAsia" w:ascii="宋体" w:hAnsi="宋体" w:eastAsia="宋体" w:cs="宋体"/>
                <w:bCs/>
                <w:color w:val="auto"/>
                <w:sz w:val="21"/>
                <w:highlight w:val="none"/>
                <w:lang w:val="en-US" w:eastAsia="zh-CN"/>
              </w:rPr>
            </w:pPr>
            <w:r>
              <w:rPr>
                <w:rFonts w:hint="eastAsia" w:ascii="宋体" w:hAnsi="宋体" w:cs="宋体"/>
                <w:bCs/>
                <w:kern w:val="0"/>
                <w:szCs w:val="21"/>
                <w:highlight w:val="none"/>
                <w:lang w:val="en-US" w:eastAsia="zh-CN"/>
              </w:rPr>
              <w:t>六</w:t>
            </w:r>
            <w:r>
              <w:rPr>
                <w:rFonts w:hint="eastAsia" w:ascii="宋体" w:hAnsi="宋体" w:cs="宋体"/>
                <w:bCs/>
                <w:kern w:val="0"/>
                <w:szCs w:val="21"/>
                <w:highlight w:val="none"/>
              </w:rPr>
              <w:t>档（35分）：</w:t>
            </w:r>
            <w:r>
              <w:rPr>
                <w:rFonts w:hint="eastAsia"/>
                <w:highlight w:val="none"/>
              </w:rPr>
              <w:t>方案无缺漏</w:t>
            </w:r>
            <w:r>
              <w:rPr>
                <w:rFonts w:hint="eastAsia"/>
                <w:kern w:val="0"/>
                <w:highlight w:val="none"/>
              </w:rPr>
              <w:t>（</w:t>
            </w:r>
            <w:r>
              <w:rPr>
                <w:rFonts w:hint="eastAsia"/>
                <w:kern w:val="0"/>
                <w:sz w:val="20"/>
                <w:highlight w:val="none"/>
              </w:rPr>
              <w:t>上述</w:t>
            </w:r>
            <w:r>
              <w:rPr>
                <w:rFonts w:hint="eastAsia"/>
                <w:kern w:val="0"/>
                <w:sz w:val="20"/>
                <w:highlight w:val="none"/>
                <w:lang w:val="en-US" w:eastAsia="zh-CN"/>
              </w:rPr>
              <w:t>5</w:t>
            </w:r>
            <w:r>
              <w:rPr>
                <w:rFonts w:hint="eastAsia"/>
                <w:kern w:val="0"/>
                <w:sz w:val="20"/>
                <w:highlight w:val="none"/>
              </w:rPr>
              <w:t>项</w:t>
            </w:r>
            <w:r>
              <w:rPr>
                <w:rFonts w:hint="eastAsia"/>
                <w:kern w:val="0"/>
                <w:highlight w:val="none"/>
              </w:rPr>
              <w:t>）</w:t>
            </w:r>
            <w:r>
              <w:rPr>
                <w:rFonts w:hint="eastAsia"/>
                <w:kern w:val="0"/>
                <w:highlight w:val="none"/>
                <w:lang w:eastAsia="zh-CN"/>
              </w:rPr>
              <w:t>；</w:t>
            </w:r>
            <w:r>
              <w:rPr>
                <w:rFonts w:hint="eastAsia" w:ascii="宋体" w:hAnsi="宋体" w:cs="宋体"/>
                <w:bCs/>
                <w:kern w:val="0"/>
                <w:szCs w:val="21"/>
                <w:highlight w:val="none"/>
              </w:rPr>
              <w:t>方案内容齐全，具有较强的操作性、可执行性，针对性强，活动构思有创意，立意鲜明，计划安排预见性强，活动流程清晰完整、计划明确，活动配合人员、效果图色彩和谐、醒目，体现特点，具有丰富内涵，符合制作规范；提供的</w:t>
            </w:r>
            <w:r>
              <w:rPr>
                <w:rFonts w:hint="eastAsia" w:ascii="宋体" w:hAnsi="宋体" w:cs="宋体"/>
                <w:bCs/>
                <w:kern w:val="0"/>
                <w:szCs w:val="21"/>
                <w:highlight w:val="none"/>
                <w:lang w:val="en-US" w:eastAsia="zh-CN"/>
              </w:rPr>
              <w:t>物料</w:t>
            </w:r>
            <w:r>
              <w:rPr>
                <w:rFonts w:hint="eastAsia" w:ascii="宋体" w:hAnsi="宋体" w:cs="宋体"/>
                <w:bCs/>
                <w:kern w:val="0"/>
                <w:szCs w:val="21"/>
                <w:highlight w:val="none"/>
              </w:rPr>
              <w:t>效果图图形设计巧妙，作品设计表达新颖、构思独特、富有表现力和感染力，有强烈的视觉冲击力，定位准确，能够完整的表现主题，物料种类完整；突发安全事件应急方案完备</w:t>
            </w:r>
            <w:r>
              <w:rPr>
                <w:rFonts w:hint="eastAsia" w:ascii="宋体" w:hAnsi="宋体" w:eastAsia="宋体" w:cs="宋体"/>
                <w:bCs/>
                <w:color w:val="auto"/>
                <w:sz w:val="21"/>
                <w:szCs w:val="21"/>
                <w:highlight w:val="none"/>
                <w:lang w:val="en-US" w:eastAsia="zh-CN"/>
              </w:rPr>
              <w:t>。</w:t>
            </w:r>
          </w:p>
        </w:tc>
        <w:tc>
          <w:tcPr>
            <w:tcW w:w="772" w:type="dxa"/>
            <w:vAlign w:val="center"/>
          </w:tcPr>
          <w:p w14:paraId="4E659BD3">
            <w:pPr>
              <w:spacing w:line="320" w:lineRule="exact"/>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35</w:t>
            </w:r>
            <w:r>
              <w:rPr>
                <w:rFonts w:hint="eastAsia" w:ascii="宋体" w:hAnsi="宋体" w:eastAsia="宋体" w:cs="宋体"/>
                <w:color w:val="auto"/>
                <w:kern w:val="0"/>
                <w:szCs w:val="21"/>
                <w:highlight w:val="none"/>
              </w:rPr>
              <w:t>分</w:t>
            </w:r>
          </w:p>
        </w:tc>
      </w:tr>
      <w:tr w14:paraId="3E2C9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652" w:type="dxa"/>
            <w:vAlign w:val="center"/>
          </w:tcPr>
          <w:p w14:paraId="549E8027">
            <w:pPr>
              <w:adjustRightInd w:val="0"/>
              <w:spacing w:line="320" w:lineRule="exact"/>
              <w:ind w:left="-105" w:leftChars="-50" w:right="-105" w:rightChars="-50"/>
              <w:jc w:val="center"/>
              <w:textAlignment w:val="baseline"/>
              <w:rPr>
                <w:rFonts w:hint="eastAsia" w:ascii="宋体" w:hAnsi="宋体" w:eastAsia="宋体" w:cs="宋体"/>
                <w:bCs/>
                <w:color w:val="auto"/>
                <w:kern w:val="0"/>
                <w:szCs w:val="21"/>
                <w:highlight w:val="none"/>
                <w:lang w:val="en-US" w:eastAsia="zh-CN"/>
              </w:rPr>
            </w:pPr>
            <w:r>
              <w:rPr>
                <w:rFonts w:hint="eastAsia" w:ascii="宋体" w:hAnsi="宋体" w:eastAsia="宋体" w:cs="宋体"/>
                <w:bCs/>
                <w:color w:val="auto"/>
                <w:kern w:val="0"/>
                <w:szCs w:val="21"/>
                <w:highlight w:val="none"/>
                <w:lang w:val="en-US" w:eastAsia="zh-CN"/>
              </w:rPr>
              <w:t>2.</w:t>
            </w:r>
            <w:r>
              <w:rPr>
                <w:rFonts w:hint="eastAsia" w:ascii="宋体" w:hAnsi="宋体" w:cs="宋体"/>
                <w:bCs/>
                <w:color w:val="auto"/>
                <w:kern w:val="0"/>
                <w:szCs w:val="21"/>
                <w:highlight w:val="none"/>
                <w:lang w:val="en-US" w:eastAsia="zh-CN"/>
              </w:rPr>
              <w:t>2</w:t>
            </w:r>
          </w:p>
        </w:tc>
        <w:tc>
          <w:tcPr>
            <w:tcW w:w="1086" w:type="dxa"/>
            <w:vAlign w:val="center"/>
          </w:tcPr>
          <w:p w14:paraId="0B67F05E">
            <w:pPr>
              <w:keepNext w:val="0"/>
              <w:keepLines w:val="0"/>
              <w:widowControl w:val="0"/>
              <w:suppressLineNumbers w:val="0"/>
              <w:spacing w:before="0" w:beforeAutospacing="0" w:after="0" w:afterAutospacing="0" w:line="400" w:lineRule="exact"/>
              <w:ind w:left="0" w:leftChars="0" w:right="0" w:rightChars="0"/>
              <w:jc w:val="both"/>
              <w:rPr>
                <w:rFonts w:hint="eastAsia" w:ascii="宋体" w:hAnsi="宋体" w:eastAsia="宋体" w:cs="宋体"/>
                <w:color w:val="auto"/>
                <w:szCs w:val="21"/>
                <w:highlight w:val="none"/>
                <w:lang w:val="en-US" w:eastAsia="zh-CN"/>
              </w:rPr>
            </w:pPr>
            <w:r>
              <w:rPr>
                <w:rFonts w:hint="eastAsia" w:hAnsi="Courier New"/>
                <w:bCs/>
                <w:highlight w:val="none"/>
              </w:rPr>
              <w:t>出省作品运输承诺</w:t>
            </w:r>
          </w:p>
        </w:tc>
        <w:tc>
          <w:tcPr>
            <w:tcW w:w="7110" w:type="dxa"/>
            <w:vAlign w:val="center"/>
          </w:tcPr>
          <w:p w14:paraId="396E357E">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一档（0分）：未提供此内容的，不得分；</w:t>
            </w:r>
          </w:p>
          <w:p w14:paraId="5EB418A4">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二档（7分）：投标人提供的出省作品运输承诺内容简单，未限定使用何种车辆运输，仅有基本的描述、描述不全面；</w:t>
            </w:r>
          </w:p>
          <w:p w14:paraId="3F7BC11B">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三档（13分）：投标人提供的出省作品运输承诺内容详细，有限定使用车辆，但非厢式全封闭货车，作品的包装及标记没有明确说明；</w:t>
            </w:r>
          </w:p>
          <w:p w14:paraId="08AFFC04">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四档（19分）：投标人提供的出省作品运输承诺内容全面，有限定使用车辆，使用厢式全封闭货车，作品的包装及标记有明确说明。</w:t>
            </w:r>
          </w:p>
          <w:p w14:paraId="04B21506">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bCs/>
                <w:color w:val="auto"/>
                <w:sz w:val="21"/>
                <w:highlight w:val="none"/>
                <w:lang w:val="en-US" w:eastAsia="zh-CN"/>
              </w:rPr>
            </w:pPr>
            <w:r>
              <w:rPr>
                <w:rFonts w:hint="eastAsia" w:ascii="宋体" w:hAnsi="宋体" w:eastAsia="宋体" w:cs="宋体"/>
                <w:color w:val="auto"/>
                <w:kern w:val="2"/>
                <w:sz w:val="21"/>
                <w:szCs w:val="21"/>
                <w:highlight w:val="none"/>
                <w:lang w:val="en-US" w:eastAsia="zh-CN"/>
              </w:rPr>
              <w:t>五档（25分）：投标人提供的出省作品运输承诺内容全面，有限定使用车辆，使用厢式全封闭货车，且作品的包装及标记有明确、详细说明，对驾驶员及押运员有具体规范要求，有应急补救措施。</w:t>
            </w:r>
          </w:p>
        </w:tc>
        <w:tc>
          <w:tcPr>
            <w:tcW w:w="772" w:type="dxa"/>
            <w:vAlign w:val="center"/>
          </w:tcPr>
          <w:p w14:paraId="690731A4">
            <w:pPr>
              <w:spacing w:line="320" w:lineRule="exact"/>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25</w:t>
            </w:r>
            <w:r>
              <w:rPr>
                <w:rFonts w:hint="eastAsia" w:ascii="宋体" w:hAnsi="宋体" w:eastAsia="宋体" w:cs="宋体"/>
                <w:color w:val="auto"/>
                <w:kern w:val="0"/>
                <w:szCs w:val="21"/>
                <w:highlight w:val="none"/>
              </w:rPr>
              <w:t>分</w:t>
            </w:r>
          </w:p>
        </w:tc>
      </w:tr>
      <w:tr w14:paraId="381D0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652" w:type="dxa"/>
            <w:vAlign w:val="center"/>
          </w:tcPr>
          <w:p w14:paraId="2068C383">
            <w:pPr>
              <w:widowControl/>
              <w:spacing w:line="320" w:lineRule="exact"/>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3</w:t>
            </w:r>
          </w:p>
        </w:tc>
        <w:tc>
          <w:tcPr>
            <w:tcW w:w="1086" w:type="dxa"/>
            <w:vAlign w:val="center"/>
          </w:tcPr>
          <w:p w14:paraId="2E3A9AA0">
            <w:pPr>
              <w:widowControl/>
              <w:spacing w:line="32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商务分</w:t>
            </w:r>
          </w:p>
        </w:tc>
        <w:tc>
          <w:tcPr>
            <w:tcW w:w="7110" w:type="dxa"/>
            <w:vAlign w:val="center"/>
          </w:tcPr>
          <w:p w14:paraId="0106FB41">
            <w:pPr>
              <w:widowControl/>
              <w:spacing w:line="320" w:lineRule="exact"/>
              <w:jc w:val="center"/>
              <w:rPr>
                <w:rFonts w:hint="eastAsia" w:ascii="宋体" w:hAnsi="宋体" w:eastAsia="宋体" w:cs="宋体"/>
                <w:b/>
                <w:bCs/>
                <w:color w:val="auto"/>
                <w:kern w:val="0"/>
                <w:szCs w:val="21"/>
                <w:highlight w:val="none"/>
                <w:lang w:eastAsia="zh-CN"/>
              </w:rPr>
            </w:pPr>
            <w:r>
              <w:rPr>
                <w:rFonts w:hint="eastAsia" w:ascii="宋体" w:hAnsi="宋体" w:eastAsia="宋体" w:cs="宋体"/>
                <w:b/>
                <w:bCs/>
                <w:color w:val="auto"/>
                <w:kern w:val="0"/>
                <w:szCs w:val="21"/>
                <w:highlight w:val="none"/>
              </w:rPr>
              <w:t>评审因素</w:t>
            </w:r>
            <w:r>
              <w:rPr>
                <w:rFonts w:hint="eastAsia" w:ascii="宋体" w:hAnsi="宋体" w:eastAsia="宋体" w:cs="宋体"/>
                <w:b/>
                <w:bCs/>
                <w:color w:val="auto"/>
                <w:kern w:val="0"/>
                <w:szCs w:val="21"/>
                <w:highlight w:val="none"/>
                <w:lang w:eastAsia="zh-CN"/>
              </w:rPr>
              <w:t>（客观分）</w:t>
            </w:r>
          </w:p>
        </w:tc>
        <w:tc>
          <w:tcPr>
            <w:tcW w:w="772" w:type="dxa"/>
            <w:vAlign w:val="center"/>
          </w:tcPr>
          <w:p w14:paraId="6105430B">
            <w:pPr>
              <w:widowControl/>
              <w:spacing w:line="320" w:lineRule="exact"/>
              <w:jc w:val="center"/>
              <w:rPr>
                <w:rFonts w:hint="eastAsia" w:ascii="宋体" w:hAnsi="宋体" w:eastAsia="宋体" w:cs="宋体"/>
                <w:b/>
                <w:bCs/>
                <w:color w:val="auto"/>
                <w:kern w:val="0"/>
                <w:szCs w:val="21"/>
                <w:highlight w:val="none"/>
              </w:rPr>
            </w:pPr>
            <w:r>
              <w:rPr>
                <w:rFonts w:hint="eastAsia" w:ascii="宋体" w:hAnsi="宋体" w:cs="宋体"/>
                <w:b/>
                <w:bCs/>
                <w:color w:val="auto"/>
                <w:kern w:val="0"/>
                <w:szCs w:val="21"/>
                <w:highlight w:val="none"/>
                <w:lang w:val="en-US" w:eastAsia="zh-CN"/>
              </w:rPr>
              <w:t>30</w:t>
            </w:r>
            <w:r>
              <w:rPr>
                <w:rFonts w:hint="eastAsia" w:ascii="宋体" w:hAnsi="宋体" w:eastAsia="宋体" w:cs="宋体"/>
                <w:b/>
                <w:bCs/>
                <w:color w:val="auto"/>
                <w:kern w:val="0"/>
                <w:szCs w:val="21"/>
                <w:highlight w:val="none"/>
              </w:rPr>
              <w:t>分</w:t>
            </w:r>
          </w:p>
        </w:tc>
      </w:tr>
      <w:tr w14:paraId="6AE1E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2" w:type="dxa"/>
            <w:vAlign w:val="center"/>
          </w:tcPr>
          <w:p w14:paraId="10B4276B">
            <w:pPr>
              <w:adjustRightInd w:val="0"/>
              <w:spacing w:line="320" w:lineRule="exact"/>
              <w:ind w:left="-105" w:leftChars="-50" w:right="-105" w:rightChars="-50"/>
              <w:jc w:val="center"/>
              <w:textAlignment w:val="baseline"/>
              <w:rPr>
                <w:rFonts w:hint="eastAsia" w:ascii="宋体" w:hAnsi="宋体" w:eastAsia="宋体" w:cs="宋体"/>
                <w:bCs/>
                <w:color w:val="auto"/>
                <w:kern w:val="0"/>
                <w:szCs w:val="21"/>
                <w:highlight w:val="none"/>
                <w:lang w:val="en-US" w:eastAsia="zh-CN"/>
              </w:rPr>
            </w:pPr>
            <w:r>
              <w:rPr>
                <w:rFonts w:hint="eastAsia" w:ascii="宋体" w:hAnsi="宋体" w:eastAsia="宋体" w:cs="宋体"/>
                <w:bCs/>
                <w:color w:val="auto"/>
                <w:kern w:val="0"/>
                <w:szCs w:val="21"/>
                <w:highlight w:val="none"/>
                <w:lang w:val="en-US" w:eastAsia="zh-CN"/>
              </w:rPr>
              <w:t>3.1</w:t>
            </w:r>
          </w:p>
        </w:tc>
        <w:tc>
          <w:tcPr>
            <w:tcW w:w="1086" w:type="dxa"/>
            <w:vAlign w:val="center"/>
          </w:tcPr>
          <w:p w14:paraId="3A2E16EC">
            <w:pPr>
              <w:adjustRightInd w:val="0"/>
              <w:spacing w:line="320" w:lineRule="exact"/>
              <w:jc w:val="center"/>
              <w:textAlignment w:val="baseline"/>
              <w:rPr>
                <w:rFonts w:hint="default" w:ascii="宋体" w:hAnsi="宋体" w:eastAsia="宋体" w:cs="宋体"/>
                <w:bCs/>
                <w:color w:val="auto"/>
                <w:szCs w:val="21"/>
                <w:highlight w:val="none"/>
                <w:lang w:val="en-US"/>
              </w:rPr>
            </w:pPr>
            <w:r>
              <w:rPr>
                <w:rFonts w:hint="eastAsia" w:ascii="宋体" w:hAnsi="宋体"/>
                <w:bCs/>
                <w:szCs w:val="21"/>
                <w:highlight w:val="none"/>
              </w:rPr>
              <w:t>拟投入人员配置</w:t>
            </w:r>
          </w:p>
        </w:tc>
        <w:tc>
          <w:tcPr>
            <w:tcW w:w="7110" w:type="dxa"/>
          </w:tcPr>
          <w:p w14:paraId="11F8BFAB">
            <w:pPr>
              <w:pageBreakBefore w:val="0"/>
              <w:kinsoku/>
              <w:wordWrap/>
              <w:overflowPunct/>
              <w:topLinePunct w:val="0"/>
              <w:autoSpaceDE/>
              <w:autoSpaceDN/>
              <w:bidi w:val="0"/>
              <w:spacing w:line="400" w:lineRule="exact"/>
              <w:ind w:firstLine="420" w:firstLineChars="0"/>
              <w:rPr>
                <w:rFonts w:hint="eastAsia" w:ascii="宋体" w:hAnsi="宋体" w:cs="宋体"/>
                <w:bCs/>
                <w:color w:val="auto"/>
                <w:kern w:val="0"/>
                <w:szCs w:val="21"/>
                <w:highlight w:val="none"/>
                <w:lang w:val="en-US" w:eastAsia="zh-CN"/>
              </w:rPr>
            </w:pPr>
            <w:r>
              <w:rPr>
                <w:rFonts w:hint="eastAsia" w:ascii="宋体" w:hAnsi="宋体" w:cs="宋体"/>
                <w:bCs/>
                <w:color w:val="auto"/>
                <w:kern w:val="0"/>
                <w:szCs w:val="21"/>
                <w:highlight w:val="none"/>
                <w:lang w:val="en-US" w:eastAsia="zh-CN"/>
              </w:rPr>
              <w:t>一档（0分）：未提供此内容的，不得分；</w:t>
            </w:r>
          </w:p>
          <w:p w14:paraId="34607457">
            <w:pPr>
              <w:pageBreakBefore w:val="0"/>
              <w:kinsoku/>
              <w:wordWrap/>
              <w:overflowPunct/>
              <w:topLinePunct w:val="0"/>
              <w:autoSpaceDE/>
              <w:autoSpaceDN/>
              <w:bidi w:val="0"/>
              <w:spacing w:line="400" w:lineRule="exact"/>
              <w:ind w:firstLine="420" w:firstLineChars="0"/>
              <w:rPr>
                <w:rFonts w:hint="eastAsia" w:ascii="宋体" w:hAnsi="宋体" w:cs="宋体"/>
                <w:bCs/>
                <w:color w:val="auto"/>
                <w:kern w:val="0"/>
                <w:szCs w:val="21"/>
                <w:highlight w:val="none"/>
                <w:lang w:val="en-US" w:eastAsia="zh-CN"/>
              </w:rPr>
            </w:pPr>
            <w:r>
              <w:rPr>
                <w:rFonts w:hint="eastAsia" w:ascii="宋体" w:hAnsi="宋体" w:cs="宋体"/>
                <w:bCs/>
                <w:color w:val="auto"/>
                <w:kern w:val="0"/>
                <w:szCs w:val="21"/>
                <w:highlight w:val="none"/>
                <w:lang w:val="en-US" w:eastAsia="zh-CN"/>
              </w:rPr>
              <w:t>二档（5分）：项目组织机构和人员配备不齐全，配备人员中缺少以下二项中一项及以上的：①正高职称（艺术、设计、出版专业）1名；②副高或以上职称（艺术、设计、出版专业）1名；</w:t>
            </w:r>
          </w:p>
          <w:p w14:paraId="59101546">
            <w:pPr>
              <w:pageBreakBefore w:val="0"/>
              <w:kinsoku/>
              <w:wordWrap/>
              <w:overflowPunct/>
              <w:topLinePunct w:val="0"/>
              <w:autoSpaceDE/>
              <w:autoSpaceDN/>
              <w:bidi w:val="0"/>
              <w:spacing w:line="400" w:lineRule="exact"/>
              <w:ind w:firstLine="420" w:firstLineChars="0"/>
              <w:rPr>
                <w:rFonts w:hint="eastAsia" w:ascii="宋体" w:hAnsi="宋体" w:cs="宋体"/>
                <w:bCs/>
                <w:color w:val="auto"/>
                <w:kern w:val="0"/>
                <w:szCs w:val="21"/>
                <w:highlight w:val="none"/>
                <w:lang w:val="en-US" w:eastAsia="zh-CN"/>
              </w:rPr>
            </w:pPr>
            <w:r>
              <w:rPr>
                <w:rFonts w:hint="eastAsia" w:ascii="宋体" w:hAnsi="宋体" w:cs="宋体"/>
                <w:bCs/>
                <w:color w:val="auto"/>
                <w:kern w:val="0"/>
                <w:szCs w:val="21"/>
                <w:highlight w:val="none"/>
                <w:lang w:val="en-US" w:eastAsia="zh-CN"/>
              </w:rPr>
              <w:t>三档（10分）：项目组织机构和人员配备基本齐全，配备人员中具有正高职称（艺术、设计、出版专业）1名（含）以上、副高或以上职称（艺术、设计、出版专业）1名（含）以上；</w:t>
            </w:r>
          </w:p>
          <w:p w14:paraId="7EAE301B">
            <w:pPr>
              <w:pageBreakBefore w:val="0"/>
              <w:kinsoku/>
              <w:wordWrap/>
              <w:overflowPunct/>
              <w:topLinePunct w:val="0"/>
              <w:autoSpaceDE/>
              <w:autoSpaceDN/>
              <w:bidi w:val="0"/>
              <w:spacing w:line="400" w:lineRule="exact"/>
              <w:ind w:firstLine="420" w:firstLineChars="0"/>
              <w:rPr>
                <w:rFonts w:hint="eastAsia" w:ascii="宋体" w:hAnsi="宋体" w:cs="宋体"/>
                <w:bCs/>
                <w:color w:val="auto"/>
                <w:kern w:val="0"/>
                <w:szCs w:val="21"/>
                <w:highlight w:val="none"/>
                <w:lang w:val="en-US" w:eastAsia="zh-CN"/>
              </w:rPr>
            </w:pPr>
            <w:r>
              <w:rPr>
                <w:rFonts w:hint="eastAsia" w:ascii="宋体" w:hAnsi="宋体" w:cs="宋体"/>
                <w:bCs/>
                <w:color w:val="auto"/>
                <w:kern w:val="0"/>
                <w:szCs w:val="21"/>
                <w:highlight w:val="none"/>
                <w:lang w:val="en-US" w:eastAsia="zh-CN"/>
              </w:rPr>
              <w:t>四档（15分）：项目组织机构和人员配备较齐全，配备人员中具有正高职称（艺术、设计、出版专业）1名（含）以上、副高或以上职称（艺术、设计、出版专业）2名（含）以上；</w:t>
            </w:r>
          </w:p>
          <w:p w14:paraId="4768ACFE">
            <w:pPr>
              <w:pageBreakBefore w:val="0"/>
              <w:kinsoku/>
              <w:wordWrap/>
              <w:overflowPunct/>
              <w:topLinePunct w:val="0"/>
              <w:autoSpaceDE/>
              <w:autoSpaceDN/>
              <w:bidi w:val="0"/>
              <w:spacing w:line="400" w:lineRule="exact"/>
              <w:ind w:firstLine="420" w:firstLineChars="0"/>
              <w:rPr>
                <w:rFonts w:hint="eastAsia" w:ascii="宋体" w:hAnsi="宋体" w:cs="宋体"/>
                <w:bCs/>
                <w:color w:val="auto"/>
                <w:kern w:val="0"/>
                <w:szCs w:val="21"/>
                <w:highlight w:val="none"/>
                <w:lang w:val="en-US" w:eastAsia="zh-CN"/>
              </w:rPr>
            </w:pPr>
            <w:r>
              <w:rPr>
                <w:rFonts w:hint="eastAsia" w:ascii="宋体" w:hAnsi="宋体" w:cs="宋体"/>
                <w:bCs/>
                <w:color w:val="auto"/>
                <w:kern w:val="0"/>
                <w:szCs w:val="21"/>
                <w:highlight w:val="none"/>
                <w:lang w:val="en-US" w:eastAsia="zh-CN"/>
              </w:rPr>
              <w:t>五档（20分）：项目组织机构和人员配备较齐全，配备人员中具有正高职称（艺术、设计、出版专业）2名（含）以上、副高或以上职称（艺术、设计、出版专业）2名（含）以上。</w:t>
            </w:r>
          </w:p>
          <w:p w14:paraId="6A665E74">
            <w:pPr>
              <w:pageBreakBefore w:val="0"/>
              <w:kinsoku/>
              <w:wordWrap/>
              <w:overflowPunct/>
              <w:topLinePunct w:val="0"/>
              <w:autoSpaceDE/>
              <w:autoSpaceDN/>
              <w:bidi w:val="0"/>
              <w:spacing w:line="400" w:lineRule="exact"/>
              <w:ind w:firstLine="420" w:firstLineChars="0"/>
              <w:rPr>
                <w:rFonts w:hint="default" w:ascii="宋体" w:hAnsi="宋体" w:eastAsia="宋体" w:cs="宋体"/>
                <w:bCs/>
                <w:color w:val="auto"/>
                <w:kern w:val="0"/>
                <w:szCs w:val="21"/>
                <w:highlight w:val="none"/>
                <w:lang w:val="en-US" w:eastAsia="zh-CN"/>
              </w:rPr>
            </w:pPr>
            <w:r>
              <w:rPr>
                <w:rFonts w:hint="eastAsia" w:ascii="宋体" w:hAnsi="宋体" w:cs="宋体"/>
                <w:bCs/>
                <w:color w:val="auto"/>
                <w:kern w:val="0"/>
                <w:szCs w:val="21"/>
                <w:highlight w:val="none"/>
                <w:lang w:val="en-US" w:eastAsia="zh-CN"/>
              </w:rPr>
              <w:t>注：投标文件中须提供项目实施人员一览表（必须注明拟投入各人员工作岗）、职称证书扫描件，并加盖投标人单位公章，不按照要求提供资料不得分，原件备查。</w:t>
            </w:r>
          </w:p>
        </w:tc>
        <w:tc>
          <w:tcPr>
            <w:tcW w:w="772" w:type="dxa"/>
            <w:vAlign w:val="center"/>
          </w:tcPr>
          <w:p w14:paraId="742CB35A">
            <w:pPr>
              <w:widowControl/>
              <w:spacing w:line="320" w:lineRule="exact"/>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20</w:t>
            </w:r>
            <w:r>
              <w:rPr>
                <w:rFonts w:hint="eastAsia" w:ascii="宋体" w:hAnsi="宋体" w:eastAsia="宋体" w:cs="宋体"/>
                <w:color w:val="auto"/>
                <w:kern w:val="0"/>
                <w:szCs w:val="21"/>
                <w:highlight w:val="none"/>
              </w:rPr>
              <w:t>分</w:t>
            </w:r>
          </w:p>
        </w:tc>
      </w:tr>
      <w:tr w14:paraId="162B0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2" w:type="dxa"/>
            <w:vAlign w:val="center"/>
          </w:tcPr>
          <w:p w14:paraId="5302D3E1">
            <w:pPr>
              <w:adjustRightInd w:val="0"/>
              <w:spacing w:line="320" w:lineRule="exact"/>
              <w:ind w:left="-105" w:leftChars="-50" w:right="-105" w:rightChars="-50"/>
              <w:jc w:val="center"/>
              <w:textAlignment w:val="baseline"/>
              <w:rPr>
                <w:rFonts w:hint="default" w:ascii="宋体" w:hAnsi="宋体" w:eastAsia="宋体" w:cs="宋体"/>
                <w:bCs/>
                <w:color w:val="auto"/>
                <w:kern w:val="0"/>
                <w:szCs w:val="21"/>
                <w:highlight w:val="none"/>
                <w:lang w:val="en-US" w:eastAsia="zh-CN"/>
              </w:rPr>
            </w:pPr>
            <w:r>
              <w:rPr>
                <w:rFonts w:hint="eastAsia" w:ascii="宋体" w:hAnsi="宋体" w:cs="宋体"/>
                <w:bCs/>
                <w:color w:val="auto"/>
                <w:kern w:val="0"/>
                <w:szCs w:val="21"/>
                <w:highlight w:val="none"/>
                <w:lang w:val="en-US" w:eastAsia="zh-CN"/>
              </w:rPr>
              <w:t>3.2</w:t>
            </w:r>
          </w:p>
        </w:tc>
        <w:tc>
          <w:tcPr>
            <w:tcW w:w="1086" w:type="dxa"/>
            <w:vAlign w:val="center"/>
          </w:tcPr>
          <w:p w14:paraId="56C05A3C">
            <w:pPr>
              <w:adjustRightInd w:val="0"/>
              <w:spacing w:line="320" w:lineRule="exact"/>
              <w:jc w:val="center"/>
              <w:textAlignment w:val="baseline"/>
              <w:rPr>
                <w:rFonts w:hint="default" w:ascii="宋体" w:hAnsi="宋体" w:cs="宋体"/>
                <w:bCs/>
                <w:color w:val="auto"/>
                <w:kern w:val="0"/>
                <w:szCs w:val="21"/>
                <w:highlight w:val="none"/>
                <w:lang w:val="en-US" w:eastAsia="zh-CN"/>
              </w:rPr>
            </w:pPr>
            <w:r>
              <w:rPr>
                <w:rFonts w:hint="eastAsia" w:ascii="宋体" w:hAnsi="宋体" w:cs="宋体"/>
                <w:bCs/>
                <w:color w:val="auto"/>
                <w:kern w:val="0"/>
                <w:szCs w:val="21"/>
                <w:highlight w:val="none"/>
                <w:lang w:val="en-US" w:eastAsia="zh-CN"/>
              </w:rPr>
              <w:t>业绩</w:t>
            </w:r>
          </w:p>
        </w:tc>
        <w:tc>
          <w:tcPr>
            <w:tcW w:w="7110" w:type="dxa"/>
          </w:tcPr>
          <w:p w14:paraId="5E3A3A4D">
            <w:pPr>
              <w:spacing w:line="400" w:lineRule="exact"/>
              <w:ind w:firstLine="420"/>
              <w:rPr>
                <w:rFonts w:hint="eastAsia" w:ascii="宋体" w:hAnsi="宋体" w:cs="宋体"/>
                <w:bCs/>
                <w:kern w:val="0"/>
                <w:szCs w:val="21"/>
                <w:highlight w:val="none"/>
              </w:rPr>
            </w:pPr>
            <w:r>
              <w:rPr>
                <w:rFonts w:hint="eastAsia" w:ascii="宋体" w:hAnsi="宋体" w:cs="宋体"/>
                <w:bCs/>
                <w:kern w:val="0"/>
                <w:szCs w:val="21"/>
                <w:highlight w:val="none"/>
              </w:rPr>
              <w:t>投标人2020年1月1日起至今承担过类似项目的，每项业绩得</w:t>
            </w:r>
            <w:r>
              <w:rPr>
                <w:rFonts w:hint="eastAsia" w:ascii="宋体" w:hAnsi="宋体" w:cs="宋体"/>
                <w:bCs/>
                <w:kern w:val="0"/>
                <w:szCs w:val="21"/>
                <w:highlight w:val="none"/>
                <w:lang w:val="en-US" w:eastAsia="zh-CN"/>
              </w:rPr>
              <w:t>5</w:t>
            </w:r>
            <w:r>
              <w:rPr>
                <w:rFonts w:hint="eastAsia" w:ascii="宋体" w:hAnsi="宋体" w:cs="宋体"/>
                <w:bCs/>
                <w:kern w:val="0"/>
                <w:szCs w:val="21"/>
                <w:highlight w:val="none"/>
              </w:rPr>
              <w:t>分，此分项满分</w:t>
            </w:r>
            <w:r>
              <w:rPr>
                <w:rFonts w:hint="eastAsia" w:ascii="宋体" w:hAnsi="宋体" w:cs="宋体"/>
                <w:bCs/>
                <w:kern w:val="0"/>
                <w:szCs w:val="21"/>
                <w:highlight w:val="none"/>
                <w:lang w:val="en-US" w:eastAsia="zh-CN"/>
              </w:rPr>
              <w:t>10</w:t>
            </w:r>
            <w:r>
              <w:rPr>
                <w:rFonts w:hint="eastAsia" w:ascii="宋体" w:hAnsi="宋体" w:cs="宋体"/>
                <w:bCs/>
                <w:kern w:val="0"/>
                <w:szCs w:val="21"/>
                <w:highlight w:val="none"/>
              </w:rPr>
              <w:t>分；</w:t>
            </w:r>
          </w:p>
          <w:p w14:paraId="2FA658BD">
            <w:pPr>
              <w:pageBreakBefore w:val="0"/>
              <w:kinsoku/>
              <w:wordWrap/>
              <w:overflowPunct/>
              <w:topLinePunct w:val="0"/>
              <w:autoSpaceDE/>
              <w:autoSpaceDN/>
              <w:bidi w:val="0"/>
              <w:spacing w:line="400" w:lineRule="exact"/>
              <w:ind w:firstLine="420" w:firstLineChars="0"/>
              <w:rPr>
                <w:rFonts w:hint="eastAsia" w:ascii="宋体" w:hAnsi="宋体" w:eastAsia="宋体" w:cs="宋体"/>
                <w:bCs/>
                <w:color w:val="auto"/>
                <w:kern w:val="0"/>
                <w:szCs w:val="21"/>
                <w:highlight w:val="none"/>
                <w:lang w:val="en-US" w:eastAsia="zh-CN"/>
              </w:rPr>
            </w:pPr>
            <w:r>
              <w:rPr>
                <w:rFonts w:hint="eastAsia" w:ascii="宋体" w:hAnsi="宋体" w:cs="宋体"/>
                <w:bCs/>
                <w:kern w:val="0"/>
                <w:szCs w:val="21"/>
                <w:highlight w:val="none"/>
              </w:rPr>
              <w:t>注：投标文件中须提供中标通知书或合同扫描件，并加盖投标人单位公章，不按照要求提供资料不得分，原件备查。</w:t>
            </w:r>
          </w:p>
        </w:tc>
        <w:tc>
          <w:tcPr>
            <w:tcW w:w="772" w:type="dxa"/>
            <w:vAlign w:val="center"/>
          </w:tcPr>
          <w:p w14:paraId="4B5B0365">
            <w:pPr>
              <w:widowControl/>
              <w:spacing w:line="320" w:lineRule="exact"/>
              <w:jc w:val="center"/>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10</w:t>
            </w:r>
            <w:r>
              <w:rPr>
                <w:rFonts w:hint="eastAsia" w:ascii="宋体" w:hAnsi="宋体" w:eastAsia="宋体" w:cs="宋体"/>
                <w:color w:val="auto"/>
                <w:kern w:val="0"/>
                <w:szCs w:val="21"/>
                <w:highlight w:val="none"/>
              </w:rPr>
              <w:t>分</w:t>
            </w:r>
          </w:p>
        </w:tc>
      </w:tr>
      <w:tr w14:paraId="45B73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48" w:type="dxa"/>
            <w:gridSpan w:val="3"/>
          </w:tcPr>
          <w:p w14:paraId="62537D3A">
            <w:pPr>
              <w:pStyle w:val="11"/>
              <w:keepNext w:val="0"/>
              <w:keepLines w:val="0"/>
              <w:pageBreakBefore w:val="0"/>
              <w:kinsoku/>
              <w:wordWrap/>
              <w:overflowPunct/>
              <w:topLinePunct w:val="0"/>
              <w:autoSpaceDE/>
              <w:autoSpaceDN/>
              <w:bidi w:val="0"/>
              <w:spacing w:line="360" w:lineRule="exact"/>
              <w:ind w:firstLine="420" w:firstLineChars="200"/>
              <w:rPr>
                <w:rFonts w:hint="eastAsia" w:ascii="宋体" w:hAnsi="宋体" w:eastAsia="宋体" w:cs="宋体"/>
                <w:bCs/>
                <w:color w:val="auto"/>
                <w:kern w:val="2"/>
                <w:sz w:val="21"/>
                <w:highlight w:val="none"/>
                <w:lang w:val="en-US" w:eastAsia="zh-CN"/>
              </w:rPr>
            </w:pPr>
            <w:r>
              <w:rPr>
                <w:rFonts w:hint="eastAsia" w:ascii="宋体" w:hAnsi="宋体" w:eastAsia="宋体" w:cs="宋体"/>
                <w:bCs/>
                <w:color w:val="auto"/>
                <w:kern w:val="2"/>
                <w:sz w:val="21"/>
                <w:highlight w:val="none"/>
                <w:lang w:val="en-US" w:eastAsia="zh-CN"/>
              </w:rPr>
              <w:t>总得分＝1＋2+3</w:t>
            </w:r>
          </w:p>
        </w:tc>
        <w:tc>
          <w:tcPr>
            <w:tcW w:w="772" w:type="dxa"/>
            <w:vAlign w:val="center"/>
          </w:tcPr>
          <w:p w14:paraId="190CA504">
            <w:pPr>
              <w:keepNext w:val="0"/>
              <w:keepLines w:val="0"/>
              <w:pageBreakBefore w:val="0"/>
              <w:widowControl/>
              <w:kinsoku/>
              <w:wordWrap/>
              <w:overflowPunct/>
              <w:topLinePunct w:val="0"/>
              <w:autoSpaceDE/>
              <w:autoSpaceDN/>
              <w:bidi w:val="0"/>
              <w:spacing w:line="360" w:lineRule="exact"/>
              <w:jc w:val="center"/>
              <w:rPr>
                <w:rFonts w:hint="eastAsia" w:ascii="宋体" w:hAnsi="宋体" w:eastAsia="宋体" w:cs="宋体"/>
                <w:color w:val="auto"/>
                <w:kern w:val="0"/>
                <w:szCs w:val="21"/>
                <w:highlight w:val="none"/>
              </w:rPr>
            </w:pPr>
          </w:p>
        </w:tc>
      </w:tr>
    </w:tbl>
    <w:p w14:paraId="2A83350A">
      <w:pPr>
        <w:pStyle w:val="3"/>
        <w:jc w:val="center"/>
        <w:rPr>
          <w:rFonts w:hint="eastAsia" w:ascii="宋体" w:hAnsi="宋体" w:eastAsia="宋体" w:cs="宋体"/>
          <w:b w:val="0"/>
          <w:color w:val="auto"/>
          <w:sz w:val="30"/>
          <w:szCs w:val="30"/>
          <w:highlight w:val="none"/>
        </w:rPr>
      </w:pPr>
      <w:r>
        <w:rPr>
          <w:rFonts w:hint="eastAsia" w:ascii="宋体" w:hAnsi="宋体" w:eastAsia="宋体" w:cs="宋体"/>
          <w:b w:val="0"/>
          <w:color w:val="auto"/>
          <w:sz w:val="30"/>
          <w:szCs w:val="30"/>
          <w:highlight w:val="none"/>
        </w:rPr>
        <w:t>第四节 中标候选人推荐原则</w:t>
      </w:r>
      <w:bookmarkEnd w:id="150"/>
      <w:bookmarkEnd w:id="151"/>
    </w:p>
    <w:p w14:paraId="09FF14CD">
      <w:pPr>
        <w:pStyle w:val="11"/>
        <w:numPr>
          <w:ilvl w:val="0"/>
          <w:numId w:val="4"/>
        </w:numPr>
        <w:spacing w:line="360" w:lineRule="auto"/>
        <w:contextualSpacing/>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综合评分法</w:t>
      </w:r>
    </w:p>
    <w:p w14:paraId="6B4ED380">
      <w:pPr>
        <w:pStyle w:val="11"/>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评标委员会将根据总得分由高到低排列次序并推荐中标候选人。总得分相同的，以投标报价由低到高顺序排列。得分相同且投标报价相同的并列，投标文件满足招标文件全部实质性要求，且按照评审因素的量化指标评审得分最高的投标人为排名第一的中标候选人。</w:t>
      </w:r>
    </w:p>
    <w:p w14:paraId="09F1793A">
      <w:pPr>
        <w:pStyle w:val="11"/>
        <w:spacing w:line="360" w:lineRule="auto"/>
        <w:ind w:firstLine="482" w:firstLineChars="200"/>
        <w:rPr>
          <w:rFonts w:hint="eastAsia" w:ascii="宋体" w:hAnsi="宋体" w:eastAsia="宋体" w:cs="宋体"/>
          <w:color w:val="auto"/>
          <w:highlight w:val="none"/>
        </w:rPr>
      </w:pPr>
      <w:r>
        <w:rPr>
          <w:rFonts w:hint="eastAsia" w:ascii="宋体" w:hAnsi="宋体" w:eastAsia="宋体" w:cs="宋体"/>
          <w:b/>
          <w:bCs/>
          <w:color w:val="auto"/>
          <w:sz w:val="24"/>
          <w:szCs w:val="24"/>
          <w:highlight w:val="none"/>
        </w:rPr>
        <w:t>（二）最低评标报价法</w:t>
      </w:r>
    </w:p>
    <w:p w14:paraId="259E5AD4">
      <w:pPr>
        <w:pStyle w:val="11"/>
        <w:tabs>
          <w:tab w:val="left" w:pos="2472"/>
        </w:tabs>
        <w:spacing w:line="4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评标委员会将按照有效报价从低到高排序并推荐中标候选人。投标报价相同的并列，投标文件满足招标文件全部实质性要求且投标报价最低的投标人为排名第一的中标候选人；评标价相同且前述指标均相同时，由评标委员会各成员对评标价相同的供应商，当场投票表决，得票多者优先，并依照次序确定1家中标供应商。</w:t>
      </w:r>
    </w:p>
    <w:p w14:paraId="01C149F9">
      <w:pPr>
        <w:pStyle w:val="3"/>
        <w:spacing w:before="0" w:after="0" w:line="360" w:lineRule="auto"/>
        <w:ind w:firstLine="600" w:firstLineChars="200"/>
        <w:jc w:val="center"/>
        <w:rPr>
          <w:rFonts w:hint="eastAsia" w:ascii="宋体" w:hAnsi="宋体" w:eastAsia="宋体" w:cs="宋体"/>
          <w:b w:val="0"/>
          <w:color w:val="auto"/>
          <w:sz w:val="30"/>
          <w:szCs w:val="30"/>
          <w:highlight w:val="none"/>
        </w:rPr>
      </w:pPr>
      <w:bookmarkStart w:id="152" w:name="_Toc13625"/>
      <w:bookmarkStart w:id="153" w:name="_Toc8346"/>
      <w:r>
        <w:rPr>
          <w:rFonts w:hint="eastAsia" w:ascii="宋体" w:hAnsi="宋体" w:eastAsia="宋体" w:cs="宋体"/>
          <w:b w:val="0"/>
          <w:color w:val="auto"/>
          <w:sz w:val="30"/>
          <w:szCs w:val="30"/>
          <w:highlight w:val="none"/>
        </w:rPr>
        <w:t>第五节 评标报告</w:t>
      </w:r>
      <w:bookmarkEnd w:id="152"/>
      <w:bookmarkEnd w:id="153"/>
    </w:p>
    <w:p w14:paraId="12311F9B">
      <w:pPr>
        <w:pStyle w:val="33"/>
        <w:spacing w:before="0"/>
        <w:ind w:firstLine="482"/>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（一）评标报告与推荐中标候选人</w:t>
      </w:r>
    </w:p>
    <w:p w14:paraId="4B39D39D">
      <w:pPr>
        <w:pStyle w:val="11"/>
        <w:tabs>
          <w:tab w:val="left" w:pos="2472"/>
        </w:tabs>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评标委员会根据原始评标记录和评标结果编写评标报告，并通过电子交易平台向采购人、采购代理机构提交。</w:t>
      </w:r>
    </w:p>
    <w:p w14:paraId="1F6B3FDF">
      <w:pPr>
        <w:widowControl/>
        <w:spacing w:line="360" w:lineRule="auto"/>
        <w:ind w:firstLine="482" w:firstLineChars="200"/>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（二）评标争议事项处理</w:t>
      </w:r>
    </w:p>
    <w:p w14:paraId="567A0FC9">
      <w:pPr>
        <w:pStyle w:val="11"/>
        <w:tabs>
          <w:tab w:val="left" w:pos="2472"/>
        </w:tabs>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评标委员会成员对需要共同认定的事项存在争议的，应当按照少数服从多数的原则作出结论。持不同意见的评标委员会成员应当在评标报告上签署不同意见及理由，否则视为同意评标报告。</w:t>
      </w:r>
    </w:p>
    <w:p w14:paraId="1CBAB0A2">
      <w:pPr>
        <w:widowControl/>
        <w:jc w:val="left"/>
        <w:rPr>
          <w:rFonts w:hint="eastAsia" w:ascii="宋体" w:hAnsi="宋体" w:eastAsia="宋体" w:cs="宋体"/>
          <w:b/>
          <w:color w:val="auto"/>
          <w:sz w:val="36"/>
          <w:szCs w:val="20"/>
          <w:highlight w:val="none"/>
        </w:rPr>
        <w:sectPr>
          <w:pgSz w:w="11906" w:h="16838"/>
          <w:pgMar w:top="1134" w:right="1134" w:bottom="1134" w:left="1134" w:header="720" w:footer="720" w:gutter="0"/>
          <w:cols w:space="720" w:num="1"/>
          <w:docGrid w:type="lines" w:linePitch="331" w:charSpace="0"/>
        </w:sectPr>
      </w:pPr>
    </w:p>
    <w:p w14:paraId="737526B9">
      <w:pPr>
        <w:pStyle w:val="11"/>
        <w:tabs>
          <w:tab w:val="left" w:pos="2472"/>
        </w:tabs>
        <w:spacing w:line="460" w:lineRule="exact"/>
        <w:jc w:val="center"/>
        <w:rPr>
          <w:rFonts w:hint="eastAsia" w:ascii="宋体" w:hAnsi="宋体" w:eastAsia="宋体" w:cs="宋体"/>
          <w:b/>
          <w:color w:val="auto"/>
          <w:sz w:val="36"/>
          <w:highlight w:val="none"/>
        </w:rPr>
      </w:pPr>
    </w:p>
    <w:p w14:paraId="6B32BA19">
      <w:pPr>
        <w:pStyle w:val="11"/>
        <w:tabs>
          <w:tab w:val="left" w:pos="2472"/>
        </w:tabs>
        <w:spacing w:line="460" w:lineRule="exact"/>
        <w:jc w:val="center"/>
        <w:rPr>
          <w:rFonts w:hint="eastAsia" w:ascii="宋体" w:hAnsi="宋体" w:eastAsia="宋体" w:cs="宋体"/>
          <w:b/>
          <w:color w:val="auto"/>
          <w:sz w:val="36"/>
          <w:highlight w:val="none"/>
        </w:rPr>
      </w:pPr>
    </w:p>
    <w:p w14:paraId="4B15437F">
      <w:pPr>
        <w:pStyle w:val="11"/>
        <w:tabs>
          <w:tab w:val="left" w:pos="2472"/>
        </w:tabs>
        <w:spacing w:line="460" w:lineRule="exact"/>
        <w:jc w:val="center"/>
        <w:rPr>
          <w:rFonts w:hint="eastAsia" w:ascii="宋体" w:hAnsi="宋体" w:eastAsia="宋体" w:cs="宋体"/>
          <w:b/>
          <w:color w:val="auto"/>
          <w:sz w:val="36"/>
          <w:highlight w:val="none"/>
        </w:rPr>
      </w:pPr>
    </w:p>
    <w:p w14:paraId="15D66B66">
      <w:pPr>
        <w:pStyle w:val="11"/>
        <w:tabs>
          <w:tab w:val="left" w:pos="2472"/>
        </w:tabs>
        <w:spacing w:line="460" w:lineRule="exact"/>
        <w:jc w:val="center"/>
        <w:rPr>
          <w:rFonts w:hint="eastAsia" w:ascii="宋体" w:hAnsi="宋体" w:eastAsia="宋体" w:cs="宋体"/>
          <w:b/>
          <w:color w:val="auto"/>
          <w:sz w:val="36"/>
          <w:highlight w:val="none"/>
        </w:rPr>
      </w:pPr>
    </w:p>
    <w:p w14:paraId="6BF1FF22">
      <w:pPr>
        <w:pStyle w:val="11"/>
        <w:tabs>
          <w:tab w:val="left" w:pos="2472"/>
        </w:tabs>
        <w:spacing w:line="460" w:lineRule="exact"/>
        <w:jc w:val="center"/>
        <w:rPr>
          <w:rFonts w:hint="eastAsia" w:ascii="宋体" w:hAnsi="宋体" w:eastAsia="宋体" w:cs="宋体"/>
          <w:b/>
          <w:color w:val="auto"/>
          <w:sz w:val="36"/>
          <w:highlight w:val="none"/>
        </w:rPr>
      </w:pPr>
    </w:p>
    <w:p w14:paraId="7AE8BE95">
      <w:pPr>
        <w:pStyle w:val="11"/>
        <w:tabs>
          <w:tab w:val="left" w:pos="2472"/>
        </w:tabs>
        <w:spacing w:line="460" w:lineRule="exact"/>
        <w:jc w:val="center"/>
        <w:rPr>
          <w:rFonts w:hint="eastAsia" w:ascii="宋体" w:hAnsi="宋体" w:eastAsia="宋体" w:cs="宋体"/>
          <w:b/>
          <w:color w:val="auto"/>
          <w:sz w:val="36"/>
          <w:highlight w:val="none"/>
        </w:rPr>
      </w:pPr>
    </w:p>
    <w:p w14:paraId="251B0599">
      <w:pPr>
        <w:pStyle w:val="11"/>
        <w:tabs>
          <w:tab w:val="left" w:pos="2472"/>
        </w:tabs>
        <w:spacing w:line="460" w:lineRule="exact"/>
        <w:jc w:val="center"/>
        <w:rPr>
          <w:rFonts w:hint="eastAsia" w:ascii="宋体" w:hAnsi="宋体" w:eastAsia="宋体" w:cs="宋体"/>
          <w:b/>
          <w:color w:val="auto"/>
          <w:sz w:val="36"/>
          <w:highlight w:val="none"/>
        </w:rPr>
      </w:pPr>
    </w:p>
    <w:p w14:paraId="67A8F959">
      <w:pPr>
        <w:pStyle w:val="11"/>
        <w:tabs>
          <w:tab w:val="left" w:pos="2472"/>
        </w:tabs>
        <w:spacing w:line="460" w:lineRule="exact"/>
        <w:jc w:val="center"/>
        <w:rPr>
          <w:rFonts w:hint="eastAsia" w:ascii="宋体" w:hAnsi="宋体" w:eastAsia="宋体" w:cs="宋体"/>
          <w:b/>
          <w:color w:val="auto"/>
          <w:sz w:val="36"/>
          <w:highlight w:val="none"/>
        </w:rPr>
      </w:pPr>
    </w:p>
    <w:p w14:paraId="41BB9CE3">
      <w:pPr>
        <w:pStyle w:val="11"/>
        <w:tabs>
          <w:tab w:val="left" w:pos="2472"/>
        </w:tabs>
        <w:spacing w:line="460" w:lineRule="exact"/>
        <w:jc w:val="center"/>
        <w:rPr>
          <w:rFonts w:hint="eastAsia" w:ascii="宋体" w:hAnsi="宋体" w:eastAsia="宋体" w:cs="宋体"/>
          <w:b/>
          <w:color w:val="auto"/>
          <w:sz w:val="36"/>
          <w:highlight w:val="none"/>
        </w:rPr>
      </w:pPr>
    </w:p>
    <w:p w14:paraId="45B1EAB3">
      <w:pPr>
        <w:pStyle w:val="11"/>
        <w:tabs>
          <w:tab w:val="left" w:pos="2472"/>
        </w:tabs>
        <w:spacing w:line="460" w:lineRule="exact"/>
        <w:jc w:val="center"/>
        <w:rPr>
          <w:rFonts w:hint="eastAsia" w:ascii="宋体" w:hAnsi="宋体" w:eastAsia="宋体" w:cs="宋体"/>
          <w:b/>
          <w:color w:val="auto"/>
          <w:sz w:val="36"/>
          <w:highlight w:val="none"/>
        </w:rPr>
      </w:pPr>
    </w:p>
    <w:p w14:paraId="3497947B">
      <w:pPr>
        <w:pStyle w:val="11"/>
        <w:tabs>
          <w:tab w:val="left" w:pos="2472"/>
        </w:tabs>
        <w:spacing w:line="460" w:lineRule="exact"/>
        <w:jc w:val="center"/>
        <w:rPr>
          <w:rFonts w:hint="eastAsia" w:ascii="宋体" w:hAnsi="宋体" w:eastAsia="宋体" w:cs="宋体"/>
          <w:b/>
          <w:color w:val="auto"/>
          <w:sz w:val="36"/>
          <w:highlight w:val="none"/>
        </w:rPr>
      </w:pPr>
    </w:p>
    <w:p w14:paraId="527009AA">
      <w:pPr>
        <w:pStyle w:val="11"/>
        <w:tabs>
          <w:tab w:val="left" w:pos="2472"/>
        </w:tabs>
        <w:spacing w:line="460" w:lineRule="exact"/>
        <w:jc w:val="center"/>
        <w:rPr>
          <w:rFonts w:hint="eastAsia" w:ascii="宋体" w:hAnsi="宋体" w:eastAsia="宋体" w:cs="宋体"/>
          <w:b/>
          <w:color w:val="auto"/>
          <w:sz w:val="36"/>
          <w:highlight w:val="none"/>
        </w:rPr>
      </w:pPr>
    </w:p>
    <w:p w14:paraId="43708D09">
      <w:pPr>
        <w:pStyle w:val="11"/>
        <w:tabs>
          <w:tab w:val="left" w:pos="2472"/>
        </w:tabs>
        <w:spacing w:line="460" w:lineRule="exact"/>
        <w:jc w:val="center"/>
        <w:rPr>
          <w:rFonts w:hint="eastAsia" w:ascii="宋体" w:hAnsi="宋体" w:eastAsia="宋体" w:cs="宋体"/>
          <w:b/>
          <w:color w:val="auto"/>
          <w:sz w:val="36"/>
          <w:highlight w:val="none"/>
        </w:rPr>
      </w:pPr>
    </w:p>
    <w:p w14:paraId="3F30EF98">
      <w:pPr>
        <w:pStyle w:val="11"/>
        <w:tabs>
          <w:tab w:val="left" w:pos="2472"/>
        </w:tabs>
        <w:spacing w:line="460" w:lineRule="exact"/>
        <w:jc w:val="center"/>
        <w:outlineLvl w:val="0"/>
        <w:rPr>
          <w:rFonts w:hint="eastAsia" w:ascii="宋体" w:hAnsi="宋体" w:eastAsia="宋体" w:cs="宋体"/>
          <w:b/>
          <w:color w:val="auto"/>
          <w:sz w:val="36"/>
          <w:highlight w:val="none"/>
        </w:rPr>
      </w:pPr>
      <w:bookmarkStart w:id="154" w:name="_Toc10234"/>
      <w:bookmarkStart w:id="155" w:name="_Toc3838"/>
      <w:r>
        <w:rPr>
          <w:rFonts w:hint="eastAsia" w:ascii="宋体" w:hAnsi="宋体" w:eastAsia="宋体" w:cs="宋体"/>
          <w:b/>
          <w:color w:val="auto"/>
          <w:sz w:val="36"/>
          <w:highlight w:val="none"/>
        </w:rPr>
        <w:t>第五章 拟签订的合同文本</w:t>
      </w:r>
      <w:bookmarkEnd w:id="154"/>
      <w:bookmarkEnd w:id="155"/>
    </w:p>
    <w:p w14:paraId="7FE46B08">
      <w:pPr>
        <w:widowControl/>
        <w:jc w:val="left"/>
        <w:rPr>
          <w:rFonts w:hint="eastAsia" w:ascii="宋体" w:hAnsi="宋体" w:eastAsia="宋体" w:cs="宋体"/>
          <w:bCs/>
          <w:color w:val="auto"/>
          <w:szCs w:val="20"/>
          <w:highlight w:val="none"/>
        </w:rPr>
        <w:sectPr>
          <w:pgSz w:w="11906" w:h="16838"/>
          <w:pgMar w:top="1134" w:right="1134" w:bottom="1134" w:left="1134" w:header="720" w:footer="720" w:gutter="0"/>
          <w:cols w:space="720" w:num="1"/>
          <w:docGrid w:type="lines" w:linePitch="331" w:charSpace="0"/>
        </w:sectPr>
      </w:pPr>
    </w:p>
    <w:p w14:paraId="27726B58">
      <w:pPr>
        <w:spacing w:line="360" w:lineRule="auto"/>
        <w:rPr>
          <w:rFonts w:hint="eastAsia" w:ascii="宋体" w:hAnsi="宋体" w:eastAsia="宋体" w:cs="宋体"/>
          <w:color w:val="auto"/>
          <w:sz w:val="24"/>
          <w:highlight w:val="none"/>
        </w:rPr>
      </w:pPr>
    </w:p>
    <w:p w14:paraId="19378B10">
      <w:pPr>
        <w:spacing w:line="360" w:lineRule="auto"/>
        <w:rPr>
          <w:rFonts w:hint="eastAsia" w:ascii="宋体" w:hAnsi="宋体" w:eastAsia="宋体" w:cs="宋体"/>
          <w:color w:val="auto"/>
          <w:sz w:val="24"/>
          <w:highlight w:val="none"/>
          <w:u w:val="single"/>
        </w:rPr>
      </w:pPr>
      <w:r>
        <w:rPr>
          <w:rFonts w:hint="eastAsia" w:ascii="宋体" w:hAnsi="宋体" w:cs="宋体"/>
          <w:color w:val="auto"/>
          <w:sz w:val="24"/>
          <w:highlight w:val="none"/>
          <w:lang w:eastAsia="zh-CN"/>
        </w:rPr>
        <w:t>广西政府采购云平台</w:t>
      </w:r>
      <w:r>
        <w:rPr>
          <w:rFonts w:hint="eastAsia" w:ascii="宋体" w:hAnsi="宋体" w:eastAsia="宋体" w:cs="宋体"/>
          <w:color w:val="auto"/>
          <w:sz w:val="24"/>
          <w:highlight w:val="none"/>
        </w:rPr>
        <w:t>合同编号：</w:t>
      </w:r>
      <w:r>
        <w:rPr>
          <w:rFonts w:hint="eastAsia" w:ascii="宋体" w:hAnsi="宋体" w:eastAsia="宋体" w:cs="宋体"/>
          <w:color w:val="auto"/>
          <w:sz w:val="24"/>
          <w:highlight w:val="none"/>
          <w:u w:val="single"/>
        </w:rPr>
        <w:t xml:space="preserve">           </w:t>
      </w:r>
    </w:p>
    <w:p w14:paraId="0F3912EE">
      <w:pPr>
        <w:spacing w:line="360" w:lineRule="auto"/>
        <w:jc w:val="center"/>
        <w:rPr>
          <w:rFonts w:hint="eastAsia" w:ascii="宋体" w:hAnsi="宋体" w:eastAsia="宋体" w:cs="宋体"/>
          <w:b/>
          <w:bCs/>
          <w:color w:val="auto"/>
          <w:sz w:val="52"/>
          <w:highlight w:val="none"/>
        </w:rPr>
      </w:pPr>
    </w:p>
    <w:p w14:paraId="2781224D">
      <w:pPr>
        <w:spacing w:line="360" w:lineRule="auto"/>
        <w:jc w:val="center"/>
        <w:rPr>
          <w:rFonts w:hint="eastAsia" w:ascii="宋体" w:hAnsi="宋体" w:eastAsia="宋体" w:cs="宋体"/>
          <w:b/>
          <w:bCs/>
          <w:color w:val="auto"/>
          <w:sz w:val="52"/>
          <w:highlight w:val="none"/>
        </w:rPr>
      </w:pPr>
    </w:p>
    <w:p w14:paraId="7043397B">
      <w:pPr>
        <w:spacing w:line="360" w:lineRule="auto"/>
        <w:jc w:val="center"/>
        <w:rPr>
          <w:rFonts w:hint="eastAsia" w:ascii="宋体" w:hAnsi="宋体" w:eastAsia="宋体" w:cs="宋体"/>
          <w:b/>
          <w:bCs/>
          <w:color w:val="auto"/>
          <w:sz w:val="52"/>
          <w:highlight w:val="none"/>
        </w:rPr>
      </w:pPr>
      <w:r>
        <w:rPr>
          <w:rFonts w:hint="eastAsia" w:ascii="宋体" w:hAnsi="宋体" w:eastAsia="宋体" w:cs="宋体"/>
          <w:b/>
          <w:bCs/>
          <w:color w:val="auto"/>
          <w:sz w:val="52"/>
          <w:highlight w:val="none"/>
        </w:rPr>
        <w:t>南 宁 市 政 府 采 购</w:t>
      </w:r>
    </w:p>
    <w:p w14:paraId="1D7F3CD1">
      <w:pPr>
        <w:spacing w:line="360" w:lineRule="auto"/>
        <w:ind w:firstLine="420" w:firstLineChars="200"/>
        <w:rPr>
          <w:rFonts w:hint="eastAsia" w:ascii="宋体" w:hAnsi="宋体" w:eastAsia="宋体" w:cs="宋体"/>
          <w:color w:val="auto"/>
          <w:highlight w:val="none"/>
        </w:rPr>
      </w:pPr>
    </w:p>
    <w:p w14:paraId="52D8F162">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258838DE">
      <w:pPr>
        <w:spacing w:line="360" w:lineRule="auto"/>
        <w:jc w:val="center"/>
        <w:outlineLvl w:val="1"/>
        <w:rPr>
          <w:rFonts w:hint="eastAsia" w:ascii="宋体" w:hAnsi="宋体" w:eastAsia="宋体" w:cs="宋体"/>
          <w:b/>
          <w:bCs/>
          <w:color w:val="auto"/>
          <w:sz w:val="44"/>
          <w:highlight w:val="none"/>
        </w:rPr>
      </w:pPr>
      <w:r>
        <w:rPr>
          <w:rFonts w:hint="eastAsia" w:ascii="宋体" w:hAnsi="宋体" w:eastAsia="宋体" w:cs="宋体"/>
          <w:b/>
          <w:bCs/>
          <w:color w:val="auto"/>
          <w:sz w:val="44"/>
          <w:highlight w:val="none"/>
          <w:u w:val="single"/>
        </w:rPr>
        <w:t xml:space="preserve"> </w:t>
      </w:r>
      <w:bookmarkStart w:id="156" w:name="_Toc30642"/>
      <w:r>
        <w:rPr>
          <w:rFonts w:hint="eastAsia" w:ascii="宋体" w:hAnsi="宋体" w:cs="宋体"/>
          <w:b/>
          <w:bCs/>
          <w:color w:val="auto"/>
          <w:sz w:val="44"/>
          <w:highlight w:val="none"/>
          <w:u w:val="single"/>
          <w:lang w:val="en-US" w:eastAsia="zh-CN"/>
        </w:rPr>
        <w:t xml:space="preserve">       </w:t>
      </w:r>
      <w:r>
        <w:rPr>
          <w:rFonts w:hint="eastAsia" w:ascii="宋体" w:hAnsi="宋体" w:eastAsia="宋体" w:cs="宋体"/>
          <w:b/>
          <w:bCs/>
          <w:color w:val="auto"/>
          <w:sz w:val="44"/>
          <w:highlight w:val="none"/>
        </w:rPr>
        <w:t>合同</w:t>
      </w:r>
      <w:bookmarkEnd w:id="156"/>
    </w:p>
    <w:p w14:paraId="02A81C01">
      <w:pPr>
        <w:spacing w:line="360" w:lineRule="auto"/>
        <w:jc w:val="center"/>
        <w:rPr>
          <w:rFonts w:hint="eastAsia" w:ascii="宋体" w:hAnsi="宋体" w:eastAsia="宋体" w:cs="宋体"/>
          <w:b/>
          <w:bCs/>
          <w:color w:val="auto"/>
          <w:sz w:val="44"/>
          <w:highlight w:val="none"/>
        </w:rPr>
      </w:pPr>
    </w:p>
    <w:p w14:paraId="22F78F77">
      <w:pPr>
        <w:spacing w:line="360" w:lineRule="auto"/>
        <w:jc w:val="center"/>
        <w:rPr>
          <w:rFonts w:hint="eastAsia" w:ascii="宋体" w:hAnsi="宋体" w:eastAsia="宋体" w:cs="宋体"/>
          <w:b/>
          <w:bCs/>
          <w:color w:val="auto"/>
          <w:sz w:val="44"/>
          <w:highlight w:val="none"/>
        </w:rPr>
      </w:pPr>
    </w:p>
    <w:p w14:paraId="71C5A04D">
      <w:pPr>
        <w:spacing w:line="360" w:lineRule="auto"/>
        <w:ind w:firstLine="3507" w:firstLineChars="794"/>
        <w:rPr>
          <w:rFonts w:hint="eastAsia" w:ascii="宋体" w:hAnsi="宋体" w:eastAsia="宋体" w:cs="宋体"/>
          <w:b/>
          <w:bCs/>
          <w:color w:val="auto"/>
          <w:sz w:val="44"/>
          <w:highlight w:val="none"/>
        </w:rPr>
      </w:pPr>
    </w:p>
    <w:p w14:paraId="5A4930F1">
      <w:pPr>
        <w:spacing w:line="360" w:lineRule="auto"/>
        <w:ind w:firstLine="3507" w:firstLineChars="794"/>
        <w:rPr>
          <w:rFonts w:hint="eastAsia" w:ascii="宋体" w:hAnsi="宋体" w:eastAsia="宋体" w:cs="宋体"/>
          <w:b/>
          <w:bCs/>
          <w:color w:val="auto"/>
          <w:sz w:val="44"/>
          <w:highlight w:val="none"/>
        </w:rPr>
      </w:pPr>
    </w:p>
    <w:p w14:paraId="7DB949B7">
      <w:pPr>
        <w:ind w:firstLine="1995" w:firstLineChars="552"/>
        <w:rPr>
          <w:rFonts w:hint="default" w:ascii="宋体" w:hAnsi="宋体" w:eastAsia="宋体" w:cs="宋体"/>
          <w:b/>
          <w:color w:val="auto"/>
          <w:sz w:val="36"/>
          <w:szCs w:val="36"/>
          <w:highlight w:val="none"/>
          <w:lang w:val="en-US" w:eastAsia="zh-CN"/>
        </w:rPr>
      </w:pPr>
      <w:r>
        <w:rPr>
          <w:rFonts w:hint="eastAsia" w:ascii="宋体" w:hAnsi="宋体" w:eastAsia="宋体" w:cs="宋体"/>
          <w:b/>
          <w:color w:val="auto"/>
          <w:sz w:val="36"/>
          <w:szCs w:val="36"/>
          <w:highlight w:val="none"/>
        </w:rPr>
        <w:t>项目编号：</w:t>
      </w:r>
      <w:r>
        <w:rPr>
          <w:rFonts w:hint="eastAsia" w:ascii="宋体" w:hAnsi="宋体" w:eastAsia="宋体" w:cs="宋体"/>
          <w:b/>
          <w:color w:val="auto"/>
          <w:sz w:val="36"/>
          <w:szCs w:val="36"/>
          <w:highlight w:val="none"/>
          <w:u w:val="single"/>
        </w:rPr>
        <w:t xml:space="preserve"> </w:t>
      </w:r>
      <w:r>
        <w:rPr>
          <w:rFonts w:hint="eastAsia" w:ascii="宋体" w:hAnsi="宋体" w:cs="宋体"/>
          <w:b/>
          <w:color w:val="auto"/>
          <w:sz w:val="36"/>
          <w:szCs w:val="36"/>
          <w:highlight w:val="none"/>
          <w:u w:val="single"/>
          <w:lang w:val="en-US" w:eastAsia="zh-CN"/>
        </w:rPr>
        <w:t xml:space="preserve">                      </w:t>
      </w:r>
    </w:p>
    <w:p w14:paraId="74499FA7">
      <w:pPr>
        <w:ind w:firstLine="1995" w:firstLineChars="552"/>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计划编号：</w:t>
      </w:r>
      <w:r>
        <w:rPr>
          <w:rFonts w:hint="eastAsia" w:ascii="宋体" w:hAnsi="宋体" w:eastAsia="宋体" w:cs="宋体"/>
          <w:b/>
          <w:color w:val="auto"/>
          <w:sz w:val="36"/>
          <w:szCs w:val="36"/>
          <w:highlight w:val="none"/>
          <w:u w:val="single"/>
        </w:rPr>
        <w:t xml:space="preserve"> </w:t>
      </w:r>
      <w:r>
        <w:rPr>
          <w:rFonts w:hint="eastAsia" w:ascii="宋体" w:hAnsi="宋体" w:cs="宋体"/>
          <w:b/>
          <w:color w:val="auto"/>
          <w:sz w:val="36"/>
          <w:szCs w:val="36"/>
          <w:highlight w:val="none"/>
          <w:u w:val="single"/>
          <w:lang w:val="en-US" w:eastAsia="zh-CN"/>
        </w:rPr>
        <w:t xml:space="preserve">                      </w:t>
      </w:r>
    </w:p>
    <w:p w14:paraId="4626352C">
      <w:pPr>
        <w:ind w:firstLine="1970" w:firstLineChars="545"/>
        <w:rPr>
          <w:rFonts w:hint="eastAsia" w:ascii="宋体" w:hAnsi="宋体" w:eastAsia="宋体" w:cs="宋体"/>
          <w:b/>
          <w:color w:val="auto"/>
          <w:sz w:val="36"/>
          <w:szCs w:val="36"/>
          <w:highlight w:val="none"/>
          <w:u w:val="single"/>
        </w:rPr>
      </w:pPr>
    </w:p>
    <w:p w14:paraId="30962B61">
      <w:pPr>
        <w:tabs>
          <w:tab w:val="left" w:pos="7200"/>
        </w:tabs>
        <w:spacing w:line="360" w:lineRule="auto"/>
        <w:ind w:firstLine="1995" w:firstLineChars="552"/>
        <w:rPr>
          <w:rFonts w:hint="eastAsia" w:ascii="宋体" w:hAnsi="宋体" w:eastAsia="宋体" w:cs="宋体"/>
          <w:b/>
          <w:color w:val="auto"/>
          <w:sz w:val="36"/>
          <w:szCs w:val="36"/>
          <w:highlight w:val="none"/>
          <w:u w:val="single"/>
        </w:rPr>
      </w:pPr>
      <w:r>
        <w:rPr>
          <w:rFonts w:hint="eastAsia" w:ascii="宋体" w:hAnsi="宋体" w:eastAsia="宋体" w:cs="宋体"/>
          <w:b/>
          <w:color w:val="auto"/>
          <w:sz w:val="36"/>
          <w:szCs w:val="36"/>
          <w:highlight w:val="none"/>
        </w:rPr>
        <w:t>采购人：</w:t>
      </w:r>
      <w:r>
        <w:rPr>
          <w:rFonts w:hint="eastAsia" w:ascii="宋体" w:hAnsi="宋体" w:eastAsia="宋体" w:cs="宋体"/>
          <w:b/>
          <w:color w:val="auto"/>
          <w:sz w:val="36"/>
          <w:szCs w:val="36"/>
          <w:highlight w:val="none"/>
          <w:u w:val="single"/>
        </w:rPr>
        <w:t xml:space="preserve"> </w:t>
      </w:r>
      <w:r>
        <w:rPr>
          <w:rFonts w:hint="eastAsia" w:ascii="宋体" w:hAnsi="宋体" w:cs="宋体"/>
          <w:b/>
          <w:color w:val="auto"/>
          <w:sz w:val="36"/>
          <w:szCs w:val="36"/>
          <w:highlight w:val="none"/>
          <w:u w:val="single"/>
          <w:lang w:val="en-US" w:eastAsia="zh-CN"/>
        </w:rPr>
        <w:t xml:space="preserve">                    </w:t>
      </w:r>
      <w:r>
        <w:rPr>
          <w:rFonts w:hint="eastAsia" w:ascii="宋体" w:hAnsi="宋体" w:eastAsia="宋体" w:cs="宋体"/>
          <w:b/>
          <w:color w:val="auto"/>
          <w:sz w:val="36"/>
          <w:szCs w:val="36"/>
          <w:highlight w:val="none"/>
          <w:u w:val="single"/>
        </w:rPr>
        <w:t xml:space="preserve">  </w:t>
      </w:r>
    </w:p>
    <w:p w14:paraId="1A88D840">
      <w:pPr>
        <w:tabs>
          <w:tab w:val="left" w:pos="7380"/>
        </w:tabs>
        <w:spacing w:line="360" w:lineRule="auto"/>
        <w:ind w:firstLine="1995" w:firstLineChars="552"/>
        <w:rPr>
          <w:rFonts w:hint="eastAsia" w:ascii="宋体" w:hAnsi="宋体" w:eastAsia="宋体" w:cs="宋体"/>
          <w:b/>
          <w:bCs/>
          <w:color w:val="auto"/>
          <w:sz w:val="44"/>
          <w:highlight w:val="none"/>
        </w:rPr>
      </w:pPr>
      <w:r>
        <w:rPr>
          <w:rFonts w:hint="eastAsia" w:ascii="宋体" w:hAnsi="宋体" w:eastAsia="宋体" w:cs="宋体"/>
          <w:b/>
          <w:color w:val="auto"/>
          <w:sz w:val="36"/>
          <w:szCs w:val="36"/>
          <w:highlight w:val="none"/>
        </w:rPr>
        <w:t>中标供应商：</w:t>
      </w:r>
      <w:r>
        <w:rPr>
          <w:rFonts w:hint="eastAsia" w:ascii="宋体" w:hAnsi="宋体" w:eastAsia="宋体" w:cs="宋体"/>
          <w:b/>
          <w:color w:val="auto"/>
          <w:sz w:val="36"/>
          <w:szCs w:val="36"/>
          <w:highlight w:val="none"/>
          <w:u w:val="single"/>
        </w:rPr>
        <w:t xml:space="preserve">                   </w:t>
      </w:r>
    </w:p>
    <w:p w14:paraId="39A1197A">
      <w:pPr>
        <w:tabs>
          <w:tab w:val="left" w:pos="7380"/>
        </w:tabs>
        <w:spacing w:line="360" w:lineRule="auto"/>
        <w:rPr>
          <w:rFonts w:hint="eastAsia" w:ascii="宋体" w:hAnsi="宋体" w:eastAsia="宋体" w:cs="宋体"/>
          <w:b/>
          <w:bCs/>
          <w:color w:val="auto"/>
          <w:sz w:val="44"/>
          <w:highlight w:val="none"/>
        </w:rPr>
      </w:pPr>
    </w:p>
    <w:p w14:paraId="444681C1">
      <w:pPr>
        <w:spacing w:before="120" w:line="360" w:lineRule="auto"/>
        <w:ind w:firstLine="960" w:firstLineChars="400"/>
        <w:rPr>
          <w:rFonts w:hint="eastAsia" w:ascii="宋体" w:hAnsi="宋体" w:eastAsia="宋体" w:cs="宋体"/>
          <w:color w:val="auto"/>
          <w:sz w:val="24"/>
          <w:highlight w:val="none"/>
        </w:rPr>
      </w:pPr>
    </w:p>
    <w:p w14:paraId="3A851B24">
      <w:pPr>
        <w:spacing w:before="120" w:line="360" w:lineRule="auto"/>
        <w:ind w:firstLine="960" w:firstLineChars="400"/>
        <w:rPr>
          <w:rFonts w:hint="eastAsia" w:ascii="宋体" w:hAnsi="宋体" w:eastAsia="宋体" w:cs="宋体"/>
          <w:color w:val="auto"/>
          <w:sz w:val="24"/>
          <w:highlight w:val="none"/>
        </w:rPr>
      </w:pPr>
    </w:p>
    <w:p w14:paraId="08F5EC5F">
      <w:pPr>
        <w:spacing w:before="120" w:line="360" w:lineRule="auto"/>
        <w:ind w:firstLine="2280" w:firstLineChars="950"/>
        <w:rPr>
          <w:rFonts w:hint="eastAsia" w:ascii="宋体" w:hAnsi="宋体" w:eastAsia="宋体" w:cs="宋体"/>
          <w:b/>
          <w:bCs/>
          <w:color w:val="auto"/>
          <w:sz w:val="44"/>
          <w:highlight w:val="none"/>
        </w:rPr>
      </w:pPr>
      <w:r>
        <w:rPr>
          <w:rFonts w:hint="eastAsia" w:ascii="宋体" w:hAnsi="宋体" w:eastAsia="宋体" w:cs="宋体"/>
          <w:color w:val="auto"/>
          <w:sz w:val="24"/>
          <w:highlight w:val="none"/>
        </w:rPr>
        <w:t>签订日期：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14:paraId="360020B6">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bCs/>
          <w:color w:val="auto"/>
          <w:sz w:val="44"/>
          <w:highlight w:val="none"/>
        </w:rPr>
        <w:br w:type="page"/>
      </w:r>
      <w:r>
        <w:rPr>
          <w:rFonts w:hint="eastAsia" w:ascii="宋体" w:hAnsi="宋体" w:eastAsia="宋体" w:cs="宋体"/>
          <w:b/>
          <w:color w:val="auto"/>
          <w:sz w:val="24"/>
          <w:highlight w:val="none"/>
        </w:rPr>
        <w:t>合同目录</w:t>
      </w:r>
    </w:p>
    <w:p w14:paraId="0853FF8A">
      <w:pPr>
        <w:snapToGrid w:val="0"/>
        <w:spacing w:line="360" w:lineRule="auto"/>
        <w:jc w:val="center"/>
        <w:rPr>
          <w:rFonts w:hint="eastAsia" w:ascii="宋体" w:hAnsi="宋体" w:eastAsia="宋体" w:cs="宋体"/>
          <w:b/>
          <w:bCs/>
          <w:color w:val="auto"/>
          <w:sz w:val="44"/>
          <w:highlight w:val="none"/>
        </w:rPr>
      </w:pPr>
    </w:p>
    <w:p w14:paraId="51DA1444">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一、</w:t>
      </w:r>
      <w:r>
        <w:rPr>
          <w:rFonts w:hint="eastAsia" w:ascii="宋体" w:hAnsi="宋体" w:eastAsia="宋体" w:cs="宋体"/>
          <w:color w:val="auto"/>
          <w:sz w:val="24"/>
          <w:highlight w:val="none"/>
        </w:rPr>
        <w:t>第一部分 合同书</w:t>
      </w:r>
      <w:r>
        <w:rPr>
          <w:rFonts w:hint="eastAsia" w:ascii="宋体" w:hAnsi="宋体" w:eastAsia="宋体" w:cs="宋体"/>
          <w:color w:val="auto"/>
          <w:kern w:val="0"/>
          <w:sz w:val="24"/>
          <w:highlight w:val="none"/>
        </w:rPr>
        <w:t>……………………………………………………………（页码）</w:t>
      </w:r>
    </w:p>
    <w:p w14:paraId="0AEFB9AF">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二、第二部分 合同一般条款……………………………………………………（页码）</w:t>
      </w:r>
    </w:p>
    <w:p w14:paraId="2ACE6E56">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三、第三部分 合同专用条款……………………………………………………（页码）</w:t>
      </w:r>
    </w:p>
    <w:p w14:paraId="1518DE67">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四、</w:t>
      </w:r>
      <w:r>
        <w:rPr>
          <w:rFonts w:hint="eastAsia" w:ascii="宋体" w:hAnsi="宋体" w:eastAsia="宋体" w:cs="宋体"/>
          <w:color w:val="auto"/>
          <w:sz w:val="24"/>
          <w:highlight w:val="none"/>
        </w:rPr>
        <w:t>第四部分 合同附件</w:t>
      </w:r>
      <w:r>
        <w:rPr>
          <w:rFonts w:hint="eastAsia" w:ascii="宋体" w:hAnsi="宋体" w:eastAsia="宋体" w:cs="宋体"/>
          <w:color w:val="auto"/>
          <w:kern w:val="0"/>
          <w:sz w:val="24"/>
          <w:highlight w:val="none"/>
        </w:rPr>
        <w:t>…………………………………………………………（页码）</w:t>
      </w:r>
    </w:p>
    <w:p w14:paraId="2B827920">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4.1中标通知书 …………………………………………………………………（页码）</w:t>
      </w:r>
    </w:p>
    <w:p w14:paraId="17696073">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4.2招标文件服务需求一览表 …………………………………………………（页码）</w:t>
      </w:r>
    </w:p>
    <w:p w14:paraId="5EACC9C4">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4.3招标文件的更改通知（如有） ……………………………………………（页码）</w:t>
      </w:r>
    </w:p>
    <w:p w14:paraId="40383E02">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4.4投标函 ………………………………………………………………………（页码）</w:t>
      </w:r>
    </w:p>
    <w:p w14:paraId="78C0E64A">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4.5报价表 ………………………………………………………………………（页码）</w:t>
      </w:r>
    </w:p>
    <w:p w14:paraId="4338A99D">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4.6投标服务技术资料表 ………………………………………………………（页码）</w:t>
      </w:r>
    </w:p>
    <w:p w14:paraId="15CB6092">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4.7商务条款偏离表 ……………………………………………………………（页码）</w:t>
      </w:r>
    </w:p>
    <w:p w14:paraId="4C30E0C3">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4.8中标供应商澄清函（如有请提供） ………………………………………（页码）</w:t>
      </w:r>
    </w:p>
    <w:p w14:paraId="585F3E9F">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4.9其他与本合同相关的资料（如有请提供） ………………………………（页码）</w:t>
      </w:r>
    </w:p>
    <w:p w14:paraId="5C422A7B">
      <w:pPr>
        <w:snapToGrid w:val="0"/>
        <w:spacing w:line="360" w:lineRule="auto"/>
        <w:rPr>
          <w:rFonts w:hint="eastAsia" w:ascii="宋体" w:hAnsi="宋体" w:eastAsia="宋体" w:cs="宋体"/>
          <w:color w:val="auto"/>
          <w:kern w:val="0"/>
          <w:sz w:val="24"/>
          <w:highlight w:val="none"/>
        </w:rPr>
      </w:pPr>
    </w:p>
    <w:p w14:paraId="5E7FFA4B">
      <w:pPr>
        <w:widowControl/>
        <w:jc w:val="left"/>
        <w:rPr>
          <w:rFonts w:hint="eastAsia" w:ascii="宋体" w:hAnsi="宋体" w:eastAsia="宋体" w:cs="宋体"/>
          <w:color w:val="auto"/>
          <w:spacing w:val="-4"/>
          <w:sz w:val="18"/>
          <w:szCs w:val="20"/>
          <w:highlight w:val="none"/>
        </w:rPr>
        <w:sectPr>
          <w:pgSz w:w="11906" w:h="16838"/>
          <w:pgMar w:top="1134" w:right="1134" w:bottom="1134" w:left="1134" w:header="720" w:footer="720" w:gutter="0"/>
          <w:cols w:space="720" w:num="1"/>
          <w:docGrid w:type="lines" w:linePitch="331" w:charSpace="0"/>
        </w:sectPr>
      </w:pPr>
    </w:p>
    <w:p w14:paraId="7EEA4038">
      <w:pPr>
        <w:pStyle w:val="34"/>
        <w:ind w:firstLine="562"/>
        <w:jc w:val="center"/>
        <w:outlineLvl w:val="1"/>
        <w:rPr>
          <w:rFonts w:hint="eastAsia" w:ascii="宋体" w:hAnsi="宋体" w:eastAsia="宋体" w:cs="宋体"/>
          <w:b/>
          <w:color w:val="auto"/>
          <w:sz w:val="28"/>
          <w:szCs w:val="28"/>
          <w:highlight w:val="none"/>
        </w:rPr>
      </w:pPr>
      <w:bookmarkStart w:id="157" w:name="_Toc18796"/>
      <w:r>
        <w:rPr>
          <w:rFonts w:hint="eastAsia" w:ascii="宋体" w:hAnsi="宋体" w:eastAsia="宋体" w:cs="宋体"/>
          <w:b/>
          <w:color w:val="auto"/>
          <w:sz w:val="28"/>
          <w:szCs w:val="28"/>
          <w:highlight w:val="none"/>
        </w:rPr>
        <w:t>第一部分 合同书</w:t>
      </w:r>
      <w:bookmarkEnd w:id="157"/>
    </w:p>
    <w:p w14:paraId="13AB45A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年</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月</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日</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以</w:t>
      </w:r>
      <w:r>
        <w:rPr>
          <w:rFonts w:hint="eastAsia" w:ascii="宋体" w:hAnsi="宋体" w:eastAsia="宋体" w:cs="宋体"/>
          <w:color w:val="auto"/>
          <w:sz w:val="24"/>
          <w:highlight w:val="none"/>
          <w:u w:val="single"/>
        </w:rPr>
        <w:t xml:space="preserve">   公开招标方式  </w:t>
      </w:r>
      <w:r>
        <w:rPr>
          <w:rFonts w:hint="eastAsia" w:ascii="宋体" w:hAnsi="宋体" w:eastAsia="宋体" w:cs="宋体"/>
          <w:color w:val="auto"/>
          <w:sz w:val="24"/>
          <w:highlight w:val="none"/>
        </w:rPr>
        <w:t>对</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rPr>
        <w:t>项目进行了采购。经</w:t>
      </w:r>
      <w:r>
        <w:rPr>
          <w:rFonts w:hint="eastAsia" w:ascii="宋体" w:hAnsi="宋体" w:eastAsia="宋体" w:cs="宋体"/>
          <w:color w:val="auto"/>
          <w:sz w:val="24"/>
          <w:highlight w:val="none"/>
          <w:u w:val="single"/>
        </w:rPr>
        <w:t xml:space="preserve">   （相关评定主体名称）   </w:t>
      </w:r>
      <w:r>
        <w:rPr>
          <w:rFonts w:hint="eastAsia" w:ascii="宋体" w:hAnsi="宋体" w:eastAsia="宋体" w:cs="宋体"/>
          <w:color w:val="auto"/>
          <w:sz w:val="24"/>
          <w:highlight w:val="none"/>
        </w:rPr>
        <w:t>评定，</w:t>
      </w:r>
      <w:r>
        <w:rPr>
          <w:rFonts w:hint="eastAsia" w:ascii="宋体" w:hAnsi="宋体" w:eastAsia="宋体" w:cs="宋体"/>
          <w:color w:val="auto"/>
          <w:sz w:val="24"/>
          <w:highlight w:val="none"/>
          <w:u w:val="single"/>
        </w:rPr>
        <w:t xml:space="preserve">   （中标人名称）</w:t>
      </w:r>
      <w:r>
        <w:rPr>
          <w:rFonts w:hint="eastAsia" w:ascii="宋体" w:hAnsi="宋体" w:eastAsia="宋体" w:cs="宋体"/>
          <w:color w:val="auto"/>
          <w:sz w:val="24"/>
          <w:highlight w:val="none"/>
        </w:rPr>
        <w:t>为该项目中标人。现于中标通知书发出之日起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日内（根据项目实际情况填写，不能超过25日），按照采购文件确定的事项签订本合同。</w:t>
      </w:r>
    </w:p>
    <w:p w14:paraId="4B5399E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根据《中华人民共和国民法典》、《中华人民共和国政府采购法》等相关法律法规之规定，按照平等、自愿、公平和诚实信用的原则，经</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lang w:val="zh-CN"/>
        </w:rPr>
        <w:t>（以下简称：甲方）和</w:t>
      </w:r>
      <w:r>
        <w:rPr>
          <w:rFonts w:hint="eastAsia" w:ascii="宋体" w:hAnsi="宋体" w:eastAsia="宋体" w:cs="宋体"/>
          <w:color w:val="auto"/>
          <w:sz w:val="24"/>
          <w:highlight w:val="none"/>
          <w:u w:val="single"/>
        </w:rPr>
        <w:t xml:space="preserve">   （中标人名称）   </w:t>
      </w:r>
      <w:r>
        <w:rPr>
          <w:rFonts w:hint="eastAsia" w:ascii="宋体" w:hAnsi="宋体" w:eastAsia="宋体" w:cs="宋体"/>
          <w:color w:val="auto"/>
          <w:sz w:val="24"/>
          <w:highlight w:val="none"/>
          <w:lang w:val="zh-CN"/>
        </w:rPr>
        <w:t>（以下简称：乙方）协商一致，约定以下合同</w:t>
      </w:r>
      <w:r>
        <w:rPr>
          <w:rFonts w:hint="eastAsia" w:ascii="宋体" w:hAnsi="宋体" w:eastAsia="宋体" w:cs="宋体"/>
          <w:color w:val="auto"/>
          <w:sz w:val="24"/>
          <w:highlight w:val="none"/>
        </w:rPr>
        <w:t>条款，以兹共同遵守、全面履行。</w:t>
      </w:r>
    </w:p>
    <w:p w14:paraId="2D40C190">
      <w:pPr>
        <w:spacing w:line="360" w:lineRule="auto"/>
        <w:ind w:firstLine="482" w:firstLineChars="200"/>
        <w:rPr>
          <w:rFonts w:hint="eastAsia" w:ascii="宋体" w:hAnsi="宋体" w:eastAsia="宋体" w:cs="宋体"/>
          <w:b/>
          <w:color w:val="auto"/>
          <w:sz w:val="24"/>
          <w:highlight w:val="none"/>
        </w:rPr>
      </w:pPr>
      <w:bookmarkStart w:id="158" w:name="_Toc24059"/>
      <w:bookmarkStart w:id="159" w:name="_Toc2232"/>
      <w:bookmarkStart w:id="160" w:name="_Toc3029"/>
      <w:r>
        <w:rPr>
          <w:rFonts w:hint="eastAsia" w:ascii="宋体" w:hAnsi="宋体" w:eastAsia="宋体" w:cs="宋体"/>
          <w:b/>
          <w:color w:val="auto"/>
          <w:sz w:val="24"/>
          <w:highlight w:val="none"/>
        </w:rPr>
        <w:t>1.1 合同组成部分</w:t>
      </w:r>
      <w:bookmarkEnd w:id="158"/>
      <w:bookmarkEnd w:id="159"/>
      <w:bookmarkEnd w:id="160"/>
    </w:p>
    <w:p w14:paraId="70A6187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下列文件为本合同的组成部分，并构成一个整体，需综合解释、相互补充。如果下列文件内容出现不一致的情形，在保证按照采购文件确定的事项的前提下，组成本合同的多个文件的优先适用顺序如下：</w:t>
      </w:r>
    </w:p>
    <w:p w14:paraId="3096FCA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1.1.1 本合同及其补充合同、变更协议；</w:t>
      </w:r>
    </w:p>
    <w:p w14:paraId="4BADF72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 中标通知书；</w:t>
      </w:r>
    </w:p>
    <w:p w14:paraId="0E6255A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1.1.3 投标文件及“投标报价”（含澄清或者说明文件）；</w:t>
      </w:r>
    </w:p>
    <w:p w14:paraId="51CF5E3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1.1.4 招标文件（含澄清或者修改文件）；</w:t>
      </w:r>
    </w:p>
    <w:p w14:paraId="691ECCD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1.1.5 其他相关采购文件。</w:t>
      </w:r>
    </w:p>
    <w:p w14:paraId="34A47F47">
      <w:pPr>
        <w:spacing w:line="360" w:lineRule="auto"/>
        <w:ind w:firstLine="482" w:firstLineChars="200"/>
        <w:rPr>
          <w:rFonts w:hint="eastAsia" w:ascii="宋体" w:hAnsi="宋体" w:eastAsia="宋体" w:cs="宋体"/>
          <w:b/>
          <w:color w:val="auto"/>
          <w:sz w:val="24"/>
          <w:highlight w:val="none"/>
        </w:rPr>
      </w:pPr>
      <w:bookmarkStart w:id="161" w:name="_Toc27126"/>
      <w:bookmarkStart w:id="162" w:name="_Toc24300"/>
      <w:bookmarkStart w:id="163" w:name="_Toc21295"/>
      <w:r>
        <w:rPr>
          <w:rFonts w:hint="eastAsia" w:ascii="宋体" w:hAnsi="宋体" w:eastAsia="宋体" w:cs="宋体"/>
          <w:b/>
          <w:color w:val="auto"/>
          <w:sz w:val="24"/>
          <w:highlight w:val="none"/>
        </w:rPr>
        <w:t>1.2 标的物</w:t>
      </w:r>
      <w:bookmarkEnd w:id="161"/>
      <w:bookmarkEnd w:id="162"/>
      <w:bookmarkEnd w:id="163"/>
    </w:p>
    <w:p w14:paraId="351F484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1.2.1 标的物1信息</w:t>
      </w:r>
    </w:p>
    <w:p w14:paraId="720ECEC5">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1.2.1.1名称：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16810F85">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1.2.1.2数量：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2A8034A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1.2.1.3质量：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5F602C5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3F0F0B95">
      <w:pPr>
        <w:spacing w:line="360" w:lineRule="auto"/>
        <w:ind w:firstLine="482" w:firstLineChars="200"/>
        <w:rPr>
          <w:rFonts w:hint="eastAsia" w:ascii="宋体" w:hAnsi="宋体" w:eastAsia="宋体" w:cs="宋体"/>
          <w:b/>
          <w:color w:val="auto"/>
          <w:sz w:val="24"/>
          <w:highlight w:val="none"/>
        </w:rPr>
      </w:pPr>
      <w:bookmarkStart w:id="164" w:name="_Toc21631"/>
      <w:bookmarkStart w:id="165" w:name="_Toc21551"/>
      <w:bookmarkStart w:id="166" w:name="_Toc23292"/>
      <w:r>
        <w:rPr>
          <w:rFonts w:hint="eastAsia" w:ascii="宋体" w:hAnsi="宋体" w:eastAsia="宋体" w:cs="宋体"/>
          <w:b/>
          <w:color w:val="auto"/>
          <w:sz w:val="24"/>
          <w:highlight w:val="none"/>
        </w:rPr>
        <w:t>1.3 价款</w:t>
      </w:r>
      <w:bookmarkEnd w:id="164"/>
      <w:bookmarkEnd w:id="165"/>
      <w:bookmarkEnd w:id="166"/>
    </w:p>
    <w:p w14:paraId="3113160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本合同总价为：人民币</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元（大写：</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元人民币，含税）。</w:t>
      </w:r>
    </w:p>
    <w:p w14:paraId="6D3EDA87">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分项价格：</w:t>
      </w:r>
    </w:p>
    <w:tbl>
      <w:tblPr>
        <w:tblStyle w:val="18"/>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0A482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595C1E7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694159C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3CB7BE5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分项价格</w:t>
            </w:r>
          </w:p>
        </w:tc>
      </w:tr>
      <w:tr w14:paraId="5D9D4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58E49903">
            <w:pPr>
              <w:spacing w:line="360" w:lineRule="auto"/>
              <w:ind w:firstLine="480" w:firstLineChars="200"/>
              <w:rPr>
                <w:rFonts w:hint="eastAsia" w:ascii="宋体" w:hAnsi="宋体" w:eastAsia="宋体" w:cs="宋体"/>
                <w:color w:val="auto"/>
                <w:sz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216A3199">
            <w:pPr>
              <w:spacing w:line="360" w:lineRule="auto"/>
              <w:ind w:firstLine="480" w:firstLineChars="200"/>
              <w:rPr>
                <w:rFonts w:hint="eastAsia" w:ascii="宋体" w:hAnsi="宋体" w:eastAsia="宋体" w:cs="宋体"/>
                <w:color w:val="auto"/>
                <w:sz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19CE61E7">
            <w:pPr>
              <w:spacing w:line="360" w:lineRule="auto"/>
              <w:ind w:firstLine="480" w:firstLineChars="200"/>
              <w:rPr>
                <w:rFonts w:hint="eastAsia" w:ascii="宋体" w:hAnsi="宋体" w:eastAsia="宋体" w:cs="宋体"/>
                <w:color w:val="auto"/>
                <w:sz w:val="24"/>
                <w:highlight w:val="none"/>
              </w:rPr>
            </w:pPr>
          </w:p>
        </w:tc>
      </w:tr>
      <w:tr w14:paraId="3F232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09967319">
            <w:pPr>
              <w:spacing w:line="360" w:lineRule="auto"/>
              <w:ind w:firstLine="480" w:firstLineChars="200"/>
              <w:rPr>
                <w:rFonts w:hint="eastAsia" w:ascii="宋体" w:hAnsi="宋体" w:eastAsia="宋体" w:cs="宋体"/>
                <w:color w:val="auto"/>
                <w:sz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218F57ED">
            <w:pPr>
              <w:spacing w:line="360" w:lineRule="auto"/>
              <w:ind w:firstLine="480" w:firstLineChars="200"/>
              <w:rPr>
                <w:rFonts w:hint="eastAsia" w:ascii="宋体" w:hAnsi="宋体" w:eastAsia="宋体" w:cs="宋体"/>
                <w:color w:val="auto"/>
                <w:sz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5FB66F62">
            <w:pPr>
              <w:spacing w:line="360" w:lineRule="auto"/>
              <w:ind w:firstLine="480" w:firstLineChars="200"/>
              <w:rPr>
                <w:rFonts w:hint="eastAsia" w:ascii="宋体" w:hAnsi="宋体" w:eastAsia="宋体" w:cs="宋体"/>
                <w:color w:val="auto"/>
                <w:sz w:val="24"/>
                <w:highlight w:val="none"/>
              </w:rPr>
            </w:pPr>
          </w:p>
        </w:tc>
      </w:tr>
      <w:tr w14:paraId="2A263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6FAF2B3D">
            <w:pPr>
              <w:spacing w:line="360" w:lineRule="auto"/>
              <w:ind w:firstLine="480" w:firstLineChars="200"/>
              <w:rPr>
                <w:rFonts w:hint="eastAsia" w:ascii="宋体" w:hAnsi="宋体" w:eastAsia="宋体" w:cs="宋体"/>
                <w:color w:val="auto"/>
                <w:sz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3980E3E0">
            <w:pPr>
              <w:spacing w:line="360" w:lineRule="auto"/>
              <w:ind w:firstLine="480" w:firstLineChars="200"/>
              <w:rPr>
                <w:rFonts w:hint="eastAsia" w:ascii="宋体" w:hAnsi="宋体" w:eastAsia="宋体" w:cs="宋体"/>
                <w:color w:val="auto"/>
                <w:sz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17818BE5">
            <w:pPr>
              <w:spacing w:line="360" w:lineRule="auto"/>
              <w:ind w:firstLine="480" w:firstLineChars="200"/>
              <w:rPr>
                <w:rFonts w:hint="eastAsia" w:ascii="宋体" w:hAnsi="宋体" w:eastAsia="宋体" w:cs="宋体"/>
                <w:color w:val="auto"/>
                <w:sz w:val="24"/>
                <w:highlight w:val="none"/>
              </w:rPr>
            </w:pPr>
          </w:p>
        </w:tc>
      </w:tr>
      <w:tr w14:paraId="55B96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4272DCE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17D63068">
            <w:pPr>
              <w:spacing w:line="360" w:lineRule="auto"/>
              <w:ind w:firstLine="480" w:firstLineChars="200"/>
              <w:rPr>
                <w:rFonts w:hint="eastAsia" w:ascii="宋体" w:hAnsi="宋体" w:eastAsia="宋体" w:cs="宋体"/>
                <w:color w:val="auto"/>
                <w:sz w:val="24"/>
                <w:highlight w:val="none"/>
              </w:rPr>
            </w:pPr>
          </w:p>
        </w:tc>
      </w:tr>
    </w:tbl>
    <w:p w14:paraId="676EA54D">
      <w:pPr>
        <w:spacing w:line="360" w:lineRule="auto"/>
        <w:ind w:firstLine="482" w:firstLineChars="200"/>
        <w:rPr>
          <w:rFonts w:hint="eastAsia" w:ascii="宋体" w:hAnsi="宋体" w:eastAsia="宋体" w:cs="宋体"/>
          <w:b/>
          <w:color w:val="auto"/>
          <w:sz w:val="24"/>
          <w:highlight w:val="none"/>
        </w:rPr>
      </w:pPr>
      <w:bookmarkStart w:id="167" w:name="_Toc22618"/>
      <w:bookmarkStart w:id="168" w:name="_Toc1814"/>
      <w:bookmarkStart w:id="169" w:name="_Toc10340"/>
      <w:r>
        <w:rPr>
          <w:rFonts w:hint="eastAsia" w:ascii="宋体" w:hAnsi="宋体" w:eastAsia="宋体" w:cs="宋体"/>
          <w:b/>
          <w:color w:val="auto"/>
          <w:sz w:val="24"/>
          <w:highlight w:val="none"/>
        </w:rPr>
        <w:t>1.4 付款方式和发票开具方式</w:t>
      </w:r>
      <w:bookmarkEnd w:id="167"/>
      <w:bookmarkEnd w:id="168"/>
      <w:bookmarkEnd w:id="169"/>
    </w:p>
    <w:p w14:paraId="08D2517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1.4.1 付款方式：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0DF7F1A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1.4.2 发票开具方式：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7D0484F7">
      <w:pPr>
        <w:spacing w:line="360" w:lineRule="auto"/>
        <w:ind w:firstLine="482" w:firstLineChars="200"/>
        <w:rPr>
          <w:rFonts w:hint="eastAsia" w:ascii="宋体" w:hAnsi="宋体" w:eastAsia="宋体" w:cs="宋体"/>
          <w:b/>
          <w:color w:val="auto"/>
          <w:sz w:val="24"/>
          <w:highlight w:val="none"/>
        </w:rPr>
      </w:pPr>
      <w:bookmarkStart w:id="170" w:name="_Toc19304"/>
      <w:bookmarkStart w:id="171" w:name="_Toc2846"/>
      <w:bookmarkStart w:id="172" w:name="_Toc32071"/>
      <w:r>
        <w:rPr>
          <w:rFonts w:hint="eastAsia" w:ascii="宋体" w:hAnsi="宋体" w:eastAsia="宋体" w:cs="宋体"/>
          <w:b/>
          <w:color w:val="auto"/>
          <w:sz w:val="24"/>
          <w:highlight w:val="none"/>
        </w:rPr>
        <w:t>1.5 标的物交付期限、地点、方式</w:t>
      </w:r>
      <w:bookmarkEnd w:id="170"/>
      <w:bookmarkEnd w:id="171"/>
      <w:bookmarkEnd w:id="172"/>
      <w:r>
        <w:rPr>
          <w:rFonts w:hint="eastAsia" w:ascii="宋体" w:hAnsi="宋体" w:eastAsia="宋体" w:cs="宋体"/>
          <w:b/>
          <w:color w:val="auto"/>
          <w:sz w:val="24"/>
          <w:highlight w:val="none"/>
        </w:rPr>
        <w:t>和服务期限</w:t>
      </w:r>
    </w:p>
    <w:p w14:paraId="7BA8B124">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1.5.1 交付期限：</w:t>
      </w:r>
      <w:r>
        <w:rPr>
          <w:rFonts w:hint="eastAsia" w:ascii="宋体" w:hAnsi="宋体" w:eastAsia="宋体" w:cs="宋体"/>
          <w:color w:val="auto"/>
          <w:sz w:val="24"/>
          <w:highlight w:val="none"/>
          <w:u w:val="single"/>
        </w:rPr>
        <w:t xml:space="preserve">                                                 ；</w:t>
      </w:r>
    </w:p>
    <w:p w14:paraId="13680E0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1.5.2 交付地点：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1416DB9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1.5.3 交付方式：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64F81E3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1.5.4 服务及质保期限：</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7EA65E6C">
      <w:pPr>
        <w:spacing w:line="360" w:lineRule="auto"/>
        <w:ind w:firstLine="482" w:firstLineChars="200"/>
        <w:rPr>
          <w:rFonts w:hint="eastAsia" w:ascii="宋体" w:hAnsi="宋体" w:eastAsia="宋体" w:cs="宋体"/>
          <w:b/>
          <w:color w:val="auto"/>
          <w:sz w:val="24"/>
          <w:highlight w:val="none"/>
        </w:rPr>
      </w:pPr>
      <w:bookmarkStart w:id="173" w:name="_Toc27250"/>
      <w:bookmarkStart w:id="174" w:name="_Toc19554"/>
      <w:bookmarkStart w:id="175" w:name="_Toc21423"/>
      <w:r>
        <w:rPr>
          <w:rFonts w:hint="eastAsia" w:ascii="宋体" w:hAnsi="宋体" w:eastAsia="宋体" w:cs="宋体"/>
          <w:b/>
          <w:color w:val="auto"/>
          <w:sz w:val="24"/>
          <w:highlight w:val="none"/>
        </w:rPr>
        <w:t>1.6 违约责任</w:t>
      </w:r>
      <w:bookmarkEnd w:id="173"/>
      <w:bookmarkEnd w:id="174"/>
      <w:bookmarkEnd w:id="175"/>
    </w:p>
    <w:p w14:paraId="53257988">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1.6.1 除不可抗力外，如果乙方没有按照本合同约定的期限、地点和方式交付标的物，甲方可要求乙方支付违约金，违约金按每迟延交付标的物一日的应交付而未交付标的物价格的</w:t>
      </w:r>
      <w:r>
        <w:rPr>
          <w:rFonts w:hint="eastAsia" w:ascii="宋体" w:hAnsi="宋体" w:eastAsia="宋体" w:cs="宋体"/>
          <w:color w:val="auto"/>
          <w:sz w:val="24"/>
          <w:highlight w:val="none"/>
          <w:u w:val="single"/>
        </w:rPr>
        <w:t>万分之五</w:t>
      </w:r>
      <w:r>
        <w:rPr>
          <w:rFonts w:hint="eastAsia" w:ascii="宋体" w:hAnsi="宋体" w:eastAsia="宋体" w:cs="宋体"/>
          <w:color w:val="auto"/>
          <w:sz w:val="24"/>
          <w:highlight w:val="none"/>
        </w:rPr>
        <w:t>计算，最高限额为本合同总价的</w:t>
      </w:r>
      <w:r>
        <w:rPr>
          <w:rFonts w:hint="eastAsia" w:ascii="宋体" w:hAnsi="宋体" w:eastAsia="宋体" w:cs="宋体"/>
          <w:color w:val="auto"/>
          <w:sz w:val="24"/>
          <w:highlight w:val="none"/>
          <w:u w:val="single"/>
          <w:lang w:val="en-US" w:eastAsia="zh-CN"/>
        </w:rPr>
        <w:t>20</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%；迟延超过【</w:t>
      </w:r>
      <w:r>
        <w:rPr>
          <w:rFonts w:hint="eastAsia" w:ascii="宋体" w:hAnsi="宋体" w:eastAsia="宋体" w:cs="宋体"/>
          <w:color w:val="auto"/>
          <w:sz w:val="24"/>
          <w:highlight w:val="none"/>
          <w:lang w:val="en-US" w:eastAsia="zh-CN"/>
        </w:rPr>
        <w:t>20</w:t>
      </w:r>
      <w:r>
        <w:rPr>
          <w:rFonts w:hint="eastAsia" w:ascii="宋体" w:hAnsi="宋体" w:eastAsia="宋体" w:cs="宋体"/>
          <w:color w:val="auto"/>
          <w:sz w:val="24"/>
          <w:highlight w:val="none"/>
        </w:rPr>
        <w:t>】日的，甲方有权在要求乙方支付违约金的同时，书面通知乙方解除本合同，乙方应退回全部已收取的合同价款并按合同总金额的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20</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%向甲方支付违约金；</w:t>
      </w:r>
    </w:p>
    <w:p w14:paraId="7F4B8E4C">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1.6.2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2870F43F">
      <w:pPr>
        <w:keepNext w:val="0"/>
        <w:keepLines w:val="0"/>
        <w:pageBreakBefore w:val="0"/>
        <w:widowControl w:val="0"/>
        <w:kinsoku/>
        <w:wordWrap/>
        <w:overflowPunct/>
        <w:topLinePunct w:val="0"/>
        <w:autoSpaceDE/>
        <w:autoSpaceDN/>
        <w:bidi w:val="0"/>
        <w:adjustRightInd/>
        <w:snapToGrid/>
        <w:spacing w:line="560" w:lineRule="exact"/>
        <w:ind w:left="239" w:leftChars="114" w:firstLine="240" w:firstLineChars="1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highlight w:val="none"/>
        </w:rPr>
        <w:t>1.6.</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乙方在质保期内未按承诺提供售后等服务的，每发生一次</w:t>
      </w:r>
      <w:r>
        <w:rPr>
          <w:rFonts w:hint="eastAsia" w:ascii="宋体" w:hAnsi="宋体" w:eastAsia="宋体" w:cs="宋体"/>
          <w:color w:val="auto"/>
          <w:sz w:val="24"/>
          <w:highlight w:val="none"/>
          <w:lang w:eastAsia="zh-CN"/>
        </w:rPr>
        <w:t>按</w:t>
      </w:r>
      <w:r>
        <w:rPr>
          <w:rFonts w:hint="eastAsia" w:ascii="宋体" w:hAnsi="宋体" w:eastAsia="宋体" w:cs="宋体"/>
          <w:color w:val="auto"/>
          <w:sz w:val="24"/>
          <w:szCs w:val="24"/>
          <w:highlight w:val="none"/>
          <w:u w:val="single"/>
          <w:lang w:eastAsia="zh-CN"/>
        </w:rPr>
        <w:t>合同总金额的3</w:t>
      </w:r>
      <w:r>
        <w:rPr>
          <w:rFonts w:hint="eastAsia" w:ascii="宋体" w:hAnsi="宋体" w:eastAsia="宋体" w:cs="宋体"/>
          <w:color w:val="auto"/>
          <w:sz w:val="24"/>
          <w:szCs w:val="24"/>
          <w:highlight w:val="none"/>
          <w:u w:val="single"/>
        </w:rPr>
        <w:t>‰</w:t>
      </w:r>
    </w:p>
    <w:p w14:paraId="765E014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向甲方支付违约金（根据项目实际填写）。</w:t>
      </w:r>
    </w:p>
    <w:p w14:paraId="24187231">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1.6.</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 xml:space="preserve">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418256DA">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1.6.</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 xml:space="preserve">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70BF4A3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1.6.</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 xml:space="preserve"> 如果出现政府采购监督管理部门在处理投诉事项期间，书面通知甲方暂停采购活动的情形，或者询问或质疑事项可能影响中标结果的，导致甲方中止履行合同的情形，均不视为甲方违约。</w:t>
      </w:r>
    </w:p>
    <w:p w14:paraId="2B287E06">
      <w:pPr>
        <w:spacing w:line="360" w:lineRule="auto"/>
        <w:ind w:firstLine="482" w:firstLineChars="200"/>
        <w:rPr>
          <w:rFonts w:hint="eastAsia" w:ascii="宋体" w:hAnsi="宋体" w:eastAsia="宋体" w:cs="宋体"/>
          <w:b/>
          <w:color w:val="auto"/>
          <w:sz w:val="24"/>
          <w:highlight w:val="none"/>
        </w:rPr>
      </w:pPr>
      <w:bookmarkStart w:id="176" w:name="_Toc15583"/>
      <w:bookmarkStart w:id="177" w:name="_Toc28375"/>
      <w:bookmarkStart w:id="178" w:name="_Toc16021"/>
      <w:r>
        <w:rPr>
          <w:rFonts w:hint="eastAsia" w:ascii="宋体" w:hAnsi="宋体" w:eastAsia="宋体" w:cs="宋体"/>
          <w:b/>
          <w:color w:val="auto"/>
          <w:sz w:val="24"/>
          <w:highlight w:val="none"/>
        </w:rPr>
        <w:t>1.7 合同争议的解决</w:t>
      </w:r>
      <w:bookmarkEnd w:id="176"/>
      <w:bookmarkEnd w:id="177"/>
      <w:bookmarkEnd w:id="178"/>
    </w:p>
    <w:p w14:paraId="651AE43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本合同履行过程中发生的任何争议，双方当事人均应通过友好协商的方式和解或者调解解决；不愿和解、调解或者和解、调解不成的，可以选择下列第</w:t>
      </w:r>
      <w:r>
        <w:rPr>
          <w:rFonts w:hint="eastAsia" w:ascii="宋体" w:hAnsi="宋体" w:eastAsia="宋体" w:cs="宋体"/>
          <w:color w:val="auto"/>
          <w:sz w:val="24"/>
          <w:highlight w:val="none"/>
          <w:u w:val="single"/>
        </w:rPr>
        <w:t xml:space="preserve"> 1.7.1 </w:t>
      </w:r>
      <w:r>
        <w:rPr>
          <w:rFonts w:hint="eastAsia" w:ascii="宋体" w:hAnsi="宋体" w:eastAsia="宋体" w:cs="宋体"/>
          <w:color w:val="auto"/>
          <w:sz w:val="24"/>
          <w:highlight w:val="none"/>
        </w:rPr>
        <w:t>种方式解决：</w:t>
      </w:r>
    </w:p>
    <w:p w14:paraId="6A495C6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1.7.1 将争议提交</w:t>
      </w:r>
      <w:r>
        <w:rPr>
          <w:rFonts w:hint="eastAsia" w:ascii="宋体" w:hAnsi="宋体" w:eastAsia="宋体" w:cs="宋体"/>
          <w:color w:val="auto"/>
          <w:sz w:val="24"/>
          <w:highlight w:val="none"/>
          <w:u w:val="single"/>
        </w:rPr>
        <w:t>南宁市</w:t>
      </w:r>
      <w:r>
        <w:rPr>
          <w:rFonts w:hint="eastAsia" w:ascii="宋体" w:hAnsi="宋体" w:eastAsia="宋体" w:cs="宋体"/>
          <w:color w:val="auto"/>
          <w:sz w:val="24"/>
          <w:highlight w:val="none"/>
        </w:rPr>
        <w:t>仲裁委员会依申请仲裁时其现行有效的仲裁规则裁决；</w:t>
      </w:r>
    </w:p>
    <w:p w14:paraId="1E3D210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1.7.2 向</w:t>
      </w:r>
      <w:r>
        <w:rPr>
          <w:rFonts w:hint="eastAsia" w:ascii="宋体" w:hAnsi="宋体" w:eastAsia="宋体" w:cs="宋体"/>
          <w:color w:val="auto"/>
          <w:sz w:val="24"/>
          <w:highlight w:val="none"/>
          <w:u w:val="single"/>
        </w:rPr>
        <w:t xml:space="preserve">   甲方所在地    有管辖权的</w:t>
      </w:r>
      <w:r>
        <w:rPr>
          <w:rFonts w:hint="eastAsia" w:ascii="宋体" w:hAnsi="宋体" w:eastAsia="宋体" w:cs="宋体"/>
          <w:color w:val="auto"/>
          <w:sz w:val="24"/>
          <w:highlight w:val="none"/>
        </w:rPr>
        <w:t>人民法院起诉。</w:t>
      </w:r>
    </w:p>
    <w:p w14:paraId="0BA8E8AE">
      <w:pPr>
        <w:spacing w:line="360" w:lineRule="auto"/>
        <w:ind w:firstLine="482" w:firstLineChars="200"/>
        <w:rPr>
          <w:rFonts w:hint="eastAsia" w:ascii="宋体" w:hAnsi="宋体" w:eastAsia="宋体" w:cs="宋体"/>
          <w:b/>
          <w:color w:val="auto"/>
          <w:sz w:val="24"/>
          <w:highlight w:val="none"/>
        </w:rPr>
      </w:pPr>
      <w:bookmarkStart w:id="179" w:name="_Toc11173"/>
      <w:bookmarkStart w:id="180" w:name="_Toc7245"/>
      <w:bookmarkStart w:id="181" w:name="_Toc15322"/>
      <w:r>
        <w:rPr>
          <w:rFonts w:hint="eastAsia" w:ascii="宋体" w:hAnsi="宋体" w:eastAsia="宋体" w:cs="宋体"/>
          <w:b/>
          <w:color w:val="auto"/>
          <w:sz w:val="24"/>
          <w:highlight w:val="none"/>
        </w:rPr>
        <w:t>1.8 合同生效</w:t>
      </w:r>
      <w:bookmarkEnd w:id="179"/>
      <w:bookmarkEnd w:id="180"/>
      <w:bookmarkEnd w:id="181"/>
    </w:p>
    <w:p w14:paraId="21537087">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本合同自双方当事人加盖有效电子公章时生效。</w:t>
      </w:r>
    </w:p>
    <w:p w14:paraId="708A6B69">
      <w:pPr>
        <w:spacing w:line="360" w:lineRule="auto"/>
        <w:ind w:firstLine="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甲方：                                  乙方：</w:t>
      </w:r>
    </w:p>
    <w:p w14:paraId="4ADEF5B3">
      <w:pPr>
        <w:spacing w:line="360" w:lineRule="auto"/>
        <w:ind w:firstLine="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统一社会信用代码：                      统一社会信用代码或身份证号码：</w:t>
      </w:r>
    </w:p>
    <w:p w14:paraId="5CC61ED9">
      <w:pPr>
        <w:spacing w:line="360" w:lineRule="auto"/>
        <w:ind w:firstLine="200"/>
        <w:rPr>
          <w:rFonts w:hint="eastAsia" w:ascii="宋体" w:hAnsi="宋体" w:eastAsia="宋体" w:cs="宋体"/>
          <w:color w:val="auto"/>
          <w:sz w:val="24"/>
          <w:highlight w:val="none"/>
          <w:lang w:val="zh-CN"/>
        </w:rPr>
      </w:pPr>
    </w:p>
    <w:p w14:paraId="19E6F50C">
      <w:pPr>
        <w:spacing w:line="360" w:lineRule="auto"/>
        <w:ind w:firstLine="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住所：                                   住所：</w:t>
      </w:r>
    </w:p>
    <w:p w14:paraId="34B8D066">
      <w:pPr>
        <w:spacing w:line="360" w:lineRule="auto"/>
        <w:ind w:firstLine="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法定代表人或                             法定代表人</w:t>
      </w:r>
    </w:p>
    <w:p w14:paraId="43C15A6E">
      <w:pPr>
        <w:spacing w:line="360" w:lineRule="auto"/>
        <w:ind w:firstLine="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授权代表（签字）：                       或授权代表（签字）</w:t>
      </w:r>
      <w:r>
        <w:rPr>
          <w:rFonts w:hint="eastAsia" w:ascii="宋体" w:hAnsi="宋体" w:cs="宋体"/>
          <w:color w:val="auto"/>
          <w:sz w:val="24"/>
          <w:highlight w:val="none"/>
          <w:lang w:val="zh-CN"/>
        </w:rPr>
        <w:t>：</w:t>
      </w:r>
      <w:r>
        <w:rPr>
          <w:rFonts w:hint="eastAsia" w:ascii="宋体" w:hAnsi="宋体" w:eastAsia="宋体" w:cs="宋体"/>
          <w:color w:val="auto"/>
          <w:sz w:val="24"/>
          <w:highlight w:val="none"/>
          <w:lang w:val="zh-CN"/>
        </w:rPr>
        <w:t xml:space="preserve"> </w:t>
      </w:r>
    </w:p>
    <w:p w14:paraId="5AA93DAD">
      <w:pPr>
        <w:spacing w:line="360" w:lineRule="auto"/>
        <w:ind w:firstLine="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联系人：                                 联系人：</w:t>
      </w:r>
    </w:p>
    <w:p w14:paraId="40FF28A5">
      <w:pPr>
        <w:spacing w:line="360" w:lineRule="auto"/>
        <w:ind w:firstLine="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约定送达地址：                           约定送达地址：</w:t>
      </w:r>
    </w:p>
    <w:p w14:paraId="1F7292E3">
      <w:pPr>
        <w:spacing w:line="360" w:lineRule="auto"/>
        <w:ind w:firstLine="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邮政编码：                               邮政编码：</w:t>
      </w:r>
    </w:p>
    <w:p w14:paraId="37B535D6">
      <w:pPr>
        <w:spacing w:line="360" w:lineRule="auto"/>
        <w:ind w:firstLine="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电话</w:t>
      </w:r>
      <w:r>
        <w:rPr>
          <w:rFonts w:hint="eastAsia" w:ascii="宋体" w:hAnsi="宋体" w:cs="宋体"/>
          <w:color w:val="auto"/>
          <w:sz w:val="24"/>
          <w:highlight w:val="none"/>
          <w:lang w:val="zh-CN"/>
        </w:rPr>
        <w:t>：</w:t>
      </w:r>
      <w:r>
        <w:rPr>
          <w:rFonts w:hint="eastAsia" w:ascii="宋体" w:hAnsi="宋体" w:eastAsia="宋体" w:cs="宋体"/>
          <w:color w:val="auto"/>
          <w:sz w:val="24"/>
          <w:highlight w:val="none"/>
          <w:lang w:val="zh-CN"/>
        </w:rPr>
        <w:t xml:space="preserve">                                    电话</w:t>
      </w:r>
      <w:r>
        <w:rPr>
          <w:rFonts w:hint="eastAsia" w:ascii="宋体" w:hAnsi="宋体" w:cs="宋体"/>
          <w:color w:val="auto"/>
          <w:sz w:val="24"/>
          <w:highlight w:val="none"/>
          <w:lang w:val="zh-CN"/>
        </w:rPr>
        <w:t>：</w:t>
      </w:r>
      <w:r>
        <w:rPr>
          <w:rFonts w:hint="eastAsia" w:ascii="宋体" w:hAnsi="宋体" w:eastAsia="宋体" w:cs="宋体"/>
          <w:color w:val="auto"/>
          <w:sz w:val="24"/>
          <w:highlight w:val="none"/>
          <w:lang w:val="zh-CN"/>
        </w:rPr>
        <w:t xml:space="preserve"> </w:t>
      </w:r>
    </w:p>
    <w:p w14:paraId="6C0025C9">
      <w:pPr>
        <w:spacing w:line="360" w:lineRule="auto"/>
        <w:ind w:firstLine="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传真</w:t>
      </w:r>
      <w:r>
        <w:rPr>
          <w:rFonts w:hint="eastAsia" w:ascii="宋体" w:hAnsi="宋体" w:cs="宋体"/>
          <w:color w:val="auto"/>
          <w:sz w:val="24"/>
          <w:highlight w:val="none"/>
          <w:lang w:val="zh-CN"/>
        </w:rPr>
        <w:t>：</w:t>
      </w:r>
      <w:r>
        <w:rPr>
          <w:rFonts w:hint="eastAsia" w:ascii="宋体" w:hAnsi="宋体" w:eastAsia="宋体" w:cs="宋体"/>
          <w:color w:val="auto"/>
          <w:sz w:val="24"/>
          <w:highlight w:val="none"/>
          <w:lang w:val="zh-CN"/>
        </w:rPr>
        <w:t xml:space="preserve">                                    传真</w:t>
      </w:r>
      <w:r>
        <w:rPr>
          <w:rFonts w:hint="eastAsia" w:ascii="宋体" w:hAnsi="宋体" w:cs="宋体"/>
          <w:color w:val="auto"/>
          <w:sz w:val="24"/>
          <w:highlight w:val="none"/>
          <w:lang w:val="zh-CN"/>
        </w:rPr>
        <w:t>：</w:t>
      </w:r>
    </w:p>
    <w:p w14:paraId="1B227C60">
      <w:pPr>
        <w:spacing w:line="360" w:lineRule="auto"/>
        <w:ind w:firstLine="200"/>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电子邮箱：                               电子邮箱：</w:t>
      </w:r>
    </w:p>
    <w:p w14:paraId="0015A5C2">
      <w:pPr>
        <w:spacing w:line="360" w:lineRule="auto"/>
        <w:ind w:firstLine="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开户银行：                               开户银行： </w:t>
      </w:r>
    </w:p>
    <w:p w14:paraId="2C86C3BC">
      <w:pPr>
        <w:spacing w:line="360" w:lineRule="auto"/>
        <w:ind w:firstLine="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开户名称：                               开户名称： </w:t>
      </w:r>
    </w:p>
    <w:p w14:paraId="3DA09D10">
      <w:pPr>
        <w:spacing w:line="360" w:lineRule="auto"/>
        <w:ind w:firstLine="200"/>
        <w:rPr>
          <w:rFonts w:hint="eastAsia" w:ascii="宋体" w:hAnsi="宋体" w:eastAsia="宋体" w:cs="宋体"/>
          <w:color w:val="auto"/>
          <w:sz w:val="24"/>
          <w:highlight w:val="none"/>
        </w:rPr>
      </w:pPr>
      <w:r>
        <w:rPr>
          <w:rFonts w:hint="eastAsia" w:ascii="宋体" w:hAnsi="宋体" w:eastAsia="宋体" w:cs="宋体"/>
          <w:color w:val="auto"/>
          <w:sz w:val="24"/>
          <w:highlight w:val="none"/>
        </w:rPr>
        <w:t>开户账号：</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开户账号：</w:t>
      </w:r>
    </w:p>
    <w:p w14:paraId="46377195">
      <w:pPr>
        <w:spacing w:line="360" w:lineRule="auto"/>
        <w:ind w:firstLine="200"/>
        <w:jc w:val="center"/>
        <w:outlineLvl w:val="1"/>
        <w:rPr>
          <w:rFonts w:hint="eastAsia" w:ascii="宋体" w:hAnsi="宋体" w:eastAsia="宋体" w:cs="宋体"/>
          <w:b/>
          <w:color w:val="auto"/>
          <w:sz w:val="28"/>
          <w:szCs w:val="28"/>
          <w:highlight w:val="none"/>
        </w:rPr>
      </w:pPr>
      <w:r>
        <w:rPr>
          <w:rFonts w:hint="eastAsia" w:ascii="宋体" w:hAnsi="宋体" w:eastAsia="宋体" w:cs="宋体"/>
          <w:b/>
          <w:color w:val="auto"/>
          <w:highlight w:val="none"/>
        </w:rPr>
        <w:br w:type="page"/>
      </w:r>
      <w:bookmarkStart w:id="182" w:name="_Toc31303"/>
      <w:bookmarkStart w:id="183" w:name="_Toc331685783"/>
      <w:r>
        <w:rPr>
          <w:rFonts w:hint="eastAsia" w:ascii="宋体" w:hAnsi="宋体" w:eastAsia="宋体" w:cs="宋体"/>
          <w:b/>
          <w:color w:val="auto"/>
          <w:sz w:val="28"/>
          <w:szCs w:val="28"/>
          <w:highlight w:val="none"/>
        </w:rPr>
        <w:t>第二部分 合同一般条款</w:t>
      </w:r>
      <w:bookmarkEnd w:id="182"/>
      <w:bookmarkEnd w:id="183"/>
    </w:p>
    <w:p w14:paraId="688C05E9">
      <w:pPr>
        <w:spacing w:line="360" w:lineRule="auto"/>
        <w:ind w:firstLine="482" w:firstLineChars="200"/>
        <w:rPr>
          <w:rFonts w:hint="eastAsia" w:ascii="宋体" w:hAnsi="宋体" w:eastAsia="宋体" w:cs="宋体"/>
          <w:b/>
          <w:color w:val="auto"/>
          <w:sz w:val="24"/>
          <w:highlight w:val="none"/>
        </w:rPr>
      </w:pPr>
      <w:bookmarkStart w:id="184" w:name="_Ref467378404"/>
      <w:bookmarkStart w:id="185" w:name="_Toc28763"/>
      <w:bookmarkStart w:id="186" w:name="_Ref467379205"/>
      <w:bookmarkStart w:id="187" w:name="_Toc279701240"/>
      <w:bookmarkStart w:id="188" w:name="_Ref467379225"/>
      <w:bookmarkStart w:id="189" w:name="_Toc16917"/>
      <w:bookmarkStart w:id="190" w:name="_Toc19614"/>
      <w:bookmarkStart w:id="191" w:name="_Ref467379214"/>
      <w:bookmarkStart w:id="192" w:name="_Ref467379109"/>
      <w:bookmarkStart w:id="193" w:name="_Ref467378499"/>
      <w:bookmarkStart w:id="194" w:name="_Toc259093669"/>
      <w:bookmarkStart w:id="195" w:name="_Ref467379094"/>
      <w:bookmarkStart w:id="196" w:name="_Ref467378463"/>
      <w:bookmarkStart w:id="197" w:name="_Ref467379195"/>
      <w:bookmarkStart w:id="198" w:name="_Toc487900349"/>
      <w:bookmarkStart w:id="199" w:name="_Ref467379101"/>
      <w:r>
        <w:rPr>
          <w:rFonts w:hint="eastAsia" w:ascii="宋体" w:hAnsi="宋体" w:eastAsia="宋体" w:cs="宋体"/>
          <w:b/>
          <w:color w:val="auto"/>
          <w:sz w:val="24"/>
          <w:highlight w:val="none"/>
        </w:rPr>
        <w:t>2.1 定义</w:t>
      </w:r>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p>
    <w:p w14:paraId="7537AF6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本合同中的下列词语应按以下内容进行解释：</w:t>
      </w:r>
    </w:p>
    <w:p w14:paraId="70C2A15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 “合同”系指采购人和中标人签订的载明双方当事人所达成的协议，并包括所有的附件、附录和构成合同的其他文件。</w:t>
      </w:r>
    </w:p>
    <w:p w14:paraId="7AB0544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 “合同价”系指根据合同约定，中标人在完全履行合同义务后，采购人应支付给中标人的价格。</w:t>
      </w:r>
    </w:p>
    <w:p w14:paraId="7907852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 “标的物”系指中标人根据合同约定应向采购人交付的一切各种形态和种类的货物、服务和工程，包括但不限于原材料、燃料、设备、机械、仪表、备件、计算机软件、信息化系统、信息化维保、物业服务、产品等，并包括工具、手册等其他相关资料。</w:t>
      </w:r>
    </w:p>
    <w:p w14:paraId="384E6914">
      <w:pPr>
        <w:spacing w:line="360" w:lineRule="auto"/>
        <w:ind w:firstLine="480" w:firstLineChars="200"/>
        <w:rPr>
          <w:rFonts w:hint="eastAsia" w:ascii="宋体" w:hAnsi="宋体" w:eastAsia="宋体" w:cs="宋体"/>
          <w:color w:val="auto"/>
          <w:sz w:val="24"/>
          <w:highlight w:val="none"/>
        </w:rPr>
      </w:pPr>
      <w:bookmarkStart w:id="200" w:name="_Ref467378840"/>
      <w:r>
        <w:rPr>
          <w:rFonts w:hint="eastAsia" w:ascii="宋体" w:hAnsi="宋体" w:eastAsia="宋体" w:cs="宋体"/>
          <w:color w:val="auto"/>
          <w:sz w:val="24"/>
          <w:highlight w:val="none"/>
        </w:rPr>
        <w:t>2.1.4 “甲方”系指与中标人签署合同的采购人</w:t>
      </w:r>
      <w:bookmarkEnd w:id="200"/>
      <w:r>
        <w:rPr>
          <w:rFonts w:hint="eastAsia" w:ascii="宋体" w:hAnsi="宋体" w:eastAsia="宋体" w:cs="宋体"/>
          <w:color w:val="auto"/>
          <w:sz w:val="24"/>
          <w:highlight w:val="none"/>
        </w:rPr>
        <w:t>；采购人委托采购机构代表其与乙方签订合同的，采购人的授权委托书作为合同附件。</w:t>
      </w:r>
    </w:p>
    <w:p w14:paraId="066ED9FE">
      <w:pPr>
        <w:spacing w:line="360" w:lineRule="auto"/>
        <w:ind w:firstLine="480" w:firstLineChars="200"/>
        <w:rPr>
          <w:rFonts w:hint="eastAsia" w:ascii="宋体" w:hAnsi="宋体" w:eastAsia="宋体" w:cs="宋体"/>
          <w:color w:val="auto"/>
          <w:sz w:val="24"/>
          <w:highlight w:val="none"/>
        </w:rPr>
      </w:pPr>
      <w:bookmarkStart w:id="201" w:name="_Ref467379400"/>
      <w:r>
        <w:rPr>
          <w:rFonts w:hint="eastAsia" w:ascii="宋体" w:hAnsi="宋体" w:eastAsia="宋体" w:cs="宋体"/>
          <w:color w:val="auto"/>
          <w:sz w:val="24"/>
          <w:highlight w:val="none"/>
        </w:rPr>
        <w:t>2.1.5 “乙方”系指根据合同约定交付标的物的</w:t>
      </w:r>
      <w:bookmarkEnd w:id="201"/>
      <w:r>
        <w:rPr>
          <w:rFonts w:hint="eastAsia" w:ascii="宋体" w:hAnsi="宋体" w:eastAsia="宋体" w:cs="宋体"/>
          <w:color w:val="auto"/>
          <w:sz w:val="24"/>
          <w:highlight w:val="none"/>
        </w:rPr>
        <w:t>中标人；两个以上的自然人、法人或者其他组织组成一个联合体，以一个供应商的身份共同参加政府采购的，联合体各方均应为乙方或者与乙方相同地位的合同当事人，并就合同约定的事项对甲方承担连带责任。</w:t>
      </w:r>
    </w:p>
    <w:p w14:paraId="189628FB">
      <w:pPr>
        <w:spacing w:line="360" w:lineRule="auto"/>
        <w:ind w:firstLine="480" w:firstLineChars="200"/>
        <w:rPr>
          <w:rFonts w:hint="eastAsia" w:ascii="宋体" w:hAnsi="宋体" w:eastAsia="宋体" w:cs="宋体"/>
          <w:color w:val="auto"/>
          <w:sz w:val="24"/>
          <w:highlight w:val="none"/>
        </w:rPr>
      </w:pPr>
      <w:bookmarkStart w:id="202" w:name="_Ref467379436"/>
      <w:r>
        <w:rPr>
          <w:rFonts w:hint="eastAsia" w:ascii="宋体" w:hAnsi="宋体" w:eastAsia="宋体" w:cs="宋体"/>
          <w:color w:val="auto"/>
          <w:sz w:val="24"/>
          <w:highlight w:val="none"/>
        </w:rPr>
        <w:t>2.1.6 “现场”系指合同约定标的物将要运至或者实施或者安装的地点。</w:t>
      </w:r>
      <w:bookmarkEnd w:id="202"/>
    </w:p>
    <w:p w14:paraId="35C0BA16">
      <w:pPr>
        <w:spacing w:line="360" w:lineRule="auto"/>
        <w:ind w:firstLine="482" w:firstLineChars="200"/>
        <w:rPr>
          <w:rFonts w:hint="eastAsia" w:ascii="宋体" w:hAnsi="宋体" w:eastAsia="宋体" w:cs="宋体"/>
          <w:b/>
          <w:color w:val="auto"/>
          <w:sz w:val="24"/>
          <w:highlight w:val="none"/>
        </w:rPr>
      </w:pPr>
      <w:bookmarkStart w:id="203" w:name="_Toc13336"/>
      <w:bookmarkStart w:id="204" w:name="_Toc259093670"/>
      <w:bookmarkStart w:id="205" w:name="_Toc32504"/>
      <w:bookmarkStart w:id="206" w:name="_Toc279701241"/>
      <w:bookmarkStart w:id="207" w:name="_Toc487900350"/>
      <w:bookmarkStart w:id="208" w:name="_Toc27635"/>
      <w:r>
        <w:rPr>
          <w:rFonts w:hint="eastAsia" w:ascii="宋体" w:hAnsi="宋体" w:eastAsia="宋体" w:cs="宋体"/>
          <w:b/>
          <w:color w:val="auto"/>
          <w:sz w:val="24"/>
          <w:highlight w:val="none"/>
        </w:rPr>
        <w:t>2.2 技术规范</w:t>
      </w:r>
      <w:bookmarkEnd w:id="203"/>
      <w:bookmarkEnd w:id="204"/>
      <w:bookmarkEnd w:id="205"/>
      <w:bookmarkEnd w:id="206"/>
      <w:bookmarkEnd w:id="207"/>
      <w:bookmarkEnd w:id="208"/>
    </w:p>
    <w:p w14:paraId="0E844BE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标的物所应遵守的技术规范应与采购文件规定的技术规范和技术规范附件</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如果有的话</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及其技术规范偏差表</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如果被甲方接受的话</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相一致；如果采购文件中没有技术规范的相应说明，应以国家有关部门最新颁布的相应标准和规范为准。</w:t>
      </w:r>
    </w:p>
    <w:p w14:paraId="2C2747FE">
      <w:pPr>
        <w:spacing w:line="360" w:lineRule="auto"/>
        <w:ind w:firstLine="482" w:firstLineChars="200"/>
        <w:rPr>
          <w:rFonts w:hint="eastAsia" w:ascii="宋体" w:hAnsi="宋体" w:eastAsia="宋体" w:cs="宋体"/>
          <w:b/>
          <w:color w:val="auto"/>
          <w:sz w:val="24"/>
          <w:highlight w:val="none"/>
        </w:rPr>
      </w:pPr>
      <w:bookmarkStart w:id="209" w:name="_Toc31634"/>
      <w:bookmarkStart w:id="210" w:name="_Toc9829"/>
      <w:bookmarkStart w:id="211" w:name="_Toc27853"/>
      <w:bookmarkStart w:id="212" w:name="_Toc259093671"/>
      <w:bookmarkStart w:id="213" w:name="_Toc487900351"/>
      <w:bookmarkStart w:id="214" w:name="_Toc279701242"/>
      <w:r>
        <w:rPr>
          <w:rFonts w:hint="eastAsia" w:ascii="宋体" w:hAnsi="宋体" w:eastAsia="宋体" w:cs="宋体"/>
          <w:b/>
          <w:color w:val="auto"/>
          <w:sz w:val="24"/>
          <w:highlight w:val="none"/>
        </w:rPr>
        <w:t>2.3 知识产权</w:t>
      </w:r>
      <w:bookmarkEnd w:id="209"/>
      <w:bookmarkEnd w:id="210"/>
      <w:bookmarkEnd w:id="211"/>
      <w:bookmarkEnd w:id="212"/>
      <w:bookmarkEnd w:id="213"/>
      <w:bookmarkEnd w:id="214"/>
    </w:p>
    <w:p w14:paraId="3379BA4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2.3.1 乙方应保证甲方在使用该标的物或其任何一部分时不受任何第三方提出的侵犯其著作权、商标权、专利权等知识产权方面的起诉；如果任何第三方提出侵权指控，乙方须与该第三方交涉并承担由此发生的一切责任、费用和赔偿；</w:t>
      </w:r>
    </w:p>
    <w:p w14:paraId="4A1B755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2.3.2具有知识产权的计算机软件等标的物的知识产权归属，详见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5301A392">
      <w:pPr>
        <w:spacing w:line="360" w:lineRule="auto"/>
        <w:ind w:firstLine="482" w:firstLineChars="200"/>
        <w:rPr>
          <w:rFonts w:hint="eastAsia" w:ascii="宋体" w:hAnsi="宋体" w:eastAsia="宋体" w:cs="宋体"/>
          <w:b/>
          <w:color w:val="auto"/>
          <w:sz w:val="24"/>
          <w:highlight w:val="none"/>
        </w:rPr>
      </w:pPr>
      <w:bookmarkStart w:id="215" w:name="_Toc4194"/>
      <w:bookmarkStart w:id="216" w:name="_Toc11932"/>
      <w:bookmarkStart w:id="217" w:name="_Toc29149"/>
      <w:r>
        <w:rPr>
          <w:rFonts w:hint="eastAsia" w:ascii="宋体" w:hAnsi="宋体" w:eastAsia="宋体" w:cs="宋体"/>
          <w:b/>
          <w:color w:val="auto"/>
          <w:sz w:val="24"/>
          <w:highlight w:val="none"/>
        </w:rPr>
        <w:t>2.4 包装和装运</w:t>
      </w:r>
      <w:bookmarkEnd w:id="215"/>
      <w:bookmarkEnd w:id="216"/>
      <w:bookmarkEnd w:id="217"/>
    </w:p>
    <w:p w14:paraId="4D52940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2.4.1除</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另有约定外,乙方交付的全部标的物,均应采用本行业通用的方式进行包装，没有通用方式的，应当采取足以保护标的物的包装方式，且该包装应符合国家有关包装的法律、法规的规定。如有必要，包装应适用于远距离运输、防潮、防震、防锈和防粗暴装卸，确保标的物安全无损地运抵现场。由于包装不善所引起的标的物锈蚀、损坏和损失等一切风险均由乙方承担。</w:t>
      </w:r>
    </w:p>
    <w:p w14:paraId="39981E1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2.4.2 装运标的物的要求和通知，详见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7D9D3EA8">
      <w:pPr>
        <w:spacing w:line="360" w:lineRule="auto"/>
        <w:ind w:firstLine="482" w:firstLineChars="200"/>
        <w:rPr>
          <w:rFonts w:hint="eastAsia" w:ascii="宋体" w:hAnsi="宋体" w:eastAsia="宋体" w:cs="宋体"/>
          <w:b/>
          <w:color w:val="auto"/>
          <w:sz w:val="24"/>
          <w:highlight w:val="none"/>
        </w:rPr>
      </w:pPr>
      <w:bookmarkStart w:id="218" w:name="_Ref467379527"/>
      <w:bookmarkStart w:id="219" w:name="_Toc487900354"/>
      <w:bookmarkStart w:id="220" w:name="_Toc259093674"/>
      <w:bookmarkStart w:id="221" w:name="_Ref467378591"/>
      <w:bookmarkStart w:id="222" w:name="_Ref467378541"/>
      <w:bookmarkStart w:id="223" w:name="_Ref467379536"/>
      <w:bookmarkStart w:id="224" w:name="_Toc279701245"/>
      <w:bookmarkStart w:id="225" w:name="_Ref467379542"/>
      <w:bookmarkStart w:id="226" w:name="_Toc26182"/>
      <w:bookmarkStart w:id="227" w:name="_Toc30272"/>
      <w:bookmarkStart w:id="228" w:name="_Toc19074"/>
      <w:r>
        <w:rPr>
          <w:rFonts w:hint="eastAsia" w:ascii="宋体" w:hAnsi="宋体" w:eastAsia="宋体" w:cs="宋体"/>
          <w:b/>
          <w:color w:val="auto"/>
          <w:sz w:val="24"/>
          <w:highlight w:val="none"/>
        </w:rPr>
        <w:t>2.</w:t>
      </w:r>
      <w:bookmarkEnd w:id="218"/>
      <w:bookmarkEnd w:id="219"/>
      <w:bookmarkEnd w:id="220"/>
      <w:bookmarkEnd w:id="221"/>
      <w:bookmarkEnd w:id="222"/>
      <w:bookmarkEnd w:id="223"/>
      <w:bookmarkEnd w:id="224"/>
      <w:bookmarkEnd w:id="225"/>
      <w:r>
        <w:rPr>
          <w:rFonts w:hint="eastAsia" w:ascii="宋体" w:hAnsi="宋体" w:eastAsia="宋体" w:cs="宋体"/>
          <w:b/>
          <w:color w:val="auto"/>
          <w:sz w:val="24"/>
          <w:highlight w:val="none"/>
        </w:rPr>
        <w:t>5 履约检查和问题反馈</w:t>
      </w:r>
      <w:bookmarkEnd w:id="226"/>
      <w:bookmarkEnd w:id="227"/>
      <w:bookmarkEnd w:id="228"/>
    </w:p>
    <w:p w14:paraId="09A6FFCE">
      <w:pPr>
        <w:spacing w:line="360" w:lineRule="auto"/>
        <w:ind w:firstLine="480" w:firstLineChars="200"/>
        <w:rPr>
          <w:rFonts w:hint="eastAsia" w:ascii="宋体" w:hAnsi="宋体" w:eastAsia="宋体" w:cs="宋体"/>
          <w:color w:val="auto"/>
          <w:sz w:val="24"/>
          <w:highlight w:val="none"/>
        </w:rPr>
      </w:pPr>
      <w:bookmarkStart w:id="229" w:name="_Ref467379657"/>
      <w:r>
        <w:rPr>
          <w:rFonts w:hint="eastAsia" w:ascii="宋体" w:hAnsi="宋体" w:eastAsia="宋体" w:cs="宋体"/>
          <w:color w:val="auto"/>
          <w:sz w:val="24"/>
          <w:highlight w:val="none"/>
        </w:rPr>
        <w:t>2.5.1</w:t>
      </w:r>
      <w:bookmarkEnd w:id="229"/>
      <w:bookmarkStart w:id="230" w:name="_Toc186431854"/>
      <w:bookmarkStart w:id="231" w:name="_Ref467379807"/>
      <w:bookmarkStart w:id="232" w:name="_Ref467379793"/>
      <w:bookmarkStart w:id="233" w:name="_Toc279701247"/>
      <w:bookmarkStart w:id="234" w:name="_Toc259093676"/>
      <w:bookmarkStart w:id="235" w:name="_Toc487900357"/>
      <w:r>
        <w:rPr>
          <w:rFonts w:hint="eastAsia" w:ascii="宋体" w:hAnsi="宋体" w:eastAsia="宋体" w:cs="宋体"/>
          <w:color w:val="auto"/>
          <w:sz w:val="24"/>
          <w:highlight w:val="none"/>
        </w:rPr>
        <w:t>甲方有权在其认为必要时，对乙方是否能够按照合同约定交付标的物进行履约检查，以确保乙方所交付的标的物能够依约满足甲方之项目需求，但不得因履约检查妨碍乙方的正常工作，乙方应予积极配合；</w:t>
      </w:r>
    </w:p>
    <w:p w14:paraId="08F71D6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2.5.2 合同履行期间，甲方有权将履行过程中出现的问题反馈给乙方，双方当事人应以书面形式约定需要完善和改进的内容</w:t>
      </w:r>
      <w:bookmarkEnd w:id="230"/>
      <w:bookmarkStart w:id="236" w:name="_Toc186431855"/>
      <w:r>
        <w:rPr>
          <w:rFonts w:hint="eastAsia" w:ascii="宋体" w:hAnsi="宋体" w:eastAsia="宋体" w:cs="宋体"/>
          <w:color w:val="auto"/>
          <w:sz w:val="24"/>
          <w:highlight w:val="none"/>
        </w:rPr>
        <w:t>。</w:t>
      </w:r>
    </w:p>
    <w:bookmarkEnd w:id="236"/>
    <w:p w14:paraId="0C25B336">
      <w:pPr>
        <w:spacing w:line="360" w:lineRule="auto"/>
        <w:ind w:firstLine="482" w:firstLineChars="200"/>
        <w:rPr>
          <w:rFonts w:hint="eastAsia" w:ascii="宋体" w:hAnsi="宋体" w:eastAsia="宋体" w:cs="宋体"/>
          <w:b/>
          <w:color w:val="auto"/>
          <w:sz w:val="24"/>
          <w:highlight w:val="none"/>
        </w:rPr>
      </w:pPr>
      <w:bookmarkStart w:id="237" w:name="_Toc28451"/>
      <w:bookmarkStart w:id="238" w:name="_Toc7836"/>
      <w:bookmarkStart w:id="239" w:name="_Toc19219"/>
      <w:r>
        <w:rPr>
          <w:rFonts w:hint="eastAsia" w:ascii="宋体" w:hAnsi="宋体" w:eastAsia="宋体" w:cs="宋体"/>
          <w:b/>
          <w:color w:val="auto"/>
          <w:sz w:val="24"/>
          <w:highlight w:val="none"/>
        </w:rPr>
        <w:t>2.6 结算方式和付款条件</w:t>
      </w:r>
      <w:bookmarkEnd w:id="231"/>
      <w:bookmarkEnd w:id="232"/>
      <w:bookmarkEnd w:id="233"/>
      <w:bookmarkEnd w:id="234"/>
      <w:bookmarkEnd w:id="235"/>
      <w:bookmarkEnd w:id="237"/>
      <w:bookmarkEnd w:id="238"/>
      <w:bookmarkEnd w:id="239"/>
    </w:p>
    <w:p w14:paraId="11C19B6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7FB5B355">
      <w:pPr>
        <w:spacing w:line="360" w:lineRule="auto"/>
        <w:ind w:firstLine="482" w:firstLineChars="200"/>
        <w:rPr>
          <w:rFonts w:hint="eastAsia" w:ascii="宋体" w:hAnsi="宋体" w:eastAsia="宋体" w:cs="宋体"/>
          <w:b/>
          <w:color w:val="auto"/>
          <w:sz w:val="24"/>
          <w:highlight w:val="none"/>
        </w:rPr>
      </w:pPr>
      <w:bookmarkStart w:id="240" w:name="_Ref467379863"/>
      <w:bookmarkStart w:id="241" w:name="_Toc259093677"/>
      <w:bookmarkStart w:id="242" w:name="_Ref467379852"/>
      <w:bookmarkStart w:id="243" w:name="_Ref467379923"/>
      <w:bookmarkStart w:id="244" w:name="_Toc279701248"/>
      <w:bookmarkStart w:id="245" w:name="_Toc487900358"/>
      <w:bookmarkStart w:id="246" w:name="_Toc774"/>
      <w:bookmarkStart w:id="247" w:name="_Toc3225"/>
      <w:bookmarkStart w:id="248" w:name="_Toc16110"/>
      <w:r>
        <w:rPr>
          <w:rFonts w:hint="eastAsia" w:ascii="宋体" w:hAnsi="宋体" w:eastAsia="宋体" w:cs="宋体"/>
          <w:b/>
          <w:color w:val="auto"/>
          <w:sz w:val="24"/>
          <w:highlight w:val="none"/>
        </w:rPr>
        <w:t>2.7 技术资料</w:t>
      </w:r>
      <w:bookmarkEnd w:id="240"/>
      <w:bookmarkEnd w:id="241"/>
      <w:bookmarkEnd w:id="242"/>
      <w:bookmarkEnd w:id="243"/>
      <w:bookmarkEnd w:id="244"/>
      <w:bookmarkEnd w:id="245"/>
      <w:r>
        <w:rPr>
          <w:rFonts w:hint="eastAsia" w:ascii="宋体" w:hAnsi="宋体" w:eastAsia="宋体" w:cs="宋体"/>
          <w:b/>
          <w:color w:val="auto"/>
          <w:sz w:val="24"/>
          <w:highlight w:val="none"/>
        </w:rPr>
        <w:t>和保密义务</w:t>
      </w:r>
      <w:bookmarkEnd w:id="246"/>
      <w:bookmarkEnd w:id="247"/>
      <w:bookmarkEnd w:id="248"/>
    </w:p>
    <w:p w14:paraId="56E45F3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2.7.1 乙方有权依据合同约定和项目需要，向甲方了解有关情况，调阅有关资料等，甲方应予积极配合；</w:t>
      </w:r>
    </w:p>
    <w:p w14:paraId="72AA94E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2.7.2 乙方有义务妥善保管和保护由甲方提供的前款信息和资料等；</w:t>
      </w:r>
    </w:p>
    <w:p w14:paraId="2F382D8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及方式防止任何第三方接触到对方当事人的上述保密信息和资料。</w:t>
      </w:r>
    </w:p>
    <w:p w14:paraId="78AEC28B">
      <w:pPr>
        <w:spacing w:line="360" w:lineRule="auto"/>
        <w:ind w:firstLine="482" w:firstLineChars="200"/>
        <w:rPr>
          <w:rFonts w:hint="eastAsia" w:ascii="宋体" w:hAnsi="宋体" w:eastAsia="宋体" w:cs="宋体"/>
          <w:b/>
          <w:color w:val="auto"/>
          <w:sz w:val="24"/>
          <w:highlight w:val="none"/>
        </w:rPr>
      </w:pPr>
      <w:bookmarkStart w:id="249" w:name="_Toc7860"/>
      <w:r>
        <w:rPr>
          <w:rFonts w:hint="eastAsia" w:ascii="宋体" w:hAnsi="宋体" w:eastAsia="宋体" w:cs="宋体"/>
          <w:b/>
          <w:color w:val="auto"/>
          <w:sz w:val="24"/>
          <w:highlight w:val="none"/>
        </w:rPr>
        <w:t>2.8 质量保证</w:t>
      </w:r>
      <w:bookmarkEnd w:id="249"/>
    </w:p>
    <w:p w14:paraId="799C697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2.8.1 乙方应建立和完善履行合同的内部质量保证体系，并提供相关内部规章制度给甲方，以便甲方进行监督检查；</w:t>
      </w:r>
    </w:p>
    <w:p w14:paraId="6D253AE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2.8.2 乙方应保证履行合同的人员数量和素质、软件和硬件设备的配置、场地、环境和设施等满足全面履行合同的要求，并应接受甲方的监督检查。</w:t>
      </w:r>
    </w:p>
    <w:p w14:paraId="6811B9CB">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2.8.3乙方应确保项目技术人员的数量和水平与投标文件一致。未经甲方书面同意，乙方不得擅自更换投标文件中注明的项目经理和技术负责人。否则</w:t>
      </w:r>
      <w:r>
        <w:rPr>
          <w:rFonts w:hint="eastAsia" w:ascii="宋体" w:hAnsi="宋体" w:eastAsia="宋体" w:cs="宋体"/>
          <w:color w:val="auto"/>
          <w:kern w:val="0"/>
          <w:sz w:val="24"/>
          <w:highlight w:val="none"/>
        </w:rPr>
        <w:t>甲方有权放弃或终止合同，并没收履约保证金。</w:t>
      </w:r>
    </w:p>
    <w:p w14:paraId="2F77043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2.8.4因乙方原因造成甲方其他系统不能正常运行，酿成重大事故（工作日系统中断一天以上）的，乙方应承担全部法律责任，并赔偿经济损失，赔偿金额为项目总价的30%。</w:t>
      </w:r>
    </w:p>
    <w:p w14:paraId="45379CEE">
      <w:pPr>
        <w:spacing w:line="360" w:lineRule="auto"/>
        <w:ind w:firstLine="482" w:firstLineChars="200"/>
        <w:rPr>
          <w:rFonts w:hint="eastAsia" w:ascii="宋体" w:hAnsi="宋体" w:eastAsia="宋体" w:cs="宋体"/>
          <w:b/>
          <w:color w:val="auto"/>
          <w:sz w:val="24"/>
          <w:highlight w:val="none"/>
        </w:rPr>
      </w:pPr>
      <w:bookmarkStart w:id="250" w:name="_Toc17244"/>
      <w:bookmarkStart w:id="251" w:name="_Toc259093681"/>
      <w:bookmarkStart w:id="252" w:name="_Toc279701252"/>
      <w:bookmarkStart w:id="253" w:name="_Toc487900362"/>
      <w:r>
        <w:rPr>
          <w:rFonts w:hint="eastAsia" w:ascii="宋体" w:hAnsi="宋体" w:eastAsia="宋体" w:cs="宋体"/>
          <w:b/>
          <w:color w:val="auto"/>
          <w:sz w:val="24"/>
          <w:highlight w:val="none"/>
        </w:rPr>
        <w:t>2.9 标的物的风险负担</w:t>
      </w:r>
      <w:bookmarkEnd w:id="250"/>
    </w:p>
    <w:p w14:paraId="7E3A752B">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标的物或者在途标的物或者交付给第一承运人后的标的物毁损、灭失的风险负担详见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4C0F633D">
      <w:pPr>
        <w:spacing w:line="360" w:lineRule="auto"/>
        <w:ind w:firstLine="482" w:firstLineChars="200"/>
        <w:rPr>
          <w:rFonts w:hint="eastAsia" w:ascii="宋体" w:hAnsi="宋体" w:eastAsia="宋体" w:cs="宋体"/>
          <w:b/>
          <w:color w:val="auto"/>
          <w:sz w:val="24"/>
          <w:highlight w:val="none"/>
        </w:rPr>
      </w:pPr>
      <w:bookmarkStart w:id="254" w:name="_Toc14055"/>
      <w:r>
        <w:rPr>
          <w:rFonts w:hint="eastAsia" w:ascii="宋体" w:hAnsi="宋体" w:eastAsia="宋体" w:cs="宋体"/>
          <w:b/>
          <w:color w:val="auto"/>
          <w:sz w:val="24"/>
          <w:highlight w:val="none"/>
        </w:rPr>
        <w:t>2.10 延迟交货</w:t>
      </w:r>
      <w:bookmarkEnd w:id="251"/>
      <w:bookmarkEnd w:id="252"/>
      <w:bookmarkEnd w:id="253"/>
      <w:bookmarkEnd w:id="254"/>
      <w:r>
        <w:rPr>
          <w:rFonts w:hint="eastAsia" w:ascii="宋体" w:hAnsi="宋体" w:eastAsia="宋体" w:cs="宋体"/>
          <w:b/>
          <w:color w:val="auto"/>
          <w:sz w:val="24"/>
          <w:highlight w:val="none"/>
        </w:rPr>
        <w:t>/交付</w:t>
      </w:r>
    </w:p>
    <w:p w14:paraId="59B0153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在合同履行过程中，如果乙方遇到不能按时交付标的物的情况，应及时以书面形式将不能按时交付标的物的理由、预期延误时间通知甲方；甲方收到乙方通知后，认为其理由正当的，可以书面形式酌情同意乙方可以延长交货的具体时间。</w:t>
      </w:r>
    </w:p>
    <w:p w14:paraId="6B8BC362">
      <w:pPr>
        <w:spacing w:line="360" w:lineRule="auto"/>
        <w:ind w:firstLine="482" w:firstLineChars="200"/>
        <w:rPr>
          <w:rFonts w:hint="eastAsia" w:ascii="宋体" w:hAnsi="宋体" w:eastAsia="宋体" w:cs="宋体"/>
          <w:b/>
          <w:color w:val="auto"/>
          <w:sz w:val="24"/>
          <w:highlight w:val="none"/>
        </w:rPr>
      </w:pPr>
      <w:bookmarkStart w:id="255" w:name="_Toc7502"/>
      <w:bookmarkStart w:id="256" w:name="_Toc259093683"/>
      <w:bookmarkStart w:id="257" w:name="_Toc279701254"/>
      <w:bookmarkStart w:id="258" w:name="_Ref467378121"/>
      <w:bookmarkStart w:id="259" w:name="_Toc487900364"/>
      <w:r>
        <w:rPr>
          <w:rFonts w:hint="eastAsia" w:ascii="宋体" w:hAnsi="宋体" w:eastAsia="宋体" w:cs="宋体"/>
          <w:b/>
          <w:color w:val="auto"/>
          <w:sz w:val="24"/>
          <w:highlight w:val="none"/>
        </w:rPr>
        <w:t>2.11 合同变更</w:t>
      </w:r>
      <w:bookmarkEnd w:id="255"/>
    </w:p>
    <w:p w14:paraId="5C67C3F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2.11.1双方当事人协商一致，可以签订书面补充合同的形式变更合同，但不得违背采购文件确定的事项。如果系追加与合同标的相同的标的物的，那么需经采购监督管理部门同意，且所有补充合同的采购金额不得超过原合同价的10%；</w:t>
      </w:r>
    </w:p>
    <w:p w14:paraId="5D9A404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2.11.2 合同继续履行将损害国家利益和社会公共利益的，双方当事人应当以书面形式变更合同。有过错的一方应当承担赔偿责任，双方当事人都有过错的，各自承担相应的责任。</w:t>
      </w:r>
      <w:bookmarkStart w:id="260" w:name="_Toc279701259"/>
      <w:bookmarkStart w:id="261" w:name="_Toc259093688"/>
      <w:bookmarkStart w:id="262" w:name="_Toc487900369"/>
    </w:p>
    <w:p w14:paraId="4ABBFA61">
      <w:pPr>
        <w:spacing w:line="360" w:lineRule="auto"/>
        <w:ind w:firstLine="482" w:firstLineChars="200"/>
        <w:rPr>
          <w:rFonts w:hint="eastAsia" w:ascii="宋体" w:hAnsi="宋体" w:eastAsia="宋体" w:cs="宋体"/>
          <w:b/>
          <w:color w:val="auto"/>
          <w:sz w:val="24"/>
          <w:highlight w:val="none"/>
        </w:rPr>
      </w:pPr>
      <w:bookmarkStart w:id="263" w:name="_Toc10366"/>
      <w:bookmarkStart w:id="264" w:name="_Toc15237"/>
      <w:bookmarkStart w:id="265" w:name="_Toc22955"/>
      <w:r>
        <w:rPr>
          <w:rFonts w:hint="eastAsia" w:ascii="宋体" w:hAnsi="宋体" w:eastAsia="宋体" w:cs="宋体"/>
          <w:b/>
          <w:color w:val="auto"/>
          <w:sz w:val="24"/>
          <w:highlight w:val="none"/>
        </w:rPr>
        <w:t>2.12 合同转让</w:t>
      </w:r>
      <w:bookmarkEnd w:id="260"/>
      <w:bookmarkEnd w:id="261"/>
      <w:bookmarkEnd w:id="262"/>
      <w:r>
        <w:rPr>
          <w:rFonts w:hint="eastAsia" w:ascii="宋体" w:hAnsi="宋体" w:eastAsia="宋体" w:cs="宋体"/>
          <w:b/>
          <w:color w:val="auto"/>
          <w:sz w:val="24"/>
          <w:highlight w:val="none"/>
        </w:rPr>
        <w:t>和分包</w:t>
      </w:r>
      <w:bookmarkEnd w:id="263"/>
      <w:bookmarkEnd w:id="264"/>
      <w:bookmarkEnd w:id="265"/>
    </w:p>
    <w:p w14:paraId="7FB4133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的权利义务依法不得转让，但经甲方书面同意，乙方可以依法采取分包方式履行合同，即：依法可以将合同项下的部分非主体、非关键性工作分包给他人完成，接受分包的供应商应当具备相应的资格条件，并不得再次分包，且乙方应就分包项目向甲方负责，并与分包供应商就分包项目向甲方承担连带责任。</w:t>
      </w:r>
    </w:p>
    <w:p w14:paraId="16AE7B8B">
      <w:pPr>
        <w:spacing w:line="360" w:lineRule="auto"/>
        <w:ind w:firstLine="482" w:firstLineChars="200"/>
        <w:rPr>
          <w:rFonts w:hint="eastAsia" w:ascii="宋体" w:hAnsi="宋体" w:eastAsia="宋体" w:cs="宋体"/>
          <w:b/>
          <w:color w:val="auto"/>
          <w:sz w:val="24"/>
          <w:highlight w:val="none"/>
        </w:rPr>
      </w:pPr>
      <w:bookmarkStart w:id="266" w:name="_Toc16508"/>
      <w:bookmarkStart w:id="267" w:name="_Toc13566"/>
      <w:bookmarkStart w:id="268" w:name="_Toc14066"/>
      <w:r>
        <w:rPr>
          <w:rFonts w:hint="eastAsia" w:ascii="宋体" w:hAnsi="宋体" w:eastAsia="宋体" w:cs="宋体"/>
          <w:b/>
          <w:color w:val="auto"/>
          <w:sz w:val="24"/>
          <w:highlight w:val="none"/>
        </w:rPr>
        <w:t>2.13 不可抗力</w:t>
      </w:r>
      <w:bookmarkEnd w:id="266"/>
      <w:bookmarkEnd w:id="267"/>
      <w:bookmarkEnd w:id="268"/>
    </w:p>
    <w:p w14:paraId="40222E9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2.13.1如果任何一方遭遇法律规定的不可抗力，致使合同履行受阻时，履行合同的期限应予延长，延长的期限应相当于不可抗力所影响的时间；</w:t>
      </w:r>
    </w:p>
    <w:p w14:paraId="0E2C5DD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2.13.2受不可抗力影响的一方在不可抗力发生后，应在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约定时间内以书面形式通知对方当事人，并在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约定时间内，将有关部门出具的证明文件送达对方当事人。</w:t>
      </w:r>
    </w:p>
    <w:p w14:paraId="2231846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2.13.3 因不可抗力致使不能实现合同目的的，当事人可以解除合同；</w:t>
      </w:r>
    </w:p>
    <w:p w14:paraId="3D347BE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2.13.4 因不可抗力致使合同有变更必要的，双方当事人应在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约定时间内以书面形式变更合同；</w:t>
      </w:r>
    </w:p>
    <w:p w14:paraId="109FE7A0">
      <w:pPr>
        <w:spacing w:line="360" w:lineRule="auto"/>
        <w:ind w:firstLine="482" w:firstLineChars="200"/>
        <w:rPr>
          <w:rFonts w:hint="eastAsia" w:ascii="宋体" w:hAnsi="宋体" w:eastAsia="宋体" w:cs="宋体"/>
          <w:b/>
          <w:color w:val="auto"/>
          <w:sz w:val="24"/>
          <w:highlight w:val="none"/>
        </w:rPr>
      </w:pPr>
      <w:bookmarkStart w:id="269" w:name="_Toc6969"/>
      <w:bookmarkStart w:id="270" w:name="_Toc487900365"/>
      <w:bookmarkStart w:id="271" w:name="_Toc279701255"/>
      <w:bookmarkStart w:id="272" w:name="_Toc689"/>
      <w:bookmarkStart w:id="273" w:name="_Toc259093684"/>
      <w:bookmarkStart w:id="274" w:name="_Toc30676"/>
      <w:r>
        <w:rPr>
          <w:rFonts w:hint="eastAsia" w:ascii="宋体" w:hAnsi="宋体" w:eastAsia="宋体" w:cs="宋体"/>
          <w:b/>
          <w:color w:val="auto"/>
          <w:sz w:val="24"/>
          <w:highlight w:val="none"/>
        </w:rPr>
        <w:t>2.14 税费</w:t>
      </w:r>
      <w:bookmarkEnd w:id="269"/>
      <w:bookmarkEnd w:id="270"/>
      <w:bookmarkEnd w:id="271"/>
      <w:bookmarkEnd w:id="272"/>
      <w:bookmarkEnd w:id="273"/>
      <w:bookmarkEnd w:id="274"/>
    </w:p>
    <w:p w14:paraId="1403981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与合同有关的一切税费，均按照中华人民共和国法律的相关规定执行。</w:t>
      </w:r>
    </w:p>
    <w:p w14:paraId="160DA1E6">
      <w:pPr>
        <w:spacing w:line="360" w:lineRule="auto"/>
        <w:ind w:firstLine="482" w:firstLineChars="200"/>
        <w:rPr>
          <w:rFonts w:hint="eastAsia" w:ascii="宋体" w:hAnsi="宋体" w:eastAsia="宋体" w:cs="宋体"/>
          <w:b/>
          <w:color w:val="auto"/>
          <w:sz w:val="24"/>
          <w:highlight w:val="none"/>
        </w:rPr>
      </w:pPr>
      <w:bookmarkStart w:id="275" w:name="_Toc279701258"/>
      <w:bookmarkStart w:id="276" w:name="_Toc7102"/>
      <w:bookmarkStart w:id="277" w:name="_Toc259093687"/>
      <w:bookmarkStart w:id="278" w:name="_Toc16959"/>
      <w:bookmarkStart w:id="279" w:name="_Toc8298"/>
      <w:bookmarkStart w:id="280" w:name="_Toc487900368"/>
      <w:r>
        <w:rPr>
          <w:rFonts w:hint="eastAsia" w:ascii="宋体" w:hAnsi="宋体" w:eastAsia="宋体" w:cs="宋体"/>
          <w:b/>
          <w:color w:val="auto"/>
          <w:sz w:val="24"/>
          <w:highlight w:val="none"/>
        </w:rPr>
        <w:t>2.15 乙方破产</w:t>
      </w:r>
      <w:bookmarkEnd w:id="275"/>
      <w:bookmarkEnd w:id="276"/>
      <w:bookmarkEnd w:id="277"/>
      <w:bookmarkEnd w:id="278"/>
      <w:bookmarkEnd w:id="279"/>
      <w:bookmarkEnd w:id="280"/>
    </w:p>
    <w:p w14:paraId="1DDFFAE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4B1DD7AF">
      <w:pPr>
        <w:spacing w:line="360" w:lineRule="auto"/>
        <w:ind w:firstLine="482" w:firstLineChars="200"/>
        <w:rPr>
          <w:rFonts w:hint="eastAsia" w:ascii="宋体" w:hAnsi="宋体" w:eastAsia="宋体" w:cs="宋体"/>
          <w:b/>
          <w:color w:val="auto"/>
          <w:sz w:val="24"/>
          <w:highlight w:val="none"/>
        </w:rPr>
      </w:pPr>
      <w:bookmarkStart w:id="281" w:name="_Toc29333"/>
      <w:bookmarkStart w:id="282" w:name="_Toc15387"/>
      <w:bookmarkStart w:id="283" w:name="_Toc6134"/>
      <w:r>
        <w:rPr>
          <w:rFonts w:hint="eastAsia" w:ascii="宋体" w:hAnsi="宋体" w:eastAsia="宋体" w:cs="宋体"/>
          <w:b/>
          <w:color w:val="auto"/>
          <w:sz w:val="24"/>
          <w:highlight w:val="none"/>
        </w:rPr>
        <w:t>2.16 合同中止、终止</w:t>
      </w:r>
      <w:bookmarkEnd w:id="281"/>
      <w:bookmarkEnd w:id="282"/>
      <w:bookmarkEnd w:id="283"/>
    </w:p>
    <w:p w14:paraId="680C7E8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2.16.1 双方当事人不得擅自中止或者终止合同；</w:t>
      </w:r>
    </w:p>
    <w:p w14:paraId="129BB38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2.16.2合同继续履行将损害国家利益和社会公共利益的，双方当事人应当中止或者终止合同。有过错的一方应当承担赔偿责任，双方当事人都有过错的，各自承担相应的责任。</w:t>
      </w:r>
    </w:p>
    <w:p w14:paraId="1CBA7FE1">
      <w:pPr>
        <w:spacing w:line="360" w:lineRule="auto"/>
        <w:ind w:firstLine="482" w:firstLineChars="200"/>
        <w:rPr>
          <w:rFonts w:hint="eastAsia" w:ascii="宋体" w:hAnsi="宋体" w:eastAsia="宋体" w:cs="宋体"/>
          <w:b/>
          <w:color w:val="auto"/>
          <w:sz w:val="24"/>
          <w:highlight w:val="none"/>
        </w:rPr>
      </w:pPr>
      <w:bookmarkStart w:id="284" w:name="_Toc14563"/>
      <w:bookmarkStart w:id="285" w:name="_Toc6596"/>
      <w:bookmarkStart w:id="286" w:name="_Toc1125"/>
      <w:r>
        <w:rPr>
          <w:rFonts w:hint="eastAsia" w:ascii="宋体" w:hAnsi="宋体" w:eastAsia="宋体" w:cs="宋体"/>
          <w:b/>
          <w:color w:val="auto"/>
          <w:sz w:val="24"/>
          <w:highlight w:val="none"/>
        </w:rPr>
        <w:t>2.17 检验和验收</w:t>
      </w:r>
      <w:bookmarkEnd w:id="284"/>
      <w:bookmarkEnd w:id="285"/>
      <w:bookmarkEnd w:id="286"/>
    </w:p>
    <w:p w14:paraId="2B6153E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2.17.1标的物交付前，乙方应对标的物的质量、数量等方面进行详细、全面的检验，并向甲方出具证明标的物符合合同约定的文件；标的物交付时，乙方在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约定时间内组织验收，并可依法邀请相关方参加，验收应出具验收书。</w:t>
      </w:r>
    </w:p>
    <w:p w14:paraId="597E2CD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0E8EE34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2.17.3 检验和验收标准、程序等具体内容以及前述验收书的效力详见</w:t>
      </w:r>
      <w:r>
        <w:rPr>
          <w:rFonts w:hint="eastAsia" w:ascii="宋体" w:hAnsi="宋体" w:eastAsia="宋体" w:cs="宋体"/>
          <w:b/>
          <w:i/>
          <w:color w:val="auto"/>
          <w:sz w:val="24"/>
          <w:highlight w:val="none"/>
          <w:u w:val="single"/>
        </w:rPr>
        <w:t>合同专用条款</w:t>
      </w:r>
      <w:r>
        <w:rPr>
          <w:rFonts w:hint="eastAsia" w:ascii="宋体" w:hAnsi="宋体" w:eastAsia="宋体" w:cs="宋体"/>
          <w:i/>
          <w:color w:val="auto"/>
          <w:sz w:val="24"/>
          <w:highlight w:val="none"/>
        </w:rPr>
        <w:t>。</w:t>
      </w:r>
    </w:p>
    <w:bookmarkEnd w:id="256"/>
    <w:bookmarkEnd w:id="257"/>
    <w:bookmarkEnd w:id="258"/>
    <w:bookmarkEnd w:id="259"/>
    <w:p w14:paraId="2E0AA60C">
      <w:pPr>
        <w:spacing w:line="360" w:lineRule="auto"/>
        <w:ind w:firstLine="482" w:firstLineChars="200"/>
        <w:rPr>
          <w:rFonts w:hint="eastAsia" w:ascii="宋体" w:hAnsi="宋体" w:eastAsia="宋体" w:cs="宋体"/>
          <w:b/>
          <w:color w:val="auto"/>
          <w:sz w:val="24"/>
          <w:highlight w:val="none"/>
        </w:rPr>
      </w:pPr>
      <w:bookmarkStart w:id="287" w:name="_Toc487900371"/>
      <w:bookmarkStart w:id="288" w:name="_Toc259093690"/>
      <w:bookmarkStart w:id="289" w:name="_Toc279701261"/>
      <w:bookmarkStart w:id="290" w:name="_Toc19604"/>
      <w:bookmarkStart w:id="291" w:name="_Toc11284"/>
      <w:bookmarkStart w:id="292" w:name="_Toc25182"/>
      <w:r>
        <w:rPr>
          <w:rFonts w:hint="eastAsia" w:ascii="宋体" w:hAnsi="宋体" w:eastAsia="宋体" w:cs="宋体"/>
          <w:b/>
          <w:color w:val="auto"/>
          <w:sz w:val="24"/>
          <w:highlight w:val="none"/>
        </w:rPr>
        <w:t>2.18 通知</w:t>
      </w:r>
      <w:bookmarkEnd w:id="287"/>
      <w:bookmarkEnd w:id="288"/>
      <w:bookmarkEnd w:id="289"/>
      <w:r>
        <w:rPr>
          <w:rFonts w:hint="eastAsia" w:ascii="宋体" w:hAnsi="宋体" w:eastAsia="宋体" w:cs="宋体"/>
          <w:b/>
          <w:color w:val="auto"/>
          <w:sz w:val="24"/>
          <w:highlight w:val="none"/>
        </w:rPr>
        <w:t>和送达</w:t>
      </w:r>
      <w:bookmarkEnd w:id="290"/>
      <w:bookmarkEnd w:id="291"/>
      <w:bookmarkEnd w:id="292"/>
    </w:p>
    <w:p w14:paraId="460C3930">
      <w:pPr>
        <w:spacing w:line="360" w:lineRule="auto"/>
        <w:ind w:firstLine="480" w:firstLineChars="200"/>
        <w:rPr>
          <w:rFonts w:hint="eastAsia" w:ascii="宋体" w:hAnsi="宋体" w:eastAsia="宋体" w:cs="宋体"/>
          <w:color w:val="auto"/>
          <w:sz w:val="24"/>
          <w:highlight w:val="none"/>
        </w:rPr>
      </w:pPr>
      <w:bookmarkStart w:id="293" w:name="_Toc3135"/>
      <w:bookmarkStart w:id="294" w:name="_Toc6698"/>
      <w:bookmarkStart w:id="295" w:name="_Toc487900372"/>
      <w:bookmarkStart w:id="296" w:name="_Toc279701262"/>
      <w:bookmarkStart w:id="297" w:name="_Toc259093691"/>
      <w:r>
        <w:rPr>
          <w:rFonts w:hint="eastAsia" w:ascii="宋体" w:hAnsi="宋体" w:eastAsia="宋体" w:cs="宋体"/>
          <w:color w:val="auto"/>
          <w:sz w:val="24"/>
          <w:highlight w:val="none"/>
        </w:rPr>
        <w:t>2.18.1 任何一方因履行合同而以合同第一部分尾部所列明的</w:t>
      </w:r>
      <w:r>
        <w:rPr>
          <w:rFonts w:hint="eastAsia" w:ascii="宋体" w:hAnsi="宋体" w:eastAsia="宋体" w:cs="宋体"/>
          <w:color w:val="auto"/>
          <w:sz w:val="24"/>
          <w:highlight w:val="none"/>
          <w:u w:val="single"/>
        </w:rPr>
        <w:t>“约定送达地址”</w:t>
      </w:r>
      <w:r>
        <w:rPr>
          <w:rFonts w:hint="eastAsia" w:ascii="宋体" w:hAnsi="宋体" w:eastAsia="宋体" w:cs="宋体"/>
          <w:color w:val="auto"/>
          <w:sz w:val="24"/>
          <w:highlight w:val="none"/>
        </w:rPr>
        <w:t>为收件地址的所有通知、文件、材料，均视为已向对方当事人送达；任何一方变更上述送达方式或者地址的，应于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7</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个工作日内书面通知对方当事人，在对方当事人收到有关变更通知之前，变更前的约定送达方式或者地址仍视为有效。</w:t>
      </w:r>
      <w:bookmarkEnd w:id="293"/>
      <w:bookmarkEnd w:id="294"/>
    </w:p>
    <w:p w14:paraId="0D668C38">
      <w:pPr>
        <w:spacing w:line="360" w:lineRule="auto"/>
        <w:ind w:firstLine="480" w:firstLineChars="200"/>
        <w:rPr>
          <w:rFonts w:hint="eastAsia" w:ascii="宋体" w:hAnsi="宋体" w:eastAsia="宋体" w:cs="宋体"/>
          <w:color w:val="auto"/>
          <w:sz w:val="24"/>
          <w:highlight w:val="none"/>
        </w:rPr>
      </w:pPr>
      <w:bookmarkStart w:id="298" w:name="_Toc23128"/>
      <w:bookmarkStart w:id="299" w:name="_Toc23294"/>
      <w:r>
        <w:rPr>
          <w:rFonts w:hint="eastAsia" w:ascii="宋体" w:hAnsi="宋体" w:eastAsia="宋体" w:cs="宋体"/>
          <w:color w:val="auto"/>
          <w:sz w:val="24"/>
          <w:highlight w:val="none"/>
        </w:rPr>
        <w:t>2.18.2以当面交付方式送达的，交付之时视为送达；以电子邮件方式送达的，发出电子邮件之时视为送达；以传真方式送达的，发出传真之时视为送达；以邮寄方式送达的，邮件挂号寄出或者交邮之日之次日视为送达。</w:t>
      </w:r>
      <w:bookmarkEnd w:id="298"/>
      <w:bookmarkEnd w:id="299"/>
    </w:p>
    <w:p w14:paraId="0F36B222">
      <w:pPr>
        <w:spacing w:line="360" w:lineRule="auto"/>
        <w:ind w:firstLine="482" w:firstLineChars="200"/>
        <w:rPr>
          <w:rFonts w:hint="eastAsia" w:ascii="宋体" w:hAnsi="宋体" w:eastAsia="宋体" w:cs="宋体"/>
          <w:b/>
          <w:color w:val="auto"/>
          <w:sz w:val="24"/>
          <w:highlight w:val="none"/>
        </w:rPr>
      </w:pPr>
      <w:bookmarkStart w:id="300" w:name="_Toc18540"/>
      <w:bookmarkStart w:id="301" w:name="_Toc4355"/>
      <w:bookmarkStart w:id="302" w:name="_Toc30599"/>
      <w:r>
        <w:rPr>
          <w:rFonts w:hint="eastAsia" w:ascii="宋体" w:hAnsi="宋体" w:eastAsia="宋体" w:cs="宋体"/>
          <w:b/>
          <w:color w:val="auto"/>
          <w:sz w:val="24"/>
          <w:highlight w:val="none"/>
        </w:rPr>
        <w:t>2.19 计量单位</w:t>
      </w:r>
      <w:bookmarkEnd w:id="295"/>
      <w:bookmarkEnd w:id="296"/>
      <w:bookmarkEnd w:id="297"/>
      <w:bookmarkEnd w:id="300"/>
      <w:bookmarkEnd w:id="301"/>
      <w:bookmarkEnd w:id="302"/>
    </w:p>
    <w:p w14:paraId="71E24A9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除技术规范中另有规定外,合同的计量单位均使用国家法定计量单位。</w:t>
      </w:r>
    </w:p>
    <w:p w14:paraId="5B17578D">
      <w:pPr>
        <w:spacing w:line="360" w:lineRule="auto"/>
        <w:ind w:firstLine="482" w:firstLineChars="200"/>
        <w:rPr>
          <w:rFonts w:hint="eastAsia" w:ascii="宋体" w:hAnsi="宋体" w:eastAsia="宋体" w:cs="宋体"/>
          <w:b/>
          <w:color w:val="auto"/>
          <w:sz w:val="24"/>
          <w:highlight w:val="none"/>
        </w:rPr>
      </w:pPr>
      <w:bookmarkStart w:id="303" w:name="_Toc18567"/>
      <w:bookmarkStart w:id="304" w:name="_Toc12773"/>
      <w:bookmarkStart w:id="305" w:name="_Toc259093692"/>
      <w:bookmarkStart w:id="306" w:name="_Toc279701263"/>
      <w:bookmarkStart w:id="307" w:name="_Toc487900373"/>
      <w:bookmarkStart w:id="308" w:name="_Toc10330"/>
      <w:r>
        <w:rPr>
          <w:rFonts w:hint="eastAsia" w:ascii="宋体" w:hAnsi="宋体" w:eastAsia="宋体" w:cs="宋体"/>
          <w:b/>
          <w:color w:val="auto"/>
          <w:sz w:val="24"/>
          <w:highlight w:val="none"/>
        </w:rPr>
        <w:t>2.20 合同使用的文字和适用的法律</w:t>
      </w:r>
      <w:bookmarkEnd w:id="303"/>
      <w:bookmarkEnd w:id="304"/>
      <w:bookmarkEnd w:id="305"/>
      <w:bookmarkEnd w:id="306"/>
      <w:bookmarkEnd w:id="307"/>
      <w:bookmarkEnd w:id="308"/>
    </w:p>
    <w:p w14:paraId="27E9F3D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2.20.1 合同使用汉语书就、变更和解释；</w:t>
      </w:r>
    </w:p>
    <w:p w14:paraId="75EA38A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2.20.2 合同适用中华人民共和国法律。</w:t>
      </w:r>
    </w:p>
    <w:p w14:paraId="3AA6D246">
      <w:pPr>
        <w:spacing w:line="360" w:lineRule="auto"/>
        <w:ind w:firstLine="482" w:firstLineChars="200"/>
        <w:rPr>
          <w:rFonts w:hint="eastAsia" w:ascii="宋体" w:hAnsi="宋体" w:eastAsia="宋体" w:cs="宋体"/>
          <w:b/>
          <w:color w:val="auto"/>
          <w:sz w:val="24"/>
          <w:highlight w:val="none"/>
        </w:rPr>
      </w:pPr>
      <w:bookmarkStart w:id="309" w:name="_Toc259093693"/>
      <w:bookmarkStart w:id="310" w:name="_Toc12004"/>
      <w:bookmarkStart w:id="311" w:name="_Toc3148"/>
      <w:bookmarkStart w:id="312" w:name="_Toc279701264"/>
      <w:bookmarkStart w:id="313" w:name="_Toc16673"/>
      <w:bookmarkStart w:id="314" w:name="_Toc487900374"/>
      <w:r>
        <w:rPr>
          <w:rFonts w:hint="eastAsia" w:ascii="宋体" w:hAnsi="宋体" w:eastAsia="宋体" w:cs="宋体"/>
          <w:b/>
          <w:color w:val="auto"/>
          <w:sz w:val="24"/>
          <w:highlight w:val="none"/>
        </w:rPr>
        <w:t>2.21 履约保证金</w:t>
      </w:r>
      <w:bookmarkEnd w:id="309"/>
      <w:bookmarkEnd w:id="310"/>
      <w:bookmarkEnd w:id="311"/>
      <w:bookmarkEnd w:id="312"/>
      <w:bookmarkEnd w:id="313"/>
    </w:p>
    <w:p w14:paraId="68CA2FC6">
      <w:pPr>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color w:val="auto"/>
          <w:sz w:val="24"/>
          <w:highlight w:val="none"/>
        </w:rPr>
        <w:t>本项目不收取履约保证金</w:t>
      </w:r>
    </w:p>
    <w:p w14:paraId="52C1B897">
      <w:pPr>
        <w:spacing w:line="360" w:lineRule="auto"/>
        <w:ind w:firstLine="482" w:firstLineChars="200"/>
        <w:rPr>
          <w:rFonts w:hint="eastAsia" w:ascii="宋体" w:hAnsi="宋体" w:eastAsia="宋体" w:cs="宋体"/>
          <w:color w:val="auto"/>
          <w:kern w:val="0"/>
          <w:sz w:val="24"/>
          <w:highlight w:val="none"/>
          <w:lang w:val="zh-CN"/>
        </w:rPr>
      </w:pPr>
      <w:r>
        <w:rPr>
          <w:rFonts w:hint="eastAsia" w:ascii="宋体" w:hAnsi="宋体" w:eastAsia="宋体" w:cs="宋体"/>
          <w:b/>
          <w:color w:val="auto"/>
          <w:sz w:val="24"/>
          <w:highlight w:val="none"/>
        </w:rPr>
        <w:t>2.22 中小企业政策</w:t>
      </w:r>
    </w:p>
    <w:p w14:paraId="1585EFA6">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2.22.1本合同（□是  □否）为中小企业“政采贷”可融资合同，关于中小企业信用融资事项见采购文件“投标人须知正文”。</w:t>
      </w:r>
    </w:p>
    <w:p w14:paraId="5C663116">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2.22.2本合同（□是  □否）为中小企业预留合同。</w:t>
      </w:r>
    </w:p>
    <w:bookmarkEnd w:id="314"/>
    <w:p w14:paraId="05A985CE">
      <w:pPr>
        <w:spacing w:line="360" w:lineRule="auto"/>
        <w:ind w:firstLine="482" w:firstLineChars="200"/>
        <w:rPr>
          <w:rFonts w:hint="eastAsia" w:ascii="宋体" w:hAnsi="宋体" w:eastAsia="宋体" w:cs="宋体"/>
          <w:b/>
          <w:color w:val="auto"/>
          <w:sz w:val="24"/>
          <w:highlight w:val="none"/>
        </w:rPr>
      </w:pPr>
      <w:bookmarkStart w:id="315" w:name="_Toc19890"/>
      <w:bookmarkStart w:id="316" w:name="_Toc14001"/>
      <w:bookmarkStart w:id="317" w:name="_Toc6885"/>
      <w:r>
        <w:rPr>
          <w:rFonts w:hint="eastAsia" w:ascii="宋体" w:hAnsi="宋体" w:eastAsia="宋体" w:cs="宋体"/>
          <w:b/>
          <w:color w:val="auto"/>
          <w:sz w:val="24"/>
          <w:highlight w:val="none"/>
        </w:rPr>
        <w:t>2.23 合同份数</w:t>
      </w:r>
      <w:bookmarkEnd w:id="315"/>
      <w:bookmarkEnd w:id="316"/>
      <w:bookmarkEnd w:id="317"/>
    </w:p>
    <w:p w14:paraId="55117A48">
      <w:pPr>
        <w:spacing w:line="360" w:lineRule="auto"/>
        <w:ind w:firstLine="480" w:firstLineChars="200"/>
        <w:outlineLvl w:val="1"/>
        <w:rPr>
          <w:rFonts w:hint="eastAsia" w:ascii="宋体" w:hAnsi="宋体" w:eastAsia="宋体" w:cs="宋体"/>
          <w:b/>
          <w:color w:val="auto"/>
          <w:sz w:val="24"/>
          <w:highlight w:val="none"/>
        </w:rPr>
      </w:pPr>
      <w:bookmarkStart w:id="318" w:name="_Toc24216"/>
      <w:bookmarkStart w:id="319" w:name="_Toc26065"/>
      <w:r>
        <w:rPr>
          <w:rFonts w:hint="eastAsia" w:ascii="宋体" w:hAnsi="宋体" w:eastAsia="宋体" w:cs="宋体"/>
          <w:color w:val="auto"/>
          <w:sz w:val="24"/>
          <w:highlight w:val="none"/>
        </w:rPr>
        <w:t>本合同壹式</w:t>
      </w:r>
      <w:r>
        <w:rPr>
          <w:rFonts w:hint="eastAsia" w:ascii="宋体" w:hAnsi="宋体" w:eastAsia="宋体" w:cs="宋体"/>
          <w:color w:val="auto"/>
          <w:sz w:val="24"/>
          <w:highlight w:val="none"/>
          <w:u w:val="single"/>
        </w:rPr>
        <w:t xml:space="preserve"> 肆 </w:t>
      </w:r>
      <w:r>
        <w:rPr>
          <w:rFonts w:hint="eastAsia" w:ascii="宋体" w:hAnsi="宋体" w:eastAsia="宋体" w:cs="宋体"/>
          <w:color w:val="auto"/>
          <w:sz w:val="24"/>
          <w:highlight w:val="none"/>
        </w:rPr>
        <w:t>份，甲方执</w:t>
      </w:r>
      <w:r>
        <w:rPr>
          <w:rFonts w:hint="eastAsia" w:ascii="宋体" w:hAnsi="宋体" w:eastAsia="宋体" w:cs="宋体"/>
          <w:color w:val="auto"/>
          <w:sz w:val="24"/>
          <w:highlight w:val="none"/>
          <w:u w:val="single"/>
        </w:rPr>
        <w:t xml:space="preserve"> 贰 </w:t>
      </w:r>
      <w:r>
        <w:rPr>
          <w:rFonts w:hint="eastAsia" w:ascii="宋体" w:hAnsi="宋体" w:eastAsia="宋体" w:cs="宋体"/>
          <w:color w:val="auto"/>
          <w:sz w:val="24"/>
          <w:highlight w:val="none"/>
        </w:rPr>
        <w:t>份，乙方执</w:t>
      </w:r>
      <w:r>
        <w:rPr>
          <w:rFonts w:hint="eastAsia" w:ascii="宋体" w:hAnsi="宋体" w:eastAsia="宋体" w:cs="宋体"/>
          <w:color w:val="auto"/>
          <w:sz w:val="24"/>
          <w:highlight w:val="none"/>
          <w:u w:val="single"/>
        </w:rPr>
        <w:t xml:space="preserve"> 贰 </w:t>
      </w:r>
      <w:r>
        <w:rPr>
          <w:rFonts w:hint="eastAsia" w:ascii="宋体" w:hAnsi="宋体" w:eastAsia="宋体" w:cs="宋体"/>
          <w:color w:val="auto"/>
          <w:sz w:val="24"/>
          <w:highlight w:val="none"/>
        </w:rPr>
        <w:t>份。每份均具有同等法律效力。</w:t>
      </w:r>
      <w:bookmarkEnd w:id="318"/>
      <w:bookmarkEnd w:id="319"/>
    </w:p>
    <w:p w14:paraId="38EFB8EA">
      <w:pPr>
        <w:spacing w:line="360" w:lineRule="auto"/>
        <w:jc w:val="center"/>
        <w:outlineLvl w:val="1"/>
        <w:rPr>
          <w:rFonts w:hint="eastAsia" w:ascii="宋体" w:hAnsi="宋体" w:eastAsia="宋体" w:cs="宋体"/>
          <w:b/>
          <w:color w:val="auto"/>
          <w:sz w:val="28"/>
          <w:szCs w:val="28"/>
          <w:highlight w:val="none"/>
        </w:rPr>
      </w:pPr>
      <w:r>
        <w:rPr>
          <w:rFonts w:hint="eastAsia" w:ascii="宋体" w:hAnsi="宋体" w:eastAsia="宋体" w:cs="宋体"/>
          <w:color w:val="auto"/>
          <w:highlight w:val="none"/>
        </w:rPr>
        <w:br w:type="page"/>
      </w:r>
      <w:bookmarkStart w:id="320" w:name="_Toc31629"/>
      <w:bookmarkStart w:id="321" w:name="_Toc331685784"/>
      <w:r>
        <w:rPr>
          <w:rFonts w:hint="eastAsia" w:ascii="宋体" w:hAnsi="宋体" w:eastAsia="宋体" w:cs="宋体"/>
          <w:b/>
          <w:color w:val="auto"/>
          <w:sz w:val="28"/>
          <w:szCs w:val="28"/>
          <w:highlight w:val="none"/>
        </w:rPr>
        <w:t>第三部分  合同专用条款</w:t>
      </w:r>
      <w:bookmarkEnd w:id="320"/>
      <w:bookmarkEnd w:id="321"/>
    </w:p>
    <w:p w14:paraId="7D69AB1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p w14:paraId="630D71FD">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3.1具有知识产权的标的物知识产权归属：</w:t>
      </w:r>
      <w:r>
        <w:rPr>
          <w:rFonts w:hint="eastAsia" w:ascii="宋体" w:hAnsi="宋体" w:eastAsia="宋体" w:cs="宋体"/>
          <w:color w:val="auto"/>
          <w:sz w:val="24"/>
          <w:highlight w:val="none"/>
          <w:lang w:val="en-US" w:eastAsia="zh-CN"/>
        </w:rPr>
        <w:t>甲方。</w:t>
      </w:r>
    </w:p>
    <w:p w14:paraId="7841C24C">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3.2包装和装运专用条款（如果有）：</w:t>
      </w:r>
      <w:r>
        <w:rPr>
          <w:rFonts w:hint="eastAsia" w:ascii="宋体" w:hAnsi="宋体" w:eastAsia="宋体" w:cs="宋体"/>
          <w:color w:val="auto"/>
          <w:sz w:val="24"/>
          <w:highlight w:val="none"/>
          <w:u w:val="single"/>
        </w:rPr>
        <w:t>详见合同一般条款</w:t>
      </w:r>
      <w:r>
        <w:rPr>
          <w:rFonts w:hint="eastAsia" w:ascii="宋体" w:hAnsi="宋体" w:eastAsia="宋体" w:cs="宋体"/>
          <w:color w:val="auto"/>
          <w:sz w:val="24"/>
          <w:highlight w:val="none"/>
          <w:u w:val="single"/>
          <w:lang w:eastAsia="zh-CN"/>
        </w:rPr>
        <w:t>。</w:t>
      </w:r>
    </w:p>
    <w:p w14:paraId="36ABD45F">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3.3装运标的物的要求和通知：无</w:t>
      </w:r>
      <w:r>
        <w:rPr>
          <w:rFonts w:hint="eastAsia" w:ascii="宋体" w:hAnsi="宋体" w:eastAsia="宋体" w:cs="宋体"/>
          <w:color w:val="auto"/>
          <w:sz w:val="24"/>
          <w:highlight w:val="none"/>
          <w:lang w:eastAsia="zh-CN"/>
        </w:rPr>
        <w:t>。</w:t>
      </w:r>
    </w:p>
    <w:p w14:paraId="7EAB8A9C">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3.4</w:t>
      </w:r>
      <w:r>
        <w:rPr>
          <w:rFonts w:hint="eastAsia" w:ascii="宋体" w:hAnsi="宋体" w:eastAsia="宋体" w:cs="宋体"/>
          <w:b/>
          <w:color w:val="auto"/>
          <w:sz w:val="24"/>
          <w:highlight w:val="none"/>
        </w:rPr>
        <w:t>结算方式和付款条件</w:t>
      </w:r>
    </w:p>
    <w:p w14:paraId="6962E70A">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本次项目合同总价为大写人民币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    元）。本项目采用以下勾选结算方式进行支付：</w:t>
      </w:r>
    </w:p>
    <w:p w14:paraId="00B1C239">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□采用一次性支付方式，付款条件为：</w:t>
      </w:r>
      <w:r>
        <w:rPr>
          <w:rFonts w:hint="eastAsia" w:ascii="宋体" w:hAnsi="宋体" w:eastAsia="宋体" w:cs="宋体"/>
          <w:color w:val="auto"/>
          <w:kern w:val="0"/>
          <w:sz w:val="24"/>
          <w:highlight w:val="none"/>
          <w:u w:val="single"/>
        </w:rPr>
        <w:t xml:space="preserve">           </w:t>
      </w:r>
    </w:p>
    <w:p w14:paraId="5EE6AE53">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□采用分期付款方式，付款条件为</w:t>
      </w:r>
      <w:r>
        <w:rPr>
          <w:rFonts w:hint="eastAsia" w:ascii="宋体" w:hAnsi="宋体" w:eastAsia="宋体" w:cs="宋体"/>
          <w:color w:val="auto"/>
          <w:kern w:val="0"/>
          <w:sz w:val="24"/>
          <w:highlight w:val="none"/>
        </w:rPr>
        <w:t>：</w:t>
      </w:r>
    </w:p>
    <w:p w14:paraId="5A828B29">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第一期付款</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u w:val="single"/>
        </w:rPr>
        <w:t xml:space="preserve">                                        </w:t>
      </w:r>
    </w:p>
    <w:p w14:paraId="340ACC6F">
      <w:pPr>
        <w:spacing w:line="360" w:lineRule="auto"/>
        <w:ind w:firstLine="480" w:firstLineChars="200"/>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lang w:val="zh-CN"/>
        </w:rPr>
        <w:t>第</w:t>
      </w:r>
      <w:r>
        <w:rPr>
          <w:rFonts w:hint="eastAsia" w:ascii="宋体" w:hAnsi="宋体" w:eastAsia="宋体" w:cs="宋体"/>
          <w:color w:val="auto"/>
          <w:kern w:val="0"/>
          <w:sz w:val="24"/>
          <w:highlight w:val="none"/>
        </w:rPr>
        <w:t>二</w:t>
      </w:r>
      <w:r>
        <w:rPr>
          <w:rFonts w:hint="eastAsia" w:ascii="宋体" w:hAnsi="宋体" w:eastAsia="宋体" w:cs="宋体"/>
          <w:color w:val="auto"/>
          <w:kern w:val="0"/>
          <w:sz w:val="24"/>
          <w:highlight w:val="none"/>
          <w:lang w:val="zh-CN"/>
        </w:rPr>
        <w:t>期付款</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u w:val="single"/>
        </w:rPr>
        <w:t xml:space="preserve">                                        </w:t>
      </w:r>
    </w:p>
    <w:p w14:paraId="354B861C">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lang w:val="en-US" w:eastAsia="zh-CN"/>
        </w:rPr>
        <w:t>3.5</w:t>
      </w:r>
      <w:r>
        <w:rPr>
          <w:rFonts w:hint="eastAsia" w:ascii="宋体" w:hAnsi="宋体" w:eastAsia="宋体" w:cs="宋体"/>
          <w:b/>
          <w:color w:val="auto"/>
          <w:sz w:val="24"/>
          <w:highlight w:val="none"/>
        </w:rPr>
        <w:t>标的物的风险负担</w:t>
      </w:r>
    </w:p>
    <w:p w14:paraId="154E7B48">
      <w:pPr>
        <w:spacing w:line="360" w:lineRule="auto"/>
        <w:ind w:firstLine="480" w:firstLineChars="200"/>
        <w:rPr>
          <w:rFonts w:hint="eastAsia" w:ascii="宋体" w:hAnsi="宋体" w:eastAsia="宋体" w:cs="宋体"/>
          <w:color w:val="auto"/>
          <w:sz w:val="24"/>
          <w:highlight w:val="none"/>
          <w:u w:val="single"/>
          <w:lang w:eastAsia="zh-CN"/>
        </w:rPr>
      </w:pPr>
      <w:r>
        <w:rPr>
          <w:rFonts w:hint="eastAsia" w:ascii="宋体" w:hAnsi="宋体" w:eastAsia="宋体" w:cs="宋体"/>
          <w:color w:val="auto"/>
          <w:sz w:val="24"/>
          <w:highlight w:val="none"/>
        </w:rPr>
        <w:t>标的物或者在途标的物或者交付给第一承运人后的标的物毁损、灭失的风险负担：</w:t>
      </w:r>
      <w:r>
        <w:rPr>
          <w:rFonts w:hint="eastAsia" w:ascii="宋体" w:hAnsi="宋体" w:eastAsia="宋体" w:cs="宋体"/>
          <w:color w:val="auto"/>
          <w:sz w:val="24"/>
          <w:highlight w:val="none"/>
          <w:u w:val="single"/>
        </w:rPr>
        <w:t>由乙方承担，但是法律另有规定或者当事人另有约定的除外</w:t>
      </w:r>
      <w:r>
        <w:rPr>
          <w:rFonts w:hint="eastAsia" w:ascii="宋体" w:hAnsi="宋体" w:eastAsia="宋体" w:cs="宋体"/>
          <w:color w:val="auto"/>
          <w:sz w:val="24"/>
          <w:highlight w:val="none"/>
          <w:u w:val="none"/>
          <w:lang w:eastAsia="zh-CN"/>
        </w:rPr>
        <w:t>。</w:t>
      </w:r>
    </w:p>
    <w:p w14:paraId="0A57811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3.5.1受不可抗力影响的一方在不可抗力发生后，应在</w:t>
      </w:r>
      <w:r>
        <w:rPr>
          <w:rFonts w:hint="eastAsia" w:ascii="宋体" w:hAnsi="宋体" w:eastAsia="宋体" w:cs="宋体"/>
          <w:color w:val="auto"/>
          <w:sz w:val="24"/>
          <w:highlight w:val="none"/>
          <w:u w:val="single"/>
        </w:rPr>
        <w:t xml:space="preserve"> 7 </w:t>
      </w:r>
      <w:r>
        <w:rPr>
          <w:rFonts w:hint="eastAsia" w:ascii="宋体" w:hAnsi="宋体" w:eastAsia="宋体" w:cs="宋体"/>
          <w:color w:val="auto"/>
          <w:sz w:val="24"/>
          <w:highlight w:val="none"/>
        </w:rPr>
        <w:t>日内（根据项目实际填写）以书面形式通知对方当事人，并在</w:t>
      </w:r>
      <w:r>
        <w:rPr>
          <w:rFonts w:hint="eastAsia" w:ascii="宋体" w:hAnsi="宋体" w:eastAsia="宋体" w:cs="宋体"/>
          <w:color w:val="auto"/>
          <w:sz w:val="24"/>
          <w:highlight w:val="none"/>
          <w:u w:val="single"/>
        </w:rPr>
        <w:t xml:space="preserve"> 7 </w:t>
      </w:r>
      <w:r>
        <w:rPr>
          <w:rFonts w:hint="eastAsia" w:ascii="宋体" w:hAnsi="宋体" w:eastAsia="宋体" w:cs="宋体"/>
          <w:color w:val="auto"/>
          <w:sz w:val="24"/>
          <w:highlight w:val="none"/>
        </w:rPr>
        <w:t>日内，将有关部门出具的证明文件送达对方当事人。</w:t>
      </w:r>
    </w:p>
    <w:p w14:paraId="0DEA725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3.5.2因不可抗力致使合同有变更必要的，双方当事人应在</w:t>
      </w:r>
      <w:r>
        <w:rPr>
          <w:rFonts w:hint="eastAsia" w:ascii="宋体" w:hAnsi="宋体" w:eastAsia="宋体" w:cs="宋体"/>
          <w:color w:val="auto"/>
          <w:sz w:val="24"/>
          <w:highlight w:val="none"/>
          <w:u w:val="single"/>
        </w:rPr>
        <w:t xml:space="preserve"> 7 </w:t>
      </w:r>
      <w:r>
        <w:rPr>
          <w:rFonts w:hint="eastAsia" w:ascii="宋体" w:hAnsi="宋体" w:eastAsia="宋体" w:cs="宋体"/>
          <w:color w:val="auto"/>
          <w:sz w:val="24"/>
          <w:highlight w:val="none"/>
        </w:rPr>
        <w:t>日内（根据项目实际填写）以书面形式变更合同；</w:t>
      </w:r>
    </w:p>
    <w:p w14:paraId="56A3813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3.5.3标的物交付前，乙方应对标的物的质量、数量等方面进行详细、全面的检验，并向甲方出具证明标的物符合合同约定的文件；标的物交付时，乙方在</w:t>
      </w:r>
      <w:r>
        <w:rPr>
          <w:rFonts w:hint="eastAsia" w:ascii="宋体" w:hAnsi="宋体" w:eastAsia="宋体" w:cs="宋体"/>
          <w:color w:val="auto"/>
          <w:sz w:val="24"/>
          <w:highlight w:val="none"/>
          <w:u w:val="single"/>
        </w:rPr>
        <w:t xml:space="preserve"> 7 </w:t>
      </w:r>
      <w:r>
        <w:rPr>
          <w:rFonts w:hint="eastAsia" w:ascii="宋体" w:hAnsi="宋体" w:eastAsia="宋体" w:cs="宋体"/>
          <w:color w:val="auto"/>
          <w:sz w:val="24"/>
          <w:highlight w:val="none"/>
        </w:rPr>
        <w:t>日内发（根据项目实际填写）起验收，并可依法邀请相关方参加，验收应出具验收书。</w:t>
      </w:r>
    </w:p>
    <w:p w14:paraId="150B733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3.5.4 检验和验收标准、程序等具体内容以及前述验收书的效力：</w:t>
      </w:r>
      <w:r>
        <w:rPr>
          <w:rFonts w:hint="eastAsia" w:ascii="宋体" w:hAnsi="宋体" w:eastAsia="宋体" w:cs="宋体"/>
          <w:color w:val="auto"/>
          <w:sz w:val="24"/>
          <w:highlight w:val="none"/>
          <w:u w:val="single"/>
        </w:rPr>
        <w:t>本项目采购标的需执行的国家相关标准、行业标准、地方标准或其他强制性标准、规范等要求。</w:t>
      </w:r>
    </w:p>
    <w:p w14:paraId="55B192C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3.5.5 其他：</w:t>
      </w:r>
    </w:p>
    <w:p w14:paraId="68690BFB">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3.6</w:t>
      </w:r>
      <w:r>
        <w:rPr>
          <w:rFonts w:hint="eastAsia" w:ascii="宋体" w:hAnsi="宋体" w:eastAsia="宋体" w:cs="宋体"/>
          <w:b/>
          <w:color w:val="auto"/>
          <w:sz w:val="24"/>
          <w:highlight w:val="none"/>
        </w:rPr>
        <w:t>项目验收：</w:t>
      </w:r>
    </w:p>
    <w:p w14:paraId="026476AB">
      <w:pPr>
        <w:tabs>
          <w:tab w:val="left" w:pos="904"/>
        </w:tabs>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3.6.1甲方参照《南宁市政府采购供应商履约验收评价管理办法》（南财采[2019]217号）规定组织对乙方履约的验收。验收方成员应当在验收书上签字，并承担相应的法律责任。如果发现与合同中要求不符，乙方须承担由此发生的一切损失和费用，并接受相应的处理。</w:t>
      </w:r>
    </w:p>
    <w:p w14:paraId="431451F8">
      <w:pPr>
        <w:tabs>
          <w:tab w:val="left" w:pos="904"/>
        </w:tabs>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3.6.2严格按照采购合同开展履约验收。甲方成立验收小组，按照采购合同的约定对供应商履约情况进行验收，验收时，按照采购合同的约定对每一项技术、服务、安全标准的履约情况进行确认，出具验收报告并经验收小组全体成员签字。甲方根据验收报告形成验收意见并经甲方与乙方签字盖章生效。验收结果与采购合同约定的资金支付条件挂钩。履约验收的各项资料应当存档备查。</w:t>
      </w:r>
    </w:p>
    <w:p w14:paraId="177680A2">
      <w:pPr>
        <w:tabs>
          <w:tab w:val="left" w:pos="904"/>
        </w:tabs>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3.6.3验收合格的项目，甲方将根据采购合同的约定及时向供应商支付采购资金。验收不合格的项目，甲方将依法及时处理。采购合同的履行、违约责任和解决争议的方式等适用《中华人民共和国民法典》，并按照《合同书》约定执行。</w:t>
      </w:r>
    </w:p>
    <w:p w14:paraId="550DF0E9">
      <w:pPr>
        <w:tabs>
          <w:tab w:val="left" w:pos="904"/>
        </w:tabs>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3.6.4验收产生的费用首次验收费用由</w:t>
      </w:r>
      <w:r>
        <w:rPr>
          <w:rFonts w:hint="eastAsia" w:ascii="宋体" w:hAnsi="宋体" w:cs="宋体"/>
          <w:color w:val="auto"/>
          <w:kern w:val="0"/>
          <w:sz w:val="24"/>
          <w:highlight w:val="none"/>
          <w:lang w:val="en-US" w:eastAsia="zh-CN"/>
        </w:rPr>
        <w:t>乙</w:t>
      </w:r>
      <w:r>
        <w:rPr>
          <w:rFonts w:hint="eastAsia" w:ascii="宋体" w:hAnsi="宋体" w:eastAsia="宋体" w:cs="宋体"/>
          <w:color w:val="auto"/>
          <w:kern w:val="0"/>
          <w:sz w:val="24"/>
          <w:highlight w:val="none"/>
        </w:rPr>
        <w:t>方承担，如首次验收不合格，后续验收费用由乙方支付。</w:t>
      </w:r>
    </w:p>
    <w:p w14:paraId="33443432">
      <w:pPr>
        <w:tabs>
          <w:tab w:val="left" w:pos="904"/>
        </w:tabs>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3.6.5验收内容及资料要求：</w:t>
      </w:r>
    </w:p>
    <w:p w14:paraId="08FC9AAC">
      <w:pPr>
        <w:tabs>
          <w:tab w:val="left" w:pos="904"/>
        </w:tabs>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根根据采购文件确定的技术指标或者服务要求确定验收指标和标准。未进行相应约定的，应当符合国家强制性规定、政策要求、安全标准、行业或企业有关标准等。</w:t>
      </w:r>
    </w:p>
    <w:p w14:paraId="34331DF4">
      <w:pPr>
        <w:tabs>
          <w:tab w:val="left" w:pos="904"/>
        </w:tabs>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3.6.6</w:t>
      </w:r>
      <w:r>
        <w:rPr>
          <w:rFonts w:hint="eastAsia" w:ascii="宋体" w:hAnsi="宋体" w:eastAsia="宋体" w:cs="宋体"/>
          <w:color w:val="auto"/>
          <w:sz w:val="24"/>
          <w:highlight w:val="none"/>
        </w:rPr>
        <w:t>验收内容</w:t>
      </w:r>
    </w:p>
    <w:tbl>
      <w:tblPr>
        <w:tblStyle w:val="18"/>
        <w:tblW w:w="89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3249"/>
        <w:gridCol w:w="4896"/>
      </w:tblGrid>
      <w:tr w14:paraId="307EF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18" w:type="dxa"/>
            <w:tcBorders>
              <w:top w:val="single" w:color="auto" w:sz="4" w:space="0"/>
              <w:left w:val="single" w:color="auto" w:sz="4" w:space="0"/>
              <w:bottom w:val="single" w:color="auto" w:sz="4" w:space="0"/>
              <w:right w:val="single" w:color="auto" w:sz="4" w:space="0"/>
            </w:tcBorders>
            <w:vAlign w:val="center"/>
          </w:tcPr>
          <w:p w14:paraId="57D970D9">
            <w:pPr>
              <w:widowControl/>
              <w:spacing w:line="360" w:lineRule="auto"/>
              <w:jc w:val="center"/>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序号</w:t>
            </w:r>
          </w:p>
        </w:tc>
        <w:tc>
          <w:tcPr>
            <w:tcW w:w="3249" w:type="dxa"/>
            <w:tcBorders>
              <w:top w:val="single" w:color="auto" w:sz="4" w:space="0"/>
              <w:left w:val="single" w:color="auto" w:sz="4" w:space="0"/>
              <w:bottom w:val="single" w:color="auto" w:sz="4" w:space="0"/>
              <w:right w:val="single" w:color="auto" w:sz="4" w:space="0"/>
            </w:tcBorders>
            <w:vAlign w:val="center"/>
          </w:tcPr>
          <w:p w14:paraId="1938BF5C">
            <w:pPr>
              <w:widowControl/>
              <w:spacing w:line="360" w:lineRule="auto"/>
              <w:jc w:val="center"/>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验收内容</w:t>
            </w:r>
          </w:p>
        </w:tc>
        <w:tc>
          <w:tcPr>
            <w:tcW w:w="4896" w:type="dxa"/>
            <w:tcBorders>
              <w:top w:val="single" w:color="auto" w:sz="4" w:space="0"/>
              <w:left w:val="single" w:color="auto" w:sz="4" w:space="0"/>
              <w:bottom w:val="single" w:color="auto" w:sz="4" w:space="0"/>
              <w:right w:val="single" w:color="auto" w:sz="4" w:space="0"/>
            </w:tcBorders>
            <w:vAlign w:val="center"/>
          </w:tcPr>
          <w:p w14:paraId="7EE6A12C">
            <w:pPr>
              <w:widowControl/>
              <w:spacing w:line="360" w:lineRule="auto"/>
              <w:jc w:val="center"/>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验收标准</w:t>
            </w:r>
          </w:p>
        </w:tc>
      </w:tr>
      <w:tr w14:paraId="5B2C1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18" w:type="dxa"/>
            <w:tcBorders>
              <w:top w:val="single" w:color="auto" w:sz="4" w:space="0"/>
              <w:left w:val="single" w:color="auto" w:sz="4" w:space="0"/>
              <w:bottom w:val="single" w:color="auto" w:sz="4" w:space="0"/>
              <w:right w:val="single" w:color="auto" w:sz="4" w:space="0"/>
            </w:tcBorders>
            <w:vAlign w:val="center"/>
          </w:tcPr>
          <w:p w14:paraId="6BEC3963">
            <w:pPr>
              <w:widowControl/>
              <w:spacing w:line="360" w:lineRule="auto"/>
              <w:jc w:val="center"/>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1</w:t>
            </w:r>
          </w:p>
        </w:tc>
        <w:tc>
          <w:tcPr>
            <w:tcW w:w="3249" w:type="dxa"/>
            <w:tcBorders>
              <w:top w:val="single" w:color="auto" w:sz="4" w:space="0"/>
              <w:left w:val="single" w:color="auto" w:sz="4" w:space="0"/>
              <w:bottom w:val="single" w:color="auto" w:sz="4" w:space="0"/>
              <w:right w:val="single" w:color="auto" w:sz="4" w:space="0"/>
            </w:tcBorders>
            <w:vAlign w:val="center"/>
          </w:tcPr>
          <w:p w14:paraId="27E980FA">
            <w:pPr>
              <w:widowControl/>
              <w:spacing w:line="360" w:lineRule="auto"/>
              <w:jc w:val="center"/>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交付标的物数量</w:t>
            </w:r>
          </w:p>
        </w:tc>
        <w:tc>
          <w:tcPr>
            <w:tcW w:w="4896" w:type="dxa"/>
            <w:tcBorders>
              <w:top w:val="single" w:color="auto" w:sz="4" w:space="0"/>
              <w:left w:val="single" w:color="auto" w:sz="4" w:space="0"/>
              <w:bottom w:val="single" w:color="auto" w:sz="4" w:space="0"/>
              <w:right w:val="single" w:color="auto" w:sz="4" w:space="0"/>
            </w:tcBorders>
            <w:vAlign w:val="center"/>
          </w:tcPr>
          <w:p w14:paraId="1854DDE2">
            <w:pPr>
              <w:widowControl/>
              <w:spacing w:line="360" w:lineRule="auto"/>
              <w:jc w:val="center"/>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按照招标文件要求</w:t>
            </w:r>
          </w:p>
        </w:tc>
      </w:tr>
      <w:tr w14:paraId="74187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18" w:type="dxa"/>
            <w:tcBorders>
              <w:top w:val="single" w:color="auto" w:sz="4" w:space="0"/>
              <w:left w:val="single" w:color="auto" w:sz="4" w:space="0"/>
              <w:bottom w:val="single" w:color="auto" w:sz="4" w:space="0"/>
              <w:right w:val="single" w:color="auto" w:sz="4" w:space="0"/>
            </w:tcBorders>
            <w:vAlign w:val="center"/>
          </w:tcPr>
          <w:p w14:paraId="799B0DC5">
            <w:pPr>
              <w:widowControl/>
              <w:spacing w:line="360" w:lineRule="auto"/>
              <w:jc w:val="center"/>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2</w:t>
            </w:r>
          </w:p>
        </w:tc>
        <w:tc>
          <w:tcPr>
            <w:tcW w:w="3249" w:type="dxa"/>
            <w:tcBorders>
              <w:top w:val="single" w:color="auto" w:sz="4" w:space="0"/>
              <w:left w:val="single" w:color="auto" w:sz="4" w:space="0"/>
              <w:bottom w:val="single" w:color="auto" w:sz="4" w:space="0"/>
              <w:right w:val="single" w:color="auto" w:sz="4" w:space="0"/>
            </w:tcBorders>
            <w:vAlign w:val="center"/>
          </w:tcPr>
          <w:p w14:paraId="5A24C472">
            <w:pPr>
              <w:widowControl/>
              <w:spacing w:line="360" w:lineRule="auto"/>
              <w:jc w:val="center"/>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交付标的物质量文件</w:t>
            </w:r>
          </w:p>
        </w:tc>
        <w:tc>
          <w:tcPr>
            <w:tcW w:w="4896" w:type="dxa"/>
            <w:tcBorders>
              <w:top w:val="single" w:color="auto" w:sz="4" w:space="0"/>
              <w:left w:val="single" w:color="auto" w:sz="4" w:space="0"/>
              <w:bottom w:val="single" w:color="auto" w:sz="4" w:space="0"/>
              <w:right w:val="single" w:color="auto" w:sz="4" w:space="0"/>
            </w:tcBorders>
            <w:vAlign w:val="center"/>
          </w:tcPr>
          <w:p w14:paraId="32FF65F5">
            <w:pPr>
              <w:widowControl/>
              <w:spacing w:line="360" w:lineRule="auto"/>
              <w:jc w:val="center"/>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按照招标文件要求</w:t>
            </w:r>
          </w:p>
        </w:tc>
      </w:tr>
      <w:tr w14:paraId="32C23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18" w:type="dxa"/>
            <w:tcBorders>
              <w:top w:val="single" w:color="auto" w:sz="4" w:space="0"/>
              <w:left w:val="single" w:color="auto" w:sz="4" w:space="0"/>
              <w:bottom w:val="single" w:color="auto" w:sz="4" w:space="0"/>
              <w:right w:val="single" w:color="auto" w:sz="4" w:space="0"/>
            </w:tcBorders>
            <w:vAlign w:val="center"/>
          </w:tcPr>
          <w:p w14:paraId="3C8BE956">
            <w:pPr>
              <w:widowControl/>
              <w:spacing w:line="360" w:lineRule="auto"/>
              <w:jc w:val="center"/>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4</w:t>
            </w:r>
          </w:p>
        </w:tc>
        <w:tc>
          <w:tcPr>
            <w:tcW w:w="3249" w:type="dxa"/>
            <w:tcBorders>
              <w:top w:val="single" w:color="auto" w:sz="4" w:space="0"/>
              <w:left w:val="single" w:color="auto" w:sz="4" w:space="0"/>
              <w:bottom w:val="single" w:color="auto" w:sz="4" w:space="0"/>
              <w:right w:val="single" w:color="auto" w:sz="4" w:space="0"/>
            </w:tcBorders>
            <w:vAlign w:val="center"/>
          </w:tcPr>
          <w:p w14:paraId="1460E979">
            <w:pPr>
              <w:widowControl/>
              <w:spacing w:line="360" w:lineRule="auto"/>
              <w:jc w:val="center"/>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 xml:space="preserve">交付标的物技术、性能指标 </w:t>
            </w:r>
          </w:p>
        </w:tc>
        <w:tc>
          <w:tcPr>
            <w:tcW w:w="4896" w:type="dxa"/>
            <w:tcBorders>
              <w:top w:val="single" w:color="auto" w:sz="4" w:space="0"/>
              <w:left w:val="single" w:color="auto" w:sz="4" w:space="0"/>
              <w:bottom w:val="single" w:color="auto" w:sz="4" w:space="0"/>
              <w:right w:val="single" w:color="auto" w:sz="4" w:space="0"/>
            </w:tcBorders>
            <w:vAlign w:val="center"/>
          </w:tcPr>
          <w:p w14:paraId="10000285">
            <w:pPr>
              <w:widowControl/>
              <w:spacing w:line="360" w:lineRule="auto"/>
              <w:jc w:val="center"/>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按照招标文件要求</w:t>
            </w:r>
          </w:p>
        </w:tc>
      </w:tr>
      <w:tr w14:paraId="7A91D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18" w:type="dxa"/>
            <w:tcBorders>
              <w:top w:val="single" w:color="auto" w:sz="4" w:space="0"/>
              <w:left w:val="single" w:color="auto" w:sz="4" w:space="0"/>
              <w:bottom w:val="single" w:color="auto" w:sz="4" w:space="0"/>
              <w:right w:val="single" w:color="auto" w:sz="4" w:space="0"/>
            </w:tcBorders>
            <w:vAlign w:val="center"/>
          </w:tcPr>
          <w:p w14:paraId="3AE66074">
            <w:pPr>
              <w:widowControl/>
              <w:spacing w:line="360" w:lineRule="auto"/>
              <w:jc w:val="center"/>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5</w:t>
            </w:r>
          </w:p>
        </w:tc>
        <w:tc>
          <w:tcPr>
            <w:tcW w:w="3249" w:type="dxa"/>
            <w:tcBorders>
              <w:top w:val="single" w:color="auto" w:sz="4" w:space="0"/>
              <w:left w:val="single" w:color="auto" w:sz="4" w:space="0"/>
              <w:bottom w:val="single" w:color="auto" w:sz="4" w:space="0"/>
              <w:right w:val="single" w:color="auto" w:sz="4" w:space="0"/>
            </w:tcBorders>
            <w:vAlign w:val="center"/>
          </w:tcPr>
          <w:p w14:paraId="7398CB1B">
            <w:pPr>
              <w:widowControl/>
              <w:spacing w:line="360" w:lineRule="auto"/>
              <w:jc w:val="center"/>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售后服务承诺</w:t>
            </w:r>
          </w:p>
        </w:tc>
        <w:tc>
          <w:tcPr>
            <w:tcW w:w="4896" w:type="dxa"/>
            <w:tcBorders>
              <w:top w:val="single" w:color="auto" w:sz="4" w:space="0"/>
              <w:left w:val="single" w:color="auto" w:sz="4" w:space="0"/>
              <w:bottom w:val="single" w:color="auto" w:sz="4" w:space="0"/>
              <w:right w:val="single" w:color="auto" w:sz="4" w:space="0"/>
            </w:tcBorders>
            <w:vAlign w:val="center"/>
          </w:tcPr>
          <w:p w14:paraId="713F5CCB">
            <w:pPr>
              <w:widowControl/>
              <w:spacing w:line="360" w:lineRule="auto"/>
              <w:jc w:val="center"/>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按照投标文件要求</w:t>
            </w:r>
          </w:p>
        </w:tc>
      </w:tr>
      <w:tr w14:paraId="36FD4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18" w:type="dxa"/>
            <w:tcBorders>
              <w:top w:val="single" w:color="auto" w:sz="4" w:space="0"/>
              <w:left w:val="single" w:color="auto" w:sz="4" w:space="0"/>
              <w:bottom w:val="single" w:color="auto" w:sz="4" w:space="0"/>
              <w:right w:val="single" w:color="auto" w:sz="4" w:space="0"/>
            </w:tcBorders>
            <w:vAlign w:val="center"/>
          </w:tcPr>
          <w:p w14:paraId="140A707C">
            <w:pPr>
              <w:widowControl/>
              <w:spacing w:line="360" w:lineRule="auto"/>
              <w:jc w:val="center"/>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6</w:t>
            </w:r>
          </w:p>
        </w:tc>
        <w:tc>
          <w:tcPr>
            <w:tcW w:w="3249" w:type="dxa"/>
            <w:tcBorders>
              <w:top w:val="single" w:color="auto" w:sz="4" w:space="0"/>
              <w:left w:val="single" w:color="auto" w:sz="4" w:space="0"/>
              <w:bottom w:val="single" w:color="auto" w:sz="4" w:space="0"/>
              <w:right w:val="single" w:color="auto" w:sz="4" w:space="0"/>
            </w:tcBorders>
            <w:vAlign w:val="center"/>
          </w:tcPr>
          <w:p w14:paraId="50361852">
            <w:pPr>
              <w:widowControl/>
              <w:spacing w:line="360" w:lineRule="auto"/>
              <w:jc w:val="center"/>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其他工作</w:t>
            </w:r>
          </w:p>
        </w:tc>
        <w:tc>
          <w:tcPr>
            <w:tcW w:w="4896" w:type="dxa"/>
            <w:tcBorders>
              <w:top w:val="single" w:color="auto" w:sz="4" w:space="0"/>
              <w:left w:val="single" w:color="auto" w:sz="4" w:space="0"/>
              <w:bottom w:val="single" w:color="auto" w:sz="4" w:space="0"/>
              <w:right w:val="single" w:color="auto" w:sz="4" w:space="0"/>
            </w:tcBorders>
            <w:vAlign w:val="center"/>
          </w:tcPr>
          <w:p w14:paraId="3AADEC5D">
            <w:pPr>
              <w:widowControl/>
              <w:spacing w:line="360" w:lineRule="auto"/>
              <w:jc w:val="center"/>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按照招标文件及投标文件要求</w:t>
            </w:r>
          </w:p>
        </w:tc>
      </w:tr>
    </w:tbl>
    <w:p w14:paraId="79E81199">
      <w:pPr>
        <w:tabs>
          <w:tab w:val="left" w:pos="904"/>
        </w:tabs>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温馨提示：根据《广西壮族自治区财政厅关于进一步发挥政府采购政策功能促进企业发展的通知》（桂财采〔2022〕30号）规定，采购人应当在项目完成且收到供应商验收申请后5个工作日内组织开展履约验收；对于满足合同约定支付条件的项目，应在收到发票后30日内将资金支付到合同约定的供应商账户，不得以进行审计作为支付供应商款项的条件。加快采购资金支付进度，对于200万元以下的货物和服务项目，鼓励采购人一次性全额支付给供应商。采购人不得以机构变动、人员更替、政策调整、履行内部付款流程等为由延迟付款。）</w:t>
      </w:r>
    </w:p>
    <w:p w14:paraId="738FEB2A">
      <w:pPr>
        <w:tabs>
          <w:tab w:val="left" w:pos="904"/>
        </w:tabs>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3.6.7验收资料要求</w:t>
      </w:r>
    </w:p>
    <w:p w14:paraId="76E20956">
      <w:pPr>
        <w:tabs>
          <w:tab w:val="left" w:pos="904"/>
        </w:tabs>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验收资料要求包括（不限于）以下内容：</w:t>
      </w:r>
    </w:p>
    <w:p w14:paraId="02EC8191">
      <w:pPr>
        <w:tabs>
          <w:tab w:val="left" w:pos="904"/>
        </w:tabs>
        <w:adjustRightInd w:val="0"/>
        <w:snapToGrid w:val="0"/>
        <w:spacing w:line="360" w:lineRule="auto"/>
        <w:ind w:firstLine="240" w:firstLineChars="1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（1）采购文件；</w:t>
      </w:r>
    </w:p>
    <w:p w14:paraId="63B5FA21">
      <w:pPr>
        <w:tabs>
          <w:tab w:val="left" w:pos="904"/>
        </w:tabs>
        <w:adjustRightInd w:val="0"/>
        <w:snapToGrid w:val="0"/>
        <w:spacing w:line="360" w:lineRule="auto"/>
        <w:ind w:firstLine="240" w:firstLineChars="1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（2）投标文件；</w:t>
      </w:r>
    </w:p>
    <w:p w14:paraId="29D07F81">
      <w:pPr>
        <w:tabs>
          <w:tab w:val="left" w:pos="904"/>
        </w:tabs>
        <w:adjustRightInd w:val="0"/>
        <w:snapToGrid w:val="0"/>
        <w:spacing w:line="360" w:lineRule="auto"/>
        <w:ind w:firstLine="240" w:firstLineChars="1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（3）采购合同；</w:t>
      </w:r>
    </w:p>
    <w:p w14:paraId="5CD12DF6">
      <w:pPr>
        <w:tabs>
          <w:tab w:val="left" w:pos="904"/>
        </w:tabs>
        <w:adjustRightInd w:val="0"/>
        <w:snapToGrid w:val="0"/>
        <w:spacing w:line="360" w:lineRule="auto"/>
        <w:ind w:firstLine="240" w:firstLineChars="100"/>
        <w:jc w:val="left"/>
        <w:rPr>
          <w:rFonts w:hint="eastAsia" w:ascii="宋体" w:hAnsi="宋体" w:eastAsia="宋体" w:cs="宋体"/>
          <w:b/>
          <w:color w:val="auto"/>
          <w:sz w:val="36"/>
          <w:szCs w:val="20"/>
          <w:highlight w:val="none"/>
        </w:rPr>
      </w:pPr>
      <w:r>
        <w:rPr>
          <w:rFonts w:hint="eastAsia" w:ascii="宋体" w:hAnsi="宋体" w:eastAsia="宋体" w:cs="宋体"/>
          <w:color w:val="auto"/>
          <w:sz w:val="24"/>
          <w:highlight w:val="none"/>
        </w:rPr>
        <w:t>（4）其他需提供的相关材料。</w:t>
      </w:r>
    </w:p>
    <w:p w14:paraId="661FDAB2">
      <w:pPr>
        <w:rPr>
          <w:rFonts w:hint="eastAsia" w:ascii="宋体" w:hAnsi="宋体" w:eastAsia="宋体" w:cs="宋体"/>
          <w:color w:val="auto"/>
          <w:highlight w:val="none"/>
        </w:rPr>
      </w:pPr>
    </w:p>
    <w:p w14:paraId="408CAF66">
      <w:pPr>
        <w:spacing w:line="360" w:lineRule="auto"/>
        <w:ind w:left="720" w:firstLine="723" w:firstLineChars="200"/>
        <w:outlineLvl w:val="9"/>
        <w:rPr>
          <w:rFonts w:hint="eastAsia" w:ascii="宋体" w:hAnsi="宋体" w:eastAsia="宋体" w:cs="宋体"/>
          <w:b/>
          <w:color w:val="auto"/>
          <w:sz w:val="36"/>
          <w:szCs w:val="20"/>
          <w:highlight w:val="none"/>
        </w:rPr>
      </w:pPr>
    </w:p>
    <w:p w14:paraId="616E5A8B">
      <w:pPr>
        <w:spacing w:line="360" w:lineRule="auto"/>
        <w:ind w:left="720" w:firstLine="723" w:firstLineChars="200"/>
        <w:outlineLvl w:val="9"/>
        <w:rPr>
          <w:rFonts w:hint="eastAsia" w:ascii="宋体" w:hAnsi="宋体" w:eastAsia="宋体" w:cs="宋体"/>
          <w:b/>
          <w:color w:val="auto"/>
          <w:sz w:val="36"/>
          <w:szCs w:val="20"/>
          <w:highlight w:val="none"/>
        </w:rPr>
      </w:pPr>
    </w:p>
    <w:p w14:paraId="5F0E420C">
      <w:pPr>
        <w:spacing w:line="360" w:lineRule="auto"/>
        <w:ind w:left="720" w:firstLine="723" w:firstLineChars="200"/>
        <w:outlineLvl w:val="9"/>
        <w:rPr>
          <w:rFonts w:hint="eastAsia" w:ascii="宋体" w:hAnsi="宋体" w:eastAsia="宋体" w:cs="宋体"/>
          <w:b/>
          <w:color w:val="auto"/>
          <w:sz w:val="36"/>
          <w:szCs w:val="20"/>
          <w:highlight w:val="none"/>
        </w:rPr>
      </w:pPr>
    </w:p>
    <w:p w14:paraId="56ABE709">
      <w:pPr>
        <w:widowControl/>
        <w:spacing w:beforeAutospacing="1" w:line="360" w:lineRule="auto"/>
        <w:jc w:val="left"/>
        <w:rPr>
          <w:rFonts w:hint="eastAsia" w:ascii="宋体" w:hAnsi="宋体" w:eastAsia="宋体" w:cs="宋体"/>
          <w:color w:val="auto"/>
          <w:highlight w:val="none"/>
        </w:rPr>
        <w:sectPr>
          <w:pgSz w:w="11906" w:h="16838"/>
          <w:pgMar w:top="1134" w:right="1134" w:bottom="1134" w:left="1134" w:header="720" w:footer="720" w:gutter="0"/>
          <w:cols w:space="720" w:num="1"/>
          <w:docGrid w:type="lines" w:linePitch="331" w:charSpace="0"/>
        </w:sectPr>
      </w:pPr>
    </w:p>
    <w:p w14:paraId="4548013B">
      <w:pPr>
        <w:pStyle w:val="11"/>
        <w:spacing w:line="360" w:lineRule="auto"/>
        <w:ind w:left="178" w:leftChars="85"/>
        <w:rPr>
          <w:rFonts w:hint="eastAsia" w:ascii="宋体" w:hAnsi="宋体" w:eastAsia="宋体" w:cs="宋体"/>
          <w:color w:val="auto"/>
          <w:highlight w:val="none"/>
        </w:rPr>
      </w:pPr>
    </w:p>
    <w:p w14:paraId="2DE5DB45">
      <w:pPr>
        <w:pStyle w:val="11"/>
        <w:tabs>
          <w:tab w:val="left" w:pos="2472"/>
        </w:tabs>
        <w:spacing w:line="460" w:lineRule="exact"/>
        <w:jc w:val="center"/>
        <w:rPr>
          <w:rFonts w:hint="eastAsia" w:ascii="宋体" w:hAnsi="宋体" w:eastAsia="宋体" w:cs="宋体"/>
          <w:b/>
          <w:color w:val="auto"/>
          <w:sz w:val="36"/>
          <w:highlight w:val="none"/>
        </w:rPr>
      </w:pPr>
    </w:p>
    <w:p w14:paraId="443E0236">
      <w:pPr>
        <w:pStyle w:val="11"/>
        <w:tabs>
          <w:tab w:val="left" w:pos="2472"/>
        </w:tabs>
        <w:spacing w:line="460" w:lineRule="exact"/>
        <w:jc w:val="center"/>
        <w:rPr>
          <w:rFonts w:hint="eastAsia" w:ascii="宋体" w:hAnsi="宋体" w:eastAsia="宋体" w:cs="宋体"/>
          <w:b/>
          <w:color w:val="auto"/>
          <w:sz w:val="36"/>
          <w:highlight w:val="none"/>
        </w:rPr>
      </w:pPr>
    </w:p>
    <w:p w14:paraId="4B35B202">
      <w:pPr>
        <w:pStyle w:val="11"/>
        <w:tabs>
          <w:tab w:val="left" w:pos="2472"/>
        </w:tabs>
        <w:spacing w:line="460" w:lineRule="exact"/>
        <w:jc w:val="center"/>
        <w:rPr>
          <w:rFonts w:hint="eastAsia" w:ascii="宋体" w:hAnsi="宋体" w:eastAsia="宋体" w:cs="宋体"/>
          <w:b/>
          <w:color w:val="auto"/>
          <w:sz w:val="36"/>
          <w:highlight w:val="none"/>
        </w:rPr>
      </w:pPr>
    </w:p>
    <w:p w14:paraId="0B01DF30">
      <w:pPr>
        <w:pStyle w:val="11"/>
        <w:tabs>
          <w:tab w:val="left" w:pos="2472"/>
        </w:tabs>
        <w:spacing w:line="460" w:lineRule="exact"/>
        <w:jc w:val="center"/>
        <w:rPr>
          <w:rFonts w:hint="eastAsia" w:ascii="宋体" w:hAnsi="宋体" w:eastAsia="宋体" w:cs="宋体"/>
          <w:b/>
          <w:color w:val="auto"/>
          <w:sz w:val="36"/>
          <w:highlight w:val="none"/>
        </w:rPr>
      </w:pPr>
    </w:p>
    <w:p w14:paraId="55752111">
      <w:pPr>
        <w:pStyle w:val="11"/>
        <w:tabs>
          <w:tab w:val="left" w:pos="2472"/>
        </w:tabs>
        <w:spacing w:line="460" w:lineRule="exact"/>
        <w:jc w:val="center"/>
        <w:rPr>
          <w:rFonts w:hint="eastAsia" w:ascii="宋体" w:hAnsi="宋体" w:eastAsia="宋体" w:cs="宋体"/>
          <w:b/>
          <w:color w:val="auto"/>
          <w:sz w:val="36"/>
          <w:highlight w:val="none"/>
        </w:rPr>
      </w:pPr>
    </w:p>
    <w:p w14:paraId="4360BB1E">
      <w:pPr>
        <w:pStyle w:val="11"/>
        <w:tabs>
          <w:tab w:val="left" w:pos="2472"/>
        </w:tabs>
        <w:spacing w:line="460" w:lineRule="exact"/>
        <w:jc w:val="center"/>
        <w:rPr>
          <w:rFonts w:hint="eastAsia" w:ascii="宋体" w:hAnsi="宋体" w:eastAsia="宋体" w:cs="宋体"/>
          <w:b/>
          <w:color w:val="auto"/>
          <w:sz w:val="36"/>
          <w:highlight w:val="none"/>
        </w:rPr>
      </w:pPr>
    </w:p>
    <w:p w14:paraId="72703CAD">
      <w:pPr>
        <w:pStyle w:val="11"/>
        <w:tabs>
          <w:tab w:val="left" w:pos="2472"/>
        </w:tabs>
        <w:spacing w:line="460" w:lineRule="exact"/>
        <w:jc w:val="center"/>
        <w:rPr>
          <w:rFonts w:hint="eastAsia" w:ascii="宋体" w:hAnsi="宋体" w:eastAsia="宋体" w:cs="宋体"/>
          <w:b/>
          <w:color w:val="auto"/>
          <w:sz w:val="36"/>
          <w:highlight w:val="none"/>
        </w:rPr>
      </w:pPr>
    </w:p>
    <w:p w14:paraId="7ED775E1">
      <w:pPr>
        <w:pStyle w:val="11"/>
        <w:tabs>
          <w:tab w:val="left" w:pos="2472"/>
        </w:tabs>
        <w:spacing w:line="460" w:lineRule="exact"/>
        <w:jc w:val="center"/>
        <w:rPr>
          <w:rFonts w:hint="eastAsia" w:ascii="宋体" w:hAnsi="宋体" w:eastAsia="宋体" w:cs="宋体"/>
          <w:b/>
          <w:color w:val="auto"/>
          <w:sz w:val="36"/>
          <w:highlight w:val="none"/>
        </w:rPr>
      </w:pPr>
    </w:p>
    <w:p w14:paraId="313AEAD7">
      <w:pPr>
        <w:pStyle w:val="11"/>
        <w:tabs>
          <w:tab w:val="left" w:pos="2472"/>
        </w:tabs>
        <w:spacing w:line="460" w:lineRule="exact"/>
        <w:jc w:val="center"/>
        <w:rPr>
          <w:rFonts w:hint="eastAsia" w:ascii="宋体" w:hAnsi="宋体" w:eastAsia="宋体" w:cs="宋体"/>
          <w:b/>
          <w:color w:val="auto"/>
          <w:sz w:val="36"/>
          <w:highlight w:val="none"/>
        </w:rPr>
      </w:pPr>
    </w:p>
    <w:p w14:paraId="3C73A7E1">
      <w:pPr>
        <w:pStyle w:val="11"/>
        <w:tabs>
          <w:tab w:val="left" w:pos="2472"/>
        </w:tabs>
        <w:spacing w:line="460" w:lineRule="exact"/>
        <w:jc w:val="center"/>
        <w:outlineLvl w:val="0"/>
        <w:rPr>
          <w:rFonts w:hint="eastAsia" w:ascii="宋体" w:hAnsi="宋体" w:eastAsia="宋体" w:cs="宋体"/>
          <w:b/>
          <w:color w:val="auto"/>
          <w:sz w:val="36"/>
          <w:highlight w:val="none"/>
        </w:rPr>
      </w:pPr>
      <w:bookmarkStart w:id="322" w:name="_Toc26884"/>
      <w:bookmarkStart w:id="323" w:name="_Toc27241"/>
      <w:r>
        <w:rPr>
          <w:rFonts w:hint="eastAsia" w:ascii="宋体" w:hAnsi="宋体" w:eastAsia="宋体" w:cs="宋体"/>
          <w:b/>
          <w:color w:val="auto"/>
          <w:sz w:val="36"/>
          <w:highlight w:val="none"/>
        </w:rPr>
        <w:t>第六章 投标文件格式</w:t>
      </w:r>
      <w:bookmarkEnd w:id="322"/>
      <w:bookmarkEnd w:id="323"/>
    </w:p>
    <w:p w14:paraId="54302395">
      <w:pPr>
        <w:widowControl/>
        <w:spacing w:beforeAutospacing="1" w:line="360" w:lineRule="auto"/>
        <w:jc w:val="left"/>
        <w:rPr>
          <w:rFonts w:hint="eastAsia" w:ascii="宋体" w:hAnsi="宋体" w:eastAsia="宋体" w:cs="宋体"/>
          <w:color w:val="auto"/>
          <w:szCs w:val="20"/>
          <w:highlight w:val="none"/>
        </w:rPr>
        <w:sectPr>
          <w:pgSz w:w="11906" w:h="16838"/>
          <w:pgMar w:top="1134" w:right="1134" w:bottom="1134" w:left="1134" w:header="720" w:footer="720" w:gutter="0"/>
          <w:cols w:space="720" w:num="1"/>
          <w:docGrid w:type="lines" w:linePitch="331" w:charSpace="0"/>
        </w:sectPr>
      </w:pPr>
    </w:p>
    <w:p w14:paraId="66308DFA">
      <w:pPr>
        <w:pStyle w:val="11"/>
        <w:ind w:firstLine="551" w:firstLineChars="196"/>
        <w:jc w:val="center"/>
        <w:outlineLvl w:val="1"/>
        <w:rPr>
          <w:rFonts w:hint="eastAsia" w:ascii="宋体" w:hAnsi="宋体" w:eastAsia="宋体" w:cs="宋体"/>
          <w:b/>
          <w:bCs/>
          <w:color w:val="auto"/>
          <w:sz w:val="28"/>
          <w:szCs w:val="28"/>
          <w:highlight w:val="none"/>
        </w:rPr>
      </w:pPr>
      <w:bookmarkStart w:id="324" w:name="_Toc17250"/>
      <w:bookmarkStart w:id="325" w:name="_Toc31546"/>
      <w:r>
        <w:rPr>
          <w:rFonts w:hint="eastAsia" w:ascii="宋体" w:hAnsi="宋体" w:eastAsia="宋体" w:cs="宋体"/>
          <w:b/>
          <w:bCs/>
          <w:color w:val="auto"/>
          <w:sz w:val="28"/>
          <w:szCs w:val="28"/>
          <w:highlight w:val="none"/>
        </w:rPr>
        <w:t>第一节 投标文件外层包装封面</w:t>
      </w:r>
      <w:bookmarkEnd w:id="324"/>
      <w:bookmarkEnd w:id="325"/>
    </w:p>
    <w:p w14:paraId="30B3408E">
      <w:pPr>
        <w:spacing w:before="120" w:beforeLines="50" w:after="120" w:afterLines="50"/>
        <w:jc w:val="center"/>
        <w:rPr>
          <w:rFonts w:hint="eastAsia" w:ascii="宋体" w:hAnsi="宋体" w:eastAsia="宋体" w:cs="宋体"/>
          <w:color w:val="auto"/>
          <w:spacing w:val="20"/>
          <w:sz w:val="44"/>
          <w:szCs w:val="44"/>
          <w:highlight w:val="none"/>
        </w:rPr>
      </w:pPr>
    </w:p>
    <w:p w14:paraId="6045AB12">
      <w:pPr>
        <w:spacing w:before="120" w:beforeLines="50" w:after="120" w:afterLines="50"/>
        <w:jc w:val="center"/>
        <w:rPr>
          <w:rFonts w:hint="eastAsia" w:ascii="宋体" w:hAnsi="宋体" w:eastAsia="宋体" w:cs="宋体"/>
          <w:color w:val="auto"/>
          <w:spacing w:val="20"/>
          <w:sz w:val="44"/>
          <w:szCs w:val="44"/>
          <w:highlight w:val="none"/>
        </w:rPr>
      </w:pPr>
    </w:p>
    <w:p w14:paraId="179C1CE0">
      <w:pPr>
        <w:spacing w:before="120" w:beforeLines="50" w:after="120" w:afterLines="50"/>
        <w:jc w:val="center"/>
        <w:rPr>
          <w:rFonts w:hint="eastAsia" w:ascii="宋体" w:hAnsi="宋体" w:eastAsia="宋体" w:cs="宋体"/>
          <w:color w:val="auto"/>
          <w:spacing w:val="20"/>
          <w:sz w:val="44"/>
          <w:szCs w:val="44"/>
          <w:highlight w:val="none"/>
        </w:rPr>
      </w:pPr>
    </w:p>
    <w:p w14:paraId="7648754C">
      <w:pPr>
        <w:spacing w:before="120" w:beforeLines="50" w:after="120" w:afterLines="50"/>
        <w:jc w:val="center"/>
        <w:rPr>
          <w:rFonts w:hint="eastAsia" w:ascii="宋体" w:hAnsi="宋体" w:eastAsia="宋体" w:cs="宋体"/>
          <w:color w:val="auto"/>
          <w:spacing w:val="20"/>
          <w:sz w:val="44"/>
          <w:szCs w:val="44"/>
          <w:highlight w:val="none"/>
        </w:rPr>
      </w:pPr>
    </w:p>
    <w:p w14:paraId="7EB6597C">
      <w:pPr>
        <w:spacing w:before="120" w:beforeLines="50" w:after="120" w:afterLines="50"/>
        <w:jc w:val="center"/>
        <w:rPr>
          <w:rFonts w:hint="eastAsia" w:ascii="宋体" w:hAnsi="宋体" w:eastAsia="宋体" w:cs="宋体"/>
          <w:color w:val="auto"/>
          <w:spacing w:val="20"/>
          <w:sz w:val="44"/>
          <w:szCs w:val="44"/>
          <w:highlight w:val="none"/>
        </w:rPr>
      </w:pPr>
      <w:bookmarkStart w:id="326" w:name="PO_3000001866_PM002_12"/>
      <w:r>
        <w:rPr>
          <w:rFonts w:hint="eastAsia" w:ascii="宋体" w:hAnsi="宋体" w:eastAsia="宋体" w:cs="宋体"/>
          <w:color w:val="auto"/>
          <w:spacing w:val="20"/>
          <w:sz w:val="44"/>
          <w:szCs w:val="44"/>
          <w:highlight w:val="none"/>
        </w:rPr>
        <w:t>[项目名称]</w:t>
      </w:r>
      <w:bookmarkEnd w:id="326"/>
    </w:p>
    <w:p w14:paraId="197096D4">
      <w:pPr>
        <w:spacing w:before="120" w:beforeLines="50" w:after="120" w:afterLines="50"/>
        <w:jc w:val="center"/>
        <w:rPr>
          <w:rFonts w:hint="eastAsia" w:ascii="宋体" w:hAnsi="宋体" w:eastAsia="宋体" w:cs="宋体"/>
          <w:color w:val="auto"/>
          <w:spacing w:val="40"/>
          <w:w w:val="110"/>
          <w:sz w:val="44"/>
          <w:szCs w:val="44"/>
          <w:highlight w:val="none"/>
        </w:rPr>
      </w:pPr>
      <w:r>
        <w:rPr>
          <w:rFonts w:hint="eastAsia" w:ascii="宋体" w:hAnsi="宋体" w:eastAsia="宋体" w:cs="宋体"/>
          <w:color w:val="auto"/>
          <w:spacing w:val="40"/>
          <w:w w:val="110"/>
          <w:sz w:val="44"/>
          <w:szCs w:val="44"/>
          <w:highlight w:val="none"/>
        </w:rPr>
        <w:t>投标文件</w:t>
      </w:r>
    </w:p>
    <w:p w14:paraId="119B36A6">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（电子投标文件）</w:t>
      </w:r>
    </w:p>
    <w:tbl>
      <w:tblPr>
        <w:tblStyle w:val="18"/>
        <w:tblW w:w="7773" w:type="dxa"/>
        <w:jc w:val="center"/>
        <w:tblLayout w:type="fixed"/>
        <w:tblCellMar>
          <w:top w:w="0" w:type="dxa"/>
          <w:left w:w="108" w:type="dxa"/>
          <w:bottom w:w="0" w:type="dxa"/>
          <w:right w:w="108" w:type="dxa"/>
        </w:tblCellMar>
      </w:tblPr>
      <w:tblGrid>
        <w:gridCol w:w="1601"/>
        <w:gridCol w:w="6172"/>
      </w:tblGrid>
      <w:tr w14:paraId="5C203878">
        <w:tblPrEx>
          <w:tblCellMar>
            <w:top w:w="0" w:type="dxa"/>
            <w:left w:w="108" w:type="dxa"/>
            <w:bottom w:w="0" w:type="dxa"/>
            <w:right w:w="108" w:type="dxa"/>
          </w:tblCellMar>
        </w:tblPrEx>
        <w:trPr>
          <w:jc w:val="center"/>
        </w:trPr>
        <w:tc>
          <w:tcPr>
            <w:tcW w:w="1601" w:type="dxa"/>
            <w:vAlign w:val="bottom"/>
          </w:tcPr>
          <w:p w14:paraId="38B34756">
            <w:pPr>
              <w:jc w:val="distribute"/>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p>
        </w:tc>
        <w:tc>
          <w:tcPr>
            <w:tcW w:w="6172" w:type="dxa"/>
            <w:tcBorders>
              <w:top w:val="nil"/>
              <w:left w:val="nil"/>
              <w:bottom w:val="single" w:color="000000" w:sz="4" w:space="0"/>
              <w:right w:val="nil"/>
            </w:tcBorders>
            <w:vAlign w:val="bottom"/>
          </w:tcPr>
          <w:p w14:paraId="4CE8DF83">
            <w:pPr>
              <w:jc w:val="left"/>
              <w:rPr>
                <w:rFonts w:hint="eastAsia" w:ascii="宋体" w:hAnsi="宋体" w:eastAsia="宋体" w:cs="宋体"/>
                <w:color w:val="auto"/>
                <w:sz w:val="24"/>
                <w:highlight w:val="none"/>
              </w:rPr>
            </w:pPr>
          </w:p>
        </w:tc>
      </w:tr>
      <w:tr w14:paraId="7EF29117">
        <w:tblPrEx>
          <w:tblCellMar>
            <w:top w:w="0" w:type="dxa"/>
            <w:left w:w="108" w:type="dxa"/>
            <w:bottom w:w="0" w:type="dxa"/>
            <w:right w:w="108" w:type="dxa"/>
          </w:tblCellMar>
        </w:tblPrEx>
        <w:trPr>
          <w:jc w:val="center"/>
        </w:trPr>
        <w:tc>
          <w:tcPr>
            <w:tcW w:w="1601" w:type="dxa"/>
            <w:vAlign w:val="bottom"/>
          </w:tcPr>
          <w:p w14:paraId="604DE141">
            <w:pPr>
              <w:jc w:val="distribute"/>
              <w:rPr>
                <w:rFonts w:hint="eastAsia" w:ascii="宋体" w:hAnsi="宋体" w:eastAsia="宋体" w:cs="宋体"/>
                <w:color w:val="auto"/>
                <w:sz w:val="24"/>
                <w:highlight w:val="none"/>
              </w:rPr>
            </w:pPr>
            <w:r>
              <w:rPr>
                <w:rFonts w:hint="eastAsia" w:ascii="宋体" w:hAnsi="宋体" w:eastAsia="宋体" w:cs="宋体"/>
                <w:color w:val="auto"/>
                <w:sz w:val="24"/>
                <w:highlight w:val="none"/>
              </w:rPr>
              <w:t>采购方式：</w:t>
            </w:r>
          </w:p>
        </w:tc>
        <w:tc>
          <w:tcPr>
            <w:tcW w:w="6172" w:type="dxa"/>
            <w:tcBorders>
              <w:top w:val="single" w:color="000000" w:sz="4" w:space="0"/>
              <w:left w:val="nil"/>
              <w:bottom w:val="single" w:color="000000" w:sz="4" w:space="0"/>
              <w:right w:val="nil"/>
            </w:tcBorders>
            <w:vAlign w:val="bottom"/>
          </w:tcPr>
          <w:p w14:paraId="74F1E6CF">
            <w:pPr>
              <w:jc w:val="left"/>
              <w:rPr>
                <w:rFonts w:hint="eastAsia" w:ascii="宋体" w:hAnsi="宋体" w:eastAsia="宋体" w:cs="宋体"/>
                <w:color w:val="auto"/>
                <w:sz w:val="24"/>
                <w:highlight w:val="none"/>
              </w:rPr>
            </w:pPr>
          </w:p>
        </w:tc>
      </w:tr>
      <w:tr w14:paraId="3046E6E5">
        <w:tblPrEx>
          <w:tblCellMar>
            <w:top w:w="0" w:type="dxa"/>
            <w:left w:w="108" w:type="dxa"/>
            <w:bottom w:w="0" w:type="dxa"/>
            <w:right w:w="108" w:type="dxa"/>
          </w:tblCellMar>
        </w:tblPrEx>
        <w:trPr>
          <w:jc w:val="center"/>
        </w:trPr>
        <w:tc>
          <w:tcPr>
            <w:tcW w:w="1601" w:type="dxa"/>
            <w:vAlign w:val="bottom"/>
          </w:tcPr>
          <w:p w14:paraId="3CFA2587">
            <w:pPr>
              <w:jc w:val="distribute"/>
              <w:rPr>
                <w:rFonts w:hint="eastAsia" w:ascii="宋体" w:hAnsi="宋体" w:eastAsia="宋体" w:cs="宋体"/>
                <w:color w:val="auto"/>
                <w:sz w:val="24"/>
                <w:highlight w:val="none"/>
              </w:rPr>
            </w:pPr>
            <w:r>
              <w:rPr>
                <w:rFonts w:hint="eastAsia" w:ascii="宋体" w:hAnsi="宋体" w:eastAsia="宋体" w:cs="宋体"/>
                <w:color w:val="auto"/>
                <w:sz w:val="24"/>
                <w:highlight w:val="none"/>
              </w:rPr>
              <w:t>项目编号：</w:t>
            </w:r>
          </w:p>
        </w:tc>
        <w:tc>
          <w:tcPr>
            <w:tcW w:w="6172" w:type="dxa"/>
            <w:tcBorders>
              <w:top w:val="single" w:color="000000" w:sz="4" w:space="0"/>
              <w:left w:val="nil"/>
              <w:bottom w:val="single" w:color="000000" w:sz="4" w:space="0"/>
              <w:right w:val="nil"/>
            </w:tcBorders>
            <w:vAlign w:val="bottom"/>
          </w:tcPr>
          <w:p w14:paraId="1BCF838F">
            <w:pPr>
              <w:jc w:val="left"/>
              <w:rPr>
                <w:rFonts w:hint="eastAsia" w:ascii="宋体" w:hAnsi="宋体" w:eastAsia="宋体" w:cs="宋体"/>
                <w:color w:val="auto"/>
                <w:sz w:val="24"/>
                <w:highlight w:val="none"/>
              </w:rPr>
            </w:pPr>
          </w:p>
        </w:tc>
      </w:tr>
      <w:tr w14:paraId="093E11CA">
        <w:tblPrEx>
          <w:tblCellMar>
            <w:top w:w="0" w:type="dxa"/>
            <w:left w:w="108" w:type="dxa"/>
            <w:bottom w:w="0" w:type="dxa"/>
            <w:right w:w="108" w:type="dxa"/>
          </w:tblCellMar>
        </w:tblPrEx>
        <w:trPr>
          <w:jc w:val="center"/>
        </w:trPr>
        <w:tc>
          <w:tcPr>
            <w:tcW w:w="1601" w:type="dxa"/>
            <w:vAlign w:val="bottom"/>
          </w:tcPr>
          <w:p w14:paraId="186F91C7">
            <w:pPr>
              <w:jc w:val="distribute"/>
              <w:rPr>
                <w:rFonts w:hint="eastAsia" w:ascii="宋体" w:hAnsi="宋体" w:eastAsia="宋体" w:cs="宋体"/>
                <w:color w:val="auto"/>
                <w:sz w:val="24"/>
                <w:highlight w:val="none"/>
              </w:rPr>
            </w:pPr>
            <w:r>
              <w:rPr>
                <w:rFonts w:hint="eastAsia" w:ascii="宋体" w:hAnsi="宋体" w:eastAsia="宋体" w:cs="宋体"/>
                <w:color w:val="auto"/>
                <w:sz w:val="24"/>
                <w:highlight w:val="none"/>
              </w:rPr>
              <w:t>所投分标：</w:t>
            </w:r>
          </w:p>
        </w:tc>
        <w:tc>
          <w:tcPr>
            <w:tcW w:w="6172" w:type="dxa"/>
            <w:tcBorders>
              <w:top w:val="single" w:color="000000" w:sz="4" w:space="0"/>
              <w:left w:val="nil"/>
              <w:bottom w:val="single" w:color="000000" w:sz="4" w:space="0"/>
              <w:right w:val="nil"/>
            </w:tcBorders>
            <w:vAlign w:val="bottom"/>
          </w:tcPr>
          <w:p w14:paraId="089312BB">
            <w:pPr>
              <w:jc w:val="left"/>
              <w:rPr>
                <w:rFonts w:hint="eastAsia" w:ascii="宋体" w:hAnsi="宋体" w:eastAsia="宋体" w:cs="宋体"/>
                <w:color w:val="auto"/>
                <w:sz w:val="24"/>
                <w:highlight w:val="none"/>
              </w:rPr>
            </w:pPr>
          </w:p>
        </w:tc>
      </w:tr>
      <w:tr w14:paraId="06B6E0AA">
        <w:tblPrEx>
          <w:tblCellMar>
            <w:top w:w="0" w:type="dxa"/>
            <w:left w:w="108" w:type="dxa"/>
            <w:bottom w:w="0" w:type="dxa"/>
            <w:right w:w="108" w:type="dxa"/>
          </w:tblCellMar>
        </w:tblPrEx>
        <w:trPr>
          <w:jc w:val="center"/>
        </w:trPr>
        <w:tc>
          <w:tcPr>
            <w:tcW w:w="1601" w:type="dxa"/>
            <w:vAlign w:val="bottom"/>
          </w:tcPr>
          <w:p w14:paraId="1313707E">
            <w:pPr>
              <w:jc w:val="distribute"/>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投标人名称：</w:t>
            </w:r>
          </w:p>
        </w:tc>
        <w:tc>
          <w:tcPr>
            <w:tcW w:w="6172" w:type="dxa"/>
            <w:tcBorders>
              <w:top w:val="single" w:color="000000" w:sz="4" w:space="0"/>
              <w:left w:val="nil"/>
              <w:bottom w:val="single" w:color="000000" w:sz="4" w:space="0"/>
              <w:right w:val="nil"/>
            </w:tcBorders>
            <w:vAlign w:val="bottom"/>
          </w:tcPr>
          <w:p w14:paraId="43E0FE4D">
            <w:pPr>
              <w:jc w:val="left"/>
              <w:rPr>
                <w:rFonts w:hint="eastAsia" w:ascii="宋体" w:hAnsi="宋体" w:eastAsia="宋体" w:cs="宋体"/>
                <w:color w:val="auto"/>
                <w:sz w:val="24"/>
                <w:highlight w:val="none"/>
              </w:rPr>
            </w:pPr>
          </w:p>
        </w:tc>
      </w:tr>
      <w:tr w14:paraId="2789073D">
        <w:tblPrEx>
          <w:tblCellMar>
            <w:top w:w="0" w:type="dxa"/>
            <w:left w:w="108" w:type="dxa"/>
            <w:bottom w:w="0" w:type="dxa"/>
            <w:right w:w="108" w:type="dxa"/>
          </w:tblCellMar>
        </w:tblPrEx>
        <w:trPr>
          <w:jc w:val="center"/>
        </w:trPr>
        <w:tc>
          <w:tcPr>
            <w:tcW w:w="1601" w:type="dxa"/>
            <w:vAlign w:val="bottom"/>
          </w:tcPr>
          <w:p w14:paraId="017DBD9B">
            <w:pPr>
              <w:jc w:val="distribute"/>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投标人地址：</w:t>
            </w:r>
          </w:p>
        </w:tc>
        <w:tc>
          <w:tcPr>
            <w:tcW w:w="6172" w:type="dxa"/>
            <w:tcBorders>
              <w:top w:val="single" w:color="000000" w:sz="4" w:space="0"/>
              <w:left w:val="nil"/>
              <w:bottom w:val="single" w:color="000000" w:sz="4" w:space="0"/>
              <w:right w:val="nil"/>
            </w:tcBorders>
            <w:vAlign w:val="bottom"/>
          </w:tcPr>
          <w:p w14:paraId="49566D2B">
            <w:pPr>
              <w:jc w:val="left"/>
              <w:rPr>
                <w:rFonts w:hint="eastAsia" w:ascii="宋体" w:hAnsi="宋体" w:eastAsia="宋体" w:cs="宋体"/>
                <w:color w:val="auto"/>
                <w:sz w:val="24"/>
                <w:highlight w:val="none"/>
              </w:rPr>
            </w:pPr>
          </w:p>
        </w:tc>
      </w:tr>
    </w:tbl>
    <w:p w14:paraId="61150B5D">
      <w:pPr>
        <w:ind w:firstLine="4200" w:firstLineChars="1750"/>
        <w:rPr>
          <w:rFonts w:hint="eastAsia" w:ascii="宋体" w:hAnsi="宋体" w:eastAsia="宋体" w:cs="宋体"/>
          <w:color w:val="auto"/>
          <w:sz w:val="24"/>
          <w:highlight w:val="none"/>
        </w:rPr>
      </w:pPr>
    </w:p>
    <w:p w14:paraId="510ACA82">
      <w:pPr>
        <w:ind w:firstLine="4200" w:firstLineChars="1750"/>
        <w:rPr>
          <w:rFonts w:hint="eastAsia" w:ascii="宋体" w:hAnsi="宋体" w:eastAsia="宋体" w:cs="宋体"/>
          <w:color w:val="auto"/>
          <w:sz w:val="24"/>
          <w:highlight w:val="none"/>
        </w:rPr>
      </w:pPr>
    </w:p>
    <w:p w14:paraId="7C27844F">
      <w:pPr>
        <w:ind w:firstLine="4200" w:firstLineChars="1750"/>
        <w:rPr>
          <w:rFonts w:hint="eastAsia" w:ascii="宋体" w:hAnsi="宋体" w:eastAsia="宋体" w:cs="宋体"/>
          <w:color w:val="auto"/>
          <w:sz w:val="24"/>
          <w:highlight w:val="none"/>
        </w:rPr>
      </w:pPr>
    </w:p>
    <w:p w14:paraId="5AE7E9AC">
      <w:pPr>
        <w:ind w:firstLine="5880" w:firstLineChars="245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投标截止时间前不得解密</w:t>
      </w:r>
    </w:p>
    <w:p w14:paraId="3060FEE5">
      <w:pPr>
        <w:ind w:firstLine="6480" w:firstLineChars="2700"/>
        <w:rPr>
          <w:rFonts w:hint="eastAsia" w:ascii="宋体" w:hAnsi="宋体" w:eastAsia="宋体" w:cs="宋体"/>
          <w:color w:val="auto"/>
          <w:sz w:val="24"/>
          <w:highlight w:val="none"/>
        </w:rPr>
      </w:pPr>
      <w:r>
        <w:rPr>
          <w:rFonts w:hint="eastAsia" w:ascii="宋体" w:hAnsi="宋体" w:eastAsia="宋体" w:cs="宋体"/>
          <w:color w:val="auto"/>
          <w:sz w:val="24"/>
          <w:highlight w:val="none"/>
        </w:rPr>
        <w:t>年   月   日</w:t>
      </w:r>
    </w:p>
    <w:p w14:paraId="43F17611">
      <w:pPr>
        <w:widowControl/>
        <w:jc w:val="left"/>
        <w:rPr>
          <w:rFonts w:hint="eastAsia" w:ascii="宋体" w:hAnsi="宋体" w:eastAsia="宋体" w:cs="宋体"/>
          <w:color w:val="auto"/>
          <w:sz w:val="24"/>
          <w:highlight w:val="none"/>
        </w:rPr>
        <w:sectPr>
          <w:pgSz w:w="11907" w:h="16840"/>
          <w:pgMar w:top="1531" w:right="1418" w:bottom="1361" w:left="1418" w:header="720" w:footer="720" w:gutter="0"/>
          <w:cols w:space="720" w:num="1"/>
        </w:sectPr>
      </w:pPr>
    </w:p>
    <w:p w14:paraId="0A45AC80">
      <w:pPr>
        <w:pStyle w:val="11"/>
        <w:jc w:val="center"/>
        <w:outlineLvl w:val="1"/>
        <w:rPr>
          <w:rFonts w:hint="eastAsia" w:ascii="宋体" w:hAnsi="宋体" w:eastAsia="宋体" w:cs="宋体"/>
          <w:b/>
          <w:bCs/>
          <w:color w:val="auto"/>
          <w:sz w:val="28"/>
          <w:szCs w:val="28"/>
          <w:highlight w:val="none"/>
        </w:rPr>
      </w:pPr>
      <w:bookmarkStart w:id="327" w:name="_Toc20555"/>
      <w:bookmarkStart w:id="328" w:name="_Toc24486"/>
      <w:r>
        <w:rPr>
          <w:rFonts w:hint="eastAsia" w:ascii="宋体" w:hAnsi="宋体" w:eastAsia="宋体" w:cs="宋体"/>
          <w:b/>
          <w:bCs/>
          <w:color w:val="auto"/>
          <w:sz w:val="28"/>
          <w:szCs w:val="28"/>
          <w:highlight w:val="none"/>
        </w:rPr>
        <w:t>第二节 资格证明文件格式</w:t>
      </w:r>
      <w:bookmarkEnd w:id="327"/>
      <w:bookmarkEnd w:id="328"/>
    </w:p>
    <w:p w14:paraId="0324CCE5">
      <w:pPr>
        <w:pStyle w:val="11"/>
        <w:spacing w:line="360" w:lineRule="auto"/>
        <w:ind w:firstLine="420"/>
        <w:rPr>
          <w:rFonts w:hint="eastAsia" w:ascii="宋体" w:hAnsi="宋体" w:eastAsia="宋体" w:cs="宋体"/>
          <w:color w:val="auto"/>
          <w:sz w:val="30"/>
          <w:highlight w:val="none"/>
        </w:rPr>
      </w:pPr>
    </w:p>
    <w:p w14:paraId="2933706F">
      <w:pPr>
        <w:snapToGrid w:val="0"/>
        <w:spacing w:before="165" w:beforeLines="50" w:after="50"/>
        <w:rPr>
          <w:rFonts w:hint="eastAsia" w:ascii="宋体" w:hAnsi="宋体" w:eastAsia="宋体" w:cs="宋体"/>
          <w:bCs/>
          <w:color w:val="auto"/>
          <w:sz w:val="32"/>
          <w:szCs w:val="20"/>
          <w:highlight w:val="none"/>
        </w:rPr>
      </w:pPr>
      <w:r>
        <w:rPr>
          <w:rFonts w:hint="eastAsia" w:ascii="宋体" w:hAnsi="宋体" w:eastAsia="宋体" w:cs="宋体"/>
          <w:color w:val="auto"/>
          <w:sz w:val="24"/>
          <w:highlight w:val="none"/>
        </w:rPr>
        <w:t xml:space="preserve">                                                         </w:t>
      </w:r>
      <w:r>
        <w:rPr>
          <w:rFonts w:hint="eastAsia" w:ascii="宋体" w:hAnsi="宋体" w:eastAsia="宋体" w:cs="宋体"/>
          <w:bCs/>
          <w:color w:val="auto"/>
          <w:highlight w:val="none"/>
        </w:rPr>
        <w:t>电子投标文件</w:t>
      </w:r>
    </w:p>
    <w:p w14:paraId="232F1EB9">
      <w:pPr>
        <w:snapToGrid w:val="0"/>
        <w:spacing w:before="165" w:beforeLines="50" w:after="50"/>
        <w:rPr>
          <w:rFonts w:hint="eastAsia" w:ascii="宋体" w:hAnsi="宋体" w:eastAsia="宋体" w:cs="宋体"/>
          <w:color w:val="auto"/>
          <w:sz w:val="24"/>
          <w:szCs w:val="20"/>
          <w:highlight w:val="none"/>
        </w:rPr>
      </w:pPr>
    </w:p>
    <w:p w14:paraId="5B1B6993">
      <w:pPr>
        <w:snapToGrid w:val="0"/>
        <w:spacing w:before="165" w:beforeLines="50" w:after="50"/>
        <w:jc w:val="center"/>
        <w:rPr>
          <w:rFonts w:hint="eastAsia" w:ascii="宋体" w:hAnsi="宋体" w:eastAsia="宋体" w:cs="宋体"/>
          <w:b/>
          <w:color w:val="auto"/>
          <w:sz w:val="24"/>
          <w:szCs w:val="20"/>
          <w:highlight w:val="none"/>
        </w:rPr>
      </w:pPr>
      <w:r>
        <w:rPr>
          <w:rFonts w:hint="eastAsia" w:ascii="宋体" w:hAnsi="宋体" w:eastAsia="宋体" w:cs="宋体"/>
          <w:b/>
          <w:color w:val="auto"/>
          <w:sz w:val="32"/>
          <w:szCs w:val="32"/>
          <w:highlight w:val="none"/>
        </w:rPr>
        <w:t>资格证明文件（封面）</w:t>
      </w:r>
    </w:p>
    <w:p w14:paraId="7ED0D699">
      <w:pPr>
        <w:snapToGrid w:val="0"/>
        <w:spacing w:before="165" w:beforeLines="50" w:after="50"/>
        <w:rPr>
          <w:rFonts w:hint="eastAsia" w:ascii="宋体" w:hAnsi="宋体" w:eastAsia="宋体" w:cs="宋体"/>
          <w:bCs/>
          <w:color w:val="auto"/>
          <w:sz w:val="24"/>
          <w:szCs w:val="20"/>
          <w:highlight w:val="none"/>
        </w:rPr>
      </w:pPr>
    </w:p>
    <w:p w14:paraId="4C47DEF0">
      <w:pPr>
        <w:snapToGrid w:val="0"/>
        <w:spacing w:before="165" w:beforeLines="50" w:after="50"/>
        <w:rPr>
          <w:rFonts w:hint="eastAsia" w:ascii="宋体" w:hAnsi="宋体" w:eastAsia="宋体" w:cs="宋体"/>
          <w:bCs/>
          <w:color w:val="auto"/>
          <w:sz w:val="24"/>
          <w:szCs w:val="20"/>
          <w:highlight w:val="none"/>
        </w:rPr>
      </w:pPr>
    </w:p>
    <w:p w14:paraId="16803419">
      <w:pPr>
        <w:snapToGrid w:val="0"/>
        <w:spacing w:before="165" w:beforeLines="50" w:after="50"/>
        <w:rPr>
          <w:rFonts w:hint="eastAsia" w:ascii="宋体" w:hAnsi="宋体" w:eastAsia="宋体" w:cs="宋体"/>
          <w:bCs/>
          <w:color w:val="auto"/>
          <w:sz w:val="24"/>
          <w:szCs w:val="20"/>
          <w:highlight w:val="none"/>
        </w:rPr>
      </w:pPr>
    </w:p>
    <w:p w14:paraId="05F0492D">
      <w:pPr>
        <w:snapToGrid w:val="0"/>
        <w:spacing w:before="165" w:beforeLines="50" w:after="50"/>
        <w:rPr>
          <w:rFonts w:hint="eastAsia" w:ascii="宋体" w:hAnsi="宋体" w:eastAsia="宋体" w:cs="宋体"/>
          <w:bCs/>
          <w:color w:val="auto"/>
          <w:sz w:val="24"/>
          <w:szCs w:val="20"/>
          <w:highlight w:val="none"/>
        </w:rPr>
      </w:pPr>
    </w:p>
    <w:p w14:paraId="134EDECD">
      <w:pPr>
        <w:snapToGrid w:val="0"/>
        <w:spacing w:before="165" w:beforeLines="50" w:after="50"/>
        <w:rPr>
          <w:rFonts w:hint="eastAsia" w:ascii="宋体" w:hAnsi="宋体" w:eastAsia="宋体" w:cs="宋体"/>
          <w:bCs/>
          <w:color w:val="auto"/>
          <w:sz w:val="24"/>
          <w:szCs w:val="20"/>
          <w:highlight w:val="none"/>
        </w:rPr>
      </w:pPr>
    </w:p>
    <w:p w14:paraId="64B8740C">
      <w:pPr>
        <w:snapToGrid w:val="0"/>
        <w:spacing w:before="165" w:beforeLines="50" w:after="50"/>
        <w:rPr>
          <w:rFonts w:hint="eastAsia" w:ascii="宋体" w:hAnsi="宋体" w:eastAsia="宋体" w:cs="宋体"/>
          <w:bCs/>
          <w:color w:val="auto"/>
          <w:sz w:val="24"/>
          <w:szCs w:val="20"/>
          <w:highlight w:val="none"/>
        </w:rPr>
      </w:pPr>
    </w:p>
    <w:p w14:paraId="0CE4BD1E">
      <w:pPr>
        <w:snapToGrid w:val="0"/>
        <w:spacing w:before="165" w:beforeLines="50" w:after="50"/>
        <w:rPr>
          <w:rFonts w:hint="eastAsia" w:ascii="宋体" w:hAnsi="宋体" w:eastAsia="宋体" w:cs="宋体"/>
          <w:bCs/>
          <w:color w:val="auto"/>
          <w:sz w:val="24"/>
          <w:szCs w:val="20"/>
          <w:highlight w:val="none"/>
        </w:rPr>
      </w:pPr>
    </w:p>
    <w:p w14:paraId="76C5CF7A">
      <w:pPr>
        <w:snapToGrid w:val="0"/>
        <w:spacing w:before="165" w:beforeLines="50" w:after="50"/>
        <w:ind w:firstLine="540" w:firstLineChars="225"/>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项目名称：</w:t>
      </w:r>
    </w:p>
    <w:p w14:paraId="45FC5D66">
      <w:pPr>
        <w:snapToGrid w:val="0"/>
        <w:spacing w:before="165" w:beforeLines="50" w:after="50"/>
        <w:ind w:firstLine="540" w:firstLineChars="225"/>
        <w:rPr>
          <w:rFonts w:hint="eastAsia" w:ascii="宋体" w:hAnsi="宋体" w:eastAsia="宋体" w:cs="宋体"/>
          <w:bCs/>
          <w:color w:val="auto"/>
          <w:sz w:val="24"/>
          <w:szCs w:val="20"/>
          <w:highlight w:val="none"/>
        </w:rPr>
      </w:pPr>
    </w:p>
    <w:p w14:paraId="0906CAC5">
      <w:pPr>
        <w:snapToGrid w:val="0"/>
        <w:spacing w:before="165" w:beforeLines="50" w:after="50"/>
        <w:ind w:firstLine="540" w:firstLineChars="225"/>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项目编号：</w:t>
      </w:r>
    </w:p>
    <w:p w14:paraId="65C97A03">
      <w:pPr>
        <w:snapToGrid w:val="0"/>
        <w:spacing w:before="165" w:beforeLines="50" w:after="50"/>
        <w:ind w:firstLine="540" w:firstLineChars="225"/>
        <w:rPr>
          <w:rFonts w:hint="eastAsia" w:ascii="宋体" w:hAnsi="宋体" w:eastAsia="宋体" w:cs="宋体"/>
          <w:bCs/>
          <w:color w:val="auto"/>
          <w:sz w:val="24"/>
          <w:szCs w:val="20"/>
          <w:highlight w:val="none"/>
        </w:rPr>
      </w:pPr>
      <w:r>
        <w:rPr>
          <w:rFonts w:hint="eastAsia" w:ascii="宋体" w:hAnsi="宋体" w:eastAsia="宋体" w:cs="宋体"/>
          <w:bCs/>
          <w:color w:val="auto"/>
          <w:sz w:val="24"/>
          <w:highlight w:val="none"/>
        </w:rPr>
        <w:t xml:space="preserve"> </w:t>
      </w:r>
    </w:p>
    <w:p w14:paraId="3499643D">
      <w:pPr>
        <w:snapToGrid w:val="0"/>
        <w:spacing w:before="165" w:beforeLines="50" w:after="50"/>
        <w:ind w:firstLine="540" w:firstLineChars="225"/>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所投分标：</w:t>
      </w:r>
    </w:p>
    <w:p w14:paraId="607C8BEC">
      <w:pPr>
        <w:pStyle w:val="8"/>
        <w:snapToGrid w:val="0"/>
        <w:spacing w:before="50" w:after="50"/>
        <w:ind w:firstLine="540" w:firstLineChars="225"/>
        <w:rPr>
          <w:rFonts w:hint="eastAsia" w:ascii="宋体" w:hAnsi="宋体" w:eastAsia="宋体" w:cs="宋体"/>
          <w:bCs/>
          <w:color w:val="auto"/>
          <w:sz w:val="24"/>
          <w:szCs w:val="24"/>
          <w:highlight w:val="none"/>
        </w:rPr>
      </w:pPr>
    </w:p>
    <w:p w14:paraId="0CCDD7B0">
      <w:pPr>
        <w:pStyle w:val="8"/>
        <w:snapToGrid w:val="0"/>
        <w:spacing w:before="50" w:after="50"/>
        <w:ind w:firstLine="540" w:firstLineChars="225"/>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投标人名称：</w:t>
      </w:r>
    </w:p>
    <w:p w14:paraId="6BB631DE">
      <w:pPr>
        <w:pStyle w:val="8"/>
        <w:snapToGrid w:val="0"/>
        <w:spacing w:before="50" w:after="50"/>
        <w:ind w:firstLine="540" w:firstLineChars="225"/>
        <w:rPr>
          <w:rFonts w:hint="eastAsia" w:ascii="宋体" w:hAnsi="宋体" w:eastAsia="宋体" w:cs="宋体"/>
          <w:bCs/>
          <w:color w:val="auto"/>
          <w:sz w:val="24"/>
          <w:szCs w:val="24"/>
          <w:highlight w:val="none"/>
        </w:rPr>
      </w:pPr>
    </w:p>
    <w:p w14:paraId="5AD3A5F1">
      <w:pPr>
        <w:pStyle w:val="8"/>
        <w:snapToGrid w:val="0"/>
        <w:spacing w:before="50" w:after="50"/>
        <w:ind w:firstLine="960" w:firstLineChars="400"/>
        <w:rPr>
          <w:rFonts w:hint="eastAsia" w:ascii="宋体" w:hAnsi="宋体" w:eastAsia="宋体" w:cs="宋体"/>
          <w:bCs/>
          <w:color w:val="auto"/>
          <w:sz w:val="24"/>
          <w:szCs w:val="24"/>
          <w:highlight w:val="none"/>
        </w:rPr>
      </w:pPr>
    </w:p>
    <w:p w14:paraId="499663C8">
      <w:pPr>
        <w:snapToGrid w:val="0"/>
        <w:spacing w:before="165" w:beforeLines="50" w:after="50"/>
        <w:ind w:firstLine="645"/>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年  月  日</w:t>
      </w:r>
    </w:p>
    <w:p w14:paraId="1F0068BC">
      <w:pPr>
        <w:widowControl/>
        <w:spacing w:line="360" w:lineRule="auto"/>
        <w:jc w:val="left"/>
        <w:rPr>
          <w:rFonts w:hint="eastAsia" w:ascii="宋体" w:hAnsi="宋体" w:eastAsia="宋体" w:cs="宋体"/>
          <w:color w:val="auto"/>
          <w:sz w:val="30"/>
          <w:szCs w:val="20"/>
          <w:highlight w:val="none"/>
        </w:rPr>
        <w:sectPr>
          <w:pgSz w:w="11906" w:h="16838"/>
          <w:pgMar w:top="1134" w:right="1134" w:bottom="1134" w:left="1134" w:header="720" w:footer="720" w:gutter="0"/>
          <w:cols w:space="720" w:num="1"/>
          <w:docGrid w:type="lines" w:linePitch="331" w:charSpace="0"/>
        </w:sectPr>
      </w:pPr>
    </w:p>
    <w:p w14:paraId="2A4D1BAF">
      <w:pPr>
        <w:jc w:val="center"/>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资格证明文件目录</w:t>
      </w:r>
    </w:p>
    <w:p w14:paraId="5A65D2EB">
      <w:pPr>
        <w:snapToGrid w:val="0"/>
        <w:spacing w:line="360" w:lineRule="auto"/>
        <w:rPr>
          <w:rFonts w:hint="eastAsia" w:ascii="宋体" w:hAnsi="宋体" w:eastAsia="宋体" w:cs="宋体"/>
          <w:color w:val="auto"/>
          <w:kern w:val="0"/>
          <w:sz w:val="24"/>
          <w:highlight w:val="none"/>
        </w:rPr>
      </w:pPr>
    </w:p>
    <w:p w14:paraId="16F1DDB7">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一、</w:t>
      </w:r>
      <w:r>
        <w:rPr>
          <w:rFonts w:hint="eastAsia" w:ascii="宋体" w:hAnsi="宋体" w:eastAsia="宋体" w:cs="宋体"/>
          <w:color w:val="auto"/>
          <w:sz w:val="24"/>
          <w:highlight w:val="none"/>
        </w:rPr>
        <w:t>营业执照</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或事业法人登记证或其他工商等登记证明材料</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复印件（投标人为自然人的，须提供</w:t>
      </w:r>
      <w:r>
        <w:rPr>
          <w:rFonts w:hint="eastAsia" w:ascii="宋体" w:hAnsi="宋体" w:eastAsia="宋体" w:cs="宋体"/>
          <w:color w:val="auto"/>
          <w:kern w:val="0"/>
          <w:sz w:val="24"/>
          <w:highlight w:val="none"/>
        </w:rPr>
        <w:t>自然人的身份证明</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rPr>
        <w:t>………………………………………………………………（页码）</w:t>
      </w:r>
    </w:p>
    <w:p w14:paraId="4CCA488B">
      <w:pPr>
        <w:snapToGrid w:val="0"/>
        <w:spacing w:line="360" w:lineRule="auto"/>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二、符合参与政府采购活动的资格条件依法缴纳税收材料……………………………（页码</w:t>
      </w:r>
      <w:r>
        <w:rPr>
          <w:rFonts w:hint="eastAsia" w:ascii="宋体" w:hAnsi="宋体" w:eastAsia="宋体" w:cs="宋体"/>
          <w:color w:val="auto"/>
          <w:kern w:val="0"/>
          <w:sz w:val="24"/>
          <w:highlight w:val="none"/>
          <w:lang w:eastAsia="zh-CN"/>
        </w:rPr>
        <w:t>）</w:t>
      </w:r>
    </w:p>
    <w:p w14:paraId="29B5030E">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三、</w:t>
      </w:r>
      <w:r>
        <w:rPr>
          <w:rFonts w:hint="eastAsia" w:ascii="宋体" w:hAnsi="宋体" w:eastAsia="宋体" w:cs="宋体"/>
          <w:color w:val="auto"/>
          <w:kern w:val="0"/>
          <w:sz w:val="24"/>
          <w:highlight w:val="none"/>
        </w:rPr>
        <w:t>符合参与政府采购活动的资格条件社会保障资金材料……………………………（页码）</w:t>
      </w:r>
    </w:p>
    <w:p w14:paraId="6CA0C9D6">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四</w:t>
      </w:r>
      <w:r>
        <w:rPr>
          <w:rFonts w:hint="eastAsia" w:ascii="宋体" w:hAnsi="宋体" w:eastAsia="宋体" w:cs="宋体"/>
          <w:color w:val="auto"/>
          <w:kern w:val="0"/>
          <w:sz w:val="24"/>
          <w:highlight w:val="none"/>
        </w:rPr>
        <w:t>、财务状况报告方面的材料……………………………………………………………（页码）</w:t>
      </w:r>
    </w:p>
    <w:p w14:paraId="2157F4C7">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五、标人直接控股、管理关系信息表</w:t>
      </w:r>
      <w:r>
        <w:rPr>
          <w:rFonts w:hint="eastAsia" w:ascii="宋体" w:hAnsi="宋体" w:eastAsia="宋体" w:cs="宋体"/>
          <w:color w:val="auto"/>
          <w:kern w:val="0"/>
          <w:sz w:val="24"/>
          <w:highlight w:val="none"/>
        </w:rPr>
        <w:t>……………………………………………………（页码）</w:t>
      </w:r>
    </w:p>
    <w:p w14:paraId="2F31635D">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六、投标资格声明函………………………………………………………………………（页码）</w:t>
      </w:r>
    </w:p>
    <w:p w14:paraId="2C613D53">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七、联合体协议书（以联合体形式投标的，提供联合体协议）………………………（页码）</w:t>
      </w:r>
    </w:p>
    <w:p w14:paraId="32F711BF">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八</w:t>
      </w:r>
      <w:r>
        <w:rPr>
          <w:rFonts w:hint="eastAsia" w:ascii="宋体" w:hAnsi="宋体" w:eastAsia="宋体" w:cs="宋体"/>
          <w:color w:val="auto"/>
          <w:kern w:val="0"/>
          <w:sz w:val="24"/>
          <w:highlight w:val="none"/>
        </w:rPr>
        <w:t>、中小企业声明函或残疾人福利性单位声明函或属于监狱企业的证明文件………（页码）</w:t>
      </w:r>
    </w:p>
    <w:p w14:paraId="19CC5163">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九、</w:t>
      </w:r>
      <w:r>
        <w:rPr>
          <w:rFonts w:hint="eastAsia" w:ascii="宋体" w:hAnsi="宋体" w:eastAsia="宋体" w:cs="宋体"/>
          <w:color w:val="auto"/>
          <w:kern w:val="0"/>
          <w:sz w:val="24"/>
          <w:highlight w:val="none"/>
        </w:rPr>
        <w:t>符合特定资格条件（如有）的有关证明材料………………………………………（页码）</w:t>
      </w:r>
    </w:p>
    <w:p w14:paraId="1311D6BD">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十、</w:t>
      </w:r>
      <w:r>
        <w:rPr>
          <w:rFonts w:hint="eastAsia" w:ascii="宋体" w:hAnsi="宋体" w:eastAsia="宋体" w:cs="宋体"/>
          <w:color w:val="auto"/>
          <w:kern w:val="0"/>
          <w:sz w:val="24"/>
          <w:highlight w:val="none"/>
        </w:rPr>
        <w:t>投标人认为需要提供的其他证明材料………………………………………………（页码）</w:t>
      </w:r>
    </w:p>
    <w:p w14:paraId="491398E6">
      <w:pPr>
        <w:spacing w:line="360" w:lineRule="auto"/>
        <w:rPr>
          <w:rFonts w:hint="eastAsia" w:ascii="宋体" w:hAnsi="宋体" w:eastAsia="宋体" w:cs="宋体"/>
          <w:b/>
          <w:bCs/>
          <w:color w:val="auto"/>
          <w:sz w:val="24"/>
          <w:highlight w:val="none"/>
          <w:lang w:val="en-US" w:eastAsia="zh-CN"/>
        </w:rPr>
      </w:pPr>
    </w:p>
    <w:p w14:paraId="02CCAE58">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注：以上目录是基本格式要求，各投标人可根据自身情况进一步向下增加内容或细化。</w:t>
      </w:r>
    </w:p>
    <w:p w14:paraId="6899F768">
      <w:pPr>
        <w:widowControl/>
        <w:spacing w:line="360" w:lineRule="auto"/>
        <w:jc w:val="left"/>
        <w:rPr>
          <w:rFonts w:hint="eastAsia" w:ascii="宋体" w:hAnsi="宋体" w:eastAsia="宋体" w:cs="宋体"/>
          <w:color w:val="auto"/>
          <w:sz w:val="30"/>
          <w:szCs w:val="20"/>
          <w:highlight w:val="none"/>
        </w:rPr>
        <w:sectPr>
          <w:pgSz w:w="11906" w:h="16838"/>
          <w:pgMar w:top="1134" w:right="1134" w:bottom="1134" w:left="1134" w:header="720" w:footer="720" w:gutter="0"/>
          <w:cols w:space="720" w:num="1"/>
          <w:docGrid w:type="lines" w:linePitch="331" w:charSpace="0"/>
        </w:sectPr>
      </w:pPr>
    </w:p>
    <w:p w14:paraId="052905B2">
      <w:pPr>
        <w:spacing w:line="360" w:lineRule="auto"/>
        <w:jc w:val="center"/>
        <w:rPr>
          <w:rFonts w:hint="eastAsia" w:ascii="宋体" w:hAnsi="宋体" w:eastAsia="宋体" w:cs="宋体"/>
          <w:b/>
          <w:color w:val="auto"/>
          <w:sz w:val="30"/>
          <w:szCs w:val="30"/>
          <w:highlight w:val="none"/>
        </w:rPr>
      </w:pPr>
      <w:r>
        <w:rPr>
          <w:rFonts w:hint="eastAsia" w:ascii="宋体" w:hAnsi="宋体" w:eastAsia="宋体" w:cs="宋体"/>
          <w:b/>
          <w:color w:val="auto"/>
          <w:kern w:val="0"/>
          <w:sz w:val="32"/>
          <w:szCs w:val="32"/>
          <w:highlight w:val="none"/>
          <w:lang w:val="zh-CN"/>
        </w:rPr>
        <w:t>一、</w:t>
      </w:r>
      <w:r>
        <w:rPr>
          <w:rFonts w:hint="eastAsia" w:ascii="宋体" w:hAnsi="宋体" w:eastAsia="宋体" w:cs="宋体"/>
          <w:b/>
          <w:color w:val="auto"/>
          <w:sz w:val="30"/>
          <w:szCs w:val="30"/>
          <w:highlight w:val="none"/>
        </w:rPr>
        <w:t>营业执照</w:t>
      </w:r>
      <w:r>
        <w:rPr>
          <w:rFonts w:hint="eastAsia" w:ascii="宋体" w:hAnsi="宋体" w:eastAsia="宋体" w:cs="宋体"/>
          <w:b/>
          <w:color w:val="auto"/>
          <w:sz w:val="30"/>
          <w:szCs w:val="30"/>
          <w:highlight w:val="none"/>
          <w:lang w:eastAsia="zh-CN"/>
        </w:rPr>
        <w:t>（</w:t>
      </w:r>
      <w:r>
        <w:rPr>
          <w:rFonts w:hint="eastAsia" w:ascii="宋体" w:hAnsi="宋体" w:eastAsia="宋体" w:cs="宋体"/>
          <w:b/>
          <w:color w:val="auto"/>
          <w:sz w:val="30"/>
          <w:szCs w:val="30"/>
          <w:highlight w:val="none"/>
        </w:rPr>
        <w:t>或事业法人登记证或其他工商等登记证明材料</w:t>
      </w:r>
      <w:r>
        <w:rPr>
          <w:rFonts w:hint="eastAsia" w:ascii="宋体" w:hAnsi="宋体" w:eastAsia="宋体" w:cs="宋体"/>
          <w:b/>
          <w:color w:val="auto"/>
          <w:sz w:val="30"/>
          <w:szCs w:val="30"/>
          <w:highlight w:val="none"/>
          <w:lang w:eastAsia="zh-CN"/>
        </w:rPr>
        <w:t>）</w:t>
      </w:r>
      <w:r>
        <w:rPr>
          <w:rFonts w:hint="eastAsia" w:ascii="宋体" w:hAnsi="宋体" w:eastAsia="宋体" w:cs="宋体"/>
          <w:b/>
          <w:color w:val="auto"/>
          <w:sz w:val="30"/>
          <w:szCs w:val="30"/>
          <w:highlight w:val="none"/>
        </w:rPr>
        <w:t>复印件（投标人为自然人的，提供自然人的身份证明）</w:t>
      </w:r>
    </w:p>
    <w:p w14:paraId="7047B1AF">
      <w:pPr>
        <w:spacing w:line="360" w:lineRule="auto"/>
        <w:rPr>
          <w:rFonts w:hint="eastAsia" w:ascii="宋体" w:hAnsi="宋体" w:eastAsia="宋体" w:cs="宋体"/>
          <w:b/>
          <w:color w:val="auto"/>
          <w:sz w:val="30"/>
          <w:szCs w:val="30"/>
          <w:highlight w:val="none"/>
        </w:rPr>
      </w:pPr>
    </w:p>
    <w:p w14:paraId="5CE670A8">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投标人名称（电子签章）：                              </w:t>
      </w:r>
    </w:p>
    <w:p w14:paraId="5A3BB662">
      <w:pPr>
        <w:spacing w:line="360" w:lineRule="auto"/>
        <w:jc w:val="center"/>
        <w:rPr>
          <w:rFonts w:hint="eastAsia" w:ascii="宋体" w:hAnsi="宋体" w:eastAsia="宋体" w:cs="宋体"/>
          <w:b/>
          <w:color w:val="auto"/>
          <w:sz w:val="30"/>
          <w:szCs w:val="30"/>
          <w:highlight w:val="none"/>
        </w:rPr>
      </w:pPr>
      <w:r>
        <w:rPr>
          <w:rFonts w:hint="eastAsia" w:ascii="宋体" w:hAnsi="宋体" w:eastAsia="宋体" w:cs="宋体"/>
          <w:color w:val="auto"/>
          <w:kern w:val="0"/>
          <w:sz w:val="24"/>
          <w:highlight w:val="none"/>
          <w:lang w:val="zh-CN"/>
        </w:rPr>
        <w:t xml:space="preserve">                   日期：  年  月</w:t>
      </w:r>
    </w:p>
    <w:p w14:paraId="74D15567">
      <w:pPr>
        <w:spacing w:line="360" w:lineRule="auto"/>
        <w:jc w:val="center"/>
        <w:rPr>
          <w:rFonts w:hint="eastAsia" w:ascii="宋体" w:hAnsi="宋体" w:eastAsia="宋体" w:cs="宋体"/>
          <w:b/>
          <w:color w:val="auto"/>
          <w:sz w:val="30"/>
          <w:szCs w:val="30"/>
          <w:highlight w:val="none"/>
        </w:rPr>
      </w:pPr>
    </w:p>
    <w:p w14:paraId="3458A748">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sz w:val="30"/>
          <w:szCs w:val="30"/>
          <w:highlight w:val="none"/>
        </w:rPr>
        <w:t>二、</w:t>
      </w:r>
      <w:r>
        <w:rPr>
          <w:rFonts w:hint="eastAsia" w:ascii="宋体" w:hAnsi="宋体" w:eastAsia="宋体" w:cs="宋体"/>
          <w:b/>
          <w:color w:val="auto"/>
          <w:kern w:val="0"/>
          <w:sz w:val="32"/>
          <w:szCs w:val="32"/>
          <w:highlight w:val="none"/>
        </w:rPr>
        <w:t>符合参与政府采购活动的资格条件依法缴纳税收材料</w:t>
      </w:r>
    </w:p>
    <w:p w14:paraId="14DA5D3C">
      <w:pPr>
        <w:snapToGrid w:val="0"/>
        <w:spacing w:line="360" w:lineRule="auto"/>
        <w:ind w:right="480"/>
        <w:jc w:val="center"/>
        <w:rPr>
          <w:rFonts w:hint="eastAsia" w:ascii="宋体" w:hAnsi="宋体" w:eastAsia="宋体" w:cs="宋体"/>
          <w:b/>
          <w:color w:val="auto"/>
          <w:kern w:val="0"/>
          <w:sz w:val="32"/>
          <w:szCs w:val="32"/>
          <w:highlight w:val="none"/>
        </w:rPr>
      </w:pPr>
    </w:p>
    <w:p w14:paraId="1CF1AB51">
      <w:pPr>
        <w:snapToGrid w:val="0"/>
        <w:spacing w:line="360" w:lineRule="auto"/>
        <w:ind w:firstLine="5040" w:firstLineChars="2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投标人名称（电子签章）：</w:t>
      </w:r>
    </w:p>
    <w:p w14:paraId="23F1FA88">
      <w:pPr>
        <w:snapToGrid w:val="0"/>
        <w:spacing w:line="360" w:lineRule="auto"/>
        <w:ind w:firstLine="5160" w:firstLineChars="21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5889D476">
      <w:pPr>
        <w:snapToGrid w:val="0"/>
        <w:spacing w:line="360" w:lineRule="auto"/>
        <w:ind w:right="480"/>
        <w:jc w:val="center"/>
        <w:rPr>
          <w:rFonts w:hint="eastAsia" w:ascii="宋体" w:hAnsi="宋体" w:eastAsia="宋体" w:cs="宋体"/>
          <w:b/>
          <w:color w:val="auto"/>
          <w:kern w:val="0"/>
          <w:sz w:val="32"/>
          <w:szCs w:val="32"/>
          <w:highlight w:val="none"/>
        </w:rPr>
      </w:pPr>
    </w:p>
    <w:p w14:paraId="037FEDE0">
      <w:pPr>
        <w:snapToGrid w:val="0"/>
        <w:spacing w:line="360" w:lineRule="auto"/>
        <w:ind w:right="480"/>
        <w:jc w:val="center"/>
        <w:rPr>
          <w:rFonts w:hint="eastAsia" w:ascii="宋体" w:hAnsi="宋体" w:eastAsia="宋体" w:cs="宋体"/>
          <w:b/>
          <w:color w:val="auto"/>
          <w:kern w:val="0"/>
          <w:sz w:val="32"/>
          <w:szCs w:val="32"/>
          <w:highlight w:val="none"/>
        </w:rPr>
      </w:pPr>
    </w:p>
    <w:p w14:paraId="42E1EB22">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三、符合参与政府采购活动的资格条件社会保障资金材料</w:t>
      </w:r>
    </w:p>
    <w:p w14:paraId="5EE21C5D">
      <w:pPr>
        <w:snapToGrid w:val="0"/>
        <w:spacing w:line="360" w:lineRule="auto"/>
        <w:ind w:firstLine="480" w:firstLineChars="200"/>
        <w:rPr>
          <w:rFonts w:hint="eastAsia" w:ascii="宋体" w:hAnsi="宋体" w:eastAsia="宋体" w:cs="宋体"/>
          <w:color w:val="auto"/>
          <w:sz w:val="24"/>
          <w:highlight w:val="none"/>
        </w:rPr>
      </w:pPr>
    </w:p>
    <w:p w14:paraId="610ABF21">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14:paraId="51D687EE">
      <w:pPr>
        <w:snapToGrid w:val="0"/>
        <w:spacing w:line="360" w:lineRule="auto"/>
        <w:ind w:firstLine="5040" w:firstLineChars="2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投标人名称（电子签章）：</w:t>
      </w:r>
    </w:p>
    <w:p w14:paraId="33333CF0">
      <w:pPr>
        <w:snapToGrid w:val="0"/>
        <w:spacing w:line="360" w:lineRule="auto"/>
        <w:ind w:firstLine="5160" w:firstLineChars="21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6841F9DB">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cs="宋体"/>
          <w:b/>
          <w:color w:val="auto"/>
          <w:sz w:val="30"/>
          <w:szCs w:val="30"/>
          <w:highlight w:val="none"/>
          <w:lang w:val="en-US" w:eastAsia="zh-CN"/>
        </w:rPr>
        <w:t>四</w:t>
      </w:r>
      <w:r>
        <w:rPr>
          <w:rFonts w:hint="eastAsia" w:ascii="宋体" w:hAnsi="宋体" w:eastAsia="宋体" w:cs="宋体"/>
          <w:b/>
          <w:color w:val="auto"/>
          <w:sz w:val="30"/>
          <w:szCs w:val="30"/>
          <w:highlight w:val="none"/>
        </w:rPr>
        <w:t>、</w:t>
      </w:r>
      <w:r>
        <w:rPr>
          <w:rFonts w:hint="eastAsia" w:ascii="宋体" w:hAnsi="宋体" w:eastAsia="宋体" w:cs="宋体"/>
          <w:b/>
          <w:color w:val="auto"/>
          <w:kern w:val="0"/>
          <w:sz w:val="32"/>
          <w:szCs w:val="32"/>
          <w:highlight w:val="none"/>
        </w:rPr>
        <w:t>财务状况报告方面的材料</w:t>
      </w:r>
    </w:p>
    <w:p w14:paraId="736C1A33">
      <w:pPr>
        <w:snapToGrid w:val="0"/>
        <w:spacing w:line="360" w:lineRule="auto"/>
        <w:ind w:firstLine="480" w:firstLineChars="200"/>
        <w:rPr>
          <w:rFonts w:hint="eastAsia" w:ascii="宋体" w:hAnsi="宋体" w:eastAsia="宋体" w:cs="宋体"/>
          <w:color w:val="auto"/>
          <w:sz w:val="24"/>
          <w:highlight w:val="none"/>
        </w:rPr>
      </w:pPr>
    </w:p>
    <w:p w14:paraId="512804E4">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14:paraId="70C2EFF6">
      <w:pPr>
        <w:snapToGrid w:val="0"/>
        <w:spacing w:line="360" w:lineRule="auto"/>
        <w:ind w:firstLine="5040" w:firstLineChars="2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投标人名称（电子签章）：</w:t>
      </w:r>
    </w:p>
    <w:p w14:paraId="341457B8">
      <w:pPr>
        <w:snapToGrid w:val="0"/>
        <w:spacing w:line="360" w:lineRule="auto"/>
        <w:ind w:firstLine="5160" w:firstLineChars="21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58A437D6">
      <w:pPr>
        <w:snapToGrid w:val="0"/>
        <w:spacing w:line="360" w:lineRule="auto"/>
        <w:ind w:firstLine="5160" w:firstLineChars="2150"/>
        <w:rPr>
          <w:rFonts w:hint="eastAsia" w:ascii="宋体" w:hAnsi="宋体" w:eastAsia="宋体" w:cs="宋体"/>
          <w:color w:val="auto"/>
          <w:kern w:val="0"/>
          <w:sz w:val="24"/>
          <w:highlight w:val="none"/>
          <w:lang w:val="zh-CN"/>
        </w:rPr>
      </w:pPr>
    </w:p>
    <w:p w14:paraId="654AD1DD">
      <w:pPr>
        <w:snapToGrid w:val="0"/>
        <w:spacing w:line="360" w:lineRule="auto"/>
        <w:ind w:right="480"/>
        <w:jc w:val="center"/>
        <w:rPr>
          <w:rFonts w:hint="eastAsia" w:ascii="宋体" w:hAnsi="宋体" w:eastAsia="宋体" w:cs="宋体"/>
          <w:b/>
          <w:color w:val="auto"/>
          <w:kern w:val="0"/>
          <w:sz w:val="32"/>
          <w:szCs w:val="32"/>
          <w:highlight w:val="none"/>
          <w:lang w:val="zh-CN"/>
        </w:rPr>
      </w:pPr>
    </w:p>
    <w:p w14:paraId="72B4EC5C">
      <w:pPr>
        <w:snapToGrid w:val="0"/>
        <w:spacing w:line="360" w:lineRule="auto"/>
        <w:ind w:right="480"/>
        <w:jc w:val="center"/>
        <w:rPr>
          <w:rFonts w:hint="eastAsia" w:ascii="宋体" w:hAnsi="宋体" w:eastAsia="宋体" w:cs="宋体"/>
          <w:b/>
          <w:color w:val="auto"/>
          <w:sz w:val="28"/>
          <w:szCs w:val="28"/>
          <w:highlight w:val="none"/>
        </w:rPr>
      </w:pPr>
      <w:r>
        <w:rPr>
          <w:rFonts w:hint="eastAsia" w:ascii="宋体" w:hAnsi="宋体" w:eastAsia="宋体" w:cs="宋体"/>
          <w:b/>
          <w:color w:val="auto"/>
          <w:kern w:val="0"/>
          <w:sz w:val="32"/>
          <w:szCs w:val="32"/>
          <w:highlight w:val="none"/>
        </w:rPr>
        <w:br w:type="page"/>
      </w:r>
    </w:p>
    <w:p w14:paraId="5A7F4E07">
      <w:pPr>
        <w:snapToGrid w:val="0"/>
        <w:spacing w:before="50" w:after="165" w:afterLines="50" w:line="360" w:lineRule="auto"/>
        <w:jc w:val="center"/>
        <w:rPr>
          <w:rFonts w:hint="eastAsia" w:ascii="宋体" w:hAnsi="宋体" w:eastAsia="宋体" w:cs="宋体"/>
          <w:b/>
          <w:color w:val="auto"/>
          <w:kern w:val="0"/>
          <w:sz w:val="32"/>
          <w:szCs w:val="32"/>
          <w:highlight w:val="none"/>
        </w:rPr>
      </w:pPr>
      <w:r>
        <w:rPr>
          <w:rFonts w:hint="eastAsia" w:ascii="宋体" w:hAnsi="宋体" w:cs="宋体"/>
          <w:b/>
          <w:color w:val="auto"/>
          <w:kern w:val="0"/>
          <w:sz w:val="32"/>
          <w:szCs w:val="32"/>
          <w:highlight w:val="none"/>
          <w:lang w:val="en-US" w:eastAsia="zh-CN"/>
        </w:rPr>
        <w:t>五</w:t>
      </w:r>
      <w:r>
        <w:rPr>
          <w:rFonts w:hint="eastAsia" w:ascii="宋体" w:hAnsi="宋体" w:eastAsia="宋体" w:cs="宋体"/>
          <w:b/>
          <w:color w:val="auto"/>
          <w:kern w:val="0"/>
          <w:sz w:val="32"/>
          <w:szCs w:val="32"/>
          <w:highlight w:val="none"/>
        </w:rPr>
        <w:t>、投标人直接控股、管理关系信息表</w:t>
      </w:r>
    </w:p>
    <w:p w14:paraId="5A54FFD3">
      <w:pPr>
        <w:snapToGrid w:val="0"/>
        <w:spacing w:before="50" w:after="165" w:afterLines="50" w:line="360" w:lineRule="auto"/>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投标人直接控股股东信息表</w:t>
      </w:r>
    </w:p>
    <w:tbl>
      <w:tblPr>
        <w:tblStyle w:val="18"/>
        <w:tblW w:w="9476" w:type="dxa"/>
        <w:tblInd w:w="125" w:type="dxa"/>
        <w:shd w:val="clear" w:color="auto" w:fill="FBFBFB"/>
        <w:tblLayout w:type="fixed"/>
        <w:tblCellMar>
          <w:top w:w="0" w:type="dxa"/>
          <w:left w:w="0" w:type="dxa"/>
          <w:bottom w:w="0" w:type="dxa"/>
          <w:right w:w="0" w:type="dxa"/>
        </w:tblCellMar>
      </w:tblPr>
      <w:tblGrid>
        <w:gridCol w:w="828"/>
        <w:gridCol w:w="2269"/>
        <w:gridCol w:w="1239"/>
        <w:gridCol w:w="3722"/>
        <w:gridCol w:w="1418"/>
      </w:tblGrid>
      <w:tr w14:paraId="2432F253">
        <w:tblPrEx>
          <w:shd w:val="clear" w:color="auto" w:fill="FBFBFB"/>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3A8EC96B">
            <w:pPr>
              <w:spacing w:line="360" w:lineRule="auto"/>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序号</w:t>
            </w:r>
          </w:p>
        </w:tc>
        <w:tc>
          <w:tcPr>
            <w:tcW w:w="226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5727CDF5">
            <w:pPr>
              <w:spacing w:line="360" w:lineRule="auto"/>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3C4575B0">
            <w:pPr>
              <w:spacing w:line="360" w:lineRule="auto"/>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出资比例</w:t>
            </w:r>
          </w:p>
        </w:tc>
        <w:tc>
          <w:tcPr>
            <w:tcW w:w="3722"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722FD576">
            <w:pPr>
              <w:spacing w:line="360" w:lineRule="auto"/>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身份证号码或者统一社会信用代码</w:t>
            </w:r>
          </w:p>
        </w:tc>
        <w:tc>
          <w:tcPr>
            <w:tcW w:w="141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79B73F6B">
            <w:pPr>
              <w:spacing w:line="360" w:lineRule="auto"/>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备注</w:t>
            </w:r>
          </w:p>
        </w:tc>
      </w:tr>
      <w:tr w14:paraId="054B2F67">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B198D9A">
            <w:pPr>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1F29BC0">
            <w:pPr>
              <w:spacing w:line="360" w:lineRule="auto"/>
              <w:jc w:val="center"/>
              <w:rPr>
                <w:rFonts w:hint="eastAsia" w:ascii="宋体" w:hAnsi="宋体" w:eastAsia="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1E83BC7">
            <w:pPr>
              <w:spacing w:line="360" w:lineRule="auto"/>
              <w:jc w:val="center"/>
              <w:rPr>
                <w:rFonts w:hint="eastAsia" w:ascii="宋体" w:hAnsi="宋体" w:eastAsia="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531F766">
            <w:pPr>
              <w:spacing w:line="360" w:lineRule="auto"/>
              <w:jc w:val="center"/>
              <w:rPr>
                <w:rFonts w:hint="eastAsia" w:ascii="宋体" w:hAnsi="宋体" w:eastAsia="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6B5A11A">
            <w:pPr>
              <w:spacing w:line="360" w:lineRule="auto"/>
              <w:jc w:val="center"/>
              <w:rPr>
                <w:rFonts w:hint="eastAsia" w:ascii="宋体" w:hAnsi="宋体" w:eastAsia="宋体" w:cs="宋体"/>
                <w:color w:val="auto"/>
                <w:kern w:val="0"/>
                <w:sz w:val="24"/>
                <w:highlight w:val="none"/>
              </w:rPr>
            </w:pPr>
          </w:p>
        </w:tc>
      </w:tr>
      <w:tr w14:paraId="575AC730">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F103161">
            <w:pPr>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5FE5872">
            <w:pPr>
              <w:spacing w:line="360" w:lineRule="auto"/>
              <w:jc w:val="center"/>
              <w:rPr>
                <w:rFonts w:hint="eastAsia" w:ascii="宋体" w:hAnsi="宋体" w:eastAsia="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0F206B9">
            <w:pPr>
              <w:spacing w:line="360" w:lineRule="auto"/>
              <w:jc w:val="center"/>
              <w:rPr>
                <w:rFonts w:hint="eastAsia" w:ascii="宋体" w:hAnsi="宋体" w:eastAsia="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CC533A7">
            <w:pPr>
              <w:spacing w:line="360" w:lineRule="auto"/>
              <w:jc w:val="center"/>
              <w:rPr>
                <w:rFonts w:hint="eastAsia" w:ascii="宋体" w:hAnsi="宋体" w:eastAsia="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127BDA0">
            <w:pPr>
              <w:spacing w:line="360" w:lineRule="auto"/>
              <w:jc w:val="center"/>
              <w:rPr>
                <w:rFonts w:hint="eastAsia" w:ascii="宋体" w:hAnsi="宋体" w:eastAsia="宋体" w:cs="宋体"/>
                <w:color w:val="auto"/>
                <w:kern w:val="0"/>
                <w:sz w:val="24"/>
                <w:highlight w:val="none"/>
              </w:rPr>
            </w:pPr>
          </w:p>
        </w:tc>
      </w:tr>
      <w:tr w14:paraId="122E1998">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6C7DA44">
            <w:pPr>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93F0A66">
            <w:pPr>
              <w:spacing w:line="360" w:lineRule="auto"/>
              <w:jc w:val="center"/>
              <w:rPr>
                <w:rFonts w:hint="eastAsia" w:ascii="宋体" w:hAnsi="宋体" w:eastAsia="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F73F24F">
            <w:pPr>
              <w:spacing w:line="360" w:lineRule="auto"/>
              <w:jc w:val="center"/>
              <w:rPr>
                <w:rFonts w:hint="eastAsia" w:ascii="宋体" w:hAnsi="宋体" w:eastAsia="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E79FF4B">
            <w:pPr>
              <w:spacing w:line="360" w:lineRule="auto"/>
              <w:jc w:val="center"/>
              <w:rPr>
                <w:rFonts w:hint="eastAsia" w:ascii="宋体" w:hAnsi="宋体" w:eastAsia="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81C0626">
            <w:pPr>
              <w:spacing w:line="360" w:lineRule="auto"/>
              <w:jc w:val="center"/>
              <w:rPr>
                <w:rFonts w:hint="eastAsia" w:ascii="宋体" w:hAnsi="宋体" w:eastAsia="宋体" w:cs="宋体"/>
                <w:color w:val="auto"/>
                <w:kern w:val="0"/>
                <w:sz w:val="24"/>
                <w:highlight w:val="none"/>
              </w:rPr>
            </w:pPr>
          </w:p>
        </w:tc>
      </w:tr>
      <w:tr w14:paraId="6C716C0D">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3908E83">
            <w:pPr>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0DC3747">
            <w:pPr>
              <w:spacing w:line="360" w:lineRule="auto"/>
              <w:jc w:val="center"/>
              <w:rPr>
                <w:rFonts w:hint="eastAsia" w:ascii="宋体" w:hAnsi="宋体" w:eastAsia="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7C53F05">
            <w:pPr>
              <w:spacing w:line="360" w:lineRule="auto"/>
              <w:jc w:val="center"/>
              <w:rPr>
                <w:rFonts w:hint="eastAsia" w:ascii="宋体" w:hAnsi="宋体" w:eastAsia="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5D2935F">
            <w:pPr>
              <w:spacing w:line="360" w:lineRule="auto"/>
              <w:jc w:val="center"/>
              <w:rPr>
                <w:rFonts w:hint="eastAsia" w:ascii="宋体" w:hAnsi="宋体" w:eastAsia="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9F6E627">
            <w:pPr>
              <w:spacing w:line="360" w:lineRule="auto"/>
              <w:jc w:val="center"/>
              <w:rPr>
                <w:rFonts w:hint="eastAsia" w:ascii="宋体" w:hAnsi="宋体" w:eastAsia="宋体" w:cs="宋体"/>
                <w:color w:val="auto"/>
                <w:kern w:val="0"/>
                <w:sz w:val="24"/>
                <w:highlight w:val="none"/>
              </w:rPr>
            </w:pPr>
          </w:p>
        </w:tc>
      </w:tr>
    </w:tbl>
    <w:p w14:paraId="2029BB07">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p>
    <w:p w14:paraId="41F6C395">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46B147C0">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2.本表所指的控股关系仅限于直接控股关系，不包括间接的控股关系。公司实际控制人与公司之间的关系不属于本表所指的直接控股关系。</w:t>
      </w:r>
    </w:p>
    <w:p w14:paraId="4BE1F0A1">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3.供应商不存在直接控股股东的，则填“无”。</w:t>
      </w:r>
    </w:p>
    <w:p w14:paraId="3B6EFD2F">
      <w:pPr>
        <w:snapToGrid w:val="0"/>
        <w:spacing w:line="360" w:lineRule="auto"/>
        <w:jc w:val="left"/>
        <w:rPr>
          <w:rFonts w:hint="eastAsia" w:ascii="宋体" w:hAnsi="宋体" w:eastAsia="宋体" w:cs="宋体"/>
          <w:color w:val="auto"/>
          <w:sz w:val="24"/>
          <w:highlight w:val="none"/>
        </w:rPr>
      </w:pPr>
    </w:p>
    <w:p w14:paraId="2AB8E189">
      <w:pPr>
        <w:snapToGrid w:val="0"/>
        <w:spacing w:line="360" w:lineRule="auto"/>
        <w:jc w:val="left"/>
        <w:rPr>
          <w:rFonts w:hint="eastAsia" w:ascii="宋体" w:hAnsi="宋体" w:eastAsia="宋体" w:cs="宋体"/>
          <w:color w:val="auto"/>
          <w:sz w:val="24"/>
          <w:highlight w:val="none"/>
        </w:rPr>
      </w:pPr>
    </w:p>
    <w:p w14:paraId="74D9EB2E">
      <w:pPr>
        <w:snapToGrid w:val="0"/>
        <w:spacing w:line="360" w:lineRule="auto"/>
        <w:jc w:val="left"/>
        <w:rPr>
          <w:rFonts w:hint="eastAsia" w:ascii="宋体" w:hAnsi="宋体" w:eastAsia="宋体" w:cs="宋体"/>
          <w:color w:val="auto"/>
          <w:sz w:val="24"/>
          <w:highlight w:val="none"/>
        </w:rPr>
      </w:pPr>
    </w:p>
    <w:p w14:paraId="17E15202">
      <w:pPr>
        <w:snapToGrid w:val="0"/>
        <w:spacing w:line="360" w:lineRule="auto"/>
        <w:jc w:val="left"/>
        <w:rPr>
          <w:rFonts w:hint="eastAsia" w:ascii="宋体" w:hAnsi="宋体" w:eastAsia="宋体" w:cs="宋体"/>
          <w:color w:val="auto"/>
          <w:sz w:val="24"/>
          <w:highlight w:val="none"/>
        </w:rPr>
      </w:pPr>
    </w:p>
    <w:p w14:paraId="6B77903F">
      <w:pPr>
        <w:snapToGrid w:val="0"/>
        <w:spacing w:line="360" w:lineRule="auto"/>
        <w:jc w:val="left"/>
        <w:rPr>
          <w:rFonts w:hint="eastAsia" w:ascii="宋体" w:hAnsi="宋体" w:eastAsia="宋体" w:cs="宋体"/>
          <w:color w:val="auto"/>
          <w:sz w:val="24"/>
          <w:highlight w:val="none"/>
        </w:rPr>
      </w:pPr>
    </w:p>
    <w:p w14:paraId="2B7622A3">
      <w:pPr>
        <w:snapToGrid w:val="0"/>
        <w:spacing w:line="360" w:lineRule="auto"/>
        <w:ind w:firstLine="5040" w:firstLineChars="2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投标人名称（电子签章）：</w:t>
      </w:r>
    </w:p>
    <w:p w14:paraId="6C5835E2">
      <w:pPr>
        <w:snapToGrid w:val="0"/>
        <w:spacing w:line="360" w:lineRule="auto"/>
        <w:ind w:firstLine="5160" w:firstLineChars="21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67541999">
      <w:pPr>
        <w:snapToGrid w:val="0"/>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br w:type="page"/>
      </w:r>
    </w:p>
    <w:p w14:paraId="2868E893">
      <w:pPr>
        <w:snapToGrid w:val="0"/>
        <w:spacing w:line="360" w:lineRule="auto"/>
        <w:jc w:val="center"/>
        <w:rPr>
          <w:rFonts w:hint="eastAsia" w:ascii="宋体" w:hAnsi="宋体" w:eastAsia="宋体" w:cs="宋体"/>
          <w:color w:val="auto"/>
          <w:sz w:val="32"/>
          <w:szCs w:val="32"/>
          <w:highlight w:val="none"/>
        </w:rPr>
      </w:pPr>
      <w:r>
        <w:rPr>
          <w:rFonts w:hint="eastAsia" w:ascii="宋体" w:hAnsi="宋体" w:eastAsia="宋体" w:cs="宋体"/>
          <w:b/>
          <w:color w:val="auto"/>
          <w:sz w:val="32"/>
          <w:szCs w:val="32"/>
          <w:highlight w:val="none"/>
        </w:rPr>
        <w:t>投标人直接管理关系信息表</w:t>
      </w:r>
    </w:p>
    <w:tbl>
      <w:tblPr>
        <w:tblStyle w:val="18"/>
        <w:tblW w:w="9652" w:type="dxa"/>
        <w:tblInd w:w="125" w:type="dxa"/>
        <w:shd w:val="clear" w:color="auto" w:fill="FBFBFB"/>
        <w:tblLayout w:type="fixed"/>
        <w:tblCellMar>
          <w:top w:w="0" w:type="dxa"/>
          <w:left w:w="0" w:type="dxa"/>
          <w:bottom w:w="0" w:type="dxa"/>
          <w:right w:w="0" w:type="dxa"/>
        </w:tblCellMar>
      </w:tblPr>
      <w:tblGrid>
        <w:gridCol w:w="1005"/>
        <w:gridCol w:w="2659"/>
        <w:gridCol w:w="3924"/>
        <w:gridCol w:w="2064"/>
      </w:tblGrid>
      <w:tr w14:paraId="52758538">
        <w:tblPrEx>
          <w:shd w:val="clear" w:color="auto" w:fill="FBFBFB"/>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7E6F0AE7">
            <w:pPr>
              <w:spacing w:line="360" w:lineRule="auto"/>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序号</w:t>
            </w:r>
          </w:p>
        </w:tc>
        <w:tc>
          <w:tcPr>
            <w:tcW w:w="265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19AAB04F">
            <w:pPr>
              <w:spacing w:line="360" w:lineRule="auto"/>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451441C7">
            <w:pPr>
              <w:spacing w:line="360" w:lineRule="auto"/>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3ACC457A">
            <w:pPr>
              <w:spacing w:line="360" w:lineRule="auto"/>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备注</w:t>
            </w:r>
          </w:p>
        </w:tc>
      </w:tr>
      <w:tr w14:paraId="2A199470">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DC2AF37">
            <w:pPr>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33388F6">
            <w:pPr>
              <w:spacing w:line="360" w:lineRule="auto"/>
              <w:jc w:val="center"/>
              <w:rPr>
                <w:rFonts w:hint="eastAsia" w:ascii="宋体" w:hAnsi="宋体" w:eastAsia="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D738CAE">
            <w:pPr>
              <w:spacing w:line="360" w:lineRule="auto"/>
              <w:jc w:val="center"/>
              <w:rPr>
                <w:rFonts w:hint="eastAsia" w:ascii="宋体" w:hAnsi="宋体" w:eastAsia="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874CDB4">
            <w:pPr>
              <w:spacing w:line="360" w:lineRule="auto"/>
              <w:jc w:val="center"/>
              <w:rPr>
                <w:rFonts w:hint="eastAsia" w:ascii="宋体" w:hAnsi="宋体" w:eastAsia="宋体" w:cs="宋体"/>
                <w:color w:val="auto"/>
                <w:kern w:val="0"/>
                <w:sz w:val="24"/>
                <w:highlight w:val="none"/>
              </w:rPr>
            </w:pPr>
          </w:p>
        </w:tc>
      </w:tr>
      <w:tr w14:paraId="1B4A514E">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BFF88DD">
            <w:pPr>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4712DBA">
            <w:pPr>
              <w:spacing w:line="360" w:lineRule="auto"/>
              <w:jc w:val="center"/>
              <w:rPr>
                <w:rFonts w:hint="eastAsia" w:ascii="宋体" w:hAnsi="宋体" w:eastAsia="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C03B849">
            <w:pPr>
              <w:spacing w:line="360" w:lineRule="auto"/>
              <w:jc w:val="center"/>
              <w:rPr>
                <w:rFonts w:hint="eastAsia" w:ascii="宋体" w:hAnsi="宋体" w:eastAsia="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2342BBB">
            <w:pPr>
              <w:spacing w:line="360" w:lineRule="auto"/>
              <w:jc w:val="center"/>
              <w:rPr>
                <w:rFonts w:hint="eastAsia" w:ascii="宋体" w:hAnsi="宋体" w:eastAsia="宋体" w:cs="宋体"/>
                <w:color w:val="auto"/>
                <w:kern w:val="0"/>
                <w:sz w:val="24"/>
                <w:highlight w:val="none"/>
              </w:rPr>
            </w:pPr>
          </w:p>
        </w:tc>
      </w:tr>
      <w:tr w14:paraId="21E4BAA1">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E02F357">
            <w:pPr>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F7965E4">
            <w:pPr>
              <w:spacing w:line="360" w:lineRule="auto"/>
              <w:jc w:val="center"/>
              <w:rPr>
                <w:rFonts w:hint="eastAsia" w:ascii="宋体" w:hAnsi="宋体" w:eastAsia="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DF32563">
            <w:pPr>
              <w:spacing w:line="360" w:lineRule="auto"/>
              <w:jc w:val="center"/>
              <w:rPr>
                <w:rFonts w:hint="eastAsia" w:ascii="宋体" w:hAnsi="宋体" w:eastAsia="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81ABB26">
            <w:pPr>
              <w:spacing w:line="360" w:lineRule="auto"/>
              <w:jc w:val="center"/>
              <w:rPr>
                <w:rFonts w:hint="eastAsia" w:ascii="宋体" w:hAnsi="宋体" w:eastAsia="宋体" w:cs="宋体"/>
                <w:color w:val="auto"/>
                <w:kern w:val="0"/>
                <w:sz w:val="24"/>
                <w:highlight w:val="none"/>
              </w:rPr>
            </w:pPr>
          </w:p>
        </w:tc>
      </w:tr>
      <w:tr w14:paraId="2A3A3012">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0AB9AE0">
            <w:pPr>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9EC03D5">
            <w:pPr>
              <w:spacing w:line="360" w:lineRule="auto"/>
              <w:jc w:val="center"/>
              <w:rPr>
                <w:rFonts w:hint="eastAsia" w:ascii="宋体" w:hAnsi="宋体" w:eastAsia="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80310FC">
            <w:pPr>
              <w:spacing w:line="360" w:lineRule="auto"/>
              <w:jc w:val="center"/>
              <w:rPr>
                <w:rFonts w:hint="eastAsia" w:ascii="宋体" w:hAnsi="宋体" w:eastAsia="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7DCFD4F">
            <w:pPr>
              <w:spacing w:line="360" w:lineRule="auto"/>
              <w:jc w:val="center"/>
              <w:rPr>
                <w:rFonts w:hint="eastAsia" w:ascii="宋体" w:hAnsi="宋体" w:eastAsia="宋体" w:cs="宋体"/>
                <w:color w:val="auto"/>
                <w:kern w:val="0"/>
                <w:sz w:val="24"/>
                <w:highlight w:val="none"/>
              </w:rPr>
            </w:pPr>
          </w:p>
        </w:tc>
      </w:tr>
    </w:tbl>
    <w:p w14:paraId="3B8945F3">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p>
    <w:p w14:paraId="531DD8B4">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1.管理关系：是指不具有出资持股关系的其他单位之间存在的管理与被管理关系，如一些上下级关系的事业单位和团体组织。</w:t>
      </w:r>
    </w:p>
    <w:p w14:paraId="5B00A4A4">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pacing w:val="-6"/>
          <w:sz w:val="24"/>
          <w:highlight w:val="none"/>
        </w:rPr>
        <w:t>本表所指的管理关系仅限于直接管理关系，不包括间接的管理关系。</w:t>
      </w:r>
    </w:p>
    <w:p w14:paraId="7BD16865">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3.供应商不存在直接管理关系的，则填“无”。</w:t>
      </w:r>
    </w:p>
    <w:p w14:paraId="4150B88C">
      <w:pPr>
        <w:snapToGrid w:val="0"/>
        <w:spacing w:line="360" w:lineRule="auto"/>
        <w:jc w:val="left"/>
        <w:rPr>
          <w:rFonts w:hint="eastAsia" w:ascii="宋体" w:hAnsi="宋体" w:eastAsia="宋体" w:cs="宋体"/>
          <w:color w:val="auto"/>
          <w:sz w:val="24"/>
          <w:highlight w:val="none"/>
        </w:rPr>
      </w:pPr>
    </w:p>
    <w:p w14:paraId="36656D36">
      <w:pPr>
        <w:snapToGrid w:val="0"/>
        <w:spacing w:line="360" w:lineRule="auto"/>
        <w:jc w:val="left"/>
        <w:rPr>
          <w:rFonts w:hint="eastAsia" w:ascii="宋体" w:hAnsi="宋体" w:eastAsia="宋体" w:cs="宋体"/>
          <w:color w:val="auto"/>
          <w:sz w:val="24"/>
          <w:highlight w:val="none"/>
        </w:rPr>
      </w:pPr>
    </w:p>
    <w:p w14:paraId="0CD00C26">
      <w:pPr>
        <w:snapToGrid w:val="0"/>
        <w:spacing w:line="360" w:lineRule="auto"/>
        <w:jc w:val="left"/>
        <w:rPr>
          <w:rFonts w:hint="eastAsia" w:ascii="宋体" w:hAnsi="宋体" w:eastAsia="宋体" w:cs="宋体"/>
          <w:color w:val="auto"/>
          <w:sz w:val="24"/>
          <w:highlight w:val="none"/>
        </w:rPr>
      </w:pPr>
    </w:p>
    <w:p w14:paraId="3C11DEDC">
      <w:pPr>
        <w:snapToGrid w:val="0"/>
        <w:spacing w:line="360" w:lineRule="auto"/>
        <w:jc w:val="left"/>
        <w:rPr>
          <w:rFonts w:hint="eastAsia" w:ascii="宋体" w:hAnsi="宋体" w:eastAsia="宋体" w:cs="宋体"/>
          <w:color w:val="auto"/>
          <w:sz w:val="24"/>
          <w:highlight w:val="none"/>
        </w:rPr>
      </w:pPr>
    </w:p>
    <w:p w14:paraId="69DE5A6B">
      <w:pPr>
        <w:snapToGrid w:val="0"/>
        <w:spacing w:line="360" w:lineRule="auto"/>
        <w:jc w:val="left"/>
        <w:rPr>
          <w:rFonts w:hint="eastAsia" w:ascii="宋体" w:hAnsi="宋体" w:eastAsia="宋体" w:cs="宋体"/>
          <w:color w:val="auto"/>
          <w:sz w:val="24"/>
          <w:highlight w:val="none"/>
        </w:rPr>
      </w:pPr>
    </w:p>
    <w:p w14:paraId="0D3C56FF">
      <w:pPr>
        <w:snapToGrid w:val="0"/>
        <w:spacing w:line="360" w:lineRule="auto"/>
        <w:jc w:val="left"/>
        <w:rPr>
          <w:rFonts w:hint="eastAsia" w:ascii="宋体" w:hAnsi="宋体" w:eastAsia="宋体" w:cs="宋体"/>
          <w:color w:val="auto"/>
          <w:sz w:val="24"/>
          <w:highlight w:val="none"/>
        </w:rPr>
      </w:pPr>
    </w:p>
    <w:p w14:paraId="052402F1">
      <w:pPr>
        <w:snapToGrid w:val="0"/>
        <w:spacing w:line="360" w:lineRule="auto"/>
        <w:jc w:val="left"/>
        <w:rPr>
          <w:rFonts w:hint="eastAsia" w:ascii="宋体" w:hAnsi="宋体" w:eastAsia="宋体" w:cs="宋体"/>
          <w:color w:val="auto"/>
          <w:sz w:val="24"/>
          <w:highlight w:val="none"/>
        </w:rPr>
      </w:pPr>
    </w:p>
    <w:p w14:paraId="2E77BF10">
      <w:pPr>
        <w:snapToGrid w:val="0"/>
        <w:spacing w:line="360" w:lineRule="auto"/>
        <w:jc w:val="left"/>
        <w:rPr>
          <w:rFonts w:hint="eastAsia" w:ascii="宋体" w:hAnsi="宋体" w:eastAsia="宋体" w:cs="宋体"/>
          <w:color w:val="auto"/>
          <w:sz w:val="24"/>
          <w:highlight w:val="none"/>
        </w:rPr>
      </w:pPr>
    </w:p>
    <w:p w14:paraId="27AAAF8C">
      <w:pPr>
        <w:snapToGrid w:val="0"/>
        <w:spacing w:line="360" w:lineRule="auto"/>
        <w:ind w:firstLine="5040" w:firstLineChars="2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投标人名称（电子签章）：</w:t>
      </w:r>
    </w:p>
    <w:p w14:paraId="3538707C">
      <w:pPr>
        <w:snapToGrid w:val="0"/>
        <w:spacing w:line="360" w:lineRule="auto"/>
        <w:ind w:firstLine="5160" w:firstLineChars="21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48AD18AB">
      <w:pPr>
        <w:snapToGrid w:val="0"/>
        <w:spacing w:before="50" w:after="165" w:afterLines="50"/>
        <w:jc w:val="left"/>
        <w:rPr>
          <w:rFonts w:hint="eastAsia" w:ascii="宋体" w:hAnsi="宋体" w:eastAsia="宋体" w:cs="宋体"/>
          <w:color w:val="auto"/>
          <w:szCs w:val="21"/>
          <w:highlight w:val="none"/>
        </w:rPr>
      </w:pPr>
    </w:p>
    <w:p w14:paraId="3B170A03">
      <w:pPr>
        <w:snapToGrid w:val="0"/>
        <w:spacing w:before="165" w:beforeLines="50" w:after="50"/>
        <w:jc w:val="left"/>
        <w:rPr>
          <w:rFonts w:hint="eastAsia" w:ascii="宋体" w:hAnsi="宋体" w:eastAsia="宋体" w:cs="宋体"/>
          <w:b/>
          <w:color w:val="auto"/>
          <w:sz w:val="24"/>
          <w:szCs w:val="20"/>
          <w:highlight w:val="none"/>
        </w:rPr>
      </w:pPr>
    </w:p>
    <w:p w14:paraId="72736D70">
      <w:pPr>
        <w:snapToGrid w:val="0"/>
        <w:spacing w:before="165" w:beforeLines="50" w:after="50"/>
        <w:jc w:val="left"/>
        <w:rPr>
          <w:rFonts w:hint="eastAsia" w:ascii="宋体" w:hAnsi="宋体" w:eastAsia="宋体" w:cs="宋体"/>
          <w:b/>
          <w:color w:val="auto"/>
          <w:sz w:val="24"/>
          <w:highlight w:val="none"/>
        </w:rPr>
      </w:pPr>
    </w:p>
    <w:p w14:paraId="64796826">
      <w:pPr>
        <w:snapToGrid w:val="0"/>
        <w:spacing w:before="165" w:beforeLines="50" w:after="50"/>
        <w:jc w:val="left"/>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 xml:space="preserve"> </w:t>
      </w:r>
    </w:p>
    <w:p w14:paraId="2570B8CF">
      <w:pPr>
        <w:snapToGrid w:val="0"/>
        <w:spacing w:before="165" w:beforeLines="50" w:after="50"/>
        <w:jc w:val="left"/>
        <w:rPr>
          <w:rFonts w:hint="eastAsia" w:ascii="宋体" w:hAnsi="宋体" w:eastAsia="宋体" w:cs="宋体"/>
          <w:b/>
          <w:color w:val="auto"/>
          <w:sz w:val="24"/>
          <w:szCs w:val="20"/>
          <w:highlight w:val="none"/>
        </w:rPr>
      </w:pPr>
    </w:p>
    <w:p w14:paraId="69381CB1">
      <w:pPr>
        <w:pStyle w:val="29"/>
        <w:rPr>
          <w:rFonts w:hint="eastAsia" w:ascii="宋体" w:hAnsi="宋体" w:eastAsia="宋体" w:cs="宋体"/>
          <w:color w:val="auto"/>
          <w:highlight w:val="none"/>
        </w:rPr>
      </w:pPr>
    </w:p>
    <w:p w14:paraId="06D974C1">
      <w:pPr>
        <w:snapToGrid w:val="0"/>
        <w:spacing w:before="50" w:after="165" w:afterLines="50"/>
        <w:jc w:val="left"/>
        <w:rPr>
          <w:rFonts w:hint="eastAsia" w:ascii="宋体" w:hAnsi="宋体" w:eastAsia="宋体" w:cs="宋体"/>
          <w:color w:val="auto"/>
          <w:highlight w:val="none"/>
        </w:rPr>
      </w:pPr>
    </w:p>
    <w:p w14:paraId="765A79F2">
      <w:pPr>
        <w:snapToGrid w:val="0"/>
        <w:spacing w:before="50" w:after="165" w:afterLines="50"/>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六、投标资格声明函</w:t>
      </w:r>
    </w:p>
    <w:p w14:paraId="503ADA2F">
      <w:pPr>
        <w:tabs>
          <w:tab w:val="left" w:pos="7200"/>
        </w:tabs>
        <w:spacing w:line="36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致：</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43CA0636">
      <w:pPr>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我方愿意参加贵方组织的</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（项目编号：</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）项目的投标，为便于贵方公正、择优地确定中标人，我方就本次投标有关事项郑重声明如下：</w:t>
      </w:r>
    </w:p>
    <w:p w14:paraId="1CFF9053">
      <w:pPr>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我方承诺已经具备《中华人民共和国政府采购法》第二十二条中规定的参加政府采购活动的供应商应当具备的条件并按本项目投标文件“第三章”“第二节投标人须知前附表”中“资格证明文件组成”完整提供证明材料。</w:t>
      </w:r>
    </w:p>
    <w:p w14:paraId="24D4AC1F">
      <w:pPr>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4A6C6D0D">
      <w:pPr>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3.经查询，在“信用中国”和“中国政府采购网”网站我方未被列入失信被执行人、重大税收违法案件当事人名单、政府采购严重违法失信行为记录名单。</w:t>
      </w:r>
    </w:p>
    <w:p w14:paraId="19966496">
      <w:pPr>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4.以上事项如有虚假或隐瞒，我方愿意承担一切后果，并不再寻求任何旨在减轻或免除法律责任的辩解。 </w:t>
      </w:r>
    </w:p>
    <w:p w14:paraId="197A4EE2">
      <w:pPr>
        <w:tabs>
          <w:tab w:val="left" w:pos="7200"/>
        </w:tabs>
        <w:ind w:firstLine="315"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说明：</w:t>
      </w:r>
    </w:p>
    <w:p w14:paraId="74CB43ED">
      <w:pPr>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1.投标人应当通过 “信用中国”（www.creditchina.gov.cn）和“中国政府采购网”网站（www.ccgp.gov.cn）查询投标人相关主体的信用记录。查询时间为本项目投标截止时间前10日至投标截止时间中任意一天。对列入失信被执行人、重大税收违法案件当事人名单、政府采购严重违法失信行为记录名单的投标人，将被拒绝参与本项目政府采购活动。</w:t>
      </w:r>
    </w:p>
    <w:p w14:paraId="12F2C4A7">
      <w:pPr>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41686F35">
      <w:pPr>
        <w:snapToGrid w:val="0"/>
        <w:spacing w:before="50" w:after="165" w:afterLines="5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b/>
          <w:color w:val="auto"/>
          <w:sz w:val="21"/>
          <w:szCs w:val="21"/>
          <w:highlight w:val="none"/>
        </w:rPr>
        <w:t xml:space="preserve">  3.如为联合体投标，盖章处须加盖联合体各方公章并由联合体各方法定代表人分别签署，否则投标无效。</w:t>
      </w:r>
    </w:p>
    <w:p w14:paraId="7E12DDCB">
      <w:pPr>
        <w:snapToGrid w:val="0"/>
        <w:spacing w:before="50" w:after="331" w:afterLines="100"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7495F254">
      <w:pPr>
        <w:snapToGrid w:val="0"/>
        <w:spacing w:before="50" w:after="331" w:afterLines="100" w:line="360" w:lineRule="auto"/>
        <w:ind w:left="7428" w:leftChars="2223" w:hanging="2760" w:hangingChars="1150"/>
        <w:jc w:val="left"/>
        <w:rPr>
          <w:rFonts w:hint="eastAsia" w:ascii="宋体" w:hAnsi="宋体" w:eastAsia="宋体" w:cs="宋体"/>
          <w:color w:val="auto"/>
          <w:kern w:val="0"/>
          <w:sz w:val="24"/>
          <w:highlight w:val="none"/>
          <w:lang w:val="zh-CN"/>
        </w:rPr>
      </w:pP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highlight w:val="none"/>
          <w:lang w:val="zh-CN"/>
        </w:rPr>
        <w:t>投标人名称（电子签章）：</w:t>
      </w:r>
      <w:r>
        <w:rPr>
          <w:rFonts w:hint="eastAsia" w:ascii="宋体" w:hAnsi="宋体" w:eastAsia="宋体" w:cs="宋体"/>
          <w:color w:val="auto"/>
          <w:szCs w:val="21"/>
          <w:highlight w:val="none"/>
        </w:rPr>
        <w:t xml:space="preserve">                                     年    月    日</w:t>
      </w:r>
    </w:p>
    <w:p w14:paraId="455F484D">
      <w:pPr>
        <w:pStyle w:val="11"/>
        <w:spacing w:line="600" w:lineRule="exact"/>
        <w:jc w:val="center"/>
        <w:rPr>
          <w:rFonts w:hint="eastAsia" w:ascii="宋体" w:hAnsi="宋体" w:eastAsia="宋体" w:cs="宋体"/>
          <w:b/>
          <w:bCs/>
          <w:color w:val="auto"/>
          <w:sz w:val="30"/>
          <w:szCs w:val="30"/>
          <w:highlight w:val="none"/>
        </w:rPr>
      </w:pPr>
    </w:p>
    <w:p w14:paraId="13D40F16">
      <w:pPr>
        <w:pStyle w:val="11"/>
        <w:spacing w:line="600" w:lineRule="exact"/>
        <w:jc w:val="center"/>
        <w:rPr>
          <w:rFonts w:hint="eastAsia" w:ascii="宋体" w:hAnsi="宋体" w:eastAsia="宋体" w:cs="宋体"/>
          <w:b/>
          <w:bCs/>
          <w:color w:val="auto"/>
          <w:sz w:val="30"/>
          <w:szCs w:val="30"/>
          <w:highlight w:val="none"/>
        </w:rPr>
      </w:pPr>
    </w:p>
    <w:p w14:paraId="32C3CF4D">
      <w:pPr>
        <w:widowControl/>
        <w:jc w:val="left"/>
        <w:rPr>
          <w:rFonts w:hint="eastAsia" w:ascii="宋体" w:hAnsi="宋体" w:eastAsia="宋体" w:cs="宋体"/>
          <w:b/>
          <w:bCs/>
          <w:color w:val="auto"/>
          <w:sz w:val="30"/>
          <w:szCs w:val="30"/>
          <w:highlight w:val="none"/>
        </w:rPr>
        <w:sectPr>
          <w:pgSz w:w="11906" w:h="16838"/>
          <w:pgMar w:top="1134" w:right="1134" w:bottom="1134" w:left="1134" w:header="720" w:footer="720" w:gutter="0"/>
          <w:cols w:space="720" w:num="1"/>
          <w:docGrid w:type="lines" w:linePitch="331" w:charSpace="0"/>
        </w:sectPr>
      </w:pPr>
    </w:p>
    <w:p w14:paraId="3E61F84E">
      <w:pPr>
        <w:pStyle w:val="11"/>
        <w:spacing w:line="600" w:lineRule="exact"/>
        <w:jc w:val="center"/>
        <w:rPr>
          <w:rFonts w:hint="eastAsia" w:ascii="宋体" w:hAnsi="宋体" w:eastAsia="宋体" w:cs="宋体"/>
          <w:color w:val="auto"/>
          <w:highlight w:val="none"/>
        </w:rPr>
      </w:pPr>
      <w:r>
        <w:rPr>
          <w:rFonts w:hint="eastAsia" w:ascii="宋体" w:hAnsi="宋体" w:eastAsia="宋体" w:cs="宋体"/>
          <w:b/>
          <w:bCs/>
          <w:color w:val="auto"/>
          <w:sz w:val="30"/>
          <w:szCs w:val="30"/>
          <w:highlight w:val="none"/>
        </w:rPr>
        <w:t>七、联合体协议书</w:t>
      </w:r>
    </w:p>
    <w:p w14:paraId="1F1AA1B5">
      <w:pPr>
        <w:autoSpaceDE w:val="0"/>
        <w:autoSpaceDN w:val="0"/>
        <w:adjustRightInd w:val="0"/>
        <w:spacing w:line="360" w:lineRule="auto"/>
        <w:jc w:val="left"/>
        <w:rPr>
          <w:rFonts w:hint="eastAsia" w:ascii="宋体" w:hAnsi="宋体" w:eastAsia="宋体" w:cs="宋体"/>
          <w:color w:val="auto"/>
          <w:kern w:val="0"/>
          <w:szCs w:val="21"/>
          <w:highlight w:val="none"/>
          <w:u w:val="single"/>
        </w:rPr>
      </w:pPr>
    </w:p>
    <w:p w14:paraId="0C60A1A9">
      <w:pPr>
        <w:autoSpaceDE w:val="0"/>
        <w:autoSpaceDN w:val="0"/>
        <w:adjustRightInd w:val="0"/>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（所有成员单位名称）自愿组成联合体，共同参加</w:t>
      </w:r>
      <w:r>
        <w:rPr>
          <w:rFonts w:hint="eastAsia" w:ascii="宋体" w:hAnsi="宋体" w:eastAsia="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组织的</w:t>
      </w:r>
      <w:r>
        <w:rPr>
          <w:rFonts w:hint="eastAsia" w:ascii="宋体" w:hAnsi="宋体" w:eastAsia="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（项目编号：</w:t>
      </w:r>
      <w:r>
        <w:rPr>
          <w:rFonts w:hint="eastAsia" w:ascii="宋体" w:hAnsi="宋体" w:eastAsia="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rPr>
        <w:t>）投标。现就联合体投标事宜订立如下协议：</w:t>
      </w:r>
    </w:p>
    <w:p w14:paraId="1EBC0065">
      <w:pPr>
        <w:autoSpaceDE w:val="0"/>
        <w:autoSpaceDN w:val="0"/>
        <w:adjustRightIn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r>
        <w:rPr>
          <w:rFonts w:hint="eastAsia" w:ascii="宋体" w:hAnsi="宋体" w:eastAsia="宋体" w:cs="宋体"/>
          <w:color w:val="auto"/>
          <w:highlight w:val="none"/>
        </w:rPr>
        <w:t>________________________</w:t>
      </w:r>
      <w:r>
        <w:rPr>
          <w:rFonts w:hint="eastAsia" w:ascii="宋体" w:hAnsi="宋体" w:eastAsia="宋体" w:cs="宋体"/>
          <w:color w:val="auto"/>
          <w:kern w:val="0"/>
          <w:szCs w:val="21"/>
          <w:highlight w:val="none"/>
        </w:rPr>
        <w:t>（某成员单位名称）为联合体名称牵头人。</w:t>
      </w:r>
    </w:p>
    <w:p w14:paraId="4E771796">
      <w:pPr>
        <w:autoSpaceDE w:val="0"/>
        <w:autoSpaceDN w:val="0"/>
        <w:adjustRightIn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联合体牵头人合法代表联合体各成员负责本招标项目投标文件编制和合同谈判活动，并代表联合体提交和接收相关的资料、信息及指示，并处理与之有关的一切事务，负责合同实施阶段的主办、组织和协调工作。</w:t>
      </w:r>
    </w:p>
    <w:p w14:paraId="3A3EF920">
      <w:pPr>
        <w:autoSpaceDE w:val="0"/>
        <w:autoSpaceDN w:val="0"/>
        <w:adjustRightIn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3、联合体牵头人在本项目中签署和盖章的一切文件和处理的一切事宜，联合体各成员均予以承认。 联合体各成员将严格按照招标文件、投标文件和合同的要求全面履行义务，并向招标人承担连带责任。</w:t>
      </w:r>
    </w:p>
    <w:p w14:paraId="242CDD8B">
      <w:pPr>
        <w:autoSpaceDE w:val="0"/>
        <w:autoSpaceDN w:val="0"/>
        <w:adjustRightIn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4、联合体各成员单位内部的职责分工如下</w:t>
      </w:r>
      <w:r>
        <w:rPr>
          <w:rFonts w:hint="eastAsia" w:ascii="宋体" w:hAnsi="宋体" w:eastAsia="宋体" w:cs="宋体"/>
          <w:color w:val="auto"/>
          <w:kern w:val="0"/>
          <w:szCs w:val="21"/>
          <w:highlight w:val="none"/>
          <w:u w:val="single"/>
        </w:rPr>
        <w:t>：</w:t>
      </w:r>
      <w:r>
        <w:rPr>
          <w:rFonts w:hint="eastAsia" w:ascii="宋体" w:hAnsi="宋体" w:eastAsia="宋体" w:cs="宋体"/>
          <w:color w:val="auto"/>
          <w:szCs w:val="21"/>
          <w:highlight w:val="none"/>
          <w:u w:val="single"/>
        </w:rPr>
        <w:t>________________________________________________</w:t>
      </w:r>
      <w:r>
        <w:rPr>
          <w:rFonts w:hint="eastAsia" w:ascii="宋体" w:hAnsi="宋体" w:eastAsia="宋体" w:cs="宋体"/>
          <w:color w:val="auto"/>
          <w:kern w:val="0"/>
          <w:szCs w:val="21"/>
          <w:highlight w:val="none"/>
        </w:rPr>
        <w:t>。</w:t>
      </w:r>
    </w:p>
    <w:p w14:paraId="62505A6D">
      <w:pPr>
        <w:pStyle w:val="11"/>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kern w:val="0"/>
          <w:highlight w:val="none"/>
        </w:rPr>
        <w:t>5、本联合体中</w:t>
      </w:r>
      <w:r>
        <w:rPr>
          <w:rFonts w:hint="eastAsia" w:ascii="宋体" w:hAnsi="宋体" w:eastAsia="宋体" w:cs="宋体"/>
          <w:color w:val="auto"/>
          <w:kern w:val="0"/>
          <w:highlight w:val="none"/>
          <w:u w:val="single"/>
        </w:rPr>
        <w:t>，</w:t>
      </w:r>
      <w:r>
        <w:rPr>
          <w:rFonts w:hint="eastAsia" w:ascii="宋体" w:hAnsi="宋体" w:eastAsia="宋体" w:cs="宋体"/>
          <w:color w:val="auto"/>
          <w:highlight w:val="none"/>
          <w:u w:val="single"/>
        </w:rPr>
        <w:t>________________________</w:t>
      </w:r>
      <w:r>
        <w:rPr>
          <w:rFonts w:hint="eastAsia" w:ascii="宋体" w:hAnsi="宋体" w:eastAsia="宋体" w:cs="宋体"/>
          <w:color w:val="auto"/>
          <w:kern w:val="0"/>
          <w:highlight w:val="none"/>
          <w:u w:val="single"/>
        </w:rPr>
        <w:t>（某成员单位名称）为</w:t>
      </w:r>
      <w:r>
        <w:rPr>
          <w:rFonts w:hint="eastAsia" w:ascii="宋体" w:hAnsi="宋体" w:eastAsia="宋体" w:cs="宋体"/>
          <w:color w:val="auto"/>
          <w:highlight w:val="none"/>
          <w:u w:val="single"/>
        </w:rPr>
        <w:t>______</w:t>
      </w:r>
      <w:r>
        <w:rPr>
          <w:rFonts w:hint="eastAsia" w:ascii="宋体" w:hAnsi="宋体" w:eastAsia="宋体" w:cs="宋体"/>
          <w:color w:val="auto"/>
          <w:highlight w:val="none"/>
        </w:rPr>
        <w:t>（请填写：中型、小型、微型）企业，其协议合同金额占联合体协议合同总金额的</w:t>
      </w:r>
      <w:r>
        <w:rPr>
          <w:rFonts w:hint="eastAsia" w:ascii="宋体" w:hAnsi="宋体" w:eastAsia="宋体" w:cs="宋体"/>
          <w:color w:val="auto"/>
          <w:highlight w:val="none"/>
          <w:u w:val="single"/>
        </w:rPr>
        <w:t>______</w:t>
      </w:r>
      <w:r>
        <w:rPr>
          <w:rFonts w:hint="eastAsia" w:ascii="宋体" w:hAnsi="宋体" w:eastAsia="宋体" w:cs="宋体"/>
          <w:color w:val="auto"/>
          <w:highlight w:val="none"/>
        </w:rPr>
        <w:t>%。【如联合体成员中有小型、微型企业的，请填写此条，否则无需填写；如联合体成员中有多个小型、微型企业的，请逐一列出。】</w:t>
      </w:r>
    </w:p>
    <w:p w14:paraId="71F08D33">
      <w:pPr>
        <w:autoSpaceDE w:val="0"/>
        <w:autoSpaceDN w:val="0"/>
        <w:adjustRightIn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6、本协议书自签署之日起生效，合同履行完毕后自动失效。</w:t>
      </w:r>
    </w:p>
    <w:p w14:paraId="28F4DA3C">
      <w:pPr>
        <w:autoSpaceDE w:val="0"/>
        <w:autoSpaceDN w:val="0"/>
        <w:adjustRightIn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7、本协议书一式</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份，联合体成员和采购代理机构各执一份。</w:t>
      </w:r>
    </w:p>
    <w:p w14:paraId="3BACB3A5">
      <w:pPr>
        <w:autoSpaceDE w:val="0"/>
        <w:autoSpaceDN w:val="0"/>
        <w:adjustRightIn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注：本协议书由法定代表人签字的，应附法定代表人身份证明；本协议书由委托代理人签字的，应附法定代表人授权委托书。</w:t>
      </w:r>
    </w:p>
    <w:p w14:paraId="7220CA14">
      <w:pPr>
        <w:autoSpaceDE w:val="0"/>
        <w:autoSpaceDN w:val="0"/>
        <w:adjustRightInd w:val="0"/>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牵头人名称：</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（公章/电子签章）</w:t>
      </w:r>
    </w:p>
    <w:p w14:paraId="450B2F2B">
      <w:pPr>
        <w:autoSpaceDE w:val="0"/>
        <w:autoSpaceDN w:val="0"/>
        <w:adjustRightInd w:val="0"/>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法定代表人或其委托代理人：</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（手写签名/电子签名）</w:t>
      </w:r>
    </w:p>
    <w:p w14:paraId="3CF8CA8A">
      <w:pPr>
        <w:autoSpaceDE w:val="0"/>
        <w:autoSpaceDN w:val="0"/>
        <w:adjustRightInd w:val="0"/>
        <w:spacing w:line="360" w:lineRule="auto"/>
        <w:jc w:val="left"/>
        <w:rPr>
          <w:rFonts w:hint="eastAsia" w:ascii="宋体" w:hAnsi="宋体" w:eastAsia="宋体" w:cs="宋体"/>
          <w:color w:val="auto"/>
          <w:kern w:val="0"/>
          <w:szCs w:val="21"/>
          <w:highlight w:val="none"/>
        </w:rPr>
      </w:pPr>
    </w:p>
    <w:p w14:paraId="24FD0149">
      <w:pPr>
        <w:autoSpaceDE w:val="0"/>
        <w:autoSpaceDN w:val="0"/>
        <w:adjustRightInd w:val="0"/>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成员一名称：</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（公章/电子签章）</w:t>
      </w:r>
    </w:p>
    <w:p w14:paraId="26A3C570">
      <w:pPr>
        <w:autoSpaceDE w:val="0"/>
        <w:autoSpaceDN w:val="0"/>
        <w:adjustRightInd w:val="0"/>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法定代表人或其委托代理人：</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（手写签名/电子签名）</w:t>
      </w:r>
    </w:p>
    <w:p w14:paraId="413C2A3F">
      <w:pPr>
        <w:autoSpaceDE w:val="0"/>
        <w:autoSpaceDN w:val="0"/>
        <w:adjustRightInd w:val="0"/>
        <w:spacing w:line="360" w:lineRule="auto"/>
        <w:jc w:val="left"/>
        <w:rPr>
          <w:rFonts w:hint="eastAsia" w:ascii="宋体" w:hAnsi="宋体" w:eastAsia="宋体" w:cs="宋体"/>
          <w:color w:val="auto"/>
          <w:kern w:val="0"/>
          <w:szCs w:val="21"/>
          <w:highlight w:val="none"/>
        </w:rPr>
      </w:pPr>
    </w:p>
    <w:p w14:paraId="40D71DDA">
      <w:pPr>
        <w:autoSpaceDE w:val="0"/>
        <w:autoSpaceDN w:val="0"/>
        <w:adjustRightInd w:val="0"/>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成员二名称：</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（公章/电子签章）</w:t>
      </w:r>
    </w:p>
    <w:p w14:paraId="082699C5">
      <w:pPr>
        <w:pStyle w:val="11"/>
        <w:spacing w:line="60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法定代表人或其委托代理人：</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（手写签名/电子签名）</w:t>
      </w:r>
    </w:p>
    <w:p w14:paraId="32881817">
      <w:pPr>
        <w:pStyle w:val="11"/>
        <w:spacing w:line="600" w:lineRule="exact"/>
        <w:jc w:val="center"/>
        <w:rPr>
          <w:rFonts w:hint="eastAsia" w:ascii="宋体" w:hAnsi="宋体" w:eastAsia="宋体" w:cs="宋体"/>
          <w:b/>
          <w:bCs/>
          <w:color w:val="auto"/>
          <w:sz w:val="30"/>
          <w:szCs w:val="30"/>
          <w:highlight w:val="none"/>
          <w:lang w:eastAsia="zh-CN"/>
        </w:rPr>
      </w:pPr>
    </w:p>
    <w:p w14:paraId="2A0101E2">
      <w:pPr>
        <w:pStyle w:val="11"/>
        <w:spacing w:line="600" w:lineRule="exact"/>
        <w:jc w:val="center"/>
        <w:rPr>
          <w:rFonts w:hint="eastAsia" w:hAnsi="宋体" w:cs="宋体"/>
          <w:b/>
          <w:bCs/>
          <w:color w:val="auto"/>
          <w:sz w:val="30"/>
          <w:szCs w:val="30"/>
          <w:highlight w:val="none"/>
          <w:lang w:val="en-US" w:eastAsia="zh-CN"/>
        </w:rPr>
      </w:pPr>
    </w:p>
    <w:p w14:paraId="304D174E">
      <w:pPr>
        <w:pStyle w:val="11"/>
        <w:spacing w:line="600" w:lineRule="exact"/>
        <w:jc w:val="center"/>
        <w:rPr>
          <w:rFonts w:hint="eastAsia" w:ascii="宋体" w:hAnsi="宋体" w:eastAsia="宋体" w:cs="宋体"/>
          <w:color w:val="auto"/>
          <w:highlight w:val="none"/>
        </w:rPr>
      </w:pPr>
      <w:r>
        <w:rPr>
          <w:rFonts w:hint="eastAsia" w:hAnsi="宋体" w:cs="宋体"/>
          <w:b/>
          <w:bCs/>
          <w:color w:val="auto"/>
          <w:sz w:val="30"/>
          <w:szCs w:val="30"/>
          <w:highlight w:val="none"/>
          <w:lang w:val="en-US" w:eastAsia="zh-CN"/>
        </w:rPr>
        <w:t>八</w:t>
      </w:r>
      <w:r>
        <w:rPr>
          <w:rFonts w:hint="eastAsia" w:ascii="宋体" w:hAnsi="宋体" w:eastAsia="宋体" w:cs="宋体"/>
          <w:b/>
          <w:bCs/>
          <w:color w:val="auto"/>
          <w:sz w:val="30"/>
          <w:szCs w:val="30"/>
          <w:highlight w:val="none"/>
        </w:rPr>
        <w:t>、中小企业声明函或残疾人福利性单位声明函或属于监狱企业的证明文件</w:t>
      </w:r>
    </w:p>
    <w:p w14:paraId="3D940A6F">
      <w:pPr>
        <w:spacing w:line="300" w:lineRule="auto"/>
        <w:jc w:val="center"/>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中小企业声明函（工程、服务）</w:t>
      </w:r>
    </w:p>
    <w:p w14:paraId="74630136">
      <w:pPr>
        <w:spacing w:line="360" w:lineRule="auto"/>
        <w:ind w:firstLine="550"/>
        <w:rPr>
          <w:rFonts w:hint="eastAsia" w:ascii="宋体" w:hAnsi="宋体" w:eastAsia="宋体" w:cs="宋体"/>
          <w:color w:val="auto"/>
          <w:kern w:val="0"/>
          <w:sz w:val="24"/>
          <w:highlight w:val="none"/>
        </w:rPr>
      </w:pPr>
    </w:p>
    <w:p w14:paraId="194BCCAC">
      <w:pPr>
        <w:spacing w:line="360" w:lineRule="auto"/>
        <w:ind w:firstLine="55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本公司（联合体）郑重声明，根据《政府采购促进中小企业发展管理办法》（财库﹝2020﹞46 号）的规定，本公司（联合体）参加</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rPr>
        <w:t>的</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w:t>
      </w:r>
      <w:r>
        <w:rPr>
          <w:rFonts w:hint="eastAsia" w:ascii="宋体" w:hAnsi="宋体" w:eastAsia="宋体" w:cs="宋体"/>
          <w:color w:val="auto"/>
          <w:kern w:val="0"/>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432B0C1C">
      <w:pPr>
        <w:spacing w:line="360" w:lineRule="auto"/>
        <w:ind w:firstLine="55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1. </w:t>
      </w:r>
      <w:r>
        <w:rPr>
          <w:rFonts w:hint="eastAsia" w:ascii="宋体" w:hAnsi="宋体" w:eastAsia="宋体" w:cs="宋体"/>
          <w:color w:val="auto"/>
          <w:kern w:val="0"/>
          <w:sz w:val="24"/>
          <w:highlight w:val="none"/>
          <w:u w:val="single"/>
        </w:rPr>
        <w:t>（标的名称）</w:t>
      </w:r>
      <w:r>
        <w:rPr>
          <w:rFonts w:hint="eastAsia" w:ascii="宋体" w:hAnsi="宋体" w:eastAsia="宋体" w:cs="宋体"/>
          <w:color w:val="auto"/>
          <w:kern w:val="0"/>
          <w:sz w:val="24"/>
          <w:highlight w:val="none"/>
        </w:rPr>
        <w:t>，属于</w:t>
      </w:r>
      <w:r>
        <w:rPr>
          <w:rFonts w:hint="eastAsia" w:ascii="宋体" w:hAnsi="宋体" w:eastAsia="宋体" w:cs="宋体"/>
          <w:color w:val="auto"/>
          <w:kern w:val="0"/>
          <w:sz w:val="24"/>
          <w:highlight w:val="none"/>
          <w:u w:val="single"/>
        </w:rPr>
        <w:t>（采购文件中明确的所属行业：见服务需求一览表）</w:t>
      </w:r>
      <w:r>
        <w:rPr>
          <w:rFonts w:hint="eastAsia" w:ascii="宋体" w:hAnsi="宋体" w:eastAsia="宋体" w:cs="宋体"/>
          <w:color w:val="auto"/>
          <w:kern w:val="0"/>
          <w:sz w:val="24"/>
          <w:highlight w:val="none"/>
        </w:rPr>
        <w:t>行业；承建（承接）企业为</w:t>
      </w:r>
      <w:r>
        <w:rPr>
          <w:rFonts w:hint="eastAsia" w:ascii="宋体" w:hAnsi="宋体" w:eastAsia="宋体" w:cs="宋体"/>
          <w:color w:val="auto"/>
          <w:kern w:val="0"/>
          <w:sz w:val="24"/>
          <w:highlight w:val="none"/>
          <w:u w:val="single"/>
        </w:rPr>
        <w:t>（企业名称）</w:t>
      </w:r>
      <w:r>
        <w:rPr>
          <w:rFonts w:hint="eastAsia" w:ascii="宋体" w:hAnsi="宋体" w:eastAsia="宋体" w:cs="宋体"/>
          <w:color w:val="auto"/>
          <w:kern w:val="0"/>
          <w:sz w:val="24"/>
          <w:highlight w:val="none"/>
        </w:rPr>
        <w:t>，从业人员</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人，营业收入为</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万元，资产总额为</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万元</w:t>
      </w:r>
      <w:r>
        <w:rPr>
          <w:rFonts w:hint="eastAsia" w:ascii="宋体" w:hAnsi="宋体" w:eastAsia="宋体" w:cs="宋体"/>
          <w:color w:val="auto"/>
          <w:sz w:val="24"/>
          <w:highlight w:val="none"/>
          <w:vertAlign w:val="superscript"/>
        </w:rPr>
        <w:t>1</w:t>
      </w:r>
      <w:r>
        <w:rPr>
          <w:rFonts w:hint="eastAsia" w:ascii="宋体" w:hAnsi="宋体" w:eastAsia="宋体" w:cs="宋体"/>
          <w:color w:val="auto"/>
          <w:kern w:val="0"/>
          <w:sz w:val="24"/>
          <w:highlight w:val="none"/>
        </w:rPr>
        <w:t>，属于</w:t>
      </w:r>
      <w:r>
        <w:rPr>
          <w:rFonts w:hint="eastAsia" w:ascii="宋体" w:hAnsi="宋体" w:eastAsia="宋体" w:cs="宋体"/>
          <w:color w:val="auto"/>
          <w:kern w:val="0"/>
          <w:sz w:val="24"/>
          <w:highlight w:val="none"/>
          <w:u w:val="single"/>
        </w:rPr>
        <w:t>（中型企业、小型企业、微型企业）</w:t>
      </w:r>
      <w:r>
        <w:rPr>
          <w:rFonts w:hint="eastAsia" w:ascii="宋体" w:hAnsi="宋体" w:eastAsia="宋体" w:cs="宋体"/>
          <w:color w:val="auto"/>
          <w:kern w:val="0"/>
          <w:sz w:val="24"/>
          <w:highlight w:val="none"/>
        </w:rPr>
        <w:t>；</w:t>
      </w:r>
    </w:p>
    <w:p w14:paraId="21FE531E">
      <w:pPr>
        <w:spacing w:line="360" w:lineRule="auto"/>
        <w:ind w:firstLine="55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2. </w:t>
      </w:r>
      <w:r>
        <w:rPr>
          <w:rFonts w:hint="eastAsia" w:ascii="宋体" w:hAnsi="宋体" w:eastAsia="宋体" w:cs="宋体"/>
          <w:color w:val="auto"/>
          <w:kern w:val="0"/>
          <w:sz w:val="24"/>
          <w:highlight w:val="none"/>
          <w:u w:val="single"/>
        </w:rPr>
        <w:t>（标的名称）</w:t>
      </w:r>
      <w:r>
        <w:rPr>
          <w:rFonts w:hint="eastAsia" w:ascii="宋体" w:hAnsi="宋体" w:eastAsia="宋体" w:cs="宋体"/>
          <w:color w:val="auto"/>
          <w:kern w:val="0"/>
          <w:sz w:val="24"/>
          <w:highlight w:val="none"/>
        </w:rPr>
        <w:t>，属于</w:t>
      </w:r>
      <w:r>
        <w:rPr>
          <w:rFonts w:hint="eastAsia" w:ascii="宋体" w:hAnsi="宋体" w:eastAsia="宋体" w:cs="宋体"/>
          <w:color w:val="auto"/>
          <w:kern w:val="0"/>
          <w:sz w:val="24"/>
          <w:highlight w:val="none"/>
          <w:u w:val="single"/>
        </w:rPr>
        <w:t>（采购文件中明确的所属行业：见服务需求一览表）</w:t>
      </w:r>
      <w:r>
        <w:rPr>
          <w:rFonts w:hint="eastAsia" w:ascii="宋体" w:hAnsi="宋体" w:eastAsia="宋体" w:cs="宋体"/>
          <w:color w:val="auto"/>
          <w:kern w:val="0"/>
          <w:sz w:val="24"/>
          <w:highlight w:val="none"/>
        </w:rPr>
        <w:t>行业；承建（承接）企业为</w:t>
      </w:r>
      <w:r>
        <w:rPr>
          <w:rFonts w:hint="eastAsia" w:ascii="宋体" w:hAnsi="宋体" w:eastAsia="宋体" w:cs="宋体"/>
          <w:color w:val="auto"/>
          <w:kern w:val="0"/>
          <w:sz w:val="24"/>
          <w:highlight w:val="none"/>
          <w:u w:val="single"/>
        </w:rPr>
        <w:t>（企业名称）</w:t>
      </w:r>
      <w:r>
        <w:rPr>
          <w:rFonts w:hint="eastAsia" w:ascii="宋体" w:hAnsi="宋体" w:eastAsia="宋体" w:cs="宋体"/>
          <w:color w:val="auto"/>
          <w:kern w:val="0"/>
          <w:sz w:val="24"/>
          <w:highlight w:val="none"/>
        </w:rPr>
        <w:t>，从业人员</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人，营业收入为</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万元，资产总额为</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万元，属于</w:t>
      </w:r>
      <w:r>
        <w:rPr>
          <w:rFonts w:hint="eastAsia" w:ascii="宋体" w:hAnsi="宋体" w:eastAsia="宋体" w:cs="宋体"/>
          <w:color w:val="auto"/>
          <w:kern w:val="0"/>
          <w:sz w:val="24"/>
          <w:highlight w:val="none"/>
          <w:u w:val="single"/>
        </w:rPr>
        <w:t>（中型企业、小型企业、微型企业）</w:t>
      </w:r>
      <w:r>
        <w:rPr>
          <w:rFonts w:hint="eastAsia" w:ascii="宋体" w:hAnsi="宋体" w:eastAsia="宋体" w:cs="宋体"/>
          <w:color w:val="auto"/>
          <w:kern w:val="0"/>
          <w:sz w:val="24"/>
          <w:highlight w:val="none"/>
        </w:rPr>
        <w:t>；</w:t>
      </w:r>
    </w:p>
    <w:p w14:paraId="0AC97C29">
      <w:pPr>
        <w:spacing w:line="360" w:lineRule="auto"/>
        <w:ind w:firstLine="55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 </w:t>
      </w:r>
    </w:p>
    <w:p w14:paraId="79FE2C11">
      <w:pPr>
        <w:spacing w:line="360" w:lineRule="auto"/>
        <w:ind w:firstLine="55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以上企业，不属于大企业的分支机构，不存在控股股东为大企业的情形，也不存在与大企业的负责人为同一人的情形。</w:t>
      </w:r>
    </w:p>
    <w:p w14:paraId="25696AEC">
      <w:pPr>
        <w:spacing w:line="360" w:lineRule="auto"/>
        <w:ind w:firstLine="55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本企业对上述声明内容的真实性负责。如有虚假，将依法承担相应责任。</w:t>
      </w:r>
    </w:p>
    <w:p w14:paraId="29067025">
      <w:pPr>
        <w:ind w:firstLine="552"/>
        <w:rPr>
          <w:rFonts w:hint="eastAsia" w:ascii="宋体" w:hAnsi="宋体" w:eastAsia="宋体" w:cs="宋体"/>
          <w:color w:val="auto"/>
          <w:kern w:val="0"/>
          <w:szCs w:val="21"/>
          <w:highlight w:val="none"/>
        </w:rPr>
      </w:pPr>
    </w:p>
    <w:p w14:paraId="25E628D7">
      <w:pPr>
        <w:pStyle w:val="2"/>
        <w:spacing w:after="0" w:line="360" w:lineRule="auto"/>
        <w:contextualSpacing/>
        <w:rPr>
          <w:rFonts w:hint="eastAsia" w:ascii="宋体" w:hAnsi="宋体" w:eastAsia="宋体" w:cs="宋体"/>
          <w:color w:val="auto"/>
          <w:kern w:val="0"/>
          <w:sz w:val="24"/>
          <w:szCs w:val="22"/>
          <w:highlight w:val="none"/>
        </w:rPr>
      </w:pPr>
      <w:r>
        <w:rPr>
          <w:rFonts w:hint="eastAsia" w:ascii="宋体" w:hAnsi="宋体" w:eastAsia="宋体" w:cs="宋体"/>
          <w:color w:val="auto"/>
          <w:kern w:val="0"/>
          <w:sz w:val="24"/>
          <w:szCs w:val="22"/>
          <w:highlight w:val="none"/>
        </w:rPr>
        <w:t>1从业人员、营业收入、资产总额填报上一年度数据，无上一年度数据的新成立企业可不填报。</w:t>
      </w:r>
    </w:p>
    <w:p w14:paraId="2359042E">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373D2999">
      <w:pPr>
        <w:autoSpaceDE w:val="0"/>
        <w:autoSpaceDN w:val="0"/>
        <w:spacing w:line="360" w:lineRule="auto"/>
        <w:ind w:firstLine="6480" w:firstLineChars="27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6C483352">
      <w:pPr>
        <w:pStyle w:val="2"/>
        <w:spacing w:after="0" w:line="360" w:lineRule="auto"/>
        <w:ind w:left="3960" w:right="1808"/>
        <w:contextualSpacing/>
        <w:rPr>
          <w:rFonts w:hint="eastAsia" w:ascii="宋体" w:hAnsi="宋体" w:eastAsia="宋体" w:cs="宋体"/>
          <w:color w:val="auto"/>
          <w:highlight w:val="none"/>
        </w:rPr>
      </w:pPr>
    </w:p>
    <w:p w14:paraId="1AE6B0CE">
      <w:pPr>
        <w:spacing w:line="360" w:lineRule="auto"/>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14:paraId="5641594C">
      <w:pPr>
        <w:spacing w:line="520" w:lineRule="exact"/>
        <w:jc w:val="center"/>
        <w:rPr>
          <w:rFonts w:hint="eastAsia" w:ascii="宋体" w:hAnsi="宋体" w:eastAsia="宋体" w:cs="宋体"/>
          <w:color w:val="auto"/>
          <w:sz w:val="44"/>
          <w:szCs w:val="44"/>
          <w:highlight w:val="none"/>
        </w:rPr>
      </w:pPr>
    </w:p>
    <w:p w14:paraId="378E3BF6">
      <w:pPr>
        <w:spacing w:line="520" w:lineRule="exact"/>
        <w:jc w:val="center"/>
        <w:rPr>
          <w:rFonts w:hint="eastAsia" w:ascii="宋体" w:hAnsi="宋体" w:eastAsia="宋体" w:cs="宋体"/>
          <w:color w:val="auto"/>
          <w:sz w:val="32"/>
          <w:szCs w:val="32"/>
          <w:highlight w:val="none"/>
        </w:rPr>
      </w:pPr>
      <w:r>
        <w:rPr>
          <w:rFonts w:hint="eastAsia" w:ascii="宋体" w:hAnsi="宋体" w:eastAsia="宋体" w:cs="宋体"/>
          <w:color w:val="auto"/>
          <w:sz w:val="44"/>
          <w:szCs w:val="44"/>
          <w:highlight w:val="none"/>
        </w:rPr>
        <w:t>残疾人福利性单位声明函</w:t>
      </w:r>
    </w:p>
    <w:p w14:paraId="5AD8C264">
      <w:pPr>
        <w:spacing w:line="520" w:lineRule="exact"/>
        <w:rPr>
          <w:rFonts w:hint="eastAsia" w:ascii="宋体" w:hAnsi="宋体" w:eastAsia="宋体" w:cs="宋体"/>
          <w:color w:val="auto"/>
          <w:sz w:val="32"/>
          <w:szCs w:val="32"/>
          <w:highlight w:val="none"/>
        </w:rPr>
      </w:pPr>
    </w:p>
    <w:p w14:paraId="3986AD75">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单位的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项目采购活动由本单位提供服务。</w:t>
      </w:r>
    </w:p>
    <w:p w14:paraId="7C446FB5">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本单位对上述声明的真实性负责。如有虚假，将依法承担相应责任。</w:t>
      </w:r>
    </w:p>
    <w:p w14:paraId="5CC84BC2">
      <w:pPr>
        <w:spacing w:line="360" w:lineRule="auto"/>
        <w:contextualSpacing/>
        <w:rPr>
          <w:rFonts w:hint="eastAsia" w:ascii="宋体" w:hAnsi="宋体" w:eastAsia="宋体" w:cs="宋体"/>
          <w:color w:val="auto"/>
          <w:sz w:val="24"/>
          <w:highlight w:val="none"/>
        </w:rPr>
      </w:pPr>
    </w:p>
    <w:p w14:paraId="507B8D1F">
      <w:pPr>
        <w:spacing w:line="360" w:lineRule="auto"/>
        <w:contextualSpacing/>
        <w:rPr>
          <w:rFonts w:hint="eastAsia" w:ascii="宋体" w:hAnsi="宋体" w:eastAsia="宋体" w:cs="宋体"/>
          <w:color w:val="auto"/>
          <w:sz w:val="24"/>
          <w:highlight w:val="none"/>
        </w:rPr>
      </w:pPr>
    </w:p>
    <w:p w14:paraId="420E4D83">
      <w:pPr>
        <w:spacing w:line="360" w:lineRule="auto"/>
        <w:contextualSpacing/>
        <w:rPr>
          <w:rFonts w:hint="eastAsia" w:ascii="宋体" w:hAnsi="宋体" w:eastAsia="宋体" w:cs="宋体"/>
          <w:color w:val="auto"/>
          <w:sz w:val="24"/>
          <w:highlight w:val="none"/>
        </w:rPr>
      </w:pPr>
    </w:p>
    <w:p w14:paraId="0FB78DE3">
      <w:pPr>
        <w:spacing w:line="360" w:lineRule="auto"/>
        <w:ind w:firstLine="2400" w:firstLineChars="10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供应商名称（电子签章）：</w:t>
      </w:r>
    </w:p>
    <w:p w14:paraId="6DA0210F">
      <w:pPr>
        <w:spacing w:line="360" w:lineRule="auto"/>
        <w:ind w:firstLine="4320" w:firstLineChars="18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     年   月   日</w:t>
      </w:r>
    </w:p>
    <w:p w14:paraId="2800A4D2">
      <w:pPr>
        <w:spacing w:line="360" w:lineRule="auto"/>
        <w:contextualSpacing/>
        <w:rPr>
          <w:rFonts w:hint="eastAsia" w:ascii="宋体" w:hAnsi="宋体" w:eastAsia="宋体" w:cs="宋体"/>
          <w:color w:val="auto"/>
          <w:sz w:val="24"/>
          <w:highlight w:val="none"/>
        </w:rPr>
      </w:pPr>
    </w:p>
    <w:p w14:paraId="1C0D8073">
      <w:pPr>
        <w:spacing w:line="360" w:lineRule="auto"/>
        <w:contextualSpacing/>
        <w:rPr>
          <w:rFonts w:hint="eastAsia" w:ascii="宋体" w:hAnsi="宋体" w:eastAsia="宋体" w:cs="宋体"/>
          <w:color w:val="auto"/>
          <w:sz w:val="24"/>
          <w:highlight w:val="none"/>
        </w:rPr>
      </w:pPr>
    </w:p>
    <w:p w14:paraId="583EC4D0">
      <w:pPr>
        <w:spacing w:line="360" w:lineRule="auto"/>
        <w:contextualSpacing/>
        <w:rPr>
          <w:rFonts w:hint="eastAsia" w:ascii="宋体" w:hAnsi="宋体" w:eastAsia="宋体" w:cs="宋体"/>
          <w:color w:val="auto"/>
          <w:sz w:val="24"/>
          <w:highlight w:val="none"/>
        </w:rPr>
      </w:pPr>
    </w:p>
    <w:p w14:paraId="7748A863">
      <w:pPr>
        <w:pStyle w:val="11"/>
        <w:spacing w:line="600" w:lineRule="exact"/>
        <w:jc w:val="center"/>
        <w:rPr>
          <w:rFonts w:hint="eastAsia" w:ascii="宋体" w:hAnsi="宋体" w:eastAsia="宋体" w:cs="宋体"/>
          <w:b/>
          <w:bCs/>
          <w:color w:val="auto"/>
          <w:sz w:val="30"/>
          <w:szCs w:val="30"/>
          <w:highlight w:val="none"/>
          <w:lang w:val="en-US" w:eastAsia="zh-CN"/>
        </w:rPr>
      </w:pPr>
      <w:r>
        <w:rPr>
          <w:rFonts w:hint="eastAsia" w:ascii="宋体" w:hAnsi="宋体" w:eastAsia="宋体" w:cs="宋体"/>
          <w:color w:val="auto"/>
          <w:sz w:val="24"/>
          <w:highlight w:val="none"/>
        </w:rPr>
        <w:t>注：请根据自己的真实情况出具《残疾人福利性单位声明函》。依法享受</w:t>
      </w:r>
      <w:r>
        <w:rPr>
          <w:rFonts w:hint="eastAsia" w:ascii="宋体" w:hAnsi="宋体" w:eastAsia="宋体" w:cs="宋体"/>
          <w:color w:val="auto"/>
          <w:kern w:val="2"/>
          <w:sz w:val="24"/>
          <w:highlight w:val="none"/>
        </w:rPr>
        <w:t>中小</w:t>
      </w:r>
      <w:r>
        <w:rPr>
          <w:rFonts w:hint="eastAsia" w:ascii="宋体" w:hAnsi="宋体" w:eastAsia="宋体" w:cs="宋体"/>
          <w:color w:val="auto"/>
          <w:sz w:val="24"/>
          <w:highlight w:val="none"/>
        </w:rPr>
        <w:t>企业优惠政策的，采购人或者采购代理机构在公告中标结果时，同时公告其《残疾人福利性单位声明函》，接受社会监督。</w:t>
      </w:r>
    </w:p>
    <w:p w14:paraId="7180347E">
      <w:pPr>
        <w:pStyle w:val="11"/>
        <w:spacing w:line="600" w:lineRule="exact"/>
        <w:jc w:val="center"/>
        <w:rPr>
          <w:rFonts w:hint="eastAsia" w:hAnsi="宋体" w:cs="宋体"/>
          <w:b/>
          <w:bCs/>
          <w:color w:val="auto"/>
          <w:sz w:val="30"/>
          <w:szCs w:val="30"/>
          <w:highlight w:val="none"/>
          <w:lang w:val="en-US" w:eastAsia="zh-CN"/>
        </w:rPr>
      </w:pPr>
    </w:p>
    <w:p w14:paraId="011A04A6">
      <w:pPr>
        <w:pStyle w:val="11"/>
        <w:spacing w:line="600" w:lineRule="exact"/>
        <w:jc w:val="center"/>
        <w:rPr>
          <w:rFonts w:hint="eastAsia" w:hAnsi="宋体" w:cs="宋体"/>
          <w:b/>
          <w:bCs/>
          <w:color w:val="auto"/>
          <w:sz w:val="30"/>
          <w:szCs w:val="30"/>
          <w:highlight w:val="none"/>
          <w:lang w:val="en-US" w:eastAsia="zh-CN"/>
        </w:rPr>
      </w:pPr>
    </w:p>
    <w:p w14:paraId="734F36A0">
      <w:pPr>
        <w:pStyle w:val="11"/>
        <w:spacing w:line="600" w:lineRule="exact"/>
        <w:jc w:val="center"/>
        <w:rPr>
          <w:rFonts w:hint="eastAsia" w:hAnsi="宋体" w:cs="宋体"/>
          <w:b/>
          <w:bCs/>
          <w:color w:val="auto"/>
          <w:sz w:val="30"/>
          <w:szCs w:val="30"/>
          <w:highlight w:val="none"/>
          <w:lang w:val="en-US" w:eastAsia="zh-CN"/>
        </w:rPr>
      </w:pPr>
    </w:p>
    <w:p w14:paraId="11BCCA65">
      <w:pPr>
        <w:pStyle w:val="11"/>
        <w:spacing w:line="600" w:lineRule="exact"/>
        <w:jc w:val="center"/>
        <w:rPr>
          <w:rFonts w:hint="eastAsia" w:hAnsi="宋体" w:cs="宋体"/>
          <w:b/>
          <w:bCs/>
          <w:color w:val="auto"/>
          <w:sz w:val="30"/>
          <w:szCs w:val="30"/>
          <w:highlight w:val="none"/>
          <w:lang w:val="en-US" w:eastAsia="zh-CN"/>
        </w:rPr>
      </w:pPr>
    </w:p>
    <w:p w14:paraId="7F936296">
      <w:pPr>
        <w:pStyle w:val="11"/>
        <w:spacing w:line="600" w:lineRule="exact"/>
        <w:jc w:val="center"/>
        <w:rPr>
          <w:rFonts w:hint="eastAsia" w:hAnsi="宋体" w:cs="宋体"/>
          <w:b/>
          <w:bCs/>
          <w:color w:val="auto"/>
          <w:sz w:val="30"/>
          <w:szCs w:val="30"/>
          <w:highlight w:val="none"/>
          <w:lang w:val="en-US" w:eastAsia="zh-CN"/>
        </w:rPr>
      </w:pPr>
    </w:p>
    <w:p w14:paraId="60F8F946">
      <w:pPr>
        <w:pStyle w:val="11"/>
        <w:spacing w:line="600" w:lineRule="exact"/>
        <w:jc w:val="center"/>
        <w:rPr>
          <w:rFonts w:hint="eastAsia" w:hAnsi="宋体" w:cs="宋体"/>
          <w:b/>
          <w:bCs/>
          <w:color w:val="auto"/>
          <w:sz w:val="30"/>
          <w:szCs w:val="30"/>
          <w:highlight w:val="none"/>
          <w:lang w:val="en-US" w:eastAsia="zh-CN"/>
        </w:rPr>
      </w:pPr>
    </w:p>
    <w:p w14:paraId="1B99F5BB">
      <w:pPr>
        <w:pStyle w:val="11"/>
        <w:spacing w:line="600" w:lineRule="exact"/>
        <w:jc w:val="center"/>
        <w:rPr>
          <w:rFonts w:hint="eastAsia" w:hAnsi="宋体" w:cs="宋体"/>
          <w:b/>
          <w:bCs/>
          <w:color w:val="auto"/>
          <w:sz w:val="30"/>
          <w:szCs w:val="30"/>
          <w:highlight w:val="none"/>
          <w:lang w:val="en-US" w:eastAsia="zh-CN"/>
        </w:rPr>
      </w:pPr>
    </w:p>
    <w:p w14:paraId="3203D6B7">
      <w:pPr>
        <w:pStyle w:val="11"/>
        <w:spacing w:line="600" w:lineRule="exact"/>
        <w:jc w:val="center"/>
        <w:rPr>
          <w:rFonts w:hint="eastAsia" w:hAnsi="宋体" w:cs="宋体"/>
          <w:b/>
          <w:bCs/>
          <w:color w:val="auto"/>
          <w:sz w:val="30"/>
          <w:szCs w:val="30"/>
          <w:highlight w:val="none"/>
          <w:lang w:val="en-US" w:eastAsia="zh-CN"/>
        </w:rPr>
      </w:pPr>
    </w:p>
    <w:p w14:paraId="00D4FDCD">
      <w:pPr>
        <w:pStyle w:val="11"/>
        <w:spacing w:line="600" w:lineRule="exact"/>
        <w:jc w:val="center"/>
        <w:rPr>
          <w:rFonts w:hint="eastAsia" w:hAnsi="宋体" w:cs="宋体"/>
          <w:b/>
          <w:bCs/>
          <w:color w:val="auto"/>
          <w:sz w:val="30"/>
          <w:szCs w:val="30"/>
          <w:highlight w:val="none"/>
          <w:lang w:val="en-US" w:eastAsia="zh-CN"/>
        </w:rPr>
      </w:pPr>
    </w:p>
    <w:p w14:paraId="4E9AEF56">
      <w:pPr>
        <w:pStyle w:val="11"/>
        <w:spacing w:line="600" w:lineRule="exact"/>
        <w:jc w:val="center"/>
        <w:rPr>
          <w:rFonts w:hint="eastAsia" w:ascii="宋体" w:hAnsi="宋体" w:eastAsia="宋体" w:cs="宋体"/>
          <w:b/>
          <w:bCs/>
          <w:color w:val="auto"/>
          <w:sz w:val="30"/>
          <w:szCs w:val="30"/>
          <w:highlight w:val="none"/>
        </w:rPr>
      </w:pPr>
      <w:r>
        <w:rPr>
          <w:rFonts w:hint="eastAsia" w:hAnsi="宋体" w:cs="宋体"/>
          <w:b/>
          <w:bCs/>
          <w:color w:val="auto"/>
          <w:sz w:val="30"/>
          <w:szCs w:val="30"/>
          <w:highlight w:val="none"/>
          <w:lang w:val="en-US" w:eastAsia="zh-CN"/>
        </w:rPr>
        <w:t>九</w:t>
      </w:r>
      <w:r>
        <w:rPr>
          <w:rFonts w:hint="eastAsia" w:ascii="宋体" w:hAnsi="宋体" w:eastAsia="宋体" w:cs="宋体"/>
          <w:b/>
          <w:bCs/>
          <w:color w:val="auto"/>
          <w:sz w:val="30"/>
          <w:szCs w:val="30"/>
          <w:highlight w:val="none"/>
        </w:rPr>
        <w:t>、符合特定资格条件（如有）的有关证明材料</w:t>
      </w:r>
    </w:p>
    <w:p w14:paraId="72DE52F0">
      <w:pPr>
        <w:pStyle w:val="11"/>
        <w:spacing w:line="600" w:lineRule="exact"/>
        <w:jc w:val="center"/>
        <w:rPr>
          <w:rFonts w:hint="eastAsia" w:ascii="宋体" w:hAnsi="宋体" w:eastAsia="宋体" w:cs="宋体"/>
          <w:b/>
          <w:bCs/>
          <w:color w:val="auto"/>
          <w:sz w:val="30"/>
          <w:szCs w:val="30"/>
          <w:highlight w:val="none"/>
        </w:rPr>
      </w:pPr>
    </w:p>
    <w:p w14:paraId="1B227A70">
      <w:pPr>
        <w:pStyle w:val="11"/>
        <w:spacing w:line="600" w:lineRule="exact"/>
        <w:jc w:val="center"/>
        <w:rPr>
          <w:rFonts w:hint="eastAsia" w:ascii="宋体" w:hAnsi="宋体" w:eastAsia="宋体" w:cs="宋体"/>
          <w:b/>
          <w:bCs/>
          <w:color w:val="auto"/>
          <w:sz w:val="30"/>
          <w:szCs w:val="30"/>
          <w:highlight w:val="none"/>
        </w:rPr>
      </w:pPr>
    </w:p>
    <w:p w14:paraId="6882E6CE">
      <w:pPr>
        <w:snapToGrid w:val="0"/>
        <w:spacing w:line="360" w:lineRule="auto"/>
        <w:ind w:firstLine="5040" w:firstLineChars="2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投标人名称（电子签章）：</w:t>
      </w:r>
    </w:p>
    <w:p w14:paraId="2EFF21F6">
      <w:pPr>
        <w:snapToGrid w:val="0"/>
        <w:spacing w:line="360" w:lineRule="auto"/>
        <w:ind w:firstLine="5160" w:firstLineChars="21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7BAEDC8E">
      <w:pPr>
        <w:widowControl/>
        <w:spacing w:line="360" w:lineRule="auto"/>
        <w:jc w:val="left"/>
        <w:rPr>
          <w:rFonts w:hint="eastAsia" w:ascii="宋体" w:hAnsi="宋体" w:eastAsia="宋体" w:cs="宋体"/>
          <w:color w:val="auto"/>
          <w:szCs w:val="21"/>
          <w:highlight w:val="none"/>
        </w:rPr>
      </w:pPr>
    </w:p>
    <w:p w14:paraId="2E59629B">
      <w:pPr>
        <w:pStyle w:val="27"/>
        <w:rPr>
          <w:rFonts w:hint="eastAsia" w:ascii="宋体" w:hAnsi="宋体" w:eastAsia="宋体" w:cs="宋体"/>
          <w:color w:val="auto"/>
          <w:szCs w:val="21"/>
          <w:highlight w:val="none"/>
        </w:rPr>
      </w:pPr>
    </w:p>
    <w:p w14:paraId="15E21DBB">
      <w:pPr>
        <w:pStyle w:val="11"/>
        <w:spacing w:line="600" w:lineRule="exact"/>
        <w:jc w:val="center"/>
        <w:rPr>
          <w:rFonts w:hint="eastAsia" w:ascii="宋体" w:hAnsi="宋体" w:eastAsia="宋体" w:cs="宋体"/>
          <w:b/>
          <w:bCs/>
          <w:color w:val="auto"/>
          <w:sz w:val="30"/>
          <w:szCs w:val="30"/>
          <w:highlight w:val="none"/>
        </w:rPr>
      </w:pPr>
      <w:r>
        <w:rPr>
          <w:rFonts w:hint="eastAsia" w:hAnsi="宋体" w:cs="宋体"/>
          <w:b/>
          <w:bCs/>
          <w:color w:val="auto"/>
          <w:sz w:val="30"/>
          <w:szCs w:val="30"/>
          <w:highlight w:val="none"/>
          <w:lang w:val="en-US" w:eastAsia="zh-CN"/>
        </w:rPr>
        <w:t>十</w:t>
      </w:r>
      <w:r>
        <w:rPr>
          <w:rFonts w:hint="eastAsia" w:ascii="宋体" w:hAnsi="宋体" w:eastAsia="宋体" w:cs="宋体"/>
          <w:b/>
          <w:bCs/>
          <w:color w:val="auto"/>
          <w:sz w:val="30"/>
          <w:szCs w:val="30"/>
          <w:highlight w:val="none"/>
        </w:rPr>
        <w:t>、投标人认为需要提供的其他证明材料</w:t>
      </w:r>
    </w:p>
    <w:p w14:paraId="17009592">
      <w:pPr>
        <w:pStyle w:val="11"/>
        <w:spacing w:line="600" w:lineRule="exact"/>
        <w:jc w:val="center"/>
        <w:rPr>
          <w:rFonts w:hint="eastAsia" w:ascii="宋体" w:hAnsi="宋体" w:eastAsia="宋体" w:cs="宋体"/>
          <w:b/>
          <w:bCs/>
          <w:color w:val="auto"/>
          <w:sz w:val="30"/>
          <w:szCs w:val="30"/>
          <w:highlight w:val="none"/>
        </w:rPr>
      </w:pPr>
    </w:p>
    <w:p w14:paraId="66AD7947">
      <w:pPr>
        <w:pStyle w:val="11"/>
        <w:spacing w:line="600" w:lineRule="exact"/>
        <w:jc w:val="center"/>
        <w:rPr>
          <w:rFonts w:hint="eastAsia" w:ascii="宋体" w:hAnsi="宋体" w:eastAsia="宋体" w:cs="宋体"/>
          <w:b/>
          <w:bCs/>
          <w:color w:val="auto"/>
          <w:sz w:val="30"/>
          <w:szCs w:val="30"/>
          <w:highlight w:val="none"/>
        </w:rPr>
      </w:pPr>
    </w:p>
    <w:p w14:paraId="200F617F">
      <w:pPr>
        <w:snapToGrid w:val="0"/>
        <w:spacing w:line="360" w:lineRule="auto"/>
        <w:ind w:firstLine="5040" w:firstLineChars="2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投标人名称（电子签章）：</w:t>
      </w:r>
    </w:p>
    <w:p w14:paraId="7F4CB97A">
      <w:pPr>
        <w:snapToGrid w:val="0"/>
        <w:spacing w:line="360" w:lineRule="auto"/>
        <w:ind w:firstLine="5160" w:firstLineChars="21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55135F0B">
      <w:pPr>
        <w:widowControl/>
        <w:spacing w:line="360" w:lineRule="auto"/>
        <w:jc w:val="left"/>
        <w:rPr>
          <w:rFonts w:hint="eastAsia" w:ascii="宋体" w:hAnsi="宋体" w:eastAsia="宋体" w:cs="宋体"/>
          <w:color w:val="auto"/>
          <w:szCs w:val="21"/>
          <w:highlight w:val="none"/>
        </w:rPr>
        <w:sectPr>
          <w:pgSz w:w="11906" w:h="16838"/>
          <w:pgMar w:top="1134" w:right="1134" w:bottom="1134" w:left="1134" w:header="720" w:footer="720" w:gutter="0"/>
          <w:cols w:space="720" w:num="1"/>
          <w:docGrid w:type="lines" w:linePitch="331" w:charSpace="0"/>
        </w:sectPr>
      </w:pPr>
    </w:p>
    <w:p w14:paraId="76B9968E">
      <w:pPr>
        <w:pStyle w:val="11"/>
        <w:jc w:val="both"/>
        <w:outlineLvl w:val="9"/>
        <w:rPr>
          <w:rFonts w:hint="eastAsia" w:ascii="宋体" w:hAnsi="宋体" w:eastAsia="宋体" w:cs="宋体"/>
          <w:color w:val="auto"/>
          <w:szCs w:val="21"/>
          <w:highlight w:val="none"/>
        </w:rPr>
      </w:pPr>
    </w:p>
    <w:p w14:paraId="1120665D">
      <w:pPr>
        <w:pStyle w:val="11"/>
        <w:jc w:val="center"/>
        <w:outlineLvl w:val="1"/>
        <w:rPr>
          <w:rFonts w:hint="eastAsia" w:ascii="宋体" w:hAnsi="宋体" w:eastAsia="宋体" w:cs="宋体"/>
          <w:b/>
          <w:bCs/>
          <w:color w:val="auto"/>
          <w:sz w:val="28"/>
          <w:szCs w:val="28"/>
          <w:highlight w:val="none"/>
        </w:rPr>
      </w:pPr>
      <w:bookmarkStart w:id="329" w:name="_Toc7037"/>
      <w:bookmarkStart w:id="330" w:name="_Toc6839"/>
      <w:bookmarkStart w:id="331" w:name="_Toc19686838"/>
      <w:r>
        <w:rPr>
          <w:rFonts w:hint="eastAsia" w:ascii="宋体" w:hAnsi="宋体" w:eastAsia="宋体" w:cs="宋体"/>
          <w:b/>
          <w:bCs/>
          <w:color w:val="auto"/>
          <w:sz w:val="28"/>
          <w:szCs w:val="28"/>
          <w:highlight w:val="none"/>
        </w:rPr>
        <w:t>第三节 商务文件格式</w:t>
      </w:r>
      <w:bookmarkEnd w:id="329"/>
      <w:bookmarkEnd w:id="330"/>
      <w:bookmarkEnd w:id="331"/>
    </w:p>
    <w:p w14:paraId="64799A6F">
      <w:pPr>
        <w:snapToGrid w:val="0"/>
        <w:spacing w:before="165" w:beforeLines="50" w:after="50"/>
        <w:rPr>
          <w:rFonts w:hint="eastAsia" w:ascii="宋体" w:hAnsi="宋体" w:eastAsia="宋体" w:cs="宋体"/>
          <w:color w:val="auto"/>
          <w:sz w:val="30"/>
          <w:szCs w:val="20"/>
          <w:highlight w:val="none"/>
        </w:rPr>
      </w:pPr>
    </w:p>
    <w:p w14:paraId="2F0932E2">
      <w:pPr>
        <w:snapToGrid w:val="0"/>
        <w:spacing w:before="165" w:beforeLines="50" w:after="50"/>
        <w:rPr>
          <w:rFonts w:hint="eastAsia" w:ascii="宋体" w:hAnsi="宋体" w:eastAsia="宋体" w:cs="宋体"/>
          <w:bCs/>
          <w:color w:val="auto"/>
          <w:sz w:val="32"/>
          <w:szCs w:val="20"/>
          <w:highlight w:val="none"/>
        </w:rPr>
      </w:pPr>
      <w:r>
        <w:rPr>
          <w:rFonts w:hint="eastAsia" w:ascii="宋体" w:hAnsi="宋体" w:eastAsia="宋体" w:cs="宋体"/>
          <w:color w:val="auto"/>
          <w:sz w:val="24"/>
          <w:highlight w:val="none"/>
        </w:rPr>
        <w:t xml:space="preserve">                                                  </w:t>
      </w:r>
      <w:r>
        <w:rPr>
          <w:rFonts w:hint="eastAsia" w:ascii="宋体" w:hAnsi="宋体" w:eastAsia="宋体" w:cs="宋体"/>
          <w:bCs/>
          <w:color w:val="auto"/>
          <w:highlight w:val="none"/>
        </w:rPr>
        <w:t xml:space="preserve">             电子投标文件</w:t>
      </w:r>
    </w:p>
    <w:p w14:paraId="73386E83">
      <w:pPr>
        <w:snapToGrid w:val="0"/>
        <w:spacing w:before="165" w:beforeLines="50" w:after="50"/>
        <w:rPr>
          <w:rFonts w:hint="eastAsia" w:ascii="宋体" w:hAnsi="宋体" w:eastAsia="宋体" w:cs="宋体"/>
          <w:color w:val="auto"/>
          <w:sz w:val="24"/>
          <w:szCs w:val="20"/>
          <w:highlight w:val="none"/>
        </w:rPr>
      </w:pPr>
    </w:p>
    <w:p w14:paraId="04142A39">
      <w:pPr>
        <w:snapToGrid w:val="0"/>
        <w:spacing w:before="165" w:beforeLines="50" w:after="50"/>
        <w:jc w:val="center"/>
        <w:rPr>
          <w:rFonts w:hint="eastAsia" w:ascii="宋体" w:hAnsi="宋体" w:eastAsia="宋体" w:cs="宋体"/>
          <w:b/>
          <w:color w:val="auto"/>
          <w:sz w:val="24"/>
          <w:szCs w:val="20"/>
          <w:highlight w:val="none"/>
        </w:rPr>
      </w:pPr>
      <w:r>
        <w:rPr>
          <w:rFonts w:hint="eastAsia" w:ascii="宋体" w:hAnsi="宋体" w:eastAsia="宋体" w:cs="宋体"/>
          <w:b/>
          <w:color w:val="auto"/>
          <w:sz w:val="32"/>
          <w:szCs w:val="32"/>
          <w:highlight w:val="none"/>
        </w:rPr>
        <w:t>商务文件（封面）</w:t>
      </w:r>
    </w:p>
    <w:p w14:paraId="78E40EEA">
      <w:pPr>
        <w:snapToGrid w:val="0"/>
        <w:spacing w:before="165" w:beforeLines="50" w:after="50"/>
        <w:rPr>
          <w:rFonts w:hint="eastAsia" w:ascii="宋体" w:hAnsi="宋体" w:eastAsia="宋体" w:cs="宋体"/>
          <w:bCs/>
          <w:color w:val="auto"/>
          <w:sz w:val="24"/>
          <w:szCs w:val="20"/>
          <w:highlight w:val="none"/>
        </w:rPr>
      </w:pPr>
    </w:p>
    <w:p w14:paraId="77413D0B">
      <w:pPr>
        <w:keepNext w:val="0"/>
        <w:keepLines w:val="0"/>
        <w:pageBreakBefore w:val="0"/>
        <w:widowControl w:val="0"/>
        <w:kinsoku/>
        <w:wordWrap/>
        <w:overflowPunct/>
        <w:topLinePunct w:val="0"/>
        <w:autoSpaceDE/>
        <w:autoSpaceDN/>
        <w:bidi w:val="0"/>
        <w:adjustRightInd/>
        <w:snapToGrid w:val="0"/>
        <w:ind w:firstLine="540" w:firstLineChars="225"/>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项目名称：</w:t>
      </w:r>
    </w:p>
    <w:p w14:paraId="0DB80B59">
      <w:pPr>
        <w:keepNext w:val="0"/>
        <w:keepLines w:val="0"/>
        <w:pageBreakBefore w:val="0"/>
        <w:widowControl w:val="0"/>
        <w:kinsoku/>
        <w:wordWrap/>
        <w:overflowPunct/>
        <w:topLinePunct w:val="0"/>
        <w:autoSpaceDE/>
        <w:autoSpaceDN/>
        <w:bidi w:val="0"/>
        <w:adjustRightInd/>
        <w:snapToGrid w:val="0"/>
        <w:ind w:firstLine="540" w:firstLineChars="225"/>
        <w:textAlignment w:val="auto"/>
        <w:rPr>
          <w:rFonts w:hint="eastAsia" w:ascii="宋体" w:hAnsi="宋体" w:eastAsia="宋体" w:cs="宋体"/>
          <w:bCs/>
          <w:color w:val="auto"/>
          <w:sz w:val="24"/>
          <w:szCs w:val="20"/>
          <w:highlight w:val="none"/>
        </w:rPr>
      </w:pPr>
    </w:p>
    <w:p w14:paraId="2C2567A4">
      <w:pPr>
        <w:keepNext w:val="0"/>
        <w:keepLines w:val="0"/>
        <w:pageBreakBefore w:val="0"/>
        <w:widowControl w:val="0"/>
        <w:kinsoku/>
        <w:wordWrap/>
        <w:overflowPunct/>
        <w:topLinePunct w:val="0"/>
        <w:autoSpaceDE/>
        <w:autoSpaceDN/>
        <w:bidi w:val="0"/>
        <w:adjustRightInd/>
        <w:snapToGrid w:val="0"/>
        <w:ind w:firstLine="540" w:firstLineChars="225"/>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项目编号：</w:t>
      </w:r>
    </w:p>
    <w:p w14:paraId="135F3647">
      <w:pPr>
        <w:keepNext w:val="0"/>
        <w:keepLines w:val="0"/>
        <w:pageBreakBefore w:val="0"/>
        <w:widowControl w:val="0"/>
        <w:kinsoku/>
        <w:wordWrap/>
        <w:overflowPunct/>
        <w:topLinePunct w:val="0"/>
        <w:autoSpaceDE/>
        <w:autoSpaceDN/>
        <w:bidi w:val="0"/>
        <w:adjustRightInd/>
        <w:snapToGrid w:val="0"/>
        <w:ind w:firstLine="540" w:firstLineChars="225"/>
        <w:textAlignment w:val="auto"/>
        <w:rPr>
          <w:rFonts w:hint="eastAsia" w:ascii="宋体" w:hAnsi="宋体" w:eastAsia="宋体" w:cs="宋体"/>
          <w:bCs/>
          <w:color w:val="auto"/>
          <w:sz w:val="24"/>
          <w:szCs w:val="20"/>
          <w:highlight w:val="none"/>
        </w:rPr>
      </w:pPr>
      <w:r>
        <w:rPr>
          <w:rFonts w:hint="eastAsia" w:ascii="宋体" w:hAnsi="宋体" w:eastAsia="宋体" w:cs="宋体"/>
          <w:bCs/>
          <w:color w:val="auto"/>
          <w:sz w:val="24"/>
          <w:highlight w:val="none"/>
        </w:rPr>
        <w:t xml:space="preserve"> </w:t>
      </w:r>
    </w:p>
    <w:p w14:paraId="0DCFA826">
      <w:pPr>
        <w:keepNext w:val="0"/>
        <w:keepLines w:val="0"/>
        <w:pageBreakBefore w:val="0"/>
        <w:widowControl w:val="0"/>
        <w:kinsoku/>
        <w:wordWrap/>
        <w:overflowPunct/>
        <w:topLinePunct w:val="0"/>
        <w:autoSpaceDE/>
        <w:autoSpaceDN/>
        <w:bidi w:val="0"/>
        <w:adjustRightInd/>
        <w:snapToGrid w:val="0"/>
        <w:ind w:firstLine="540" w:firstLineChars="225"/>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所投分标：</w:t>
      </w:r>
    </w:p>
    <w:p w14:paraId="45285D76">
      <w:pPr>
        <w:keepNext w:val="0"/>
        <w:keepLines w:val="0"/>
        <w:pageBreakBefore w:val="0"/>
        <w:widowControl w:val="0"/>
        <w:kinsoku/>
        <w:wordWrap/>
        <w:overflowPunct/>
        <w:topLinePunct w:val="0"/>
        <w:autoSpaceDE/>
        <w:autoSpaceDN/>
        <w:bidi w:val="0"/>
        <w:adjustRightInd/>
        <w:snapToGrid w:val="0"/>
        <w:ind w:firstLine="540" w:firstLineChars="225"/>
        <w:textAlignment w:val="auto"/>
        <w:rPr>
          <w:rFonts w:hint="eastAsia" w:ascii="宋体" w:hAnsi="宋体" w:eastAsia="宋体" w:cs="宋体"/>
          <w:bCs/>
          <w:color w:val="auto"/>
          <w:sz w:val="24"/>
          <w:szCs w:val="20"/>
          <w:highlight w:val="none"/>
        </w:rPr>
      </w:pPr>
    </w:p>
    <w:p w14:paraId="1A4688C7">
      <w:pPr>
        <w:pStyle w:val="8"/>
        <w:keepNext w:val="0"/>
        <w:keepLines w:val="0"/>
        <w:pageBreakBefore w:val="0"/>
        <w:widowControl w:val="0"/>
        <w:kinsoku/>
        <w:wordWrap/>
        <w:overflowPunct/>
        <w:topLinePunct w:val="0"/>
        <w:autoSpaceDE/>
        <w:autoSpaceDN/>
        <w:bidi w:val="0"/>
        <w:adjustRightInd/>
        <w:snapToGrid w:val="0"/>
        <w:ind w:firstLine="540" w:firstLineChars="225"/>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投标人名称：</w:t>
      </w:r>
    </w:p>
    <w:p w14:paraId="239683CB">
      <w:pPr>
        <w:pStyle w:val="8"/>
        <w:keepNext w:val="0"/>
        <w:keepLines w:val="0"/>
        <w:pageBreakBefore w:val="0"/>
        <w:widowControl w:val="0"/>
        <w:kinsoku/>
        <w:wordWrap/>
        <w:overflowPunct/>
        <w:topLinePunct w:val="0"/>
        <w:autoSpaceDE/>
        <w:autoSpaceDN/>
        <w:bidi w:val="0"/>
        <w:adjustRightInd/>
        <w:snapToGrid w:val="0"/>
        <w:ind w:firstLine="540" w:firstLineChars="225"/>
        <w:textAlignment w:val="auto"/>
        <w:rPr>
          <w:rFonts w:hint="eastAsia" w:ascii="宋体" w:hAnsi="宋体" w:eastAsia="宋体" w:cs="宋体"/>
          <w:bCs/>
          <w:color w:val="auto"/>
          <w:sz w:val="24"/>
          <w:szCs w:val="24"/>
          <w:highlight w:val="none"/>
        </w:rPr>
      </w:pPr>
    </w:p>
    <w:p w14:paraId="5EF9E748">
      <w:pPr>
        <w:pStyle w:val="8"/>
        <w:keepNext w:val="0"/>
        <w:keepLines w:val="0"/>
        <w:pageBreakBefore w:val="0"/>
        <w:widowControl w:val="0"/>
        <w:kinsoku/>
        <w:wordWrap/>
        <w:overflowPunct/>
        <w:topLinePunct w:val="0"/>
        <w:autoSpaceDE/>
        <w:autoSpaceDN/>
        <w:bidi w:val="0"/>
        <w:adjustRightInd/>
        <w:snapToGrid w:val="0"/>
        <w:ind w:firstLine="540" w:firstLineChars="225"/>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投标人地址：</w:t>
      </w:r>
    </w:p>
    <w:p w14:paraId="5CB161C5">
      <w:pPr>
        <w:pStyle w:val="8"/>
        <w:snapToGrid w:val="0"/>
        <w:spacing w:before="50" w:after="50"/>
        <w:ind w:firstLine="960" w:firstLineChars="400"/>
        <w:rPr>
          <w:rFonts w:hint="eastAsia" w:ascii="宋体" w:hAnsi="宋体" w:eastAsia="宋体" w:cs="宋体"/>
          <w:bCs/>
          <w:color w:val="auto"/>
          <w:sz w:val="24"/>
          <w:szCs w:val="24"/>
          <w:highlight w:val="none"/>
        </w:rPr>
      </w:pPr>
    </w:p>
    <w:p w14:paraId="15CCEA9E">
      <w:pPr>
        <w:snapToGrid w:val="0"/>
        <w:spacing w:before="165" w:beforeLines="50" w:after="50"/>
        <w:ind w:firstLine="645"/>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年  月  日</w:t>
      </w:r>
    </w:p>
    <w:p w14:paraId="2408572A">
      <w:pPr>
        <w:snapToGrid w:val="0"/>
        <w:spacing w:before="165" w:beforeLines="50" w:after="5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 xml:space="preserve"> </w:t>
      </w:r>
    </w:p>
    <w:p w14:paraId="49291804">
      <w:pPr>
        <w:spacing w:line="360" w:lineRule="auto"/>
        <w:ind w:right="420"/>
        <w:rPr>
          <w:rFonts w:hint="eastAsia" w:ascii="宋体" w:hAnsi="宋体" w:eastAsia="宋体" w:cs="宋体"/>
          <w:color w:val="auto"/>
          <w:sz w:val="24"/>
          <w:szCs w:val="20"/>
          <w:highlight w:val="none"/>
        </w:rPr>
      </w:pPr>
    </w:p>
    <w:p w14:paraId="5AD02D3D">
      <w:pPr>
        <w:spacing w:line="360" w:lineRule="auto"/>
        <w:ind w:right="420"/>
        <w:rPr>
          <w:rFonts w:hint="eastAsia" w:ascii="宋体" w:hAnsi="宋体" w:eastAsia="宋体" w:cs="宋体"/>
          <w:color w:val="auto"/>
          <w:sz w:val="24"/>
          <w:szCs w:val="20"/>
          <w:highlight w:val="none"/>
        </w:rPr>
      </w:pPr>
    </w:p>
    <w:p w14:paraId="14B0BE1E">
      <w:pPr>
        <w:spacing w:line="360" w:lineRule="auto"/>
        <w:ind w:right="420"/>
        <w:rPr>
          <w:rFonts w:hint="eastAsia" w:ascii="宋体" w:hAnsi="宋体" w:eastAsia="宋体" w:cs="宋体"/>
          <w:color w:val="auto"/>
          <w:sz w:val="24"/>
          <w:szCs w:val="20"/>
          <w:highlight w:val="none"/>
        </w:rPr>
      </w:pPr>
    </w:p>
    <w:p w14:paraId="52D2EE94">
      <w:pPr>
        <w:spacing w:line="360" w:lineRule="auto"/>
        <w:ind w:right="420"/>
        <w:rPr>
          <w:rFonts w:hint="eastAsia" w:ascii="宋体" w:hAnsi="宋体" w:eastAsia="宋体" w:cs="宋体"/>
          <w:color w:val="auto"/>
          <w:sz w:val="24"/>
          <w:szCs w:val="20"/>
          <w:highlight w:val="none"/>
        </w:rPr>
      </w:pPr>
    </w:p>
    <w:p w14:paraId="6523ECAD">
      <w:pPr>
        <w:spacing w:line="360" w:lineRule="auto"/>
        <w:ind w:right="420"/>
        <w:rPr>
          <w:rFonts w:hint="eastAsia" w:ascii="宋体" w:hAnsi="宋体" w:eastAsia="宋体" w:cs="宋体"/>
          <w:color w:val="auto"/>
          <w:sz w:val="24"/>
          <w:szCs w:val="20"/>
          <w:highlight w:val="none"/>
        </w:rPr>
      </w:pPr>
    </w:p>
    <w:p w14:paraId="4624D82A">
      <w:pPr>
        <w:spacing w:line="360" w:lineRule="auto"/>
        <w:ind w:right="420"/>
        <w:rPr>
          <w:rFonts w:hint="eastAsia" w:ascii="宋体" w:hAnsi="宋体" w:eastAsia="宋体" w:cs="宋体"/>
          <w:color w:val="auto"/>
          <w:sz w:val="24"/>
          <w:szCs w:val="20"/>
          <w:highlight w:val="none"/>
        </w:rPr>
      </w:pPr>
    </w:p>
    <w:p w14:paraId="70809799">
      <w:pPr>
        <w:spacing w:line="360" w:lineRule="auto"/>
        <w:ind w:right="420"/>
        <w:rPr>
          <w:rFonts w:hint="eastAsia" w:ascii="宋体" w:hAnsi="宋体" w:eastAsia="宋体" w:cs="宋体"/>
          <w:color w:val="auto"/>
          <w:sz w:val="24"/>
          <w:szCs w:val="20"/>
          <w:highlight w:val="none"/>
        </w:rPr>
      </w:pPr>
    </w:p>
    <w:p w14:paraId="40815FDB">
      <w:pPr>
        <w:spacing w:line="360" w:lineRule="auto"/>
        <w:ind w:right="420"/>
        <w:rPr>
          <w:rFonts w:hint="eastAsia" w:ascii="宋体" w:hAnsi="宋体" w:eastAsia="宋体" w:cs="宋体"/>
          <w:color w:val="auto"/>
          <w:sz w:val="24"/>
          <w:szCs w:val="20"/>
          <w:highlight w:val="none"/>
        </w:rPr>
      </w:pPr>
    </w:p>
    <w:p w14:paraId="78C9C071">
      <w:pPr>
        <w:spacing w:line="360" w:lineRule="auto"/>
        <w:ind w:right="420"/>
        <w:rPr>
          <w:rFonts w:hint="eastAsia" w:ascii="宋体" w:hAnsi="宋体" w:eastAsia="宋体" w:cs="宋体"/>
          <w:color w:val="auto"/>
          <w:sz w:val="24"/>
          <w:szCs w:val="20"/>
          <w:highlight w:val="none"/>
        </w:rPr>
      </w:pPr>
    </w:p>
    <w:p w14:paraId="01A6A364">
      <w:pPr>
        <w:pStyle w:val="27"/>
        <w:rPr>
          <w:rFonts w:hint="eastAsia" w:ascii="宋体" w:hAnsi="宋体" w:eastAsia="宋体" w:cs="宋体"/>
          <w:color w:val="auto"/>
          <w:sz w:val="24"/>
          <w:szCs w:val="20"/>
          <w:highlight w:val="none"/>
        </w:rPr>
      </w:pPr>
    </w:p>
    <w:p w14:paraId="4BE8EE92">
      <w:pPr>
        <w:pStyle w:val="27"/>
        <w:rPr>
          <w:rFonts w:hint="eastAsia" w:ascii="宋体" w:hAnsi="宋体" w:eastAsia="宋体" w:cs="宋体"/>
          <w:color w:val="auto"/>
          <w:sz w:val="24"/>
          <w:szCs w:val="20"/>
          <w:highlight w:val="none"/>
        </w:rPr>
      </w:pPr>
    </w:p>
    <w:p w14:paraId="54C74655">
      <w:pPr>
        <w:pStyle w:val="27"/>
        <w:rPr>
          <w:rFonts w:hint="eastAsia" w:ascii="宋体" w:hAnsi="宋体" w:eastAsia="宋体" w:cs="宋体"/>
          <w:color w:val="auto"/>
          <w:sz w:val="24"/>
          <w:szCs w:val="20"/>
          <w:highlight w:val="none"/>
        </w:rPr>
      </w:pPr>
    </w:p>
    <w:p w14:paraId="4145DAA7">
      <w:pPr>
        <w:spacing w:line="360" w:lineRule="auto"/>
        <w:ind w:right="42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 xml:space="preserve"> </w:t>
      </w:r>
    </w:p>
    <w:p w14:paraId="6A5A991D">
      <w:pPr>
        <w:rPr>
          <w:rFonts w:hint="eastAsia" w:ascii="宋体" w:hAnsi="宋体" w:eastAsia="宋体" w:cs="宋体"/>
          <w:b/>
          <w:color w:val="auto"/>
          <w:kern w:val="0"/>
          <w:sz w:val="24"/>
          <w:highlight w:val="none"/>
        </w:rPr>
      </w:pPr>
    </w:p>
    <w:p w14:paraId="769DC5B2">
      <w:pPr>
        <w:jc w:val="center"/>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商务文件目录</w:t>
      </w:r>
    </w:p>
    <w:p w14:paraId="1011DA8F">
      <w:pPr>
        <w:pStyle w:val="35"/>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一、无串标行为承诺函…………………………………………………………………（页码）</w:t>
      </w:r>
    </w:p>
    <w:p w14:paraId="73024FD7">
      <w:pPr>
        <w:pStyle w:val="35"/>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二、法定代表人身份证明及法定代表人有效身份证正反面复印件…………………（页码）</w:t>
      </w:r>
    </w:p>
    <w:p w14:paraId="179EA1A6">
      <w:pPr>
        <w:pStyle w:val="35"/>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三、法定代表人授权委托书及委托代理人有效身份证正反面复印件（如有委托时）…</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6E899FFD">
      <w:pPr>
        <w:pStyle w:val="35"/>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四、</w:t>
      </w:r>
      <w:r>
        <w:rPr>
          <w:rFonts w:hint="eastAsia" w:ascii="宋体" w:hAnsi="宋体" w:eastAsia="宋体" w:cs="宋体"/>
          <w:color w:val="auto"/>
          <w:highlight w:val="none"/>
          <w:lang w:val="zh-CN"/>
        </w:rPr>
        <w:t>商务条款偏离表………………………………</w:t>
      </w:r>
      <w:r>
        <w:rPr>
          <w:rFonts w:hint="eastAsia" w:ascii="宋体" w:hAnsi="宋体" w:eastAsia="宋体" w:cs="宋体"/>
          <w:color w:val="auto"/>
          <w:highlight w:val="none"/>
        </w:rPr>
        <w:t>……………………………………（页码）</w:t>
      </w:r>
    </w:p>
    <w:p w14:paraId="3E6D8126">
      <w:pPr>
        <w:pStyle w:val="35"/>
        <w:spacing w:line="360" w:lineRule="auto"/>
        <w:rPr>
          <w:rFonts w:hint="eastAsia" w:ascii="宋体" w:hAnsi="宋体" w:eastAsia="宋体" w:cs="宋体"/>
          <w:color w:val="auto"/>
          <w:highlight w:val="none"/>
        </w:rPr>
      </w:pPr>
      <w:bookmarkStart w:id="332" w:name="OLE_LINK6"/>
      <w:bookmarkStart w:id="333" w:name="OLE_LINK7"/>
      <w:bookmarkStart w:id="334" w:name="OLE_LINK5"/>
      <w:r>
        <w:rPr>
          <w:rFonts w:hint="eastAsia" w:ascii="宋体" w:hAnsi="宋体" w:eastAsia="宋体" w:cs="宋体"/>
          <w:color w:val="auto"/>
          <w:highlight w:val="none"/>
        </w:rPr>
        <w:t>五、投标人情况介绍</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10C8B5B3">
      <w:pPr>
        <w:pStyle w:val="35"/>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六、投标人类似的业绩证明文件</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如有</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147EEF2B">
      <w:pPr>
        <w:pStyle w:val="35"/>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七、</w:t>
      </w:r>
      <w:r>
        <w:rPr>
          <w:rFonts w:hint="eastAsia" w:ascii="宋体" w:hAnsi="宋体" w:eastAsia="宋体" w:cs="宋体"/>
          <w:color w:val="auto"/>
          <w:highlight w:val="none"/>
        </w:rPr>
        <w:t>投标人认为需要提供的其他证明材料</w:t>
      </w:r>
      <w:r>
        <w:rPr>
          <w:rFonts w:hint="eastAsia" w:ascii="宋体" w:hAnsi="宋体" w:eastAsia="宋体" w:cs="宋体"/>
          <w:color w:val="auto"/>
          <w:highlight w:val="none"/>
          <w:lang w:val="zh-CN"/>
        </w:rPr>
        <w:t>………………………………………</w:t>
      </w:r>
      <w:r>
        <w:rPr>
          <w:rFonts w:hint="eastAsia" w:ascii="宋体" w:hAnsi="宋体" w:eastAsia="宋体" w:cs="宋体"/>
          <w:color w:val="auto"/>
          <w:highlight w:val="none"/>
        </w:rPr>
        <w:t>…</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bookmarkEnd w:id="332"/>
      <w:bookmarkEnd w:id="333"/>
    </w:p>
    <w:bookmarkEnd w:id="334"/>
    <w:p w14:paraId="087C2EAA">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注：以上目录是基本格式要求，各投标人可根据自身情况进一步向下增加内容或细化。</w:t>
      </w:r>
    </w:p>
    <w:p w14:paraId="055700EC">
      <w:pPr>
        <w:widowControl/>
        <w:spacing w:line="360" w:lineRule="auto"/>
        <w:jc w:val="left"/>
        <w:rPr>
          <w:rFonts w:hint="eastAsia" w:ascii="宋体" w:hAnsi="宋体" w:eastAsia="宋体" w:cs="宋体"/>
          <w:color w:val="auto"/>
          <w:highlight w:val="none"/>
        </w:rPr>
        <w:sectPr>
          <w:pgSz w:w="11906" w:h="16838"/>
          <w:pgMar w:top="1134" w:right="1134" w:bottom="1134" w:left="1134" w:header="720" w:footer="720" w:gutter="0"/>
          <w:cols w:space="720" w:num="1"/>
          <w:docGrid w:type="lines" w:linePitch="331" w:charSpace="0"/>
        </w:sectPr>
      </w:pPr>
    </w:p>
    <w:p w14:paraId="2F58B001">
      <w:pPr>
        <w:snapToGrid w:val="0"/>
        <w:spacing w:before="120" w:beforeLines="50" w:after="50"/>
        <w:ind w:left="420"/>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一、无串标行为承诺函</w:t>
      </w:r>
    </w:p>
    <w:p w14:paraId="5C80AA7D">
      <w:pPr>
        <w:snapToGrid w:val="0"/>
        <w:spacing w:before="120" w:beforeLines="50" w:after="50"/>
        <w:ind w:left="420"/>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投标人参加本项目无围标串标行为的承诺函</w:t>
      </w:r>
    </w:p>
    <w:p w14:paraId="020F7BDD">
      <w:pPr>
        <w:snapToGrid w:val="0"/>
        <w:spacing w:before="120" w:beforeLines="50" w:after="50"/>
        <w:rPr>
          <w:rFonts w:hint="eastAsia" w:ascii="宋体" w:hAnsi="宋体" w:eastAsia="宋体" w:cs="宋体"/>
          <w:b/>
          <w:color w:val="auto"/>
          <w:szCs w:val="21"/>
          <w:highlight w:val="none"/>
        </w:rPr>
      </w:pPr>
    </w:p>
    <w:p w14:paraId="072E9B23">
      <w:pPr>
        <w:snapToGrid w:val="0"/>
        <w:spacing w:before="120" w:beforeLines="50" w:after="50" w:line="360" w:lineRule="auto"/>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一、我方承诺无下列相互串通投标的情形：</w:t>
      </w:r>
    </w:p>
    <w:p w14:paraId="55738702">
      <w:pPr>
        <w:snapToGrid w:val="0"/>
        <w:spacing w:before="120" w:beforeLines="50" w:after="50" w:line="360" w:lineRule="auto"/>
        <w:ind w:firstLine="411" w:firstLineChars="196"/>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1.不同投标人的投标文件由同一单位或者个人编制；或者不同投标人报名的IP地址一致的；或者编制标书硬件设备CPU编号、硬盘编号、网卡地址一致的情况。</w:t>
      </w:r>
    </w:p>
    <w:p w14:paraId="3AA27F66">
      <w:pPr>
        <w:snapToGrid w:val="0"/>
        <w:spacing w:before="120" w:beforeLines="50" w:after="50" w:line="360" w:lineRule="auto"/>
        <w:ind w:firstLine="411" w:firstLineChars="196"/>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2.不同投标人委托同一单位或者个人办理投标事宜；</w:t>
      </w:r>
    </w:p>
    <w:p w14:paraId="15687662">
      <w:pPr>
        <w:snapToGrid w:val="0"/>
        <w:spacing w:before="120" w:beforeLines="50" w:after="50" w:line="360" w:lineRule="auto"/>
        <w:ind w:firstLine="411" w:firstLineChars="196"/>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3.不同的投标人的投标文件载明的项目管理员为同一个人；</w:t>
      </w:r>
    </w:p>
    <w:p w14:paraId="77C5A7D8">
      <w:pPr>
        <w:snapToGrid w:val="0"/>
        <w:spacing w:before="120" w:beforeLines="50" w:after="50" w:line="360" w:lineRule="auto"/>
        <w:ind w:firstLine="411" w:firstLineChars="196"/>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4.不同投标人的投标文件异常一致或者投标报价呈规律性差异；</w:t>
      </w:r>
    </w:p>
    <w:p w14:paraId="2621E709">
      <w:pPr>
        <w:snapToGrid w:val="0"/>
        <w:spacing w:before="120" w:beforeLines="50" w:after="50" w:line="360" w:lineRule="auto"/>
        <w:ind w:firstLine="411" w:firstLineChars="196"/>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5.不同投标人的投标文件相互混装；</w:t>
      </w:r>
    </w:p>
    <w:p w14:paraId="28162376">
      <w:pPr>
        <w:snapToGrid w:val="0"/>
        <w:spacing w:before="120" w:beforeLines="50" w:after="50" w:line="360" w:lineRule="auto"/>
        <w:ind w:firstLine="411" w:firstLineChars="196"/>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6.不同投标人的投标保证金从同一单位或者个人账户转出。</w:t>
      </w:r>
    </w:p>
    <w:p w14:paraId="7945B52B">
      <w:pPr>
        <w:snapToGrid w:val="0"/>
        <w:spacing w:before="120" w:beforeLines="50" w:after="50" w:line="360" w:lineRule="auto"/>
        <w:jc w:val="left"/>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二、我方承诺无下列恶意串通的情形：</w:t>
      </w:r>
    </w:p>
    <w:p w14:paraId="24914317">
      <w:pPr>
        <w:snapToGrid w:val="0"/>
        <w:spacing w:before="120" w:beforeLines="50" w:after="50" w:line="360" w:lineRule="auto"/>
        <w:ind w:firstLine="411" w:firstLineChars="196"/>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1.投标人直接或者间接从采购人或者采购代理机构处获得其他投标人的相关信息并修改其投标文件或者投标文件；</w:t>
      </w:r>
    </w:p>
    <w:p w14:paraId="75797E56">
      <w:pPr>
        <w:snapToGrid w:val="0"/>
        <w:spacing w:before="120" w:beforeLines="50" w:after="50" w:line="360" w:lineRule="auto"/>
        <w:ind w:firstLine="411" w:firstLineChars="196"/>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2.投标人按照采购人或者采购代理机构的授意撤换、修改投标文件或者投标文件；</w:t>
      </w:r>
    </w:p>
    <w:p w14:paraId="5D61374F">
      <w:pPr>
        <w:snapToGrid w:val="0"/>
        <w:spacing w:before="120" w:beforeLines="50" w:after="50" w:line="360" w:lineRule="auto"/>
        <w:ind w:firstLine="411" w:firstLineChars="196"/>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3.投标人之间协商报价、技术方案等投标文件或者投标文件的实质性内容；</w:t>
      </w:r>
    </w:p>
    <w:p w14:paraId="4F2018F0">
      <w:pPr>
        <w:snapToGrid w:val="0"/>
        <w:spacing w:before="120" w:beforeLines="50" w:after="50" w:line="360" w:lineRule="auto"/>
        <w:ind w:firstLine="411" w:firstLineChars="196"/>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4.属于同一集团、协会、商会等组织成员的投标人按照该组织要求协同参加政府采购活动；</w:t>
      </w:r>
    </w:p>
    <w:p w14:paraId="160C850D">
      <w:pPr>
        <w:snapToGrid w:val="0"/>
        <w:spacing w:before="120" w:beforeLines="50" w:after="50" w:line="360" w:lineRule="auto"/>
        <w:ind w:firstLine="411" w:firstLineChars="196"/>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5.投标人之间事先约定一致抬高或者压低投标报价，或者在招标项目中事先约定轮流以高价位或者低价位中标，或者事先约定由某一特定投标人中标，然后再参加投标；</w:t>
      </w:r>
    </w:p>
    <w:p w14:paraId="3BA67E60">
      <w:pPr>
        <w:snapToGrid w:val="0"/>
        <w:spacing w:before="120" w:beforeLines="50" w:after="50" w:line="360" w:lineRule="auto"/>
        <w:ind w:firstLine="411" w:firstLineChars="196"/>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6.投标人之间商定部分投标人放弃参加政府采购活动或者放弃中标；</w:t>
      </w:r>
    </w:p>
    <w:p w14:paraId="1D571B8A">
      <w:pPr>
        <w:snapToGrid w:val="0"/>
        <w:spacing w:before="120" w:beforeLines="50" w:after="50" w:line="360" w:lineRule="auto"/>
        <w:ind w:firstLine="411" w:firstLineChars="196"/>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7.投标人与采购人或者采购代理机构之间、投标人相互之间，为谋求特定投标人中标或者排斥其他投标人的其他串通行为。</w:t>
      </w:r>
    </w:p>
    <w:p w14:paraId="6F3AD47B">
      <w:pPr>
        <w:snapToGrid w:val="0"/>
        <w:spacing w:before="120" w:beforeLines="50" w:after="50" w:line="360" w:lineRule="auto"/>
        <w:ind w:firstLine="413" w:firstLineChars="196"/>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以上情形一经核查属实，我方愿意承担一切后果，接受政府采购监管部门对我方认定存在围标串标行为，并不再寻求任何旨在减轻或者免除法律责任的辩解。</w:t>
      </w:r>
    </w:p>
    <w:p w14:paraId="3BBF151E">
      <w:pPr>
        <w:snapToGrid w:val="0"/>
        <w:spacing w:line="360" w:lineRule="auto"/>
        <w:ind w:firstLine="4935" w:firstLineChars="2350"/>
        <w:rPr>
          <w:rFonts w:hint="eastAsia" w:ascii="宋体" w:hAnsi="宋体" w:eastAsia="宋体" w:cs="宋体"/>
          <w:color w:val="auto"/>
          <w:kern w:val="0"/>
          <w:sz w:val="24"/>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kern w:val="0"/>
          <w:sz w:val="24"/>
          <w:highlight w:val="none"/>
          <w:lang w:val="zh-CN"/>
        </w:rPr>
        <w:t>投标人名称（电子签章）：</w:t>
      </w:r>
    </w:p>
    <w:p w14:paraId="6B3288FD">
      <w:pPr>
        <w:snapToGrid w:val="0"/>
        <w:spacing w:line="360" w:lineRule="auto"/>
        <w:ind w:firstLine="5160" w:firstLineChars="21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3F8C287C">
      <w:pPr>
        <w:pStyle w:val="11"/>
        <w:snapToGrid w:val="0"/>
        <w:spacing w:before="295" w:after="295"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r>
        <w:rPr>
          <w:rFonts w:hint="eastAsia" w:ascii="宋体" w:hAnsi="宋体" w:eastAsia="宋体" w:cs="宋体"/>
          <w:b/>
          <w:bCs/>
          <w:color w:val="auto"/>
          <w:sz w:val="30"/>
          <w:szCs w:val="30"/>
          <w:highlight w:val="none"/>
        </w:rPr>
        <w:t>二、法定代表人身份证明及法定代表人有效身份证正反面复印件</w:t>
      </w:r>
    </w:p>
    <w:p w14:paraId="39903637">
      <w:pPr>
        <w:spacing w:before="240" w:beforeLines="100" w:after="120" w:afterLines="50"/>
        <w:ind w:left="540"/>
        <w:jc w:val="center"/>
        <w:rPr>
          <w:rFonts w:hint="eastAsia" w:ascii="宋体" w:hAnsi="宋体" w:eastAsia="宋体" w:cs="宋体"/>
          <w:b/>
          <w:color w:val="auto"/>
          <w:sz w:val="32"/>
          <w:szCs w:val="32"/>
          <w:highlight w:val="none"/>
        </w:rPr>
      </w:pPr>
    </w:p>
    <w:p w14:paraId="20EFE85C">
      <w:pPr>
        <w:spacing w:before="240" w:beforeLines="100" w:after="120" w:afterLines="50"/>
        <w:ind w:left="540"/>
        <w:jc w:val="center"/>
        <w:rPr>
          <w:rFonts w:hint="eastAsia" w:ascii="宋体" w:hAnsi="宋体" w:eastAsia="宋体" w:cs="宋体"/>
          <w:color w:val="auto"/>
          <w:sz w:val="32"/>
          <w:szCs w:val="32"/>
          <w:highlight w:val="none"/>
        </w:rPr>
      </w:pPr>
      <w:r>
        <w:rPr>
          <w:rFonts w:hint="eastAsia" w:ascii="宋体" w:hAnsi="宋体" w:eastAsia="宋体" w:cs="宋体"/>
          <w:b/>
          <w:color w:val="auto"/>
          <w:sz w:val="32"/>
          <w:szCs w:val="32"/>
          <w:highlight w:val="none"/>
        </w:rPr>
        <w:t>法定代表人身份证明</w:t>
      </w:r>
    </w:p>
    <w:p w14:paraId="0BC997A1">
      <w:pPr>
        <w:spacing w:line="500" w:lineRule="exact"/>
        <w:ind w:left="540"/>
        <w:rPr>
          <w:rFonts w:hint="eastAsia" w:ascii="宋体" w:hAnsi="宋体" w:eastAsia="宋体" w:cs="宋体"/>
          <w:color w:val="auto"/>
          <w:sz w:val="24"/>
          <w:highlight w:val="none"/>
        </w:rPr>
      </w:pPr>
      <w:r>
        <w:rPr>
          <w:rFonts w:hint="eastAsia" w:ascii="宋体" w:hAnsi="宋体" w:eastAsia="宋体" w:cs="宋体"/>
          <w:color w:val="auto"/>
          <w:sz w:val="24"/>
          <w:highlight w:val="none"/>
        </w:rPr>
        <w:t>投 标 人：</w:t>
      </w:r>
      <w:r>
        <w:rPr>
          <w:rFonts w:hint="eastAsia" w:ascii="宋体" w:hAnsi="宋体" w:eastAsia="宋体" w:cs="宋体"/>
          <w:color w:val="auto"/>
          <w:sz w:val="24"/>
          <w:highlight w:val="none"/>
          <w:u w:val="single"/>
        </w:rPr>
        <w:t xml:space="preserve">                                                        </w:t>
      </w:r>
    </w:p>
    <w:p w14:paraId="3FC3840D">
      <w:pPr>
        <w:spacing w:line="500" w:lineRule="exact"/>
        <w:ind w:left="540"/>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single"/>
        </w:rPr>
        <w:t xml:space="preserve">                                                        </w:t>
      </w:r>
    </w:p>
    <w:p w14:paraId="1A9BB718">
      <w:pPr>
        <w:spacing w:line="500" w:lineRule="exact"/>
        <w:ind w:left="540"/>
        <w:rPr>
          <w:rFonts w:hint="eastAsia" w:ascii="宋体" w:hAnsi="宋体" w:eastAsia="宋体" w:cs="宋体"/>
          <w:color w:val="auto"/>
          <w:sz w:val="24"/>
          <w:highlight w:val="none"/>
        </w:rPr>
      </w:pPr>
      <w:r>
        <w:rPr>
          <w:rFonts w:hint="eastAsia" w:ascii="宋体" w:hAnsi="宋体" w:eastAsia="宋体" w:cs="宋体"/>
          <w:color w:val="auto"/>
          <w:sz w:val="24"/>
          <w:highlight w:val="none"/>
        </w:rPr>
        <w:t>姓    名：</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性      别：</w:t>
      </w:r>
      <w:r>
        <w:rPr>
          <w:rFonts w:hint="eastAsia" w:ascii="宋体" w:hAnsi="宋体" w:eastAsia="宋体" w:cs="宋体"/>
          <w:color w:val="auto"/>
          <w:sz w:val="24"/>
          <w:highlight w:val="none"/>
          <w:u w:val="single"/>
        </w:rPr>
        <w:t xml:space="preserve">                </w:t>
      </w:r>
    </w:p>
    <w:p w14:paraId="7B190ED1">
      <w:pPr>
        <w:spacing w:line="500" w:lineRule="exact"/>
        <w:ind w:left="54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年    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职      务：</w:t>
      </w:r>
      <w:r>
        <w:rPr>
          <w:rFonts w:hint="eastAsia" w:ascii="宋体" w:hAnsi="宋体" w:eastAsia="宋体" w:cs="宋体"/>
          <w:color w:val="auto"/>
          <w:sz w:val="24"/>
          <w:highlight w:val="none"/>
          <w:u w:val="single"/>
        </w:rPr>
        <w:t xml:space="preserve">                </w:t>
      </w:r>
    </w:p>
    <w:p w14:paraId="4A711DC6">
      <w:pPr>
        <w:spacing w:line="500" w:lineRule="exact"/>
        <w:ind w:left="540"/>
        <w:rPr>
          <w:rFonts w:hint="eastAsia" w:ascii="宋体" w:hAnsi="宋体" w:eastAsia="宋体" w:cs="宋体"/>
          <w:color w:val="auto"/>
          <w:sz w:val="24"/>
          <w:highlight w:val="none"/>
        </w:rPr>
      </w:pPr>
      <w:r>
        <w:rPr>
          <w:rFonts w:hint="eastAsia" w:ascii="宋体" w:hAnsi="宋体" w:eastAsia="宋体" w:cs="宋体"/>
          <w:color w:val="auto"/>
          <w:sz w:val="24"/>
          <w:highlight w:val="none"/>
        </w:rPr>
        <w:t>身份证号码：</w:t>
      </w:r>
      <w:r>
        <w:rPr>
          <w:rFonts w:hint="eastAsia" w:ascii="宋体" w:hAnsi="宋体" w:eastAsia="宋体" w:cs="宋体"/>
          <w:color w:val="auto"/>
          <w:sz w:val="24"/>
          <w:highlight w:val="none"/>
          <w:u w:val="single"/>
        </w:rPr>
        <w:t xml:space="preserve">                                 </w:t>
      </w:r>
    </w:p>
    <w:p w14:paraId="7DDE2470">
      <w:pPr>
        <w:spacing w:line="500" w:lineRule="exact"/>
        <w:ind w:left="540"/>
        <w:rPr>
          <w:rFonts w:hint="eastAsia" w:ascii="宋体" w:hAnsi="宋体" w:eastAsia="宋体" w:cs="宋体"/>
          <w:color w:val="auto"/>
          <w:sz w:val="24"/>
          <w:highlight w:val="none"/>
        </w:rPr>
      </w:pPr>
      <w:r>
        <w:rPr>
          <w:rFonts w:hint="eastAsia" w:ascii="宋体" w:hAnsi="宋体" w:eastAsia="宋体" w:cs="宋体"/>
          <w:color w:val="auto"/>
          <w:sz w:val="24"/>
          <w:highlight w:val="none"/>
        </w:rPr>
        <w:t>系</w:t>
      </w:r>
      <w:r>
        <w:rPr>
          <w:rFonts w:hint="eastAsia" w:ascii="宋体" w:hAnsi="宋体" w:eastAsia="宋体" w:cs="宋体"/>
          <w:color w:val="auto"/>
          <w:sz w:val="24"/>
          <w:highlight w:val="none"/>
          <w:u w:val="single"/>
        </w:rPr>
        <w:t xml:space="preserve">            （投标人名称）              </w:t>
      </w:r>
      <w:r>
        <w:rPr>
          <w:rFonts w:hint="eastAsia" w:ascii="宋体" w:hAnsi="宋体" w:eastAsia="宋体" w:cs="宋体"/>
          <w:color w:val="auto"/>
          <w:sz w:val="24"/>
          <w:highlight w:val="none"/>
        </w:rPr>
        <w:t>的法定代表人。</w:t>
      </w:r>
    </w:p>
    <w:p w14:paraId="2428B211">
      <w:pPr>
        <w:spacing w:line="500" w:lineRule="exact"/>
        <w:ind w:left="54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特此证明。</w:t>
      </w:r>
    </w:p>
    <w:p w14:paraId="521F334E">
      <w:pPr>
        <w:spacing w:line="500" w:lineRule="exact"/>
        <w:ind w:left="540"/>
        <w:rPr>
          <w:rFonts w:hint="eastAsia" w:ascii="宋体" w:hAnsi="宋体" w:eastAsia="宋体" w:cs="宋体"/>
          <w:color w:val="auto"/>
          <w:sz w:val="24"/>
          <w:highlight w:val="none"/>
        </w:rPr>
      </w:pPr>
    </w:p>
    <w:p w14:paraId="2720A2D5">
      <w:pPr>
        <w:spacing w:line="500" w:lineRule="exact"/>
        <w:ind w:left="540"/>
        <w:rPr>
          <w:rFonts w:hint="eastAsia" w:ascii="宋体" w:hAnsi="宋体" w:eastAsia="宋体" w:cs="宋体"/>
          <w:color w:val="auto"/>
          <w:sz w:val="24"/>
          <w:highlight w:val="none"/>
        </w:rPr>
      </w:pPr>
    </w:p>
    <w:p w14:paraId="177A9AB4">
      <w:pPr>
        <w:spacing w:line="500" w:lineRule="exact"/>
        <w:ind w:left="540"/>
        <w:rPr>
          <w:rFonts w:hint="eastAsia" w:ascii="宋体" w:hAnsi="宋体" w:eastAsia="宋体" w:cs="宋体"/>
          <w:color w:val="auto"/>
          <w:sz w:val="24"/>
          <w:highlight w:val="none"/>
        </w:rPr>
      </w:pPr>
      <w:r>
        <w:rPr>
          <w:rFonts w:hint="eastAsia" w:ascii="宋体" w:hAnsi="宋体" w:eastAsia="宋体" w:cs="宋体"/>
          <w:color w:val="auto"/>
          <w:sz w:val="24"/>
          <w:highlight w:val="none"/>
        </w:rPr>
        <w:t>附件：法定代表人有效身份证正反面复印件</w:t>
      </w:r>
    </w:p>
    <w:p w14:paraId="28B67CD5">
      <w:pPr>
        <w:spacing w:line="500" w:lineRule="exact"/>
        <w:ind w:left="540"/>
        <w:rPr>
          <w:rFonts w:hint="eastAsia" w:ascii="宋体" w:hAnsi="宋体" w:eastAsia="宋体" w:cs="宋体"/>
          <w:color w:val="auto"/>
          <w:sz w:val="24"/>
          <w:highlight w:val="none"/>
        </w:rPr>
      </w:pPr>
    </w:p>
    <w:p w14:paraId="207CFF92">
      <w:pPr>
        <w:snapToGrid w:val="0"/>
        <w:spacing w:line="360" w:lineRule="auto"/>
        <w:ind w:firstLine="4935" w:firstLineChars="2350"/>
        <w:rPr>
          <w:rFonts w:hint="eastAsia" w:ascii="宋体" w:hAnsi="宋体" w:eastAsia="宋体" w:cs="宋体"/>
          <w:color w:val="auto"/>
          <w:kern w:val="0"/>
          <w:sz w:val="24"/>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kern w:val="0"/>
          <w:sz w:val="24"/>
          <w:highlight w:val="none"/>
          <w:lang w:val="zh-CN"/>
        </w:rPr>
        <w:t>投标人名称（电子签章）：</w:t>
      </w:r>
    </w:p>
    <w:p w14:paraId="1A099349">
      <w:pPr>
        <w:snapToGrid w:val="0"/>
        <w:spacing w:line="360" w:lineRule="auto"/>
        <w:ind w:firstLine="5160" w:firstLineChars="21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6DBFB033">
      <w:pPr>
        <w:snapToGrid w:val="0"/>
        <w:spacing w:before="120" w:beforeLines="50" w:after="50"/>
        <w:jc w:val="center"/>
        <w:rPr>
          <w:rFonts w:hint="eastAsia" w:ascii="宋体" w:hAnsi="宋体" w:eastAsia="宋体" w:cs="宋体"/>
          <w:b/>
          <w:color w:val="auto"/>
          <w:sz w:val="24"/>
          <w:highlight w:val="none"/>
        </w:rPr>
      </w:pPr>
    </w:p>
    <w:p w14:paraId="78A25089">
      <w:pPr>
        <w:snapToGrid w:val="0"/>
        <w:spacing w:before="120" w:beforeLines="50" w:after="50"/>
        <w:ind w:firstLine="600" w:firstLineChars="2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注：自然人投标的无需提供</w:t>
      </w:r>
    </w:p>
    <w:p w14:paraId="5B589318">
      <w:pPr>
        <w:snapToGrid w:val="0"/>
        <w:spacing w:before="120" w:beforeLines="50" w:after="50"/>
        <w:ind w:firstLine="600" w:firstLineChars="250"/>
        <w:jc w:val="left"/>
        <w:rPr>
          <w:rFonts w:hint="eastAsia" w:ascii="宋体" w:hAnsi="宋体" w:eastAsia="宋体" w:cs="宋体"/>
          <w:color w:val="auto"/>
          <w:sz w:val="24"/>
          <w:highlight w:val="none"/>
        </w:rPr>
      </w:pPr>
    </w:p>
    <w:p w14:paraId="1BEB1B05">
      <w:pPr>
        <w:snapToGrid w:val="0"/>
        <w:spacing w:before="120" w:beforeLines="50" w:after="50"/>
        <w:ind w:firstLine="602" w:firstLineChars="250"/>
        <w:jc w:val="left"/>
        <w:rPr>
          <w:rFonts w:hint="eastAsia" w:ascii="宋体" w:hAnsi="宋体" w:eastAsia="宋体" w:cs="宋体"/>
          <w:b/>
          <w:color w:val="auto"/>
          <w:sz w:val="24"/>
          <w:szCs w:val="20"/>
          <w:highlight w:val="none"/>
        </w:rPr>
      </w:pPr>
    </w:p>
    <w:tbl>
      <w:tblPr>
        <w:tblStyle w:val="18"/>
        <w:tblpPr w:leftFromText="180" w:rightFromText="180" w:vertAnchor="text" w:horzAnchor="margin" w:tblpY="1169"/>
        <w:tblW w:w="84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0"/>
      </w:tblGrid>
      <w:tr w14:paraId="31FBE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5" w:hRule="atLeast"/>
        </w:trPr>
        <w:tc>
          <w:tcPr>
            <w:tcW w:w="8460" w:type="dxa"/>
            <w:tcBorders>
              <w:top w:val="single" w:color="auto" w:sz="4" w:space="0"/>
              <w:left w:val="single" w:color="auto" w:sz="4" w:space="0"/>
              <w:bottom w:val="single" w:color="auto" w:sz="4" w:space="0"/>
              <w:right w:val="single" w:color="auto" w:sz="4" w:space="0"/>
            </w:tcBorders>
            <w:vAlign w:val="top"/>
          </w:tcPr>
          <w:p w14:paraId="4C323249">
            <w:pPr>
              <w:spacing w:line="360" w:lineRule="auto"/>
              <w:rPr>
                <w:rFonts w:hint="eastAsia" w:ascii="宋体" w:hAnsi="宋体" w:eastAsia="宋体" w:cs="宋体"/>
                <w:b/>
                <w:color w:val="auto"/>
                <w:sz w:val="24"/>
                <w:highlight w:val="none"/>
              </w:rPr>
            </w:pPr>
          </w:p>
          <w:p w14:paraId="6C6B6FBE">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法定代表身份证复印件粘帖处（正、反面）</w:t>
            </w:r>
          </w:p>
        </w:tc>
      </w:tr>
    </w:tbl>
    <w:p w14:paraId="7FB0871F">
      <w:pPr>
        <w:pStyle w:val="11"/>
        <w:snapToGrid w:val="0"/>
        <w:spacing w:before="295" w:after="295"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附件：</w:t>
      </w:r>
      <w:r>
        <w:rPr>
          <w:rFonts w:hint="eastAsia" w:ascii="宋体" w:hAnsi="宋体" w:eastAsia="宋体" w:cs="宋体"/>
          <w:b/>
          <w:color w:val="auto"/>
          <w:sz w:val="24"/>
          <w:highlight w:val="none"/>
        </w:rPr>
        <w:br w:type="page"/>
      </w:r>
      <w:r>
        <w:rPr>
          <w:rFonts w:hint="eastAsia" w:ascii="宋体" w:hAnsi="宋体" w:eastAsia="宋体" w:cs="宋体"/>
          <w:b/>
          <w:bCs/>
          <w:color w:val="auto"/>
          <w:sz w:val="30"/>
          <w:szCs w:val="30"/>
          <w:highlight w:val="none"/>
        </w:rPr>
        <w:t>三、法定代表人授权委托书及委托代理人有效身份证正反面复印件（如有委托时）</w:t>
      </w:r>
    </w:p>
    <w:p w14:paraId="38AEA598">
      <w:pPr>
        <w:snapToGrid w:val="0"/>
        <w:spacing w:before="120" w:beforeLines="50" w:after="50"/>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法定代表人授权委托书</w:t>
      </w:r>
    </w:p>
    <w:p w14:paraId="63C8BCA7">
      <w:pPr>
        <w:snapToGrid w:val="0"/>
        <w:spacing w:before="120" w:beforeLines="50" w:after="50"/>
        <w:jc w:val="center"/>
        <w:rPr>
          <w:rFonts w:hint="eastAsia" w:ascii="宋体" w:hAnsi="宋体" w:eastAsia="宋体" w:cs="宋体"/>
          <w:b/>
          <w:color w:val="auto"/>
          <w:sz w:val="24"/>
          <w:highlight w:val="none"/>
        </w:rPr>
      </w:pPr>
    </w:p>
    <w:p w14:paraId="1522AA11">
      <w:pPr>
        <w:pStyle w:val="11"/>
        <w:spacing w:line="4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致：</w:t>
      </w:r>
      <w:r>
        <w:rPr>
          <w:rFonts w:hint="eastAsia" w:ascii="宋体" w:hAnsi="宋体" w:eastAsia="宋体" w:cs="宋体"/>
          <w:color w:val="auto"/>
          <w:highlight w:val="none"/>
          <w:u w:val="single"/>
        </w:rPr>
        <w:t xml:space="preserve"> </w:t>
      </w:r>
      <w:r>
        <w:rPr>
          <w:rFonts w:hint="eastAsia" w:hAnsi="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p>
    <w:p w14:paraId="3465A931">
      <w:pPr>
        <w:pStyle w:val="11"/>
        <w:spacing w:line="4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本人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（姓名）系</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（投标人名称）的法定代表人，现授权我单位在职正式员工</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（姓名和职务）为我方代理人。代理人根据授权，以我方名义签署、澄清、说明、补正、递交、撤回、修改贵方组织的</w:t>
      </w:r>
      <w:r>
        <w:rPr>
          <w:rFonts w:hint="eastAsia" w:ascii="宋体" w:hAnsi="宋体" w:eastAsia="宋体" w:cs="宋体"/>
          <w:color w:val="auto"/>
          <w:highlight w:val="none"/>
          <w:u w:val="single"/>
        </w:rPr>
        <w:t xml:space="preserve"> </w:t>
      </w:r>
      <w:r>
        <w:rPr>
          <w:rFonts w:hint="eastAsia" w:hAnsi="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项目（项目编号：</w:t>
      </w:r>
      <w:r>
        <w:rPr>
          <w:rFonts w:hint="eastAsia" w:hAnsi="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）的投标文件、签订合同和处理一切有关事宜，其法律后果由我方承担。</w:t>
      </w:r>
    </w:p>
    <w:p w14:paraId="2CA858A4">
      <w:pPr>
        <w:pStyle w:val="11"/>
        <w:spacing w:line="4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本授权书于</w:t>
      </w:r>
      <w:r>
        <w:rPr>
          <w:rFonts w:hint="eastAsia" w:ascii="宋体" w:hAnsi="宋体" w:eastAsia="宋体" w:cs="宋体"/>
          <w:color w:val="auto"/>
          <w:spacing w:val="10"/>
          <w:sz w:val="24"/>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spacing w:val="10"/>
          <w:sz w:val="24"/>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spacing w:val="10"/>
          <w:sz w:val="24"/>
          <w:highlight w:val="none"/>
          <w:u w:val="single"/>
        </w:rPr>
        <w:t xml:space="preserve">    </w:t>
      </w:r>
      <w:r>
        <w:rPr>
          <w:rFonts w:hint="eastAsia" w:ascii="宋体" w:hAnsi="宋体" w:eastAsia="宋体" w:cs="宋体"/>
          <w:color w:val="auto"/>
          <w:highlight w:val="none"/>
        </w:rPr>
        <w:t>日签字生效，委托期限：</w:t>
      </w:r>
      <w:r>
        <w:rPr>
          <w:rFonts w:hint="eastAsia" w:ascii="宋体" w:hAnsi="宋体" w:eastAsia="宋体" w:cs="宋体"/>
          <w:color w:val="auto"/>
          <w:spacing w:val="10"/>
          <w:sz w:val="24"/>
          <w:highlight w:val="none"/>
          <w:u w:val="single"/>
        </w:rPr>
        <w:t xml:space="preserve">    </w:t>
      </w:r>
      <w:r>
        <w:rPr>
          <w:rFonts w:hint="eastAsia" w:ascii="宋体" w:hAnsi="宋体" w:eastAsia="宋体" w:cs="宋体"/>
          <w:color w:val="auto"/>
          <w:highlight w:val="none"/>
        </w:rPr>
        <w:t>。</w:t>
      </w:r>
    </w:p>
    <w:p w14:paraId="729295AA">
      <w:pPr>
        <w:pStyle w:val="11"/>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代理人无转委托权。</w:t>
      </w:r>
    </w:p>
    <w:p w14:paraId="128E0C61">
      <w:pPr>
        <w:pStyle w:val="11"/>
        <w:spacing w:line="360" w:lineRule="auto"/>
        <w:ind w:firstLine="420"/>
        <w:rPr>
          <w:rFonts w:hint="eastAsia" w:ascii="宋体" w:hAnsi="宋体" w:eastAsia="宋体" w:cs="宋体"/>
          <w:color w:val="auto"/>
          <w:highlight w:val="none"/>
        </w:rPr>
      </w:pPr>
    </w:p>
    <w:p w14:paraId="0F288DAC">
      <w:pPr>
        <w:pStyle w:val="11"/>
        <w:spacing w:line="360" w:lineRule="auto"/>
        <w:ind w:firstLine="420"/>
        <w:rPr>
          <w:rFonts w:hint="eastAsia" w:ascii="宋体" w:hAnsi="宋体" w:eastAsia="宋体" w:cs="宋体"/>
          <w:color w:val="auto"/>
          <w:highlight w:val="none"/>
          <w:u w:val="single"/>
        </w:rPr>
      </w:pPr>
      <w:r>
        <w:rPr>
          <w:rFonts w:hint="eastAsia" w:ascii="宋体" w:hAnsi="宋体" w:eastAsia="宋体" w:cs="宋体"/>
          <w:color w:val="auto"/>
          <w:highlight w:val="none"/>
        </w:rPr>
        <w:t>投标人（或联合体投标</w:t>
      </w:r>
      <w:r>
        <w:rPr>
          <w:rFonts w:hint="eastAsia" w:ascii="宋体" w:hAnsi="宋体" w:eastAsia="宋体" w:cs="宋体"/>
          <w:color w:val="auto"/>
          <w:kern w:val="0"/>
          <w:szCs w:val="21"/>
          <w:highlight w:val="none"/>
        </w:rPr>
        <w:t>牵头人名称</w:t>
      </w:r>
      <w:r>
        <w:rPr>
          <w:rFonts w:hint="eastAsia" w:ascii="宋体" w:hAnsi="宋体" w:eastAsia="宋体" w:cs="宋体"/>
          <w:color w:val="auto"/>
          <w:highlight w:val="none"/>
        </w:rPr>
        <w:t>）（盖单位公章）：</w:t>
      </w:r>
      <w:r>
        <w:rPr>
          <w:rFonts w:hint="eastAsia" w:ascii="宋体" w:hAnsi="宋体" w:eastAsia="宋体" w:cs="宋体"/>
          <w:color w:val="auto"/>
          <w:highlight w:val="none"/>
          <w:u w:val="single"/>
        </w:rPr>
        <w:t xml:space="preserve">                                    </w:t>
      </w:r>
    </w:p>
    <w:p w14:paraId="000E3A26">
      <w:pPr>
        <w:pStyle w:val="11"/>
        <w:spacing w:line="360" w:lineRule="auto"/>
        <w:ind w:firstLine="420"/>
        <w:rPr>
          <w:rFonts w:hint="eastAsia" w:ascii="宋体" w:hAnsi="宋体" w:eastAsia="宋体" w:cs="宋体"/>
          <w:color w:val="auto"/>
          <w:highlight w:val="none"/>
          <w:u w:val="single"/>
        </w:rPr>
      </w:pPr>
      <w:r>
        <w:rPr>
          <w:rFonts w:hint="eastAsia" w:ascii="宋体" w:hAnsi="宋体" w:eastAsia="宋体" w:cs="宋体"/>
          <w:color w:val="auto"/>
          <w:highlight w:val="none"/>
        </w:rPr>
        <w:t>法定代表人（签字）：</w:t>
      </w:r>
      <w:r>
        <w:rPr>
          <w:rFonts w:hint="eastAsia" w:ascii="宋体" w:hAnsi="宋体" w:eastAsia="宋体" w:cs="宋体"/>
          <w:color w:val="auto"/>
          <w:highlight w:val="none"/>
          <w:u w:val="single"/>
        </w:rPr>
        <w:t xml:space="preserve">                                </w:t>
      </w:r>
    </w:p>
    <w:p w14:paraId="1BC55337">
      <w:pPr>
        <w:pStyle w:val="11"/>
        <w:spacing w:line="360" w:lineRule="auto"/>
        <w:ind w:firstLine="420"/>
        <w:rPr>
          <w:rFonts w:hint="eastAsia" w:ascii="宋体" w:hAnsi="宋体" w:eastAsia="宋体" w:cs="宋体"/>
          <w:color w:val="auto"/>
          <w:highlight w:val="none"/>
          <w:u w:val="single"/>
        </w:rPr>
      </w:pPr>
      <w:r>
        <w:rPr>
          <w:rFonts w:hint="eastAsia" w:ascii="宋体" w:hAnsi="宋体" w:eastAsia="宋体" w:cs="宋体"/>
          <w:color w:val="auto"/>
          <w:highlight w:val="none"/>
        </w:rPr>
        <w:t>法定代表人身份证号码：</w:t>
      </w:r>
      <w:r>
        <w:rPr>
          <w:rFonts w:hint="eastAsia" w:ascii="宋体" w:hAnsi="宋体" w:eastAsia="宋体" w:cs="宋体"/>
          <w:color w:val="auto"/>
          <w:highlight w:val="none"/>
          <w:u w:val="single"/>
        </w:rPr>
        <w:t xml:space="preserve">                                   </w:t>
      </w:r>
    </w:p>
    <w:p w14:paraId="38F4A757">
      <w:pPr>
        <w:pStyle w:val="11"/>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委托代理人（签字）：</w:t>
      </w:r>
      <w:r>
        <w:rPr>
          <w:rFonts w:hint="eastAsia" w:ascii="宋体" w:hAnsi="宋体" w:eastAsia="宋体" w:cs="宋体"/>
          <w:color w:val="auto"/>
          <w:highlight w:val="none"/>
          <w:u w:val="single"/>
        </w:rPr>
        <w:t xml:space="preserve">                                </w:t>
      </w:r>
    </w:p>
    <w:p w14:paraId="3DCA913C">
      <w:pPr>
        <w:pStyle w:val="11"/>
        <w:spacing w:line="360" w:lineRule="auto"/>
        <w:ind w:firstLine="420"/>
        <w:rPr>
          <w:rFonts w:hint="eastAsia" w:ascii="宋体" w:hAnsi="宋体" w:eastAsia="宋体" w:cs="宋体"/>
          <w:color w:val="auto"/>
          <w:highlight w:val="none"/>
          <w:u w:val="single"/>
        </w:rPr>
      </w:pPr>
      <w:r>
        <w:rPr>
          <w:rFonts w:hint="eastAsia" w:ascii="宋体" w:hAnsi="宋体" w:eastAsia="宋体" w:cs="宋体"/>
          <w:color w:val="auto"/>
          <w:highlight w:val="none"/>
        </w:rPr>
        <w:t>委托代理人身份证号码：</w:t>
      </w:r>
      <w:r>
        <w:rPr>
          <w:rFonts w:hint="eastAsia" w:ascii="宋体" w:hAnsi="宋体" w:eastAsia="宋体" w:cs="宋体"/>
          <w:color w:val="auto"/>
          <w:highlight w:val="none"/>
          <w:u w:val="single"/>
        </w:rPr>
        <w:t xml:space="preserve">                                   </w:t>
      </w:r>
    </w:p>
    <w:p w14:paraId="5991026D">
      <w:pPr>
        <w:pStyle w:val="11"/>
        <w:spacing w:line="360" w:lineRule="auto"/>
        <w:ind w:firstLine="420"/>
        <w:rPr>
          <w:rFonts w:hint="eastAsia" w:ascii="宋体" w:hAnsi="宋体" w:eastAsia="宋体" w:cs="宋体"/>
          <w:color w:val="auto"/>
          <w:highlight w:val="none"/>
          <w:u w:val="single"/>
        </w:rPr>
      </w:pPr>
    </w:p>
    <w:p w14:paraId="6842A1DD">
      <w:pPr>
        <w:pStyle w:val="11"/>
        <w:spacing w:line="360" w:lineRule="auto"/>
        <w:ind w:firstLine="420"/>
        <w:rPr>
          <w:rFonts w:hint="eastAsia" w:ascii="宋体" w:hAnsi="宋体" w:eastAsia="宋体" w:cs="宋体"/>
          <w:color w:val="auto"/>
          <w:highlight w:val="none"/>
          <w:u w:val="single"/>
        </w:rPr>
      </w:pPr>
      <w:r>
        <w:rPr>
          <w:rFonts w:hint="eastAsia" w:ascii="宋体" w:hAnsi="宋体" w:eastAsia="宋体" w:cs="宋体"/>
          <w:color w:val="auto"/>
          <w:kern w:val="0"/>
          <w:szCs w:val="21"/>
          <w:highlight w:val="none"/>
        </w:rPr>
        <w:t>成员一名称：</w:t>
      </w:r>
      <w:r>
        <w:rPr>
          <w:rFonts w:hint="eastAsia" w:ascii="宋体" w:hAnsi="宋体" w:eastAsia="宋体" w:cs="宋体"/>
          <w:color w:val="auto"/>
          <w:highlight w:val="none"/>
        </w:rPr>
        <w:t>（盖单位公章）：</w:t>
      </w:r>
      <w:r>
        <w:rPr>
          <w:rFonts w:hint="eastAsia" w:ascii="宋体" w:hAnsi="宋体" w:eastAsia="宋体" w:cs="宋体"/>
          <w:color w:val="auto"/>
          <w:highlight w:val="none"/>
          <w:u w:val="single"/>
        </w:rPr>
        <w:t xml:space="preserve">                                    </w:t>
      </w:r>
    </w:p>
    <w:p w14:paraId="4A82B939">
      <w:pPr>
        <w:pStyle w:val="11"/>
        <w:spacing w:line="360" w:lineRule="auto"/>
        <w:ind w:firstLine="420"/>
        <w:rPr>
          <w:rFonts w:hint="eastAsia" w:ascii="宋体" w:hAnsi="宋体" w:eastAsia="宋体" w:cs="宋体"/>
          <w:color w:val="auto"/>
          <w:highlight w:val="none"/>
          <w:u w:val="single"/>
        </w:rPr>
      </w:pPr>
      <w:r>
        <w:rPr>
          <w:rFonts w:hint="eastAsia" w:ascii="宋体" w:hAnsi="宋体" w:eastAsia="宋体" w:cs="宋体"/>
          <w:color w:val="auto"/>
          <w:highlight w:val="none"/>
        </w:rPr>
        <w:t>法定代表人（签字）：</w:t>
      </w:r>
      <w:r>
        <w:rPr>
          <w:rFonts w:hint="eastAsia" w:ascii="宋体" w:hAnsi="宋体" w:eastAsia="宋体" w:cs="宋体"/>
          <w:color w:val="auto"/>
          <w:highlight w:val="none"/>
          <w:u w:val="single"/>
        </w:rPr>
        <w:t xml:space="preserve">                                </w:t>
      </w:r>
    </w:p>
    <w:p w14:paraId="5E08F1C2">
      <w:pPr>
        <w:pStyle w:val="11"/>
        <w:spacing w:line="360" w:lineRule="auto"/>
        <w:ind w:firstLine="420"/>
        <w:rPr>
          <w:rFonts w:hint="eastAsia" w:ascii="宋体" w:hAnsi="宋体" w:eastAsia="宋体" w:cs="宋体"/>
          <w:color w:val="auto"/>
          <w:highlight w:val="none"/>
          <w:u w:val="single"/>
        </w:rPr>
      </w:pPr>
    </w:p>
    <w:p w14:paraId="0B5C56E8">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成员二名称：</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（盖单位公章）</w:t>
      </w:r>
    </w:p>
    <w:p w14:paraId="790A2591">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法定代表人或其委托代理人：</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（签字）</w:t>
      </w:r>
    </w:p>
    <w:p w14:paraId="43DD10B2">
      <w:pPr>
        <w:pStyle w:val="11"/>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w:t>
      </w:r>
    </w:p>
    <w:p w14:paraId="0BDA3A3E">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w:t>
      </w:r>
    </w:p>
    <w:p w14:paraId="316F22A9">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1.法定代表人和委托代理人必须在授权委托书上亲笔签名，不得使用印章、签名章或者其他电子制版签名代替，</w:t>
      </w:r>
      <w:r>
        <w:rPr>
          <w:rFonts w:hint="eastAsia" w:ascii="宋体" w:hAnsi="宋体" w:eastAsia="宋体" w:cs="宋体"/>
          <w:b/>
          <w:bCs/>
          <w:color w:val="auto"/>
          <w:szCs w:val="21"/>
          <w:highlight w:val="none"/>
        </w:rPr>
        <w:t>否则作无效投标处理</w:t>
      </w:r>
      <w:r>
        <w:rPr>
          <w:rFonts w:hint="eastAsia" w:ascii="宋体" w:hAnsi="宋体" w:eastAsia="宋体" w:cs="宋体"/>
          <w:color w:val="auto"/>
          <w:szCs w:val="21"/>
          <w:highlight w:val="none"/>
        </w:rPr>
        <w:t>；</w:t>
      </w:r>
    </w:p>
    <w:p w14:paraId="1E4E8A27">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2.以联合体形式投标的，本授权委托书应由联合体牵头人的法定代表人按上述规定签署。</w:t>
      </w:r>
    </w:p>
    <w:p w14:paraId="168F12A1">
      <w:pPr>
        <w:snapToGrid w:val="0"/>
        <w:spacing w:before="50" w:after="120" w:afterLines="50"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 供应商为其他组织或者自然人时，本招标文件规定的法定代表人指负责人或者自然人。本招标文件所称负责人是指参加投标的其他组织营业执照上的负责人，本招标文件所称自然人指参与投标的自然人本人。</w:t>
      </w:r>
    </w:p>
    <w:p w14:paraId="6141A4C5">
      <w:pPr>
        <w:snapToGrid w:val="0"/>
        <w:spacing w:before="50" w:after="120" w:afterLines="50"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 若为联合体投标须各方签字或盖章。</w:t>
      </w:r>
    </w:p>
    <w:p w14:paraId="21DC3E49">
      <w:pPr>
        <w:spacing w:line="360" w:lineRule="auto"/>
        <w:rPr>
          <w:rFonts w:hint="eastAsia" w:ascii="宋体" w:hAnsi="宋体" w:eastAsia="宋体" w:cs="宋体"/>
          <w:b/>
          <w:color w:val="auto"/>
          <w:sz w:val="24"/>
          <w:highlight w:val="none"/>
        </w:rPr>
      </w:pPr>
    </w:p>
    <w:p w14:paraId="6BDADB83">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附件：</w:t>
      </w:r>
    </w:p>
    <w:tbl>
      <w:tblPr>
        <w:tblStyle w:val="18"/>
        <w:tblpPr w:leftFromText="180" w:rightFromText="180" w:vertAnchor="text" w:horzAnchor="margin" w:tblpY="263"/>
        <w:tblW w:w="79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0"/>
      </w:tblGrid>
      <w:tr w14:paraId="3492B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0" w:hRule="atLeast"/>
        </w:trPr>
        <w:tc>
          <w:tcPr>
            <w:tcW w:w="7990" w:type="dxa"/>
            <w:tcBorders>
              <w:top w:val="single" w:color="auto" w:sz="4" w:space="0"/>
              <w:left w:val="single" w:color="auto" w:sz="4" w:space="0"/>
              <w:bottom w:val="single" w:color="auto" w:sz="4" w:space="0"/>
              <w:right w:val="single" w:color="auto" w:sz="4" w:space="0"/>
            </w:tcBorders>
            <w:vAlign w:val="top"/>
          </w:tcPr>
          <w:p w14:paraId="701064A3">
            <w:pPr>
              <w:spacing w:line="360" w:lineRule="auto"/>
              <w:rPr>
                <w:rFonts w:hint="eastAsia" w:ascii="宋体" w:hAnsi="宋体" w:eastAsia="宋体" w:cs="宋体"/>
                <w:b/>
                <w:color w:val="auto"/>
                <w:sz w:val="24"/>
                <w:highlight w:val="none"/>
              </w:rPr>
            </w:pPr>
          </w:p>
          <w:p w14:paraId="686FA9C5">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全权代表身份证复印件粘帖处（正、反面）</w:t>
            </w:r>
          </w:p>
        </w:tc>
      </w:tr>
    </w:tbl>
    <w:p w14:paraId="21711B2C">
      <w:pPr>
        <w:snapToGrid w:val="0"/>
        <w:spacing w:before="50" w:after="120" w:afterLines="50" w:line="360" w:lineRule="auto"/>
        <w:jc w:val="left"/>
        <w:rPr>
          <w:rFonts w:hint="eastAsia" w:ascii="宋体" w:hAnsi="宋体" w:eastAsia="宋体" w:cs="宋体"/>
          <w:color w:val="auto"/>
          <w:szCs w:val="21"/>
          <w:highlight w:val="none"/>
        </w:rPr>
      </w:pPr>
    </w:p>
    <w:p w14:paraId="64A200FB">
      <w:pPr>
        <w:snapToGrid w:val="0"/>
        <w:spacing w:before="120" w:beforeLines="50" w:after="50"/>
        <w:ind w:firstLine="566" w:firstLineChars="236"/>
        <w:jc w:val="center"/>
        <w:rPr>
          <w:rFonts w:hint="eastAsia" w:ascii="宋体" w:hAnsi="宋体" w:eastAsia="宋体" w:cs="宋体"/>
          <w:color w:val="auto"/>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rPr>
        <w:br w:type="page"/>
      </w:r>
    </w:p>
    <w:p w14:paraId="0A729251">
      <w:pPr>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四、商务条款偏离表</w:t>
      </w:r>
    </w:p>
    <w:p w14:paraId="5F6A4EA6">
      <w:pPr>
        <w:jc w:val="center"/>
        <w:rPr>
          <w:rFonts w:hint="eastAsia" w:ascii="宋体" w:hAnsi="宋体" w:eastAsia="宋体" w:cs="宋体"/>
          <w:b/>
          <w:color w:val="auto"/>
          <w:sz w:val="24"/>
          <w:szCs w:val="20"/>
          <w:highlight w:val="none"/>
          <w:lang w:eastAsia="zh-CN"/>
        </w:rPr>
      </w:pPr>
      <w:r>
        <w:rPr>
          <w:rFonts w:hint="eastAsia" w:ascii="宋体" w:hAnsi="宋体" w:eastAsia="宋体" w:cs="宋体"/>
          <w:color w:val="auto"/>
          <w:sz w:val="30"/>
          <w:szCs w:val="20"/>
          <w:highlight w:val="none"/>
          <w:lang w:eastAsia="zh-CN"/>
        </w:rPr>
        <w:t>（</w:t>
      </w:r>
      <w:r>
        <w:rPr>
          <w:rFonts w:hint="eastAsia" w:ascii="宋体" w:hAnsi="宋体" w:eastAsia="宋体" w:cs="宋体"/>
          <w:color w:val="auto"/>
          <w:sz w:val="30"/>
          <w:szCs w:val="20"/>
          <w:highlight w:val="none"/>
        </w:rPr>
        <w:t>注：按项目需求表具体项目修改</w:t>
      </w:r>
      <w:r>
        <w:rPr>
          <w:rFonts w:hint="eastAsia" w:ascii="宋体" w:hAnsi="宋体" w:eastAsia="宋体" w:cs="宋体"/>
          <w:color w:val="auto"/>
          <w:sz w:val="30"/>
          <w:szCs w:val="20"/>
          <w:highlight w:val="none"/>
          <w:lang w:eastAsia="zh-CN"/>
        </w:rPr>
        <w:t>）</w:t>
      </w:r>
    </w:p>
    <w:p w14:paraId="018B4E94">
      <w:pPr>
        <w:snapToGrid w:val="0"/>
        <w:spacing w:before="50"/>
        <w:jc w:val="left"/>
        <w:rPr>
          <w:rFonts w:hint="eastAsia" w:ascii="宋体" w:hAnsi="宋体" w:eastAsia="宋体" w:cs="宋体"/>
          <w:color w:val="auto"/>
          <w:sz w:val="24"/>
          <w:highlight w:val="none"/>
        </w:rPr>
      </w:pPr>
    </w:p>
    <w:p w14:paraId="25935B35">
      <w:pPr>
        <w:pStyle w:val="11"/>
        <w:spacing w:line="360" w:lineRule="auto"/>
        <w:ind w:left="-424" w:leftChars="-202" w:firstLine="846"/>
        <w:rPr>
          <w:rFonts w:hint="eastAsia" w:ascii="宋体" w:hAnsi="宋体" w:eastAsia="宋体" w:cs="宋体"/>
          <w:color w:val="auto"/>
          <w:sz w:val="24"/>
          <w:szCs w:val="24"/>
          <w:highlight w:val="none"/>
        </w:rPr>
      </w:pPr>
      <w:r>
        <w:rPr>
          <w:rFonts w:hint="eastAsia" w:ascii="宋体" w:hAnsi="宋体" w:eastAsia="宋体" w:cs="宋体"/>
          <w:color w:val="auto"/>
          <w:highlight w:val="none"/>
        </w:rPr>
        <w:t>请逐条对应本项目招标文件第二章“服务需求一览表”中“商务条款”的要求，详细填写相应的具体内容。“偏离说明”一栏应当选择“正偏离”、“负偏离”或“无偏离”进行填写。</w:t>
      </w:r>
    </w:p>
    <w:tbl>
      <w:tblPr>
        <w:tblStyle w:val="18"/>
        <w:tblpPr w:leftFromText="180" w:rightFromText="180" w:vertAnchor="text" w:horzAnchor="margin" w:tblpXSpec="center" w:tblpY="94"/>
        <w:tblW w:w="9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3757"/>
        <w:gridCol w:w="2516"/>
        <w:gridCol w:w="2516"/>
      </w:tblGrid>
      <w:tr w14:paraId="590C9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91" w:type="dxa"/>
            <w:tcBorders>
              <w:top w:val="single" w:color="auto" w:sz="4" w:space="0"/>
              <w:left w:val="single" w:color="auto" w:sz="4" w:space="0"/>
              <w:right w:val="single" w:color="auto" w:sz="4" w:space="0"/>
            </w:tcBorders>
            <w:vAlign w:val="top"/>
          </w:tcPr>
          <w:p w14:paraId="0B7E958E">
            <w:pPr>
              <w:spacing w:line="3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项号</w:t>
            </w:r>
          </w:p>
        </w:tc>
        <w:tc>
          <w:tcPr>
            <w:tcW w:w="3757" w:type="dxa"/>
            <w:tcBorders>
              <w:top w:val="single" w:color="auto" w:sz="4" w:space="0"/>
              <w:left w:val="single" w:color="auto" w:sz="4" w:space="0"/>
              <w:bottom w:val="single" w:color="auto" w:sz="4" w:space="0"/>
              <w:right w:val="single" w:color="auto" w:sz="4" w:space="0"/>
            </w:tcBorders>
            <w:vAlign w:val="top"/>
          </w:tcPr>
          <w:p w14:paraId="0032A538">
            <w:pPr>
              <w:spacing w:line="3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招标文件的商务需求</w:t>
            </w:r>
          </w:p>
        </w:tc>
        <w:tc>
          <w:tcPr>
            <w:tcW w:w="2516" w:type="dxa"/>
            <w:tcBorders>
              <w:top w:val="single" w:color="auto" w:sz="4" w:space="0"/>
              <w:left w:val="single" w:color="auto" w:sz="4" w:space="0"/>
              <w:right w:val="single" w:color="auto" w:sz="4" w:space="0"/>
            </w:tcBorders>
            <w:vAlign w:val="top"/>
          </w:tcPr>
          <w:p w14:paraId="345E116C">
            <w:pPr>
              <w:spacing w:line="3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投标文件承诺的商务条款</w:t>
            </w:r>
          </w:p>
        </w:tc>
        <w:tc>
          <w:tcPr>
            <w:tcW w:w="2516" w:type="dxa"/>
            <w:tcBorders>
              <w:top w:val="single" w:color="auto" w:sz="4" w:space="0"/>
              <w:left w:val="single" w:color="auto" w:sz="4" w:space="0"/>
              <w:right w:val="single" w:color="auto" w:sz="4" w:space="0"/>
            </w:tcBorders>
            <w:vAlign w:val="top"/>
          </w:tcPr>
          <w:p w14:paraId="6492598A">
            <w:pPr>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偏离说明</w:t>
            </w:r>
          </w:p>
        </w:tc>
      </w:tr>
      <w:tr w14:paraId="58256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91" w:type="dxa"/>
            <w:vMerge w:val="restart"/>
            <w:tcBorders>
              <w:top w:val="single" w:color="auto" w:sz="4" w:space="0"/>
              <w:left w:val="single" w:color="auto" w:sz="4" w:space="0"/>
              <w:right w:val="single" w:color="auto" w:sz="4" w:space="0"/>
            </w:tcBorders>
            <w:vAlign w:val="top"/>
          </w:tcPr>
          <w:p w14:paraId="2EE41D53">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w:t>
            </w:r>
          </w:p>
        </w:tc>
        <w:tc>
          <w:tcPr>
            <w:tcW w:w="3757" w:type="dxa"/>
            <w:tcBorders>
              <w:top w:val="single" w:color="auto" w:sz="4" w:space="0"/>
              <w:left w:val="single" w:color="auto" w:sz="4" w:space="0"/>
              <w:bottom w:val="single" w:color="auto" w:sz="4" w:space="0"/>
              <w:right w:val="single" w:color="auto" w:sz="4" w:space="0"/>
            </w:tcBorders>
            <w:vAlign w:val="top"/>
          </w:tcPr>
          <w:p w14:paraId="0C7F696E">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tc>
        <w:tc>
          <w:tcPr>
            <w:tcW w:w="2516" w:type="dxa"/>
            <w:tcBorders>
              <w:top w:val="single" w:color="auto" w:sz="4" w:space="0"/>
              <w:left w:val="single" w:color="auto" w:sz="4" w:space="0"/>
              <w:right w:val="single" w:color="auto" w:sz="4" w:space="0"/>
            </w:tcBorders>
            <w:vAlign w:val="top"/>
          </w:tcPr>
          <w:p w14:paraId="5F76EA6B">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tc>
        <w:tc>
          <w:tcPr>
            <w:tcW w:w="2516" w:type="dxa"/>
            <w:tcBorders>
              <w:top w:val="single" w:color="auto" w:sz="4" w:space="0"/>
              <w:left w:val="single" w:color="auto" w:sz="4" w:space="0"/>
              <w:right w:val="single" w:color="auto" w:sz="4" w:space="0"/>
            </w:tcBorders>
            <w:vAlign w:val="top"/>
          </w:tcPr>
          <w:p w14:paraId="0D5CBBBF">
            <w:pPr>
              <w:spacing w:line="3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正偏离（负偏离或无偏离）</w:t>
            </w:r>
          </w:p>
          <w:p w14:paraId="6DF7E51E">
            <w:pPr>
              <w:spacing w:line="300" w:lineRule="exact"/>
              <w:rPr>
                <w:rFonts w:hint="eastAsia" w:ascii="宋体" w:hAnsi="宋体" w:eastAsia="宋体" w:cs="宋体"/>
                <w:color w:val="auto"/>
                <w:szCs w:val="21"/>
                <w:highlight w:val="none"/>
              </w:rPr>
            </w:pPr>
          </w:p>
        </w:tc>
      </w:tr>
      <w:tr w14:paraId="2795C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vAlign w:val="top"/>
          </w:tcPr>
          <w:p w14:paraId="5B50C2B0">
            <w:pPr>
              <w:spacing w:line="340" w:lineRule="exact"/>
              <w:rPr>
                <w:rFonts w:hint="eastAsia" w:ascii="宋体" w:hAnsi="宋体" w:eastAsia="宋体" w:cs="宋体"/>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vAlign w:val="top"/>
          </w:tcPr>
          <w:p w14:paraId="44F293F5">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4060D099">
            <w:pPr>
              <w:spacing w:line="340" w:lineRule="exact"/>
              <w:rPr>
                <w:rFonts w:hint="eastAsia" w:ascii="宋体" w:hAnsi="宋体" w:eastAsia="宋体" w:cs="宋体"/>
                <w:color w:val="auto"/>
                <w:szCs w:val="21"/>
                <w:highlight w:val="none"/>
              </w:rPr>
            </w:pPr>
          </w:p>
        </w:tc>
        <w:tc>
          <w:tcPr>
            <w:tcW w:w="2516" w:type="dxa"/>
            <w:tcBorders>
              <w:left w:val="single" w:color="auto" w:sz="4" w:space="0"/>
              <w:right w:val="single" w:color="auto" w:sz="4" w:space="0"/>
            </w:tcBorders>
            <w:vAlign w:val="top"/>
          </w:tcPr>
          <w:p w14:paraId="38366710">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55066474">
            <w:pPr>
              <w:spacing w:line="300" w:lineRule="exact"/>
              <w:rPr>
                <w:rFonts w:hint="eastAsia" w:ascii="宋体" w:hAnsi="宋体" w:eastAsia="宋体" w:cs="宋体"/>
                <w:color w:val="auto"/>
                <w:szCs w:val="21"/>
                <w:highlight w:val="none"/>
              </w:rPr>
            </w:pPr>
          </w:p>
        </w:tc>
        <w:tc>
          <w:tcPr>
            <w:tcW w:w="2516" w:type="dxa"/>
            <w:tcBorders>
              <w:left w:val="single" w:color="auto" w:sz="4" w:space="0"/>
              <w:right w:val="single" w:color="auto" w:sz="4" w:space="0"/>
            </w:tcBorders>
            <w:vAlign w:val="top"/>
          </w:tcPr>
          <w:p w14:paraId="1CDDDE02">
            <w:pPr>
              <w:spacing w:line="3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正偏离（负偏离或无偏离）</w:t>
            </w:r>
          </w:p>
          <w:p w14:paraId="524792AC">
            <w:pPr>
              <w:spacing w:line="300" w:lineRule="exact"/>
              <w:rPr>
                <w:rFonts w:hint="eastAsia" w:ascii="宋体" w:hAnsi="宋体" w:eastAsia="宋体" w:cs="宋体"/>
                <w:color w:val="auto"/>
                <w:szCs w:val="21"/>
                <w:highlight w:val="none"/>
              </w:rPr>
            </w:pPr>
          </w:p>
        </w:tc>
      </w:tr>
      <w:tr w14:paraId="0AB1C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vAlign w:val="top"/>
          </w:tcPr>
          <w:p w14:paraId="47D18EFD">
            <w:pPr>
              <w:spacing w:line="340" w:lineRule="exact"/>
              <w:rPr>
                <w:rFonts w:hint="eastAsia" w:ascii="宋体" w:hAnsi="宋体" w:eastAsia="宋体" w:cs="宋体"/>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vAlign w:val="top"/>
          </w:tcPr>
          <w:p w14:paraId="6F7AD125">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7C6315EE">
            <w:pPr>
              <w:spacing w:line="340" w:lineRule="exact"/>
              <w:rPr>
                <w:rFonts w:hint="eastAsia" w:ascii="宋体" w:hAnsi="宋体" w:eastAsia="宋体" w:cs="宋体"/>
                <w:color w:val="auto"/>
                <w:szCs w:val="21"/>
                <w:highlight w:val="none"/>
              </w:rPr>
            </w:pPr>
          </w:p>
        </w:tc>
        <w:tc>
          <w:tcPr>
            <w:tcW w:w="2516" w:type="dxa"/>
            <w:tcBorders>
              <w:left w:val="single" w:color="auto" w:sz="4" w:space="0"/>
              <w:right w:val="single" w:color="auto" w:sz="4" w:space="0"/>
            </w:tcBorders>
            <w:vAlign w:val="top"/>
          </w:tcPr>
          <w:p w14:paraId="71EDEA7C">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7F34240F">
            <w:pPr>
              <w:spacing w:line="300" w:lineRule="exact"/>
              <w:rPr>
                <w:rFonts w:hint="eastAsia" w:ascii="宋体" w:hAnsi="宋体" w:eastAsia="宋体" w:cs="宋体"/>
                <w:color w:val="auto"/>
                <w:szCs w:val="21"/>
                <w:highlight w:val="none"/>
              </w:rPr>
            </w:pPr>
          </w:p>
        </w:tc>
        <w:tc>
          <w:tcPr>
            <w:tcW w:w="2516" w:type="dxa"/>
            <w:tcBorders>
              <w:left w:val="single" w:color="auto" w:sz="4" w:space="0"/>
              <w:right w:val="single" w:color="auto" w:sz="4" w:space="0"/>
            </w:tcBorders>
            <w:vAlign w:val="top"/>
          </w:tcPr>
          <w:p w14:paraId="41C5A7A0">
            <w:pPr>
              <w:spacing w:line="3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正偏离（负偏离或无偏离）</w:t>
            </w:r>
          </w:p>
          <w:p w14:paraId="047DE8AA">
            <w:pPr>
              <w:spacing w:line="300" w:lineRule="exact"/>
              <w:rPr>
                <w:rFonts w:hint="eastAsia" w:ascii="宋体" w:hAnsi="宋体" w:eastAsia="宋体" w:cs="宋体"/>
                <w:color w:val="auto"/>
                <w:szCs w:val="21"/>
                <w:highlight w:val="none"/>
              </w:rPr>
            </w:pPr>
          </w:p>
        </w:tc>
      </w:tr>
      <w:tr w14:paraId="78BA8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bottom w:val="single" w:color="auto" w:sz="4" w:space="0"/>
              <w:right w:val="single" w:color="auto" w:sz="4" w:space="0"/>
            </w:tcBorders>
            <w:vAlign w:val="top"/>
          </w:tcPr>
          <w:p w14:paraId="0B94B34B">
            <w:pPr>
              <w:spacing w:line="340" w:lineRule="exact"/>
              <w:rPr>
                <w:rFonts w:hint="eastAsia" w:ascii="宋体" w:hAnsi="宋体" w:eastAsia="宋体" w:cs="宋体"/>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vAlign w:val="top"/>
          </w:tcPr>
          <w:p w14:paraId="700DAE7C">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2516" w:type="dxa"/>
            <w:tcBorders>
              <w:left w:val="single" w:color="auto" w:sz="4" w:space="0"/>
              <w:bottom w:val="single" w:color="auto" w:sz="4" w:space="0"/>
              <w:right w:val="single" w:color="auto" w:sz="4" w:space="0"/>
            </w:tcBorders>
            <w:vAlign w:val="top"/>
          </w:tcPr>
          <w:p w14:paraId="186BF118">
            <w:pPr>
              <w:spacing w:line="3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2516" w:type="dxa"/>
            <w:tcBorders>
              <w:left w:val="single" w:color="auto" w:sz="4" w:space="0"/>
              <w:bottom w:val="single" w:color="auto" w:sz="4" w:space="0"/>
              <w:right w:val="single" w:color="auto" w:sz="4" w:space="0"/>
            </w:tcBorders>
            <w:vAlign w:val="top"/>
          </w:tcPr>
          <w:p w14:paraId="0CCA25BD">
            <w:pPr>
              <w:spacing w:line="3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正偏离（负偏离或无偏离）</w:t>
            </w:r>
          </w:p>
          <w:p w14:paraId="2F8C2D15">
            <w:pPr>
              <w:spacing w:line="300" w:lineRule="exact"/>
              <w:rPr>
                <w:rFonts w:hint="eastAsia" w:ascii="宋体" w:hAnsi="宋体" w:eastAsia="宋体" w:cs="宋体"/>
                <w:color w:val="auto"/>
                <w:szCs w:val="21"/>
                <w:highlight w:val="none"/>
              </w:rPr>
            </w:pPr>
          </w:p>
        </w:tc>
      </w:tr>
      <w:tr w14:paraId="109A6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91" w:type="dxa"/>
            <w:vMerge w:val="restart"/>
            <w:tcBorders>
              <w:top w:val="single" w:color="auto" w:sz="4" w:space="0"/>
              <w:left w:val="single" w:color="auto" w:sz="4" w:space="0"/>
              <w:right w:val="single" w:color="auto" w:sz="4" w:space="0"/>
            </w:tcBorders>
            <w:vAlign w:val="top"/>
          </w:tcPr>
          <w:p w14:paraId="4FB0FD1E">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w:t>
            </w:r>
          </w:p>
        </w:tc>
        <w:tc>
          <w:tcPr>
            <w:tcW w:w="3757" w:type="dxa"/>
            <w:tcBorders>
              <w:top w:val="single" w:color="auto" w:sz="4" w:space="0"/>
              <w:left w:val="single" w:color="auto" w:sz="4" w:space="0"/>
              <w:bottom w:val="single" w:color="auto" w:sz="4" w:space="0"/>
              <w:right w:val="single" w:color="auto" w:sz="4" w:space="0"/>
            </w:tcBorders>
            <w:vAlign w:val="top"/>
          </w:tcPr>
          <w:p w14:paraId="1FD99DA2">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tc>
        <w:tc>
          <w:tcPr>
            <w:tcW w:w="2516" w:type="dxa"/>
            <w:tcBorders>
              <w:top w:val="single" w:color="auto" w:sz="4" w:space="0"/>
              <w:left w:val="single" w:color="auto" w:sz="4" w:space="0"/>
              <w:right w:val="single" w:color="auto" w:sz="4" w:space="0"/>
            </w:tcBorders>
            <w:vAlign w:val="top"/>
          </w:tcPr>
          <w:p w14:paraId="2C9EE26E">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tc>
        <w:tc>
          <w:tcPr>
            <w:tcW w:w="2516" w:type="dxa"/>
            <w:tcBorders>
              <w:top w:val="single" w:color="auto" w:sz="4" w:space="0"/>
              <w:left w:val="single" w:color="auto" w:sz="4" w:space="0"/>
              <w:right w:val="single" w:color="auto" w:sz="4" w:space="0"/>
            </w:tcBorders>
            <w:vAlign w:val="top"/>
          </w:tcPr>
          <w:p w14:paraId="0766B0F4">
            <w:pPr>
              <w:spacing w:line="3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正偏离（负偏离或无偏离）</w:t>
            </w:r>
          </w:p>
          <w:p w14:paraId="4086EFDD">
            <w:pPr>
              <w:spacing w:line="300" w:lineRule="exact"/>
              <w:rPr>
                <w:rFonts w:hint="eastAsia" w:ascii="宋体" w:hAnsi="宋体" w:eastAsia="宋体" w:cs="宋体"/>
                <w:color w:val="auto"/>
                <w:szCs w:val="21"/>
                <w:highlight w:val="none"/>
              </w:rPr>
            </w:pPr>
          </w:p>
        </w:tc>
      </w:tr>
      <w:tr w14:paraId="0903A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vAlign w:val="top"/>
          </w:tcPr>
          <w:p w14:paraId="145A798F">
            <w:pPr>
              <w:spacing w:line="340" w:lineRule="exact"/>
              <w:rPr>
                <w:rFonts w:hint="eastAsia" w:ascii="宋体" w:hAnsi="宋体" w:eastAsia="宋体" w:cs="宋体"/>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vAlign w:val="top"/>
          </w:tcPr>
          <w:p w14:paraId="2323A100">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3D58790B">
            <w:pPr>
              <w:spacing w:line="340" w:lineRule="exact"/>
              <w:rPr>
                <w:rFonts w:hint="eastAsia" w:ascii="宋体" w:hAnsi="宋体" w:eastAsia="宋体" w:cs="宋体"/>
                <w:color w:val="auto"/>
                <w:szCs w:val="21"/>
                <w:highlight w:val="none"/>
              </w:rPr>
            </w:pPr>
          </w:p>
        </w:tc>
        <w:tc>
          <w:tcPr>
            <w:tcW w:w="2516" w:type="dxa"/>
            <w:tcBorders>
              <w:left w:val="single" w:color="auto" w:sz="4" w:space="0"/>
              <w:right w:val="single" w:color="auto" w:sz="4" w:space="0"/>
            </w:tcBorders>
            <w:vAlign w:val="top"/>
          </w:tcPr>
          <w:p w14:paraId="3EB2101E">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1ADE0349">
            <w:pPr>
              <w:spacing w:line="300" w:lineRule="exact"/>
              <w:rPr>
                <w:rFonts w:hint="eastAsia" w:ascii="宋体" w:hAnsi="宋体" w:eastAsia="宋体" w:cs="宋体"/>
                <w:color w:val="auto"/>
                <w:szCs w:val="21"/>
                <w:highlight w:val="none"/>
              </w:rPr>
            </w:pPr>
          </w:p>
        </w:tc>
        <w:tc>
          <w:tcPr>
            <w:tcW w:w="2516" w:type="dxa"/>
            <w:tcBorders>
              <w:left w:val="single" w:color="auto" w:sz="4" w:space="0"/>
              <w:right w:val="single" w:color="auto" w:sz="4" w:space="0"/>
            </w:tcBorders>
            <w:vAlign w:val="top"/>
          </w:tcPr>
          <w:p w14:paraId="1C655120">
            <w:pPr>
              <w:spacing w:line="3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正偏离（负偏离或无偏离）</w:t>
            </w:r>
          </w:p>
          <w:p w14:paraId="5342088F">
            <w:pPr>
              <w:spacing w:line="300" w:lineRule="exact"/>
              <w:rPr>
                <w:rFonts w:hint="eastAsia" w:ascii="宋体" w:hAnsi="宋体" w:eastAsia="宋体" w:cs="宋体"/>
                <w:color w:val="auto"/>
                <w:szCs w:val="21"/>
                <w:highlight w:val="none"/>
              </w:rPr>
            </w:pPr>
          </w:p>
        </w:tc>
      </w:tr>
      <w:tr w14:paraId="0E184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vAlign w:val="top"/>
          </w:tcPr>
          <w:p w14:paraId="43D83FCB">
            <w:pPr>
              <w:spacing w:line="340" w:lineRule="exact"/>
              <w:rPr>
                <w:rFonts w:hint="eastAsia" w:ascii="宋体" w:hAnsi="宋体" w:eastAsia="宋体" w:cs="宋体"/>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vAlign w:val="top"/>
          </w:tcPr>
          <w:p w14:paraId="7068B654">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0A4106CC">
            <w:pPr>
              <w:spacing w:line="340" w:lineRule="exact"/>
              <w:rPr>
                <w:rFonts w:hint="eastAsia" w:ascii="宋体" w:hAnsi="宋体" w:eastAsia="宋体" w:cs="宋体"/>
                <w:color w:val="auto"/>
                <w:szCs w:val="21"/>
                <w:highlight w:val="none"/>
              </w:rPr>
            </w:pPr>
          </w:p>
        </w:tc>
        <w:tc>
          <w:tcPr>
            <w:tcW w:w="2516" w:type="dxa"/>
            <w:tcBorders>
              <w:left w:val="single" w:color="auto" w:sz="4" w:space="0"/>
              <w:right w:val="single" w:color="auto" w:sz="4" w:space="0"/>
            </w:tcBorders>
            <w:vAlign w:val="top"/>
          </w:tcPr>
          <w:p w14:paraId="118979A8">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2609B45A">
            <w:pPr>
              <w:spacing w:line="300" w:lineRule="exact"/>
              <w:rPr>
                <w:rFonts w:hint="eastAsia" w:ascii="宋体" w:hAnsi="宋体" w:eastAsia="宋体" w:cs="宋体"/>
                <w:color w:val="auto"/>
                <w:szCs w:val="21"/>
                <w:highlight w:val="none"/>
              </w:rPr>
            </w:pPr>
          </w:p>
        </w:tc>
        <w:tc>
          <w:tcPr>
            <w:tcW w:w="2516" w:type="dxa"/>
            <w:tcBorders>
              <w:left w:val="single" w:color="auto" w:sz="4" w:space="0"/>
              <w:right w:val="single" w:color="auto" w:sz="4" w:space="0"/>
            </w:tcBorders>
            <w:vAlign w:val="top"/>
          </w:tcPr>
          <w:p w14:paraId="4B5FD316">
            <w:pPr>
              <w:spacing w:line="3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正偏离（负偏离或无偏离）</w:t>
            </w:r>
          </w:p>
          <w:p w14:paraId="7A8B4323">
            <w:pPr>
              <w:spacing w:line="300" w:lineRule="exact"/>
              <w:rPr>
                <w:rFonts w:hint="eastAsia" w:ascii="宋体" w:hAnsi="宋体" w:eastAsia="宋体" w:cs="宋体"/>
                <w:color w:val="auto"/>
                <w:szCs w:val="21"/>
                <w:highlight w:val="none"/>
              </w:rPr>
            </w:pPr>
          </w:p>
        </w:tc>
      </w:tr>
      <w:tr w14:paraId="091E0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bottom w:val="single" w:color="auto" w:sz="4" w:space="0"/>
              <w:right w:val="single" w:color="auto" w:sz="4" w:space="0"/>
            </w:tcBorders>
            <w:vAlign w:val="top"/>
          </w:tcPr>
          <w:p w14:paraId="7F645A23">
            <w:pPr>
              <w:spacing w:line="340" w:lineRule="exact"/>
              <w:rPr>
                <w:rFonts w:hint="eastAsia" w:ascii="宋体" w:hAnsi="宋体" w:eastAsia="宋体" w:cs="宋体"/>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vAlign w:val="top"/>
          </w:tcPr>
          <w:p w14:paraId="1DF66E42">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2516" w:type="dxa"/>
            <w:tcBorders>
              <w:left w:val="single" w:color="auto" w:sz="4" w:space="0"/>
              <w:bottom w:val="single" w:color="auto" w:sz="4" w:space="0"/>
              <w:right w:val="single" w:color="auto" w:sz="4" w:space="0"/>
            </w:tcBorders>
            <w:vAlign w:val="top"/>
          </w:tcPr>
          <w:p w14:paraId="20D6ECFE">
            <w:pPr>
              <w:spacing w:line="3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2516" w:type="dxa"/>
            <w:tcBorders>
              <w:left w:val="single" w:color="auto" w:sz="4" w:space="0"/>
              <w:bottom w:val="single" w:color="auto" w:sz="4" w:space="0"/>
              <w:right w:val="single" w:color="auto" w:sz="4" w:space="0"/>
            </w:tcBorders>
            <w:vAlign w:val="top"/>
          </w:tcPr>
          <w:p w14:paraId="56BA99EE">
            <w:pPr>
              <w:spacing w:line="3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正偏离（负偏离或无偏离）</w:t>
            </w:r>
          </w:p>
          <w:p w14:paraId="6DA7E5CE">
            <w:pPr>
              <w:spacing w:line="300" w:lineRule="exact"/>
              <w:rPr>
                <w:rFonts w:hint="eastAsia" w:ascii="宋体" w:hAnsi="宋体" w:eastAsia="宋体" w:cs="宋体"/>
                <w:color w:val="auto"/>
                <w:szCs w:val="21"/>
                <w:highlight w:val="none"/>
              </w:rPr>
            </w:pPr>
          </w:p>
        </w:tc>
      </w:tr>
      <w:tr w14:paraId="618ED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91" w:type="dxa"/>
            <w:vMerge w:val="restart"/>
            <w:tcBorders>
              <w:top w:val="single" w:color="auto" w:sz="4" w:space="0"/>
              <w:left w:val="single" w:color="auto" w:sz="4" w:space="0"/>
              <w:right w:val="single" w:color="auto" w:sz="4" w:space="0"/>
            </w:tcBorders>
            <w:vAlign w:val="top"/>
          </w:tcPr>
          <w:p w14:paraId="7AA6B177">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3757" w:type="dxa"/>
            <w:tcBorders>
              <w:top w:val="single" w:color="auto" w:sz="4" w:space="0"/>
              <w:left w:val="single" w:color="auto" w:sz="4" w:space="0"/>
              <w:bottom w:val="single" w:color="auto" w:sz="4" w:space="0"/>
              <w:right w:val="single" w:color="auto" w:sz="4" w:space="0"/>
            </w:tcBorders>
            <w:vAlign w:val="top"/>
          </w:tcPr>
          <w:p w14:paraId="10B23BAD">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tc>
        <w:tc>
          <w:tcPr>
            <w:tcW w:w="2516" w:type="dxa"/>
            <w:tcBorders>
              <w:top w:val="single" w:color="auto" w:sz="4" w:space="0"/>
              <w:left w:val="single" w:color="auto" w:sz="4" w:space="0"/>
              <w:right w:val="single" w:color="auto" w:sz="4" w:space="0"/>
            </w:tcBorders>
            <w:vAlign w:val="top"/>
          </w:tcPr>
          <w:p w14:paraId="16621BBC">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tc>
        <w:tc>
          <w:tcPr>
            <w:tcW w:w="2516" w:type="dxa"/>
            <w:tcBorders>
              <w:top w:val="single" w:color="auto" w:sz="4" w:space="0"/>
              <w:left w:val="single" w:color="auto" w:sz="4" w:space="0"/>
              <w:right w:val="single" w:color="auto" w:sz="4" w:space="0"/>
            </w:tcBorders>
            <w:vAlign w:val="top"/>
          </w:tcPr>
          <w:p w14:paraId="12011288">
            <w:pPr>
              <w:spacing w:line="3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正偏离（负偏离或无偏离）</w:t>
            </w:r>
          </w:p>
          <w:p w14:paraId="3978824A">
            <w:pPr>
              <w:spacing w:line="300" w:lineRule="exact"/>
              <w:rPr>
                <w:rFonts w:hint="eastAsia" w:ascii="宋体" w:hAnsi="宋体" w:eastAsia="宋体" w:cs="宋体"/>
                <w:color w:val="auto"/>
                <w:szCs w:val="21"/>
                <w:highlight w:val="none"/>
              </w:rPr>
            </w:pPr>
          </w:p>
        </w:tc>
      </w:tr>
      <w:tr w14:paraId="2947F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vAlign w:val="top"/>
          </w:tcPr>
          <w:p w14:paraId="51F650C0">
            <w:pPr>
              <w:spacing w:line="340" w:lineRule="exact"/>
              <w:rPr>
                <w:rFonts w:hint="eastAsia" w:ascii="宋体" w:hAnsi="宋体" w:eastAsia="宋体" w:cs="宋体"/>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vAlign w:val="top"/>
          </w:tcPr>
          <w:p w14:paraId="763C3DC9">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6B533503">
            <w:pPr>
              <w:spacing w:line="340" w:lineRule="exact"/>
              <w:rPr>
                <w:rFonts w:hint="eastAsia" w:ascii="宋体" w:hAnsi="宋体" w:eastAsia="宋体" w:cs="宋体"/>
                <w:color w:val="auto"/>
                <w:szCs w:val="21"/>
                <w:highlight w:val="none"/>
              </w:rPr>
            </w:pPr>
          </w:p>
        </w:tc>
        <w:tc>
          <w:tcPr>
            <w:tcW w:w="2516" w:type="dxa"/>
            <w:tcBorders>
              <w:left w:val="single" w:color="auto" w:sz="4" w:space="0"/>
              <w:right w:val="single" w:color="auto" w:sz="4" w:space="0"/>
            </w:tcBorders>
            <w:vAlign w:val="top"/>
          </w:tcPr>
          <w:p w14:paraId="35FAEDBA">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46EEC5E1">
            <w:pPr>
              <w:spacing w:line="300" w:lineRule="exact"/>
              <w:rPr>
                <w:rFonts w:hint="eastAsia" w:ascii="宋体" w:hAnsi="宋体" w:eastAsia="宋体" w:cs="宋体"/>
                <w:color w:val="auto"/>
                <w:szCs w:val="21"/>
                <w:highlight w:val="none"/>
              </w:rPr>
            </w:pPr>
          </w:p>
        </w:tc>
        <w:tc>
          <w:tcPr>
            <w:tcW w:w="2516" w:type="dxa"/>
            <w:tcBorders>
              <w:left w:val="single" w:color="auto" w:sz="4" w:space="0"/>
              <w:right w:val="single" w:color="auto" w:sz="4" w:space="0"/>
            </w:tcBorders>
            <w:vAlign w:val="top"/>
          </w:tcPr>
          <w:p w14:paraId="1A085AEE">
            <w:pPr>
              <w:spacing w:line="3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正偏离（负偏离或无偏离）</w:t>
            </w:r>
          </w:p>
          <w:p w14:paraId="6D107E9B">
            <w:pPr>
              <w:spacing w:line="300" w:lineRule="exact"/>
              <w:rPr>
                <w:rFonts w:hint="eastAsia" w:ascii="宋体" w:hAnsi="宋体" w:eastAsia="宋体" w:cs="宋体"/>
                <w:color w:val="auto"/>
                <w:szCs w:val="21"/>
                <w:highlight w:val="none"/>
              </w:rPr>
            </w:pPr>
          </w:p>
        </w:tc>
      </w:tr>
      <w:tr w14:paraId="12432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vAlign w:val="top"/>
          </w:tcPr>
          <w:p w14:paraId="46B0F54D">
            <w:pPr>
              <w:spacing w:line="340" w:lineRule="exact"/>
              <w:rPr>
                <w:rFonts w:hint="eastAsia" w:ascii="宋体" w:hAnsi="宋体" w:eastAsia="宋体" w:cs="宋体"/>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vAlign w:val="top"/>
          </w:tcPr>
          <w:p w14:paraId="3720F6DA">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1F0D45CC">
            <w:pPr>
              <w:spacing w:line="340" w:lineRule="exact"/>
              <w:rPr>
                <w:rFonts w:hint="eastAsia" w:ascii="宋体" w:hAnsi="宋体" w:eastAsia="宋体" w:cs="宋体"/>
                <w:color w:val="auto"/>
                <w:szCs w:val="21"/>
                <w:highlight w:val="none"/>
              </w:rPr>
            </w:pPr>
          </w:p>
        </w:tc>
        <w:tc>
          <w:tcPr>
            <w:tcW w:w="2516" w:type="dxa"/>
            <w:tcBorders>
              <w:left w:val="single" w:color="auto" w:sz="4" w:space="0"/>
              <w:right w:val="single" w:color="auto" w:sz="4" w:space="0"/>
            </w:tcBorders>
            <w:vAlign w:val="top"/>
          </w:tcPr>
          <w:p w14:paraId="09C049DC">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6D1578B0">
            <w:pPr>
              <w:spacing w:line="300" w:lineRule="exact"/>
              <w:rPr>
                <w:rFonts w:hint="eastAsia" w:ascii="宋体" w:hAnsi="宋体" w:eastAsia="宋体" w:cs="宋体"/>
                <w:color w:val="auto"/>
                <w:szCs w:val="21"/>
                <w:highlight w:val="none"/>
              </w:rPr>
            </w:pPr>
          </w:p>
        </w:tc>
        <w:tc>
          <w:tcPr>
            <w:tcW w:w="2516" w:type="dxa"/>
            <w:tcBorders>
              <w:left w:val="single" w:color="auto" w:sz="4" w:space="0"/>
              <w:right w:val="single" w:color="auto" w:sz="4" w:space="0"/>
            </w:tcBorders>
            <w:vAlign w:val="top"/>
          </w:tcPr>
          <w:p w14:paraId="000F6723">
            <w:pPr>
              <w:spacing w:line="3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正偏离（负偏离或无偏离）</w:t>
            </w:r>
          </w:p>
          <w:p w14:paraId="7112DC39">
            <w:pPr>
              <w:spacing w:line="300" w:lineRule="exact"/>
              <w:rPr>
                <w:rFonts w:hint="eastAsia" w:ascii="宋体" w:hAnsi="宋体" w:eastAsia="宋体" w:cs="宋体"/>
                <w:color w:val="auto"/>
                <w:szCs w:val="21"/>
                <w:highlight w:val="none"/>
              </w:rPr>
            </w:pPr>
          </w:p>
        </w:tc>
      </w:tr>
      <w:tr w14:paraId="33DFD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bottom w:val="single" w:color="auto" w:sz="4" w:space="0"/>
              <w:right w:val="single" w:color="auto" w:sz="4" w:space="0"/>
            </w:tcBorders>
            <w:vAlign w:val="top"/>
          </w:tcPr>
          <w:p w14:paraId="6B99C76B">
            <w:pPr>
              <w:spacing w:line="340" w:lineRule="exact"/>
              <w:rPr>
                <w:rFonts w:hint="eastAsia" w:ascii="宋体" w:hAnsi="宋体" w:eastAsia="宋体" w:cs="宋体"/>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vAlign w:val="top"/>
          </w:tcPr>
          <w:p w14:paraId="570D75E0">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2516" w:type="dxa"/>
            <w:tcBorders>
              <w:left w:val="single" w:color="auto" w:sz="4" w:space="0"/>
              <w:bottom w:val="single" w:color="auto" w:sz="4" w:space="0"/>
              <w:right w:val="single" w:color="auto" w:sz="4" w:space="0"/>
            </w:tcBorders>
            <w:vAlign w:val="top"/>
          </w:tcPr>
          <w:p w14:paraId="21149ED1">
            <w:pPr>
              <w:spacing w:line="3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2516" w:type="dxa"/>
            <w:tcBorders>
              <w:left w:val="single" w:color="auto" w:sz="4" w:space="0"/>
              <w:bottom w:val="single" w:color="auto" w:sz="4" w:space="0"/>
              <w:right w:val="single" w:color="auto" w:sz="4" w:space="0"/>
            </w:tcBorders>
            <w:vAlign w:val="top"/>
          </w:tcPr>
          <w:p w14:paraId="6382EF91">
            <w:pPr>
              <w:spacing w:line="3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正偏离（负偏离或无偏离）</w:t>
            </w:r>
          </w:p>
          <w:p w14:paraId="7C50C398">
            <w:pPr>
              <w:spacing w:line="300" w:lineRule="exact"/>
              <w:rPr>
                <w:rFonts w:hint="eastAsia" w:ascii="宋体" w:hAnsi="宋体" w:eastAsia="宋体" w:cs="宋体"/>
                <w:color w:val="auto"/>
                <w:szCs w:val="21"/>
                <w:highlight w:val="none"/>
              </w:rPr>
            </w:pPr>
          </w:p>
        </w:tc>
      </w:tr>
      <w:tr w14:paraId="7A8DD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9480" w:type="dxa"/>
            <w:gridSpan w:val="4"/>
            <w:tcBorders>
              <w:top w:val="single" w:color="auto" w:sz="4" w:space="0"/>
              <w:left w:val="single" w:color="auto" w:sz="4" w:space="0"/>
              <w:bottom w:val="single" w:color="auto" w:sz="4" w:space="0"/>
              <w:right w:val="single" w:color="auto" w:sz="4" w:space="0"/>
            </w:tcBorders>
            <w:vAlign w:val="top"/>
          </w:tcPr>
          <w:p w14:paraId="0845FBE6">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　　</w:t>
            </w:r>
            <w:r>
              <w:rPr>
                <w:rFonts w:hint="eastAsia" w:ascii="宋体" w:hAnsi="宋体" w:eastAsia="宋体" w:cs="宋体"/>
                <w:color w:val="auto"/>
                <w:szCs w:val="21"/>
                <w:highlight w:val="none"/>
              </w:rPr>
              <w:t>分标（此处有分标时填写具体分标号，无分标时填写“无”）</w:t>
            </w:r>
          </w:p>
        </w:tc>
      </w:tr>
    </w:tbl>
    <w:p w14:paraId="1560E92C">
      <w:pPr>
        <w:pStyle w:val="11"/>
        <w:spacing w:line="360" w:lineRule="auto"/>
        <w:ind w:left="-708" w:leftChars="-337"/>
        <w:rPr>
          <w:rFonts w:hint="eastAsia" w:ascii="宋体" w:hAnsi="宋体" w:eastAsia="宋体" w:cs="宋体"/>
          <w:color w:val="auto"/>
          <w:highlight w:val="none"/>
        </w:rPr>
      </w:pPr>
    </w:p>
    <w:p w14:paraId="4DCC3E24">
      <w:pPr>
        <w:pStyle w:val="11"/>
        <w:spacing w:line="360" w:lineRule="auto"/>
        <w:ind w:left="-708" w:leftChars="-337"/>
        <w:rPr>
          <w:rFonts w:hint="eastAsia" w:ascii="宋体" w:hAnsi="宋体" w:eastAsia="宋体" w:cs="宋体"/>
          <w:color w:val="auto"/>
          <w:highlight w:val="none"/>
        </w:rPr>
      </w:pPr>
      <w:r>
        <w:rPr>
          <w:rFonts w:hint="eastAsia" w:ascii="宋体" w:hAnsi="宋体" w:eastAsia="宋体" w:cs="宋体"/>
          <w:color w:val="auto"/>
          <w:highlight w:val="none"/>
        </w:rPr>
        <w:t>注：</w:t>
      </w:r>
    </w:p>
    <w:p w14:paraId="42D994FD">
      <w:pPr>
        <w:pStyle w:val="11"/>
        <w:spacing w:line="360" w:lineRule="auto"/>
        <w:ind w:left="-708" w:leftChars="-337"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1.表格内容均需按要求填写并盖章，不得留空。</w:t>
      </w:r>
    </w:p>
    <w:p w14:paraId="0FE51E05">
      <w:pPr>
        <w:pStyle w:val="11"/>
        <w:spacing w:line="360" w:lineRule="auto"/>
        <w:ind w:left="-603" w:leftChars="-287" w:firstLine="315" w:firstLineChars="150"/>
        <w:rPr>
          <w:rFonts w:hint="eastAsia" w:ascii="宋体" w:hAnsi="宋体" w:eastAsia="宋体" w:cs="宋体"/>
          <w:color w:val="auto"/>
          <w:highlight w:val="none"/>
        </w:rPr>
      </w:pPr>
      <w:r>
        <w:rPr>
          <w:rFonts w:hint="eastAsia" w:hAnsi="宋体" w:cs="宋体"/>
          <w:color w:val="auto"/>
          <w:highlight w:val="none"/>
          <w:lang w:val="en-US" w:eastAsia="zh-CN"/>
        </w:rPr>
        <w:t>2</w:t>
      </w:r>
      <w:r>
        <w:rPr>
          <w:rFonts w:hint="eastAsia" w:ascii="宋体" w:hAnsi="宋体" w:eastAsia="宋体" w:cs="宋体"/>
          <w:color w:val="auto"/>
          <w:highlight w:val="none"/>
        </w:rPr>
        <w:t>.当投标文件的商务内容低于招标文件要求时，投标人应当如实写明“负偏离”，否则视为虚假应标。</w:t>
      </w:r>
    </w:p>
    <w:p w14:paraId="1E13FD3F">
      <w:pPr>
        <w:pStyle w:val="11"/>
        <w:spacing w:line="360" w:lineRule="auto"/>
        <w:ind w:left="-708" w:leftChars="-337" w:firstLine="420" w:firstLineChars="200"/>
        <w:rPr>
          <w:rFonts w:hint="eastAsia" w:ascii="宋体" w:hAnsi="宋体" w:eastAsia="宋体" w:cs="宋体"/>
          <w:color w:val="auto"/>
          <w:highlight w:val="none"/>
        </w:rPr>
      </w:pPr>
      <w:r>
        <w:rPr>
          <w:rFonts w:hint="eastAsia" w:hAnsi="宋体" w:cs="宋体"/>
          <w:color w:val="auto"/>
          <w:szCs w:val="21"/>
          <w:highlight w:val="none"/>
          <w:lang w:val="en-US" w:eastAsia="zh-CN"/>
        </w:rPr>
        <w:t>3</w:t>
      </w:r>
      <w:r>
        <w:rPr>
          <w:rFonts w:hint="eastAsia" w:ascii="宋体" w:hAnsi="宋体" w:eastAsia="宋体" w:cs="宋体"/>
          <w:color w:val="auto"/>
          <w:szCs w:val="21"/>
          <w:highlight w:val="none"/>
        </w:rPr>
        <w:t>.采购需求中带“▲”及“★”的条款，也要分别在本表“投标文件的商务需求”、“投标文件承诺的商务条款”中标记。</w:t>
      </w:r>
    </w:p>
    <w:p w14:paraId="73B8C1F4">
      <w:pPr>
        <w:snapToGrid w:val="0"/>
        <w:spacing w:before="50" w:after="50"/>
        <w:rPr>
          <w:rFonts w:hint="eastAsia" w:ascii="宋体" w:hAnsi="宋体" w:eastAsia="宋体" w:cs="宋体"/>
          <w:color w:val="auto"/>
          <w:sz w:val="24"/>
          <w:highlight w:val="none"/>
        </w:rPr>
      </w:pPr>
    </w:p>
    <w:p w14:paraId="3020976C">
      <w:pPr>
        <w:snapToGrid w:val="0"/>
        <w:spacing w:line="360" w:lineRule="auto"/>
        <w:ind w:firstLine="4935" w:firstLineChars="2350"/>
        <w:rPr>
          <w:rFonts w:hint="eastAsia" w:ascii="宋体" w:hAnsi="宋体" w:eastAsia="宋体" w:cs="宋体"/>
          <w:color w:val="auto"/>
          <w:kern w:val="0"/>
          <w:sz w:val="24"/>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kern w:val="0"/>
          <w:sz w:val="24"/>
          <w:highlight w:val="none"/>
          <w:lang w:val="zh-CN"/>
        </w:rPr>
        <w:t>投标人名称（电子签章）：</w:t>
      </w:r>
    </w:p>
    <w:p w14:paraId="45CA59F4">
      <w:pPr>
        <w:snapToGrid w:val="0"/>
        <w:spacing w:line="360" w:lineRule="auto"/>
        <w:ind w:firstLine="5160" w:firstLineChars="21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5487C3AF">
      <w:pPr>
        <w:widowControl/>
        <w:jc w:val="left"/>
        <w:rPr>
          <w:rFonts w:hint="eastAsia" w:ascii="宋体" w:hAnsi="宋体" w:eastAsia="宋体" w:cs="宋体"/>
          <w:color w:val="auto"/>
          <w:szCs w:val="21"/>
          <w:highlight w:val="none"/>
        </w:rPr>
        <w:sectPr>
          <w:pgSz w:w="11906" w:h="16838"/>
          <w:pgMar w:top="1440" w:right="1797" w:bottom="1440" w:left="1797" w:header="851" w:footer="992" w:gutter="0"/>
          <w:cols w:space="720" w:num="1"/>
        </w:sectPr>
      </w:pPr>
    </w:p>
    <w:p w14:paraId="28376EAA">
      <w:pPr>
        <w:snapToGrid w:val="0"/>
        <w:spacing w:before="165" w:beforeLines="50" w:after="50"/>
        <w:ind w:firstLine="602" w:firstLineChars="200"/>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五、投标人情况介绍</w:t>
      </w:r>
    </w:p>
    <w:p w14:paraId="2420B38C">
      <w:pPr>
        <w:spacing w:line="360" w:lineRule="auto"/>
        <w:ind w:firstLine="4048" w:firstLineChars="1687"/>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（格式自拟）</w:t>
      </w:r>
    </w:p>
    <w:p w14:paraId="48404546">
      <w:pPr>
        <w:snapToGrid w:val="0"/>
        <w:spacing w:line="360" w:lineRule="auto"/>
        <w:ind w:firstLine="4935" w:firstLineChars="235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14:paraId="69379C7F">
      <w:pPr>
        <w:snapToGrid w:val="0"/>
        <w:spacing w:line="360" w:lineRule="auto"/>
        <w:ind w:firstLine="4935" w:firstLineChars="2350"/>
        <w:rPr>
          <w:rFonts w:hint="eastAsia" w:ascii="宋体" w:hAnsi="宋体" w:eastAsia="宋体" w:cs="宋体"/>
          <w:color w:val="auto"/>
          <w:szCs w:val="21"/>
          <w:highlight w:val="none"/>
        </w:rPr>
      </w:pPr>
    </w:p>
    <w:p w14:paraId="425D7A22">
      <w:pPr>
        <w:snapToGrid w:val="0"/>
        <w:spacing w:line="360" w:lineRule="auto"/>
        <w:ind w:firstLine="4935" w:firstLineChars="2350"/>
        <w:rPr>
          <w:rFonts w:hint="eastAsia" w:ascii="宋体" w:hAnsi="宋体" w:eastAsia="宋体" w:cs="宋体"/>
          <w:color w:val="auto"/>
          <w:szCs w:val="21"/>
          <w:highlight w:val="none"/>
        </w:rPr>
      </w:pPr>
    </w:p>
    <w:p w14:paraId="653E6E62">
      <w:pPr>
        <w:snapToGrid w:val="0"/>
        <w:spacing w:line="360" w:lineRule="auto"/>
        <w:ind w:firstLine="4935" w:firstLineChars="2350"/>
        <w:rPr>
          <w:rFonts w:hint="eastAsia" w:ascii="宋体" w:hAnsi="宋体" w:eastAsia="宋体" w:cs="宋体"/>
          <w:color w:val="auto"/>
          <w:szCs w:val="21"/>
          <w:highlight w:val="none"/>
        </w:rPr>
      </w:pPr>
    </w:p>
    <w:p w14:paraId="174508AB">
      <w:pPr>
        <w:snapToGrid w:val="0"/>
        <w:spacing w:line="360" w:lineRule="auto"/>
        <w:ind w:firstLine="4935" w:firstLineChars="2350"/>
        <w:rPr>
          <w:rFonts w:hint="eastAsia" w:ascii="宋体" w:hAnsi="宋体" w:eastAsia="宋体" w:cs="宋体"/>
          <w:color w:val="auto"/>
          <w:kern w:val="0"/>
          <w:sz w:val="24"/>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kern w:val="0"/>
          <w:sz w:val="24"/>
          <w:highlight w:val="none"/>
          <w:lang w:val="zh-CN"/>
        </w:rPr>
        <w:t>投标人名称（电子签章）：</w:t>
      </w:r>
    </w:p>
    <w:p w14:paraId="5BDC3BD2">
      <w:pPr>
        <w:snapToGrid w:val="0"/>
        <w:spacing w:line="360" w:lineRule="auto"/>
        <w:ind w:firstLine="5160" w:firstLineChars="21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2087B4AC">
      <w:pPr>
        <w:snapToGrid w:val="0"/>
        <w:spacing w:before="165" w:beforeLines="50" w:after="50"/>
        <w:ind w:firstLine="602" w:firstLineChars="200"/>
        <w:jc w:val="center"/>
        <w:rPr>
          <w:rFonts w:hint="eastAsia" w:ascii="宋体" w:hAnsi="宋体" w:eastAsia="宋体" w:cs="宋体"/>
          <w:b/>
          <w:bCs/>
          <w:color w:val="auto"/>
          <w:sz w:val="30"/>
          <w:szCs w:val="30"/>
          <w:highlight w:val="none"/>
        </w:rPr>
      </w:pPr>
    </w:p>
    <w:p w14:paraId="09D05BE2">
      <w:pPr>
        <w:widowControl/>
        <w:jc w:val="left"/>
        <w:rPr>
          <w:rFonts w:hint="eastAsia" w:ascii="宋体" w:hAnsi="宋体" w:eastAsia="宋体" w:cs="宋体"/>
          <w:b/>
          <w:bCs/>
          <w:color w:val="auto"/>
          <w:sz w:val="30"/>
          <w:szCs w:val="30"/>
          <w:highlight w:val="none"/>
        </w:rPr>
        <w:sectPr>
          <w:pgSz w:w="11906" w:h="16838"/>
          <w:pgMar w:top="1134" w:right="1134" w:bottom="1134" w:left="1134" w:header="720" w:footer="720" w:gutter="0"/>
          <w:cols w:space="720" w:num="1"/>
          <w:docGrid w:type="lines" w:linePitch="331" w:charSpace="0"/>
        </w:sectPr>
      </w:pPr>
    </w:p>
    <w:p w14:paraId="53C658F3">
      <w:pPr>
        <w:snapToGrid w:val="0"/>
        <w:spacing w:before="165" w:beforeLines="50" w:after="50"/>
        <w:ind w:firstLine="602" w:firstLineChars="200"/>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六、投标人类似的业绩证明文件（如有要求）</w:t>
      </w:r>
    </w:p>
    <w:p w14:paraId="3452A2C2">
      <w:pPr>
        <w:pStyle w:val="14"/>
        <w:snapToGrid w:val="0"/>
        <w:ind w:left="480" w:hanging="480"/>
        <w:rPr>
          <w:rFonts w:hint="eastAsia" w:ascii="宋体" w:hAnsi="宋体" w:eastAsia="宋体" w:cs="宋体"/>
          <w:color w:val="auto"/>
          <w:sz w:val="24"/>
          <w:highlight w:val="none"/>
        </w:rPr>
      </w:pPr>
    </w:p>
    <w:p w14:paraId="27E02656">
      <w:pPr>
        <w:pStyle w:val="14"/>
        <w:snapToGrid w:val="0"/>
        <w:ind w:left="480" w:hanging="480"/>
        <w:rPr>
          <w:rFonts w:hint="eastAsia" w:ascii="宋体" w:hAnsi="宋体" w:eastAsia="宋体" w:cs="宋体"/>
          <w:color w:val="auto"/>
          <w:sz w:val="24"/>
          <w:highlight w:val="none"/>
        </w:rPr>
      </w:pPr>
    </w:p>
    <w:p w14:paraId="11AEB44F">
      <w:pPr>
        <w:pStyle w:val="14"/>
        <w:snapToGrid w:val="0"/>
        <w:ind w:left="480" w:hanging="480"/>
        <w:rPr>
          <w:rFonts w:hint="eastAsia" w:ascii="宋体" w:hAnsi="宋体" w:eastAsia="宋体" w:cs="宋体"/>
          <w:color w:val="auto"/>
          <w:sz w:val="24"/>
          <w:highlight w:val="none"/>
        </w:rPr>
      </w:pPr>
    </w:p>
    <w:p w14:paraId="0E15E132">
      <w:pPr>
        <w:autoSpaceDE w:val="0"/>
        <w:autoSpaceDN w:val="0"/>
        <w:spacing w:line="360" w:lineRule="auto"/>
        <w:ind w:firstLine="120"/>
        <w:rPr>
          <w:rFonts w:hint="eastAsia" w:ascii="宋体" w:hAnsi="宋体" w:eastAsia="宋体" w:cs="宋体"/>
          <w:color w:val="auto"/>
          <w:sz w:val="24"/>
          <w:highlight w:val="none"/>
        </w:rPr>
      </w:pPr>
      <w:r>
        <w:rPr>
          <w:rFonts w:hint="eastAsia" w:ascii="宋体" w:hAnsi="宋体" w:eastAsia="宋体" w:cs="宋体"/>
          <w:b/>
          <w:color w:val="auto"/>
          <w:sz w:val="24"/>
          <w:highlight w:val="none"/>
        </w:rPr>
        <w:t xml:space="preserve">附表 </w:t>
      </w:r>
      <w:r>
        <w:rPr>
          <w:rFonts w:hint="eastAsia" w:ascii="宋体" w:hAnsi="宋体" w:cs="宋体"/>
          <w:b/>
          <w:color w:val="auto"/>
          <w:sz w:val="24"/>
          <w:highlight w:val="none"/>
          <w:lang w:eastAsia="zh-CN"/>
        </w:rPr>
        <w:t>：</w:t>
      </w:r>
      <w:r>
        <w:rPr>
          <w:rFonts w:hint="eastAsia" w:ascii="宋体" w:hAnsi="宋体" w:eastAsia="宋体" w:cs="宋体"/>
          <w:b/>
          <w:color w:val="auto"/>
          <w:sz w:val="24"/>
          <w:highlight w:val="none"/>
        </w:rPr>
        <w:t>相关项目业绩一览表（投标人同类项目合同复印件、用户验收报告、用户评价意见格式自拟）</w:t>
      </w:r>
    </w:p>
    <w:tbl>
      <w:tblPr>
        <w:tblStyle w:val="18"/>
        <w:tblW w:w="14567" w:type="dxa"/>
        <w:tblInd w:w="11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8"/>
        <w:gridCol w:w="3420"/>
        <w:gridCol w:w="1715"/>
        <w:gridCol w:w="1559"/>
        <w:gridCol w:w="1559"/>
        <w:gridCol w:w="1418"/>
        <w:gridCol w:w="2268"/>
      </w:tblGrid>
      <w:tr w14:paraId="650554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2628" w:type="dxa"/>
            <w:vMerge w:val="restart"/>
            <w:tcBorders>
              <w:top w:val="single" w:color="auto" w:sz="4" w:space="0"/>
              <w:left w:val="single" w:color="auto" w:sz="4" w:space="0"/>
              <w:bottom w:val="single" w:color="auto" w:sz="4" w:space="0"/>
              <w:right w:val="single" w:color="auto" w:sz="4" w:space="0"/>
            </w:tcBorders>
            <w:vAlign w:val="center"/>
          </w:tcPr>
          <w:p w14:paraId="4ADFDB22">
            <w:pPr>
              <w:snapToGrid w:val="0"/>
              <w:spacing w:line="2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采购人名称</w:t>
            </w:r>
          </w:p>
        </w:tc>
        <w:tc>
          <w:tcPr>
            <w:tcW w:w="3420" w:type="dxa"/>
            <w:vMerge w:val="restart"/>
            <w:tcBorders>
              <w:top w:val="single" w:color="auto" w:sz="4" w:space="0"/>
              <w:left w:val="single" w:color="auto" w:sz="4" w:space="0"/>
              <w:bottom w:val="single" w:color="auto" w:sz="4" w:space="0"/>
              <w:right w:val="single" w:color="auto" w:sz="4" w:space="0"/>
            </w:tcBorders>
            <w:vAlign w:val="center"/>
          </w:tcPr>
          <w:p w14:paraId="58990E51">
            <w:pPr>
              <w:snapToGrid w:val="0"/>
              <w:spacing w:line="2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p>
        </w:tc>
        <w:tc>
          <w:tcPr>
            <w:tcW w:w="1715" w:type="dxa"/>
            <w:vMerge w:val="restart"/>
            <w:tcBorders>
              <w:top w:val="single" w:color="auto" w:sz="4" w:space="0"/>
              <w:left w:val="single" w:color="auto" w:sz="4" w:space="0"/>
              <w:bottom w:val="single" w:color="auto" w:sz="4" w:space="0"/>
              <w:right w:val="single" w:color="auto" w:sz="4" w:space="0"/>
            </w:tcBorders>
            <w:vAlign w:val="center"/>
          </w:tcPr>
          <w:p w14:paraId="30893682">
            <w:pPr>
              <w:snapToGrid w:val="0"/>
              <w:spacing w:line="2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合同</w:t>
            </w:r>
          </w:p>
          <w:p w14:paraId="626C3434">
            <w:pPr>
              <w:snapToGrid w:val="0"/>
              <w:spacing w:line="2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金额</w:t>
            </w:r>
          </w:p>
          <w:p w14:paraId="0E5F5EB5">
            <w:pPr>
              <w:snapToGrid w:val="0"/>
              <w:spacing w:line="2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（万元）</w:t>
            </w:r>
          </w:p>
        </w:tc>
        <w:tc>
          <w:tcPr>
            <w:tcW w:w="4536" w:type="dxa"/>
            <w:gridSpan w:val="3"/>
            <w:tcBorders>
              <w:top w:val="single" w:color="auto" w:sz="4" w:space="0"/>
              <w:left w:val="single" w:color="auto" w:sz="4" w:space="0"/>
              <w:bottom w:val="single" w:color="auto" w:sz="4" w:space="0"/>
              <w:right w:val="single" w:color="auto" w:sz="4" w:space="0"/>
            </w:tcBorders>
            <w:vAlign w:val="center"/>
          </w:tcPr>
          <w:p w14:paraId="7CD8C33B">
            <w:pPr>
              <w:snapToGrid w:val="0"/>
              <w:spacing w:line="2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附件在投标文件中页码</w:t>
            </w:r>
          </w:p>
        </w:tc>
        <w:tc>
          <w:tcPr>
            <w:tcW w:w="2268" w:type="dxa"/>
            <w:vMerge w:val="restart"/>
            <w:tcBorders>
              <w:top w:val="single" w:color="auto" w:sz="4" w:space="0"/>
              <w:left w:val="single" w:color="auto" w:sz="4" w:space="0"/>
              <w:bottom w:val="single" w:color="auto" w:sz="4" w:space="0"/>
              <w:right w:val="single" w:color="auto" w:sz="4" w:space="0"/>
            </w:tcBorders>
            <w:vAlign w:val="center"/>
          </w:tcPr>
          <w:p w14:paraId="7D1D1820">
            <w:pPr>
              <w:snapToGrid w:val="0"/>
              <w:spacing w:line="2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采购人联系人及</w:t>
            </w:r>
          </w:p>
          <w:p w14:paraId="048A0034">
            <w:pPr>
              <w:snapToGrid w:val="0"/>
              <w:spacing w:line="2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p>
        </w:tc>
      </w:tr>
      <w:tr w14:paraId="460802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2628" w:type="dxa"/>
            <w:vMerge w:val="continue"/>
            <w:tcBorders>
              <w:top w:val="single" w:color="auto" w:sz="4" w:space="0"/>
              <w:left w:val="single" w:color="auto" w:sz="4" w:space="0"/>
              <w:bottom w:val="single" w:color="auto" w:sz="4" w:space="0"/>
              <w:right w:val="single" w:color="auto" w:sz="4" w:space="0"/>
            </w:tcBorders>
            <w:vAlign w:val="center"/>
          </w:tcPr>
          <w:p w14:paraId="1A55BEF9">
            <w:pPr>
              <w:widowControl/>
              <w:jc w:val="left"/>
              <w:rPr>
                <w:rFonts w:hint="eastAsia" w:ascii="宋体" w:hAnsi="宋体" w:eastAsia="宋体" w:cs="宋体"/>
                <w:color w:val="auto"/>
                <w:sz w:val="24"/>
                <w:highlight w:val="none"/>
              </w:rPr>
            </w:pPr>
          </w:p>
        </w:tc>
        <w:tc>
          <w:tcPr>
            <w:tcW w:w="3420" w:type="dxa"/>
            <w:vMerge w:val="continue"/>
            <w:tcBorders>
              <w:top w:val="single" w:color="auto" w:sz="4" w:space="0"/>
              <w:left w:val="single" w:color="auto" w:sz="4" w:space="0"/>
              <w:bottom w:val="single" w:color="auto" w:sz="4" w:space="0"/>
              <w:right w:val="single" w:color="auto" w:sz="4" w:space="0"/>
            </w:tcBorders>
            <w:vAlign w:val="center"/>
          </w:tcPr>
          <w:p w14:paraId="79C491FE">
            <w:pPr>
              <w:widowControl/>
              <w:jc w:val="left"/>
              <w:rPr>
                <w:rFonts w:hint="eastAsia" w:ascii="宋体" w:hAnsi="宋体" w:eastAsia="宋体" w:cs="宋体"/>
                <w:color w:val="auto"/>
                <w:sz w:val="24"/>
                <w:highlight w:val="none"/>
              </w:rPr>
            </w:pPr>
          </w:p>
        </w:tc>
        <w:tc>
          <w:tcPr>
            <w:tcW w:w="1715" w:type="dxa"/>
            <w:vMerge w:val="continue"/>
            <w:tcBorders>
              <w:top w:val="single" w:color="auto" w:sz="4" w:space="0"/>
              <w:left w:val="single" w:color="auto" w:sz="4" w:space="0"/>
              <w:bottom w:val="single" w:color="auto" w:sz="4" w:space="0"/>
              <w:right w:val="single" w:color="auto" w:sz="4" w:space="0"/>
            </w:tcBorders>
            <w:vAlign w:val="center"/>
          </w:tcPr>
          <w:p w14:paraId="699C2E70">
            <w:pPr>
              <w:widowControl/>
              <w:jc w:val="left"/>
              <w:rPr>
                <w:rFonts w:hint="eastAsia" w:ascii="宋体" w:hAnsi="宋体" w:eastAsia="宋体" w:cs="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14:paraId="31F67CBD">
            <w:pPr>
              <w:snapToGrid w:val="0"/>
              <w:spacing w:line="2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合同</w:t>
            </w:r>
          </w:p>
        </w:tc>
        <w:tc>
          <w:tcPr>
            <w:tcW w:w="1559" w:type="dxa"/>
            <w:tcBorders>
              <w:top w:val="single" w:color="auto" w:sz="4" w:space="0"/>
              <w:left w:val="single" w:color="auto" w:sz="4" w:space="0"/>
              <w:bottom w:val="single" w:color="auto" w:sz="4" w:space="0"/>
              <w:right w:val="single" w:color="auto" w:sz="4" w:space="0"/>
            </w:tcBorders>
            <w:vAlign w:val="center"/>
          </w:tcPr>
          <w:p w14:paraId="35A79C37">
            <w:pPr>
              <w:snapToGrid w:val="0"/>
              <w:spacing w:line="2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验收报告</w:t>
            </w:r>
          </w:p>
        </w:tc>
        <w:tc>
          <w:tcPr>
            <w:tcW w:w="1418" w:type="dxa"/>
            <w:tcBorders>
              <w:top w:val="single" w:color="auto" w:sz="4" w:space="0"/>
              <w:left w:val="single" w:color="auto" w:sz="4" w:space="0"/>
              <w:bottom w:val="single" w:color="auto" w:sz="4" w:space="0"/>
              <w:right w:val="single" w:color="auto" w:sz="4" w:space="0"/>
            </w:tcBorders>
            <w:vAlign w:val="center"/>
          </w:tcPr>
          <w:p w14:paraId="6CDAC278">
            <w:pPr>
              <w:snapToGrid w:val="0"/>
              <w:spacing w:line="2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用户评价</w:t>
            </w:r>
          </w:p>
        </w:tc>
        <w:tc>
          <w:tcPr>
            <w:tcW w:w="2268" w:type="dxa"/>
            <w:vMerge w:val="continue"/>
            <w:tcBorders>
              <w:top w:val="single" w:color="auto" w:sz="4" w:space="0"/>
              <w:left w:val="single" w:color="auto" w:sz="4" w:space="0"/>
              <w:bottom w:val="single" w:color="auto" w:sz="4" w:space="0"/>
              <w:right w:val="single" w:color="auto" w:sz="4" w:space="0"/>
            </w:tcBorders>
            <w:vAlign w:val="center"/>
          </w:tcPr>
          <w:p w14:paraId="4879C4D0">
            <w:pPr>
              <w:widowControl/>
              <w:jc w:val="left"/>
              <w:rPr>
                <w:rFonts w:hint="eastAsia" w:ascii="宋体" w:hAnsi="宋体" w:eastAsia="宋体" w:cs="宋体"/>
                <w:color w:val="auto"/>
                <w:sz w:val="24"/>
                <w:highlight w:val="none"/>
              </w:rPr>
            </w:pPr>
          </w:p>
        </w:tc>
      </w:tr>
      <w:tr w14:paraId="326BEF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2628" w:type="dxa"/>
            <w:tcBorders>
              <w:top w:val="single" w:color="auto" w:sz="4" w:space="0"/>
              <w:left w:val="single" w:color="auto" w:sz="4" w:space="0"/>
              <w:bottom w:val="single" w:color="auto" w:sz="4" w:space="0"/>
              <w:right w:val="single" w:color="auto" w:sz="4" w:space="0"/>
            </w:tcBorders>
            <w:vAlign w:val="top"/>
          </w:tcPr>
          <w:p w14:paraId="19C95AB5">
            <w:pPr>
              <w:snapToGrid w:val="0"/>
              <w:spacing w:line="240" w:lineRule="exact"/>
              <w:jc w:val="left"/>
              <w:rPr>
                <w:rFonts w:hint="eastAsia" w:ascii="宋体" w:hAnsi="宋体" w:eastAsia="宋体" w:cs="宋体"/>
                <w:color w:val="auto"/>
                <w:sz w:val="24"/>
                <w:highlight w:val="none"/>
              </w:rPr>
            </w:pPr>
          </w:p>
        </w:tc>
        <w:tc>
          <w:tcPr>
            <w:tcW w:w="3420" w:type="dxa"/>
            <w:tcBorders>
              <w:top w:val="single" w:color="auto" w:sz="4" w:space="0"/>
              <w:left w:val="single" w:color="auto" w:sz="4" w:space="0"/>
              <w:bottom w:val="single" w:color="auto" w:sz="4" w:space="0"/>
              <w:right w:val="single" w:color="auto" w:sz="4" w:space="0"/>
            </w:tcBorders>
            <w:vAlign w:val="top"/>
          </w:tcPr>
          <w:p w14:paraId="6F8CFAB4">
            <w:pPr>
              <w:snapToGrid w:val="0"/>
              <w:spacing w:line="240" w:lineRule="exact"/>
              <w:jc w:val="left"/>
              <w:rPr>
                <w:rFonts w:hint="eastAsia" w:ascii="宋体" w:hAnsi="宋体" w:eastAsia="宋体" w:cs="宋体"/>
                <w:color w:val="auto"/>
                <w:sz w:val="24"/>
                <w:highlight w:val="none"/>
              </w:rPr>
            </w:pPr>
          </w:p>
        </w:tc>
        <w:tc>
          <w:tcPr>
            <w:tcW w:w="1715" w:type="dxa"/>
            <w:tcBorders>
              <w:top w:val="single" w:color="auto" w:sz="4" w:space="0"/>
              <w:left w:val="single" w:color="auto" w:sz="4" w:space="0"/>
              <w:bottom w:val="single" w:color="auto" w:sz="4" w:space="0"/>
              <w:right w:val="single" w:color="auto" w:sz="4" w:space="0"/>
            </w:tcBorders>
            <w:vAlign w:val="top"/>
          </w:tcPr>
          <w:p w14:paraId="76E87AC6">
            <w:pPr>
              <w:snapToGrid w:val="0"/>
              <w:spacing w:line="240" w:lineRule="exact"/>
              <w:jc w:val="left"/>
              <w:rPr>
                <w:rFonts w:hint="eastAsia" w:ascii="宋体" w:hAnsi="宋体" w:eastAsia="宋体" w:cs="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vAlign w:val="top"/>
          </w:tcPr>
          <w:p w14:paraId="732C7DD1">
            <w:pPr>
              <w:snapToGrid w:val="0"/>
              <w:spacing w:line="240" w:lineRule="exact"/>
              <w:jc w:val="left"/>
              <w:rPr>
                <w:rFonts w:hint="eastAsia" w:ascii="宋体" w:hAnsi="宋体" w:eastAsia="宋体" w:cs="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vAlign w:val="top"/>
          </w:tcPr>
          <w:p w14:paraId="30E218D9">
            <w:pPr>
              <w:snapToGrid w:val="0"/>
              <w:spacing w:line="240" w:lineRule="exact"/>
              <w:jc w:val="left"/>
              <w:rPr>
                <w:rFonts w:hint="eastAsia" w:ascii="宋体" w:hAnsi="宋体" w:eastAsia="宋体" w:cs="宋体"/>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vAlign w:val="top"/>
          </w:tcPr>
          <w:p w14:paraId="23A6B50C">
            <w:pPr>
              <w:snapToGrid w:val="0"/>
              <w:spacing w:line="240" w:lineRule="exact"/>
              <w:jc w:val="left"/>
              <w:rPr>
                <w:rFonts w:hint="eastAsia" w:ascii="宋体" w:hAnsi="宋体" w:eastAsia="宋体" w:cs="宋体"/>
                <w:color w:val="auto"/>
                <w:sz w:val="24"/>
                <w:highlight w:val="none"/>
              </w:rPr>
            </w:pPr>
          </w:p>
        </w:tc>
        <w:tc>
          <w:tcPr>
            <w:tcW w:w="2268" w:type="dxa"/>
            <w:tcBorders>
              <w:top w:val="single" w:color="auto" w:sz="4" w:space="0"/>
              <w:left w:val="single" w:color="auto" w:sz="4" w:space="0"/>
              <w:bottom w:val="single" w:color="auto" w:sz="4" w:space="0"/>
              <w:right w:val="single" w:color="auto" w:sz="4" w:space="0"/>
            </w:tcBorders>
            <w:vAlign w:val="top"/>
          </w:tcPr>
          <w:p w14:paraId="37363FD9">
            <w:pPr>
              <w:snapToGrid w:val="0"/>
              <w:spacing w:line="240" w:lineRule="exact"/>
              <w:jc w:val="left"/>
              <w:rPr>
                <w:rFonts w:hint="eastAsia" w:ascii="宋体" w:hAnsi="宋体" w:eastAsia="宋体" w:cs="宋体"/>
                <w:color w:val="auto"/>
                <w:sz w:val="24"/>
                <w:highlight w:val="none"/>
              </w:rPr>
            </w:pPr>
          </w:p>
        </w:tc>
      </w:tr>
      <w:tr w14:paraId="3646A1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vAlign w:val="top"/>
          </w:tcPr>
          <w:p w14:paraId="40EB8BC7">
            <w:pPr>
              <w:snapToGrid w:val="0"/>
              <w:spacing w:before="50" w:after="165" w:afterLines="50" w:line="400" w:lineRule="exact"/>
              <w:jc w:val="left"/>
              <w:rPr>
                <w:rFonts w:hint="eastAsia" w:ascii="宋体" w:hAnsi="宋体" w:eastAsia="宋体" w:cs="宋体"/>
                <w:color w:val="auto"/>
                <w:sz w:val="24"/>
                <w:highlight w:val="none"/>
              </w:rPr>
            </w:pPr>
          </w:p>
        </w:tc>
        <w:tc>
          <w:tcPr>
            <w:tcW w:w="3420" w:type="dxa"/>
            <w:tcBorders>
              <w:top w:val="single" w:color="auto" w:sz="4" w:space="0"/>
              <w:left w:val="single" w:color="auto" w:sz="4" w:space="0"/>
              <w:bottom w:val="single" w:color="auto" w:sz="4" w:space="0"/>
              <w:right w:val="single" w:color="auto" w:sz="4" w:space="0"/>
            </w:tcBorders>
            <w:vAlign w:val="top"/>
          </w:tcPr>
          <w:p w14:paraId="60F2D175">
            <w:pPr>
              <w:snapToGrid w:val="0"/>
              <w:spacing w:before="50" w:after="165" w:afterLines="50" w:line="400" w:lineRule="exact"/>
              <w:jc w:val="left"/>
              <w:rPr>
                <w:rFonts w:hint="eastAsia" w:ascii="宋体" w:hAnsi="宋体" w:eastAsia="宋体" w:cs="宋体"/>
                <w:color w:val="auto"/>
                <w:sz w:val="24"/>
                <w:highlight w:val="none"/>
              </w:rPr>
            </w:pPr>
          </w:p>
        </w:tc>
        <w:tc>
          <w:tcPr>
            <w:tcW w:w="1715" w:type="dxa"/>
            <w:tcBorders>
              <w:top w:val="single" w:color="auto" w:sz="4" w:space="0"/>
              <w:left w:val="single" w:color="auto" w:sz="4" w:space="0"/>
              <w:bottom w:val="single" w:color="auto" w:sz="4" w:space="0"/>
              <w:right w:val="single" w:color="auto" w:sz="4" w:space="0"/>
            </w:tcBorders>
            <w:vAlign w:val="top"/>
          </w:tcPr>
          <w:p w14:paraId="53ED0240">
            <w:pPr>
              <w:snapToGrid w:val="0"/>
              <w:spacing w:before="50" w:after="165" w:afterLines="50" w:line="400" w:lineRule="exact"/>
              <w:jc w:val="left"/>
              <w:rPr>
                <w:rFonts w:hint="eastAsia" w:ascii="宋体" w:hAnsi="宋体" w:eastAsia="宋体" w:cs="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vAlign w:val="top"/>
          </w:tcPr>
          <w:p w14:paraId="601425B4">
            <w:pPr>
              <w:snapToGrid w:val="0"/>
              <w:spacing w:before="50" w:after="165" w:afterLines="50" w:line="400" w:lineRule="exact"/>
              <w:jc w:val="left"/>
              <w:rPr>
                <w:rFonts w:hint="eastAsia" w:ascii="宋体" w:hAnsi="宋体" w:eastAsia="宋体" w:cs="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vAlign w:val="top"/>
          </w:tcPr>
          <w:p w14:paraId="50A8E42D">
            <w:pPr>
              <w:snapToGrid w:val="0"/>
              <w:spacing w:before="50" w:after="165" w:afterLines="50" w:line="400" w:lineRule="exact"/>
              <w:jc w:val="left"/>
              <w:rPr>
                <w:rFonts w:hint="eastAsia" w:ascii="宋体" w:hAnsi="宋体" w:eastAsia="宋体" w:cs="宋体"/>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vAlign w:val="top"/>
          </w:tcPr>
          <w:p w14:paraId="06795F9E">
            <w:pPr>
              <w:snapToGrid w:val="0"/>
              <w:spacing w:before="50" w:after="165" w:afterLines="50" w:line="400" w:lineRule="exact"/>
              <w:jc w:val="left"/>
              <w:rPr>
                <w:rFonts w:hint="eastAsia" w:ascii="宋体" w:hAnsi="宋体" w:eastAsia="宋体" w:cs="宋体"/>
                <w:color w:val="auto"/>
                <w:sz w:val="24"/>
                <w:highlight w:val="none"/>
              </w:rPr>
            </w:pPr>
          </w:p>
        </w:tc>
        <w:tc>
          <w:tcPr>
            <w:tcW w:w="2268" w:type="dxa"/>
            <w:tcBorders>
              <w:top w:val="single" w:color="auto" w:sz="4" w:space="0"/>
              <w:left w:val="single" w:color="auto" w:sz="4" w:space="0"/>
              <w:bottom w:val="single" w:color="auto" w:sz="4" w:space="0"/>
              <w:right w:val="single" w:color="auto" w:sz="4" w:space="0"/>
            </w:tcBorders>
            <w:vAlign w:val="top"/>
          </w:tcPr>
          <w:p w14:paraId="2E282283">
            <w:pPr>
              <w:snapToGrid w:val="0"/>
              <w:spacing w:before="50" w:after="165" w:afterLines="50" w:line="400" w:lineRule="exact"/>
              <w:jc w:val="left"/>
              <w:rPr>
                <w:rFonts w:hint="eastAsia" w:ascii="宋体" w:hAnsi="宋体" w:eastAsia="宋体" w:cs="宋体"/>
                <w:color w:val="auto"/>
                <w:sz w:val="24"/>
                <w:highlight w:val="none"/>
              </w:rPr>
            </w:pPr>
          </w:p>
        </w:tc>
      </w:tr>
      <w:tr w14:paraId="253872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628" w:type="dxa"/>
            <w:tcBorders>
              <w:top w:val="single" w:color="auto" w:sz="4" w:space="0"/>
              <w:left w:val="single" w:color="auto" w:sz="4" w:space="0"/>
              <w:bottom w:val="single" w:color="auto" w:sz="4" w:space="0"/>
              <w:right w:val="single" w:color="auto" w:sz="4" w:space="0"/>
            </w:tcBorders>
            <w:vAlign w:val="top"/>
          </w:tcPr>
          <w:p w14:paraId="0A8295F9">
            <w:pPr>
              <w:snapToGrid w:val="0"/>
              <w:spacing w:before="50" w:after="165" w:afterLines="50" w:line="400" w:lineRule="exact"/>
              <w:jc w:val="left"/>
              <w:rPr>
                <w:rFonts w:hint="eastAsia" w:ascii="宋体" w:hAnsi="宋体" w:eastAsia="宋体" w:cs="宋体"/>
                <w:color w:val="auto"/>
                <w:sz w:val="24"/>
                <w:highlight w:val="none"/>
              </w:rPr>
            </w:pPr>
          </w:p>
        </w:tc>
        <w:tc>
          <w:tcPr>
            <w:tcW w:w="3420" w:type="dxa"/>
            <w:tcBorders>
              <w:top w:val="single" w:color="auto" w:sz="4" w:space="0"/>
              <w:left w:val="single" w:color="auto" w:sz="4" w:space="0"/>
              <w:bottom w:val="single" w:color="auto" w:sz="4" w:space="0"/>
              <w:right w:val="single" w:color="auto" w:sz="4" w:space="0"/>
            </w:tcBorders>
            <w:vAlign w:val="top"/>
          </w:tcPr>
          <w:p w14:paraId="3F3BCCA6">
            <w:pPr>
              <w:snapToGrid w:val="0"/>
              <w:spacing w:before="50" w:after="165" w:afterLines="50" w:line="400" w:lineRule="exact"/>
              <w:jc w:val="left"/>
              <w:rPr>
                <w:rFonts w:hint="eastAsia" w:ascii="宋体" w:hAnsi="宋体" w:eastAsia="宋体" w:cs="宋体"/>
                <w:color w:val="auto"/>
                <w:sz w:val="24"/>
                <w:highlight w:val="none"/>
              </w:rPr>
            </w:pPr>
          </w:p>
        </w:tc>
        <w:tc>
          <w:tcPr>
            <w:tcW w:w="1715" w:type="dxa"/>
            <w:tcBorders>
              <w:top w:val="single" w:color="auto" w:sz="4" w:space="0"/>
              <w:left w:val="single" w:color="auto" w:sz="4" w:space="0"/>
              <w:bottom w:val="single" w:color="auto" w:sz="4" w:space="0"/>
              <w:right w:val="single" w:color="auto" w:sz="4" w:space="0"/>
            </w:tcBorders>
            <w:vAlign w:val="top"/>
          </w:tcPr>
          <w:p w14:paraId="095991F3">
            <w:pPr>
              <w:snapToGrid w:val="0"/>
              <w:spacing w:before="50" w:after="165" w:afterLines="50" w:line="400" w:lineRule="exact"/>
              <w:jc w:val="left"/>
              <w:rPr>
                <w:rFonts w:hint="eastAsia" w:ascii="宋体" w:hAnsi="宋体" w:eastAsia="宋体" w:cs="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vAlign w:val="top"/>
          </w:tcPr>
          <w:p w14:paraId="12723061">
            <w:pPr>
              <w:snapToGrid w:val="0"/>
              <w:spacing w:before="50" w:after="165" w:afterLines="50" w:line="400" w:lineRule="exact"/>
              <w:jc w:val="left"/>
              <w:rPr>
                <w:rFonts w:hint="eastAsia" w:ascii="宋体" w:hAnsi="宋体" w:eastAsia="宋体" w:cs="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vAlign w:val="top"/>
          </w:tcPr>
          <w:p w14:paraId="307198DC">
            <w:pPr>
              <w:snapToGrid w:val="0"/>
              <w:spacing w:before="50" w:after="165" w:afterLines="50" w:line="400" w:lineRule="exact"/>
              <w:jc w:val="left"/>
              <w:rPr>
                <w:rFonts w:hint="eastAsia" w:ascii="宋体" w:hAnsi="宋体" w:eastAsia="宋体" w:cs="宋体"/>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vAlign w:val="top"/>
          </w:tcPr>
          <w:p w14:paraId="38409B22">
            <w:pPr>
              <w:snapToGrid w:val="0"/>
              <w:spacing w:before="50" w:after="165" w:afterLines="50" w:line="400" w:lineRule="exact"/>
              <w:jc w:val="left"/>
              <w:rPr>
                <w:rFonts w:hint="eastAsia" w:ascii="宋体" w:hAnsi="宋体" w:eastAsia="宋体" w:cs="宋体"/>
                <w:color w:val="auto"/>
                <w:sz w:val="24"/>
                <w:highlight w:val="none"/>
              </w:rPr>
            </w:pPr>
          </w:p>
        </w:tc>
        <w:tc>
          <w:tcPr>
            <w:tcW w:w="2268" w:type="dxa"/>
            <w:tcBorders>
              <w:top w:val="single" w:color="auto" w:sz="4" w:space="0"/>
              <w:left w:val="single" w:color="auto" w:sz="4" w:space="0"/>
              <w:bottom w:val="single" w:color="auto" w:sz="4" w:space="0"/>
              <w:right w:val="single" w:color="auto" w:sz="4" w:space="0"/>
            </w:tcBorders>
            <w:vAlign w:val="top"/>
          </w:tcPr>
          <w:p w14:paraId="47490636">
            <w:pPr>
              <w:snapToGrid w:val="0"/>
              <w:spacing w:before="50" w:after="165" w:afterLines="50" w:line="400" w:lineRule="exact"/>
              <w:jc w:val="left"/>
              <w:rPr>
                <w:rFonts w:hint="eastAsia" w:ascii="宋体" w:hAnsi="宋体" w:eastAsia="宋体" w:cs="宋体"/>
                <w:color w:val="auto"/>
                <w:sz w:val="24"/>
                <w:highlight w:val="none"/>
              </w:rPr>
            </w:pPr>
          </w:p>
        </w:tc>
      </w:tr>
      <w:tr w14:paraId="7250C8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vAlign w:val="top"/>
          </w:tcPr>
          <w:p w14:paraId="178815EC">
            <w:pPr>
              <w:snapToGrid w:val="0"/>
              <w:spacing w:before="50" w:after="165" w:afterLines="50" w:line="400" w:lineRule="exact"/>
              <w:jc w:val="left"/>
              <w:rPr>
                <w:rFonts w:hint="eastAsia" w:ascii="宋体" w:hAnsi="宋体" w:eastAsia="宋体" w:cs="宋体"/>
                <w:color w:val="auto"/>
                <w:sz w:val="24"/>
                <w:highlight w:val="none"/>
              </w:rPr>
            </w:pPr>
          </w:p>
        </w:tc>
        <w:tc>
          <w:tcPr>
            <w:tcW w:w="3420" w:type="dxa"/>
            <w:tcBorders>
              <w:top w:val="single" w:color="auto" w:sz="4" w:space="0"/>
              <w:left w:val="single" w:color="auto" w:sz="4" w:space="0"/>
              <w:bottom w:val="single" w:color="auto" w:sz="4" w:space="0"/>
              <w:right w:val="single" w:color="auto" w:sz="4" w:space="0"/>
            </w:tcBorders>
            <w:vAlign w:val="top"/>
          </w:tcPr>
          <w:p w14:paraId="490CA05F">
            <w:pPr>
              <w:snapToGrid w:val="0"/>
              <w:spacing w:before="50" w:after="165" w:afterLines="50" w:line="400" w:lineRule="exact"/>
              <w:jc w:val="left"/>
              <w:rPr>
                <w:rFonts w:hint="eastAsia" w:ascii="宋体" w:hAnsi="宋体" w:eastAsia="宋体" w:cs="宋体"/>
                <w:color w:val="auto"/>
                <w:sz w:val="24"/>
                <w:highlight w:val="none"/>
              </w:rPr>
            </w:pPr>
          </w:p>
        </w:tc>
        <w:tc>
          <w:tcPr>
            <w:tcW w:w="1715" w:type="dxa"/>
            <w:tcBorders>
              <w:top w:val="single" w:color="auto" w:sz="4" w:space="0"/>
              <w:left w:val="single" w:color="auto" w:sz="4" w:space="0"/>
              <w:bottom w:val="single" w:color="auto" w:sz="4" w:space="0"/>
              <w:right w:val="single" w:color="auto" w:sz="4" w:space="0"/>
            </w:tcBorders>
            <w:vAlign w:val="top"/>
          </w:tcPr>
          <w:p w14:paraId="102EEB6E">
            <w:pPr>
              <w:snapToGrid w:val="0"/>
              <w:spacing w:before="50" w:after="165" w:afterLines="50" w:line="400" w:lineRule="exact"/>
              <w:jc w:val="left"/>
              <w:rPr>
                <w:rFonts w:hint="eastAsia" w:ascii="宋体" w:hAnsi="宋体" w:eastAsia="宋体" w:cs="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vAlign w:val="top"/>
          </w:tcPr>
          <w:p w14:paraId="0F13F397">
            <w:pPr>
              <w:snapToGrid w:val="0"/>
              <w:spacing w:before="50" w:after="165" w:afterLines="50" w:line="400" w:lineRule="exact"/>
              <w:jc w:val="left"/>
              <w:rPr>
                <w:rFonts w:hint="eastAsia" w:ascii="宋体" w:hAnsi="宋体" w:eastAsia="宋体" w:cs="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vAlign w:val="top"/>
          </w:tcPr>
          <w:p w14:paraId="3BD494FF">
            <w:pPr>
              <w:snapToGrid w:val="0"/>
              <w:spacing w:before="50" w:after="165" w:afterLines="50" w:line="400" w:lineRule="exact"/>
              <w:jc w:val="left"/>
              <w:rPr>
                <w:rFonts w:hint="eastAsia" w:ascii="宋体" w:hAnsi="宋体" w:eastAsia="宋体" w:cs="宋体"/>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vAlign w:val="top"/>
          </w:tcPr>
          <w:p w14:paraId="48789248">
            <w:pPr>
              <w:snapToGrid w:val="0"/>
              <w:spacing w:before="50" w:after="165" w:afterLines="50" w:line="400" w:lineRule="exact"/>
              <w:jc w:val="left"/>
              <w:rPr>
                <w:rFonts w:hint="eastAsia" w:ascii="宋体" w:hAnsi="宋体" w:eastAsia="宋体" w:cs="宋体"/>
                <w:color w:val="auto"/>
                <w:sz w:val="24"/>
                <w:highlight w:val="none"/>
              </w:rPr>
            </w:pPr>
          </w:p>
        </w:tc>
        <w:tc>
          <w:tcPr>
            <w:tcW w:w="2268" w:type="dxa"/>
            <w:tcBorders>
              <w:top w:val="single" w:color="auto" w:sz="4" w:space="0"/>
              <w:left w:val="single" w:color="auto" w:sz="4" w:space="0"/>
              <w:bottom w:val="single" w:color="auto" w:sz="4" w:space="0"/>
              <w:right w:val="single" w:color="auto" w:sz="4" w:space="0"/>
            </w:tcBorders>
            <w:vAlign w:val="top"/>
          </w:tcPr>
          <w:p w14:paraId="4C08C642">
            <w:pPr>
              <w:snapToGrid w:val="0"/>
              <w:spacing w:before="50" w:after="165" w:afterLines="50" w:line="400" w:lineRule="exact"/>
              <w:jc w:val="left"/>
              <w:rPr>
                <w:rFonts w:hint="eastAsia" w:ascii="宋体" w:hAnsi="宋体" w:eastAsia="宋体" w:cs="宋体"/>
                <w:color w:val="auto"/>
                <w:sz w:val="24"/>
                <w:highlight w:val="none"/>
              </w:rPr>
            </w:pPr>
          </w:p>
        </w:tc>
      </w:tr>
      <w:tr w14:paraId="6C339F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vAlign w:val="top"/>
          </w:tcPr>
          <w:p w14:paraId="47E5EF0D">
            <w:pPr>
              <w:snapToGrid w:val="0"/>
              <w:spacing w:before="50" w:after="165" w:afterLines="50" w:line="400" w:lineRule="exact"/>
              <w:jc w:val="left"/>
              <w:rPr>
                <w:rFonts w:hint="eastAsia" w:ascii="宋体" w:hAnsi="宋体" w:eastAsia="宋体" w:cs="宋体"/>
                <w:color w:val="auto"/>
                <w:sz w:val="24"/>
                <w:highlight w:val="none"/>
              </w:rPr>
            </w:pPr>
          </w:p>
        </w:tc>
        <w:tc>
          <w:tcPr>
            <w:tcW w:w="3420" w:type="dxa"/>
            <w:tcBorders>
              <w:top w:val="single" w:color="auto" w:sz="4" w:space="0"/>
              <w:left w:val="single" w:color="auto" w:sz="4" w:space="0"/>
              <w:bottom w:val="single" w:color="auto" w:sz="4" w:space="0"/>
              <w:right w:val="single" w:color="auto" w:sz="4" w:space="0"/>
            </w:tcBorders>
            <w:vAlign w:val="top"/>
          </w:tcPr>
          <w:p w14:paraId="747C1A4E">
            <w:pPr>
              <w:snapToGrid w:val="0"/>
              <w:spacing w:before="50" w:after="165" w:afterLines="50" w:line="400" w:lineRule="exact"/>
              <w:jc w:val="left"/>
              <w:rPr>
                <w:rFonts w:hint="eastAsia" w:ascii="宋体" w:hAnsi="宋体" w:eastAsia="宋体" w:cs="宋体"/>
                <w:color w:val="auto"/>
                <w:sz w:val="24"/>
                <w:highlight w:val="none"/>
              </w:rPr>
            </w:pPr>
          </w:p>
        </w:tc>
        <w:tc>
          <w:tcPr>
            <w:tcW w:w="1715" w:type="dxa"/>
            <w:tcBorders>
              <w:top w:val="single" w:color="auto" w:sz="4" w:space="0"/>
              <w:left w:val="single" w:color="auto" w:sz="4" w:space="0"/>
              <w:bottom w:val="single" w:color="auto" w:sz="4" w:space="0"/>
              <w:right w:val="single" w:color="auto" w:sz="4" w:space="0"/>
            </w:tcBorders>
            <w:vAlign w:val="top"/>
          </w:tcPr>
          <w:p w14:paraId="7678170B">
            <w:pPr>
              <w:snapToGrid w:val="0"/>
              <w:spacing w:before="50" w:after="165" w:afterLines="50" w:line="400" w:lineRule="exact"/>
              <w:jc w:val="left"/>
              <w:rPr>
                <w:rFonts w:hint="eastAsia" w:ascii="宋体" w:hAnsi="宋体" w:eastAsia="宋体" w:cs="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vAlign w:val="top"/>
          </w:tcPr>
          <w:p w14:paraId="4FDE7099">
            <w:pPr>
              <w:snapToGrid w:val="0"/>
              <w:spacing w:before="50" w:after="165" w:afterLines="50" w:line="400" w:lineRule="exact"/>
              <w:jc w:val="left"/>
              <w:rPr>
                <w:rFonts w:hint="eastAsia" w:ascii="宋体" w:hAnsi="宋体" w:eastAsia="宋体" w:cs="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vAlign w:val="top"/>
          </w:tcPr>
          <w:p w14:paraId="42C2E516">
            <w:pPr>
              <w:snapToGrid w:val="0"/>
              <w:spacing w:before="50" w:after="165" w:afterLines="50" w:line="400" w:lineRule="exact"/>
              <w:jc w:val="left"/>
              <w:rPr>
                <w:rFonts w:hint="eastAsia" w:ascii="宋体" w:hAnsi="宋体" w:eastAsia="宋体" w:cs="宋体"/>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vAlign w:val="top"/>
          </w:tcPr>
          <w:p w14:paraId="35B9C64A">
            <w:pPr>
              <w:snapToGrid w:val="0"/>
              <w:spacing w:before="50" w:after="165" w:afterLines="50" w:line="400" w:lineRule="exact"/>
              <w:jc w:val="left"/>
              <w:rPr>
                <w:rFonts w:hint="eastAsia" w:ascii="宋体" w:hAnsi="宋体" w:eastAsia="宋体" w:cs="宋体"/>
                <w:color w:val="auto"/>
                <w:sz w:val="24"/>
                <w:highlight w:val="none"/>
              </w:rPr>
            </w:pPr>
          </w:p>
        </w:tc>
        <w:tc>
          <w:tcPr>
            <w:tcW w:w="2268" w:type="dxa"/>
            <w:tcBorders>
              <w:top w:val="single" w:color="auto" w:sz="4" w:space="0"/>
              <w:left w:val="single" w:color="auto" w:sz="4" w:space="0"/>
              <w:bottom w:val="single" w:color="auto" w:sz="4" w:space="0"/>
              <w:right w:val="single" w:color="auto" w:sz="4" w:space="0"/>
            </w:tcBorders>
            <w:vAlign w:val="top"/>
          </w:tcPr>
          <w:p w14:paraId="61FC65D9">
            <w:pPr>
              <w:snapToGrid w:val="0"/>
              <w:spacing w:before="50" w:after="165" w:afterLines="50" w:line="400" w:lineRule="exact"/>
              <w:jc w:val="left"/>
              <w:rPr>
                <w:rFonts w:hint="eastAsia" w:ascii="宋体" w:hAnsi="宋体" w:eastAsia="宋体" w:cs="宋体"/>
                <w:color w:val="auto"/>
                <w:sz w:val="24"/>
                <w:highlight w:val="none"/>
              </w:rPr>
            </w:pPr>
          </w:p>
        </w:tc>
      </w:tr>
    </w:tbl>
    <w:p w14:paraId="5815780F">
      <w:pPr>
        <w:pStyle w:val="11"/>
        <w:spacing w:line="360" w:lineRule="auto"/>
        <w:ind w:left="72"/>
        <w:rPr>
          <w:rFonts w:hint="eastAsia" w:ascii="宋体" w:hAnsi="宋体" w:eastAsia="宋体" w:cs="宋体"/>
          <w:color w:val="auto"/>
          <w:highlight w:val="none"/>
        </w:rPr>
      </w:pPr>
      <w:r>
        <w:rPr>
          <w:rFonts w:hint="eastAsia" w:ascii="宋体" w:hAnsi="宋体" w:eastAsia="宋体" w:cs="宋体"/>
          <w:color w:val="auto"/>
          <w:highlight w:val="none"/>
        </w:rPr>
        <w:t>注：投标人可按上述的格式自行编制，须随表提交相应的合同复印件和用户单位验收证明并注明所在投标人商务技术文件页码。</w:t>
      </w:r>
    </w:p>
    <w:p w14:paraId="332D3FCF">
      <w:pPr>
        <w:snapToGrid w:val="0"/>
        <w:spacing w:line="360" w:lineRule="auto"/>
        <w:ind w:firstLine="4935" w:firstLineChars="235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14:paraId="4E3E6A1E">
      <w:pPr>
        <w:snapToGrid w:val="0"/>
        <w:spacing w:line="360" w:lineRule="auto"/>
        <w:ind w:firstLine="4935" w:firstLineChars="2350"/>
        <w:rPr>
          <w:rFonts w:hint="eastAsia" w:ascii="宋体" w:hAnsi="宋体" w:eastAsia="宋体" w:cs="宋体"/>
          <w:color w:val="auto"/>
          <w:szCs w:val="21"/>
          <w:highlight w:val="none"/>
        </w:rPr>
      </w:pPr>
    </w:p>
    <w:p w14:paraId="0C2661CB">
      <w:pPr>
        <w:snapToGrid w:val="0"/>
        <w:spacing w:line="360" w:lineRule="auto"/>
        <w:ind w:firstLine="10080" w:firstLineChars="4800"/>
        <w:rPr>
          <w:rFonts w:hint="eastAsia" w:ascii="宋体" w:hAnsi="宋体" w:eastAsia="宋体" w:cs="宋体"/>
          <w:color w:val="auto"/>
          <w:kern w:val="0"/>
          <w:sz w:val="24"/>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kern w:val="0"/>
          <w:sz w:val="24"/>
          <w:highlight w:val="none"/>
          <w:lang w:val="zh-CN"/>
        </w:rPr>
        <w:t>投标人名称（电子签章）：</w:t>
      </w:r>
    </w:p>
    <w:p w14:paraId="700234BF">
      <w:pPr>
        <w:snapToGrid w:val="0"/>
        <w:spacing w:line="360" w:lineRule="auto"/>
        <w:ind w:firstLine="10080" w:firstLineChars="4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5FD24805">
      <w:pPr>
        <w:widowControl/>
        <w:spacing w:line="360" w:lineRule="auto"/>
        <w:jc w:val="left"/>
        <w:rPr>
          <w:rFonts w:hint="eastAsia" w:ascii="宋体" w:hAnsi="宋体" w:eastAsia="宋体" w:cs="宋体"/>
          <w:color w:val="auto"/>
          <w:kern w:val="0"/>
          <w:sz w:val="24"/>
          <w:highlight w:val="none"/>
          <w:lang w:val="zh-CN"/>
        </w:rPr>
        <w:sectPr>
          <w:pgSz w:w="16838" w:h="11906" w:orient="landscape"/>
          <w:pgMar w:top="1134" w:right="1134" w:bottom="1134" w:left="1134" w:header="720" w:footer="720" w:gutter="0"/>
          <w:cols w:space="720" w:num="1"/>
          <w:docGrid w:type="lines" w:linePitch="331" w:charSpace="0"/>
        </w:sectPr>
      </w:pPr>
    </w:p>
    <w:p w14:paraId="4A9E8396">
      <w:pPr>
        <w:snapToGrid w:val="0"/>
        <w:spacing w:before="165" w:beforeLines="50" w:after="50"/>
        <w:ind w:firstLine="602" w:firstLineChars="200"/>
        <w:jc w:val="center"/>
        <w:rPr>
          <w:rFonts w:hint="eastAsia" w:ascii="宋体" w:hAnsi="宋体" w:eastAsia="宋体" w:cs="宋体"/>
          <w:b/>
          <w:bCs/>
          <w:color w:val="auto"/>
          <w:sz w:val="30"/>
          <w:szCs w:val="30"/>
          <w:highlight w:val="none"/>
        </w:rPr>
      </w:pPr>
      <w:bookmarkStart w:id="335" w:name="_Toc17437"/>
      <w:bookmarkStart w:id="336" w:name="_Toc19686839"/>
      <w:bookmarkStart w:id="337" w:name="_Toc30696"/>
      <w:r>
        <w:rPr>
          <w:rFonts w:hint="eastAsia" w:ascii="宋体" w:hAnsi="宋体" w:eastAsia="宋体" w:cs="宋体"/>
          <w:b/>
          <w:bCs/>
          <w:color w:val="auto"/>
          <w:sz w:val="30"/>
          <w:szCs w:val="30"/>
          <w:highlight w:val="none"/>
        </w:rPr>
        <w:t>五、投标人认为需要提供的其他证明材料</w:t>
      </w:r>
    </w:p>
    <w:p w14:paraId="4C16763D">
      <w:pPr>
        <w:snapToGrid w:val="0"/>
        <w:spacing w:line="360" w:lineRule="auto"/>
        <w:ind w:firstLine="4935" w:firstLineChars="2350"/>
        <w:rPr>
          <w:rFonts w:hint="eastAsia" w:ascii="宋体" w:hAnsi="宋体" w:eastAsia="宋体" w:cs="宋体"/>
          <w:color w:val="auto"/>
          <w:szCs w:val="21"/>
          <w:highlight w:val="none"/>
        </w:rPr>
      </w:pPr>
    </w:p>
    <w:p w14:paraId="03246312">
      <w:pPr>
        <w:snapToGrid w:val="0"/>
        <w:spacing w:line="360" w:lineRule="auto"/>
        <w:ind w:firstLine="4935" w:firstLineChars="2350"/>
        <w:rPr>
          <w:rFonts w:hint="eastAsia" w:ascii="宋体" w:hAnsi="宋体" w:eastAsia="宋体" w:cs="宋体"/>
          <w:color w:val="auto"/>
          <w:szCs w:val="21"/>
          <w:highlight w:val="none"/>
        </w:rPr>
      </w:pPr>
    </w:p>
    <w:p w14:paraId="3964A1AB">
      <w:pPr>
        <w:pStyle w:val="11"/>
        <w:jc w:val="center"/>
        <w:outlineLvl w:val="1"/>
        <w:rPr>
          <w:rFonts w:hint="eastAsia" w:ascii="宋体" w:hAnsi="宋体" w:eastAsia="宋体" w:cs="宋体"/>
          <w:b/>
          <w:bCs/>
          <w:color w:val="auto"/>
          <w:sz w:val="28"/>
          <w:szCs w:val="28"/>
          <w:highlight w:val="none"/>
        </w:rPr>
      </w:pPr>
    </w:p>
    <w:p w14:paraId="69DC09EF">
      <w:pPr>
        <w:pStyle w:val="11"/>
        <w:jc w:val="center"/>
        <w:outlineLvl w:val="1"/>
        <w:rPr>
          <w:rFonts w:hint="eastAsia" w:ascii="宋体" w:hAnsi="宋体" w:eastAsia="宋体" w:cs="宋体"/>
          <w:b/>
          <w:bCs/>
          <w:color w:val="auto"/>
          <w:sz w:val="28"/>
          <w:szCs w:val="28"/>
          <w:highlight w:val="none"/>
        </w:rPr>
      </w:pPr>
    </w:p>
    <w:p w14:paraId="3584829E">
      <w:pPr>
        <w:pStyle w:val="11"/>
        <w:jc w:val="center"/>
        <w:outlineLvl w:val="1"/>
        <w:rPr>
          <w:rFonts w:hint="eastAsia" w:ascii="宋体" w:hAnsi="宋体" w:eastAsia="宋体" w:cs="宋体"/>
          <w:b/>
          <w:bCs/>
          <w:color w:val="auto"/>
          <w:sz w:val="28"/>
          <w:szCs w:val="28"/>
          <w:highlight w:val="none"/>
        </w:rPr>
      </w:pPr>
    </w:p>
    <w:p w14:paraId="3C85A683">
      <w:pPr>
        <w:pStyle w:val="11"/>
        <w:jc w:val="center"/>
        <w:outlineLvl w:val="1"/>
        <w:rPr>
          <w:rFonts w:hint="eastAsia" w:ascii="宋体" w:hAnsi="宋体" w:eastAsia="宋体" w:cs="宋体"/>
          <w:b/>
          <w:bCs/>
          <w:color w:val="auto"/>
          <w:sz w:val="28"/>
          <w:szCs w:val="28"/>
          <w:highlight w:val="none"/>
        </w:rPr>
      </w:pPr>
    </w:p>
    <w:p w14:paraId="47AC4EFA">
      <w:pPr>
        <w:pStyle w:val="11"/>
        <w:jc w:val="center"/>
        <w:outlineLvl w:val="1"/>
        <w:rPr>
          <w:rFonts w:hint="eastAsia" w:ascii="宋体" w:hAnsi="宋体" w:eastAsia="宋体" w:cs="宋体"/>
          <w:b/>
          <w:bCs/>
          <w:color w:val="auto"/>
          <w:sz w:val="28"/>
          <w:szCs w:val="28"/>
          <w:highlight w:val="none"/>
        </w:rPr>
      </w:pPr>
    </w:p>
    <w:p w14:paraId="0C16BEE2">
      <w:pPr>
        <w:pStyle w:val="11"/>
        <w:jc w:val="center"/>
        <w:outlineLvl w:val="1"/>
        <w:rPr>
          <w:rFonts w:hint="eastAsia" w:ascii="宋体" w:hAnsi="宋体" w:eastAsia="宋体" w:cs="宋体"/>
          <w:b/>
          <w:bCs/>
          <w:color w:val="auto"/>
          <w:sz w:val="28"/>
          <w:szCs w:val="28"/>
          <w:highlight w:val="none"/>
        </w:rPr>
      </w:pPr>
    </w:p>
    <w:p w14:paraId="0B73790F">
      <w:pPr>
        <w:pStyle w:val="11"/>
        <w:jc w:val="center"/>
        <w:outlineLvl w:val="1"/>
        <w:rPr>
          <w:rFonts w:hint="eastAsia" w:ascii="宋体" w:hAnsi="宋体" w:eastAsia="宋体" w:cs="宋体"/>
          <w:b/>
          <w:bCs/>
          <w:color w:val="auto"/>
          <w:sz w:val="28"/>
          <w:szCs w:val="28"/>
          <w:highlight w:val="none"/>
        </w:rPr>
      </w:pPr>
    </w:p>
    <w:p w14:paraId="2F7C0850">
      <w:pPr>
        <w:pStyle w:val="11"/>
        <w:jc w:val="center"/>
        <w:outlineLvl w:val="1"/>
        <w:rPr>
          <w:rFonts w:hint="eastAsia" w:ascii="宋体" w:hAnsi="宋体" w:eastAsia="宋体" w:cs="宋体"/>
          <w:b/>
          <w:bCs/>
          <w:color w:val="auto"/>
          <w:sz w:val="28"/>
          <w:szCs w:val="28"/>
          <w:highlight w:val="none"/>
        </w:rPr>
      </w:pPr>
    </w:p>
    <w:p w14:paraId="4219D6FE">
      <w:pPr>
        <w:pStyle w:val="11"/>
        <w:jc w:val="center"/>
        <w:outlineLvl w:val="1"/>
        <w:rPr>
          <w:rFonts w:hint="eastAsia" w:ascii="宋体" w:hAnsi="宋体" w:eastAsia="宋体" w:cs="宋体"/>
          <w:b/>
          <w:bCs/>
          <w:color w:val="auto"/>
          <w:sz w:val="28"/>
          <w:szCs w:val="28"/>
          <w:highlight w:val="none"/>
        </w:rPr>
      </w:pPr>
    </w:p>
    <w:p w14:paraId="3F2391CF">
      <w:pPr>
        <w:pStyle w:val="11"/>
        <w:jc w:val="center"/>
        <w:outlineLvl w:val="1"/>
        <w:rPr>
          <w:rFonts w:hint="eastAsia" w:ascii="宋体" w:hAnsi="宋体" w:eastAsia="宋体" w:cs="宋体"/>
          <w:b/>
          <w:bCs/>
          <w:color w:val="auto"/>
          <w:sz w:val="28"/>
          <w:szCs w:val="28"/>
          <w:highlight w:val="none"/>
        </w:rPr>
      </w:pPr>
    </w:p>
    <w:p w14:paraId="31B7D186">
      <w:pPr>
        <w:pStyle w:val="11"/>
        <w:jc w:val="center"/>
        <w:outlineLvl w:val="1"/>
        <w:rPr>
          <w:rFonts w:hint="eastAsia" w:ascii="宋体" w:hAnsi="宋体" w:eastAsia="宋体" w:cs="宋体"/>
          <w:b/>
          <w:bCs/>
          <w:color w:val="auto"/>
          <w:sz w:val="28"/>
          <w:szCs w:val="28"/>
          <w:highlight w:val="none"/>
        </w:rPr>
      </w:pPr>
    </w:p>
    <w:p w14:paraId="3EE54D80">
      <w:pPr>
        <w:pStyle w:val="11"/>
        <w:jc w:val="center"/>
        <w:outlineLvl w:val="1"/>
        <w:rPr>
          <w:rFonts w:hint="eastAsia" w:ascii="宋体" w:hAnsi="宋体" w:eastAsia="宋体" w:cs="宋体"/>
          <w:b/>
          <w:bCs/>
          <w:color w:val="auto"/>
          <w:sz w:val="28"/>
          <w:szCs w:val="28"/>
          <w:highlight w:val="none"/>
        </w:rPr>
      </w:pPr>
    </w:p>
    <w:p w14:paraId="2B9071E5">
      <w:pPr>
        <w:pStyle w:val="11"/>
        <w:jc w:val="center"/>
        <w:outlineLvl w:val="1"/>
        <w:rPr>
          <w:rFonts w:hint="eastAsia" w:ascii="宋体" w:hAnsi="宋体" w:eastAsia="宋体" w:cs="宋体"/>
          <w:b/>
          <w:bCs/>
          <w:color w:val="auto"/>
          <w:sz w:val="28"/>
          <w:szCs w:val="28"/>
          <w:highlight w:val="none"/>
        </w:rPr>
      </w:pPr>
    </w:p>
    <w:p w14:paraId="486F2A3C">
      <w:pPr>
        <w:pStyle w:val="11"/>
        <w:jc w:val="center"/>
        <w:outlineLvl w:val="1"/>
        <w:rPr>
          <w:rFonts w:hint="eastAsia" w:ascii="宋体" w:hAnsi="宋体" w:eastAsia="宋体" w:cs="宋体"/>
          <w:b/>
          <w:bCs/>
          <w:color w:val="auto"/>
          <w:sz w:val="28"/>
          <w:szCs w:val="28"/>
          <w:highlight w:val="none"/>
        </w:rPr>
      </w:pPr>
    </w:p>
    <w:p w14:paraId="0921259E">
      <w:pPr>
        <w:pStyle w:val="11"/>
        <w:jc w:val="center"/>
        <w:outlineLvl w:val="1"/>
        <w:rPr>
          <w:rFonts w:hint="eastAsia" w:ascii="宋体" w:hAnsi="宋体" w:eastAsia="宋体" w:cs="宋体"/>
          <w:b/>
          <w:bCs/>
          <w:color w:val="auto"/>
          <w:sz w:val="28"/>
          <w:szCs w:val="28"/>
          <w:highlight w:val="none"/>
        </w:rPr>
      </w:pPr>
    </w:p>
    <w:p w14:paraId="39D0BEF9">
      <w:pPr>
        <w:pStyle w:val="11"/>
        <w:jc w:val="center"/>
        <w:outlineLvl w:val="1"/>
        <w:rPr>
          <w:rFonts w:hint="eastAsia" w:ascii="宋体" w:hAnsi="宋体" w:eastAsia="宋体" w:cs="宋体"/>
          <w:b/>
          <w:bCs/>
          <w:color w:val="auto"/>
          <w:sz w:val="28"/>
          <w:szCs w:val="28"/>
          <w:highlight w:val="none"/>
        </w:rPr>
      </w:pPr>
    </w:p>
    <w:p w14:paraId="7C068BA9">
      <w:pPr>
        <w:pStyle w:val="11"/>
        <w:jc w:val="center"/>
        <w:outlineLvl w:val="1"/>
        <w:rPr>
          <w:rFonts w:hint="eastAsia" w:ascii="宋体" w:hAnsi="宋体" w:eastAsia="宋体" w:cs="宋体"/>
          <w:b/>
          <w:bCs/>
          <w:color w:val="auto"/>
          <w:sz w:val="28"/>
          <w:szCs w:val="28"/>
          <w:highlight w:val="none"/>
        </w:rPr>
      </w:pPr>
    </w:p>
    <w:p w14:paraId="0BBFF801">
      <w:pPr>
        <w:pStyle w:val="11"/>
        <w:jc w:val="center"/>
        <w:outlineLvl w:val="1"/>
        <w:rPr>
          <w:rFonts w:hint="eastAsia" w:ascii="宋体" w:hAnsi="宋体" w:eastAsia="宋体" w:cs="宋体"/>
          <w:b/>
          <w:bCs/>
          <w:color w:val="auto"/>
          <w:sz w:val="28"/>
          <w:szCs w:val="28"/>
          <w:highlight w:val="none"/>
        </w:rPr>
      </w:pPr>
    </w:p>
    <w:p w14:paraId="58A30E45">
      <w:pPr>
        <w:pStyle w:val="11"/>
        <w:jc w:val="center"/>
        <w:outlineLvl w:val="1"/>
        <w:rPr>
          <w:rFonts w:hint="eastAsia" w:ascii="宋体" w:hAnsi="宋体" w:eastAsia="宋体" w:cs="宋体"/>
          <w:b/>
          <w:bCs/>
          <w:color w:val="auto"/>
          <w:sz w:val="28"/>
          <w:szCs w:val="28"/>
          <w:highlight w:val="none"/>
        </w:rPr>
      </w:pPr>
    </w:p>
    <w:p w14:paraId="74BC54C2">
      <w:pPr>
        <w:pStyle w:val="11"/>
        <w:jc w:val="center"/>
        <w:outlineLvl w:val="1"/>
        <w:rPr>
          <w:rFonts w:hint="eastAsia" w:ascii="宋体" w:hAnsi="宋体" w:eastAsia="宋体" w:cs="宋体"/>
          <w:b/>
          <w:bCs/>
          <w:color w:val="auto"/>
          <w:sz w:val="28"/>
          <w:szCs w:val="28"/>
          <w:highlight w:val="none"/>
        </w:rPr>
      </w:pPr>
    </w:p>
    <w:p w14:paraId="3BE498D5">
      <w:pPr>
        <w:pStyle w:val="11"/>
        <w:jc w:val="center"/>
        <w:outlineLvl w:val="1"/>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第四节 技术文件格式</w:t>
      </w:r>
      <w:bookmarkEnd w:id="335"/>
      <w:bookmarkEnd w:id="336"/>
      <w:bookmarkEnd w:id="337"/>
    </w:p>
    <w:p w14:paraId="341C529F">
      <w:pPr>
        <w:snapToGrid w:val="0"/>
        <w:spacing w:before="165" w:beforeLines="50" w:after="50"/>
        <w:rPr>
          <w:rFonts w:hint="eastAsia" w:ascii="宋体" w:hAnsi="宋体" w:eastAsia="宋体" w:cs="宋体"/>
          <w:bCs/>
          <w:color w:val="auto"/>
          <w:sz w:val="32"/>
          <w:szCs w:val="20"/>
          <w:highlight w:val="none"/>
        </w:rPr>
      </w:pPr>
      <w:r>
        <w:rPr>
          <w:rFonts w:hint="eastAsia" w:ascii="宋体" w:hAnsi="宋体" w:eastAsia="宋体" w:cs="宋体"/>
          <w:color w:val="auto"/>
          <w:sz w:val="24"/>
          <w:highlight w:val="none"/>
        </w:rPr>
        <w:t xml:space="preserve">                                                  </w:t>
      </w:r>
      <w:r>
        <w:rPr>
          <w:rFonts w:hint="eastAsia" w:ascii="宋体" w:hAnsi="宋体" w:eastAsia="宋体" w:cs="宋体"/>
          <w:bCs/>
          <w:color w:val="auto"/>
          <w:highlight w:val="none"/>
        </w:rPr>
        <w:t>电子投标文件</w:t>
      </w:r>
    </w:p>
    <w:p w14:paraId="7D8B1A92">
      <w:pPr>
        <w:snapToGrid w:val="0"/>
        <w:spacing w:before="165" w:beforeLines="50" w:after="50"/>
        <w:rPr>
          <w:rFonts w:hint="eastAsia" w:ascii="宋体" w:hAnsi="宋体" w:eastAsia="宋体" w:cs="宋体"/>
          <w:color w:val="auto"/>
          <w:sz w:val="24"/>
          <w:szCs w:val="20"/>
          <w:highlight w:val="none"/>
        </w:rPr>
      </w:pPr>
    </w:p>
    <w:p w14:paraId="0576FB92">
      <w:pPr>
        <w:snapToGrid w:val="0"/>
        <w:spacing w:before="165" w:beforeLines="50" w:after="50"/>
        <w:jc w:val="center"/>
        <w:rPr>
          <w:rFonts w:hint="eastAsia" w:ascii="宋体" w:hAnsi="宋体" w:eastAsia="宋体" w:cs="宋体"/>
          <w:b/>
          <w:bCs/>
          <w:color w:val="auto"/>
          <w:sz w:val="32"/>
          <w:szCs w:val="32"/>
          <w:highlight w:val="none"/>
        </w:rPr>
      </w:pPr>
    </w:p>
    <w:p w14:paraId="49DD9204">
      <w:pPr>
        <w:snapToGrid w:val="0"/>
        <w:spacing w:before="165" w:beforeLines="50" w:after="50"/>
        <w:jc w:val="center"/>
        <w:rPr>
          <w:rFonts w:hint="eastAsia" w:ascii="宋体" w:hAnsi="宋体" w:eastAsia="宋体" w:cs="宋体"/>
          <w:b/>
          <w:bCs/>
          <w:color w:val="auto"/>
          <w:sz w:val="32"/>
          <w:szCs w:val="32"/>
          <w:highlight w:val="none"/>
        </w:rPr>
      </w:pPr>
    </w:p>
    <w:p w14:paraId="1BEEB6D6">
      <w:pPr>
        <w:snapToGrid w:val="0"/>
        <w:spacing w:before="165" w:beforeLines="50" w:after="50"/>
        <w:jc w:val="center"/>
        <w:rPr>
          <w:rFonts w:hint="eastAsia" w:ascii="宋体" w:hAnsi="宋体" w:eastAsia="宋体" w:cs="宋体"/>
          <w:b/>
          <w:bCs/>
          <w:color w:val="auto"/>
          <w:sz w:val="32"/>
          <w:szCs w:val="32"/>
          <w:highlight w:val="none"/>
        </w:rPr>
      </w:pPr>
    </w:p>
    <w:p w14:paraId="49730D4D">
      <w:pPr>
        <w:snapToGrid w:val="0"/>
        <w:spacing w:before="165" w:beforeLines="50" w:after="5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技术文件（封面）</w:t>
      </w:r>
    </w:p>
    <w:p w14:paraId="0D662DE3">
      <w:pPr>
        <w:snapToGrid w:val="0"/>
        <w:spacing w:before="165" w:beforeLines="50" w:after="50"/>
        <w:rPr>
          <w:rFonts w:hint="eastAsia" w:ascii="宋体" w:hAnsi="宋体" w:eastAsia="宋体" w:cs="宋体"/>
          <w:bCs/>
          <w:color w:val="auto"/>
          <w:sz w:val="24"/>
          <w:szCs w:val="20"/>
          <w:highlight w:val="none"/>
        </w:rPr>
      </w:pPr>
    </w:p>
    <w:p w14:paraId="25A2301D">
      <w:pPr>
        <w:snapToGrid w:val="0"/>
        <w:spacing w:before="165" w:beforeLines="50" w:after="50" w:line="400" w:lineRule="exact"/>
        <w:ind w:firstLine="360" w:firstLineChars="150"/>
        <w:rPr>
          <w:rFonts w:hint="eastAsia" w:ascii="宋体" w:hAnsi="宋体" w:eastAsia="宋体" w:cs="宋体"/>
          <w:bCs/>
          <w:color w:val="auto"/>
          <w:sz w:val="24"/>
          <w:szCs w:val="20"/>
          <w:highlight w:val="none"/>
        </w:rPr>
      </w:pPr>
      <w:r>
        <w:rPr>
          <w:rFonts w:hint="eastAsia" w:ascii="宋体" w:hAnsi="宋体" w:eastAsia="宋体" w:cs="宋体"/>
          <w:bCs/>
          <w:color w:val="auto"/>
          <w:sz w:val="24"/>
          <w:highlight w:val="none"/>
        </w:rPr>
        <w:t xml:space="preserve">项目名称： </w:t>
      </w:r>
    </w:p>
    <w:p w14:paraId="6A29AAE4">
      <w:pPr>
        <w:snapToGrid w:val="0"/>
        <w:spacing w:before="165" w:beforeLines="50" w:after="50" w:line="400" w:lineRule="exact"/>
        <w:ind w:firstLine="360" w:firstLineChars="15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 xml:space="preserve">项目编号： </w:t>
      </w:r>
    </w:p>
    <w:p w14:paraId="098C7A26">
      <w:pPr>
        <w:snapToGrid w:val="0"/>
        <w:spacing w:before="165" w:beforeLines="50" w:after="50" w:line="400" w:lineRule="exact"/>
        <w:ind w:firstLine="360" w:firstLineChars="15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所投分标：</w:t>
      </w:r>
    </w:p>
    <w:p w14:paraId="31DA25FB">
      <w:pPr>
        <w:snapToGrid w:val="0"/>
        <w:spacing w:before="165" w:beforeLines="50" w:after="50" w:line="400" w:lineRule="exact"/>
        <w:ind w:firstLine="360" w:firstLineChars="15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投标人名称：</w:t>
      </w:r>
    </w:p>
    <w:p w14:paraId="05F11B07">
      <w:pPr>
        <w:snapToGrid w:val="0"/>
        <w:spacing w:before="165" w:beforeLines="50" w:after="50" w:line="400" w:lineRule="exact"/>
        <w:ind w:firstLine="360" w:firstLineChars="15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投标人地址：</w:t>
      </w:r>
    </w:p>
    <w:p w14:paraId="7D6882BB">
      <w:pPr>
        <w:snapToGrid w:val="0"/>
        <w:spacing w:before="165" w:beforeLines="50" w:after="50"/>
        <w:ind w:firstLine="645"/>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年    月    日</w:t>
      </w:r>
    </w:p>
    <w:p w14:paraId="59D78E04">
      <w:pPr>
        <w:snapToGrid w:val="0"/>
        <w:spacing w:before="165" w:beforeLines="50" w:after="50"/>
        <w:ind w:firstLine="645"/>
        <w:jc w:val="center"/>
        <w:rPr>
          <w:rFonts w:hint="eastAsia" w:ascii="宋体" w:hAnsi="宋体" w:eastAsia="宋体" w:cs="宋体"/>
          <w:color w:val="auto"/>
          <w:sz w:val="24"/>
          <w:szCs w:val="20"/>
          <w:highlight w:val="none"/>
        </w:rPr>
      </w:pPr>
    </w:p>
    <w:p w14:paraId="34182222">
      <w:pPr>
        <w:jc w:val="center"/>
        <w:rPr>
          <w:rFonts w:hint="eastAsia" w:ascii="宋体" w:hAnsi="宋体" w:eastAsia="宋体" w:cs="宋体"/>
          <w:b/>
          <w:color w:val="auto"/>
          <w:kern w:val="0"/>
          <w:sz w:val="28"/>
          <w:szCs w:val="28"/>
          <w:highlight w:val="none"/>
        </w:rPr>
      </w:pPr>
      <w:r>
        <w:rPr>
          <w:rFonts w:hint="eastAsia" w:ascii="宋体" w:hAnsi="宋体" w:eastAsia="宋体" w:cs="宋体"/>
          <w:b/>
          <w:bCs/>
          <w:color w:val="auto"/>
          <w:sz w:val="24"/>
          <w:highlight w:val="none"/>
        </w:rPr>
        <w:br w:type="page"/>
      </w:r>
      <w:r>
        <w:rPr>
          <w:rFonts w:hint="eastAsia" w:ascii="宋体" w:hAnsi="宋体" w:eastAsia="宋体" w:cs="宋体"/>
          <w:b/>
          <w:color w:val="auto"/>
          <w:kern w:val="0"/>
          <w:sz w:val="28"/>
          <w:szCs w:val="28"/>
          <w:highlight w:val="none"/>
        </w:rPr>
        <w:t>技术文件目录</w:t>
      </w:r>
    </w:p>
    <w:p w14:paraId="0258070B">
      <w:pPr>
        <w:pStyle w:val="35"/>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一、投标服务技术需求偏离表………………………………………………………（页码）</w:t>
      </w:r>
    </w:p>
    <w:p w14:paraId="138F520D">
      <w:pPr>
        <w:pStyle w:val="35"/>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二、</w:t>
      </w:r>
      <w:r>
        <w:rPr>
          <w:rFonts w:hint="eastAsia" w:ascii="宋体" w:hAnsi="宋体" w:eastAsia="宋体" w:cs="宋体"/>
          <w:color w:val="auto"/>
          <w:highlight w:val="none"/>
          <w:lang w:val="en-US" w:eastAsia="zh-CN"/>
        </w:rPr>
        <w:t>技术</w:t>
      </w:r>
      <w:r>
        <w:rPr>
          <w:rFonts w:hint="eastAsia" w:ascii="宋体" w:hAnsi="宋体" w:eastAsia="宋体" w:cs="宋体"/>
          <w:color w:val="auto"/>
          <w:highlight w:val="none"/>
        </w:rPr>
        <w:t>服务方案……………………………………………………………………（页码）</w:t>
      </w:r>
    </w:p>
    <w:p w14:paraId="68EB0E43">
      <w:pPr>
        <w:pStyle w:val="35"/>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三、售后服务方案………………………………</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1A21DD65">
      <w:pPr>
        <w:pStyle w:val="35"/>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四、</w:t>
      </w:r>
      <w:r>
        <w:rPr>
          <w:rFonts w:hint="eastAsia" w:ascii="宋体" w:hAnsi="宋体" w:eastAsia="宋体" w:cs="宋体"/>
          <w:color w:val="auto"/>
          <w:highlight w:val="none"/>
          <w:lang w:val="zh-CN"/>
        </w:rPr>
        <w:t>项目实施人员一览表………………………………</w:t>
      </w:r>
      <w:r>
        <w:rPr>
          <w:rFonts w:hint="eastAsia" w:ascii="宋体" w:hAnsi="宋体" w:eastAsia="宋体" w:cs="宋体"/>
          <w:color w:val="auto"/>
          <w:highlight w:val="none"/>
        </w:rPr>
        <w:t>……………………………（页码）</w:t>
      </w:r>
    </w:p>
    <w:p w14:paraId="05D0476D">
      <w:pPr>
        <w:pStyle w:val="35"/>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五、投标人对项目的合理化建议和改进措施</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7568623A">
      <w:pPr>
        <w:pStyle w:val="35"/>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六</w:t>
      </w:r>
      <w:r>
        <w:rPr>
          <w:rFonts w:hint="eastAsia" w:ascii="宋体" w:hAnsi="宋体" w:eastAsia="宋体" w:cs="宋体"/>
          <w:color w:val="auto"/>
          <w:highlight w:val="none"/>
        </w:rPr>
        <w:t>、投标人需要说明的其他文件和说明</w:t>
      </w:r>
      <w:r>
        <w:rPr>
          <w:rFonts w:hint="eastAsia" w:ascii="宋体" w:hAnsi="宋体" w:eastAsia="宋体" w:cs="宋体"/>
          <w:color w:val="auto"/>
          <w:highlight w:val="none"/>
          <w:lang w:val="zh-CN"/>
        </w:rPr>
        <w:t>………………………</w:t>
      </w:r>
      <w:r>
        <w:rPr>
          <w:rFonts w:hint="eastAsia" w:ascii="宋体" w:hAnsi="宋体" w:eastAsia="宋体" w:cs="宋体"/>
          <w:color w:val="auto"/>
          <w:highlight w:val="none"/>
        </w:rPr>
        <w:t>…</w:t>
      </w:r>
      <w:r>
        <w:rPr>
          <w:rFonts w:hint="eastAsia" w:ascii="宋体" w:hAnsi="宋体" w:eastAsia="宋体" w:cs="宋体"/>
          <w:color w:val="auto"/>
          <w:highlight w:val="none"/>
          <w:lang w:val="zh-CN"/>
        </w:rPr>
        <w:t>……………</w:t>
      </w:r>
      <w:r>
        <w:rPr>
          <w:rFonts w:hint="eastAsia" w:ascii="宋体" w:hAnsi="宋体" w:eastAsia="宋体" w:cs="宋体"/>
          <w:color w:val="auto"/>
          <w:highlight w:val="none"/>
        </w:rPr>
        <w:t>…</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012DEFFF">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注：以上目录是基本格式要求，各投标人可根据自身情况进一步向下增加内容或细化。</w:t>
      </w:r>
    </w:p>
    <w:p w14:paraId="062648D6">
      <w:pPr>
        <w:snapToGrid w:val="0"/>
        <w:spacing w:before="165" w:beforeLines="50" w:after="50"/>
        <w:ind w:left="143" w:leftChars="68" w:firstLine="472" w:firstLineChars="196"/>
        <w:jc w:val="left"/>
        <w:rPr>
          <w:rFonts w:hint="eastAsia" w:ascii="宋体" w:hAnsi="宋体" w:eastAsia="宋体" w:cs="宋体"/>
          <w:b/>
          <w:color w:val="auto"/>
          <w:sz w:val="24"/>
          <w:highlight w:val="none"/>
        </w:rPr>
      </w:pPr>
    </w:p>
    <w:p w14:paraId="348E9622">
      <w:pPr>
        <w:snapToGrid w:val="0"/>
        <w:spacing w:before="165" w:beforeLines="50" w:after="50"/>
        <w:ind w:left="143" w:leftChars="68" w:firstLine="472" w:firstLineChars="196"/>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r>
        <w:rPr>
          <w:rFonts w:hint="eastAsia" w:ascii="宋体" w:hAnsi="宋体" w:eastAsia="宋体" w:cs="宋体"/>
          <w:b/>
          <w:color w:val="auto"/>
          <w:sz w:val="24"/>
          <w:highlight w:val="none"/>
        </w:rPr>
        <w:t xml:space="preserve"> </w:t>
      </w:r>
    </w:p>
    <w:p w14:paraId="3A84CB6C">
      <w:pPr>
        <w:pStyle w:val="11"/>
        <w:spacing w:line="500" w:lineRule="exact"/>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一、投标服务技术需求偏离表</w:t>
      </w:r>
    </w:p>
    <w:p w14:paraId="7391EFDE">
      <w:pPr>
        <w:pStyle w:val="11"/>
        <w:spacing w:line="440" w:lineRule="exact"/>
        <w:ind w:firstLine="420" w:firstLineChars="200"/>
        <w:rPr>
          <w:rFonts w:hint="eastAsia" w:ascii="宋体" w:hAnsi="宋体" w:eastAsia="宋体" w:cs="宋体"/>
          <w:color w:val="auto"/>
          <w:highlight w:val="none"/>
        </w:rPr>
      </w:pPr>
    </w:p>
    <w:p w14:paraId="1BE08463">
      <w:pPr>
        <w:pStyle w:val="11"/>
        <w:spacing w:line="6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请根据所投服务的实际技术参数，</w:t>
      </w:r>
      <w:r>
        <w:rPr>
          <w:rFonts w:hint="eastAsia" w:ascii="宋体" w:hAnsi="宋体" w:eastAsia="宋体" w:cs="宋体"/>
          <w:b/>
          <w:color w:val="auto"/>
          <w:sz w:val="28"/>
          <w:szCs w:val="28"/>
          <w:highlight w:val="none"/>
        </w:rPr>
        <w:t>逐条对应</w:t>
      </w:r>
      <w:r>
        <w:rPr>
          <w:rFonts w:hint="eastAsia" w:ascii="宋体" w:hAnsi="宋体" w:eastAsia="宋体" w:cs="宋体"/>
          <w:color w:val="auto"/>
          <w:sz w:val="24"/>
          <w:szCs w:val="24"/>
          <w:highlight w:val="none"/>
        </w:rPr>
        <w:t>本项目招标文件第二章“服务需求一览表”中的</w:t>
      </w:r>
      <w:r>
        <w:rPr>
          <w:rFonts w:hint="eastAsia" w:ascii="宋体" w:hAnsi="宋体" w:eastAsia="宋体" w:cs="宋体"/>
          <w:b/>
          <w:color w:val="auto"/>
          <w:sz w:val="28"/>
          <w:szCs w:val="28"/>
          <w:highlight w:val="none"/>
        </w:rPr>
        <w:t>采购清单及服务参数</w:t>
      </w:r>
      <w:r>
        <w:rPr>
          <w:rFonts w:hint="eastAsia" w:ascii="宋体" w:hAnsi="宋体" w:eastAsia="宋体" w:cs="宋体"/>
          <w:color w:val="auto"/>
          <w:sz w:val="24"/>
          <w:szCs w:val="24"/>
          <w:highlight w:val="none"/>
        </w:rPr>
        <w:t>详细填写相应的具体内容。“偏离说明”一栏应当选择“正偏离”、“负偏离”或“无偏离”进行填写。</w:t>
      </w:r>
    </w:p>
    <w:tbl>
      <w:tblPr>
        <w:tblStyle w:val="18"/>
        <w:tblW w:w="10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1260"/>
        <w:gridCol w:w="2310"/>
        <w:gridCol w:w="1516"/>
        <w:gridCol w:w="3297"/>
        <w:gridCol w:w="1168"/>
      </w:tblGrid>
      <w:tr w14:paraId="5CBD9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jc w:val="center"/>
        </w:trPr>
        <w:tc>
          <w:tcPr>
            <w:tcW w:w="634" w:type="dxa"/>
            <w:vMerge w:val="restart"/>
            <w:tcBorders>
              <w:top w:val="single" w:color="auto" w:sz="4" w:space="0"/>
              <w:left w:val="single" w:color="auto" w:sz="4" w:space="0"/>
              <w:bottom w:val="single" w:color="auto" w:sz="4" w:space="0"/>
              <w:right w:val="single" w:color="auto" w:sz="4" w:space="0"/>
            </w:tcBorders>
            <w:vAlign w:val="center"/>
          </w:tcPr>
          <w:p w14:paraId="2612F393">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项号</w:t>
            </w:r>
          </w:p>
        </w:tc>
        <w:tc>
          <w:tcPr>
            <w:tcW w:w="3570" w:type="dxa"/>
            <w:gridSpan w:val="2"/>
            <w:tcBorders>
              <w:top w:val="single" w:color="auto" w:sz="4" w:space="0"/>
              <w:left w:val="single" w:color="auto" w:sz="4" w:space="0"/>
              <w:bottom w:val="single" w:color="auto" w:sz="4" w:space="0"/>
              <w:right w:val="single" w:color="auto" w:sz="4" w:space="0"/>
            </w:tcBorders>
            <w:vAlign w:val="center"/>
          </w:tcPr>
          <w:p w14:paraId="1B814995">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招标文件需求</w:t>
            </w:r>
          </w:p>
        </w:tc>
        <w:tc>
          <w:tcPr>
            <w:tcW w:w="4813" w:type="dxa"/>
            <w:gridSpan w:val="2"/>
            <w:tcBorders>
              <w:top w:val="single" w:color="auto" w:sz="4" w:space="0"/>
              <w:left w:val="single" w:color="auto" w:sz="4" w:space="0"/>
              <w:bottom w:val="single" w:color="auto" w:sz="4" w:space="0"/>
              <w:right w:val="single" w:color="auto" w:sz="4" w:space="0"/>
            </w:tcBorders>
            <w:vAlign w:val="center"/>
          </w:tcPr>
          <w:p w14:paraId="60B10D62">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投标文件承诺</w:t>
            </w:r>
          </w:p>
        </w:tc>
        <w:tc>
          <w:tcPr>
            <w:tcW w:w="1168" w:type="dxa"/>
            <w:vMerge w:val="restart"/>
            <w:tcBorders>
              <w:top w:val="single" w:color="auto" w:sz="4" w:space="0"/>
              <w:left w:val="single" w:color="auto" w:sz="4" w:space="0"/>
              <w:bottom w:val="single" w:color="auto" w:sz="4" w:space="0"/>
              <w:right w:val="single" w:color="auto" w:sz="4" w:space="0"/>
            </w:tcBorders>
            <w:vAlign w:val="center"/>
          </w:tcPr>
          <w:p w14:paraId="645E7B0B">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偏离说明</w:t>
            </w:r>
          </w:p>
        </w:tc>
      </w:tr>
      <w:tr w14:paraId="03E2B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jc w:val="center"/>
        </w:trPr>
        <w:tc>
          <w:tcPr>
            <w:tcW w:w="634" w:type="dxa"/>
            <w:vMerge w:val="continue"/>
            <w:tcBorders>
              <w:top w:val="single" w:color="auto" w:sz="4" w:space="0"/>
              <w:left w:val="single" w:color="auto" w:sz="4" w:space="0"/>
              <w:bottom w:val="single" w:color="auto" w:sz="4" w:space="0"/>
              <w:right w:val="single" w:color="auto" w:sz="4" w:space="0"/>
            </w:tcBorders>
            <w:vAlign w:val="center"/>
          </w:tcPr>
          <w:p w14:paraId="0BCA8FF6">
            <w:pPr>
              <w:widowControl/>
              <w:jc w:val="left"/>
              <w:rPr>
                <w:rFonts w:hint="eastAsia" w:ascii="宋体" w:hAnsi="宋体" w:eastAsia="宋体" w:cs="宋体"/>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A2A5BE9">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服务名称</w:t>
            </w:r>
          </w:p>
        </w:tc>
        <w:tc>
          <w:tcPr>
            <w:tcW w:w="2310" w:type="dxa"/>
            <w:tcBorders>
              <w:top w:val="single" w:color="auto" w:sz="4" w:space="0"/>
              <w:left w:val="single" w:color="auto" w:sz="4" w:space="0"/>
              <w:bottom w:val="single" w:color="auto" w:sz="4" w:space="0"/>
              <w:right w:val="single" w:color="auto" w:sz="4" w:space="0"/>
            </w:tcBorders>
            <w:vAlign w:val="center"/>
          </w:tcPr>
          <w:p w14:paraId="12179D62">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服务参数</w:t>
            </w:r>
          </w:p>
        </w:tc>
        <w:tc>
          <w:tcPr>
            <w:tcW w:w="1516" w:type="dxa"/>
            <w:tcBorders>
              <w:top w:val="single" w:color="auto" w:sz="4" w:space="0"/>
              <w:left w:val="single" w:color="auto" w:sz="4" w:space="0"/>
              <w:bottom w:val="single" w:color="auto" w:sz="4" w:space="0"/>
              <w:right w:val="single" w:color="auto" w:sz="4" w:space="0"/>
            </w:tcBorders>
            <w:vAlign w:val="center"/>
          </w:tcPr>
          <w:p w14:paraId="68B72B6F">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服务名称</w:t>
            </w:r>
          </w:p>
        </w:tc>
        <w:tc>
          <w:tcPr>
            <w:tcW w:w="3297" w:type="dxa"/>
            <w:tcBorders>
              <w:top w:val="single" w:color="auto" w:sz="4" w:space="0"/>
              <w:left w:val="single" w:color="auto" w:sz="4" w:space="0"/>
              <w:bottom w:val="single" w:color="auto" w:sz="4" w:space="0"/>
              <w:right w:val="single" w:color="auto" w:sz="4" w:space="0"/>
            </w:tcBorders>
            <w:vAlign w:val="center"/>
          </w:tcPr>
          <w:p w14:paraId="0219ABE3">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所提供服务的内容</w:t>
            </w:r>
          </w:p>
        </w:tc>
        <w:tc>
          <w:tcPr>
            <w:tcW w:w="1168" w:type="dxa"/>
            <w:vMerge w:val="continue"/>
            <w:tcBorders>
              <w:top w:val="single" w:color="auto" w:sz="4" w:space="0"/>
              <w:left w:val="single" w:color="auto" w:sz="4" w:space="0"/>
              <w:bottom w:val="single" w:color="auto" w:sz="4" w:space="0"/>
              <w:right w:val="single" w:color="auto" w:sz="4" w:space="0"/>
            </w:tcBorders>
            <w:vAlign w:val="center"/>
          </w:tcPr>
          <w:p w14:paraId="402BDF8A">
            <w:pPr>
              <w:widowControl/>
              <w:jc w:val="left"/>
              <w:rPr>
                <w:rFonts w:hint="eastAsia" w:ascii="宋体" w:hAnsi="宋体" w:eastAsia="宋体" w:cs="宋体"/>
                <w:color w:val="auto"/>
                <w:szCs w:val="21"/>
                <w:highlight w:val="none"/>
              </w:rPr>
            </w:pPr>
          </w:p>
        </w:tc>
      </w:tr>
      <w:tr w14:paraId="4E136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vAlign w:val="center"/>
          </w:tcPr>
          <w:p w14:paraId="24B23DEC">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260" w:type="dxa"/>
            <w:tcBorders>
              <w:top w:val="single" w:color="auto" w:sz="4" w:space="0"/>
              <w:left w:val="single" w:color="auto" w:sz="4" w:space="0"/>
              <w:bottom w:val="single" w:color="auto" w:sz="4" w:space="0"/>
              <w:right w:val="single" w:color="auto" w:sz="4" w:space="0"/>
            </w:tcBorders>
            <w:vAlign w:val="center"/>
          </w:tcPr>
          <w:p w14:paraId="1890D89E">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2310" w:type="dxa"/>
            <w:tcBorders>
              <w:top w:val="single" w:color="auto" w:sz="4" w:space="0"/>
              <w:left w:val="single" w:color="auto" w:sz="4" w:space="0"/>
              <w:bottom w:val="single" w:color="auto" w:sz="4" w:space="0"/>
              <w:right w:val="single" w:color="auto" w:sz="4" w:space="0"/>
            </w:tcBorders>
            <w:vAlign w:val="center"/>
          </w:tcPr>
          <w:p w14:paraId="67F47265">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7D8AD473">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0DE9EC93">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11771312">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516" w:type="dxa"/>
            <w:tcBorders>
              <w:top w:val="single" w:color="auto" w:sz="4" w:space="0"/>
              <w:left w:val="single" w:color="auto" w:sz="4" w:space="0"/>
              <w:bottom w:val="single" w:color="auto" w:sz="4" w:space="0"/>
              <w:right w:val="single" w:color="auto" w:sz="4" w:space="0"/>
            </w:tcBorders>
            <w:vAlign w:val="center"/>
          </w:tcPr>
          <w:p w14:paraId="0DAE8A4E">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3297" w:type="dxa"/>
            <w:tcBorders>
              <w:top w:val="single" w:color="auto" w:sz="4" w:space="0"/>
              <w:left w:val="single" w:color="auto" w:sz="4" w:space="0"/>
              <w:bottom w:val="single" w:color="auto" w:sz="4" w:space="0"/>
              <w:right w:val="single" w:color="auto" w:sz="4" w:space="0"/>
            </w:tcBorders>
            <w:vAlign w:val="center"/>
          </w:tcPr>
          <w:p w14:paraId="4B145AEB">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1D9AA030">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5F83A3FB">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5636FFA3">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168" w:type="dxa"/>
            <w:tcBorders>
              <w:top w:val="single" w:color="auto" w:sz="4" w:space="0"/>
              <w:left w:val="single" w:color="auto" w:sz="4" w:space="0"/>
              <w:bottom w:val="single" w:color="auto" w:sz="4" w:space="0"/>
              <w:right w:val="single" w:color="auto" w:sz="4" w:space="0"/>
            </w:tcBorders>
            <w:vAlign w:val="center"/>
          </w:tcPr>
          <w:p w14:paraId="0648E4E8">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正偏离（负偏离或无偏离）</w:t>
            </w:r>
          </w:p>
        </w:tc>
      </w:tr>
      <w:tr w14:paraId="5ED81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vAlign w:val="center"/>
          </w:tcPr>
          <w:p w14:paraId="2392D94E">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1260" w:type="dxa"/>
            <w:tcBorders>
              <w:top w:val="single" w:color="auto" w:sz="4" w:space="0"/>
              <w:left w:val="single" w:color="auto" w:sz="4" w:space="0"/>
              <w:bottom w:val="single" w:color="auto" w:sz="4" w:space="0"/>
              <w:right w:val="single" w:color="auto" w:sz="4" w:space="0"/>
            </w:tcBorders>
            <w:vAlign w:val="center"/>
          </w:tcPr>
          <w:p w14:paraId="330C81F4">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2310" w:type="dxa"/>
            <w:tcBorders>
              <w:top w:val="single" w:color="auto" w:sz="4" w:space="0"/>
              <w:left w:val="single" w:color="auto" w:sz="4" w:space="0"/>
              <w:bottom w:val="single" w:color="auto" w:sz="4" w:space="0"/>
              <w:right w:val="single" w:color="auto" w:sz="4" w:space="0"/>
            </w:tcBorders>
            <w:vAlign w:val="center"/>
          </w:tcPr>
          <w:p w14:paraId="441D5E05">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50479094">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20B44549">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670A0DBB">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516" w:type="dxa"/>
            <w:tcBorders>
              <w:top w:val="single" w:color="auto" w:sz="4" w:space="0"/>
              <w:left w:val="single" w:color="auto" w:sz="4" w:space="0"/>
              <w:bottom w:val="single" w:color="auto" w:sz="4" w:space="0"/>
              <w:right w:val="single" w:color="auto" w:sz="4" w:space="0"/>
            </w:tcBorders>
            <w:vAlign w:val="center"/>
          </w:tcPr>
          <w:p w14:paraId="42462E08">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3297" w:type="dxa"/>
            <w:tcBorders>
              <w:top w:val="single" w:color="auto" w:sz="4" w:space="0"/>
              <w:left w:val="single" w:color="auto" w:sz="4" w:space="0"/>
              <w:bottom w:val="single" w:color="auto" w:sz="4" w:space="0"/>
              <w:right w:val="single" w:color="auto" w:sz="4" w:space="0"/>
            </w:tcBorders>
            <w:vAlign w:val="center"/>
          </w:tcPr>
          <w:p w14:paraId="50377532">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7FACEF07">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13DE13C8">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38777F4C">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168" w:type="dxa"/>
            <w:tcBorders>
              <w:top w:val="single" w:color="auto" w:sz="4" w:space="0"/>
              <w:left w:val="single" w:color="auto" w:sz="4" w:space="0"/>
              <w:bottom w:val="single" w:color="auto" w:sz="4" w:space="0"/>
              <w:right w:val="single" w:color="auto" w:sz="4" w:space="0"/>
            </w:tcBorders>
            <w:vAlign w:val="center"/>
          </w:tcPr>
          <w:p w14:paraId="32EE0006">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正偏离（负偏离或无偏离）</w:t>
            </w:r>
          </w:p>
        </w:tc>
      </w:tr>
      <w:tr w14:paraId="75904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vAlign w:val="center"/>
          </w:tcPr>
          <w:p w14:paraId="6EF087CF">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260" w:type="dxa"/>
            <w:tcBorders>
              <w:top w:val="single" w:color="auto" w:sz="4" w:space="0"/>
              <w:left w:val="single" w:color="auto" w:sz="4" w:space="0"/>
              <w:bottom w:val="single" w:color="auto" w:sz="4" w:space="0"/>
              <w:right w:val="single" w:color="auto" w:sz="4" w:space="0"/>
            </w:tcBorders>
            <w:vAlign w:val="center"/>
          </w:tcPr>
          <w:p w14:paraId="46720DA5">
            <w:pPr>
              <w:rPr>
                <w:rFonts w:hint="eastAsia" w:ascii="宋体" w:hAnsi="宋体" w:eastAsia="宋体" w:cs="宋体"/>
                <w:color w:val="auto"/>
                <w:szCs w:val="21"/>
                <w:highlight w:val="none"/>
              </w:rPr>
            </w:pPr>
          </w:p>
        </w:tc>
        <w:tc>
          <w:tcPr>
            <w:tcW w:w="2310" w:type="dxa"/>
            <w:tcBorders>
              <w:top w:val="single" w:color="auto" w:sz="4" w:space="0"/>
              <w:left w:val="single" w:color="auto" w:sz="4" w:space="0"/>
              <w:bottom w:val="single" w:color="auto" w:sz="4" w:space="0"/>
              <w:right w:val="single" w:color="auto" w:sz="4" w:space="0"/>
            </w:tcBorders>
            <w:vAlign w:val="center"/>
          </w:tcPr>
          <w:p w14:paraId="473935B5">
            <w:pPr>
              <w:rPr>
                <w:rFonts w:hint="eastAsia" w:ascii="宋体" w:hAnsi="宋体" w:eastAsia="宋体" w:cs="宋体"/>
                <w:color w:val="auto"/>
                <w:szCs w:val="21"/>
                <w:highlight w:val="none"/>
              </w:rPr>
            </w:pPr>
          </w:p>
        </w:tc>
        <w:tc>
          <w:tcPr>
            <w:tcW w:w="1516" w:type="dxa"/>
            <w:tcBorders>
              <w:top w:val="single" w:color="auto" w:sz="4" w:space="0"/>
              <w:left w:val="single" w:color="auto" w:sz="4" w:space="0"/>
              <w:bottom w:val="single" w:color="auto" w:sz="4" w:space="0"/>
              <w:right w:val="single" w:color="auto" w:sz="4" w:space="0"/>
            </w:tcBorders>
            <w:vAlign w:val="center"/>
          </w:tcPr>
          <w:p w14:paraId="285F1254">
            <w:pPr>
              <w:rPr>
                <w:rFonts w:hint="eastAsia" w:ascii="宋体" w:hAnsi="宋体" w:eastAsia="宋体" w:cs="宋体"/>
                <w:color w:val="auto"/>
                <w:szCs w:val="21"/>
                <w:highlight w:val="none"/>
              </w:rPr>
            </w:pPr>
          </w:p>
        </w:tc>
        <w:tc>
          <w:tcPr>
            <w:tcW w:w="3297" w:type="dxa"/>
            <w:tcBorders>
              <w:top w:val="single" w:color="auto" w:sz="4" w:space="0"/>
              <w:left w:val="single" w:color="auto" w:sz="4" w:space="0"/>
              <w:bottom w:val="single" w:color="auto" w:sz="4" w:space="0"/>
              <w:right w:val="single" w:color="auto" w:sz="4" w:space="0"/>
            </w:tcBorders>
            <w:vAlign w:val="center"/>
          </w:tcPr>
          <w:p w14:paraId="567D896F">
            <w:pPr>
              <w:rPr>
                <w:rFonts w:hint="eastAsia" w:ascii="宋体" w:hAnsi="宋体" w:eastAsia="宋体" w:cs="宋体"/>
                <w:color w:val="auto"/>
                <w:szCs w:val="21"/>
                <w:highlight w:val="none"/>
              </w:rPr>
            </w:pPr>
          </w:p>
        </w:tc>
        <w:tc>
          <w:tcPr>
            <w:tcW w:w="1168" w:type="dxa"/>
            <w:tcBorders>
              <w:top w:val="single" w:color="auto" w:sz="4" w:space="0"/>
              <w:left w:val="single" w:color="auto" w:sz="4" w:space="0"/>
              <w:bottom w:val="single" w:color="auto" w:sz="4" w:space="0"/>
              <w:right w:val="single" w:color="auto" w:sz="4" w:space="0"/>
            </w:tcBorders>
            <w:vAlign w:val="center"/>
          </w:tcPr>
          <w:p w14:paraId="2D9E2025">
            <w:pPr>
              <w:rPr>
                <w:rFonts w:hint="eastAsia" w:ascii="宋体" w:hAnsi="宋体" w:eastAsia="宋体" w:cs="宋体"/>
                <w:color w:val="auto"/>
                <w:szCs w:val="21"/>
                <w:highlight w:val="none"/>
              </w:rPr>
            </w:pPr>
          </w:p>
        </w:tc>
      </w:tr>
      <w:tr w14:paraId="2B2FF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10185" w:type="dxa"/>
            <w:gridSpan w:val="6"/>
            <w:tcBorders>
              <w:top w:val="single" w:color="auto" w:sz="4" w:space="0"/>
              <w:left w:val="single" w:color="auto" w:sz="4" w:space="0"/>
              <w:bottom w:val="single" w:color="auto" w:sz="4" w:space="0"/>
              <w:right w:val="single" w:color="auto" w:sz="4" w:space="0"/>
            </w:tcBorders>
            <w:vAlign w:val="center"/>
          </w:tcPr>
          <w:p w14:paraId="4B4D88C4">
            <w:pPr>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　　</w:t>
            </w:r>
            <w:r>
              <w:rPr>
                <w:rFonts w:hint="eastAsia" w:ascii="宋体" w:hAnsi="宋体" w:eastAsia="宋体" w:cs="宋体"/>
                <w:color w:val="auto"/>
                <w:szCs w:val="21"/>
                <w:highlight w:val="none"/>
              </w:rPr>
              <w:t>分标（此处有分标时填写具体分标号，无分标时填写“无”）</w:t>
            </w:r>
          </w:p>
        </w:tc>
      </w:tr>
    </w:tbl>
    <w:p w14:paraId="35A1215D">
      <w:pPr>
        <w:pStyle w:val="11"/>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w:t>
      </w:r>
    </w:p>
    <w:p w14:paraId="70BBF271">
      <w:pPr>
        <w:pStyle w:val="11"/>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1.表格内容均需按要求填写并盖章，不得留空。</w:t>
      </w:r>
    </w:p>
    <w:p w14:paraId="3A0EE5B1">
      <w:pPr>
        <w:pStyle w:val="11"/>
        <w:spacing w:line="360" w:lineRule="auto"/>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2.当投标文件的服务内容低于招标文件要求时，投标人应当如实写明“负偏离”，否则视为虚假应标。</w:t>
      </w:r>
    </w:p>
    <w:p w14:paraId="0B405954">
      <w:pPr>
        <w:pStyle w:val="11"/>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w:t>
      </w:r>
      <w:r>
        <w:rPr>
          <w:rFonts w:hint="eastAsia" w:ascii="宋体" w:hAnsi="宋体" w:eastAsia="宋体" w:cs="宋体"/>
          <w:color w:val="auto"/>
          <w:szCs w:val="21"/>
          <w:highlight w:val="none"/>
        </w:rPr>
        <w:t>采购需求中带“▲”及“★”的条款，也要分别在本表“服务参数”、“所提供服务的内容”中标记。</w:t>
      </w:r>
    </w:p>
    <w:p w14:paraId="4EEBE0A4">
      <w:pPr>
        <w:snapToGrid w:val="0"/>
        <w:spacing w:line="360" w:lineRule="auto"/>
        <w:ind w:firstLine="5640" w:firstLineChars="2350"/>
        <w:rPr>
          <w:rFonts w:hint="eastAsia" w:ascii="宋体" w:hAnsi="宋体" w:eastAsia="宋体" w:cs="宋体"/>
          <w:color w:val="auto"/>
          <w:kern w:val="0"/>
          <w:sz w:val="24"/>
          <w:highlight w:val="none"/>
          <w:lang w:val="zh-CN"/>
        </w:rPr>
      </w:pPr>
    </w:p>
    <w:p w14:paraId="22EE1B21">
      <w:pPr>
        <w:snapToGrid w:val="0"/>
        <w:spacing w:line="360" w:lineRule="auto"/>
        <w:ind w:firstLine="5640" w:firstLineChars="235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投标人名称（电子签章）：</w:t>
      </w:r>
    </w:p>
    <w:p w14:paraId="63E298AE">
      <w:pPr>
        <w:snapToGrid w:val="0"/>
        <w:spacing w:line="360" w:lineRule="auto"/>
        <w:ind w:firstLine="5160" w:firstLineChars="21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13094A37">
      <w:pPr>
        <w:widowControl/>
        <w:jc w:val="left"/>
        <w:rPr>
          <w:rFonts w:hint="eastAsia" w:ascii="宋体" w:hAnsi="宋体" w:eastAsia="宋体" w:cs="宋体"/>
          <w:color w:val="auto"/>
          <w:sz w:val="30"/>
          <w:szCs w:val="20"/>
          <w:highlight w:val="none"/>
        </w:rPr>
        <w:sectPr>
          <w:pgSz w:w="11906" w:h="16838"/>
          <w:pgMar w:top="1134" w:right="1134" w:bottom="1134" w:left="1134" w:header="720" w:footer="720" w:gutter="0"/>
          <w:cols w:space="720" w:num="1"/>
          <w:docGrid w:type="lines" w:linePitch="331" w:charSpace="0"/>
        </w:sectPr>
      </w:pPr>
    </w:p>
    <w:p w14:paraId="419E94EC">
      <w:pPr>
        <w:snapToGrid w:val="0"/>
        <w:spacing w:before="165" w:beforeLines="50" w:after="50"/>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二、技术服务方案</w:t>
      </w:r>
    </w:p>
    <w:p w14:paraId="34B6EC99">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（由投标人根据采购需求及招标文件要求编制）</w:t>
      </w:r>
    </w:p>
    <w:p w14:paraId="0588CA27">
      <w:pPr>
        <w:rPr>
          <w:rFonts w:hint="eastAsia" w:ascii="宋体" w:hAnsi="宋体" w:eastAsia="宋体" w:cs="宋体"/>
          <w:b/>
          <w:bCs/>
          <w:color w:val="auto"/>
          <w:kern w:val="0"/>
          <w:sz w:val="24"/>
          <w:highlight w:val="none"/>
          <w:lang w:val="zh-CN"/>
        </w:rPr>
      </w:pPr>
    </w:p>
    <w:p w14:paraId="12BD2ECE">
      <w:pPr>
        <w:rPr>
          <w:rFonts w:hint="eastAsia" w:ascii="宋体" w:hAnsi="宋体" w:eastAsia="宋体" w:cs="宋体"/>
          <w:b/>
          <w:bCs/>
          <w:color w:val="auto"/>
          <w:kern w:val="0"/>
          <w:sz w:val="24"/>
          <w:highlight w:val="none"/>
          <w:lang w:val="zh-CN"/>
        </w:rPr>
      </w:pPr>
    </w:p>
    <w:p w14:paraId="0017C6EF">
      <w:pPr>
        <w:rPr>
          <w:rFonts w:hint="eastAsia" w:ascii="宋体" w:hAnsi="宋体" w:eastAsia="宋体" w:cs="宋体"/>
          <w:b/>
          <w:bCs/>
          <w:color w:val="auto"/>
          <w:kern w:val="0"/>
          <w:sz w:val="24"/>
          <w:highlight w:val="none"/>
          <w:lang w:val="zh-CN"/>
        </w:rPr>
      </w:pPr>
    </w:p>
    <w:p w14:paraId="614236BF">
      <w:pPr>
        <w:snapToGrid w:val="0"/>
        <w:spacing w:line="360" w:lineRule="auto"/>
        <w:ind w:firstLine="4935" w:firstLineChars="235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14:paraId="742E88BF">
      <w:pPr>
        <w:snapToGrid w:val="0"/>
        <w:spacing w:before="165" w:beforeLines="50" w:after="50"/>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三、售后服务方案</w:t>
      </w:r>
    </w:p>
    <w:p w14:paraId="5653AB4E">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（由投标人根据采购需求及招标文件要求编制）</w:t>
      </w:r>
    </w:p>
    <w:p w14:paraId="61F88906">
      <w:pPr>
        <w:snapToGrid w:val="0"/>
        <w:spacing w:before="165" w:beforeLines="50" w:after="50"/>
        <w:ind w:left="142"/>
        <w:jc w:val="center"/>
        <w:rPr>
          <w:rFonts w:hint="eastAsia" w:ascii="宋体" w:hAnsi="宋体" w:eastAsia="宋体" w:cs="宋体"/>
          <w:b/>
          <w:color w:val="auto"/>
          <w:sz w:val="32"/>
          <w:szCs w:val="32"/>
          <w:highlight w:val="none"/>
        </w:rPr>
      </w:pPr>
    </w:p>
    <w:p w14:paraId="431C257F">
      <w:pPr>
        <w:snapToGrid w:val="0"/>
        <w:spacing w:before="165" w:beforeLines="50" w:after="50"/>
        <w:ind w:left="142"/>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1、售后服务承诺</w:t>
      </w:r>
    </w:p>
    <w:p w14:paraId="167B5146">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（由投标人根据采购需求及招标文件要求编制）</w:t>
      </w:r>
    </w:p>
    <w:p w14:paraId="104E3E66">
      <w:pPr>
        <w:autoSpaceDE w:val="0"/>
        <w:autoSpaceDN w:val="0"/>
        <w:spacing w:line="360" w:lineRule="auto"/>
        <w:rPr>
          <w:rFonts w:hint="eastAsia" w:ascii="宋体" w:hAnsi="宋体" w:eastAsia="宋体" w:cs="宋体"/>
          <w:b/>
          <w:color w:val="auto"/>
          <w:sz w:val="24"/>
          <w:highlight w:val="none"/>
        </w:rPr>
      </w:pPr>
    </w:p>
    <w:p w14:paraId="591F3DA6">
      <w:pPr>
        <w:autoSpaceDE w:val="0"/>
        <w:autoSpaceDN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附表A</w:t>
      </w:r>
      <w:r>
        <w:rPr>
          <w:rFonts w:hint="eastAsia" w:ascii="宋体" w:hAnsi="宋体" w:cs="宋体"/>
          <w:b/>
          <w:color w:val="auto"/>
          <w:sz w:val="24"/>
          <w:highlight w:val="none"/>
          <w:lang w:eastAsia="zh-CN"/>
        </w:rPr>
        <w:t>：</w:t>
      </w:r>
      <w:r>
        <w:rPr>
          <w:rFonts w:hint="eastAsia" w:ascii="宋体" w:hAnsi="宋体" w:eastAsia="宋体" w:cs="宋体"/>
          <w:b/>
          <w:color w:val="auto"/>
          <w:sz w:val="24"/>
          <w:highlight w:val="none"/>
        </w:rPr>
        <w:t>售后服务机构情况表</w:t>
      </w:r>
      <w:r>
        <w:rPr>
          <w:rFonts w:hint="eastAsia" w:ascii="宋体" w:hAnsi="宋体" w:eastAsia="宋体" w:cs="宋体"/>
          <w:color w:val="auto"/>
          <w:sz w:val="24"/>
          <w:highlight w:val="none"/>
        </w:rPr>
        <w:t>（按此格式自制）</w:t>
      </w:r>
    </w:p>
    <w:tbl>
      <w:tblPr>
        <w:tblStyle w:val="18"/>
        <w:tblW w:w="8748"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340"/>
        <w:gridCol w:w="1095"/>
        <w:gridCol w:w="1245"/>
        <w:gridCol w:w="1980"/>
        <w:gridCol w:w="1260"/>
      </w:tblGrid>
      <w:tr w14:paraId="27D29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vAlign w:val="top"/>
          </w:tcPr>
          <w:p w14:paraId="44EDBEC9">
            <w:pPr>
              <w:autoSpaceDE w:val="0"/>
              <w:autoSpaceDN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2340" w:type="dxa"/>
            <w:tcBorders>
              <w:top w:val="single" w:color="auto" w:sz="4" w:space="0"/>
              <w:left w:val="single" w:color="auto" w:sz="4" w:space="0"/>
              <w:bottom w:val="single" w:color="auto" w:sz="4" w:space="0"/>
              <w:right w:val="single" w:color="auto" w:sz="4" w:space="0"/>
            </w:tcBorders>
            <w:vAlign w:val="top"/>
          </w:tcPr>
          <w:p w14:paraId="7B1B2C49">
            <w:pPr>
              <w:autoSpaceDE w:val="0"/>
              <w:autoSpaceDN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机构名称</w:t>
            </w:r>
          </w:p>
        </w:tc>
        <w:tc>
          <w:tcPr>
            <w:tcW w:w="1095" w:type="dxa"/>
            <w:tcBorders>
              <w:top w:val="single" w:color="auto" w:sz="4" w:space="0"/>
              <w:left w:val="single" w:color="auto" w:sz="4" w:space="0"/>
              <w:bottom w:val="single" w:color="auto" w:sz="4" w:space="0"/>
              <w:right w:val="single" w:color="auto" w:sz="4" w:space="0"/>
            </w:tcBorders>
            <w:vAlign w:val="top"/>
          </w:tcPr>
          <w:p w14:paraId="25192699">
            <w:pPr>
              <w:autoSpaceDE w:val="0"/>
              <w:autoSpaceDN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机构性质</w:t>
            </w:r>
          </w:p>
        </w:tc>
        <w:tc>
          <w:tcPr>
            <w:tcW w:w="1245" w:type="dxa"/>
            <w:tcBorders>
              <w:top w:val="single" w:color="auto" w:sz="4" w:space="0"/>
              <w:left w:val="single" w:color="auto" w:sz="4" w:space="0"/>
              <w:bottom w:val="single" w:color="auto" w:sz="4" w:space="0"/>
              <w:right w:val="single" w:color="auto" w:sz="4" w:space="0"/>
            </w:tcBorders>
            <w:vAlign w:val="top"/>
          </w:tcPr>
          <w:p w14:paraId="4DC8DCEF">
            <w:pPr>
              <w:autoSpaceDE w:val="0"/>
              <w:autoSpaceDN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注册地址</w:t>
            </w:r>
          </w:p>
        </w:tc>
        <w:tc>
          <w:tcPr>
            <w:tcW w:w="1980" w:type="dxa"/>
            <w:tcBorders>
              <w:top w:val="single" w:color="auto" w:sz="4" w:space="0"/>
              <w:left w:val="single" w:color="auto" w:sz="4" w:space="0"/>
              <w:bottom w:val="single" w:color="auto" w:sz="4" w:space="0"/>
              <w:right w:val="single" w:color="auto" w:sz="4" w:space="0"/>
            </w:tcBorders>
            <w:vAlign w:val="top"/>
          </w:tcPr>
          <w:p w14:paraId="1DD2A492">
            <w:pPr>
              <w:autoSpaceDE w:val="0"/>
              <w:autoSpaceDN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服务技术人员数量</w:t>
            </w:r>
          </w:p>
        </w:tc>
        <w:tc>
          <w:tcPr>
            <w:tcW w:w="1260" w:type="dxa"/>
            <w:tcBorders>
              <w:top w:val="single" w:color="auto" w:sz="4" w:space="0"/>
              <w:left w:val="single" w:color="auto" w:sz="4" w:space="0"/>
              <w:bottom w:val="single" w:color="auto" w:sz="4" w:space="0"/>
              <w:right w:val="single" w:color="auto" w:sz="4" w:space="0"/>
            </w:tcBorders>
            <w:vAlign w:val="top"/>
          </w:tcPr>
          <w:p w14:paraId="4A07CE43">
            <w:pPr>
              <w:autoSpaceDE w:val="0"/>
              <w:autoSpaceDN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联系电话</w:t>
            </w:r>
          </w:p>
        </w:tc>
      </w:tr>
      <w:tr w14:paraId="73DD2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vAlign w:val="top"/>
          </w:tcPr>
          <w:p w14:paraId="11BDDB2D">
            <w:pPr>
              <w:autoSpaceDE w:val="0"/>
              <w:autoSpaceDN w:val="0"/>
              <w:spacing w:line="360" w:lineRule="auto"/>
              <w:jc w:val="center"/>
              <w:rPr>
                <w:rFonts w:hint="eastAsia" w:ascii="宋体" w:hAnsi="宋体" w:eastAsia="宋体" w:cs="宋体"/>
                <w:color w:val="auto"/>
                <w:sz w:val="24"/>
                <w:highlight w:val="none"/>
              </w:rPr>
            </w:pPr>
          </w:p>
        </w:tc>
        <w:tc>
          <w:tcPr>
            <w:tcW w:w="2340" w:type="dxa"/>
            <w:tcBorders>
              <w:top w:val="single" w:color="auto" w:sz="4" w:space="0"/>
              <w:left w:val="single" w:color="auto" w:sz="4" w:space="0"/>
              <w:bottom w:val="single" w:color="auto" w:sz="4" w:space="0"/>
              <w:right w:val="single" w:color="auto" w:sz="4" w:space="0"/>
            </w:tcBorders>
            <w:vAlign w:val="top"/>
          </w:tcPr>
          <w:p w14:paraId="4D4A4E5D">
            <w:pPr>
              <w:autoSpaceDE w:val="0"/>
              <w:autoSpaceDN w:val="0"/>
              <w:spacing w:line="360" w:lineRule="auto"/>
              <w:jc w:val="center"/>
              <w:rPr>
                <w:rFonts w:hint="eastAsia" w:ascii="宋体" w:hAnsi="宋体" w:eastAsia="宋体" w:cs="宋体"/>
                <w:color w:val="auto"/>
                <w:sz w:val="24"/>
                <w:highlight w:val="none"/>
              </w:rPr>
            </w:pPr>
          </w:p>
        </w:tc>
        <w:tc>
          <w:tcPr>
            <w:tcW w:w="1095" w:type="dxa"/>
            <w:tcBorders>
              <w:top w:val="single" w:color="auto" w:sz="4" w:space="0"/>
              <w:left w:val="single" w:color="auto" w:sz="4" w:space="0"/>
              <w:bottom w:val="single" w:color="auto" w:sz="4" w:space="0"/>
              <w:right w:val="single" w:color="auto" w:sz="4" w:space="0"/>
            </w:tcBorders>
            <w:vAlign w:val="top"/>
          </w:tcPr>
          <w:p w14:paraId="4A31A374">
            <w:pPr>
              <w:autoSpaceDE w:val="0"/>
              <w:autoSpaceDN w:val="0"/>
              <w:spacing w:line="360" w:lineRule="auto"/>
              <w:jc w:val="center"/>
              <w:rPr>
                <w:rFonts w:hint="eastAsia" w:ascii="宋体" w:hAnsi="宋体" w:eastAsia="宋体" w:cs="宋体"/>
                <w:color w:val="auto"/>
                <w:sz w:val="24"/>
                <w:highlight w:val="none"/>
              </w:rPr>
            </w:pPr>
          </w:p>
        </w:tc>
        <w:tc>
          <w:tcPr>
            <w:tcW w:w="1245" w:type="dxa"/>
            <w:tcBorders>
              <w:top w:val="single" w:color="auto" w:sz="4" w:space="0"/>
              <w:left w:val="single" w:color="auto" w:sz="4" w:space="0"/>
              <w:bottom w:val="single" w:color="auto" w:sz="4" w:space="0"/>
              <w:right w:val="single" w:color="auto" w:sz="4" w:space="0"/>
            </w:tcBorders>
            <w:vAlign w:val="top"/>
          </w:tcPr>
          <w:p w14:paraId="6BB543E7">
            <w:pPr>
              <w:autoSpaceDE w:val="0"/>
              <w:autoSpaceDN w:val="0"/>
              <w:spacing w:line="360" w:lineRule="auto"/>
              <w:jc w:val="center"/>
              <w:rPr>
                <w:rFonts w:hint="eastAsia" w:ascii="宋体" w:hAnsi="宋体" w:eastAsia="宋体" w:cs="宋体"/>
                <w:color w:val="auto"/>
                <w:sz w:val="24"/>
                <w:highlight w:val="none"/>
              </w:rPr>
            </w:pPr>
          </w:p>
        </w:tc>
        <w:tc>
          <w:tcPr>
            <w:tcW w:w="1980" w:type="dxa"/>
            <w:tcBorders>
              <w:top w:val="single" w:color="auto" w:sz="4" w:space="0"/>
              <w:left w:val="single" w:color="auto" w:sz="4" w:space="0"/>
              <w:bottom w:val="single" w:color="auto" w:sz="4" w:space="0"/>
              <w:right w:val="single" w:color="auto" w:sz="4" w:space="0"/>
            </w:tcBorders>
            <w:vAlign w:val="top"/>
          </w:tcPr>
          <w:p w14:paraId="33D6B86A">
            <w:pPr>
              <w:autoSpaceDE w:val="0"/>
              <w:autoSpaceDN w:val="0"/>
              <w:spacing w:line="360" w:lineRule="auto"/>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top"/>
          </w:tcPr>
          <w:p w14:paraId="3C98BCDC">
            <w:pPr>
              <w:autoSpaceDE w:val="0"/>
              <w:autoSpaceDN w:val="0"/>
              <w:spacing w:line="360" w:lineRule="auto"/>
              <w:jc w:val="center"/>
              <w:rPr>
                <w:rFonts w:hint="eastAsia" w:ascii="宋体" w:hAnsi="宋体" w:eastAsia="宋体" w:cs="宋体"/>
                <w:color w:val="auto"/>
                <w:sz w:val="24"/>
                <w:highlight w:val="none"/>
              </w:rPr>
            </w:pPr>
          </w:p>
        </w:tc>
      </w:tr>
      <w:tr w14:paraId="5970C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vAlign w:val="top"/>
          </w:tcPr>
          <w:p w14:paraId="0E7DE74A">
            <w:pPr>
              <w:autoSpaceDE w:val="0"/>
              <w:autoSpaceDN w:val="0"/>
              <w:spacing w:line="360" w:lineRule="auto"/>
              <w:jc w:val="center"/>
              <w:rPr>
                <w:rFonts w:hint="eastAsia" w:ascii="宋体" w:hAnsi="宋体" w:eastAsia="宋体" w:cs="宋体"/>
                <w:color w:val="auto"/>
                <w:sz w:val="24"/>
                <w:highlight w:val="none"/>
              </w:rPr>
            </w:pPr>
          </w:p>
        </w:tc>
        <w:tc>
          <w:tcPr>
            <w:tcW w:w="2340" w:type="dxa"/>
            <w:tcBorders>
              <w:top w:val="single" w:color="auto" w:sz="4" w:space="0"/>
              <w:left w:val="single" w:color="auto" w:sz="4" w:space="0"/>
              <w:bottom w:val="single" w:color="auto" w:sz="4" w:space="0"/>
              <w:right w:val="single" w:color="auto" w:sz="4" w:space="0"/>
            </w:tcBorders>
            <w:vAlign w:val="top"/>
          </w:tcPr>
          <w:p w14:paraId="4911BAD0">
            <w:pPr>
              <w:autoSpaceDE w:val="0"/>
              <w:autoSpaceDN w:val="0"/>
              <w:spacing w:line="360" w:lineRule="auto"/>
              <w:jc w:val="center"/>
              <w:rPr>
                <w:rFonts w:hint="eastAsia" w:ascii="宋体" w:hAnsi="宋体" w:eastAsia="宋体" w:cs="宋体"/>
                <w:color w:val="auto"/>
                <w:sz w:val="24"/>
                <w:highlight w:val="none"/>
              </w:rPr>
            </w:pPr>
          </w:p>
        </w:tc>
        <w:tc>
          <w:tcPr>
            <w:tcW w:w="1095" w:type="dxa"/>
            <w:tcBorders>
              <w:top w:val="single" w:color="auto" w:sz="4" w:space="0"/>
              <w:left w:val="single" w:color="auto" w:sz="4" w:space="0"/>
              <w:bottom w:val="single" w:color="auto" w:sz="4" w:space="0"/>
              <w:right w:val="single" w:color="auto" w:sz="4" w:space="0"/>
            </w:tcBorders>
            <w:vAlign w:val="top"/>
          </w:tcPr>
          <w:p w14:paraId="553823FA">
            <w:pPr>
              <w:autoSpaceDE w:val="0"/>
              <w:autoSpaceDN w:val="0"/>
              <w:spacing w:line="360" w:lineRule="auto"/>
              <w:jc w:val="center"/>
              <w:rPr>
                <w:rFonts w:hint="eastAsia" w:ascii="宋体" w:hAnsi="宋体" w:eastAsia="宋体" w:cs="宋体"/>
                <w:color w:val="auto"/>
                <w:sz w:val="24"/>
                <w:highlight w:val="none"/>
              </w:rPr>
            </w:pPr>
          </w:p>
        </w:tc>
        <w:tc>
          <w:tcPr>
            <w:tcW w:w="1245" w:type="dxa"/>
            <w:tcBorders>
              <w:top w:val="single" w:color="auto" w:sz="4" w:space="0"/>
              <w:left w:val="single" w:color="auto" w:sz="4" w:space="0"/>
              <w:bottom w:val="single" w:color="auto" w:sz="4" w:space="0"/>
              <w:right w:val="single" w:color="auto" w:sz="4" w:space="0"/>
            </w:tcBorders>
            <w:vAlign w:val="top"/>
          </w:tcPr>
          <w:p w14:paraId="4FE10FF2">
            <w:pPr>
              <w:autoSpaceDE w:val="0"/>
              <w:autoSpaceDN w:val="0"/>
              <w:spacing w:line="360" w:lineRule="auto"/>
              <w:jc w:val="center"/>
              <w:rPr>
                <w:rFonts w:hint="eastAsia" w:ascii="宋体" w:hAnsi="宋体" w:eastAsia="宋体" w:cs="宋体"/>
                <w:color w:val="auto"/>
                <w:sz w:val="24"/>
                <w:highlight w:val="none"/>
              </w:rPr>
            </w:pPr>
          </w:p>
        </w:tc>
        <w:tc>
          <w:tcPr>
            <w:tcW w:w="1980" w:type="dxa"/>
            <w:tcBorders>
              <w:top w:val="single" w:color="auto" w:sz="4" w:space="0"/>
              <w:left w:val="single" w:color="auto" w:sz="4" w:space="0"/>
              <w:bottom w:val="single" w:color="auto" w:sz="4" w:space="0"/>
              <w:right w:val="single" w:color="auto" w:sz="4" w:space="0"/>
            </w:tcBorders>
            <w:vAlign w:val="top"/>
          </w:tcPr>
          <w:p w14:paraId="192D4839">
            <w:pPr>
              <w:autoSpaceDE w:val="0"/>
              <w:autoSpaceDN w:val="0"/>
              <w:spacing w:line="360" w:lineRule="auto"/>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top"/>
          </w:tcPr>
          <w:p w14:paraId="27F3F50A">
            <w:pPr>
              <w:autoSpaceDE w:val="0"/>
              <w:autoSpaceDN w:val="0"/>
              <w:spacing w:line="360" w:lineRule="auto"/>
              <w:jc w:val="center"/>
              <w:rPr>
                <w:rFonts w:hint="eastAsia" w:ascii="宋体" w:hAnsi="宋体" w:eastAsia="宋体" w:cs="宋体"/>
                <w:color w:val="auto"/>
                <w:sz w:val="24"/>
                <w:highlight w:val="none"/>
              </w:rPr>
            </w:pPr>
          </w:p>
        </w:tc>
      </w:tr>
      <w:tr w14:paraId="23BDB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vAlign w:val="top"/>
          </w:tcPr>
          <w:p w14:paraId="024B9431">
            <w:pPr>
              <w:autoSpaceDE w:val="0"/>
              <w:autoSpaceDN w:val="0"/>
              <w:spacing w:line="360" w:lineRule="auto"/>
              <w:jc w:val="center"/>
              <w:rPr>
                <w:rFonts w:hint="eastAsia" w:ascii="宋体" w:hAnsi="宋体" w:eastAsia="宋体" w:cs="宋体"/>
                <w:color w:val="auto"/>
                <w:sz w:val="24"/>
                <w:highlight w:val="none"/>
              </w:rPr>
            </w:pPr>
          </w:p>
        </w:tc>
        <w:tc>
          <w:tcPr>
            <w:tcW w:w="2340" w:type="dxa"/>
            <w:tcBorders>
              <w:top w:val="single" w:color="auto" w:sz="4" w:space="0"/>
              <w:left w:val="single" w:color="auto" w:sz="4" w:space="0"/>
              <w:bottom w:val="single" w:color="auto" w:sz="4" w:space="0"/>
              <w:right w:val="single" w:color="auto" w:sz="4" w:space="0"/>
            </w:tcBorders>
            <w:vAlign w:val="top"/>
          </w:tcPr>
          <w:p w14:paraId="43CAAD99">
            <w:pPr>
              <w:autoSpaceDE w:val="0"/>
              <w:autoSpaceDN w:val="0"/>
              <w:spacing w:line="360" w:lineRule="auto"/>
              <w:jc w:val="center"/>
              <w:rPr>
                <w:rFonts w:hint="eastAsia" w:ascii="宋体" w:hAnsi="宋体" w:eastAsia="宋体" w:cs="宋体"/>
                <w:color w:val="auto"/>
                <w:sz w:val="24"/>
                <w:highlight w:val="none"/>
              </w:rPr>
            </w:pPr>
          </w:p>
        </w:tc>
        <w:tc>
          <w:tcPr>
            <w:tcW w:w="1095" w:type="dxa"/>
            <w:tcBorders>
              <w:top w:val="single" w:color="auto" w:sz="4" w:space="0"/>
              <w:left w:val="single" w:color="auto" w:sz="4" w:space="0"/>
              <w:bottom w:val="single" w:color="auto" w:sz="4" w:space="0"/>
              <w:right w:val="single" w:color="auto" w:sz="4" w:space="0"/>
            </w:tcBorders>
            <w:vAlign w:val="top"/>
          </w:tcPr>
          <w:p w14:paraId="3C253D49">
            <w:pPr>
              <w:autoSpaceDE w:val="0"/>
              <w:autoSpaceDN w:val="0"/>
              <w:spacing w:line="360" w:lineRule="auto"/>
              <w:jc w:val="center"/>
              <w:rPr>
                <w:rFonts w:hint="eastAsia" w:ascii="宋体" w:hAnsi="宋体" w:eastAsia="宋体" w:cs="宋体"/>
                <w:color w:val="auto"/>
                <w:sz w:val="24"/>
                <w:highlight w:val="none"/>
              </w:rPr>
            </w:pPr>
          </w:p>
        </w:tc>
        <w:tc>
          <w:tcPr>
            <w:tcW w:w="1245" w:type="dxa"/>
            <w:tcBorders>
              <w:top w:val="single" w:color="auto" w:sz="4" w:space="0"/>
              <w:left w:val="single" w:color="auto" w:sz="4" w:space="0"/>
              <w:bottom w:val="single" w:color="auto" w:sz="4" w:space="0"/>
              <w:right w:val="single" w:color="auto" w:sz="4" w:space="0"/>
            </w:tcBorders>
            <w:vAlign w:val="top"/>
          </w:tcPr>
          <w:p w14:paraId="1CBF2AA3">
            <w:pPr>
              <w:autoSpaceDE w:val="0"/>
              <w:autoSpaceDN w:val="0"/>
              <w:spacing w:line="360" w:lineRule="auto"/>
              <w:jc w:val="center"/>
              <w:rPr>
                <w:rFonts w:hint="eastAsia" w:ascii="宋体" w:hAnsi="宋体" w:eastAsia="宋体" w:cs="宋体"/>
                <w:color w:val="auto"/>
                <w:sz w:val="24"/>
                <w:highlight w:val="none"/>
              </w:rPr>
            </w:pPr>
          </w:p>
        </w:tc>
        <w:tc>
          <w:tcPr>
            <w:tcW w:w="1980" w:type="dxa"/>
            <w:tcBorders>
              <w:top w:val="single" w:color="auto" w:sz="4" w:space="0"/>
              <w:left w:val="single" w:color="auto" w:sz="4" w:space="0"/>
              <w:bottom w:val="single" w:color="auto" w:sz="4" w:space="0"/>
              <w:right w:val="single" w:color="auto" w:sz="4" w:space="0"/>
            </w:tcBorders>
            <w:vAlign w:val="top"/>
          </w:tcPr>
          <w:p w14:paraId="263E46A6">
            <w:pPr>
              <w:autoSpaceDE w:val="0"/>
              <w:autoSpaceDN w:val="0"/>
              <w:spacing w:line="360" w:lineRule="auto"/>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top"/>
          </w:tcPr>
          <w:p w14:paraId="603DFC17">
            <w:pPr>
              <w:autoSpaceDE w:val="0"/>
              <w:autoSpaceDN w:val="0"/>
              <w:spacing w:line="360" w:lineRule="auto"/>
              <w:jc w:val="center"/>
              <w:rPr>
                <w:rFonts w:hint="eastAsia" w:ascii="宋体" w:hAnsi="宋体" w:eastAsia="宋体" w:cs="宋体"/>
                <w:color w:val="auto"/>
                <w:sz w:val="24"/>
                <w:highlight w:val="none"/>
              </w:rPr>
            </w:pPr>
          </w:p>
        </w:tc>
      </w:tr>
    </w:tbl>
    <w:p w14:paraId="00A2F492">
      <w:pPr>
        <w:autoSpaceDE w:val="0"/>
        <w:autoSpaceDN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注：关于项目涉及的所有售后服务机构均在本表注明，包括投标人本单位和符合条件的第三方服务机构；</w:t>
      </w:r>
    </w:p>
    <w:p w14:paraId="0CB0D1F5">
      <w:pPr>
        <w:autoSpaceDE w:val="0"/>
        <w:autoSpaceDN w:val="0"/>
        <w:spacing w:line="360" w:lineRule="auto"/>
        <w:rPr>
          <w:rFonts w:hint="eastAsia" w:ascii="宋体" w:hAnsi="宋体" w:eastAsia="宋体" w:cs="宋体"/>
          <w:color w:val="auto"/>
          <w:kern w:val="0"/>
          <w:sz w:val="24"/>
          <w:highlight w:val="none"/>
        </w:rPr>
      </w:pPr>
    </w:p>
    <w:p w14:paraId="6789ECF4">
      <w:pPr>
        <w:autoSpaceDE w:val="0"/>
        <w:autoSpaceDN w:val="0"/>
        <w:spacing w:line="360" w:lineRule="auto"/>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附表B：售后服务人员情况表</w:t>
      </w:r>
      <w:r>
        <w:rPr>
          <w:rFonts w:hint="eastAsia" w:ascii="宋体" w:hAnsi="宋体" w:eastAsia="宋体" w:cs="宋体"/>
          <w:color w:val="auto"/>
          <w:sz w:val="24"/>
          <w:highlight w:val="none"/>
        </w:rPr>
        <w:t>（按此格式自制）</w:t>
      </w:r>
    </w:p>
    <w:tbl>
      <w:tblPr>
        <w:tblStyle w:val="18"/>
        <w:tblW w:w="10002" w:type="dxa"/>
        <w:jc w:val="center"/>
        <w:tblLayout w:type="fixed"/>
        <w:tblCellMar>
          <w:top w:w="0" w:type="dxa"/>
          <w:left w:w="108" w:type="dxa"/>
          <w:bottom w:w="0" w:type="dxa"/>
          <w:right w:w="108" w:type="dxa"/>
        </w:tblCellMar>
      </w:tblPr>
      <w:tblGrid>
        <w:gridCol w:w="646"/>
        <w:gridCol w:w="746"/>
        <w:gridCol w:w="787"/>
        <w:gridCol w:w="412"/>
        <w:gridCol w:w="900"/>
        <w:gridCol w:w="1080"/>
        <w:gridCol w:w="1080"/>
        <w:gridCol w:w="1080"/>
        <w:gridCol w:w="1260"/>
        <w:gridCol w:w="900"/>
        <w:gridCol w:w="1111"/>
      </w:tblGrid>
      <w:tr w14:paraId="2E7CE3E4">
        <w:tblPrEx>
          <w:tblCellMar>
            <w:top w:w="0" w:type="dxa"/>
            <w:left w:w="108" w:type="dxa"/>
            <w:bottom w:w="0" w:type="dxa"/>
            <w:right w:w="108" w:type="dxa"/>
          </w:tblCellMar>
        </w:tblPrEx>
        <w:trPr>
          <w:jc w:val="center"/>
        </w:trPr>
        <w:tc>
          <w:tcPr>
            <w:tcW w:w="646" w:type="dxa"/>
            <w:tcBorders>
              <w:top w:val="single" w:color="auto" w:sz="6" w:space="0"/>
              <w:left w:val="single" w:color="auto" w:sz="6" w:space="0"/>
              <w:bottom w:val="single" w:color="auto" w:sz="6" w:space="0"/>
              <w:right w:val="single" w:color="auto" w:sz="4" w:space="0"/>
            </w:tcBorders>
            <w:vAlign w:val="center"/>
          </w:tcPr>
          <w:p w14:paraId="42AB5FF4">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p w14:paraId="4658901D">
            <w:pPr>
              <w:autoSpaceDE w:val="0"/>
              <w:autoSpaceDN w:val="0"/>
              <w:spacing w:line="360" w:lineRule="auto"/>
              <w:jc w:val="center"/>
              <w:rPr>
                <w:rFonts w:hint="eastAsia" w:ascii="宋体" w:hAnsi="宋体" w:eastAsia="宋体" w:cs="宋体"/>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vAlign w:val="center"/>
          </w:tcPr>
          <w:p w14:paraId="282B4BA1">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类别</w:t>
            </w:r>
          </w:p>
        </w:tc>
        <w:tc>
          <w:tcPr>
            <w:tcW w:w="787" w:type="dxa"/>
            <w:tcBorders>
              <w:top w:val="single" w:color="auto" w:sz="6" w:space="0"/>
              <w:left w:val="single" w:color="auto" w:sz="6" w:space="0"/>
              <w:bottom w:val="single" w:color="auto" w:sz="6" w:space="0"/>
              <w:right w:val="single" w:color="auto" w:sz="6" w:space="0"/>
            </w:tcBorders>
            <w:vAlign w:val="center"/>
          </w:tcPr>
          <w:p w14:paraId="62ED99AF">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5B626278">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性别</w:t>
            </w:r>
          </w:p>
        </w:tc>
        <w:tc>
          <w:tcPr>
            <w:tcW w:w="900" w:type="dxa"/>
            <w:tcBorders>
              <w:top w:val="single" w:color="auto" w:sz="6" w:space="0"/>
              <w:left w:val="single" w:color="auto" w:sz="6" w:space="0"/>
              <w:bottom w:val="single" w:color="auto" w:sz="6" w:space="0"/>
              <w:right w:val="single" w:color="auto" w:sz="6" w:space="0"/>
            </w:tcBorders>
            <w:vAlign w:val="center"/>
          </w:tcPr>
          <w:p w14:paraId="3C70FC7E">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年龄</w:t>
            </w:r>
          </w:p>
        </w:tc>
        <w:tc>
          <w:tcPr>
            <w:tcW w:w="1080" w:type="dxa"/>
            <w:tcBorders>
              <w:top w:val="single" w:color="auto" w:sz="6" w:space="0"/>
              <w:left w:val="single" w:color="auto" w:sz="6" w:space="0"/>
              <w:bottom w:val="single" w:color="auto" w:sz="6" w:space="0"/>
              <w:right w:val="single" w:color="auto" w:sz="6" w:space="0"/>
            </w:tcBorders>
            <w:vAlign w:val="center"/>
          </w:tcPr>
          <w:p w14:paraId="5F7FA69F">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学历</w:t>
            </w:r>
          </w:p>
        </w:tc>
        <w:tc>
          <w:tcPr>
            <w:tcW w:w="1080" w:type="dxa"/>
            <w:tcBorders>
              <w:top w:val="single" w:color="auto" w:sz="6" w:space="0"/>
              <w:left w:val="single" w:color="auto" w:sz="6" w:space="0"/>
              <w:bottom w:val="single" w:color="auto" w:sz="6" w:space="0"/>
              <w:right w:val="single" w:color="auto" w:sz="6" w:space="0"/>
            </w:tcBorders>
            <w:vAlign w:val="center"/>
          </w:tcPr>
          <w:p w14:paraId="311719D0">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专业</w:t>
            </w:r>
          </w:p>
        </w:tc>
        <w:tc>
          <w:tcPr>
            <w:tcW w:w="1080" w:type="dxa"/>
            <w:tcBorders>
              <w:top w:val="single" w:color="auto" w:sz="6" w:space="0"/>
              <w:left w:val="single" w:color="auto" w:sz="6" w:space="0"/>
              <w:bottom w:val="single" w:color="auto" w:sz="6" w:space="0"/>
              <w:right w:val="single" w:color="auto" w:sz="6" w:space="0"/>
            </w:tcBorders>
            <w:vAlign w:val="center"/>
          </w:tcPr>
          <w:p w14:paraId="1595B9F3">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职称</w:t>
            </w:r>
          </w:p>
        </w:tc>
        <w:tc>
          <w:tcPr>
            <w:tcW w:w="1260" w:type="dxa"/>
            <w:tcBorders>
              <w:top w:val="single" w:color="auto" w:sz="6" w:space="0"/>
              <w:left w:val="single" w:color="auto" w:sz="6" w:space="0"/>
              <w:bottom w:val="single" w:color="auto" w:sz="6" w:space="0"/>
              <w:right w:val="single" w:color="auto" w:sz="6" w:space="0"/>
            </w:tcBorders>
            <w:vAlign w:val="center"/>
          </w:tcPr>
          <w:p w14:paraId="4A5B1E4D">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2557543D">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响应时间</w:t>
            </w:r>
          </w:p>
        </w:tc>
        <w:tc>
          <w:tcPr>
            <w:tcW w:w="1111" w:type="dxa"/>
            <w:tcBorders>
              <w:top w:val="single" w:color="auto" w:sz="6" w:space="0"/>
              <w:left w:val="single" w:color="auto" w:sz="6" w:space="0"/>
              <w:bottom w:val="single" w:color="auto" w:sz="6" w:space="0"/>
              <w:right w:val="single" w:color="auto" w:sz="6" w:space="0"/>
            </w:tcBorders>
            <w:vAlign w:val="center"/>
          </w:tcPr>
          <w:p w14:paraId="209F2AA8">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到达现场时间</w:t>
            </w:r>
          </w:p>
        </w:tc>
      </w:tr>
      <w:tr w14:paraId="4A9196D0">
        <w:tblPrEx>
          <w:tblCellMar>
            <w:top w:w="0" w:type="dxa"/>
            <w:left w:w="108" w:type="dxa"/>
            <w:bottom w:w="0" w:type="dxa"/>
            <w:right w:w="108" w:type="dxa"/>
          </w:tblCellMar>
        </w:tblPrEx>
        <w:trPr>
          <w:trHeight w:val="607" w:hRule="atLeast"/>
          <w:jc w:val="center"/>
        </w:trPr>
        <w:tc>
          <w:tcPr>
            <w:tcW w:w="646" w:type="dxa"/>
            <w:tcBorders>
              <w:top w:val="single" w:color="auto" w:sz="6" w:space="0"/>
              <w:left w:val="single" w:color="auto" w:sz="6" w:space="0"/>
              <w:bottom w:val="single" w:color="auto" w:sz="6" w:space="0"/>
              <w:right w:val="single" w:color="auto" w:sz="4" w:space="0"/>
            </w:tcBorders>
            <w:vAlign w:val="top"/>
          </w:tcPr>
          <w:p w14:paraId="3043B160">
            <w:pPr>
              <w:autoSpaceDE w:val="0"/>
              <w:autoSpaceDN w:val="0"/>
              <w:spacing w:line="360" w:lineRule="auto"/>
              <w:jc w:val="center"/>
              <w:rPr>
                <w:rFonts w:hint="eastAsia" w:ascii="宋体" w:hAnsi="宋体" w:eastAsia="宋体" w:cs="宋体"/>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vAlign w:val="top"/>
          </w:tcPr>
          <w:p w14:paraId="4140C5DA">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总协调人</w:t>
            </w:r>
          </w:p>
        </w:tc>
        <w:tc>
          <w:tcPr>
            <w:tcW w:w="787" w:type="dxa"/>
            <w:tcBorders>
              <w:top w:val="single" w:color="auto" w:sz="6" w:space="0"/>
              <w:left w:val="single" w:color="auto" w:sz="6" w:space="0"/>
              <w:bottom w:val="single" w:color="auto" w:sz="6" w:space="0"/>
              <w:right w:val="single" w:color="auto" w:sz="6" w:space="0"/>
            </w:tcBorders>
            <w:vAlign w:val="top"/>
          </w:tcPr>
          <w:p w14:paraId="539AEACC">
            <w:pPr>
              <w:autoSpaceDE w:val="0"/>
              <w:autoSpaceDN w:val="0"/>
              <w:spacing w:line="360" w:lineRule="auto"/>
              <w:rPr>
                <w:rFonts w:hint="eastAsia" w:ascii="宋体" w:hAnsi="宋体" w:eastAsia="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vAlign w:val="top"/>
          </w:tcPr>
          <w:p w14:paraId="23362E4B">
            <w:pPr>
              <w:autoSpaceDE w:val="0"/>
              <w:autoSpaceDN w:val="0"/>
              <w:spacing w:line="360" w:lineRule="auto"/>
              <w:rPr>
                <w:rFonts w:hint="eastAsia" w:ascii="宋体" w:hAnsi="宋体" w:eastAsia="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vAlign w:val="top"/>
          </w:tcPr>
          <w:p w14:paraId="1EE92FF0">
            <w:pPr>
              <w:autoSpaceDE w:val="0"/>
              <w:autoSpaceDN w:val="0"/>
              <w:spacing w:line="360" w:lineRule="auto"/>
              <w:rPr>
                <w:rFonts w:hint="eastAsia" w:ascii="宋体" w:hAnsi="宋体" w:eastAsia="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vAlign w:val="top"/>
          </w:tcPr>
          <w:p w14:paraId="05E7A493">
            <w:pPr>
              <w:autoSpaceDE w:val="0"/>
              <w:autoSpaceDN w:val="0"/>
              <w:spacing w:line="360" w:lineRule="auto"/>
              <w:rPr>
                <w:rFonts w:hint="eastAsia" w:ascii="宋体" w:hAnsi="宋体" w:eastAsia="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vAlign w:val="top"/>
          </w:tcPr>
          <w:p w14:paraId="2EF9054D">
            <w:pPr>
              <w:autoSpaceDE w:val="0"/>
              <w:autoSpaceDN w:val="0"/>
              <w:spacing w:line="360" w:lineRule="auto"/>
              <w:rPr>
                <w:rFonts w:hint="eastAsia" w:ascii="宋体" w:hAnsi="宋体" w:eastAsia="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vAlign w:val="top"/>
          </w:tcPr>
          <w:p w14:paraId="1756B2DC">
            <w:pPr>
              <w:autoSpaceDE w:val="0"/>
              <w:autoSpaceDN w:val="0"/>
              <w:spacing w:line="360" w:lineRule="auto"/>
              <w:rPr>
                <w:rFonts w:hint="eastAsia" w:ascii="宋体" w:hAnsi="宋体" w:eastAsia="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vAlign w:val="top"/>
          </w:tcPr>
          <w:p w14:paraId="43948897">
            <w:pPr>
              <w:autoSpaceDE w:val="0"/>
              <w:autoSpaceDN w:val="0"/>
              <w:spacing w:line="360" w:lineRule="auto"/>
              <w:rPr>
                <w:rFonts w:hint="eastAsia" w:ascii="宋体" w:hAnsi="宋体" w:eastAsia="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vAlign w:val="top"/>
          </w:tcPr>
          <w:p w14:paraId="06CB0F29">
            <w:pPr>
              <w:autoSpaceDE w:val="0"/>
              <w:autoSpaceDN w:val="0"/>
              <w:spacing w:line="360" w:lineRule="auto"/>
              <w:rPr>
                <w:rFonts w:hint="eastAsia" w:ascii="宋体" w:hAnsi="宋体" w:eastAsia="宋体" w:cs="宋体"/>
                <w:color w:val="auto"/>
                <w:sz w:val="24"/>
                <w:highlight w:val="none"/>
              </w:rPr>
            </w:pPr>
          </w:p>
        </w:tc>
        <w:tc>
          <w:tcPr>
            <w:tcW w:w="1111" w:type="dxa"/>
            <w:tcBorders>
              <w:top w:val="single" w:color="auto" w:sz="6" w:space="0"/>
              <w:left w:val="single" w:color="auto" w:sz="6" w:space="0"/>
              <w:bottom w:val="single" w:color="auto" w:sz="6" w:space="0"/>
              <w:right w:val="single" w:color="auto" w:sz="6" w:space="0"/>
            </w:tcBorders>
            <w:vAlign w:val="top"/>
          </w:tcPr>
          <w:p w14:paraId="3AF38275">
            <w:pPr>
              <w:autoSpaceDE w:val="0"/>
              <w:autoSpaceDN w:val="0"/>
              <w:spacing w:line="360" w:lineRule="auto"/>
              <w:rPr>
                <w:rFonts w:hint="eastAsia" w:ascii="宋体" w:hAnsi="宋体" w:eastAsia="宋体" w:cs="宋体"/>
                <w:color w:val="auto"/>
                <w:sz w:val="24"/>
                <w:highlight w:val="none"/>
              </w:rPr>
            </w:pPr>
          </w:p>
        </w:tc>
      </w:tr>
      <w:tr w14:paraId="1044FD9D">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vAlign w:val="top"/>
          </w:tcPr>
          <w:p w14:paraId="1B39B15A">
            <w:pPr>
              <w:autoSpaceDE w:val="0"/>
              <w:autoSpaceDN w:val="0"/>
              <w:spacing w:line="360" w:lineRule="auto"/>
              <w:jc w:val="center"/>
              <w:rPr>
                <w:rFonts w:hint="eastAsia" w:ascii="宋体" w:hAnsi="宋体" w:eastAsia="宋体" w:cs="宋体"/>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vAlign w:val="top"/>
          </w:tcPr>
          <w:p w14:paraId="05891ED9">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售后人员</w:t>
            </w:r>
          </w:p>
        </w:tc>
        <w:tc>
          <w:tcPr>
            <w:tcW w:w="787" w:type="dxa"/>
            <w:tcBorders>
              <w:top w:val="single" w:color="auto" w:sz="6" w:space="0"/>
              <w:left w:val="single" w:color="auto" w:sz="6" w:space="0"/>
              <w:bottom w:val="single" w:color="auto" w:sz="6" w:space="0"/>
              <w:right w:val="single" w:color="auto" w:sz="6" w:space="0"/>
            </w:tcBorders>
            <w:vAlign w:val="top"/>
          </w:tcPr>
          <w:p w14:paraId="001515ED">
            <w:pPr>
              <w:autoSpaceDE w:val="0"/>
              <w:autoSpaceDN w:val="0"/>
              <w:spacing w:line="360" w:lineRule="auto"/>
              <w:rPr>
                <w:rFonts w:hint="eastAsia" w:ascii="宋体" w:hAnsi="宋体" w:eastAsia="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vAlign w:val="top"/>
          </w:tcPr>
          <w:p w14:paraId="7A0833D0">
            <w:pPr>
              <w:autoSpaceDE w:val="0"/>
              <w:autoSpaceDN w:val="0"/>
              <w:spacing w:line="360" w:lineRule="auto"/>
              <w:rPr>
                <w:rFonts w:hint="eastAsia" w:ascii="宋体" w:hAnsi="宋体" w:eastAsia="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vAlign w:val="top"/>
          </w:tcPr>
          <w:p w14:paraId="47E0F745">
            <w:pPr>
              <w:autoSpaceDE w:val="0"/>
              <w:autoSpaceDN w:val="0"/>
              <w:spacing w:line="360" w:lineRule="auto"/>
              <w:rPr>
                <w:rFonts w:hint="eastAsia" w:ascii="宋体" w:hAnsi="宋体" w:eastAsia="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vAlign w:val="top"/>
          </w:tcPr>
          <w:p w14:paraId="7DC6FC6C">
            <w:pPr>
              <w:autoSpaceDE w:val="0"/>
              <w:autoSpaceDN w:val="0"/>
              <w:spacing w:line="360" w:lineRule="auto"/>
              <w:rPr>
                <w:rFonts w:hint="eastAsia" w:ascii="宋体" w:hAnsi="宋体" w:eastAsia="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vAlign w:val="top"/>
          </w:tcPr>
          <w:p w14:paraId="242DDFB0">
            <w:pPr>
              <w:autoSpaceDE w:val="0"/>
              <w:autoSpaceDN w:val="0"/>
              <w:spacing w:line="360" w:lineRule="auto"/>
              <w:rPr>
                <w:rFonts w:hint="eastAsia" w:ascii="宋体" w:hAnsi="宋体" w:eastAsia="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vAlign w:val="top"/>
          </w:tcPr>
          <w:p w14:paraId="3EA0907D">
            <w:pPr>
              <w:autoSpaceDE w:val="0"/>
              <w:autoSpaceDN w:val="0"/>
              <w:spacing w:line="360" w:lineRule="auto"/>
              <w:rPr>
                <w:rFonts w:hint="eastAsia" w:ascii="宋体" w:hAnsi="宋体" w:eastAsia="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vAlign w:val="top"/>
          </w:tcPr>
          <w:p w14:paraId="62EF9376">
            <w:pPr>
              <w:autoSpaceDE w:val="0"/>
              <w:autoSpaceDN w:val="0"/>
              <w:spacing w:line="360" w:lineRule="auto"/>
              <w:rPr>
                <w:rFonts w:hint="eastAsia" w:ascii="宋体" w:hAnsi="宋体" w:eastAsia="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vAlign w:val="top"/>
          </w:tcPr>
          <w:p w14:paraId="2EE063BB">
            <w:pPr>
              <w:autoSpaceDE w:val="0"/>
              <w:autoSpaceDN w:val="0"/>
              <w:spacing w:line="360" w:lineRule="auto"/>
              <w:rPr>
                <w:rFonts w:hint="eastAsia" w:ascii="宋体" w:hAnsi="宋体" w:eastAsia="宋体" w:cs="宋体"/>
                <w:color w:val="auto"/>
                <w:sz w:val="24"/>
                <w:highlight w:val="none"/>
              </w:rPr>
            </w:pPr>
          </w:p>
        </w:tc>
        <w:tc>
          <w:tcPr>
            <w:tcW w:w="1111" w:type="dxa"/>
            <w:tcBorders>
              <w:top w:val="single" w:color="auto" w:sz="6" w:space="0"/>
              <w:left w:val="single" w:color="auto" w:sz="6" w:space="0"/>
              <w:bottom w:val="single" w:color="auto" w:sz="6" w:space="0"/>
              <w:right w:val="single" w:color="auto" w:sz="6" w:space="0"/>
            </w:tcBorders>
            <w:vAlign w:val="top"/>
          </w:tcPr>
          <w:p w14:paraId="3D9D9670">
            <w:pPr>
              <w:autoSpaceDE w:val="0"/>
              <w:autoSpaceDN w:val="0"/>
              <w:spacing w:line="360" w:lineRule="auto"/>
              <w:rPr>
                <w:rFonts w:hint="eastAsia" w:ascii="宋体" w:hAnsi="宋体" w:eastAsia="宋体" w:cs="宋体"/>
                <w:color w:val="auto"/>
                <w:sz w:val="24"/>
                <w:highlight w:val="none"/>
              </w:rPr>
            </w:pPr>
          </w:p>
        </w:tc>
      </w:tr>
      <w:tr w14:paraId="550D0257">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vAlign w:val="top"/>
          </w:tcPr>
          <w:p w14:paraId="14141EC0">
            <w:pPr>
              <w:autoSpaceDE w:val="0"/>
              <w:autoSpaceDN w:val="0"/>
              <w:spacing w:line="360" w:lineRule="auto"/>
              <w:jc w:val="center"/>
              <w:rPr>
                <w:rFonts w:hint="eastAsia" w:ascii="宋体" w:hAnsi="宋体" w:eastAsia="宋体" w:cs="宋体"/>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vAlign w:val="top"/>
          </w:tcPr>
          <w:p w14:paraId="3E046266">
            <w:pPr>
              <w:autoSpaceDE w:val="0"/>
              <w:autoSpaceDN w:val="0"/>
              <w:spacing w:line="360" w:lineRule="auto"/>
              <w:jc w:val="center"/>
              <w:rPr>
                <w:rFonts w:hint="eastAsia" w:ascii="宋体" w:hAnsi="宋体" w:eastAsia="宋体" w:cs="宋体"/>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vAlign w:val="top"/>
          </w:tcPr>
          <w:p w14:paraId="2ED5F067">
            <w:pPr>
              <w:autoSpaceDE w:val="0"/>
              <w:autoSpaceDN w:val="0"/>
              <w:spacing w:line="360" w:lineRule="auto"/>
              <w:rPr>
                <w:rFonts w:hint="eastAsia" w:ascii="宋体" w:hAnsi="宋体" w:eastAsia="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vAlign w:val="top"/>
          </w:tcPr>
          <w:p w14:paraId="0EF0E37F">
            <w:pPr>
              <w:autoSpaceDE w:val="0"/>
              <w:autoSpaceDN w:val="0"/>
              <w:spacing w:line="360" w:lineRule="auto"/>
              <w:rPr>
                <w:rFonts w:hint="eastAsia" w:ascii="宋体" w:hAnsi="宋体" w:eastAsia="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vAlign w:val="top"/>
          </w:tcPr>
          <w:p w14:paraId="2980642E">
            <w:pPr>
              <w:autoSpaceDE w:val="0"/>
              <w:autoSpaceDN w:val="0"/>
              <w:spacing w:line="360" w:lineRule="auto"/>
              <w:rPr>
                <w:rFonts w:hint="eastAsia" w:ascii="宋体" w:hAnsi="宋体" w:eastAsia="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vAlign w:val="top"/>
          </w:tcPr>
          <w:p w14:paraId="58B5B6EA">
            <w:pPr>
              <w:autoSpaceDE w:val="0"/>
              <w:autoSpaceDN w:val="0"/>
              <w:spacing w:line="360" w:lineRule="auto"/>
              <w:rPr>
                <w:rFonts w:hint="eastAsia" w:ascii="宋体" w:hAnsi="宋体" w:eastAsia="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vAlign w:val="top"/>
          </w:tcPr>
          <w:p w14:paraId="2FD5B6FC">
            <w:pPr>
              <w:autoSpaceDE w:val="0"/>
              <w:autoSpaceDN w:val="0"/>
              <w:spacing w:line="360" w:lineRule="auto"/>
              <w:rPr>
                <w:rFonts w:hint="eastAsia" w:ascii="宋体" w:hAnsi="宋体" w:eastAsia="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vAlign w:val="top"/>
          </w:tcPr>
          <w:p w14:paraId="5222E37D">
            <w:pPr>
              <w:autoSpaceDE w:val="0"/>
              <w:autoSpaceDN w:val="0"/>
              <w:spacing w:line="360" w:lineRule="auto"/>
              <w:rPr>
                <w:rFonts w:hint="eastAsia" w:ascii="宋体" w:hAnsi="宋体" w:eastAsia="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vAlign w:val="top"/>
          </w:tcPr>
          <w:p w14:paraId="431A4B53">
            <w:pPr>
              <w:autoSpaceDE w:val="0"/>
              <w:autoSpaceDN w:val="0"/>
              <w:spacing w:line="360" w:lineRule="auto"/>
              <w:rPr>
                <w:rFonts w:hint="eastAsia" w:ascii="宋体" w:hAnsi="宋体" w:eastAsia="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vAlign w:val="top"/>
          </w:tcPr>
          <w:p w14:paraId="44832E1A">
            <w:pPr>
              <w:autoSpaceDE w:val="0"/>
              <w:autoSpaceDN w:val="0"/>
              <w:spacing w:line="360" w:lineRule="auto"/>
              <w:rPr>
                <w:rFonts w:hint="eastAsia" w:ascii="宋体" w:hAnsi="宋体" w:eastAsia="宋体" w:cs="宋体"/>
                <w:color w:val="auto"/>
                <w:sz w:val="24"/>
                <w:highlight w:val="none"/>
              </w:rPr>
            </w:pPr>
          </w:p>
        </w:tc>
        <w:tc>
          <w:tcPr>
            <w:tcW w:w="1111" w:type="dxa"/>
            <w:tcBorders>
              <w:top w:val="single" w:color="auto" w:sz="6" w:space="0"/>
              <w:left w:val="single" w:color="auto" w:sz="6" w:space="0"/>
              <w:bottom w:val="single" w:color="auto" w:sz="6" w:space="0"/>
              <w:right w:val="single" w:color="auto" w:sz="6" w:space="0"/>
            </w:tcBorders>
            <w:vAlign w:val="top"/>
          </w:tcPr>
          <w:p w14:paraId="657A46A3">
            <w:pPr>
              <w:autoSpaceDE w:val="0"/>
              <w:autoSpaceDN w:val="0"/>
              <w:spacing w:line="360" w:lineRule="auto"/>
              <w:rPr>
                <w:rFonts w:hint="eastAsia" w:ascii="宋体" w:hAnsi="宋体" w:eastAsia="宋体" w:cs="宋体"/>
                <w:color w:val="auto"/>
                <w:sz w:val="24"/>
                <w:highlight w:val="none"/>
              </w:rPr>
            </w:pPr>
          </w:p>
        </w:tc>
      </w:tr>
      <w:tr w14:paraId="4EBE2B8E">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vAlign w:val="top"/>
          </w:tcPr>
          <w:p w14:paraId="4B0D4ED5">
            <w:pPr>
              <w:autoSpaceDE w:val="0"/>
              <w:autoSpaceDN w:val="0"/>
              <w:spacing w:line="360" w:lineRule="auto"/>
              <w:jc w:val="center"/>
              <w:rPr>
                <w:rFonts w:hint="eastAsia" w:ascii="宋体" w:hAnsi="宋体" w:eastAsia="宋体" w:cs="宋体"/>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vAlign w:val="top"/>
          </w:tcPr>
          <w:p w14:paraId="26732EA8">
            <w:pPr>
              <w:autoSpaceDE w:val="0"/>
              <w:autoSpaceDN w:val="0"/>
              <w:spacing w:line="360" w:lineRule="auto"/>
              <w:jc w:val="center"/>
              <w:rPr>
                <w:rFonts w:hint="eastAsia" w:ascii="宋体" w:hAnsi="宋体" w:eastAsia="宋体" w:cs="宋体"/>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vAlign w:val="top"/>
          </w:tcPr>
          <w:p w14:paraId="77876E7C">
            <w:pPr>
              <w:autoSpaceDE w:val="0"/>
              <w:autoSpaceDN w:val="0"/>
              <w:spacing w:line="360" w:lineRule="auto"/>
              <w:rPr>
                <w:rFonts w:hint="eastAsia" w:ascii="宋体" w:hAnsi="宋体" w:eastAsia="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vAlign w:val="top"/>
          </w:tcPr>
          <w:p w14:paraId="4E10A7C2">
            <w:pPr>
              <w:autoSpaceDE w:val="0"/>
              <w:autoSpaceDN w:val="0"/>
              <w:spacing w:line="360" w:lineRule="auto"/>
              <w:rPr>
                <w:rFonts w:hint="eastAsia" w:ascii="宋体" w:hAnsi="宋体" w:eastAsia="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vAlign w:val="top"/>
          </w:tcPr>
          <w:p w14:paraId="38732B0C">
            <w:pPr>
              <w:autoSpaceDE w:val="0"/>
              <w:autoSpaceDN w:val="0"/>
              <w:spacing w:line="360" w:lineRule="auto"/>
              <w:rPr>
                <w:rFonts w:hint="eastAsia" w:ascii="宋体" w:hAnsi="宋体" w:eastAsia="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vAlign w:val="top"/>
          </w:tcPr>
          <w:p w14:paraId="4DF46AA3">
            <w:pPr>
              <w:autoSpaceDE w:val="0"/>
              <w:autoSpaceDN w:val="0"/>
              <w:spacing w:line="360" w:lineRule="auto"/>
              <w:rPr>
                <w:rFonts w:hint="eastAsia" w:ascii="宋体" w:hAnsi="宋体" w:eastAsia="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vAlign w:val="top"/>
          </w:tcPr>
          <w:p w14:paraId="0A00CC5F">
            <w:pPr>
              <w:autoSpaceDE w:val="0"/>
              <w:autoSpaceDN w:val="0"/>
              <w:spacing w:line="360" w:lineRule="auto"/>
              <w:rPr>
                <w:rFonts w:hint="eastAsia" w:ascii="宋体" w:hAnsi="宋体" w:eastAsia="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vAlign w:val="top"/>
          </w:tcPr>
          <w:p w14:paraId="13B8C47C">
            <w:pPr>
              <w:autoSpaceDE w:val="0"/>
              <w:autoSpaceDN w:val="0"/>
              <w:spacing w:line="360" w:lineRule="auto"/>
              <w:rPr>
                <w:rFonts w:hint="eastAsia" w:ascii="宋体" w:hAnsi="宋体" w:eastAsia="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vAlign w:val="top"/>
          </w:tcPr>
          <w:p w14:paraId="3FBE7BD4">
            <w:pPr>
              <w:autoSpaceDE w:val="0"/>
              <w:autoSpaceDN w:val="0"/>
              <w:spacing w:line="360" w:lineRule="auto"/>
              <w:rPr>
                <w:rFonts w:hint="eastAsia" w:ascii="宋体" w:hAnsi="宋体" w:eastAsia="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vAlign w:val="top"/>
          </w:tcPr>
          <w:p w14:paraId="1649350B">
            <w:pPr>
              <w:autoSpaceDE w:val="0"/>
              <w:autoSpaceDN w:val="0"/>
              <w:spacing w:line="360" w:lineRule="auto"/>
              <w:rPr>
                <w:rFonts w:hint="eastAsia" w:ascii="宋体" w:hAnsi="宋体" w:eastAsia="宋体" w:cs="宋体"/>
                <w:color w:val="auto"/>
                <w:sz w:val="24"/>
                <w:highlight w:val="none"/>
              </w:rPr>
            </w:pPr>
          </w:p>
        </w:tc>
        <w:tc>
          <w:tcPr>
            <w:tcW w:w="1111" w:type="dxa"/>
            <w:tcBorders>
              <w:top w:val="single" w:color="auto" w:sz="6" w:space="0"/>
              <w:left w:val="single" w:color="auto" w:sz="6" w:space="0"/>
              <w:bottom w:val="single" w:color="auto" w:sz="6" w:space="0"/>
              <w:right w:val="single" w:color="auto" w:sz="6" w:space="0"/>
            </w:tcBorders>
            <w:vAlign w:val="top"/>
          </w:tcPr>
          <w:p w14:paraId="503BD1B1">
            <w:pPr>
              <w:autoSpaceDE w:val="0"/>
              <w:autoSpaceDN w:val="0"/>
              <w:spacing w:line="360" w:lineRule="auto"/>
              <w:rPr>
                <w:rFonts w:hint="eastAsia" w:ascii="宋体" w:hAnsi="宋体" w:eastAsia="宋体" w:cs="宋体"/>
                <w:color w:val="auto"/>
                <w:sz w:val="24"/>
                <w:highlight w:val="none"/>
              </w:rPr>
            </w:pPr>
          </w:p>
        </w:tc>
      </w:tr>
    </w:tbl>
    <w:p w14:paraId="40A13512">
      <w:pPr>
        <w:snapToGrid w:val="0"/>
        <w:spacing w:before="165" w:beforeLines="50" w:after="50"/>
        <w:ind w:left="142"/>
        <w:jc w:val="center"/>
        <w:rPr>
          <w:rFonts w:hint="eastAsia" w:ascii="宋体" w:hAnsi="宋体" w:eastAsia="宋体" w:cs="宋体"/>
          <w:b/>
          <w:color w:val="auto"/>
          <w:sz w:val="32"/>
          <w:szCs w:val="32"/>
          <w:highlight w:val="none"/>
        </w:rPr>
      </w:pPr>
    </w:p>
    <w:p w14:paraId="210C8C59">
      <w:pPr>
        <w:snapToGrid w:val="0"/>
        <w:spacing w:before="165" w:beforeLines="50" w:line="360" w:lineRule="auto"/>
        <w:ind w:right="480" w:firstLine="3967" w:firstLineChars="1653"/>
        <w:rPr>
          <w:rFonts w:hint="eastAsia" w:ascii="宋体" w:hAnsi="宋体" w:eastAsia="宋体" w:cs="宋体"/>
          <w:color w:val="auto"/>
          <w:sz w:val="24"/>
          <w:highlight w:val="none"/>
        </w:rPr>
      </w:pPr>
    </w:p>
    <w:p w14:paraId="5CEEA91A">
      <w:pPr>
        <w:snapToGrid w:val="0"/>
        <w:spacing w:line="360" w:lineRule="auto"/>
        <w:ind w:firstLine="5160" w:firstLineChars="215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投标人名称（电子签章）：</w:t>
      </w:r>
    </w:p>
    <w:p w14:paraId="79DAB7C3">
      <w:pPr>
        <w:snapToGrid w:val="0"/>
        <w:spacing w:line="360" w:lineRule="auto"/>
        <w:ind w:firstLine="5160" w:firstLineChars="21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7218A55C">
      <w:pPr>
        <w:widowControl/>
        <w:spacing w:line="360" w:lineRule="auto"/>
        <w:jc w:val="left"/>
        <w:rPr>
          <w:rFonts w:hint="eastAsia" w:ascii="宋体" w:hAnsi="宋体" w:eastAsia="宋体" w:cs="宋体"/>
          <w:color w:val="auto"/>
          <w:sz w:val="24"/>
          <w:highlight w:val="none"/>
        </w:rPr>
        <w:sectPr>
          <w:pgSz w:w="11906" w:h="16838"/>
          <w:pgMar w:top="1134" w:right="1134" w:bottom="1134" w:left="1134" w:header="720" w:footer="720" w:gutter="0"/>
          <w:cols w:space="720" w:num="1"/>
          <w:docGrid w:type="lines" w:linePitch="331" w:charSpace="0"/>
        </w:sectPr>
      </w:pPr>
    </w:p>
    <w:p w14:paraId="53BB18B3">
      <w:pPr>
        <w:snapToGrid w:val="0"/>
        <w:spacing w:before="165" w:beforeLines="50" w:after="50"/>
        <w:ind w:left="142"/>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四、项目实施人员一览表</w:t>
      </w:r>
    </w:p>
    <w:p w14:paraId="02D23AD5">
      <w:pPr>
        <w:spacing w:line="360" w:lineRule="auto"/>
        <w:jc w:val="center"/>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（由投标人根据采购需求及招标文件要求编制）</w:t>
      </w:r>
    </w:p>
    <w:p w14:paraId="53F3F28F">
      <w:pPr>
        <w:autoSpaceDE w:val="0"/>
        <w:autoSpaceDN w:val="0"/>
        <w:spacing w:line="360" w:lineRule="auto"/>
        <w:jc w:val="center"/>
        <w:rPr>
          <w:rFonts w:hint="eastAsia" w:ascii="宋体" w:hAnsi="宋体" w:eastAsia="宋体" w:cs="宋体"/>
          <w:b/>
          <w:color w:val="auto"/>
          <w:sz w:val="24"/>
          <w:highlight w:val="none"/>
        </w:rPr>
      </w:pPr>
    </w:p>
    <w:p w14:paraId="6A5C074D">
      <w:pPr>
        <w:autoSpaceDE w:val="0"/>
        <w:autoSpaceDN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项目实施人员一览表</w:t>
      </w:r>
    </w:p>
    <w:tbl>
      <w:tblPr>
        <w:tblStyle w:val="18"/>
        <w:tblW w:w="9030" w:type="dxa"/>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14:paraId="2B5D3107">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14:paraId="3BB10896">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787" w:type="dxa"/>
            <w:tcBorders>
              <w:top w:val="single" w:color="auto" w:sz="6" w:space="0"/>
              <w:left w:val="single" w:color="auto" w:sz="6" w:space="0"/>
              <w:bottom w:val="single" w:color="auto" w:sz="6" w:space="0"/>
              <w:right w:val="single" w:color="auto" w:sz="6" w:space="0"/>
            </w:tcBorders>
            <w:vAlign w:val="center"/>
          </w:tcPr>
          <w:p w14:paraId="511A1059">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3CE020E9">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性别</w:t>
            </w:r>
          </w:p>
        </w:tc>
        <w:tc>
          <w:tcPr>
            <w:tcW w:w="586" w:type="dxa"/>
            <w:tcBorders>
              <w:top w:val="single" w:color="auto" w:sz="6" w:space="0"/>
              <w:left w:val="single" w:color="auto" w:sz="6" w:space="0"/>
              <w:bottom w:val="single" w:color="auto" w:sz="6" w:space="0"/>
              <w:right w:val="single" w:color="auto" w:sz="6" w:space="0"/>
            </w:tcBorders>
            <w:vAlign w:val="center"/>
          </w:tcPr>
          <w:p w14:paraId="37578E11">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年龄</w:t>
            </w:r>
          </w:p>
        </w:tc>
        <w:tc>
          <w:tcPr>
            <w:tcW w:w="1035" w:type="dxa"/>
            <w:tcBorders>
              <w:top w:val="single" w:color="auto" w:sz="6" w:space="0"/>
              <w:left w:val="single" w:color="auto" w:sz="6" w:space="0"/>
              <w:bottom w:val="single" w:color="auto" w:sz="6" w:space="0"/>
              <w:right w:val="single" w:color="auto" w:sz="6" w:space="0"/>
            </w:tcBorders>
            <w:vAlign w:val="center"/>
          </w:tcPr>
          <w:p w14:paraId="270B85D2">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学历</w:t>
            </w:r>
          </w:p>
          <w:p w14:paraId="6C21A3D7">
            <w:pPr>
              <w:autoSpaceDE w:val="0"/>
              <w:autoSpaceDN w:val="0"/>
              <w:spacing w:line="360" w:lineRule="auto"/>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页码</w:t>
            </w:r>
            <w:r>
              <w:rPr>
                <w:rFonts w:hint="eastAsia" w:ascii="宋体" w:hAnsi="宋体" w:eastAsia="宋体" w:cs="宋体"/>
                <w:color w:val="auto"/>
                <w:sz w:val="24"/>
                <w:highlight w:val="none"/>
                <w:lang w:eastAsia="zh-CN"/>
              </w:rPr>
              <w:t>）</w:t>
            </w:r>
          </w:p>
        </w:tc>
        <w:tc>
          <w:tcPr>
            <w:tcW w:w="1080" w:type="dxa"/>
            <w:tcBorders>
              <w:top w:val="single" w:color="auto" w:sz="6" w:space="0"/>
              <w:left w:val="single" w:color="auto" w:sz="6" w:space="0"/>
              <w:bottom w:val="single" w:color="auto" w:sz="6" w:space="0"/>
              <w:right w:val="single" w:color="auto" w:sz="6" w:space="0"/>
            </w:tcBorders>
            <w:vAlign w:val="center"/>
          </w:tcPr>
          <w:p w14:paraId="2E4313F3">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专业</w:t>
            </w:r>
          </w:p>
          <w:p w14:paraId="275256A7">
            <w:pPr>
              <w:autoSpaceDE w:val="0"/>
              <w:autoSpaceDN w:val="0"/>
              <w:spacing w:line="360" w:lineRule="auto"/>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页码</w:t>
            </w:r>
            <w:r>
              <w:rPr>
                <w:rFonts w:hint="eastAsia" w:ascii="宋体" w:hAnsi="宋体" w:eastAsia="宋体" w:cs="宋体"/>
                <w:color w:val="auto"/>
                <w:sz w:val="24"/>
                <w:highlight w:val="none"/>
                <w:lang w:eastAsia="zh-CN"/>
              </w:rPr>
              <w:t>）</w:t>
            </w:r>
          </w:p>
        </w:tc>
        <w:tc>
          <w:tcPr>
            <w:tcW w:w="1080" w:type="dxa"/>
            <w:tcBorders>
              <w:top w:val="single" w:color="auto" w:sz="6" w:space="0"/>
              <w:left w:val="single" w:color="auto" w:sz="6" w:space="0"/>
              <w:bottom w:val="single" w:color="auto" w:sz="6" w:space="0"/>
              <w:right w:val="single" w:color="auto" w:sz="6" w:space="0"/>
            </w:tcBorders>
            <w:vAlign w:val="center"/>
          </w:tcPr>
          <w:p w14:paraId="6EE82044">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职称</w:t>
            </w:r>
          </w:p>
          <w:p w14:paraId="27A24D5F">
            <w:pPr>
              <w:autoSpaceDE w:val="0"/>
              <w:autoSpaceDN w:val="0"/>
              <w:spacing w:line="360" w:lineRule="auto"/>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页码</w:t>
            </w:r>
            <w:r>
              <w:rPr>
                <w:rFonts w:hint="eastAsia" w:ascii="宋体" w:hAnsi="宋体" w:eastAsia="宋体" w:cs="宋体"/>
                <w:color w:val="auto"/>
                <w:sz w:val="24"/>
                <w:highlight w:val="none"/>
                <w:lang w:eastAsia="zh-CN"/>
              </w:rPr>
              <w:t>）</w:t>
            </w:r>
          </w:p>
        </w:tc>
        <w:tc>
          <w:tcPr>
            <w:tcW w:w="1260" w:type="dxa"/>
            <w:tcBorders>
              <w:top w:val="single" w:color="auto" w:sz="6" w:space="0"/>
              <w:left w:val="single" w:color="auto" w:sz="6" w:space="0"/>
              <w:bottom w:val="single" w:color="auto" w:sz="6" w:space="0"/>
              <w:right w:val="single" w:color="auto" w:sz="6" w:space="0"/>
            </w:tcBorders>
            <w:vAlign w:val="center"/>
          </w:tcPr>
          <w:p w14:paraId="6C62D954">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6CE6A8F0">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14:paraId="76FE9B07">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参与本项目的到位情况</w:t>
            </w:r>
          </w:p>
        </w:tc>
      </w:tr>
      <w:tr w14:paraId="45233FB4">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vAlign w:val="top"/>
          </w:tcPr>
          <w:p w14:paraId="00906CD3">
            <w:pPr>
              <w:autoSpaceDE w:val="0"/>
              <w:autoSpaceDN w:val="0"/>
              <w:spacing w:line="360" w:lineRule="auto"/>
              <w:jc w:val="center"/>
              <w:rPr>
                <w:rFonts w:hint="eastAsia" w:ascii="宋体" w:hAnsi="宋体" w:eastAsia="宋体" w:cs="宋体"/>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vAlign w:val="top"/>
          </w:tcPr>
          <w:p w14:paraId="7352F98C">
            <w:pPr>
              <w:autoSpaceDE w:val="0"/>
              <w:autoSpaceDN w:val="0"/>
              <w:spacing w:line="360" w:lineRule="auto"/>
              <w:rPr>
                <w:rFonts w:hint="eastAsia" w:ascii="宋体" w:hAnsi="宋体" w:eastAsia="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vAlign w:val="top"/>
          </w:tcPr>
          <w:p w14:paraId="450C3419">
            <w:pPr>
              <w:autoSpaceDE w:val="0"/>
              <w:autoSpaceDN w:val="0"/>
              <w:spacing w:line="360" w:lineRule="auto"/>
              <w:rPr>
                <w:rFonts w:hint="eastAsia" w:ascii="宋体" w:hAnsi="宋体" w:eastAsia="宋体" w:cs="宋体"/>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vAlign w:val="top"/>
          </w:tcPr>
          <w:p w14:paraId="61A0DB7F">
            <w:pPr>
              <w:autoSpaceDE w:val="0"/>
              <w:autoSpaceDN w:val="0"/>
              <w:spacing w:line="360" w:lineRule="auto"/>
              <w:rPr>
                <w:rFonts w:hint="eastAsia" w:ascii="宋体" w:hAnsi="宋体" w:eastAsia="宋体" w:cs="宋体"/>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vAlign w:val="top"/>
          </w:tcPr>
          <w:p w14:paraId="1F901CC9">
            <w:pPr>
              <w:autoSpaceDE w:val="0"/>
              <w:autoSpaceDN w:val="0"/>
              <w:spacing w:line="360" w:lineRule="auto"/>
              <w:rPr>
                <w:rFonts w:hint="eastAsia" w:ascii="宋体" w:hAnsi="宋体" w:eastAsia="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vAlign w:val="top"/>
          </w:tcPr>
          <w:p w14:paraId="1ED77C0E">
            <w:pPr>
              <w:autoSpaceDE w:val="0"/>
              <w:autoSpaceDN w:val="0"/>
              <w:spacing w:line="360" w:lineRule="auto"/>
              <w:rPr>
                <w:rFonts w:hint="eastAsia" w:ascii="宋体" w:hAnsi="宋体" w:eastAsia="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vAlign w:val="top"/>
          </w:tcPr>
          <w:p w14:paraId="0DBFF431">
            <w:pPr>
              <w:autoSpaceDE w:val="0"/>
              <w:autoSpaceDN w:val="0"/>
              <w:spacing w:line="360" w:lineRule="auto"/>
              <w:rPr>
                <w:rFonts w:hint="eastAsia" w:ascii="宋体" w:hAnsi="宋体" w:eastAsia="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vAlign w:val="top"/>
          </w:tcPr>
          <w:p w14:paraId="6B9F24F8">
            <w:pPr>
              <w:autoSpaceDE w:val="0"/>
              <w:autoSpaceDN w:val="0"/>
              <w:spacing w:line="360" w:lineRule="auto"/>
              <w:rPr>
                <w:rFonts w:hint="eastAsia" w:ascii="宋体" w:hAnsi="宋体" w:eastAsia="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vAlign w:val="top"/>
          </w:tcPr>
          <w:p w14:paraId="0B18A415">
            <w:pPr>
              <w:autoSpaceDE w:val="0"/>
              <w:autoSpaceDN w:val="0"/>
              <w:spacing w:line="360" w:lineRule="auto"/>
              <w:rPr>
                <w:rFonts w:hint="eastAsia" w:ascii="宋体" w:hAnsi="宋体" w:eastAsia="宋体" w:cs="宋体"/>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vAlign w:val="top"/>
          </w:tcPr>
          <w:p w14:paraId="7FEC092B">
            <w:pPr>
              <w:autoSpaceDE w:val="0"/>
              <w:autoSpaceDN w:val="0"/>
              <w:spacing w:line="360" w:lineRule="auto"/>
              <w:rPr>
                <w:rFonts w:hint="eastAsia" w:ascii="宋体" w:hAnsi="宋体" w:eastAsia="宋体" w:cs="宋体"/>
                <w:color w:val="auto"/>
                <w:sz w:val="24"/>
                <w:highlight w:val="none"/>
              </w:rPr>
            </w:pPr>
          </w:p>
        </w:tc>
      </w:tr>
      <w:tr w14:paraId="5B901988">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vAlign w:val="top"/>
          </w:tcPr>
          <w:p w14:paraId="1970A869">
            <w:pPr>
              <w:autoSpaceDE w:val="0"/>
              <w:autoSpaceDN w:val="0"/>
              <w:spacing w:line="360" w:lineRule="auto"/>
              <w:jc w:val="center"/>
              <w:rPr>
                <w:rFonts w:hint="eastAsia" w:ascii="宋体" w:hAnsi="宋体" w:eastAsia="宋体" w:cs="宋体"/>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vAlign w:val="top"/>
          </w:tcPr>
          <w:p w14:paraId="4D06142C">
            <w:pPr>
              <w:autoSpaceDE w:val="0"/>
              <w:autoSpaceDN w:val="0"/>
              <w:spacing w:line="360" w:lineRule="auto"/>
              <w:rPr>
                <w:rFonts w:hint="eastAsia" w:ascii="宋体" w:hAnsi="宋体" w:eastAsia="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vAlign w:val="top"/>
          </w:tcPr>
          <w:p w14:paraId="57B65ED3">
            <w:pPr>
              <w:autoSpaceDE w:val="0"/>
              <w:autoSpaceDN w:val="0"/>
              <w:spacing w:line="360" w:lineRule="auto"/>
              <w:rPr>
                <w:rFonts w:hint="eastAsia" w:ascii="宋体" w:hAnsi="宋体" w:eastAsia="宋体" w:cs="宋体"/>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vAlign w:val="top"/>
          </w:tcPr>
          <w:p w14:paraId="3C28C56D">
            <w:pPr>
              <w:autoSpaceDE w:val="0"/>
              <w:autoSpaceDN w:val="0"/>
              <w:spacing w:line="360" w:lineRule="auto"/>
              <w:rPr>
                <w:rFonts w:hint="eastAsia" w:ascii="宋体" w:hAnsi="宋体" w:eastAsia="宋体" w:cs="宋体"/>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vAlign w:val="top"/>
          </w:tcPr>
          <w:p w14:paraId="4302BD5B">
            <w:pPr>
              <w:autoSpaceDE w:val="0"/>
              <w:autoSpaceDN w:val="0"/>
              <w:spacing w:line="360" w:lineRule="auto"/>
              <w:rPr>
                <w:rFonts w:hint="eastAsia" w:ascii="宋体" w:hAnsi="宋体" w:eastAsia="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vAlign w:val="top"/>
          </w:tcPr>
          <w:p w14:paraId="5F6F7C71">
            <w:pPr>
              <w:autoSpaceDE w:val="0"/>
              <w:autoSpaceDN w:val="0"/>
              <w:spacing w:line="360" w:lineRule="auto"/>
              <w:rPr>
                <w:rFonts w:hint="eastAsia" w:ascii="宋体" w:hAnsi="宋体" w:eastAsia="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vAlign w:val="top"/>
          </w:tcPr>
          <w:p w14:paraId="23950525">
            <w:pPr>
              <w:autoSpaceDE w:val="0"/>
              <w:autoSpaceDN w:val="0"/>
              <w:spacing w:line="360" w:lineRule="auto"/>
              <w:rPr>
                <w:rFonts w:hint="eastAsia" w:ascii="宋体" w:hAnsi="宋体" w:eastAsia="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vAlign w:val="top"/>
          </w:tcPr>
          <w:p w14:paraId="40AE00EB">
            <w:pPr>
              <w:autoSpaceDE w:val="0"/>
              <w:autoSpaceDN w:val="0"/>
              <w:spacing w:line="360" w:lineRule="auto"/>
              <w:rPr>
                <w:rFonts w:hint="eastAsia" w:ascii="宋体" w:hAnsi="宋体" w:eastAsia="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vAlign w:val="top"/>
          </w:tcPr>
          <w:p w14:paraId="351BA102">
            <w:pPr>
              <w:autoSpaceDE w:val="0"/>
              <w:autoSpaceDN w:val="0"/>
              <w:spacing w:line="360" w:lineRule="auto"/>
              <w:rPr>
                <w:rFonts w:hint="eastAsia" w:ascii="宋体" w:hAnsi="宋体" w:eastAsia="宋体" w:cs="宋体"/>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vAlign w:val="top"/>
          </w:tcPr>
          <w:p w14:paraId="072EC9C1">
            <w:pPr>
              <w:autoSpaceDE w:val="0"/>
              <w:autoSpaceDN w:val="0"/>
              <w:spacing w:line="360" w:lineRule="auto"/>
              <w:rPr>
                <w:rFonts w:hint="eastAsia" w:ascii="宋体" w:hAnsi="宋体" w:eastAsia="宋体" w:cs="宋体"/>
                <w:color w:val="auto"/>
                <w:sz w:val="24"/>
                <w:highlight w:val="none"/>
              </w:rPr>
            </w:pPr>
          </w:p>
        </w:tc>
      </w:tr>
    </w:tbl>
    <w:p w14:paraId="2D6546C2">
      <w:pPr>
        <w:spacing w:line="360" w:lineRule="auto"/>
        <w:rPr>
          <w:rFonts w:hint="eastAsia" w:ascii="宋体" w:hAnsi="宋体" w:eastAsia="宋体" w:cs="宋体"/>
          <w:b/>
          <w:bCs/>
          <w:color w:val="auto"/>
          <w:sz w:val="24"/>
          <w:highlight w:val="none"/>
        </w:rPr>
      </w:pPr>
      <w:r>
        <w:rPr>
          <w:rFonts w:hint="eastAsia" w:ascii="宋体" w:hAnsi="宋体" w:eastAsia="宋体" w:cs="宋体"/>
          <w:b/>
          <w:color w:val="auto"/>
          <w:sz w:val="24"/>
          <w:highlight w:val="none"/>
        </w:rPr>
        <w:t>注：投标人可按上述的格式自行编制，随表提交相应的</w:t>
      </w:r>
      <w:r>
        <w:rPr>
          <w:rFonts w:hint="eastAsia" w:ascii="宋体" w:hAnsi="宋体" w:cs="宋体"/>
          <w:b/>
          <w:color w:val="auto"/>
          <w:sz w:val="24"/>
          <w:highlight w:val="none"/>
          <w:lang w:val="en-US" w:eastAsia="zh-CN"/>
        </w:rPr>
        <w:t>证明材料应</w:t>
      </w:r>
      <w:r>
        <w:rPr>
          <w:rFonts w:hint="eastAsia" w:ascii="宋体" w:hAnsi="宋体" w:eastAsia="宋体" w:cs="宋体"/>
          <w:b/>
          <w:color w:val="auto"/>
          <w:sz w:val="24"/>
          <w:highlight w:val="none"/>
        </w:rPr>
        <w:t>注明所在投标技术文件页码</w:t>
      </w:r>
      <w:r>
        <w:rPr>
          <w:rFonts w:hint="eastAsia" w:ascii="宋体" w:hAnsi="宋体" w:cs="宋体"/>
          <w:b/>
          <w:color w:val="auto"/>
          <w:sz w:val="24"/>
          <w:highlight w:val="none"/>
          <w:lang w:eastAsia="zh-CN"/>
        </w:rPr>
        <w:t>（</w:t>
      </w:r>
      <w:r>
        <w:rPr>
          <w:rFonts w:hint="eastAsia" w:ascii="宋体" w:hAnsi="宋体" w:cs="宋体"/>
          <w:b/>
          <w:color w:val="auto"/>
          <w:sz w:val="24"/>
          <w:highlight w:val="none"/>
          <w:lang w:val="en-US" w:eastAsia="zh-CN"/>
        </w:rPr>
        <w:t>如有要求请提供</w:t>
      </w:r>
      <w:r>
        <w:rPr>
          <w:rFonts w:hint="eastAsia" w:ascii="宋体" w:hAnsi="宋体" w:cs="宋体"/>
          <w:b/>
          <w:color w:val="auto"/>
          <w:sz w:val="24"/>
          <w:highlight w:val="none"/>
          <w:lang w:eastAsia="zh-CN"/>
        </w:rPr>
        <w:t>）</w:t>
      </w:r>
      <w:r>
        <w:rPr>
          <w:rFonts w:hint="eastAsia" w:ascii="宋体" w:hAnsi="宋体" w:eastAsia="宋体" w:cs="宋体"/>
          <w:b/>
          <w:color w:val="auto"/>
          <w:sz w:val="24"/>
          <w:highlight w:val="none"/>
        </w:rPr>
        <w:t>。</w:t>
      </w:r>
    </w:p>
    <w:p w14:paraId="5A9097F7">
      <w:pPr>
        <w:spacing w:line="360" w:lineRule="auto"/>
        <w:rPr>
          <w:rFonts w:hint="eastAsia" w:ascii="宋体" w:hAnsi="宋体" w:eastAsia="宋体" w:cs="宋体"/>
          <w:b/>
          <w:color w:val="auto"/>
          <w:sz w:val="24"/>
          <w:highlight w:val="none"/>
        </w:rPr>
      </w:pPr>
    </w:p>
    <w:p w14:paraId="30EB8EDF">
      <w:pPr>
        <w:snapToGrid w:val="0"/>
        <w:spacing w:line="360" w:lineRule="auto"/>
        <w:ind w:firstLine="4320" w:firstLineChars="18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投标人名称（电子签章）：</w:t>
      </w:r>
    </w:p>
    <w:p w14:paraId="0BB78862">
      <w:pPr>
        <w:autoSpaceDE w:val="0"/>
        <w:autoSpaceDN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日期：  年  月   日</w:t>
      </w:r>
    </w:p>
    <w:p w14:paraId="2F9620E8">
      <w:pPr>
        <w:snapToGrid w:val="0"/>
        <w:spacing w:before="165" w:beforeLines="50" w:after="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23BE9F26">
      <w:pPr>
        <w:snapToGrid w:val="0"/>
        <w:spacing w:before="165" w:beforeLines="50" w:after="50"/>
        <w:ind w:left="142"/>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五、投标人对项目的合理化建议和改进措施</w:t>
      </w:r>
    </w:p>
    <w:p w14:paraId="3E2B9608">
      <w:pPr>
        <w:spacing w:line="360" w:lineRule="auto"/>
        <w:ind w:firstLine="4048" w:firstLineChars="1687"/>
        <w:rPr>
          <w:rFonts w:hint="eastAsia" w:ascii="宋体" w:hAnsi="宋体" w:eastAsia="宋体" w:cs="宋体"/>
          <w:color w:val="auto"/>
          <w:sz w:val="24"/>
          <w:highlight w:val="none"/>
        </w:rPr>
      </w:pPr>
      <w:r>
        <w:rPr>
          <w:rFonts w:hint="eastAsia" w:ascii="宋体" w:hAnsi="宋体" w:eastAsia="宋体" w:cs="宋体"/>
          <w:color w:val="auto"/>
          <w:sz w:val="24"/>
          <w:highlight w:val="none"/>
        </w:rPr>
        <w:t>（格式自拟）</w:t>
      </w:r>
    </w:p>
    <w:p w14:paraId="09B59298">
      <w:pPr>
        <w:snapToGrid w:val="0"/>
        <w:spacing w:line="360" w:lineRule="auto"/>
        <w:ind w:firstLine="4935" w:firstLineChars="235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14:paraId="61571FA3">
      <w:pPr>
        <w:snapToGrid w:val="0"/>
        <w:spacing w:line="360" w:lineRule="auto"/>
        <w:ind w:firstLine="4935" w:firstLineChars="2350"/>
        <w:rPr>
          <w:rFonts w:hint="eastAsia" w:ascii="宋体" w:hAnsi="宋体" w:eastAsia="宋体" w:cs="宋体"/>
          <w:color w:val="auto"/>
          <w:szCs w:val="21"/>
          <w:highlight w:val="none"/>
        </w:rPr>
      </w:pPr>
    </w:p>
    <w:p w14:paraId="4BD9569F">
      <w:pPr>
        <w:snapToGrid w:val="0"/>
        <w:spacing w:line="360" w:lineRule="auto"/>
        <w:ind w:firstLine="4935" w:firstLineChars="2350"/>
        <w:rPr>
          <w:rFonts w:hint="eastAsia" w:ascii="宋体" w:hAnsi="宋体" w:eastAsia="宋体" w:cs="宋体"/>
          <w:color w:val="auto"/>
          <w:szCs w:val="21"/>
          <w:highlight w:val="none"/>
        </w:rPr>
      </w:pPr>
    </w:p>
    <w:p w14:paraId="489DA617">
      <w:pPr>
        <w:snapToGrid w:val="0"/>
        <w:spacing w:line="360" w:lineRule="auto"/>
        <w:ind w:firstLine="4935" w:firstLineChars="2350"/>
        <w:rPr>
          <w:rFonts w:hint="eastAsia" w:ascii="宋体" w:hAnsi="宋体" w:eastAsia="宋体" w:cs="宋体"/>
          <w:color w:val="auto"/>
          <w:szCs w:val="21"/>
          <w:highlight w:val="none"/>
        </w:rPr>
      </w:pPr>
    </w:p>
    <w:p w14:paraId="27992BE0">
      <w:pPr>
        <w:snapToGrid w:val="0"/>
        <w:spacing w:line="360" w:lineRule="auto"/>
        <w:ind w:firstLine="4935" w:firstLineChars="2350"/>
        <w:rPr>
          <w:rFonts w:hint="eastAsia" w:ascii="宋体" w:hAnsi="宋体" w:eastAsia="宋体" w:cs="宋体"/>
          <w:color w:val="auto"/>
          <w:kern w:val="0"/>
          <w:sz w:val="24"/>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kern w:val="0"/>
          <w:sz w:val="24"/>
          <w:highlight w:val="none"/>
          <w:lang w:val="zh-CN"/>
        </w:rPr>
        <w:t>投标人名称（电子签章）：</w:t>
      </w:r>
    </w:p>
    <w:p w14:paraId="2BFAB6F4">
      <w:pPr>
        <w:snapToGrid w:val="0"/>
        <w:spacing w:line="360" w:lineRule="auto"/>
        <w:ind w:firstLine="5160" w:firstLineChars="21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30458B76">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六、认为需要的其他技术文件或说明</w:t>
      </w:r>
    </w:p>
    <w:p w14:paraId="5421F83D">
      <w:pPr>
        <w:spacing w:line="360" w:lineRule="auto"/>
        <w:jc w:val="center"/>
        <w:outlineLvl w:val="1"/>
        <w:rPr>
          <w:rFonts w:hint="eastAsia" w:ascii="宋体" w:hAnsi="宋体" w:eastAsia="宋体" w:cs="宋体"/>
          <w:color w:val="auto"/>
          <w:sz w:val="24"/>
          <w:highlight w:val="none"/>
        </w:rPr>
      </w:pPr>
      <w:bookmarkStart w:id="338" w:name="_Toc4376"/>
      <w:r>
        <w:rPr>
          <w:rFonts w:hint="eastAsia" w:ascii="宋体" w:hAnsi="宋体" w:eastAsia="宋体" w:cs="宋体"/>
          <w:color w:val="auto"/>
          <w:sz w:val="24"/>
          <w:highlight w:val="none"/>
        </w:rPr>
        <w:t>（由投标人根据采购需求自行编制）</w:t>
      </w:r>
      <w:bookmarkEnd w:id="338"/>
    </w:p>
    <w:p w14:paraId="1CB10D06">
      <w:pPr>
        <w:spacing w:line="360" w:lineRule="auto"/>
        <w:jc w:val="center"/>
        <w:rPr>
          <w:rFonts w:hint="eastAsia" w:ascii="宋体" w:hAnsi="宋体" w:eastAsia="宋体" w:cs="宋体"/>
          <w:color w:val="auto"/>
          <w:sz w:val="24"/>
          <w:highlight w:val="none"/>
        </w:rPr>
      </w:pPr>
    </w:p>
    <w:p w14:paraId="5FD6E515">
      <w:pPr>
        <w:pStyle w:val="11"/>
        <w:jc w:val="center"/>
        <w:outlineLvl w:val="1"/>
        <w:rPr>
          <w:rFonts w:hint="eastAsia" w:ascii="宋体" w:hAnsi="宋体" w:eastAsia="宋体" w:cs="宋体"/>
          <w:b/>
          <w:bCs/>
          <w:color w:val="auto"/>
          <w:sz w:val="28"/>
          <w:szCs w:val="28"/>
          <w:highlight w:val="none"/>
        </w:rPr>
      </w:pPr>
      <w:bookmarkStart w:id="339" w:name="_Toc16610"/>
      <w:bookmarkStart w:id="340" w:name="_Toc22926"/>
    </w:p>
    <w:p w14:paraId="74CF76B8">
      <w:pPr>
        <w:pStyle w:val="11"/>
        <w:jc w:val="center"/>
        <w:outlineLvl w:val="1"/>
        <w:rPr>
          <w:rFonts w:hint="eastAsia" w:ascii="宋体" w:hAnsi="宋体" w:eastAsia="宋体" w:cs="宋体"/>
          <w:b/>
          <w:bCs/>
          <w:color w:val="auto"/>
          <w:sz w:val="28"/>
          <w:szCs w:val="28"/>
          <w:highlight w:val="none"/>
        </w:rPr>
      </w:pPr>
    </w:p>
    <w:p w14:paraId="4007412D">
      <w:pPr>
        <w:pStyle w:val="11"/>
        <w:jc w:val="center"/>
        <w:outlineLvl w:val="1"/>
        <w:rPr>
          <w:rFonts w:hint="eastAsia" w:ascii="宋体" w:hAnsi="宋体" w:eastAsia="宋体" w:cs="宋体"/>
          <w:b/>
          <w:bCs/>
          <w:color w:val="auto"/>
          <w:sz w:val="28"/>
          <w:szCs w:val="28"/>
          <w:highlight w:val="none"/>
        </w:rPr>
      </w:pPr>
    </w:p>
    <w:p w14:paraId="28C7558B">
      <w:pPr>
        <w:pStyle w:val="11"/>
        <w:jc w:val="center"/>
        <w:outlineLvl w:val="1"/>
        <w:rPr>
          <w:rFonts w:hint="eastAsia" w:ascii="宋体" w:hAnsi="宋体" w:eastAsia="宋体" w:cs="宋体"/>
          <w:b/>
          <w:bCs/>
          <w:color w:val="auto"/>
          <w:sz w:val="28"/>
          <w:szCs w:val="28"/>
          <w:highlight w:val="none"/>
        </w:rPr>
      </w:pPr>
    </w:p>
    <w:p w14:paraId="69571876">
      <w:pPr>
        <w:pStyle w:val="11"/>
        <w:jc w:val="center"/>
        <w:outlineLvl w:val="1"/>
        <w:rPr>
          <w:rFonts w:hint="eastAsia" w:ascii="宋体" w:hAnsi="宋体" w:eastAsia="宋体" w:cs="宋体"/>
          <w:b/>
          <w:bCs/>
          <w:color w:val="auto"/>
          <w:sz w:val="28"/>
          <w:szCs w:val="28"/>
          <w:highlight w:val="none"/>
        </w:rPr>
      </w:pPr>
    </w:p>
    <w:p w14:paraId="33CC7555">
      <w:pPr>
        <w:pStyle w:val="11"/>
        <w:jc w:val="center"/>
        <w:outlineLvl w:val="1"/>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第五节 报价文件格式</w:t>
      </w:r>
      <w:bookmarkEnd w:id="339"/>
      <w:bookmarkEnd w:id="340"/>
    </w:p>
    <w:p w14:paraId="44593923">
      <w:pPr>
        <w:snapToGrid w:val="0"/>
        <w:spacing w:before="165" w:beforeLines="50" w:after="50" w:line="400" w:lineRule="exact"/>
        <w:rPr>
          <w:rFonts w:hint="eastAsia" w:ascii="宋体" w:hAnsi="宋体" w:eastAsia="宋体" w:cs="宋体"/>
          <w:bCs/>
          <w:color w:val="auto"/>
          <w:sz w:val="32"/>
          <w:szCs w:val="20"/>
          <w:highlight w:val="none"/>
        </w:rPr>
      </w:pPr>
      <w:r>
        <w:rPr>
          <w:rFonts w:hint="eastAsia" w:ascii="宋体" w:hAnsi="宋体" w:eastAsia="宋体" w:cs="宋体"/>
          <w:color w:val="auto"/>
          <w:sz w:val="24"/>
          <w:highlight w:val="none"/>
        </w:rPr>
        <w:t xml:space="preserve">                                                            </w:t>
      </w:r>
      <w:r>
        <w:rPr>
          <w:rFonts w:hint="eastAsia" w:ascii="宋体" w:hAnsi="宋体" w:eastAsia="宋体" w:cs="宋体"/>
          <w:bCs/>
          <w:color w:val="auto"/>
          <w:highlight w:val="none"/>
        </w:rPr>
        <w:t>电子投标文件</w:t>
      </w:r>
    </w:p>
    <w:p w14:paraId="5751CF4B">
      <w:pPr>
        <w:snapToGrid w:val="0"/>
        <w:spacing w:before="165" w:beforeLines="50" w:after="50" w:line="400" w:lineRule="exact"/>
        <w:jc w:val="center"/>
        <w:rPr>
          <w:rFonts w:hint="eastAsia" w:ascii="宋体" w:hAnsi="宋体" w:eastAsia="宋体" w:cs="宋体"/>
          <w:bCs/>
          <w:color w:val="auto"/>
          <w:sz w:val="24"/>
          <w:szCs w:val="20"/>
          <w:highlight w:val="none"/>
        </w:rPr>
      </w:pPr>
    </w:p>
    <w:p w14:paraId="62AA69DE">
      <w:pPr>
        <w:snapToGrid w:val="0"/>
        <w:spacing w:before="165" w:beforeLines="50" w:after="50" w:line="400" w:lineRule="exact"/>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报价文件（封面）</w:t>
      </w:r>
    </w:p>
    <w:p w14:paraId="4F5D765C">
      <w:pPr>
        <w:snapToGrid w:val="0"/>
        <w:spacing w:before="165" w:beforeLines="50" w:after="50" w:line="400" w:lineRule="exact"/>
        <w:rPr>
          <w:rFonts w:hint="eastAsia" w:ascii="宋体" w:hAnsi="宋体" w:eastAsia="宋体" w:cs="宋体"/>
          <w:bCs/>
          <w:color w:val="auto"/>
          <w:sz w:val="24"/>
          <w:szCs w:val="20"/>
          <w:highlight w:val="none"/>
        </w:rPr>
      </w:pPr>
    </w:p>
    <w:p w14:paraId="4726A9BF">
      <w:pPr>
        <w:snapToGrid w:val="0"/>
        <w:spacing w:before="165" w:beforeLines="50" w:after="50" w:line="400" w:lineRule="exact"/>
        <w:rPr>
          <w:rFonts w:hint="eastAsia" w:ascii="宋体" w:hAnsi="宋体" w:eastAsia="宋体" w:cs="宋体"/>
          <w:bCs/>
          <w:color w:val="auto"/>
          <w:sz w:val="24"/>
          <w:szCs w:val="20"/>
          <w:highlight w:val="none"/>
        </w:rPr>
      </w:pPr>
    </w:p>
    <w:p w14:paraId="054EB50B">
      <w:pPr>
        <w:snapToGrid w:val="0"/>
        <w:spacing w:before="165" w:beforeLines="50" w:after="50" w:line="400" w:lineRule="exact"/>
        <w:rPr>
          <w:rFonts w:hint="eastAsia" w:ascii="宋体" w:hAnsi="宋体" w:eastAsia="宋体" w:cs="宋体"/>
          <w:bCs/>
          <w:color w:val="auto"/>
          <w:sz w:val="24"/>
          <w:szCs w:val="20"/>
          <w:highlight w:val="none"/>
        </w:rPr>
      </w:pPr>
    </w:p>
    <w:p w14:paraId="038F4984">
      <w:pPr>
        <w:snapToGrid w:val="0"/>
        <w:spacing w:before="165" w:beforeLines="50" w:after="50" w:line="400" w:lineRule="exact"/>
        <w:rPr>
          <w:rFonts w:hint="eastAsia" w:ascii="宋体" w:hAnsi="宋体" w:eastAsia="宋体" w:cs="宋体"/>
          <w:bCs/>
          <w:color w:val="auto"/>
          <w:sz w:val="24"/>
          <w:szCs w:val="20"/>
          <w:highlight w:val="none"/>
        </w:rPr>
      </w:pPr>
    </w:p>
    <w:p w14:paraId="506B0214">
      <w:pPr>
        <w:snapToGrid w:val="0"/>
        <w:spacing w:before="165" w:beforeLines="50" w:after="50" w:line="400" w:lineRule="exact"/>
        <w:ind w:firstLine="360" w:firstLineChars="15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 xml:space="preserve">项目名称： </w:t>
      </w:r>
    </w:p>
    <w:p w14:paraId="322FE896">
      <w:pPr>
        <w:snapToGrid w:val="0"/>
        <w:spacing w:before="165" w:beforeLines="50" w:after="50" w:line="400" w:lineRule="exact"/>
        <w:ind w:firstLine="360" w:firstLineChars="150"/>
        <w:rPr>
          <w:rFonts w:hint="eastAsia" w:ascii="宋体" w:hAnsi="宋体" w:eastAsia="宋体" w:cs="宋体"/>
          <w:bCs/>
          <w:color w:val="auto"/>
          <w:sz w:val="24"/>
          <w:highlight w:val="none"/>
        </w:rPr>
      </w:pPr>
    </w:p>
    <w:p w14:paraId="31E40F72">
      <w:pPr>
        <w:snapToGrid w:val="0"/>
        <w:spacing w:before="165" w:beforeLines="50" w:after="50" w:line="400" w:lineRule="exact"/>
        <w:ind w:firstLine="360" w:firstLineChars="15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 xml:space="preserve">项目编号： </w:t>
      </w:r>
    </w:p>
    <w:p w14:paraId="77411650">
      <w:pPr>
        <w:snapToGrid w:val="0"/>
        <w:spacing w:before="165" w:beforeLines="50" w:after="50" w:line="400" w:lineRule="exact"/>
        <w:ind w:firstLine="360" w:firstLineChars="150"/>
        <w:rPr>
          <w:rFonts w:hint="eastAsia" w:ascii="宋体" w:hAnsi="宋体" w:eastAsia="宋体" w:cs="宋体"/>
          <w:bCs/>
          <w:color w:val="auto"/>
          <w:sz w:val="24"/>
          <w:highlight w:val="none"/>
        </w:rPr>
      </w:pPr>
    </w:p>
    <w:p w14:paraId="710959B8">
      <w:pPr>
        <w:snapToGrid w:val="0"/>
        <w:spacing w:before="165" w:beforeLines="50" w:after="50" w:line="400" w:lineRule="exact"/>
        <w:ind w:firstLine="360" w:firstLineChars="15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所投分标：</w:t>
      </w:r>
    </w:p>
    <w:p w14:paraId="23FB88D2">
      <w:pPr>
        <w:snapToGrid w:val="0"/>
        <w:spacing w:before="165" w:beforeLines="50" w:after="50" w:line="400" w:lineRule="exact"/>
        <w:ind w:firstLine="360" w:firstLineChars="150"/>
        <w:rPr>
          <w:rFonts w:hint="eastAsia" w:ascii="宋体" w:hAnsi="宋体" w:eastAsia="宋体" w:cs="宋体"/>
          <w:bCs/>
          <w:color w:val="auto"/>
          <w:sz w:val="24"/>
          <w:highlight w:val="none"/>
        </w:rPr>
      </w:pPr>
    </w:p>
    <w:p w14:paraId="70394CE1">
      <w:pPr>
        <w:snapToGrid w:val="0"/>
        <w:spacing w:before="165" w:beforeLines="50" w:after="50" w:line="400" w:lineRule="exact"/>
        <w:ind w:firstLine="360" w:firstLineChars="15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投标人名称：</w:t>
      </w:r>
    </w:p>
    <w:p w14:paraId="344C9EDE">
      <w:pPr>
        <w:snapToGrid w:val="0"/>
        <w:spacing w:before="165" w:beforeLines="50" w:after="50" w:line="400" w:lineRule="exact"/>
        <w:ind w:firstLine="360" w:firstLineChars="150"/>
        <w:rPr>
          <w:rFonts w:hint="eastAsia" w:ascii="宋体" w:hAnsi="宋体" w:eastAsia="宋体" w:cs="宋体"/>
          <w:bCs/>
          <w:color w:val="auto"/>
          <w:sz w:val="24"/>
          <w:highlight w:val="none"/>
        </w:rPr>
      </w:pPr>
    </w:p>
    <w:p w14:paraId="036223B5">
      <w:pPr>
        <w:snapToGrid w:val="0"/>
        <w:spacing w:before="165" w:beforeLines="50" w:after="50" w:line="400" w:lineRule="exact"/>
        <w:ind w:firstLine="360" w:firstLineChars="15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投标人地址：</w:t>
      </w:r>
    </w:p>
    <w:p w14:paraId="1E383A95">
      <w:pPr>
        <w:pStyle w:val="8"/>
        <w:snapToGrid w:val="0"/>
        <w:spacing w:before="50" w:after="50" w:line="400" w:lineRule="exact"/>
        <w:ind w:firstLine="960" w:firstLineChars="400"/>
        <w:rPr>
          <w:rFonts w:hint="eastAsia" w:ascii="宋体" w:hAnsi="宋体" w:eastAsia="宋体" w:cs="宋体"/>
          <w:bCs/>
          <w:color w:val="auto"/>
          <w:sz w:val="24"/>
          <w:szCs w:val="24"/>
          <w:highlight w:val="none"/>
        </w:rPr>
      </w:pPr>
    </w:p>
    <w:p w14:paraId="2AA11201">
      <w:pPr>
        <w:snapToGrid w:val="0"/>
        <w:spacing w:before="165" w:beforeLines="50" w:after="50"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年  月  日</w:t>
      </w:r>
    </w:p>
    <w:p w14:paraId="6781D10A">
      <w:pPr>
        <w:widowControl/>
        <w:jc w:val="left"/>
        <w:rPr>
          <w:rFonts w:hint="eastAsia" w:ascii="宋体" w:hAnsi="宋体" w:eastAsia="宋体" w:cs="宋体"/>
          <w:color w:val="auto"/>
          <w:sz w:val="24"/>
          <w:highlight w:val="none"/>
        </w:rPr>
        <w:sectPr>
          <w:pgSz w:w="11906" w:h="16838"/>
          <w:pgMar w:top="1134" w:right="1134" w:bottom="1134" w:left="1134" w:header="720" w:footer="720" w:gutter="0"/>
          <w:cols w:space="720" w:num="1"/>
          <w:docGrid w:type="lines" w:linePitch="331" w:charSpace="0"/>
        </w:sectPr>
      </w:pPr>
    </w:p>
    <w:p w14:paraId="0F308768">
      <w:pPr>
        <w:rPr>
          <w:rFonts w:hint="eastAsia" w:ascii="宋体" w:hAnsi="宋体" w:eastAsia="宋体" w:cs="宋体"/>
          <w:color w:val="auto"/>
          <w:highlight w:val="none"/>
        </w:rPr>
      </w:pPr>
    </w:p>
    <w:p w14:paraId="2474CCEC">
      <w:pPr>
        <w:snapToGrid w:val="0"/>
        <w:spacing w:before="165" w:beforeLines="50" w:after="50" w:line="400" w:lineRule="exact"/>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报价文件目录</w:t>
      </w:r>
    </w:p>
    <w:p w14:paraId="17DFF628">
      <w:pPr>
        <w:rPr>
          <w:rFonts w:hint="eastAsia" w:ascii="宋体" w:hAnsi="宋体" w:eastAsia="宋体" w:cs="宋体"/>
          <w:color w:val="auto"/>
          <w:highlight w:val="none"/>
        </w:rPr>
      </w:pPr>
    </w:p>
    <w:p w14:paraId="4D8A6EBD">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一、投标函……………………………………………………………………………………（页码）</w:t>
      </w:r>
    </w:p>
    <w:p w14:paraId="1B50BAC1">
      <w:pPr>
        <w:spacing w:line="360" w:lineRule="auto"/>
        <w:rPr>
          <w:rFonts w:hint="eastAsia" w:ascii="宋体" w:hAnsi="宋体" w:eastAsia="宋体" w:cs="宋体"/>
          <w:b/>
          <w:bCs/>
          <w:color w:val="auto"/>
          <w:sz w:val="30"/>
          <w:szCs w:val="30"/>
          <w:highlight w:val="none"/>
        </w:rPr>
      </w:pPr>
      <w:r>
        <w:rPr>
          <w:rFonts w:hint="eastAsia" w:ascii="宋体" w:hAnsi="宋体" w:eastAsia="宋体" w:cs="宋体"/>
          <w:color w:val="auto"/>
          <w:kern w:val="0"/>
          <w:sz w:val="24"/>
          <w:highlight w:val="none"/>
        </w:rPr>
        <w:t>二、开标一览表………………………………………………………………………………（页码）</w:t>
      </w:r>
    </w:p>
    <w:p w14:paraId="3C46C900">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三</w:t>
      </w:r>
      <w:r>
        <w:rPr>
          <w:rFonts w:hint="eastAsia" w:ascii="宋体" w:hAnsi="宋体" w:eastAsia="宋体" w:cs="宋体"/>
          <w:color w:val="auto"/>
          <w:kern w:val="0"/>
          <w:sz w:val="24"/>
          <w:highlight w:val="none"/>
        </w:rPr>
        <w:t>、投标人针对报价需要说明的其他文件和说明…………………………………………（页码）</w:t>
      </w:r>
    </w:p>
    <w:p w14:paraId="4FEB7F62">
      <w:pPr>
        <w:pStyle w:val="11"/>
        <w:spacing w:line="500" w:lineRule="exact"/>
        <w:jc w:val="center"/>
        <w:rPr>
          <w:rFonts w:hint="eastAsia" w:ascii="宋体" w:hAnsi="宋体" w:eastAsia="宋体" w:cs="宋体"/>
          <w:b/>
          <w:bCs/>
          <w:color w:val="auto"/>
          <w:sz w:val="30"/>
          <w:szCs w:val="30"/>
          <w:highlight w:val="none"/>
        </w:rPr>
      </w:pPr>
    </w:p>
    <w:p w14:paraId="40DC81B6">
      <w:pPr>
        <w:pStyle w:val="11"/>
        <w:spacing w:line="500" w:lineRule="exact"/>
        <w:jc w:val="center"/>
        <w:rPr>
          <w:rFonts w:hint="eastAsia" w:ascii="宋体" w:hAnsi="宋体" w:eastAsia="宋体" w:cs="宋体"/>
          <w:b/>
          <w:bCs/>
          <w:color w:val="auto"/>
          <w:sz w:val="30"/>
          <w:szCs w:val="30"/>
          <w:highlight w:val="none"/>
        </w:rPr>
      </w:pPr>
    </w:p>
    <w:p w14:paraId="41AAEBB1">
      <w:pPr>
        <w:pStyle w:val="11"/>
        <w:spacing w:line="500" w:lineRule="exact"/>
        <w:jc w:val="center"/>
        <w:rPr>
          <w:rFonts w:hint="eastAsia" w:ascii="宋体" w:hAnsi="宋体" w:eastAsia="宋体" w:cs="宋体"/>
          <w:b/>
          <w:bCs/>
          <w:color w:val="auto"/>
          <w:sz w:val="30"/>
          <w:szCs w:val="30"/>
          <w:highlight w:val="none"/>
        </w:rPr>
      </w:pPr>
    </w:p>
    <w:p w14:paraId="0C76A5B7">
      <w:pPr>
        <w:pStyle w:val="11"/>
        <w:spacing w:line="500" w:lineRule="exact"/>
        <w:jc w:val="center"/>
        <w:rPr>
          <w:rFonts w:hint="eastAsia" w:ascii="宋体" w:hAnsi="宋体" w:eastAsia="宋体" w:cs="宋体"/>
          <w:b/>
          <w:bCs/>
          <w:color w:val="auto"/>
          <w:sz w:val="30"/>
          <w:szCs w:val="30"/>
          <w:highlight w:val="none"/>
        </w:rPr>
      </w:pPr>
    </w:p>
    <w:p w14:paraId="177B4502">
      <w:pPr>
        <w:pStyle w:val="11"/>
        <w:spacing w:line="500" w:lineRule="exact"/>
        <w:jc w:val="center"/>
        <w:rPr>
          <w:rFonts w:hint="eastAsia" w:ascii="宋体" w:hAnsi="宋体" w:eastAsia="宋体" w:cs="宋体"/>
          <w:b/>
          <w:bCs/>
          <w:color w:val="auto"/>
          <w:sz w:val="30"/>
          <w:szCs w:val="30"/>
          <w:highlight w:val="none"/>
        </w:rPr>
      </w:pPr>
    </w:p>
    <w:p w14:paraId="785A19A8">
      <w:pPr>
        <w:pStyle w:val="11"/>
        <w:spacing w:line="500" w:lineRule="exact"/>
        <w:jc w:val="center"/>
        <w:rPr>
          <w:rFonts w:hint="eastAsia" w:ascii="宋体" w:hAnsi="宋体" w:eastAsia="宋体" w:cs="宋体"/>
          <w:b/>
          <w:bCs/>
          <w:color w:val="auto"/>
          <w:sz w:val="30"/>
          <w:szCs w:val="30"/>
          <w:highlight w:val="none"/>
        </w:rPr>
      </w:pPr>
    </w:p>
    <w:p w14:paraId="7780BA9B">
      <w:pPr>
        <w:pStyle w:val="11"/>
        <w:spacing w:line="500" w:lineRule="exact"/>
        <w:jc w:val="center"/>
        <w:rPr>
          <w:rFonts w:hint="eastAsia" w:ascii="宋体" w:hAnsi="宋体" w:eastAsia="宋体" w:cs="宋体"/>
          <w:b/>
          <w:bCs/>
          <w:color w:val="auto"/>
          <w:sz w:val="30"/>
          <w:szCs w:val="30"/>
          <w:highlight w:val="none"/>
        </w:rPr>
      </w:pPr>
    </w:p>
    <w:p w14:paraId="5470468A">
      <w:pPr>
        <w:pStyle w:val="11"/>
        <w:spacing w:line="500" w:lineRule="exact"/>
        <w:jc w:val="center"/>
        <w:rPr>
          <w:rFonts w:hint="eastAsia" w:ascii="宋体" w:hAnsi="宋体" w:eastAsia="宋体" w:cs="宋体"/>
          <w:b/>
          <w:bCs/>
          <w:color w:val="auto"/>
          <w:sz w:val="30"/>
          <w:szCs w:val="30"/>
          <w:highlight w:val="none"/>
        </w:rPr>
      </w:pPr>
    </w:p>
    <w:p w14:paraId="6666810C">
      <w:pPr>
        <w:pStyle w:val="11"/>
        <w:spacing w:line="500" w:lineRule="exact"/>
        <w:jc w:val="center"/>
        <w:rPr>
          <w:rFonts w:hint="eastAsia" w:ascii="宋体" w:hAnsi="宋体" w:eastAsia="宋体" w:cs="宋体"/>
          <w:b/>
          <w:bCs/>
          <w:color w:val="auto"/>
          <w:sz w:val="30"/>
          <w:szCs w:val="30"/>
          <w:highlight w:val="none"/>
        </w:rPr>
      </w:pPr>
    </w:p>
    <w:p w14:paraId="0C56403B">
      <w:pPr>
        <w:pStyle w:val="11"/>
        <w:spacing w:line="500" w:lineRule="exact"/>
        <w:jc w:val="center"/>
        <w:rPr>
          <w:rFonts w:hint="eastAsia" w:ascii="宋体" w:hAnsi="宋体" w:eastAsia="宋体" w:cs="宋体"/>
          <w:b/>
          <w:bCs/>
          <w:color w:val="auto"/>
          <w:sz w:val="30"/>
          <w:szCs w:val="30"/>
          <w:highlight w:val="none"/>
        </w:rPr>
      </w:pPr>
    </w:p>
    <w:p w14:paraId="4523AB91">
      <w:pPr>
        <w:pStyle w:val="11"/>
        <w:spacing w:line="500" w:lineRule="exact"/>
        <w:jc w:val="center"/>
        <w:rPr>
          <w:rFonts w:hint="eastAsia" w:ascii="宋体" w:hAnsi="宋体" w:eastAsia="宋体" w:cs="宋体"/>
          <w:b/>
          <w:bCs/>
          <w:color w:val="auto"/>
          <w:sz w:val="30"/>
          <w:szCs w:val="30"/>
          <w:highlight w:val="none"/>
        </w:rPr>
      </w:pPr>
    </w:p>
    <w:p w14:paraId="71202CB1">
      <w:pPr>
        <w:pStyle w:val="11"/>
        <w:spacing w:line="500" w:lineRule="exact"/>
        <w:jc w:val="center"/>
        <w:rPr>
          <w:rFonts w:hint="eastAsia" w:ascii="宋体" w:hAnsi="宋体" w:eastAsia="宋体" w:cs="宋体"/>
          <w:b/>
          <w:bCs/>
          <w:color w:val="auto"/>
          <w:sz w:val="30"/>
          <w:szCs w:val="30"/>
          <w:highlight w:val="none"/>
        </w:rPr>
      </w:pPr>
    </w:p>
    <w:p w14:paraId="5F77B8AF">
      <w:pPr>
        <w:pStyle w:val="11"/>
        <w:spacing w:line="500" w:lineRule="exact"/>
        <w:jc w:val="center"/>
        <w:rPr>
          <w:rFonts w:hint="eastAsia" w:ascii="宋体" w:hAnsi="宋体" w:eastAsia="宋体" w:cs="宋体"/>
          <w:b/>
          <w:bCs/>
          <w:color w:val="auto"/>
          <w:sz w:val="30"/>
          <w:szCs w:val="30"/>
          <w:highlight w:val="none"/>
        </w:rPr>
      </w:pPr>
    </w:p>
    <w:p w14:paraId="6EA942A3">
      <w:pPr>
        <w:pStyle w:val="11"/>
        <w:spacing w:line="500" w:lineRule="exact"/>
        <w:jc w:val="center"/>
        <w:rPr>
          <w:rFonts w:hint="eastAsia" w:ascii="宋体" w:hAnsi="宋体" w:eastAsia="宋体" w:cs="宋体"/>
          <w:b/>
          <w:bCs/>
          <w:color w:val="auto"/>
          <w:sz w:val="30"/>
          <w:szCs w:val="30"/>
          <w:highlight w:val="none"/>
        </w:rPr>
      </w:pPr>
    </w:p>
    <w:p w14:paraId="7447F5B4">
      <w:pPr>
        <w:pStyle w:val="11"/>
        <w:spacing w:line="500" w:lineRule="exact"/>
        <w:jc w:val="center"/>
        <w:rPr>
          <w:rFonts w:hint="eastAsia" w:ascii="宋体" w:hAnsi="宋体" w:eastAsia="宋体" w:cs="宋体"/>
          <w:b/>
          <w:bCs/>
          <w:color w:val="auto"/>
          <w:sz w:val="30"/>
          <w:szCs w:val="30"/>
          <w:highlight w:val="none"/>
        </w:rPr>
      </w:pPr>
    </w:p>
    <w:p w14:paraId="40BDE619">
      <w:pPr>
        <w:pStyle w:val="11"/>
        <w:spacing w:line="500" w:lineRule="exact"/>
        <w:jc w:val="center"/>
        <w:rPr>
          <w:rFonts w:hint="eastAsia" w:ascii="宋体" w:hAnsi="宋体" w:eastAsia="宋体" w:cs="宋体"/>
          <w:b/>
          <w:bCs/>
          <w:color w:val="auto"/>
          <w:sz w:val="30"/>
          <w:szCs w:val="30"/>
          <w:highlight w:val="none"/>
        </w:rPr>
      </w:pPr>
    </w:p>
    <w:p w14:paraId="169F1329">
      <w:pPr>
        <w:pStyle w:val="11"/>
        <w:spacing w:line="500" w:lineRule="exact"/>
        <w:jc w:val="center"/>
        <w:rPr>
          <w:rFonts w:hint="eastAsia" w:ascii="宋体" w:hAnsi="宋体" w:eastAsia="宋体" w:cs="宋体"/>
          <w:b/>
          <w:bCs/>
          <w:color w:val="auto"/>
          <w:sz w:val="30"/>
          <w:szCs w:val="30"/>
          <w:highlight w:val="none"/>
        </w:rPr>
      </w:pPr>
    </w:p>
    <w:p w14:paraId="34611D70">
      <w:pPr>
        <w:pStyle w:val="11"/>
        <w:spacing w:line="500" w:lineRule="exact"/>
        <w:jc w:val="center"/>
        <w:rPr>
          <w:rFonts w:hint="eastAsia" w:ascii="宋体" w:hAnsi="宋体" w:eastAsia="宋体" w:cs="宋体"/>
          <w:b/>
          <w:bCs/>
          <w:color w:val="auto"/>
          <w:sz w:val="30"/>
          <w:szCs w:val="30"/>
          <w:highlight w:val="none"/>
        </w:rPr>
      </w:pPr>
    </w:p>
    <w:p w14:paraId="4A6F8788">
      <w:pPr>
        <w:pStyle w:val="11"/>
        <w:spacing w:line="500" w:lineRule="exact"/>
        <w:jc w:val="center"/>
        <w:rPr>
          <w:rFonts w:hint="eastAsia" w:ascii="宋体" w:hAnsi="宋体" w:eastAsia="宋体" w:cs="宋体"/>
          <w:b/>
          <w:bCs/>
          <w:color w:val="auto"/>
          <w:sz w:val="30"/>
          <w:szCs w:val="30"/>
          <w:highlight w:val="none"/>
        </w:rPr>
      </w:pPr>
    </w:p>
    <w:p w14:paraId="1F0CDD36">
      <w:pPr>
        <w:pStyle w:val="11"/>
        <w:spacing w:line="500" w:lineRule="exact"/>
        <w:jc w:val="center"/>
        <w:rPr>
          <w:rFonts w:hint="eastAsia" w:ascii="宋体" w:hAnsi="宋体" w:eastAsia="宋体" w:cs="宋体"/>
          <w:b/>
          <w:bCs/>
          <w:color w:val="auto"/>
          <w:sz w:val="30"/>
          <w:szCs w:val="30"/>
          <w:highlight w:val="none"/>
        </w:rPr>
      </w:pPr>
    </w:p>
    <w:p w14:paraId="66DEBCDE">
      <w:pPr>
        <w:pStyle w:val="11"/>
        <w:spacing w:line="500" w:lineRule="exact"/>
        <w:jc w:val="center"/>
        <w:rPr>
          <w:rFonts w:hint="eastAsia" w:ascii="宋体" w:hAnsi="宋体" w:eastAsia="宋体" w:cs="宋体"/>
          <w:b/>
          <w:bCs/>
          <w:color w:val="auto"/>
          <w:sz w:val="30"/>
          <w:szCs w:val="30"/>
          <w:highlight w:val="none"/>
        </w:rPr>
      </w:pPr>
    </w:p>
    <w:p w14:paraId="69864510">
      <w:pPr>
        <w:pStyle w:val="11"/>
        <w:spacing w:line="500" w:lineRule="exact"/>
        <w:jc w:val="center"/>
        <w:rPr>
          <w:rFonts w:hint="eastAsia" w:ascii="宋体" w:hAnsi="宋体" w:eastAsia="宋体" w:cs="宋体"/>
          <w:b/>
          <w:bCs/>
          <w:color w:val="auto"/>
          <w:sz w:val="30"/>
          <w:szCs w:val="30"/>
          <w:highlight w:val="none"/>
        </w:rPr>
      </w:pPr>
    </w:p>
    <w:p w14:paraId="0DC2DECB">
      <w:pPr>
        <w:pStyle w:val="11"/>
        <w:spacing w:line="500" w:lineRule="exact"/>
        <w:jc w:val="center"/>
        <w:rPr>
          <w:rFonts w:hint="eastAsia" w:ascii="宋体" w:hAnsi="宋体" w:eastAsia="宋体" w:cs="宋体"/>
          <w:b/>
          <w:bCs/>
          <w:color w:val="auto"/>
          <w:sz w:val="30"/>
          <w:szCs w:val="30"/>
          <w:highlight w:val="none"/>
        </w:rPr>
      </w:pPr>
    </w:p>
    <w:p w14:paraId="5998B4E7">
      <w:pPr>
        <w:spacing w:line="360" w:lineRule="auto"/>
        <w:jc w:val="center"/>
        <w:rPr>
          <w:rFonts w:ascii="宋体" w:hAnsi="宋体" w:cs="宋体"/>
          <w:b/>
          <w:color w:val="000000"/>
          <w:sz w:val="32"/>
          <w:szCs w:val="32"/>
          <w:highlight w:val="none"/>
        </w:rPr>
      </w:pPr>
      <w:r>
        <w:rPr>
          <w:rFonts w:hint="eastAsia" w:ascii="宋体" w:hAnsi="宋体" w:cs="宋体"/>
          <w:b/>
          <w:color w:val="000000"/>
          <w:sz w:val="32"/>
          <w:szCs w:val="32"/>
          <w:highlight w:val="none"/>
        </w:rPr>
        <w:t>一、投标函</w:t>
      </w:r>
    </w:p>
    <w:p w14:paraId="05567C8E">
      <w:pPr>
        <w:pStyle w:val="11"/>
        <w:spacing w:line="440" w:lineRule="exact"/>
        <w:ind w:firstLine="420" w:firstLineChars="200"/>
        <w:rPr>
          <w:rFonts w:hAnsi="宋体" w:cs="宋体"/>
          <w:highlight w:val="none"/>
        </w:rPr>
      </w:pPr>
      <w:r>
        <w:rPr>
          <w:rFonts w:hint="eastAsia" w:hAnsi="宋体" w:cs="宋体"/>
          <w:highlight w:val="none"/>
        </w:rPr>
        <w:t>致：</w:t>
      </w:r>
      <w:r>
        <w:rPr>
          <w:rFonts w:hint="eastAsia" w:hAnsi="宋体" w:cs="宋体"/>
          <w:highlight w:val="none"/>
          <w:u w:val="single"/>
        </w:rPr>
        <w:t xml:space="preserve">     </w:t>
      </w:r>
    </w:p>
    <w:p w14:paraId="71373F7C">
      <w:pPr>
        <w:pStyle w:val="11"/>
        <w:spacing w:line="440" w:lineRule="exact"/>
        <w:ind w:firstLine="420" w:firstLineChars="200"/>
        <w:rPr>
          <w:rFonts w:hAnsi="宋体" w:cs="宋体"/>
          <w:highlight w:val="none"/>
        </w:rPr>
      </w:pPr>
      <w:r>
        <w:rPr>
          <w:rFonts w:hint="eastAsia" w:hAnsi="宋体" w:cs="宋体"/>
          <w:highlight w:val="none"/>
        </w:rPr>
        <w:t>我方已仔细阅读了贵方组织的</w:t>
      </w:r>
      <w:r>
        <w:rPr>
          <w:rFonts w:hint="eastAsia" w:hAnsi="宋体" w:cs="宋体"/>
          <w:highlight w:val="none"/>
          <w:u w:val="single"/>
        </w:rPr>
        <w:t xml:space="preserve">     </w:t>
      </w:r>
      <w:r>
        <w:rPr>
          <w:rFonts w:hint="eastAsia" w:hAnsi="宋体" w:cs="宋体"/>
          <w:highlight w:val="none"/>
        </w:rPr>
        <w:t>项目（项目编号：</w:t>
      </w:r>
      <w:r>
        <w:rPr>
          <w:rFonts w:hint="eastAsia" w:hAnsi="宋体" w:cs="宋体"/>
          <w:highlight w:val="none"/>
          <w:u w:val="single"/>
        </w:rPr>
        <w:t xml:space="preserve">     </w:t>
      </w:r>
      <w:r>
        <w:rPr>
          <w:rFonts w:hint="eastAsia" w:hAnsi="宋体" w:cs="宋体"/>
          <w:highlight w:val="none"/>
        </w:rPr>
        <w:t>）的招标文件的全部内容，授权</w:t>
      </w:r>
      <w:r>
        <w:rPr>
          <w:rFonts w:hint="eastAsia" w:hAnsi="宋体" w:cs="宋体"/>
          <w:highlight w:val="none"/>
          <w:u w:val="single"/>
        </w:rPr>
        <w:t xml:space="preserve">                      </w:t>
      </w:r>
      <w:r>
        <w:rPr>
          <w:rFonts w:hint="eastAsia" w:hAnsi="宋体" w:cs="宋体"/>
          <w:highlight w:val="none"/>
        </w:rPr>
        <w:t>（全权代表姓名）</w:t>
      </w:r>
      <w:r>
        <w:rPr>
          <w:rFonts w:hint="eastAsia" w:hAnsi="宋体" w:cs="宋体"/>
          <w:highlight w:val="none"/>
          <w:u w:val="single"/>
        </w:rPr>
        <w:t xml:space="preserve">          </w:t>
      </w:r>
      <w:r>
        <w:rPr>
          <w:rFonts w:hint="eastAsia" w:hAnsi="宋体" w:cs="宋体"/>
          <w:highlight w:val="none"/>
        </w:rPr>
        <w:t xml:space="preserve"> （职务、职称）为全权代表，现正式递交下述文件参加贵方组织的本次政府采购活动： </w:t>
      </w:r>
    </w:p>
    <w:p w14:paraId="1D1D8925">
      <w:pPr>
        <w:pStyle w:val="11"/>
        <w:spacing w:line="440" w:lineRule="exact"/>
        <w:ind w:firstLine="420" w:firstLineChars="200"/>
        <w:rPr>
          <w:rFonts w:hAnsi="宋体" w:cs="宋体"/>
          <w:highlight w:val="none"/>
        </w:rPr>
      </w:pPr>
      <w:r>
        <w:rPr>
          <w:rFonts w:hint="eastAsia" w:hAnsi="宋体" w:cs="宋体"/>
          <w:highlight w:val="none"/>
        </w:rPr>
        <w:t>一、报价文件电子版一份（包含按投标人须知前附表要求提交的全部文件）；</w:t>
      </w:r>
    </w:p>
    <w:p w14:paraId="6DEFBFF4">
      <w:pPr>
        <w:pStyle w:val="11"/>
        <w:spacing w:line="440" w:lineRule="exact"/>
        <w:ind w:firstLine="482"/>
        <w:rPr>
          <w:rFonts w:hAnsi="宋体" w:cs="宋体"/>
          <w:highlight w:val="none"/>
        </w:rPr>
      </w:pPr>
      <w:r>
        <w:rPr>
          <w:rFonts w:hint="eastAsia" w:hAnsi="宋体" w:cs="宋体"/>
          <w:highlight w:val="none"/>
        </w:rPr>
        <w:t>二、资格文件电子版一份（包含按投标人须知前附表要求提交的全部文件）；</w:t>
      </w:r>
    </w:p>
    <w:p w14:paraId="627D067B">
      <w:pPr>
        <w:pStyle w:val="11"/>
        <w:spacing w:line="440" w:lineRule="exact"/>
        <w:ind w:firstLine="482"/>
        <w:rPr>
          <w:rFonts w:hAnsi="宋体" w:cs="宋体"/>
          <w:highlight w:val="none"/>
        </w:rPr>
      </w:pPr>
      <w:r>
        <w:rPr>
          <w:rFonts w:hint="eastAsia" w:hAnsi="宋体" w:cs="宋体"/>
          <w:highlight w:val="none"/>
        </w:rPr>
        <w:t>三、技术文件电子版一份（包含按投标人须知前附表要求提交的全部文件）；</w:t>
      </w:r>
    </w:p>
    <w:p w14:paraId="6AEE9C38">
      <w:pPr>
        <w:pStyle w:val="11"/>
        <w:spacing w:line="440" w:lineRule="exact"/>
        <w:ind w:firstLine="482"/>
        <w:rPr>
          <w:rFonts w:hAnsi="宋体" w:cs="宋体"/>
          <w:highlight w:val="none"/>
        </w:rPr>
      </w:pPr>
      <w:r>
        <w:rPr>
          <w:rFonts w:hint="eastAsia" w:hAnsi="宋体" w:cs="宋体"/>
          <w:highlight w:val="none"/>
        </w:rPr>
        <w:t>四、商务文件电子版一份（包含按投标人须知前附表要求提交的全部文件）；</w:t>
      </w:r>
    </w:p>
    <w:p w14:paraId="4C4C03C0">
      <w:pPr>
        <w:pStyle w:val="11"/>
        <w:spacing w:line="440" w:lineRule="exact"/>
        <w:ind w:firstLine="482"/>
        <w:rPr>
          <w:rFonts w:hAnsi="宋体" w:cs="宋体"/>
          <w:highlight w:val="none"/>
        </w:rPr>
      </w:pPr>
      <w:r>
        <w:rPr>
          <w:rFonts w:hint="eastAsia" w:hAnsi="宋体" w:cs="宋体"/>
          <w:highlight w:val="none"/>
        </w:rPr>
        <w:t>据此函，签字人兹宣布：</w:t>
      </w:r>
    </w:p>
    <w:p w14:paraId="514462EC">
      <w:pPr>
        <w:pStyle w:val="11"/>
        <w:spacing w:line="440" w:lineRule="exact"/>
        <w:ind w:firstLine="420" w:firstLineChars="200"/>
        <w:rPr>
          <w:rFonts w:hAnsi="宋体" w:cs="宋体"/>
          <w:highlight w:val="none"/>
        </w:rPr>
      </w:pPr>
      <w:r>
        <w:rPr>
          <w:rFonts w:hint="eastAsia" w:hAnsi="宋体" w:cs="宋体"/>
          <w:highlight w:val="none"/>
        </w:rPr>
        <w:t>1、我方愿意以（大写）人民币</w:t>
      </w:r>
      <w:r>
        <w:rPr>
          <w:rFonts w:hint="eastAsia" w:hAnsi="宋体" w:cs="宋体"/>
          <w:highlight w:val="none"/>
          <w:u w:val="single"/>
        </w:rPr>
        <w:t xml:space="preserve">              </w:t>
      </w:r>
      <w:r>
        <w:rPr>
          <w:rFonts w:hint="eastAsia" w:hAnsi="宋体" w:cs="宋体"/>
          <w:highlight w:val="none"/>
        </w:rPr>
        <w:t>元 （￥</w:t>
      </w:r>
      <w:r>
        <w:rPr>
          <w:rFonts w:hint="eastAsia" w:hAnsi="宋体" w:cs="宋体"/>
          <w:highlight w:val="none"/>
          <w:u w:val="single"/>
        </w:rPr>
        <w:t xml:space="preserve">          </w:t>
      </w:r>
      <w:r>
        <w:rPr>
          <w:rFonts w:hint="eastAsia" w:hAnsi="宋体" w:cs="宋体"/>
          <w:highlight w:val="none"/>
        </w:rPr>
        <w:t>元）的投标总报价，服务时间（无分标时填写）</w:t>
      </w:r>
      <w:r>
        <w:rPr>
          <w:rFonts w:hint="eastAsia" w:hAnsi="宋体" w:cs="宋体"/>
          <w:highlight w:val="none"/>
          <w:u w:val="single"/>
        </w:rPr>
        <w:t xml:space="preserve">              </w:t>
      </w:r>
      <w:r>
        <w:rPr>
          <w:rFonts w:hint="eastAsia" w:hAnsi="宋体" w:cs="宋体"/>
          <w:highlight w:val="none"/>
        </w:rPr>
        <w:t>，提供本项目招标文件第二章“服务需求”中的相应的采购内容。</w:t>
      </w:r>
    </w:p>
    <w:p w14:paraId="364F5F5C">
      <w:pPr>
        <w:pStyle w:val="11"/>
        <w:spacing w:line="440" w:lineRule="exact"/>
        <w:ind w:firstLine="420" w:firstLineChars="200"/>
        <w:rPr>
          <w:rFonts w:hAnsi="宋体" w:cs="宋体"/>
          <w:highlight w:val="none"/>
        </w:rPr>
      </w:pPr>
      <w:r>
        <w:rPr>
          <w:rFonts w:hint="eastAsia" w:hAnsi="宋体" w:cs="宋体"/>
          <w:highlight w:val="none"/>
        </w:rPr>
        <w:t>其中（有分标时填写）：</w:t>
      </w:r>
    </w:p>
    <w:p w14:paraId="3A8B305F">
      <w:pPr>
        <w:pStyle w:val="11"/>
        <w:spacing w:line="360" w:lineRule="exact"/>
        <w:ind w:firstLine="420" w:firstLineChars="200"/>
        <w:rPr>
          <w:rFonts w:hAnsi="宋体" w:cs="宋体"/>
          <w:highlight w:val="none"/>
          <w:u w:val="single"/>
        </w:rPr>
      </w:pPr>
      <w:r>
        <w:rPr>
          <w:rFonts w:hint="eastAsia" w:hAnsi="宋体" w:cs="宋体"/>
          <w:highlight w:val="none"/>
          <w:u w:val="single"/>
        </w:rPr>
        <w:t xml:space="preserve">  </w:t>
      </w:r>
      <w:r>
        <w:rPr>
          <w:rFonts w:hint="eastAsia" w:hAnsi="宋体" w:cs="宋体"/>
          <w:highlight w:val="none"/>
        </w:rPr>
        <w:t>分标报价为（大写）人民币</w:t>
      </w:r>
      <w:r>
        <w:rPr>
          <w:rFonts w:hint="eastAsia" w:hAnsi="宋体" w:cs="宋体"/>
          <w:highlight w:val="none"/>
          <w:u w:val="single"/>
        </w:rPr>
        <w:t xml:space="preserve">              </w:t>
      </w:r>
      <w:r>
        <w:rPr>
          <w:rFonts w:hint="eastAsia" w:hAnsi="宋体" w:cs="宋体"/>
          <w:highlight w:val="none"/>
        </w:rPr>
        <w:t>元 （￥</w:t>
      </w:r>
      <w:r>
        <w:rPr>
          <w:rFonts w:hint="eastAsia" w:hAnsi="宋体" w:cs="宋体"/>
          <w:highlight w:val="none"/>
          <w:u w:val="single"/>
        </w:rPr>
        <w:t xml:space="preserve">          </w:t>
      </w:r>
      <w:r>
        <w:rPr>
          <w:rFonts w:hint="eastAsia" w:hAnsi="宋体" w:cs="宋体"/>
          <w:highlight w:val="none"/>
        </w:rPr>
        <w:t>元），服务时间：</w:t>
      </w:r>
      <w:r>
        <w:rPr>
          <w:rFonts w:hint="eastAsia" w:hAnsi="宋体" w:cs="宋体"/>
          <w:highlight w:val="none"/>
          <w:u w:val="single"/>
        </w:rPr>
        <w:t xml:space="preserve">          </w:t>
      </w:r>
      <w:r>
        <w:rPr>
          <w:rFonts w:hint="eastAsia" w:hAnsi="宋体" w:cs="宋体"/>
          <w:highlight w:val="none"/>
        </w:rPr>
        <w:t>；</w:t>
      </w:r>
    </w:p>
    <w:p w14:paraId="0678E7EC">
      <w:pPr>
        <w:pStyle w:val="11"/>
        <w:spacing w:line="360" w:lineRule="exact"/>
        <w:ind w:firstLine="420" w:firstLineChars="200"/>
        <w:rPr>
          <w:rFonts w:hAnsi="宋体" w:cs="宋体"/>
          <w:highlight w:val="none"/>
          <w:u w:val="single"/>
        </w:rPr>
      </w:pPr>
      <w:r>
        <w:rPr>
          <w:rFonts w:hint="eastAsia" w:hAnsi="宋体" w:cs="宋体"/>
          <w:highlight w:val="none"/>
          <w:u w:val="single"/>
        </w:rPr>
        <w:t xml:space="preserve">  </w:t>
      </w:r>
      <w:r>
        <w:rPr>
          <w:rFonts w:hint="eastAsia" w:hAnsi="宋体" w:cs="宋体"/>
          <w:highlight w:val="none"/>
        </w:rPr>
        <w:t>分标报价为（大写）人民币</w:t>
      </w:r>
      <w:r>
        <w:rPr>
          <w:rFonts w:hint="eastAsia" w:hAnsi="宋体" w:cs="宋体"/>
          <w:highlight w:val="none"/>
          <w:u w:val="single"/>
        </w:rPr>
        <w:t xml:space="preserve">              </w:t>
      </w:r>
      <w:r>
        <w:rPr>
          <w:rFonts w:hint="eastAsia" w:hAnsi="宋体" w:cs="宋体"/>
          <w:highlight w:val="none"/>
        </w:rPr>
        <w:t>元 （￥</w:t>
      </w:r>
      <w:r>
        <w:rPr>
          <w:rFonts w:hint="eastAsia" w:hAnsi="宋体" w:cs="宋体"/>
          <w:highlight w:val="none"/>
          <w:u w:val="single"/>
        </w:rPr>
        <w:t xml:space="preserve">          </w:t>
      </w:r>
      <w:r>
        <w:rPr>
          <w:rFonts w:hint="eastAsia" w:hAnsi="宋体" w:cs="宋体"/>
          <w:highlight w:val="none"/>
        </w:rPr>
        <w:t>元），服务时间：</w:t>
      </w:r>
      <w:r>
        <w:rPr>
          <w:rFonts w:hint="eastAsia" w:hAnsi="宋体" w:cs="宋体"/>
          <w:highlight w:val="none"/>
          <w:u w:val="single"/>
        </w:rPr>
        <w:t xml:space="preserve">          </w:t>
      </w:r>
      <w:r>
        <w:rPr>
          <w:rFonts w:hint="eastAsia" w:hAnsi="宋体" w:cs="宋体"/>
          <w:highlight w:val="none"/>
        </w:rPr>
        <w:t>；</w:t>
      </w:r>
    </w:p>
    <w:p w14:paraId="4FE56395">
      <w:pPr>
        <w:pStyle w:val="11"/>
        <w:spacing w:line="360" w:lineRule="exact"/>
        <w:ind w:firstLine="420" w:firstLineChars="200"/>
        <w:rPr>
          <w:rFonts w:hAnsi="宋体" w:cs="宋体"/>
          <w:highlight w:val="none"/>
          <w:u w:val="single"/>
        </w:rPr>
      </w:pPr>
      <w:r>
        <w:rPr>
          <w:rFonts w:hint="eastAsia" w:hAnsi="宋体" w:cs="宋体"/>
          <w:highlight w:val="none"/>
        </w:rPr>
        <w:t>......</w:t>
      </w:r>
    </w:p>
    <w:p w14:paraId="0FB5529D">
      <w:pPr>
        <w:pStyle w:val="11"/>
        <w:spacing w:line="360" w:lineRule="exact"/>
        <w:ind w:firstLine="420" w:firstLineChars="200"/>
        <w:rPr>
          <w:rFonts w:hAnsi="宋体" w:cs="宋体"/>
          <w:highlight w:val="none"/>
          <w:u w:val="single"/>
        </w:rPr>
      </w:pPr>
      <w:r>
        <w:rPr>
          <w:rFonts w:hint="eastAsia" w:hAnsi="宋体" w:cs="宋体"/>
          <w:highlight w:val="none"/>
        </w:rPr>
        <w:t>2、我方同意自本项目招标文件“第三章 投标人须知”第一节 投标人须知前附表 第21.2项规定的投标截止时间（开标时间）起遵循本投标函，并承诺在“投标人须知前附表”第17.2项规定的投标有效期内不修改、撤销投标文件。</w:t>
      </w:r>
    </w:p>
    <w:p w14:paraId="0E35E530">
      <w:pPr>
        <w:pStyle w:val="11"/>
        <w:spacing w:line="360" w:lineRule="exact"/>
        <w:ind w:firstLine="420" w:firstLineChars="200"/>
        <w:rPr>
          <w:rFonts w:hAnsi="宋体" w:cs="宋体"/>
          <w:highlight w:val="none"/>
          <w:u w:val="single"/>
        </w:rPr>
      </w:pPr>
      <w:r>
        <w:rPr>
          <w:rFonts w:hint="eastAsia" w:hAnsi="宋体" w:cs="宋体"/>
          <w:highlight w:val="none"/>
        </w:rPr>
        <w:t>3、我方所递交的投标文件及有关资料都是内容完整、真实和准确的。</w:t>
      </w:r>
    </w:p>
    <w:p w14:paraId="7C8E9B89">
      <w:pPr>
        <w:pStyle w:val="11"/>
        <w:spacing w:line="440" w:lineRule="exact"/>
        <w:ind w:firstLine="482"/>
        <w:rPr>
          <w:rFonts w:hAnsi="宋体" w:cs="宋体"/>
          <w:highlight w:val="none"/>
        </w:rPr>
      </w:pPr>
      <w:r>
        <w:rPr>
          <w:rFonts w:hint="eastAsia" w:hAnsi="宋体" w:cs="宋体"/>
          <w:highlight w:val="none"/>
        </w:rPr>
        <w:t>4、</w:t>
      </w:r>
      <w:r>
        <w:rPr>
          <w:rFonts w:hint="eastAsia" w:hAnsi="宋体" w:cs="宋体"/>
          <w:szCs w:val="21"/>
          <w:highlight w:val="none"/>
        </w:rPr>
        <w:t>如本项目采购内容涉及须符合国家强制规定的，我方承诺我方本次投标（包括资格条件和所投产品）均符合国家有关强制规定。</w:t>
      </w:r>
    </w:p>
    <w:p w14:paraId="3B2F44B1">
      <w:pPr>
        <w:pStyle w:val="11"/>
        <w:spacing w:line="440" w:lineRule="exact"/>
        <w:ind w:firstLine="420" w:firstLineChars="200"/>
        <w:rPr>
          <w:rFonts w:hAnsi="宋体" w:cs="宋体"/>
          <w:highlight w:val="none"/>
        </w:rPr>
      </w:pPr>
      <w:r>
        <w:rPr>
          <w:rFonts w:hint="eastAsia" w:hAnsi="宋体" w:cs="宋体"/>
          <w:highlight w:val="none"/>
        </w:rPr>
        <w:t>5、如我方中标，我方承诺在收到中标通知书后，在中标通知书规定的期限内，根据招标文件、我方的投标文件及有关澄清承诺书的要求按第五章“拟签订的合同文本”与采购人订立书面合同，并按照合同约定承担完成合同的责任和义务。</w:t>
      </w:r>
    </w:p>
    <w:p w14:paraId="7A06D200">
      <w:pPr>
        <w:pStyle w:val="11"/>
        <w:spacing w:line="440" w:lineRule="exact"/>
        <w:ind w:firstLine="420" w:firstLineChars="200"/>
        <w:rPr>
          <w:rFonts w:hAnsi="宋体" w:cs="宋体"/>
          <w:highlight w:val="none"/>
        </w:rPr>
      </w:pPr>
      <w:r>
        <w:rPr>
          <w:rFonts w:hint="eastAsia" w:hAnsi="宋体" w:cs="宋体"/>
          <w:highlight w:val="none"/>
        </w:rPr>
        <w:t>6、我方已详细审核招标文件，我方知道必须放弃提出含糊不清或误解问题的权利。</w:t>
      </w:r>
    </w:p>
    <w:p w14:paraId="67F9404A">
      <w:pPr>
        <w:pStyle w:val="11"/>
        <w:spacing w:line="440" w:lineRule="exact"/>
        <w:ind w:firstLine="420" w:firstLineChars="200"/>
        <w:rPr>
          <w:rFonts w:hAnsi="宋体" w:cs="宋体"/>
          <w:highlight w:val="none"/>
        </w:rPr>
      </w:pPr>
      <w:r>
        <w:rPr>
          <w:rFonts w:hint="eastAsia" w:hAnsi="宋体" w:cs="宋体"/>
          <w:highlight w:val="none"/>
        </w:rPr>
        <w:t>7、我方同意应贵方要求提供与本投标有关的任何数据或资料。若贵方需要，我方愿意提供我方作出的一切承诺的证明材料。</w:t>
      </w:r>
    </w:p>
    <w:p w14:paraId="2CA6B8BF">
      <w:pPr>
        <w:pStyle w:val="11"/>
        <w:spacing w:line="440" w:lineRule="exact"/>
        <w:ind w:firstLine="420" w:firstLineChars="200"/>
        <w:rPr>
          <w:rFonts w:hAnsi="宋体" w:cs="宋体"/>
          <w:highlight w:val="none"/>
        </w:rPr>
      </w:pPr>
      <w:r>
        <w:rPr>
          <w:rFonts w:hint="eastAsia" w:hAnsi="宋体" w:cs="宋体"/>
          <w:highlight w:val="none"/>
        </w:rPr>
        <w:t>8、我方完全理解贵方不一定接受投标报价最低的投标人为中标供应商的行为。</w:t>
      </w:r>
    </w:p>
    <w:p w14:paraId="01664DAC">
      <w:pPr>
        <w:pStyle w:val="11"/>
        <w:spacing w:line="440" w:lineRule="exact"/>
        <w:ind w:firstLine="420" w:firstLineChars="200"/>
        <w:rPr>
          <w:rFonts w:hAnsi="宋体" w:cs="宋体"/>
          <w:highlight w:val="none"/>
        </w:rPr>
      </w:pPr>
      <w:r>
        <w:rPr>
          <w:rFonts w:hint="eastAsia" w:hAnsi="宋体" w:cs="宋体"/>
          <w:highlight w:val="none"/>
        </w:rPr>
        <w:t>9、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7F235232">
      <w:pPr>
        <w:pStyle w:val="11"/>
        <w:numPr>
          <w:ilvl w:val="0"/>
          <w:numId w:val="5"/>
        </w:numPr>
        <w:spacing w:line="440" w:lineRule="exact"/>
        <w:rPr>
          <w:rFonts w:hAnsi="宋体" w:cs="宋体"/>
          <w:highlight w:val="none"/>
        </w:rPr>
      </w:pPr>
      <w:r>
        <w:rPr>
          <w:rFonts w:hint="eastAsia" w:hAnsi="宋体" w:cs="宋体"/>
          <w:highlight w:val="none"/>
        </w:rPr>
        <w:t>提供虚假材料谋取中标、成交的；</w:t>
      </w:r>
    </w:p>
    <w:p w14:paraId="725C31F8">
      <w:pPr>
        <w:pStyle w:val="11"/>
        <w:numPr>
          <w:ilvl w:val="0"/>
          <w:numId w:val="5"/>
        </w:numPr>
        <w:spacing w:line="440" w:lineRule="exact"/>
        <w:rPr>
          <w:rFonts w:hAnsi="宋体" w:cs="宋体"/>
          <w:highlight w:val="none"/>
        </w:rPr>
      </w:pPr>
      <w:r>
        <w:rPr>
          <w:rFonts w:hint="eastAsia" w:hAnsi="宋体" w:cs="宋体"/>
          <w:highlight w:val="none"/>
        </w:rPr>
        <w:t>采取不正当手段诋毁、排挤其他供应商的；</w:t>
      </w:r>
    </w:p>
    <w:p w14:paraId="2A192AB2">
      <w:pPr>
        <w:pStyle w:val="11"/>
        <w:numPr>
          <w:ilvl w:val="0"/>
          <w:numId w:val="5"/>
        </w:numPr>
        <w:spacing w:line="440" w:lineRule="exact"/>
        <w:rPr>
          <w:rFonts w:hAnsi="宋体" w:cs="宋体"/>
          <w:highlight w:val="none"/>
        </w:rPr>
      </w:pPr>
      <w:r>
        <w:rPr>
          <w:rFonts w:hint="eastAsia" w:hAnsi="宋体" w:cs="宋体"/>
          <w:highlight w:val="none"/>
        </w:rPr>
        <w:t>与采购人、其他供应商或者采购代理机构恶意串通的；</w:t>
      </w:r>
    </w:p>
    <w:p w14:paraId="4E282EA6">
      <w:pPr>
        <w:pStyle w:val="11"/>
        <w:numPr>
          <w:ilvl w:val="0"/>
          <w:numId w:val="5"/>
        </w:numPr>
        <w:spacing w:line="440" w:lineRule="exact"/>
        <w:rPr>
          <w:rFonts w:hAnsi="宋体" w:cs="宋体"/>
          <w:highlight w:val="none"/>
        </w:rPr>
      </w:pPr>
      <w:r>
        <w:rPr>
          <w:rFonts w:hint="eastAsia" w:hAnsi="宋体" w:cs="宋体"/>
          <w:highlight w:val="none"/>
        </w:rPr>
        <w:t>向采购人、采购代理机构行贿或者提供其他不正当利益的；</w:t>
      </w:r>
    </w:p>
    <w:p w14:paraId="3A97E190">
      <w:pPr>
        <w:pStyle w:val="11"/>
        <w:numPr>
          <w:ilvl w:val="0"/>
          <w:numId w:val="5"/>
        </w:numPr>
        <w:spacing w:line="440" w:lineRule="exact"/>
        <w:rPr>
          <w:rFonts w:hAnsi="宋体" w:cs="宋体"/>
          <w:highlight w:val="none"/>
        </w:rPr>
      </w:pPr>
      <w:r>
        <w:rPr>
          <w:rFonts w:hint="eastAsia" w:hAnsi="宋体" w:cs="宋体"/>
          <w:highlight w:val="none"/>
        </w:rPr>
        <w:t>在招标采购过程中与采购人进行协商谈判的；</w:t>
      </w:r>
    </w:p>
    <w:p w14:paraId="5DDEB9A3">
      <w:pPr>
        <w:pStyle w:val="11"/>
        <w:numPr>
          <w:ilvl w:val="0"/>
          <w:numId w:val="5"/>
        </w:numPr>
        <w:spacing w:line="440" w:lineRule="exact"/>
        <w:rPr>
          <w:rFonts w:hAnsi="宋体" w:cs="宋体"/>
          <w:highlight w:val="none"/>
        </w:rPr>
      </w:pPr>
      <w:r>
        <w:rPr>
          <w:rFonts w:hint="eastAsia" w:hAnsi="宋体" w:cs="宋体"/>
          <w:highlight w:val="none"/>
        </w:rPr>
        <w:t>拒绝有关部门监督检查或提供虚假情况的。</w:t>
      </w:r>
    </w:p>
    <w:p w14:paraId="28182791">
      <w:pPr>
        <w:pStyle w:val="11"/>
        <w:spacing w:line="440" w:lineRule="exact"/>
        <w:ind w:left="420"/>
        <w:rPr>
          <w:rFonts w:hAnsi="宋体" w:cs="宋体"/>
          <w:color w:val="000000"/>
          <w:highlight w:val="none"/>
        </w:rPr>
      </w:pPr>
      <w:r>
        <w:rPr>
          <w:rFonts w:hint="eastAsia" w:hAnsi="宋体" w:cs="宋体"/>
          <w:color w:val="000000"/>
          <w:highlight w:val="none"/>
        </w:rPr>
        <w:t>10、我方及由本人担任法定代表人的其他机构最近三年内被处罚的违法行为有：</w:t>
      </w:r>
      <w:r>
        <w:rPr>
          <w:rFonts w:hint="eastAsia" w:hAnsi="宋体" w:cs="宋体"/>
          <w:color w:val="000000"/>
          <w:highlight w:val="none"/>
          <w:u w:val="single"/>
        </w:rPr>
        <w:t xml:space="preserve">                                        </w:t>
      </w:r>
    </w:p>
    <w:p w14:paraId="71ABFA00">
      <w:pPr>
        <w:pStyle w:val="11"/>
        <w:spacing w:line="440" w:lineRule="exact"/>
        <w:ind w:left="420"/>
        <w:rPr>
          <w:rFonts w:hAnsi="宋体" w:cs="宋体"/>
          <w:color w:val="000000"/>
          <w:highlight w:val="none"/>
        </w:rPr>
      </w:pPr>
      <w:r>
        <w:rPr>
          <w:rFonts w:hint="eastAsia" w:hAnsi="宋体" w:cs="宋体"/>
          <w:color w:val="000000"/>
          <w:highlight w:val="none"/>
          <w:u w:val="single"/>
        </w:rPr>
        <w:t xml:space="preserve">                                                                                                                        </w:t>
      </w:r>
    </w:p>
    <w:p w14:paraId="175CC747">
      <w:pPr>
        <w:pStyle w:val="11"/>
        <w:spacing w:line="360" w:lineRule="auto"/>
        <w:ind w:firstLine="420"/>
        <w:rPr>
          <w:rFonts w:hAnsi="宋体" w:cs="宋体"/>
          <w:color w:val="000000"/>
          <w:highlight w:val="none"/>
        </w:rPr>
      </w:pPr>
      <w:r>
        <w:rPr>
          <w:rFonts w:hint="eastAsia" w:hAnsi="宋体" w:cs="宋体"/>
          <w:color w:val="000000"/>
          <w:highlight w:val="none"/>
        </w:rPr>
        <w:t>11、以上事项如有虚假或隐瞒，我方愿意承担一切后果，并不再寻求任何旨在减轻或免除法律责任的辩解。</w:t>
      </w:r>
    </w:p>
    <w:p w14:paraId="3FA6DAC2">
      <w:pPr>
        <w:pStyle w:val="11"/>
        <w:spacing w:line="360" w:lineRule="auto"/>
        <w:ind w:firstLine="420"/>
        <w:rPr>
          <w:rFonts w:hAnsi="宋体" w:cs="宋体"/>
          <w:color w:val="000000"/>
          <w:highlight w:val="none"/>
        </w:rPr>
      </w:pPr>
      <w:r>
        <w:rPr>
          <w:rFonts w:hint="eastAsia" w:hAnsi="宋体" w:cs="宋体"/>
          <w:color w:val="000000"/>
          <w:highlight w:val="none"/>
        </w:rPr>
        <w:t>12、与本投标有关的一切正式往来信函请寄：</w:t>
      </w:r>
      <w:r>
        <w:rPr>
          <w:rFonts w:hint="eastAsia" w:hAnsi="宋体" w:cs="宋体"/>
          <w:highlight w:val="none"/>
          <w:u w:val="single"/>
        </w:rPr>
        <w:t xml:space="preserve"> </w:t>
      </w:r>
    </w:p>
    <w:p w14:paraId="3718DD1D">
      <w:pPr>
        <w:pStyle w:val="11"/>
        <w:spacing w:line="360" w:lineRule="auto"/>
        <w:ind w:firstLine="420"/>
        <w:rPr>
          <w:rFonts w:hAnsi="宋体" w:cs="宋体"/>
          <w:highlight w:val="none"/>
        </w:rPr>
      </w:pPr>
      <w:r>
        <w:rPr>
          <w:rFonts w:hint="eastAsia" w:hAnsi="宋体" w:cs="宋体"/>
          <w:highlight w:val="none"/>
        </w:rPr>
        <w:t>地址：</w:t>
      </w:r>
      <w:r>
        <w:rPr>
          <w:rFonts w:hint="eastAsia" w:hAnsi="宋体" w:cs="宋体"/>
          <w:highlight w:val="none"/>
          <w:u w:val="single"/>
        </w:rPr>
        <w:t xml:space="preserve">                                                        </w:t>
      </w:r>
      <w:r>
        <w:rPr>
          <w:rFonts w:hint="eastAsia" w:hAnsi="宋体" w:cs="宋体"/>
          <w:highlight w:val="none"/>
        </w:rPr>
        <w:t xml:space="preserve"> </w:t>
      </w:r>
    </w:p>
    <w:p w14:paraId="2C9CF688">
      <w:pPr>
        <w:pStyle w:val="11"/>
        <w:spacing w:line="360" w:lineRule="auto"/>
        <w:ind w:firstLine="420"/>
        <w:rPr>
          <w:rFonts w:hAnsi="宋体" w:cs="宋体"/>
          <w:highlight w:val="none"/>
          <w:u w:val="single"/>
        </w:rPr>
      </w:pPr>
      <w:r>
        <w:rPr>
          <w:rFonts w:hint="eastAsia" w:hAnsi="宋体" w:cs="宋体"/>
          <w:highlight w:val="none"/>
        </w:rPr>
        <w:t>电话：</w:t>
      </w:r>
      <w:r>
        <w:rPr>
          <w:rFonts w:hint="eastAsia" w:hAnsi="宋体" w:cs="宋体"/>
          <w:highlight w:val="none"/>
          <w:u w:val="single"/>
        </w:rPr>
        <w:t xml:space="preserve">                                      　　　　　　　　　</w:t>
      </w:r>
    </w:p>
    <w:p w14:paraId="5780AD34">
      <w:pPr>
        <w:pStyle w:val="11"/>
        <w:spacing w:line="360" w:lineRule="auto"/>
        <w:ind w:firstLine="420"/>
        <w:rPr>
          <w:rFonts w:hAnsi="宋体" w:cs="宋体"/>
          <w:highlight w:val="none"/>
        </w:rPr>
      </w:pPr>
      <w:r>
        <w:rPr>
          <w:rFonts w:hint="eastAsia" w:hAnsi="宋体" w:cs="宋体"/>
          <w:highlight w:val="none"/>
        </w:rPr>
        <w:t>传真：</w:t>
      </w:r>
      <w:r>
        <w:rPr>
          <w:rFonts w:hint="eastAsia" w:hAnsi="宋体" w:cs="宋体"/>
          <w:highlight w:val="none"/>
          <w:u w:val="single"/>
        </w:rPr>
        <w:t>　　　　　　　　　　　　　　　　　　　　　　　　　　　　</w:t>
      </w:r>
    </w:p>
    <w:p w14:paraId="4EC56E49">
      <w:pPr>
        <w:pStyle w:val="11"/>
        <w:spacing w:line="360" w:lineRule="auto"/>
        <w:ind w:firstLine="420"/>
        <w:rPr>
          <w:rFonts w:hAnsi="宋体" w:cs="宋体"/>
          <w:highlight w:val="none"/>
          <w:u w:val="single"/>
        </w:rPr>
      </w:pPr>
      <w:r>
        <w:rPr>
          <w:rFonts w:hint="eastAsia" w:hAnsi="宋体" w:cs="宋体"/>
          <w:highlight w:val="none"/>
        </w:rPr>
        <w:t>邮政编码：</w:t>
      </w:r>
      <w:r>
        <w:rPr>
          <w:rFonts w:hint="eastAsia" w:hAnsi="宋体" w:cs="宋体"/>
          <w:highlight w:val="none"/>
          <w:u w:val="single"/>
        </w:rPr>
        <w:t xml:space="preserve">                                                    </w:t>
      </w:r>
    </w:p>
    <w:p w14:paraId="3BDA7AAE">
      <w:pPr>
        <w:pStyle w:val="11"/>
        <w:spacing w:line="360" w:lineRule="auto"/>
        <w:ind w:firstLine="420"/>
        <w:rPr>
          <w:rFonts w:hAnsi="宋体" w:cs="宋体"/>
          <w:highlight w:val="none"/>
          <w:u w:val="single"/>
        </w:rPr>
      </w:pPr>
      <w:r>
        <w:rPr>
          <w:rFonts w:hint="eastAsia" w:hAnsi="宋体" w:cs="宋体"/>
          <w:highlight w:val="none"/>
        </w:rPr>
        <w:t>开户名称：</w:t>
      </w:r>
      <w:r>
        <w:rPr>
          <w:rFonts w:hint="eastAsia" w:hAnsi="宋体" w:cs="宋体"/>
          <w:highlight w:val="none"/>
          <w:u w:val="single"/>
        </w:rPr>
        <w:t xml:space="preserve">                                                    </w:t>
      </w:r>
    </w:p>
    <w:p w14:paraId="73984028">
      <w:pPr>
        <w:pStyle w:val="11"/>
        <w:spacing w:line="360" w:lineRule="auto"/>
        <w:ind w:firstLine="420"/>
        <w:rPr>
          <w:rFonts w:hAnsi="宋体" w:cs="宋体"/>
          <w:highlight w:val="none"/>
          <w:u w:val="single"/>
        </w:rPr>
      </w:pPr>
      <w:r>
        <w:rPr>
          <w:rFonts w:hint="eastAsia" w:hAnsi="宋体" w:cs="宋体"/>
          <w:highlight w:val="none"/>
        </w:rPr>
        <w:t>开户银行：</w:t>
      </w:r>
      <w:r>
        <w:rPr>
          <w:rFonts w:hint="eastAsia" w:hAnsi="宋体" w:cs="宋体"/>
          <w:highlight w:val="none"/>
          <w:u w:val="single"/>
        </w:rPr>
        <w:t xml:space="preserve">                                                    </w:t>
      </w:r>
    </w:p>
    <w:p w14:paraId="682B926F">
      <w:pPr>
        <w:pStyle w:val="11"/>
        <w:ind w:firstLine="420" w:firstLineChars="200"/>
        <w:rPr>
          <w:highlight w:val="none"/>
          <w:u w:val="single"/>
        </w:rPr>
      </w:pPr>
      <w:r>
        <w:rPr>
          <w:rFonts w:hint="eastAsia" w:hAnsi="宋体" w:cs="宋体"/>
          <w:highlight w:val="none"/>
        </w:rPr>
        <w:t>银行账号：</w:t>
      </w:r>
      <w:r>
        <w:rPr>
          <w:rFonts w:hint="eastAsia" w:hAnsi="宋体" w:cs="宋体"/>
          <w:highlight w:val="none"/>
          <w:u w:val="single"/>
        </w:rPr>
        <w:t xml:space="preserve">                                                    </w:t>
      </w:r>
    </w:p>
    <w:p w14:paraId="40972750">
      <w:pPr>
        <w:snapToGrid w:val="0"/>
        <w:spacing w:line="360" w:lineRule="auto"/>
        <w:ind w:firstLine="5040" w:firstLineChars="2100"/>
        <w:rPr>
          <w:rFonts w:ascii="宋体" w:hAnsi="宋体" w:cs="宋体"/>
          <w:kern w:val="0"/>
          <w:sz w:val="24"/>
          <w:highlight w:val="none"/>
        </w:rPr>
      </w:pPr>
      <w:r>
        <w:rPr>
          <w:rFonts w:hint="eastAsia" w:ascii="宋体" w:hAnsi="宋体" w:cs="宋体"/>
          <w:kern w:val="0"/>
          <w:sz w:val="24"/>
          <w:highlight w:val="none"/>
          <w:lang w:val="zh-CN"/>
        </w:rPr>
        <w:t>投标人名称（电子签章）：</w:t>
      </w:r>
    </w:p>
    <w:p w14:paraId="1B9DD8B8">
      <w:pPr>
        <w:snapToGrid w:val="0"/>
        <w:spacing w:line="360" w:lineRule="auto"/>
        <w:ind w:firstLine="5160" w:firstLineChars="2150"/>
        <w:rPr>
          <w:rFonts w:ascii="宋体" w:hAnsi="宋体" w:cs="宋体"/>
          <w:kern w:val="0"/>
          <w:sz w:val="24"/>
          <w:highlight w:val="none"/>
          <w:lang w:val="zh-CN"/>
        </w:rPr>
      </w:pPr>
      <w:r>
        <w:rPr>
          <w:rFonts w:hint="eastAsia" w:ascii="宋体" w:hAnsi="宋体" w:cs="宋体"/>
          <w:kern w:val="0"/>
          <w:sz w:val="24"/>
          <w:highlight w:val="none"/>
          <w:lang w:val="zh-CN"/>
        </w:rPr>
        <w:t>日期</w:t>
      </w:r>
      <w:r>
        <w:rPr>
          <w:rFonts w:hint="eastAsia" w:ascii="宋体" w:hAnsi="宋体" w:cs="宋体"/>
          <w:kern w:val="0"/>
          <w:sz w:val="24"/>
          <w:highlight w:val="none"/>
        </w:rPr>
        <w:t xml:space="preserve">：  年  </w:t>
      </w:r>
      <w:r>
        <w:rPr>
          <w:rFonts w:hint="eastAsia" w:ascii="宋体" w:hAnsi="宋体" w:cs="宋体"/>
          <w:kern w:val="0"/>
          <w:sz w:val="24"/>
          <w:highlight w:val="none"/>
          <w:lang w:val="zh-CN"/>
        </w:rPr>
        <w:t>月日</w:t>
      </w:r>
    </w:p>
    <w:p w14:paraId="3A8EA032">
      <w:pPr>
        <w:widowControl/>
        <w:spacing w:line="360" w:lineRule="auto"/>
        <w:jc w:val="left"/>
        <w:rPr>
          <w:rFonts w:ascii="宋体" w:hAnsi="宋体" w:cs="宋体"/>
          <w:kern w:val="0"/>
          <w:sz w:val="24"/>
          <w:highlight w:val="none"/>
          <w:lang w:val="zh-CN"/>
        </w:rPr>
        <w:sectPr>
          <w:pgSz w:w="11906" w:h="16838"/>
          <w:pgMar w:top="1134" w:right="1134" w:bottom="1134" w:left="1134" w:header="720" w:footer="720" w:gutter="0"/>
          <w:cols w:space="720" w:num="1"/>
          <w:docGrid w:type="lines" w:linePitch="331" w:charSpace="0"/>
        </w:sectPr>
      </w:pPr>
    </w:p>
    <w:p w14:paraId="0933061B">
      <w:pPr>
        <w:spacing w:line="360" w:lineRule="auto"/>
        <w:jc w:val="center"/>
        <w:rPr>
          <w:rFonts w:ascii="宋体" w:hAnsi="宋体" w:cs="宋体"/>
          <w:b/>
          <w:color w:val="000000"/>
          <w:sz w:val="32"/>
          <w:szCs w:val="32"/>
          <w:highlight w:val="none"/>
        </w:rPr>
      </w:pPr>
      <w:r>
        <w:rPr>
          <w:rFonts w:hint="eastAsia" w:ascii="宋体" w:hAnsi="宋体" w:cs="宋体"/>
          <w:b/>
          <w:color w:val="000000"/>
          <w:sz w:val="32"/>
          <w:szCs w:val="32"/>
          <w:highlight w:val="none"/>
        </w:rPr>
        <w:t>二、开标一览表</w:t>
      </w:r>
      <w:r>
        <w:rPr>
          <w:rFonts w:hint="eastAsia" w:ascii="宋体" w:hAnsi="宋体" w:cs="宋体"/>
          <w:b/>
          <w:color w:val="000000"/>
          <w:sz w:val="32"/>
          <w:szCs w:val="32"/>
          <w:highlight w:val="none"/>
          <w:lang w:val="zh-CN"/>
        </w:rPr>
        <w:t>（单位均为人民币元）</w:t>
      </w:r>
    </w:p>
    <w:p w14:paraId="6E1499FF">
      <w:pPr>
        <w:snapToGrid w:val="0"/>
        <w:spacing w:before="50" w:after="50" w:line="360" w:lineRule="auto"/>
        <w:rPr>
          <w:rFonts w:ascii="宋体" w:hAnsi="宋体" w:cs="宋体"/>
          <w:sz w:val="24"/>
          <w:highlight w:val="none"/>
          <w:u w:val="single"/>
        </w:rPr>
      </w:pPr>
      <w:r>
        <w:rPr>
          <w:rFonts w:hint="eastAsia" w:ascii="宋体" w:hAnsi="宋体" w:cs="宋体"/>
          <w:sz w:val="24"/>
          <w:highlight w:val="none"/>
        </w:rPr>
        <w:t>项目名称：  项目编号： 分标：</w:t>
      </w:r>
    </w:p>
    <w:p w14:paraId="0909C17D">
      <w:pPr>
        <w:pStyle w:val="11"/>
        <w:rPr>
          <w:b/>
          <w:sz w:val="32"/>
          <w:highlight w:val="none"/>
        </w:rPr>
      </w:pPr>
      <w:r>
        <w:rPr>
          <w:rFonts w:hint="eastAsia"/>
          <w:highlight w:val="none"/>
        </w:rPr>
        <w:t>投标人名称：</w:t>
      </w:r>
    </w:p>
    <w:tbl>
      <w:tblPr>
        <w:tblStyle w:val="18"/>
        <w:tblW w:w="9813"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260"/>
        <w:gridCol w:w="2064"/>
        <w:gridCol w:w="1080"/>
        <w:gridCol w:w="1260"/>
        <w:gridCol w:w="1516"/>
        <w:gridCol w:w="957"/>
        <w:gridCol w:w="957"/>
      </w:tblGrid>
      <w:tr w14:paraId="7C2C7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719" w:type="dxa"/>
            <w:tcBorders>
              <w:top w:val="single" w:color="auto" w:sz="4" w:space="0"/>
              <w:left w:val="single" w:color="auto" w:sz="4" w:space="0"/>
              <w:bottom w:val="single" w:color="auto" w:sz="4" w:space="0"/>
              <w:right w:val="single" w:color="auto" w:sz="4" w:space="0"/>
            </w:tcBorders>
            <w:vAlign w:val="center"/>
          </w:tcPr>
          <w:p w14:paraId="2B1D6907">
            <w:pPr>
              <w:jc w:val="center"/>
              <w:rPr>
                <w:rFonts w:ascii="宋体" w:hAnsi="宋体" w:cs="宋体"/>
                <w:szCs w:val="22"/>
                <w:highlight w:val="none"/>
              </w:rPr>
            </w:pPr>
            <w:r>
              <w:rPr>
                <w:rFonts w:hint="eastAsia" w:ascii="宋体" w:hAnsi="宋体" w:cs="宋体"/>
                <w:szCs w:val="22"/>
                <w:highlight w:val="none"/>
              </w:rPr>
              <w:t>序号</w:t>
            </w:r>
          </w:p>
        </w:tc>
        <w:tc>
          <w:tcPr>
            <w:tcW w:w="1260" w:type="dxa"/>
            <w:tcBorders>
              <w:top w:val="single" w:color="auto" w:sz="4" w:space="0"/>
              <w:left w:val="single" w:color="auto" w:sz="4" w:space="0"/>
              <w:bottom w:val="single" w:color="auto" w:sz="4" w:space="0"/>
              <w:right w:val="single" w:color="auto" w:sz="4" w:space="0"/>
            </w:tcBorders>
            <w:vAlign w:val="center"/>
          </w:tcPr>
          <w:p w14:paraId="0E6D60FC">
            <w:pPr>
              <w:jc w:val="center"/>
              <w:rPr>
                <w:rFonts w:ascii="宋体" w:hAnsi="宋体" w:cs="宋体"/>
                <w:szCs w:val="22"/>
                <w:highlight w:val="none"/>
              </w:rPr>
            </w:pPr>
            <w:r>
              <w:rPr>
                <w:rFonts w:hint="eastAsia" w:ascii="宋体" w:hAnsi="宋体" w:cs="宋体"/>
                <w:szCs w:val="22"/>
                <w:highlight w:val="none"/>
              </w:rPr>
              <w:t>服务名称</w:t>
            </w:r>
          </w:p>
        </w:tc>
        <w:tc>
          <w:tcPr>
            <w:tcW w:w="2064" w:type="dxa"/>
            <w:tcBorders>
              <w:top w:val="single" w:color="auto" w:sz="4" w:space="0"/>
              <w:left w:val="single" w:color="auto" w:sz="4" w:space="0"/>
              <w:bottom w:val="single" w:color="auto" w:sz="4" w:space="0"/>
              <w:right w:val="single" w:color="auto" w:sz="4" w:space="0"/>
            </w:tcBorders>
            <w:vAlign w:val="center"/>
          </w:tcPr>
          <w:p w14:paraId="4068430B">
            <w:pPr>
              <w:jc w:val="center"/>
              <w:rPr>
                <w:rFonts w:ascii="宋体" w:hAnsi="宋体" w:cs="宋体"/>
                <w:szCs w:val="22"/>
                <w:highlight w:val="none"/>
              </w:rPr>
            </w:pPr>
            <w:r>
              <w:rPr>
                <w:rFonts w:hint="eastAsia" w:ascii="宋体" w:hAnsi="宋体" w:cs="宋体"/>
                <w:szCs w:val="22"/>
                <w:highlight w:val="none"/>
              </w:rPr>
              <w:t>具体服务内容</w:t>
            </w:r>
          </w:p>
        </w:tc>
        <w:tc>
          <w:tcPr>
            <w:tcW w:w="1080" w:type="dxa"/>
            <w:tcBorders>
              <w:top w:val="single" w:color="auto" w:sz="4" w:space="0"/>
              <w:left w:val="single" w:color="auto" w:sz="4" w:space="0"/>
              <w:bottom w:val="single" w:color="auto" w:sz="4" w:space="0"/>
              <w:right w:val="single" w:color="auto" w:sz="4" w:space="0"/>
            </w:tcBorders>
            <w:vAlign w:val="center"/>
          </w:tcPr>
          <w:p w14:paraId="306A729E">
            <w:pPr>
              <w:jc w:val="center"/>
              <w:rPr>
                <w:rFonts w:ascii="宋体" w:hAnsi="宋体" w:cs="宋体"/>
                <w:szCs w:val="22"/>
                <w:highlight w:val="none"/>
              </w:rPr>
            </w:pPr>
            <w:r>
              <w:rPr>
                <w:rFonts w:hint="eastAsia" w:ascii="宋体" w:hAnsi="宋体" w:cs="宋体"/>
                <w:szCs w:val="22"/>
                <w:highlight w:val="none"/>
              </w:rPr>
              <w:t>数量①</w:t>
            </w:r>
          </w:p>
        </w:tc>
        <w:tc>
          <w:tcPr>
            <w:tcW w:w="1260" w:type="dxa"/>
            <w:tcBorders>
              <w:top w:val="single" w:color="auto" w:sz="4" w:space="0"/>
              <w:left w:val="single" w:color="auto" w:sz="4" w:space="0"/>
              <w:bottom w:val="single" w:color="auto" w:sz="4" w:space="0"/>
              <w:right w:val="single" w:color="auto" w:sz="4" w:space="0"/>
            </w:tcBorders>
            <w:vAlign w:val="center"/>
          </w:tcPr>
          <w:p w14:paraId="41F7E331">
            <w:pPr>
              <w:jc w:val="center"/>
              <w:rPr>
                <w:rFonts w:ascii="宋体" w:hAnsi="宋体" w:cs="宋体"/>
                <w:szCs w:val="22"/>
                <w:highlight w:val="none"/>
              </w:rPr>
            </w:pPr>
            <w:r>
              <w:rPr>
                <w:rFonts w:hint="eastAsia" w:ascii="宋体" w:hAnsi="宋体" w:cs="宋体"/>
                <w:szCs w:val="22"/>
                <w:highlight w:val="none"/>
              </w:rPr>
              <w:t>单价（元）②</w:t>
            </w:r>
          </w:p>
        </w:tc>
        <w:tc>
          <w:tcPr>
            <w:tcW w:w="1516" w:type="dxa"/>
            <w:tcBorders>
              <w:top w:val="single" w:color="auto" w:sz="4" w:space="0"/>
              <w:left w:val="single" w:color="auto" w:sz="4" w:space="0"/>
              <w:bottom w:val="single" w:color="auto" w:sz="4" w:space="0"/>
              <w:right w:val="single" w:color="auto" w:sz="4" w:space="0"/>
            </w:tcBorders>
            <w:vAlign w:val="center"/>
          </w:tcPr>
          <w:p w14:paraId="48157934">
            <w:pPr>
              <w:jc w:val="center"/>
              <w:rPr>
                <w:rFonts w:ascii="宋体" w:hAnsi="宋体" w:cs="宋体"/>
                <w:szCs w:val="22"/>
                <w:highlight w:val="none"/>
              </w:rPr>
            </w:pPr>
            <w:r>
              <w:rPr>
                <w:rFonts w:hint="eastAsia" w:ascii="宋体" w:hAnsi="宋体" w:cs="宋体"/>
                <w:szCs w:val="22"/>
                <w:highlight w:val="none"/>
              </w:rPr>
              <w:t>单项合价（元）</w:t>
            </w:r>
          </w:p>
          <w:p w14:paraId="76438E08">
            <w:pPr>
              <w:jc w:val="center"/>
              <w:rPr>
                <w:rFonts w:ascii="宋体" w:hAnsi="宋体" w:cs="宋体"/>
                <w:szCs w:val="22"/>
                <w:highlight w:val="none"/>
              </w:rPr>
            </w:pPr>
            <w:r>
              <w:rPr>
                <w:rFonts w:hint="eastAsia" w:ascii="宋体" w:hAnsi="宋体" w:cs="宋体"/>
                <w:szCs w:val="22"/>
                <w:highlight w:val="none"/>
              </w:rPr>
              <w:t>③＝①×②</w:t>
            </w:r>
          </w:p>
        </w:tc>
        <w:tc>
          <w:tcPr>
            <w:tcW w:w="957" w:type="dxa"/>
            <w:tcBorders>
              <w:top w:val="single" w:color="auto" w:sz="4" w:space="0"/>
              <w:left w:val="single" w:color="auto" w:sz="4" w:space="0"/>
              <w:bottom w:val="single" w:color="auto" w:sz="4" w:space="0"/>
              <w:right w:val="single" w:color="auto" w:sz="4" w:space="0"/>
            </w:tcBorders>
          </w:tcPr>
          <w:p w14:paraId="07D38913">
            <w:pPr>
              <w:spacing w:line="360" w:lineRule="auto"/>
              <w:jc w:val="center"/>
              <w:rPr>
                <w:rFonts w:ascii="宋体" w:hAnsi="宋体" w:cs="宋体"/>
                <w:szCs w:val="22"/>
                <w:highlight w:val="none"/>
              </w:rPr>
            </w:pPr>
            <w:r>
              <w:rPr>
                <w:rFonts w:hint="eastAsia" w:ascii="宋体" w:hAnsi="宋体" w:cs="宋体"/>
                <w:szCs w:val="22"/>
                <w:highlight w:val="none"/>
              </w:rPr>
              <w:t>服务时间</w:t>
            </w:r>
          </w:p>
        </w:tc>
        <w:tc>
          <w:tcPr>
            <w:tcW w:w="957" w:type="dxa"/>
            <w:tcBorders>
              <w:top w:val="single" w:color="auto" w:sz="4" w:space="0"/>
              <w:left w:val="single" w:color="auto" w:sz="4" w:space="0"/>
              <w:bottom w:val="single" w:color="auto" w:sz="4" w:space="0"/>
              <w:right w:val="single" w:color="auto" w:sz="4" w:space="0"/>
            </w:tcBorders>
            <w:vAlign w:val="center"/>
          </w:tcPr>
          <w:p w14:paraId="1180C848">
            <w:pPr>
              <w:jc w:val="center"/>
              <w:rPr>
                <w:rFonts w:ascii="宋体" w:hAnsi="宋体" w:cs="宋体"/>
                <w:szCs w:val="22"/>
                <w:highlight w:val="none"/>
              </w:rPr>
            </w:pPr>
            <w:r>
              <w:rPr>
                <w:rFonts w:hint="eastAsia" w:ascii="宋体" w:hAnsi="宋体" w:cs="宋体"/>
                <w:szCs w:val="22"/>
                <w:highlight w:val="none"/>
              </w:rPr>
              <w:t>备注</w:t>
            </w:r>
          </w:p>
        </w:tc>
      </w:tr>
      <w:tr w14:paraId="7A8AE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719" w:type="dxa"/>
            <w:tcBorders>
              <w:top w:val="single" w:color="auto" w:sz="4" w:space="0"/>
              <w:left w:val="single" w:color="auto" w:sz="4" w:space="0"/>
              <w:bottom w:val="single" w:color="auto" w:sz="4" w:space="0"/>
              <w:right w:val="single" w:color="auto" w:sz="4" w:space="0"/>
            </w:tcBorders>
            <w:vAlign w:val="center"/>
          </w:tcPr>
          <w:p w14:paraId="40909006">
            <w:pPr>
              <w:rPr>
                <w:rFonts w:ascii="宋体" w:hAnsi="宋体" w:cs="宋体"/>
                <w:szCs w:val="22"/>
                <w:highlight w:val="none"/>
              </w:rPr>
            </w:pPr>
            <w:r>
              <w:rPr>
                <w:rFonts w:hint="eastAsia" w:ascii="宋体" w:hAnsi="宋体" w:cs="宋体"/>
                <w:szCs w:val="22"/>
                <w:highlight w:val="none"/>
              </w:rPr>
              <w:t>1</w:t>
            </w:r>
          </w:p>
        </w:tc>
        <w:tc>
          <w:tcPr>
            <w:tcW w:w="1260" w:type="dxa"/>
            <w:tcBorders>
              <w:top w:val="single" w:color="auto" w:sz="4" w:space="0"/>
              <w:left w:val="single" w:color="auto" w:sz="4" w:space="0"/>
              <w:bottom w:val="single" w:color="auto" w:sz="4" w:space="0"/>
              <w:right w:val="single" w:color="auto" w:sz="4" w:space="0"/>
            </w:tcBorders>
            <w:vAlign w:val="center"/>
          </w:tcPr>
          <w:p w14:paraId="2F9C0067">
            <w:pPr>
              <w:rPr>
                <w:rFonts w:ascii="宋体" w:hAnsi="宋体" w:cs="宋体"/>
                <w:szCs w:val="22"/>
                <w:highlight w:val="none"/>
              </w:rPr>
            </w:pPr>
          </w:p>
        </w:tc>
        <w:tc>
          <w:tcPr>
            <w:tcW w:w="2064" w:type="dxa"/>
            <w:tcBorders>
              <w:top w:val="single" w:color="auto" w:sz="4" w:space="0"/>
              <w:left w:val="single" w:color="auto" w:sz="4" w:space="0"/>
              <w:bottom w:val="single" w:color="auto" w:sz="4" w:space="0"/>
              <w:right w:val="single" w:color="auto" w:sz="4" w:space="0"/>
            </w:tcBorders>
            <w:vAlign w:val="center"/>
          </w:tcPr>
          <w:p w14:paraId="3A7FF373">
            <w:pPr>
              <w:rPr>
                <w:rFonts w:ascii="宋体" w:hAnsi="宋体" w:cs="宋体"/>
                <w:szCs w:val="22"/>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14:paraId="074300D5">
            <w:pPr>
              <w:rPr>
                <w:rFonts w:ascii="宋体" w:hAnsi="宋体" w:cs="宋体"/>
                <w:szCs w:val="22"/>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63D5466">
            <w:pPr>
              <w:rPr>
                <w:rFonts w:ascii="宋体" w:hAnsi="宋体" w:cs="宋体"/>
                <w:szCs w:val="22"/>
                <w:highlight w:val="none"/>
              </w:rPr>
            </w:pPr>
          </w:p>
        </w:tc>
        <w:tc>
          <w:tcPr>
            <w:tcW w:w="1516" w:type="dxa"/>
            <w:tcBorders>
              <w:top w:val="single" w:color="auto" w:sz="4" w:space="0"/>
              <w:left w:val="single" w:color="auto" w:sz="4" w:space="0"/>
              <w:bottom w:val="single" w:color="auto" w:sz="4" w:space="0"/>
              <w:right w:val="single" w:color="auto" w:sz="4" w:space="0"/>
            </w:tcBorders>
            <w:vAlign w:val="center"/>
          </w:tcPr>
          <w:p w14:paraId="699757A1">
            <w:pPr>
              <w:rPr>
                <w:rFonts w:ascii="宋体" w:hAnsi="宋体" w:cs="宋体"/>
                <w:szCs w:val="22"/>
                <w:highlight w:val="none"/>
              </w:rPr>
            </w:pPr>
          </w:p>
        </w:tc>
        <w:tc>
          <w:tcPr>
            <w:tcW w:w="957" w:type="dxa"/>
            <w:tcBorders>
              <w:top w:val="single" w:color="auto" w:sz="4" w:space="0"/>
              <w:left w:val="single" w:color="auto" w:sz="4" w:space="0"/>
              <w:bottom w:val="single" w:color="auto" w:sz="4" w:space="0"/>
              <w:right w:val="single" w:color="auto" w:sz="4" w:space="0"/>
            </w:tcBorders>
          </w:tcPr>
          <w:p w14:paraId="07FBDA21">
            <w:pPr>
              <w:rPr>
                <w:rFonts w:ascii="宋体" w:hAnsi="宋体" w:cs="宋体"/>
                <w:szCs w:val="22"/>
                <w:highlight w:val="none"/>
              </w:rPr>
            </w:pPr>
          </w:p>
        </w:tc>
        <w:tc>
          <w:tcPr>
            <w:tcW w:w="957" w:type="dxa"/>
            <w:tcBorders>
              <w:top w:val="single" w:color="auto" w:sz="4" w:space="0"/>
              <w:left w:val="single" w:color="auto" w:sz="4" w:space="0"/>
              <w:bottom w:val="single" w:color="auto" w:sz="4" w:space="0"/>
              <w:right w:val="single" w:color="auto" w:sz="4" w:space="0"/>
            </w:tcBorders>
            <w:vAlign w:val="center"/>
          </w:tcPr>
          <w:p w14:paraId="73B0B129">
            <w:pPr>
              <w:rPr>
                <w:rFonts w:ascii="宋体" w:hAnsi="宋体" w:cs="宋体"/>
                <w:szCs w:val="22"/>
                <w:highlight w:val="none"/>
              </w:rPr>
            </w:pPr>
          </w:p>
        </w:tc>
      </w:tr>
      <w:tr w14:paraId="40BBB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719" w:type="dxa"/>
            <w:tcBorders>
              <w:top w:val="single" w:color="auto" w:sz="4" w:space="0"/>
              <w:left w:val="single" w:color="auto" w:sz="4" w:space="0"/>
              <w:bottom w:val="single" w:color="auto" w:sz="4" w:space="0"/>
              <w:right w:val="single" w:color="auto" w:sz="4" w:space="0"/>
            </w:tcBorders>
            <w:vAlign w:val="center"/>
          </w:tcPr>
          <w:p w14:paraId="66F882DF">
            <w:pPr>
              <w:rPr>
                <w:rFonts w:ascii="宋体" w:hAnsi="宋体" w:cs="宋体"/>
                <w:szCs w:val="22"/>
                <w:highlight w:val="none"/>
              </w:rPr>
            </w:pPr>
            <w:r>
              <w:rPr>
                <w:rFonts w:hint="eastAsia" w:ascii="宋体" w:hAnsi="宋体" w:cs="宋体"/>
                <w:szCs w:val="22"/>
                <w:highlight w:val="none"/>
              </w:rPr>
              <w:t>2</w:t>
            </w:r>
          </w:p>
        </w:tc>
        <w:tc>
          <w:tcPr>
            <w:tcW w:w="1260" w:type="dxa"/>
            <w:tcBorders>
              <w:top w:val="single" w:color="auto" w:sz="4" w:space="0"/>
              <w:left w:val="single" w:color="auto" w:sz="4" w:space="0"/>
              <w:bottom w:val="single" w:color="auto" w:sz="4" w:space="0"/>
              <w:right w:val="single" w:color="auto" w:sz="4" w:space="0"/>
            </w:tcBorders>
            <w:vAlign w:val="center"/>
          </w:tcPr>
          <w:p w14:paraId="65965B61">
            <w:pPr>
              <w:rPr>
                <w:rFonts w:ascii="宋体" w:hAnsi="宋体" w:cs="宋体"/>
                <w:szCs w:val="22"/>
                <w:highlight w:val="none"/>
              </w:rPr>
            </w:pPr>
          </w:p>
        </w:tc>
        <w:tc>
          <w:tcPr>
            <w:tcW w:w="2064" w:type="dxa"/>
            <w:tcBorders>
              <w:top w:val="single" w:color="auto" w:sz="4" w:space="0"/>
              <w:left w:val="single" w:color="auto" w:sz="4" w:space="0"/>
              <w:bottom w:val="single" w:color="auto" w:sz="4" w:space="0"/>
              <w:right w:val="single" w:color="auto" w:sz="4" w:space="0"/>
            </w:tcBorders>
            <w:vAlign w:val="center"/>
          </w:tcPr>
          <w:p w14:paraId="5C11F15D">
            <w:pPr>
              <w:rPr>
                <w:rFonts w:ascii="宋体" w:hAnsi="宋体" w:cs="宋体"/>
                <w:szCs w:val="22"/>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14:paraId="496F739F">
            <w:pPr>
              <w:rPr>
                <w:rFonts w:ascii="宋体" w:hAnsi="宋体" w:cs="宋体"/>
                <w:szCs w:val="22"/>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3031C56">
            <w:pPr>
              <w:rPr>
                <w:rFonts w:ascii="宋体" w:hAnsi="宋体" w:cs="宋体"/>
                <w:szCs w:val="22"/>
                <w:highlight w:val="none"/>
              </w:rPr>
            </w:pPr>
          </w:p>
        </w:tc>
        <w:tc>
          <w:tcPr>
            <w:tcW w:w="1516" w:type="dxa"/>
            <w:tcBorders>
              <w:top w:val="single" w:color="auto" w:sz="4" w:space="0"/>
              <w:left w:val="single" w:color="auto" w:sz="4" w:space="0"/>
              <w:bottom w:val="single" w:color="auto" w:sz="4" w:space="0"/>
              <w:right w:val="single" w:color="auto" w:sz="4" w:space="0"/>
            </w:tcBorders>
            <w:vAlign w:val="center"/>
          </w:tcPr>
          <w:p w14:paraId="7039D79D">
            <w:pPr>
              <w:rPr>
                <w:rFonts w:ascii="宋体" w:hAnsi="宋体" w:cs="宋体"/>
                <w:szCs w:val="22"/>
                <w:highlight w:val="none"/>
              </w:rPr>
            </w:pPr>
          </w:p>
        </w:tc>
        <w:tc>
          <w:tcPr>
            <w:tcW w:w="957" w:type="dxa"/>
            <w:tcBorders>
              <w:top w:val="single" w:color="auto" w:sz="4" w:space="0"/>
              <w:left w:val="single" w:color="auto" w:sz="4" w:space="0"/>
              <w:bottom w:val="single" w:color="auto" w:sz="4" w:space="0"/>
              <w:right w:val="single" w:color="auto" w:sz="4" w:space="0"/>
            </w:tcBorders>
          </w:tcPr>
          <w:p w14:paraId="434BF4EB">
            <w:pPr>
              <w:rPr>
                <w:rFonts w:ascii="宋体" w:hAnsi="宋体" w:cs="宋体"/>
                <w:szCs w:val="22"/>
                <w:highlight w:val="none"/>
              </w:rPr>
            </w:pPr>
          </w:p>
        </w:tc>
        <w:tc>
          <w:tcPr>
            <w:tcW w:w="957" w:type="dxa"/>
            <w:tcBorders>
              <w:top w:val="single" w:color="auto" w:sz="4" w:space="0"/>
              <w:left w:val="single" w:color="auto" w:sz="4" w:space="0"/>
              <w:bottom w:val="single" w:color="auto" w:sz="4" w:space="0"/>
              <w:right w:val="single" w:color="auto" w:sz="4" w:space="0"/>
            </w:tcBorders>
            <w:vAlign w:val="center"/>
          </w:tcPr>
          <w:p w14:paraId="722D22E2">
            <w:pPr>
              <w:rPr>
                <w:rFonts w:ascii="宋体" w:hAnsi="宋体" w:cs="宋体"/>
                <w:szCs w:val="22"/>
                <w:highlight w:val="none"/>
              </w:rPr>
            </w:pPr>
          </w:p>
        </w:tc>
      </w:tr>
      <w:tr w14:paraId="3EB69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atLeast"/>
        </w:trPr>
        <w:tc>
          <w:tcPr>
            <w:tcW w:w="719" w:type="dxa"/>
            <w:tcBorders>
              <w:top w:val="single" w:color="auto" w:sz="4" w:space="0"/>
              <w:left w:val="single" w:color="auto" w:sz="4" w:space="0"/>
              <w:bottom w:val="single" w:color="auto" w:sz="4" w:space="0"/>
              <w:right w:val="single" w:color="auto" w:sz="4" w:space="0"/>
            </w:tcBorders>
            <w:vAlign w:val="center"/>
          </w:tcPr>
          <w:p w14:paraId="0FB8E25C">
            <w:pPr>
              <w:rPr>
                <w:rFonts w:ascii="宋体" w:hAnsi="宋体" w:cs="宋体"/>
                <w:szCs w:val="22"/>
                <w:highlight w:val="none"/>
              </w:rPr>
            </w:pPr>
            <w:r>
              <w:rPr>
                <w:rFonts w:hint="eastAsia" w:ascii="宋体" w:hAnsi="宋体" w:cs="宋体"/>
                <w:szCs w:val="22"/>
                <w:highlight w:val="none"/>
              </w:rPr>
              <w:t>...</w:t>
            </w:r>
          </w:p>
        </w:tc>
        <w:tc>
          <w:tcPr>
            <w:tcW w:w="1260" w:type="dxa"/>
            <w:tcBorders>
              <w:top w:val="single" w:color="auto" w:sz="4" w:space="0"/>
              <w:left w:val="single" w:color="auto" w:sz="4" w:space="0"/>
              <w:bottom w:val="single" w:color="auto" w:sz="4" w:space="0"/>
              <w:right w:val="single" w:color="auto" w:sz="4" w:space="0"/>
            </w:tcBorders>
            <w:vAlign w:val="center"/>
          </w:tcPr>
          <w:p w14:paraId="2BF42888">
            <w:pPr>
              <w:rPr>
                <w:rFonts w:ascii="宋体" w:hAnsi="宋体" w:cs="宋体"/>
                <w:szCs w:val="22"/>
                <w:highlight w:val="none"/>
              </w:rPr>
            </w:pPr>
          </w:p>
        </w:tc>
        <w:tc>
          <w:tcPr>
            <w:tcW w:w="2064" w:type="dxa"/>
            <w:tcBorders>
              <w:top w:val="single" w:color="auto" w:sz="4" w:space="0"/>
              <w:left w:val="single" w:color="auto" w:sz="4" w:space="0"/>
              <w:bottom w:val="single" w:color="auto" w:sz="4" w:space="0"/>
              <w:right w:val="single" w:color="auto" w:sz="4" w:space="0"/>
            </w:tcBorders>
            <w:vAlign w:val="center"/>
          </w:tcPr>
          <w:p w14:paraId="02B6BCCF">
            <w:pPr>
              <w:rPr>
                <w:rFonts w:ascii="宋体" w:hAnsi="宋体" w:cs="宋体"/>
                <w:szCs w:val="22"/>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14:paraId="12404112">
            <w:pPr>
              <w:rPr>
                <w:rFonts w:ascii="宋体" w:hAnsi="宋体" w:cs="宋体"/>
                <w:szCs w:val="22"/>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A623E01">
            <w:pPr>
              <w:rPr>
                <w:rFonts w:ascii="宋体" w:hAnsi="宋体" w:cs="宋体"/>
                <w:szCs w:val="22"/>
                <w:highlight w:val="none"/>
              </w:rPr>
            </w:pPr>
          </w:p>
        </w:tc>
        <w:tc>
          <w:tcPr>
            <w:tcW w:w="1516" w:type="dxa"/>
            <w:tcBorders>
              <w:top w:val="single" w:color="auto" w:sz="4" w:space="0"/>
              <w:left w:val="single" w:color="auto" w:sz="4" w:space="0"/>
              <w:bottom w:val="single" w:color="auto" w:sz="4" w:space="0"/>
              <w:right w:val="single" w:color="auto" w:sz="4" w:space="0"/>
            </w:tcBorders>
            <w:vAlign w:val="center"/>
          </w:tcPr>
          <w:p w14:paraId="2D78E4B7">
            <w:pPr>
              <w:rPr>
                <w:rFonts w:ascii="宋体" w:hAnsi="宋体" w:cs="宋体"/>
                <w:szCs w:val="22"/>
                <w:highlight w:val="none"/>
              </w:rPr>
            </w:pPr>
          </w:p>
        </w:tc>
        <w:tc>
          <w:tcPr>
            <w:tcW w:w="957" w:type="dxa"/>
            <w:tcBorders>
              <w:top w:val="single" w:color="auto" w:sz="4" w:space="0"/>
              <w:left w:val="single" w:color="auto" w:sz="4" w:space="0"/>
              <w:bottom w:val="single" w:color="auto" w:sz="4" w:space="0"/>
              <w:right w:val="single" w:color="auto" w:sz="4" w:space="0"/>
            </w:tcBorders>
          </w:tcPr>
          <w:p w14:paraId="63FA85D6">
            <w:pPr>
              <w:rPr>
                <w:rFonts w:ascii="宋体" w:hAnsi="宋体" w:cs="宋体"/>
                <w:szCs w:val="22"/>
                <w:highlight w:val="none"/>
              </w:rPr>
            </w:pPr>
          </w:p>
        </w:tc>
        <w:tc>
          <w:tcPr>
            <w:tcW w:w="957" w:type="dxa"/>
            <w:tcBorders>
              <w:top w:val="single" w:color="auto" w:sz="4" w:space="0"/>
              <w:left w:val="single" w:color="auto" w:sz="4" w:space="0"/>
              <w:bottom w:val="single" w:color="auto" w:sz="4" w:space="0"/>
              <w:right w:val="single" w:color="auto" w:sz="4" w:space="0"/>
            </w:tcBorders>
            <w:vAlign w:val="center"/>
          </w:tcPr>
          <w:p w14:paraId="45671494">
            <w:pPr>
              <w:rPr>
                <w:rFonts w:ascii="宋体" w:hAnsi="宋体" w:cs="宋体"/>
                <w:szCs w:val="22"/>
                <w:highlight w:val="none"/>
              </w:rPr>
            </w:pPr>
          </w:p>
        </w:tc>
      </w:tr>
      <w:tr w14:paraId="5A97B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tcPr>
          <w:p w14:paraId="17A21AE3">
            <w:pPr>
              <w:jc w:val="left"/>
              <w:rPr>
                <w:rFonts w:ascii="宋体" w:hAnsi="宋体" w:cs="宋体"/>
                <w:szCs w:val="22"/>
                <w:highlight w:val="none"/>
              </w:rPr>
            </w:pPr>
            <w:r>
              <w:rPr>
                <w:rFonts w:hint="eastAsia" w:ascii="宋体" w:hAnsi="宋体" w:cs="宋体"/>
                <w:szCs w:val="21"/>
                <w:highlight w:val="none"/>
              </w:rPr>
              <w:t>报价合计（包含税费等所有费用）：（大写）人民币  （￥  元）</w:t>
            </w:r>
          </w:p>
        </w:tc>
      </w:tr>
      <w:tr w14:paraId="4B8C1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tcPr>
          <w:p w14:paraId="6ED326EC">
            <w:pPr>
              <w:rPr>
                <w:rFonts w:ascii="宋体" w:hAnsi="宋体" w:cs="宋体"/>
                <w:szCs w:val="22"/>
                <w:highlight w:val="none"/>
              </w:rPr>
            </w:pPr>
            <w:r>
              <w:rPr>
                <w:rFonts w:hint="eastAsia" w:ascii="宋体" w:hAnsi="宋体" w:cs="宋体"/>
                <w:szCs w:val="21"/>
                <w:highlight w:val="none"/>
                <w:u w:val="single"/>
              </w:rPr>
              <w:t>　　</w:t>
            </w:r>
            <w:r>
              <w:rPr>
                <w:rFonts w:hint="eastAsia" w:ascii="宋体" w:hAnsi="宋体" w:cs="宋体"/>
                <w:szCs w:val="21"/>
                <w:highlight w:val="none"/>
              </w:rPr>
              <w:t>分标（此处有分标时填写具体分标号，无分标时填写“无”）</w:t>
            </w:r>
          </w:p>
        </w:tc>
      </w:tr>
      <w:tr w14:paraId="07A29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tcPr>
          <w:p w14:paraId="4D4C4644">
            <w:pPr>
              <w:rPr>
                <w:rFonts w:ascii="宋体" w:hAnsi="宋体" w:cs="宋体"/>
                <w:szCs w:val="22"/>
                <w:highlight w:val="none"/>
              </w:rPr>
            </w:pPr>
            <w:r>
              <w:rPr>
                <w:rFonts w:hint="eastAsia" w:ascii="宋体" w:hAnsi="宋体" w:cs="宋体"/>
                <w:szCs w:val="22"/>
                <w:highlight w:val="none"/>
              </w:rPr>
              <w:t>验收标准：</w:t>
            </w:r>
          </w:p>
        </w:tc>
      </w:tr>
      <w:tr w14:paraId="250FD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tcPr>
          <w:p w14:paraId="62F8EA0F">
            <w:pPr>
              <w:rPr>
                <w:rFonts w:ascii="宋体" w:hAnsi="宋体" w:cs="宋体"/>
                <w:szCs w:val="22"/>
                <w:highlight w:val="none"/>
              </w:rPr>
            </w:pPr>
            <w:r>
              <w:rPr>
                <w:rFonts w:hint="eastAsia" w:ascii="宋体" w:hAnsi="宋体" w:cs="宋体"/>
                <w:szCs w:val="22"/>
                <w:highlight w:val="none"/>
              </w:rPr>
              <w:t>优惠及其它：</w:t>
            </w:r>
          </w:p>
        </w:tc>
      </w:tr>
    </w:tbl>
    <w:p w14:paraId="45E9CD2B">
      <w:pPr>
        <w:snapToGrid w:val="0"/>
        <w:spacing w:before="50" w:after="50"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 xml:space="preserve">注： </w:t>
      </w:r>
    </w:p>
    <w:p w14:paraId="3564BAD1">
      <w:pPr>
        <w:snapToGrid w:val="0"/>
        <w:spacing w:before="50" w:after="50"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1、 投标人需按本表格式填写，不得自行更改，也不得留空, 如有多分标，按分标分别提供开标一览表，必须加盖投标人有效电子公章</w:t>
      </w:r>
      <w:r>
        <w:rPr>
          <w:rFonts w:hint="eastAsia" w:ascii="宋体" w:hAnsi="宋体" w:cs="宋体"/>
          <w:b/>
          <w:kern w:val="0"/>
          <w:sz w:val="24"/>
          <w:highlight w:val="none"/>
          <w:lang w:val="zh-CN"/>
        </w:rPr>
        <w:t>。</w:t>
      </w:r>
    </w:p>
    <w:p w14:paraId="6FB4ED0B">
      <w:pPr>
        <w:snapToGrid w:val="0"/>
        <w:spacing w:before="50" w:after="50"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2、本表内容均不能涂改</w:t>
      </w:r>
      <w:r>
        <w:rPr>
          <w:rFonts w:hint="eastAsia" w:ascii="宋体" w:hAnsi="宋体" w:cs="宋体"/>
          <w:b/>
          <w:kern w:val="0"/>
          <w:sz w:val="24"/>
          <w:highlight w:val="none"/>
          <w:lang w:val="zh-CN"/>
        </w:rPr>
        <w:t>。</w:t>
      </w:r>
    </w:p>
    <w:p w14:paraId="63439D27">
      <w:pPr>
        <w:snapToGrid w:val="0"/>
        <w:spacing w:before="50" w:after="50" w:line="360" w:lineRule="auto"/>
        <w:ind w:firstLine="480" w:firstLineChars="200"/>
        <w:jc w:val="left"/>
        <w:rPr>
          <w:rFonts w:ascii="宋体" w:hAnsi="宋体" w:cs="宋体"/>
          <w:b/>
          <w:kern w:val="0"/>
          <w:sz w:val="24"/>
          <w:highlight w:val="none"/>
          <w:lang w:val="zh-CN"/>
        </w:rPr>
      </w:pPr>
      <w:r>
        <w:rPr>
          <w:rFonts w:hint="eastAsia" w:ascii="宋体" w:hAnsi="宋体" w:cs="宋体"/>
          <w:kern w:val="0"/>
          <w:sz w:val="24"/>
          <w:highlight w:val="none"/>
          <w:lang w:val="zh-CN"/>
        </w:rPr>
        <w:t>3、如为联合体投标，“投标人名称”处必须列明联合体各方名称，并标注联合体牵头人名称，且盖章处须加盖联合体各方公章，</w:t>
      </w:r>
      <w:r>
        <w:rPr>
          <w:rFonts w:hint="eastAsia" w:ascii="宋体" w:hAnsi="宋体" w:cs="宋体"/>
          <w:b/>
          <w:kern w:val="0"/>
          <w:sz w:val="24"/>
          <w:highlight w:val="none"/>
          <w:lang w:val="zh-CN"/>
        </w:rPr>
        <w:t>否则其投标作无效标处理。</w:t>
      </w:r>
    </w:p>
    <w:p w14:paraId="1A7B770A">
      <w:pPr>
        <w:snapToGrid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4、以上表格要求细分项目及报价，在“具体服务内容”一栏中，填写具体服务范围、服务标准。</w:t>
      </w:r>
    </w:p>
    <w:p w14:paraId="2BBD6552">
      <w:pPr>
        <w:snapToGrid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5、特别提示：采购机构将对项目名称和项目编号，中标供应商名称、地址和中标金额，主要中标标的的名称、服务范围、服务要求、服务时间、服务标准等予以公示。</w:t>
      </w:r>
    </w:p>
    <w:p w14:paraId="27B7AF37">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cs="宋体"/>
          <w:kern w:val="0"/>
          <w:sz w:val="24"/>
          <w:szCs w:val="22"/>
          <w:highlight w:val="none"/>
          <w:lang w:val="zh-CN"/>
        </w:rPr>
        <w:t>6、</w:t>
      </w:r>
      <w:r>
        <w:rPr>
          <w:rFonts w:hint="eastAsia" w:ascii="宋体" w:hAnsi="宋体" w:cs="宋体"/>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29682013">
      <w:pPr>
        <w:snapToGrid w:val="0"/>
        <w:spacing w:line="360" w:lineRule="auto"/>
        <w:ind w:firstLine="5040" w:firstLineChars="2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投标人名称（电子签章）：</w:t>
      </w:r>
    </w:p>
    <w:p w14:paraId="0FEF9451">
      <w:pPr>
        <w:snapToGrid w:val="0"/>
        <w:spacing w:line="360" w:lineRule="auto"/>
        <w:ind w:firstLine="5160" w:firstLineChars="21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45FF5A15">
      <w:pPr>
        <w:pStyle w:val="11"/>
        <w:spacing w:line="360" w:lineRule="auto"/>
        <w:jc w:val="center"/>
        <w:rPr>
          <w:rFonts w:hint="eastAsia" w:ascii="宋体" w:hAnsi="宋体" w:eastAsia="宋体" w:cs="宋体"/>
          <w:color w:val="auto"/>
          <w:sz w:val="30"/>
          <w:highlight w:val="none"/>
          <w:lang w:val="en-US" w:eastAsia="zh-CN"/>
        </w:rPr>
      </w:pPr>
      <w:bookmarkStart w:id="341" w:name="_Toc16384"/>
      <w:bookmarkStart w:id="342" w:name="_Toc19686840"/>
      <w:bookmarkStart w:id="343" w:name="_Toc27494"/>
    </w:p>
    <w:p w14:paraId="1EAC3196">
      <w:pPr>
        <w:pStyle w:val="11"/>
        <w:spacing w:line="360" w:lineRule="auto"/>
        <w:jc w:val="center"/>
        <w:rPr>
          <w:rFonts w:hint="eastAsia" w:ascii="宋体" w:hAnsi="宋体" w:eastAsia="宋体" w:cs="宋体"/>
          <w:b/>
          <w:color w:val="auto"/>
          <w:sz w:val="30"/>
          <w:szCs w:val="30"/>
          <w:highlight w:val="none"/>
        </w:rPr>
      </w:pPr>
      <w:r>
        <w:rPr>
          <w:rFonts w:hint="eastAsia" w:ascii="宋体" w:hAnsi="宋体" w:eastAsia="宋体" w:cs="宋体"/>
          <w:color w:val="auto"/>
          <w:sz w:val="30"/>
          <w:highlight w:val="none"/>
          <w:lang w:val="en-US" w:eastAsia="zh-CN"/>
        </w:rPr>
        <w:t>三</w:t>
      </w:r>
      <w:r>
        <w:rPr>
          <w:rFonts w:hint="eastAsia" w:ascii="宋体" w:hAnsi="宋体" w:eastAsia="宋体" w:cs="宋体"/>
          <w:color w:val="auto"/>
          <w:sz w:val="30"/>
          <w:highlight w:val="none"/>
        </w:rPr>
        <w:t>、</w:t>
      </w:r>
      <w:r>
        <w:rPr>
          <w:rFonts w:hint="eastAsia" w:ascii="宋体" w:hAnsi="宋体" w:eastAsia="宋体" w:cs="宋体"/>
          <w:b/>
          <w:color w:val="auto"/>
          <w:sz w:val="30"/>
          <w:szCs w:val="30"/>
          <w:highlight w:val="none"/>
        </w:rPr>
        <w:t>投标人针对报价需要说明的其他文件和说明</w:t>
      </w:r>
    </w:p>
    <w:p w14:paraId="73031980">
      <w:pPr>
        <w:snapToGrid w:val="0"/>
        <w:spacing w:before="165" w:beforeLines="50" w:after="50"/>
        <w:jc w:val="center"/>
        <w:outlineLvl w:val="1"/>
        <w:rPr>
          <w:rFonts w:hint="eastAsia" w:ascii="宋体" w:hAnsi="宋体" w:eastAsia="宋体" w:cs="宋体"/>
          <w:b/>
          <w:bCs/>
          <w:color w:val="auto"/>
          <w:sz w:val="28"/>
          <w:szCs w:val="28"/>
          <w:highlight w:val="none"/>
        </w:rPr>
      </w:pPr>
    </w:p>
    <w:p w14:paraId="3F1C98A2">
      <w:pPr>
        <w:snapToGrid w:val="0"/>
        <w:spacing w:before="165" w:beforeLines="50" w:after="50"/>
        <w:jc w:val="center"/>
        <w:outlineLvl w:val="1"/>
        <w:rPr>
          <w:rFonts w:hint="eastAsia" w:ascii="宋体" w:hAnsi="宋体" w:eastAsia="宋体" w:cs="宋体"/>
          <w:b/>
          <w:bCs/>
          <w:color w:val="auto"/>
          <w:sz w:val="28"/>
          <w:szCs w:val="28"/>
          <w:highlight w:val="none"/>
        </w:rPr>
      </w:pPr>
    </w:p>
    <w:p w14:paraId="39C97F16">
      <w:pPr>
        <w:snapToGrid w:val="0"/>
        <w:spacing w:before="165" w:beforeLines="50" w:after="50"/>
        <w:jc w:val="center"/>
        <w:outlineLvl w:val="1"/>
        <w:rPr>
          <w:rFonts w:hint="eastAsia" w:ascii="宋体" w:hAnsi="宋体" w:eastAsia="宋体" w:cs="宋体"/>
          <w:b/>
          <w:bCs/>
          <w:color w:val="auto"/>
          <w:sz w:val="28"/>
          <w:szCs w:val="28"/>
          <w:highlight w:val="none"/>
        </w:rPr>
      </w:pPr>
    </w:p>
    <w:p w14:paraId="2DA9664A">
      <w:pPr>
        <w:snapToGrid w:val="0"/>
        <w:spacing w:before="165" w:beforeLines="50" w:after="50"/>
        <w:jc w:val="center"/>
        <w:outlineLvl w:val="1"/>
        <w:rPr>
          <w:rFonts w:hint="eastAsia" w:ascii="宋体" w:hAnsi="宋体" w:eastAsia="宋体" w:cs="宋体"/>
          <w:b/>
          <w:bCs/>
          <w:color w:val="auto"/>
          <w:sz w:val="28"/>
          <w:szCs w:val="28"/>
          <w:highlight w:val="none"/>
        </w:rPr>
      </w:pPr>
    </w:p>
    <w:p w14:paraId="512461AA">
      <w:pPr>
        <w:snapToGrid w:val="0"/>
        <w:spacing w:before="165" w:beforeLines="50" w:after="50"/>
        <w:jc w:val="center"/>
        <w:outlineLvl w:val="1"/>
        <w:rPr>
          <w:rFonts w:hint="eastAsia" w:ascii="宋体" w:hAnsi="宋体" w:eastAsia="宋体" w:cs="宋体"/>
          <w:b/>
          <w:bCs/>
          <w:color w:val="auto"/>
          <w:sz w:val="28"/>
          <w:szCs w:val="28"/>
          <w:highlight w:val="none"/>
        </w:rPr>
      </w:pPr>
    </w:p>
    <w:p w14:paraId="36B93177">
      <w:pPr>
        <w:snapToGrid w:val="0"/>
        <w:spacing w:before="165" w:beforeLines="50" w:after="50"/>
        <w:jc w:val="center"/>
        <w:outlineLvl w:val="1"/>
        <w:rPr>
          <w:rFonts w:hint="eastAsia" w:ascii="宋体" w:hAnsi="宋体" w:eastAsia="宋体" w:cs="宋体"/>
          <w:b/>
          <w:bCs/>
          <w:color w:val="auto"/>
          <w:sz w:val="28"/>
          <w:szCs w:val="28"/>
          <w:highlight w:val="none"/>
        </w:rPr>
      </w:pPr>
    </w:p>
    <w:p w14:paraId="0A200098">
      <w:pPr>
        <w:snapToGrid w:val="0"/>
        <w:spacing w:before="165" w:beforeLines="50" w:after="50"/>
        <w:jc w:val="center"/>
        <w:outlineLvl w:val="1"/>
        <w:rPr>
          <w:rFonts w:hint="eastAsia" w:ascii="宋体" w:hAnsi="宋体" w:eastAsia="宋体" w:cs="宋体"/>
          <w:b/>
          <w:bCs/>
          <w:color w:val="auto"/>
          <w:sz w:val="28"/>
          <w:szCs w:val="28"/>
          <w:highlight w:val="none"/>
        </w:rPr>
      </w:pPr>
    </w:p>
    <w:p w14:paraId="3C9E3DCF">
      <w:pPr>
        <w:snapToGrid w:val="0"/>
        <w:spacing w:before="165" w:beforeLines="50" w:after="50"/>
        <w:jc w:val="center"/>
        <w:outlineLvl w:val="1"/>
        <w:rPr>
          <w:rFonts w:hint="eastAsia" w:ascii="宋体" w:hAnsi="宋体" w:eastAsia="宋体" w:cs="宋体"/>
          <w:b/>
          <w:bCs/>
          <w:color w:val="auto"/>
          <w:sz w:val="28"/>
          <w:szCs w:val="28"/>
          <w:highlight w:val="none"/>
        </w:rPr>
      </w:pPr>
    </w:p>
    <w:p w14:paraId="6692C7AA">
      <w:pPr>
        <w:snapToGrid w:val="0"/>
        <w:spacing w:before="165" w:beforeLines="50" w:after="50"/>
        <w:jc w:val="center"/>
        <w:outlineLvl w:val="1"/>
        <w:rPr>
          <w:rFonts w:hint="eastAsia" w:ascii="宋体" w:hAnsi="宋体" w:eastAsia="宋体" w:cs="宋体"/>
          <w:b/>
          <w:bCs/>
          <w:color w:val="auto"/>
          <w:sz w:val="28"/>
          <w:szCs w:val="28"/>
          <w:highlight w:val="none"/>
        </w:rPr>
      </w:pPr>
    </w:p>
    <w:p w14:paraId="527CBF16">
      <w:pPr>
        <w:snapToGrid w:val="0"/>
        <w:spacing w:before="165" w:beforeLines="50" w:after="50"/>
        <w:jc w:val="center"/>
        <w:outlineLvl w:val="1"/>
        <w:rPr>
          <w:rFonts w:hint="eastAsia" w:ascii="宋体" w:hAnsi="宋体" w:eastAsia="宋体" w:cs="宋体"/>
          <w:b/>
          <w:bCs/>
          <w:color w:val="auto"/>
          <w:sz w:val="28"/>
          <w:szCs w:val="28"/>
          <w:highlight w:val="none"/>
        </w:rPr>
      </w:pPr>
    </w:p>
    <w:p w14:paraId="3E9B08E2">
      <w:pPr>
        <w:snapToGrid w:val="0"/>
        <w:spacing w:before="165" w:beforeLines="50" w:after="50"/>
        <w:jc w:val="center"/>
        <w:outlineLvl w:val="1"/>
        <w:rPr>
          <w:rFonts w:hint="eastAsia" w:ascii="宋体" w:hAnsi="宋体" w:eastAsia="宋体" w:cs="宋体"/>
          <w:b/>
          <w:bCs/>
          <w:color w:val="auto"/>
          <w:sz w:val="28"/>
          <w:szCs w:val="28"/>
          <w:highlight w:val="none"/>
        </w:rPr>
      </w:pPr>
    </w:p>
    <w:p w14:paraId="1794BAE1">
      <w:pPr>
        <w:snapToGrid w:val="0"/>
        <w:spacing w:before="165" w:beforeLines="50" w:after="50"/>
        <w:jc w:val="center"/>
        <w:outlineLvl w:val="1"/>
        <w:rPr>
          <w:rFonts w:hint="eastAsia" w:ascii="宋体" w:hAnsi="宋体" w:eastAsia="宋体" w:cs="宋体"/>
          <w:b/>
          <w:bCs/>
          <w:color w:val="auto"/>
          <w:sz w:val="28"/>
          <w:szCs w:val="28"/>
          <w:highlight w:val="none"/>
        </w:rPr>
      </w:pPr>
    </w:p>
    <w:p w14:paraId="54538C92">
      <w:pPr>
        <w:snapToGrid w:val="0"/>
        <w:spacing w:before="165" w:beforeLines="50" w:after="50"/>
        <w:jc w:val="center"/>
        <w:outlineLvl w:val="1"/>
        <w:rPr>
          <w:rFonts w:hint="eastAsia" w:ascii="宋体" w:hAnsi="宋体" w:eastAsia="宋体" w:cs="宋体"/>
          <w:b/>
          <w:bCs/>
          <w:color w:val="auto"/>
          <w:sz w:val="28"/>
          <w:szCs w:val="28"/>
          <w:highlight w:val="none"/>
        </w:rPr>
      </w:pPr>
    </w:p>
    <w:p w14:paraId="25262F59">
      <w:pPr>
        <w:snapToGrid w:val="0"/>
        <w:spacing w:before="165" w:beforeLines="50" w:after="50"/>
        <w:jc w:val="center"/>
        <w:outlineLvl w:val="1"/>
        <w:rPr>
          <w:rFonts w:hint="eastAsia" w:ascii="宋体" w:hAnsi="宋体" w:eastAsia="宋体" w:cs="宋体"/>
          <w:b/>
          <w:bCs/>
          <w:color w:val="auto"/>
          <w:sz w:val="28"/>
          <w:szCs w:val="28"/>
          <w:highlight w:val="none"/>
        </w:rPr>
      </w:pPr>
    </w:p>
    <w:p w14:paraId="4B1B9389">
      <w:pPr>
        <w:snapToGrid w:val="0"/>
        <w:spacing w:before="165" w:beforeLines="50" w:after="50"/>
        <w:jc w:val="center"/>
        <w:outlineLvl w:val="1"/>
        <w:rPr>
          <w:rFonts w:hint="eastAsia" w:ascii="宋体" w:hAnsi="宋体" w:eastAsia="宋体" w:cs="宋体"/>
          <w:b/>
          <w:bCs/>
          <w:color w:val="auto"/>
          <w:sz w:val="28"/>
          <w:szCs w:val="28"/>
          <w:highlight w:val="none"/>
        </w:rPr>
      </w:pPr>
    </w:p>
    <w:p w14:paraId="310C6EC5">
      <w:pPr>
        <w:snapToGrid w:val="0"/>
        <w:spacing w:before="165" w:beforeLines="50" w:after="50"/>
        <w:jc w:val="center"/>
        <w:outlineLvl w:val="1"/>
        <w:rPr>
          <w:rFonts w:hint="eastAsia" w:ascii="宋体" w:hAnsi="宋体" w:eastAsia="宋体" w:cs="宋体"/>
          <w:b/>
          <w:bCs/>
          <w:color w:val="auto"/>
          <w:sz w:val="28"/>
          <w:szCs w:val="28"/>
          <w:highlight w:val="none"/>
        </w:rPr>
      </w:pPr>
    </w:p>
    <w:p w14:paraId="2E598EB0">
      <w:pPr>
        <w:snapToGrid w:val="0"/>
        <w:spacing w:before="165" w:beforeLines="50" w:after="50"/>
        <w:jc w:val="center"/>
        <w:outlineLvl w:val="1"/>
        <w:rPr>
          <w:rFonts w:hint="eastAsia" w:ascii="宋体" w:hAnsi="宋体" w:eastAsia="宋体" w:cs="宋体"/>
          <w:b/>
          <w:bCs/>
          <w:color w:val="auto"/>
          <w:sz w:val="28"/>
          <w:szCs w:val="28"/>
          <w:highlight w:val="none"/>
        </w:rPr>
      </w:pPr>
    </w:p>
    <w:p w14:paraId="35DEBC79">
      <w:pPr>
        <w:snapToGrid w:val="0"/>
        <w:spacing w:before="165" w:beforeLines="50" w:after="50"/>
        <w:jc w:val="center"/>
        <w:outlineLvl w:val="1"/>
        <w:rPr>
          <w:rFonts w:hint="eastAsia" w:ascii="宋体" w:hAnsi="宋体" w:eastAsia="宋体" w:cs="宋体"/>
          <w:b/>
          <w:bCs/>
          <w:color w:val="auto"/>
          <w:sz w:val="28"/>
          <w:szCs w:val="28"/>
          <w:highlight w:val="none"/>
        </w:rPr>
      </w:pPr>
    </w:p>
    <w:p w14:paraId="39D6B748">
      <w:pPr>
        <w:snapToGrid w:val="0"/>
        <w:spacing w:before="165" w:beforeLines="50" w:after="50"/>
        <w:jc w:val="center"/>
        <w:outlineLvl w:val="1"/>
        <w:rPr>
          <w:rFonts w:hint="eastAsia" w:ascii="宋体" w:hAnsi="宋体" w:eastAsia="宋体" w:cs="宋体"/>
          <w:b/>
          <w:bCs/>
          <w:color w:val="auto"/>
          <w:sz w:val="28"/>
          <w:szCs w:val="28"/>
          <w:highlight w:val="none"/>
        </w:rPr>
      </w:pPr>
    </w:p>
    <w:p w14:paraId="3C2E9096">
      <w:pPr>
        <w:snapToGrid w:val="0"/>
        <w:spacing w:before="165" w:beforeLines="50" w:after="50"/>
        <w:jc w:val="center"/>
        <w:outlineLvl w:val="1"/>
        <w:rPr>
          <w:rFonts w:hint="eastAsia" w:ascii="宋体" w:hAnsi="宋体" w:eastAsia="宋体" w:cs="宋体"/>
          <w:b/>
          <w:bCs/>
          <w:color w:val="auto"/>
          <w:sz w:val="28"/>
          <w:szCs w:val="28"/>
          <w:highlight w:val="none"/>
        </w:rPr>
      </w:pPr>
    </w:p>
    <w:p w14:paraId="4A635242">
      <w:pPr>
        <w:snapToGrid w:val="0"/>
        <w:spacing w:before="165" w:beforeLines="50" w:after="50"/>
        <w:jc w:val="center"/>
        <w:outlineLvl w:val="1"/>
        <w:rPr>
          <w:rFonts w:hint="eastAsia" w:ascii="宋体" w:hAnsi="宋体" w:eastAsia="宋体" w:cs="宋体"/>
          <w:b/>
          <w:bCs/>
          <w:color w:val="auto"/>
          <w:sz w:val="28"/>
          <w:szCs w:val="28"/>
          <w:highlight w:val="none"/>
        </w:rPr>
      </w:pPr>
    </w:p>
    <w:p w14:paraId="54E6D54F">
      <w:pPr>
        <w:snapToGrid w:val="0"/>
        <w:spacing w:before="165" w:beforeLines="50" w:after="50"/>
        <w:jc w:val="center"/>
        <w:outlineLvl w:val="1"/>
        <w:rPr>
          <w:rFonts w:hint="eastAsia" w:ascii="宋体" w:hAnsi="宋体" w:eastAsia="宋体" w:cs="宋体"/>
          <w:b/>
          <w:bCs/>
          <w:color w:val="auto"/>
          <w:sz w:val="28"/>
          <w:szCs w:val="28"/>
          <w:highlight w:val="none"/>
        </w:rPr>
      </w:pPr>
    </w:p>
    <w:p w14:paraId="7696B214">
      <w:pPr>
        <w:snapToGrid w:val="0"/>
        <w:spacing w:before="165" w:beforeLines="50" w:after="50"/>
        <w:jc w:val="center"/>
        <w:outlineLvl w:val="1"/>
        <w:rPr>
          <w:rFonts w:hint="eastAsia" w:ascii="宋体" w:hAnsi="宋体" w:eastAsia="宋体" w:cs="宋体"/>
          <w:b/>
          <w:bCs/>
          <w:color w:val="auto"/>
          <w:sz w:val="28"/>
          <w:szCs w:val="28"/>
          <w:highlight w:val="none"/>
        </w:rPr>
      </w:pPr>
    </w:p>
    <w:p w14:paraId="2613B66B">
      <w:pPr>
        <w:snapToGrid w:val="0"/>
        <w:spacing w:before="165" w:beforeLines="50" w:after="50"/>
        <w:jc w:val="center"/>
        <w:outlineLvl w:val="1"/>
        <w:rPr>
          <w:rFonts w:hint="eastAsia" w:ascii="宋体" w:hAnsi="宋体" w:eastAsia="宋体" w:cs="宋体"/>
          <w:b/>
          <w:bCs/>
          <w:color w:val="auto"/>
          <w:sz w:val="28"/>
          <w:szCs w:val="28"/>
          <w:highlight w:val="none"/>
        </w:rPr>
      </w:pPr>
    </w:p>
    <w:p w14:paraId="3DDC5ABA">
      <w:pPr>
        <w:pStyle w:val="27"/>
        <w:rPr>
          <w:rFonts w:hint="eastAsia"/>
          <w:color w:val="auto"/>
          <w:highlight w:val="none"/>
        </w:rPr>
      </w:pPr>
    </w:p>
    <w:p w14:paraId="0135EEC7">
      <w:pPr>
        <w:snapToGrid w:val="0"/>
        <w:spacing w:before="165" w:beforeLines="50" w:after="50"/>
        <w:jc w:val="center"/>
        <w:outlineLvl w:val="1"/>
        <w:rPr>
          <w:rFonts w:hint="eastAsia" w:ascii="宋体" w:hAnsi="宋体" w:eastAsia="宋体" w:cs="宋体"/>
          <w:b/>
          <w:bCs/>
          <w:color w:val="auto"/>
          <w:sz w:val="28"/>
          <w:szCs w:val="28"/>
          <w:highlight w:val="none"/>
        </w:rPr>
      </w:pPr>
    </w:p>
    <w:p w14:paraId="4DE8DE61">
      <w:pPr>
        <w:snapToGrid w:val="0"/>
        <w:spacing w:before="165" w:beforeLines="50" w:after="50"/>
        <w:jc w:val="center"/>
        <w:outlineLvl w:val="1"/>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第六节 其他文书、文件格式</w:t>
      </w:r>
      <w:bookmarkEnd w:id="341"/>
      <w:bookmarkEnd w:id="342"/>
      <w:bookmarkEnd w:id="343"/>
    </w:p>
    <w:p w14:paraId="5338254C">
      <w:pPr>
        <w:jc w:val="center"/>
        <w:rPr>
          <w:rFonts w:hint="eastAsia" w:ascii="宋体" w:hAnsi="宋体" w:eastAsia="宋体" w:cs="宋体"/>
          <w:b/>
          <w:bCs/>
          <w:color w:val="auto"/>
          <w:sz w:val="32"/>
          <w:szCs w:val="32"/>
          <w:highlight w:val="none"/>
          <w:lang w:val="en"/>
        </w:rPr>
      </w:pPr>
    </w:p>
    <w:p w14:paraId="279910C1">
      <w:pPr>
        <w:jc w:val="center"/>
        <w:rPr>
          <w:rFonts w:hint="eastAsia" w:ascii="宋体" w:hAnsi="宋体" w:eastAsia="宋体" w:cs="宋体"/>
          <w:b/>
          <w:bCs/>
          <w:color w:val="auto"/>
          <w:sz w:val="32"/>
          <w:szCs w:val="32"/>
          <w:highlight w:val="none"/>
          <w:lang w:val="en"/>
        </w:rPr>
      </w:pPr>
      <w:r>
        <w:rPr>
          <w:rFonts w:hint="eastAsia" w:ascii="宋体" w:hAnsi="宋体" w:eastAsia="宋体" w:cs="宋体"/>
          <w:b/>
          <w:bCs/>
          <w:color w:val="auto"/>
          <w:sz w:val="32"/>
          <w:szCs w:val="32"/>
          <w:highlight w:val="none"/>
          <w:lang w:val="en"/>
        </w:rPr>
        <w:t>知识产权合规性声明</w:t>
      </w:r>
    </w:p>
    <w:p w14:paraId="6368DF09">
      <w:pP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 xml:space="preserve">    </w:t>
      </w:r>
    </w:p>
    <w:p w14:paraId="5FB14C5E">
      <w:pPr>
        <w:rPr>
          <w:rFonts w:hint="eastAsia" w:ascii="宋体" w:hAnsi="宋体" w:eastAsia="宋体" w:cs="宋体"/>
          <w:color w:val="auto"/>
          <w:sz w:val="30"/>
          <w:szCs w:val="30"/>
          <w:highlight w:val="none"/>
          <w:lang w:val="en"/>
        </w:rPr>
      </w:pPr>
      <w:r>
        <w:rPr>
          <w:rFonts w:hint="eastAsia" w:ascii="宋体" w:hAnsi="宋体" w:eastAsia="宋体" w:cs="宋体"/>
          <w:color w:val="auto"/>
          <w:sz w:val="30"/>
          <w:szCs w:val="30"/>
          <w:highlight w:val="none"/>
        </w:rPr>
        <w:t xml:space="preserve">    </w:t>
      </w:r>
      <w:r>
        <w:rPr>
          <w:rFonts w:hint="eastAsia" w:ascii="宋体" w:hAnsi="宋体" w:eastAsia="宋体" w:cs="宋体"/>
          <w:color w:val="auto"/>
          <w:sz w:val="30"/>
          <w:szCs w:val="30"/>
          <w:highlight w:val="none"/>
          <w:lang w:val="en-US" w:eastAsia="zh-CN"/>
        </w:rPr>
        <w:t>本</w:t>
      </w:r>
      <w:r>
        <w:rPr>
          <w:rFonts w:hint="eastAsia" w:ascii="宋体" w:hAnsi="宋体" w:eastAsia="宋体" w:cs="宋体"/>
          <w:color w:val="auto"/>
          <w:sz w:val="30"/>
          <w:szCs w:val="30"/>
          <w:highlight w:val="none"/>
          <w:lang w:val="en"/>
        </w:rPr>
        <w:t>企业自愿参与政府投资政府采购的</w:t>
      </w:r>
      <w:r>
        <w:rPr>
          <w:rFonts w:hint="eastAsia" w:ascii="宋体" w:hAnsi="宋体" w:cs="宋体"/>
          <w:color w:val="auto"/>
          <w:sz w:val="30"/>
          <w:szCs w:val="30"/>
          <w:highlight w:val="none"/>
          <w:u w:val="single"/>
          <w:lang w:val="en-US" w:eastAsia="zh-CN"/>
        </w:rPr>
        <w:t xml:space="preserve">         </w:t>
      </w:r>
      <w:r>
        <w:rPr>
          <w:rFonts w:hint="eastAsia" w:ascii="宋体" w:hAnsi="宋体" w:eastAsia="宋体" w:cs="宋体"/>
          <w:color w:val="auto"/>
          <w:sz w:val="30"/>
          <w:szCs w:val="30"/>
          <w:highlight w:val="none"/>
          <w:lang w:val="en"/>
        </w:rPr>
        <w:t>项目，</w:t>
      </w:r>
      <w:r>
        <w:rPr>
          <w:rFonts w:hint="eastAsia" w:ascii="宋体" w:hAnsi="宋体" w:eastAsia="宋体" w:cs="宋体"/>
          <w:b/>
          <w:bCs/>
          <w:color w:val="auto"/>
          <w:sz w:val="30"/>
          <w:szCs w:val="30"/>
          <w:highlight w:val="none"/>
          <w:lang w:val="en"/>
        </w:rPr>
        <w:t>在此郑重承诺：</w:t>
      </w:r>
      <w:r>
        <w:rPr>
          <w:rFonts w:hint="eastAsia" w:ascii="宋体" w:hAnsi="宋体" w:eastAsia="宋体" w:cs="宋体"/>
          <w:color w:val="auto"/>
          <w:sz w:val="30"/>
          <w:szCs w:val="30"/>
          <w:highlight w:val="none"/>
          <w:lang w:val="en"/>
        </w:rPr>
        <w:t>遵守中国知识产权法律、法规、规章、规范性文件及在中国适用的与知识产权有关的国际公约，所参与项目的知识产权明晰无争议，归属或技术来源正当合法。近三年在知识产权领域不存在违反法律、法规、规章及其他规范性文件的失信行为。所参与的项目不对其他单位及个人的知识产权构成侵权。如经核查确有违反上述承诺应遵守的行为，本企业将承担由此产生的全部责任。</w:t>
      </w:r>
    </w:p>
    <w:p w14:paraId="54D39CC7">
      <w:pPr>
        <w:snapToGrid w:val="0"/>
        <w:spacing w:line="360" w:lineRule="auto"/>
        <w:ind w:left="5137" w:leftChars="1736" w:hanging="1491" w:hangingChars="825"/>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 xml:space="preserve">           </w:t>
      </w:r>
    </w:p>
    <w:p w14:paraId="767CD7C0">
      <w:pPr>
        <w:snapToGrid w:val="0"/>
        <w:spacing w:line="360" w:lineRule="auto"/>
        <w:ind w:left="5137" w:leftChars="1736" w:hanging="1491" w:hangingChars="825"/>
        <w:rPr>
          <w:rFonts w:hint="eastAsia" w:ascii="宋体" w:hAnsi="宋体" w:eastAsia="宋体" w:cs="宋体"/>
          <w:b/>
          <w:color w:val="auto"/>
          <w:sz w:val="18"/>
          <w:szCs w:val="18"/>
          <w:highlight w:val="none"/>
        </w:rPr>
      </w:pPr>
    </w:p>
    <w:p w14:paraId="37CAAB1A">
      <w:pPr>
        <w:snapToGrid w:val="0"/>
        <w:spacing w:line="360" w:lineRule="auto"/>
        <w:ind w:left="5137" w:leftChars="1736" w:hanging="1491" w:hangingChars="825"/>
        <w:rPr>
          <w:rFonts w:hint="eastAsia" w:ascii="宋体" w:hAnsi="宋体" w:eastAsia="宋体" w:cs="宋体"/>
          <w:b/>
          <w:color w:val="auto"/>
          <w:sz w:val="18"/>
          <w:szCs w:val="18"/>
          <w:highlight w:val="none"/>
        </w:rPr>
      </w:pPr>
    </w:p>
    <w:p w14:paraId="0BB0E495">
      <w:pPr>
        <w:snapToGrid w:val="0"/>
        <w:spacing w:line="360" w:lineRule="auto"/>
        <w:ind w:left="5137" w:leftChars="1736" w:hanging="1491" w:hangingChars="825"/>
        <w:rPr>
          <w:rFonts w:hint="eastAsia" w:ascii="宋体" w:hAnsi="宋体" w:eastAsia="宋体" w:cs="宋体"/>
          <w:b/>
          <w:color w:val="auto"/>
          <w:sz w:val="18"/>
          <w:szCs w:val="18"/>
          <w:highlight w:val="none"/>
        </w:rPr>
      </w:pPr>
    </w:p>
    <w:p w14:paraId="42C569C0">
      <w:pPr>
        <w:snapToGrid w:val="0"/>
        <w:spacing w:line="360" w:lineRule="auto"/>
        <w:ind w:left="5137" w:leftChars="1736" w:hanging="1491" w:hangingChars="825"/>
        <w:rPr>
          <w:rFonts w:hint="eastAsia" w:ascii="宋体" w:hAnsi="宋体" w:eastAsia="宋体" w:cs="宋体"/>
          <w:color w:val="auto"/>
          <w:kern w:val="0"/>
          <w:sz w:val="24"/>
          <w:highlight w:val="none"/>
        </w:rPr>
      </w:pPr>
      <w:r>
        <w:rPr>
          <w:rFonts w:hint="eastAsia" w:ascii="宋体" w:hAnsi="宋体" w:eastAsia="宋体" w:cs="宋体"/>
          <w:b/>
          <w:color w:val="auto"/>
          <w:sz w:val="18"/>
          <w:szCs w:val="18"/>
          <w:highlight w:val="none"/>
        </w:rPr>
        <w:t xml:space="preserve">      </w:t>
      </w:r>
      <w:r>
        <w:rPr>
          <w:rFonts w:hint="eastAsia" w:ascii="宋体" w:hAnsi="宋体" w:eastAsia="宋体" w:cs="宋体"/>
          <w:color w:val="auto"/>
          <w:kern w:val="0"/>
          <w:sz w:val="24"/>
          <w:highlight w:val="none"/>
          <w:lang w:val="zh-CN"/>
        </w:rPr>
        <w:t>投标人名称（电子签章）：</w:t>
      </w:r>
    </w:p>
    <w:p w14:paraId="35B93BF1">
      <w:pPr>
        <w:snapToGrid w:val="0"/>
        <w:spacing w:line="360" w:lineRule="auto"/>
        <w:ind w:firstLine="5160" w:firstLineChars="21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63086B5D">
      <w:pPr>
        <w:snapToGrid w:val="0"/>
        <w:spacing w:before="50" w:after="165" w:afterLines="50" w:line="360" w:lineRule="auto"/>
        <w:jc w:val="left"/>
        <w:rPr>
          <w:rFonts w:hint="eastAsia" w:ascii="宋体" w:hAnsi="宋体" w:eastAsia="宋体" w:cs="宋体"/>
          <w:color w:val="auto"/>
          <w:sz w:val="20"/>
          <w:highlight w:val="none"/>
        </w:rPr>
      </w:pPr>
      <w:r>
        <w:rPr>
          <w:rFonts w:hint="eastAsia" w:ascii="宋体" w:hAnsi="宋体" w:eastAsia="宋体" w:cs="宋体"/>
          <w:b/>
          <w:color w:val="auto"/>
          <w:sz w:val="30"/>
          <w:szCs w:val="30"/>
          <w:highlight w:val="none"/>
        </w:rPr>
        <w:br w:type="page"/>
      </w:r>
    </w:p>
    <w:p w14:paraId="2A21148E">
      <w:pPr>
        <w:pStyle w:val="11"/>
        <w:tabs>
          <w:tab w:val="left" w:pos="2472"/>
        </w:tabs>
        <w:spacing w:line="460" w:lineRule="exact"/>
        <w:jc w:val="center"/>
        <w:rPr>
          <w:rFonts w:hint="eastAsia" w:ascii="宋体" w:hAnsi="宋体" w:eastAsia="宋体" w:cs="宋体"/>
          <w:b/>
          <w:color w:val="auto"/>
          <w:sz w:val="36"/>
          <w:highlight w:val="none"/>
        </w:rPr>
      </w:pPr>
    </w:p>
    <w:p w14:paraId="153B1FB7">
      <w:pPr>
        <w:pStyle w:val="11"/>
        <w:tabs>
          <w:tab w:val="left" w:pos="2472"/>
        </w:tabs>
        <w:spacing w:line="460" w:lineRule="exact"/>
        <w:jc w:val="center"/>
        <w:rPr>
          <w:rFonts w:hint="eastAsia" w:ascii="宋体" w:hAnsi="宋体" w:eastAsia="宋体" w:cs="宋体"/>
          <w:b/>
          <w:color w:val="auto"/>
          <w:sz w:val="36"/>
          <w:highlight w:val="none"/>
        </w:rPr>
      </w:pPr>
    </w:p>
    <w:p w14:paraId="6BF4F3FF">
      <w:pPr>
        <w:pStyle w:val="11"/>
        <w:tabs>
          <w:tab w:val="left" w:pos="2472"/>
        </w:tabs>
        <w:spacing w:line="460" w:lineRule="exact"/>
        <w:jc w:val="center"/>
        <w:rPr>
          <w:rFonts w:hint="eastAsia" w:ascii="宋体" w:hAnsi="宋体" w:eastAsia="宋体" w:cs="宋体"/>
          <w:b/>
          <w:color w:val="auto"/>
          <w:sz w:val="36"/>
          <w:highlight w:val="none"/>
        </w:rPr>
      </w:pPr>
    </w:p>
    <w:p w14:paraId="5A9D6BC1">
      <w:pPr>
        <w:pStyle w:val="11"/>
        <w:tabs>
          <w:tab w:val="left" w:pos="2472"/>
        </w:tabs>
        <w:spacing w:line="460" w:lineRule="exact"/>
        <w:jc w:val="center"/>
        <w:rPr>
          <w:rFonts w:hint="eastAsia" w:ascii="宋体" w:hAnsi="宋体" w:eastAsia="宋体" w:cs="宋体"/>
          <w:b/>
          <w:color w:val="auto"/>
          <w:sz w:val="36"/>
          <w:highlight w:val="none"/>
        </w:rPr>
      </w:pPr>
    </w:p>
    <w:p w14:paraId="574D56FE">
      <w:pPr>
        <w:pStyle w:val="11"/>
        <w:tabs>
          <w:tab w:val="left" w:pos="2472"/>
        </w:tabs>
        <w:spacing w:line="460" w:lineRule="exact"/>
        <w:jc w:val="center"/>
        <w:rPr>
          <w:rFonts w:hint="eastAsia" w:ascii="宋体" w:hAnsi="宋体" w:eastAsia="宋体" w:cs="宋体"/>
          <w:b/>
          <w:color w:val="auto"/>
          <w:sz w:val="36"/>
          <w:highlight w:val="none"/>
        </w:rPr>
      </w:pPr>
    </w:p>
    <w:p w14:paraId="4393C695">
      <w:pPr>
        <w:pStyle w:val="11"/>
        <w:tabs>
          <w:tab w:val="left" w:pos="2472"/>
        </w:tabs>
        <w:spacing w:line="460" w:lineRule="exact"/>
        <w:jc w:val="center"/>
        <w:rPr>
          <w:rFonts w:hint="eastAsia" w:ascii="宋体" w:hAnsi="宋体" w:eastAsia="宋体" w:cs="宋体"/>
          <w:b/>
          <w:color w:val="auto"/>
          <w:sz w:val="36"/>
          <w:highlight w:val="none"/>
        </w:rPr>
      </w:pPr>
    </w:p>
    <w:p w14:paraId="234B45FA">
      <w:pPr>
        <w:pStyle w:val="11"/>
        <w:tabs>
          <w:tab w:val="left" w:pos="2472"/>
        </w:tabs>
        <w:spacing w:line="460" w:lineRule="exact"/>
        <w:jc w:val="center"/>
        <w:rPr>
          <w:rFonts w:hint="eastAsia" w:ascii="宋体" w:hAnsi="宋体" w:eastAsia="宋体" w:cs="宋体"/>
          <w:b/>
          <w:color w:val="auto"/>
          <w:sz w:val="36"/>
          <w:highlight w:val="none"/>
        </w:rPr>
      </w:pPr>
    </w:p>
    <w:p w14:paraId="6C30A0AA">
      <w:pPr>
        <w:pStyle w:val="11"/>
        <w:tabs>
          <w:tab w:val="left" w:pos="2472"/>
        </w:tabs>
        <w:spacing w:line="460" w:lineRule="exact"/>
        <w:jc w:val="center"/>
        <w:rPr>
          <w:rFonts w:hint="eastAsia" w:ascii="宋体" w:hAnsi="宋体" w:eastAsia="宋体" w:cs="宋体"/>
          <w:b/>
          <w:color w:val="auto"/>
          <w:sz w:val="36"/>
          <w:highlight w:val="none"/>
        </w:rPr>
      </w:pPr>
    </w:p>
    <w:p w14:paraId="7CCE933F">
      <w:pPr>
        <w:pStyle w:val="11"/>
        <w:tabs>
          <w:tab w:val="left" w:pos="2472"/>
        </w:tabs>
        <w:spacing w:line="460" w:lineRule="exact"/>
        <w:jc w:val="center"/>
        <w:rPr>
          <w:rFonts w:hint="eastAsia" w:ascii="宋体" w:hAnsi="宋体" w:eastAsia="宋体" w:cs="宋体"/>
          <w:b/>
          <w:color w:val="auto"/>
          <w:sz w:val="36"/>
          <w:highlight w:val="none"/>
        </w:rPr>
      </w:pPr>
    </w:p>
    <w:p w14:paraId="545467A4">
      <w:pPr>
        <w:pStyle w:val="11"/>
        <w:tabs>
          <w:tab w:val="left" w:pos="2472"/>
        </w:tabs>
        <w:spacing w:line="460" w:lineRule="exact"/>
        <w:jc w:val="center"/>
        <w:rPr>
          <w:rFonts w:hint="eastAsia" w:ascii="宋体" w:hAnsi="宋体" w:eastAsia="宋体" w:cs="宋体"/>
          <w:b/>
          <w:color w:val="auto"/>
          <w:sz w:val="36"/>
          <w:highlight w:val="none"/>
        </w:rPr>
      </w:pPr>
    </w:p>
    <w:p w14:paraId="2C62176A">
      <w:pPr>
        <w:pStyle w:val="11"/>
        <w:tabs>
          <w:tab w:val="left" w:pos="2472"/>
        </w:tabs>
        <w:spacing w:line="460" w:lineRule="exact"/>
        <w:jc w:val="center"/>
        <w:rPr>
          <w:rFonts w:hint="eastAsia" w:ascii="宋体" w:hAnsi="宋体" w:eastAsia="宋体" w:cs="宋体"/>
          <w:b/>
          <w:color w:val="auto"/>
          <w:sz w:val="36"/>
          <w:highlight w:val="none"/>
        </w:rPr>
      </w:pPr>
    </w:p>
    <w:p w14:paraId="08295CD9">
      <w:pPr>
        <w:pStyle w:val="11"/>
        <w:tabs>
          <w:tab w:val="left" w:pos="2472"/>
        </w:tabs>
        <w:spacing w:line="460" w:lineRule="exact"/>
        <w:jc w:val="center"/>
        <w:outlineLvl w:val="0"/>
        <w:rPr>
          <w:rFonts w:hint="eastAsia" w:ascii="宋体" w:hAnsi="宋体" w:eastAsia="宋体" w:cs="宋体"/>
          <w:b/>
          <w:color w:val="auto"/>
          <w:sz w:val="36"/>
          <w:highlight w:val="none"/>
        </w:rPr>
      </w:pPr>
      <w:bookmarkStart w:id="344" w:name="_Toc11573"/>
      <w:bookmarkStart w:id="345" w:name="_Toc17736"/>
      <w:r>
        <w:rPr>
          <w:rFonts w:hint="eastAsia" w:ascii="宋体" w:hAnsi="宋体" w:eastAsia="宋体" w:cs="宋体"/>
          <w:b/>
          <w:color w:val="auto"/>
          <w:sz w:val="36"/>
          <w:highlight w:val="none"/>
        </w:rPr>
        <w:t>第七章 质疑、投诉证明材料格式</w:t>
      </w:r>
      <w:bookmarkEnd w:id="344"/>
      <w:bookmarkEnd w:id="345"/>
    </w:p>
    <w:p w14:paraId="0FDC6577">
      <w:pPr>
        <w:widowControl/>
        <w:spacing w:line="360" w:lineRule="auto"/>
        <w:jc w:val="left"/>
        <w:rPr>
          <w:rFonts w:hint="eastAsia" w:ascii="宋体" w:hAnsi="宋体" w:eastAsia="宋体" w:cs="宋体"/>
          <w:color w:val="auto"/>
          <w:sz w:val="20"/>
          <w:highlight w:val="none"/>
        </w:rPr>
        <w:sectPr>
          <w:pgSz w:w="11906" w:h="16838"/>
          <w:pgMar w:top="1134" w:right="1134" w:bottom="1134" w:left="1134" w:header="720" w:footer="720" w:gutter="0"/>
          <w:cols w:space="720" w:num="1"/>
          <w:docGrid w:type="lines" w:linePitch="331" w:charSpace="0"/>
        </w:sectPr>
      </w:pPr>
    </w:p>
    <w:p w14:paraId="22E6B7DD">
      <w:pPr>
        <w:widowControl/>
        <w:shd w:val="clear" w:color="auto" w:fill="FFFFFF"/>
        <w:spacing w:line="260" w:lineRule="exact"/>
        <w:jc w:val="left"/>
        <w:rPr>
          <w:rFonts w:hint="eastAsia" w:ascii="宋体" w:hAnsi="宋体" w:eastAsia="宋体" w:cs="宋体"/>
          <w:b/>
          <w:bCs/>
          <w:color w:val="auto"/>
          <w:sz w:val="28"/>
          <w:szCs w:val="28"/>
          <w:highlight w:val="none"/>
        </w:rPr>
      </w:pPr>
    </w:p>
    <w:p w14:paraId="6AE49F6F">
      <w:pPr>
        <w:pStyle w:val="3"/>
        <w:jc w:val="center"/>
        <w:rPr>
          <w:rFonts w:hint="eastAsia" w:ascii="宋体" w:hAnsi="宋体" w:eastAsia="宋体" w:cs="宋体"/>
          <w:b w:val="0"/>
          <w:bCs w:val="0"/>
          <w:color w:val="auto"/>
          <w:highlight w:val="none"/>
        </w:rPr>
      </w:pPr>
      <w:bookmarkStart w:id="346" w:name="_Toc17610"/>
      <w:bookmarkStart w:id="347" w:name="_Toc4880"/>
      <w:r>
        <w:rPr>
          <w:rFonts w:hint="eastAsia" w:ascii="宋体" w:hAnsi="宋体" w:eastAsia="宋体" w:cs="宋体"/>
          <w:b w:val="0"/>
          <w:bCs w:val="0"/>
          <w:color w:val="auto"/>
          <w:highlight w:val="none"/>
        </w:rPr>
        <w:t>第一节 质疑函（格式）</w:t>
      </w:r>
      <w:bookmarkEnd w:id="346"/>
      <w:bookmarkEnd w:id="347"/>
    </w:p>
    <w:p w14:paraId="5584DEDE">
      <w:pPr>
        <w:jc w:val="center"/>
        <w:rPr>
          <w:rFonts w:hint="eastAsia"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rPr>
        <w:t>质疑函范本</w:t>
      </w:r>
    </w:p>
    <w:p w14:paraId="688F0F2C">
      <w:pPr>
        <w:adjustRightInd w:val="0"/>
        <w:snapToGrid w:val="0"/>
        <w:spacing w:before="331" w:beforeLines="100"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一、质疑供应商基本信息</w:t>
      </w:r>
    </w:p>
    <w:p w14:paraId="22FE3FD3">
      <w:pPr>
        <w:adjustRightInd w:val="0"/>
        <w:snapToGrid w:val="0"/>
        <w:spacing w:line="360" w:lineRule="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质疑供应商：</w:t>
      </w:r>
      <w:r>
        <w:rPr>
          <w:rFonts w:hint="eastAsia" w:ascii="宋体" w:hAnsi="宋体" w:eastAsia="宋体" w:cs="宋体"/>
          <w:color w:val="auto"/>
          <w:sz w:val="21"/>
          <w:szCs w:val="21"/>
          <w:highlight w:val="none"/>
          <w:u w:val="dotted"/>
        </w:rPr>
        <w:t xml:space="preserve">                                        </w:t>
      </w:r>
    </w:p>
    <w:p w14:paraId="64C14A56">
      <w:pPr>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邮编：</w:t>
      </w:r>
      <w:r>
        <w:rPr>
          <w:rFonts w:hint="eastAsia" w:ascii="宋体" w:hAnsi="宋体" w:eastAsia="宋体" w:cs="宋体"/>
          <w:color w:val="auto"/>
          <w:sz w:val="21"/>
          <w:szCs w:val="21"/>
          <w:highlight w:val="none"/>
          <w:u w:val="dotted"/>
        </w:rPr>
        <w:t xml:space="preserve">                                                   </w:t>
      </w:r>
    </w:p>
    <w:p w14:paraId="4CB205B9">
      <w:pPr>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dotted"/>
        </w:rPr>
        <w:t xml:space="preserve">                              </w:t>
      </w:r>
    </w:p>
    <w:p w14:paraId="02E22A68">
      <w:pPr>
        <w:adjustRightInd w:val="0"/>
        <w:snapToGrid w:val="0"/>
        <w:spacing w:line="360" w:lineRule="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授权代表：</w:t>
      </w:r>
      <w:r>
        <w:rPr>
          <w:rFonts w:hint="eastAsia" w:ascii="宋体" w:hAnsi="宋体" w:eastAsia="宋体" w:cs="宋体"/>
          <w:color w:val="auto"/>
          <w:sz w:val="21"/>
          <w:szCs w:val="21"/>
          <w:highlight w:val="none"/>
          <w:u w:val="dotted"/>
        </w:rPr>
        <w:t xml:space="preserve">                                          </w:t>
      </w:r>
    </w:p>
    <w:p w14:paraId="10E69EB5">
      <w:pPr>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 xml:space="preserve"> </w:t>
      </w:r>
    </w:p>
    <w:p w14:paraId="00A781D8">
      <w:pPr>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地址： </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邮编：</w:t>
      </w:r>
      <w:r>
        <w:rPr>
          <w:rFonts w:hint="eastAsia" w:ascii="宋体" w:hAnsi="宋体" w:eastAsia="宋体" w:cs="宋体"/>
          <w:color w:val="auto"/>
          <w:sz w:val="21"/>
          <w:szCs w:val="21"/>
          <w:highlight w:val="none"/>
          <w:u w:val="dotted"/>
        </w:rPr>
        <w:t xml:space="preserve">                                                </w:t>
      </w:r>
    </w:p>
    <w:p w14:paraId="30914F6E">
      <w:pPr>
        <w:adjustRightInd w:val="0"/>
        <w:snapToGrid w:val="0"/>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二、质疑项目基本情况</w:t>
      </w:r>
    </w:p>
    <w:p w14:paraId="3FEC5CB5">
      <w:pPr>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质疑项目的名称：</w:t>
      </w:r>
      <w:r>
        <w:rPr>
          <w:rFonts w:hint="eastAsia" w:ascii="宋体" w:hAnsi="宋体" w:eastAsia="宋体" w:cs="宋体"/>
          <w:color w:val="auto"/>
          <w:sz w:val="21"/>
          <w:szCs w:val="21"/>
          <w:highlight w:val="none"/>
          <w:u w:val="dotted"/>
        </w:rPr>
        <w:t xml:space="preserve">             </w:t>
      </w:r>
    </w:p>
    <w:p w14:paraId="49EC1233">
      <w:pPr>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质疑项目的编号：</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包号：</w:t>
      </w:r>
      <w:r>
        <w:rPr>
          <w:rFonts w:hint="eastAsia" w:ascii="宋体" w:hAnsi="宋体" w:eastAsia="宋体" w:cs="宋体"/>
          <w:color w:val="auto"/>
          <w:sz w:val="21"/>
          <w:szCs w:val="21"/>
          <w:highlight w:val="none"/>
          <w:u w:val="dotted"/>
        </w:rPr>
        <w:t xml:space="preserve">                 </w:t>
      </w:r>
    </w:p>
    <w:p w14:paraId="41BA2912">
      <w:pPr>
        <w:adjustRightInd w:val="0"/>
        <w:snapToGrid w:val="0"/>
        <w:spacing w:line="360" w:lineRule="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采购人名称：</w:t>
      </w:r>
      <w:r>
        <w:rPr>
          <w:rFonts w:hint="eastAsia" w:ascii="宋体" w:hAnsi="宋体" w:eastAsia="宋体" w:cs="宋体"/>
          <w:color w:val="auto"/>
          <w:sz w:val="21"/>
          <w:szCs w:val="21"/>
          <w:highlight w:val="none"/>
          <w:u w:val="dotted"/>
        </w:rPr>
        <w:t xml:space="preserve">            </w:t>
      </w:r>
    </w:p>
    <w:p w14:paraId="0331E4C5">
      <w:pPr>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采购文件获取日期：</w:t>
      </w:r>
      <w:r>
        <w:rPr>
          <w:rFonts w:hint="eastAsia" w:ascii="宋体" w:hAnsi="宋体" w:eastAsia="宋体" w:cs="宋体"/>
          <w:color w:val="auto"/>
          <w:sz w:val="21"/>
          <w:szCs w:val="21"/>
          <w:highlight w:val="none"/>
          <w:u w:val="dotted"/>
        </w:rPr>
        <w:t xml:space="preserve">                                           </w:t>
      </w:r>
    </w:p>
    <w:p w14:paraId="63CCFC0C">
      <w:pPr>
        <w:adjustRightInd w:val="0"/>
        <w:snapToGrid w:val="0"/>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三、质疑事项具体内容</w:t>
      </w:r>
    </w:p>
    <w:p w14:paraId="47B049AC">
      <w:pPr>
        <w:adjustRightInd w:val="0"/>
        <w:snapToGrid w:val="0"/>
        <w:spacing w:line="360" w:lineRule="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质疑事项1：</w:t>
      </w:r>
      <w:r>
        <w:rPr>
          <w:rFonts w:hint="eastAsia" w:ascii="宋体" w:hAnsi="宋体" w:eastAsia="宋体" w:cs="宋体"/>
          <w:color w:val="auto"/>
          <w:sz w:val="21"/>
          <w:szCs w:val="21"/>
          <w:highlight w:val="none"/>
          <w:u w:val="dotted"/>
        </w:rPr>
        <w:t xml:space="preserve">                                         </w:t>
      </w:r>
    </w:p>
    <w:p w14:paraId="5C023C5C">
      <w:pPr>
        <w:adjustRightInd w:val="0"/>
        <w:snapToGrid w:val="0"/>
        <w:spacing w:line="360" w:lineRule="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事实依据：</w:t>
      </w:r>
      <w:r>
        <w:rPr>
          <w:rFonts w:hint="eastAsia" w:ascii="宋体" w:hAnsi="宋体" w:eastAsia="宋体" w:cs="宋体"/>
          <w:color w:val="auto"/>
          <w:sz w:val="21"/>
          <w:szCs w:val="21"/>
          <w:highlight w:val="none"/>
          <w:u w:val="dotted"/>
        </w:rPr>
        <w:t xml:space="preserve">                                          </w:t>
      </w:r>
    </w:p>
    <w:p w14:paraId="356A2533">
      <w:pPr>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dotted"/>
        </w:rPr>
        <w:t xml:space="preserve">                                                       </w:t>
      </w:r>
    </w:p>
    <w:p w14:paraId="14BCADD4">
      <w:pPr>
        <w:adjustRightInd w:val="0"/>
        <w:snapToGrid w:val="0"/>
        <w:spacing w:line="360" w:lineRule="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法律依据：</w:t>
      </w:r>
      <w:r>
        <w:rPr>
          <w:rFonts w:hint="eastAsia" w:ascii="宋体" w:hAnsi="宋体" w:eastAsia="宋体" w:cs="宋体"/>
          <w:color w:val="auto"/>
          <w:sz w:val="21"/>
          <w:szCs w:val="21"/>
          <w:highlight w:val="none"/>
          <w:u w:val="dotted"/>
        </w:rPr>
        <w:t xml:space="preserve">                                          </w:t>
      </w:r>
    </w:p>
    <w:p w14:paraId="564BD763">
      <w:pPr>
        <w:adjustRightInd w:val="0"/>
        <w:snapToGrid w:val="0"/>
        <w:spacing w:line="360" w:lineRule="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u w:val="dotted"/>
        </w:rPr>
        <w:t xml:space="preserve">                                                     </w:t>
      </w:r>
    </w:p>
    <w:p w14:paraId="2A0568D7">
      <w:pPr>
        <w:adjustRightInd w:val="0"/>
        <w:snapToGrid w:val="0"/>
        <w:spacing w:line="360" w:lineRule="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质疑事项2</w:t>
      </w:r>
    </w:p>
    <w:p w14:paraId="1660FE75">
      <w:pPr>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p w14:paraId="7DCABA47">
      <w:pPr>
        <w:adjustRightInd w:val="0"/>
        <w:snapToGrid w:val="0"/>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四、与质疑事项相关的质疑请求</w:t>
      </w:r>
    </w:p>
    <w:p w14:paraId="4E48E430">
      <w:pPr>
        <w:adjustRightInd w:val="0"/>
        <w:snapToGrid w:val="0"/>
        <w:spacing w:line="360" w:lineRule="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请求：</w:t>
      </w:r>
      <w:r>
        <w:rPr>
          <w:rFonts w:hint="eastAsia" w:ascii="宋体" w:hAnsi="宋体" w:eastAsia="宋体" w:cs="宋体"/>
          <w:color w:val="auto"/>
          <w:sz w:val="21"/>
          <w:szCs w:val="21"/>
          <w:highlight w:val="none"/>
          <w:u w:val="dotted"/>
        </w:rPr>
        <w:t xml:space="preserve">                                               </w:t>
      </w:r>
    </w:p>
    <w:p w14:paraId="0A66D07F">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签字</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签章</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                   公章：                      </w:t>
      </w:r>
    </w:p>
    <w:p w14:paraId="148ACCD8">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日期：    </w:t>
      </w:r>
    </w:p>
    <w:p w14:paraId="20DED2AB">
      <w:pPr>
        <w:adjustRightInd w:val="0"/>
        <w:snapToGrid w:val="0"/>
        <w:spacing w:line="360" w:lineRule="auto"/>
        <w:rPr>
          <w:rFonts w:hint="eastAsia" w:ascii="宋体" w:hAnsi="宋体" w:eastAsia="宋体" w:cs="宋体"/>
          <w:color w:val="auto"/>
          <w:sz w:val="21"/>
          <w:szCs w:val="21"/>
          <w:highlight w:val="none"/>
        </w:rPr>
      </w:pPr>
    </w:p>
    <w:p w14:paraId="5907B8FF">
      <w:pPr>
        <w:adjustRightInd w:val="0"/>
        <w:snapToGrid w:val="0"/>
        <w:spacing w:line="360" w:lineRule="auto"/>
        <w:rPr>
          <w:rFonts w:hint="eastAsia" w:ascii="宋体" w:hAnsi="宋体" w:eastAsia="宋体" w:cs="宋体"/>
          <w:color w:val="auto"/>
          <w:sz w:val="21"/>
          <w:szCs w:val="21"/>
          <w:highlight w:val="none"/>
        </w:rPr>
      </w:pPr>
    </w:p>
    <w:p w14:paraId="25E82E51">
      <w:pPr>
        <w:jc w:val="center"/>
        <w:rPr>
          <w:rFonts w:hint="eastAsia" w:ascii="宋体" w:hAnsi="宋体" w:eastAsia="宋体" w:cs="宋体"/>
          <w:b/>
          <w:bCs/>
          <w:color w:val="auto"/>
          <w:sz w:val="21"/>
          <w:szCs w:val="21"/>
          <w:highlight w:val="none"/>
        </w:rPr>
      </w:pPr>
    </w:p>
    <w:p w14:paraId="19096D9B">
      <w:pPr>
        <w:jc w:val="center"/>
        <w:rPr>
          <w:rFonts w:hint="eastAsia" w:ascii="宋体" w:hAnsi="宋体" w:eastAsia="宋体" w:cs="宋体"/>
          <w:b/>
          <w:bCs/>
          <w:color w:val="auto"/>
          <w:sz w:val="21"/>
          <w:szCs w:val="21"/>
          <w:highlight w:val="none"/>
        </w:rPr>
      </w:pPr>
    </w:p>
    <w:p w14:paraId="09EA6C77">
      <w:pPr>
        <w:jc w:val="center"/>
        <w:rPr>
          <w:rFonts w:hint="eastAsia" w:ascii="宋体" w:hAnsi="宋体" w:eastAsia="宋体" w:cs="宋体"/>
          <w:b/>
          <w:bCs/>
          <w:color w:val="auto"/>
          <w:sz w:val="21"/>
          <w:szCs w:val="21"/>
          <w:highlight w:val="none"/>
        </w:rPr>
      </w:pPr>
    </w:p>
    <w:p w14:paraId="562895BD">
      <w:pPr>
        <w:jc w:val="center"/>
        <w:rPr>
          <w:rFonts w:hint="eastAsia" w:ascii="宋体" w:hAnsi="宋体" w:eastAsia="宋体" w:cs="宋体"/>
          <w:b/>
          <w:bCs/>
          <w:color w:val="auto"/>
          <w:sz w:val="21"/>
          <w:szCs w:val="21"/>
          <w:highlight w:val="none"/>
        </w:rPr>
      </w:pPr>
    </w:p>
    <w:p w14:paraId="24E336F9">
      <w:pPr>
        <w:jc w:val="center"/>
        <w:rPr>
          <w:rFonts w:hint="eastAsia" w:ascii="宋体" w:hAnsi="宋体" w:eastAsia="宋体" w:cs="宋体"/>
          <w:b/>
          <w:bCs/>
          <w:color w:val="auto"/>
          <w:sz w:val="21"/>
          <w:szCs w:val="21"/>
          <w:highlight w:val="none"/>
        </w:rPr>
      </w:pPr>
    </w:p>
    <w:p w14:paraId="043788F0">
      <w:pP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质疑函制作说明：</w:t>
      </w:r>
    </w:p>
    <w:p w14:paraId="29B2F4DC">
      <w:pPr>
        <w:widowControl/>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1.供应商提出质疑时，应提交质疑函和必要的证明材料。</w:t>
      </w:r>
    </w:p>
    <w:p w14:paraId="03D685AB">
      <w:pPr>
        <w:widowControl/>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2.质疑供应商若委托代理人进行质疑的，质疑函应按要求列明“授权代表”的有关内容，并在附件中提交由质疑</w:t>
      </w:r>
      <w:r>
        <w:rPr>
          <w:rFonts w:hint="eastAsia" w:ascii="宋体" w:hAnsi="宋体" w:eastAsia="宋体" w:cs="宋体"/>
          <w:color w:val="auto"/>
          <w:kern w:val="0"/>
          <w:sz w:val="21"/>
          <w:szCs w:val="21"/>
          <w:highlight w:val="none"/>
        </w:rPr>
        <w:t>供应商签署的授权委托书。授权委托书应载明代理人的姓名或者名称、代理事项、具体权限、期限和相关事项。</w:t>
      </w:r>
    </w:p>
    <w:p w14:paraId="2F4682BF">
      <w:pPr>
        <w:widowControl/>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3.质疑供应商若对项目的某一分包进行质疑，质疑函中应列明具体分包号。</w:t>
      </w:r>
    </w:p>
    <w:p w14:paraId="42B2B0F2">
      <w:pPr>
        <w:widowControl/>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4.质疑函的质疑事项应具体、明确，并有必要的事实依据和法律依据。</w:t>
      </w:r>
    </w:p>
    <w:p w14:paraId="7AD399D8">
      <w:pPr>
        <w:widowControl/>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5.质疑函的质疑请求应与质疑事项相关。</w:t>
      </w:r>
    </w:p>
    <w:p w14:paraId="3C213297">
      <w:pPr>
        <w:widowControl/>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6.质疑供应商为自然人的，质疑函应由本人签字；质疑供应商为法人或者其他组织的，质疑函应由法定代表人、主要负责人，或者其授权代表签字或者盖章，并加盖公章。</w:t>
      </w:r>
    </w:p>
    <w:p w14:paraId="56346FB2">
      <w:pPr>
        <w:widowControl/>
        <w:ind w:firstLine="600" w:firstLineChars="200"/>
        <w:jc w:val="left"/>
        <w:rPr>
          <w:rFonts w:hint="eastAsia" w:ascii="宋体" w:hAnsi="宋体" w:eastAsia="宋体" w:cs="宋体"/>
          <w:color w:val="auto"/>
          <w:sz w:val="30"/>
          <w:szCs w:val="30"/>
          <w:highlight w:val="none"/>
        </w:rPr>
      </w:pPr>
    </w:p>
    <w:p w14:paraId="41BBDA0F">
      <w:pPr>
        <w:widowControl/>
        <w:spacing w:line="360" w:lineRule="auto"/>
        <w:jc w:val="left"/>
        <w:rPr>
          <w:rFonts w:hint="eastAsia" w:ascii="宋体" w:hAnsi="宋体" w:eastAsia="宋体" w:cs="宋体"/>
          <w:color w:val="auto"/>
          <w:kern w:val="0"/>
          <w:sz w:val="24"/>
          <w:highlight w:val="none"/>
        </w:rPr>
        <w:sectPr>
          <w:pgSz w:w="11906" w:h="16838"/>
          <w:pgMar w:top="1134" w:right="1134" w:bottom="1134" w:left="1134" w:header="720" w:footer="720" w:gutter="0"/>
          <w:cols w:space="720" w:num="1"/>
          <w:docGrid w:type="lines" w:linePitch="331" w:charSpace="0"/>
        </w:sectPr>
      </w:pPr>
    </w:p>
    <w:p w14:paraId="20E79A7D">
      <w:pPr>
        <w:pStyle w:val="3"/>
        <w:jc w:val="center"/>
        <w:rPr>
          <w:rFonts w:hint="eastAsia" w:ascii="宋体" w:hAnsi="宋体" w:eastAsia="宋体" w:cs="宋体"/>
          <w:b w:val="0"/>
          <w:bCs w:val="0"/>
          <w:color w:val="auto"/>
          <w:highlight w:val="none"/>
        </w:rPr>
      </w:pPr>
      <w:bookmarkStart w:id="348" w:name="_Toc19849"/>
      <w:bookmarkStart w:id="349" w:name="_Toc11428"/>
      <w:r>
        <w:rPr>
          <w:rFonts w:hint="eastAsia" w:ascii="宋体" w:hAnsi="宋体" w:eastAsia="宋体" w:cs="宋体"/>
          <w:b w:val="0"/>
          <w:bCs w:val="0"/>
          <w:color w:val="auto"/>
          <w:highlight w:val="none"/>
        </w:rPr>
        <w:t>第二节 投诉书（格式）</w:t>
      </w:r>
      <w:bookmarkEnd w:id="348"/>
      <w:bookmarkEnd w:id="349"/>
    </w:p>
    <w:p w14:paraId="73BAA74D">
      <w:pPr>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投诉书范本</w:t>
      </w:r>
    </w:p>
    <w:p w14:paraId="29B86C79">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一、投诉相关主体基本情况</w:t>
      </w:r>
    </w:p>
    <w:p w14:paraId="4A52E3B6">
      <w:pPr>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投诉人：</w:t>
      </w:r>
      <w:r>
        <w:rPr>
          <w:rFonts w:hint="eastAsia" w:ascii="宋体" w:hAnsi="宋体" w:eastAsia="宋体" w:cs="宋体"/>
          <w:color w:val="auto"/>
          <w:sz w:val="21"/>
          <w:szCs w:val="21"/>
          <w:highlight w:val="none"/>
          <w:u w:val="dotted"/>
        </w:rPr>
        <w:t xml:space="preserve">                                               </w:t>
      </w:r>
    </w:p>
    <w:p w14:paraId="7ABDAEAC">
      <w:pPr>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地     址：</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邮编：</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u w:val="single"/>
        </w:rPr>
        <w:t xml:space="preserve">   </w:t>
      </w:r>
    </w:p>
    <w:p w14:paraId="65770C1D">
      <w:pPr>
        <w:tabs>
          <w:tab w:val="left" w:pos="6510"/>
        </w:tabs>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法定代表人/主要负责人：</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 xml:space="preserve">  </w:t>
      </w:r>
    </w:p>
    <w:p w14:paraId="4E500DBB">
      <w:pPr>
        <w:tabs>
          <w:tab w:val="left" w:pos="6510"/>
        </w:tabs>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dotted"/>
        </w:rPr>
        <w:t xml:space="preserve">                                             </w:t>
      </w:r>
    </w:p>
    <w:p w14:paraId="4F583991">
      <w:pPr>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授权代表：</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dotted"/>
        </w:rPr>
        <w:t xml:space="preserve">：                  </w:t>
      </w:r>
    </w:p>
    <w:p w14:paraId="6A43C76A">
      <w:pPr>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地     址：</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邮编：</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dotted"/>
        </w:rPr>
        <w:t xml:space="preserve">                   </w:t>
      </w:r>
    </w:p>
    <w:p w14:paraId="22318BE9">
      <w:pPr>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被投诉人1：</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u w:val="single"/>
        </w:rPr>
        <w:t xml:space="preserve">  </w:t>
      </w:r>
    </w:p>
    <w:p w14:paraId="735C3F2B">
      <w:pPr>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地     址：</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邮编：</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u w:val="single"/>
        </w:rPr>
        <w:t xml:space="preserve"> </w:t>
      </w:r>
    </w:p>
    <w:p w14:paraId="57511229">
      <w:pPr>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u w:val="single"/>
        </w:rPr>
        <w:t xml:space="preserve"> </w:t>
      </w:r>
    </w:p>
    <w:p w14:paraId="45289C70">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被投诉人2</w:t>
      </w:r>
    </w:p>
    <w:p w14:paraId="05450032">
      <w:pPr>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w:t>
      </w:r>
    </w:p>
    <w:p w14:paraId="05F964F4">
      <w:pPr>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相关供应商：</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u w:val="single"/>
        </w:rPr>
        <w:t xml:space="preserve">    </w:t>
      </w:r>
    </w:p>
    <w:p w14:paraId="166D8F0C">
      <w:pPr>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地     址：</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邮编：</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u w:val="single"/>
        </w:rPr>
        <w:t xml:space="preserve"> </w:t>
      </w:r>
    </w:p>
    <w:p w14:paraId="6A1A7017">
      <w:pPr>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u w:val="single"/>
        </w:rPr>
        <w:t xml:space="preserve">      </w:t>
      </w:r>
    </w:p>
    <w:p w14:paraId="00ED8C4F">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二、投诉项目基本情况</w:t>
      </w:r>
    </w:p>
    <w:p w14:paraId="0ADD6346">
      <w:pPr>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采购项目名称：</w:t>
      </w:r>
      <w:r>
        <w:rPr>
          <w:rFonts w:hint="eastAsia" w:ascii="宋体" w:hAnsi="宋体" w:eastAsia="宋体" w:cs="宋体"/>
          <w:color w:val="auto"/>
          <w:sz w:val="21"/>
          <w:szCs w:val="21"/>
          <w:highlight w:val="none"/>
          <w:u w:val="dotted"/>
        </w:rPr>
        <w:t xml:space="preserve">         </w:t>
      </w:r>
    </w:p>
    <w:p w14:paraId="6CB88781">
      <w:pPr>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采购项目编号：</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包号：</w:t>
      </w:r>
      <w:r>
        <w:rPr>
          <w:rFonts w:hint="eastAsia" w:ascii="宋体" w:hAnsi="宋体" w:eastAsia="宋体" w:cs="宋体"/>
          <w:color w:val="auto"/>
          <w:sz w:val="21"/>
          <w:szCs w:val="21"/>
          <w:highlight w:val="none"/>
          <w:u w:val="dotted"/>
        </w:rPr>
        <w:t xml:space="preserve">              </w:t>
      </w:r>
    </w:p>
    <w:p w14:paraId="741D1A11">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采购人名称：</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u w:val="single"/>
        </w:rPr>
        <w:t xml:space="preserve">  </w:t>
      </w:r>
    </w:p>
    <w:p w14:paraId="3DD53EEA">
      <w:pPr>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代理机构名称：</w:t>
      </w:r>
      <w:r>
        <w:rPr>
          <w:rFonts w:hint="eastAsia" w:ascii="宋体" w:hAnsi="宋体" w:eastAsia="宋体" w:cs="宋体"/>
          <w:color w:val="auto"/>
          <w:sz w:val="21"/>
          <w:szCs w:val="21"/>
          <w:highlight w:val="none"/>
          <w:u w:val="dotted"/>
        </w:rPr>
        <w:t xml:space="preserve">                                         </w:t>
      </w:r>
    </w:p>
    <w:p w14:paraId="2736A960">
      <w:pPr>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采购文件公告</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u w:val="dotted"/>
        </w:rPr>
        <w:t xml:space="preserve">是/否 </w:t>
      </w:r>
      <w:r>
        <w:rPr>
          <w:rFonts w:hint="eastAsia" w:ascii="宋体" w:hAnsi="宋体" w:eastAsia="宋体" w:cs="宋体"/>
          <w:color w:val="auto"/>
          <w:sz w:val="21"/>
          <w:szCs w:val="21"/>
          <w:highlight w:val="none"/>
        </w:rPr>
        <w:t>公告期限：</w:t>
      </w:r>
      <w:r>
        <w:rPr>
          <w:rFonts w:hint="eastAsia" w:ascii="宋体" w:hAnsi="宋体" w:eastAsia="宋体" w:cs="宋体"/>
          <w:color w:val="auto"/>
          <w:sz w:val="21"/>
          <w:szCs w:val="21"/>
          <w:highlight w:val="none"/>
          <w:u w:val="dotted"/>
        </w:rPr>
        <w:t xml:space="preserve">                                 </w:t>
      </w:r>
    </w:p>
    <w:p w14:paraId="23624814">
      <w:pPr>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采购结果公告</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u w:val="dotted"/>
        </w:rPr>
        <w:t xml:space="preserve">是/否 </w:t>
      </w:r>
      <w:r>
        <w:rPr>
          <w:rFonts w:hint="eastAsia" w:ascii="宋体" w:hAnsi="宋体" w:eastAsia="宋体" w:cs="宋体"/>
          <w:color w:val="auto"/>
          <w:sz w:val="21"/>
          <w:szCs w:val="21"/>
          <w:highlight w:val="none"/>
        </w:rPr>
        <w:t>公告期限：</w:t>
      </w:r>
      <w:r>
        <w:rPr>
          <w:rFonts w:hint="eastAsia" w:ascii="宋体" w:hAnsi="宋体" w:eastAsia="宋体" w:cs="宋体"/>
          <w:color w:val="auto"/>
          <w:sz w:val="21"/>
          <w:szCs w:val="21"/>
          <w:highlight w:val="none"/>
          <w:u w:val="dotted"/>
        </w:rPr>
        <w:t xml:space="preserve">                        </w:t>
      </w:r>
    </w:p>
    <w:p w14:paraId="3DCD98DC">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三、质疑基本情况</w:t>
      </w:r>
    </w:p>
    <w:p w14:paraId="0B5AA914">
      <w:pPr>
        <w:ind w:firstLine="420" w:firstLineChars="200"/>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投诉人于</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日,向</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提出质疑，质疑事项为：</w:t>
      </w:r>
      <w:r>
        <w:rPr>
          <w:rFonts w:hint="eastAsia" w:ascii="宋体" w:hAnsi="宋体" w:eastAsia="宋体" w:cs="宋体"/>
          <w:color w:val="auto"/>
          <w:sz w:val="21"/>
          <w:szCs w:val="21"/>
          <w:highlight w:val="none"/>
          <w:u w:val="dotted"/>
        </w:rPr>
        <w:t xml:space="preserve">                                </w:t>
      </w:r>
    </w:p>
    <w:p w14:paraId="49606805">
      <w:pPr>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 xml:space="preserve">  </w:t>
      </w:r>
    </w:p>
    <w:p w14:paraId="392D486F">
      <w:pPr>
        <w:ind w:firstLine="315"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dotted"/>
        </w:rPr>
        <w:t>采购人/代理机构</w:t>
      </w:r>
      <w:r>
        <w:rPr>
          <w:rFonts w:hint="eastAsia" w:ascii="宋体" w:hAnsi="宋体" w:eastAsia="宋体" w:cs="宋体"/>
          <w:color w:val="auto"/>
          <w:sz w:val="21"/>
          <w:szCs w:val="21"/>
          <w:highlight w:val="none"/>
        </w:rPr>
        <w:t>于</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日,就质疑事项作出了答复/没有在法定期限内作出答复。</w:t>
      </w:r>
    </w:p>
    <w:p w14:paraId="3DF1AF99">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四、投诉事项具体内容</w:t>
      </w:r>
    </w:p>
    <w:p w14:paraId="346409CD">
      <w:pPr>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投诉事项 1：</w:t>
      </w:r>
      <w:r>
        <w:rPr>
          <w:rFonts w:hint="eastAsia" w:ascii="宋体" w:hAnsi="宋体" w:eastAsia="宋体" w:cs="宋体"/>
          <w:color w:val="auto"/>
          <w:sz w:val="21"/>
          <w:szCs w:val="21"/>
          <w:highlight w:val="none"/>
          <w:u w:val="dotted"/>
        </w:rPr>
        <w:t xml:space="preserve">                                       </w:t>
      </w:r>
    </w:p>
    <w:p w14:paraId="5E3831AB">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事实依据：</w:t>
      </w:r>
      <w:r>
        <w:rPr>
          <w:rFonts w:hint="eastAsia" w:ascii="宋体" w:hAnsi="宋体" w:eastAsia="宋体" w:cs="宋体"/>
          <w:color w:val="auto"/>
          <w:sz w:val="21"/>
          <w:szCs w:val="21"/>
          <w:highlight w:val="none"/>
          <w:u w:val="dotted"/>
        </w:rPr>
        <w:t xml:space="preserve">                                         </w:t>
      </w:r>
    </w:p>
    <w:p w14:paraId="7B016E52">
      <w:pPr>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u w:val="dotted"/>
        </w:rPr>
        <w:t xml:space="preserve">                                                      </w:t>
      </w:r>
    </w:p>
    <w:p w14:paraId="7DAFAE87">
      <w:pPr>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法律依据：</w:t>
      </w:r>
      <w:r>
        <w:rPr>
          <w:rFonts w:hint="eastAsia" w:ascii="宋体" w:hAnsi="宋体" w:eastAsia="宋体" w:cs="宋体"/>
          <w:color w:val="auto"/>
          <w:sz w:val="21"/>
          <w:szCs w:val="21"/>
          <w:highlight w:val="none"/>
          <w:u w:val="dotted"/>
        </w:rPr>
        <w:t xml:space="preserve">                                          </w:t>
      </w:r>
    </w:p>
    <w:p w14:paraId="2366CDF2">
      <w:pPr>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u w:val="dotted"/>
        </w:rPr>
        <w:t xml:space="preserve">                                                      </w:t>
      </w:r>
    </w:p>
    <w:p w14:paraId="213EADE6">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投诉事项2</w:t>
      </w:r>
    </w:p>
    <w:p w14:paraId="457CCED8">
      <w:pPr>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w:t>
      </w:r>
    </w:p>
    <w:p w14:paraId="00051130">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五、与投诉事项相关的投诉请求</w:t>
      </w:r>
    </w:p>
    <w:p w14:paraId="5D200DA2">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请求：</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 xml:space="preserve"> </w:t>
      </w:r>
    </w:p>
    <w:p w14:paraId="7874BD42">
      <w:pPr>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 xml:space="preserve">                                                                                                    </w:t>
      </w:r>
    </w:p>
    <w:p w14:paraId="0061D595">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签字</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签章</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                   公章：                      </w:t>
      </w:r>
    </w:p>
    <w:p w14:paraId="05AAE128">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日期：    </w:t>
      </w:r>
    </w:p>
    <w:p w14:paraId="6A38BE50">
      <w:pPr>
        <w:rPr>
          <w:rFonts w:hint="eastAsia" w:ascii="宋体" w:hAnsi="宋体" w:eastAsia="宋体" w:cs="宋体"/>
          <w:b/>
          <w:color w:val="auto"/>
          <w:sz w:val="21"/>
          <w:szCs w:val="21"/>
          <w:highlight w:val="none"/>
        </w:rPr>
      </w:pPr>
    </w:p>
    <w:p w14:paraId="3A432246">
      <w:pP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投诉书制作说明：</w:t>
      </w:r>
    </w:p>
    <w:p w14:paraId="6C36E8C5">
      <w:pPr>
        <w:widowControl/>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1.投诉人提起投诉时，应当提交投诉书和必要的证明材料，并按照被投诉人和与投诉事项有关的供应商数量提供投诉书副本。</w:t>
      </w:r>
    </w:p>
    <w:p w14:paraId="465DA1D3">
      <w:pPr>
        <w:widowControl/>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2.投诉人若委托代理人进行投诉的，投诉书应按照要求列明“授权代表”的有关内容，并在附件中提交由</w:t>
      </w:r>
      <w:r>
        <w:rPr>
          <w:rFonts w:hint="eastAsia" w:ascii="宋体" w:hAnsi="宋体" w:eastAsia="宋体" w:cs="宋体"/>
          <w:color w:val="auto"/>
          <w:kern w:val="0"/>
          <w:sz w:val="21"/>
          <w:szCs w:val="21"/>
          <w:highlight w:val="none"/>
        </w:rPr>
        <w:t>投诉人签署的授权委托书。授权委托书应当载明代理人的姓名或者名称、代理事项、具体权限、期限和相关事项。</w:t>
      </w:r>
    </w:p>
    <w:p w14:paraId="0E75E209">
      <w:pPr>
        <w:widowControl/>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3.投诉人若对项目的某一分包进行投诉，投诉书应列明具体分包号。</w:t>
      </w:r>
    </w:p>
    <w:p w14:paraId="576458F0">
      <w:pPr>
        <w:widowControl/>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4.投诉书应简要列明质疑事项，质疑函、质疑答复等作为附件材料提供。</w:t>
      </w:r>
    </w:p>
    <w:p w14:paraId="659164B0">
      <w:pPr>
        <w:widowControl/>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5.投诉书的投诉事项应具体、明确，并有必要的事实依据和法律依据。</w:t>
      </w:r>
    </w:p>
    <w:p w14:paraId="2C507A25">
      <w:pPr>
        <w:widowControl/>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6.投诉书的投诉请求应与投诉事项相关。</w:t>
      </w:r>
    </w:p>
    <w:p w14:paraId="52FC31DE">
      <w:pPr>
        <w:widowControl/>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7.投诉人为自然人的，投诉书应当由本人签字；投诉人为法人或者其他组织的，投诉书应当由法定代表人、主要负责人，或者其授权代表签字或者盖章，并加盖公章。</w:t>
      </w:r>
    </w:p>
    <w:p w14:paraId="0A374881">
      <w:pPr>
        <w:snapToGrid w:val="0"/>
        <w:spacing w:before="50" w:after="165" w:afterLines="50" w:line="360" w:lineRule="auto"/>
        <w:ind w:firstLine="420" w:firstLineChars="200"/>
        <w:jc w:val="left"/>
        <w:rPr>
          <w:rFonts w:hint="eastAsia" w:ascii="宋体" w:hAnsi="宋体" w:eastAsia="宋体" w:cs="宋体"/>
          <w:color w:val="auto"/>
          <w:sz w:val="21"/>
          <w:szCs w:val="21"/>
          <w:highlight w:val="none"/>
        </w:rPr>
      </w:pPr>
    </w:p>
    <w:p w14:paraId="30A7812C">
      <w:pPr>
        <w:rPr>
          <w:rFonts w:hint="eastAsia" w:ascii="宋体" w:hAnsi="宋体" w:eastAsia="宋体" w:cs="宋体"/>
          <w:color w:val="auto"/>
          <w:highlight w:val="none"/>
        </w:rPr>
      </w:pPr>
    </w:p>
    <w:p w14:paraId="391E8D7E">
      <w:pPr>
        <w:rPr>
          <w:rFonts w:hint="eastAsia" w:ascii="宋体" w:hAnsi="宋体" w:eastAsia="宋体" w:cs="宋体"/>
          <w:color w:val="auto"/>
          <w:highlight w:val="none"/>
        </w:rPr>
      </w:pPr>
    </w:p>
    <w:sectPr>
      <w:footerReference r:id="rId8" w:type="first"/>
      <w:headerReference r:id="rId5" w:type="default"/>
      <w:footerReference r:id="rId6" w:type="default"/>
      <w:footerReference r:id="rId7" w:type="even"/>
      <w:pgSz w:w="11906" w:h="16838"/>
      <w:pgMar w:top="1134" w:right="1134" w:bottom="1134" w:left="1134" w:header="720" w:footer="720" w:gutter="0"/>
      <w:cols w:space="720" w:num="1"/>
      <w:docGrid w:type="lines"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00000000000000000"/>
    <w:charset w:val="86"/>
    <w:family w:val="auto"/>
    <w:pitch w:val="default"/>
    <w:sig w:usb0="00000000" w:usb1="00000000" w:usb2="00000000" w:usb3="00000000" w:csb0="00040000"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5EA43B">
    <w:pPr>
      <w:pStyle w:val="1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0984D8C">
                          <w:pPr>
                            <w:pStyle w:val="12"/>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OqXm5zwAAAAUBAAAPAAAAAAAA&#10;AAEAIAAAACIAAABkcnMvZG93bnJldi54bWxQSwECFAAUAAAACACHTuJAO2jeE+IBAADMAwAADgAA&#10;AAAAAAABACAAAAAeAQAAZHJzL2Uyb0RvYy54bWxQSwUGAAAAAAYABgBZAQAAcgUAAAAA&#10;">
              <v:fill on="f" focussize="0,0"/>
              <v:stroke on="f"/>
              <v:imagedata o:title=""/>
              <o:lock v:ext="edit" aspectratio="f"/>
              <v:textbox inset="0mm,0mm,0mm,0mm" style="mso-fit-shape-to-text:t;">
                <w:txbxContent>
                  <w:p w14:paraId="20984D8C">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50A52C">
    <w:pPr>
      <w:pStyle w:val="12"/>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A7448D3">
                          <w:pPr>
                            <w:pStyle w:val="12"/>
                            <w:jc w:val="center"/>
                          </w:pPr>
                          <w:r>
                            <w:fldChar w:fldCharType="begin"/>
                          </w:r>
                          <w:r>
                            <w:instrText xml:space="preserve"> PAGE   \* MERGEFORMAT </w:instrText>
                          </w:r>
                          <w:r>
                            <w:fldChar w:fldCharType="separate"/>
                          </w:r>
                          <w:r>
                            <w:rPr>
                              <w:lang w:val="zh-CN"/>
                            </w:rPr>
                            <w:t>104</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6pebnPAAAABQEAAA8AAAAAAAAA&#10;AQAgAAAAIgAAAGRycy9kb3ducmV2LnhtbFBLAQIUABQAAAAIAIdO4kDesQ8x4QEAAMwDAAAOAAAA&#10;AAAAAAEAIAAAAB4BAABkcnMvZTJvRG9jLnhtbFBLBQYAAAAABgAGAFkBAABxBQAAAAA=&#10;">
              <v:fill on="f" focussize="0,0"/>
              <v:stroke on="f"/>
              <v:imagedata o:title=""/>
              <o:lock v:ext="edit" aspectratio="f"/>
              <v:textbox inset="0mm,0mm,0mm,0mm" style="mso-fit-shape-to-text:t;">
                <w:txbxContent>
                  <w:p w14:paraId="3A7448D3">
                    <w:pPr>
                      <w:pStyle w:val="12"/>
                      <w:jc w:val="center"/>
                    </w:pPr>
                    <w:r>
                      <w:fldChar w:fldCharType="begin"/>
                    </w:r>
                    <w:r>
                      <w:instrText xml:space="preserve"> PAGE   \* MERGEFORMAT </w:instrText>
                    </w:r>
                    <w:r>
                      <w:fldChar w:fldCharType="separate"/>
                    </w:r>
                    <w:r>
                      <w:rPr>
                        <w:lang w:val="zh-CN"/>
                      </w:rPr>
                      <w:t>104</w:t>
                    </w:r>
                    <w:r>
                      <w:fldChar w:fldCharType="end"/>
                    </w:r>
                  </w:p>
                </w:txbxContent>
              </v:textbox>
            </v:shape>
          </w:pict>
        </mc:Fallback>
      </mc:AlternateContent>
    </w:r>
  </w:p>
  <w:p w14:paraId="1F4B7088">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0F1DA4">
    <w:pPr>
      <w:pStyle w:val="12"/>
      <w:framePr w:wrap="around" w:vAnchor="text" w:hAnchor="margin" w:xAlign="center" w:y="1"/>
      <w:rPr>
        <w:rStyle w:val="22"/>
      </w:rPr>
    </w:pPr>
    <w:r>
      <w:fldChar w:fldCharType="begin"/>
    </w:r>
    <w:r>
      <w:rPr>
        <w:rStyle w:val="22"/>
      </w:rPr>
      <w:instrText xml:space="preserve">PAGE  </w:instrText>
    </w:r>
    <w:r>
      <w:fldChar w:fldCharType="end"/>
    </w:r>
  </w:p>
  <w:p w14:paraId="71A6B2AB">
    <w:pPr>
      <w:pStyle w:val="1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0E93B7">
    <w:pPr>
      <w:pStyle w:val="12"/>
      <w:framePr w:wrap="around" w:vAnchor="text" w:hAnchor="margin" w:xAlign="right" w:y="1"/>
      <w:rPr>
        <w:rStyle w:val="22"/>
      </w:rPr>
    </w:pPr>
    <w:r>
      <w:fldChar w:fldCharType="begin"/>
    </w:r>
    <w:r>
      <w:rPr>
        <w:rStyle w:val="22"/>
      </w:rPr>
      <w:instrText xml:space="preserve">PAGE  </w:instrText>
    </w:r>
    <w:r>
      <w:fldChar w:fldCharType="separate"/>
    </w:r>
    <w:r>
      <w:rPr>
        <w:rStyle w:val="22"/>
      </w:rPr>
      <w:t>122</w:t>
    </w:r>
    <w:r>
      <w:fldChar w:fldCharType="end"/>
    </w:r>
  </w:p>
  <w:p w14:paraId="0B5D325E">
    <w:pPr>
      <w:pStyle w:val="12"/>
      <w:ind w:right="360"/>
      <w:jc w:val="both"/>
      <w:rPr>
        <w:rFonts w:hint="eastAsia"/>
      </w:rPr>
    </w:pPr>
    <w:r>
      <w:rPr>
        <w:rFonts w:hint="eastAsia"/>
      </w:rPr>
      <w:t>121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5F3183">
    <w:pPr>
      <w:pStyle w:val="13"/>
    </w:pPr>
    <w:r>
      <w:rPr>
        <w:rFonts w:hint="eastAsia"/>
      </w:rPr>
      <w:t>南宁市政府采购公开招标采购文件（项目编号：</w:t>
    </w:r>
    <w:r>
      <w:rPr>
        <w:rFonts w:hint="eastAsia"/>
        <w:lang w:eastAsia="zh-CN"/>
      </w:rPr>
      <w:t>NNZC2025-G3-990432-GXHM</w:t>
    </w:r>
    <w:r>
      <w:rPr>
        <w:rFonts w:hint="eastAsia"/>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DB663D">
    <w:pPr>
      <w:pStyle w:val="13"/>
      <w:tabs>
        <w:tab w:val="center" w:pos="0"/>
        <w:tab w:val="clear" w:pos="4153"/>
      </w:tabs>
    </w:pPr>
    <w:r>
      <w:rPr>
        <w:rFonts w:hint="eastAsia"/>
      </w:rPr>
      <w:t>项目编号：@采购文件模板实体.项目编号1@</w:t>
    </w:r>
  </w:p>
  <w:p w14:paraId="08DA1FED">
    <w:pPr>
      <w:pStyle w:val="1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3C4FD3"/>
    <w:multiLevelType w:val="singleLevel"/>
    <w:tmpl w:val="DC3C4FD3"/>
    <w:lvl w:ilvl="0" w:tentative="0">
      <w:start w:val="1"/>
      <w:numFmt w:val="decimal"/>
      <w:suff w:val="nothing"/>
      <w:lvlText w:val="（%1）"/>
      <w:lvlJc w:val="left"/>
    </w:lvl>
  </w:abstractNum>
  <w:abstractNum w:abstractNumId="1">
    <w:nsid w:val="00000007"/>
    <w:multiLevelType w:val="multilevel"/>
    <w:tmpl w:val="00000007"/>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
    <w:nsid w:val="51536378"/>
    <w:multiLevelType w:val="singleLevel"/>
    <w:tmpl w:val="51536378"/>
    <w:lvl w:ilvl="0" w:tentative="0">
      <w:start w:val="1"/>
      <w:numFmt w:val="decimal"/>
      <w:suff w:val="nothing"/>
      <w:lvlText w:val="（%1）"/>
      <w:lvlJc w:val="left"/>
      <w:pPr>
        <w:ind w:left="0" w:firstLine="0"/>
      </w:pPr>
    </w:lvl>
  </w:abstractNum>
  <w:abstractNum w:abstractNumId="3">
    <w:nsid w:val="704FD9C0"/>
    <w:multiLevelType w:val="singleLevel"/>
    <w:tmpl w:val="704FD9C0"/>
    <w:lvl w:ilvl="0" w:tentative="0">
      <w:start w:val="2"/>
      <w:numFmt w:val="decimal"/>
      <w:lvlText w:val="%1."/>
      <w:lvlJc w:val="left"/>
      <w:pPr>
        <w:tabs>
          <w:tab w:val="left" w:pos="312"/>
        </w:tabs>
      </w:pPr>
    </w:lvl>
  </w:abstractNum>
  <w:abstractNum w:abstractNumId="4">
    <w:nsid w:val="72962756"/>
    <w:multiLevelType w:val="multilevel"/>
    <w:tmpl w:val="72962756"/>
    <w:lvl w:ilvl="0" w:tentative="0">
      <w:start w:val="1"/>
      <w:numFmt w:val="japaneseCounting"/>
      <w:lvlText w:val="（%1）"/>
      <w:lvlJc w:val="left"/>
      <w:pPr>
        <w:ind w:left="1237" w:hanging="765"/>
      </w:pPr>
      <w:rPr>
        <w:rFonts w:hint="default"/>
      </w:rPr>
    </w:lvl>
    <w:lvl w:ilvl="1" w:tentative="0">
      <w:start w:val="1"/>
      <w:numFmt w:val="lowerLetter"/>
      <w:lvlText w:val="%2)"/>
      <w:lvlJc w:val="left"/>
      <w:pPr>
        <w:ind w:left="1312" w:hanging="420"/>
      </w:pPr>
    </w:lvl>
    <w:lvl w:ilvl="2" w:tentative="0">
      <w:start w:val="1"/>
      <w:numFmt w:val="lowerRoman"/>
      <w:lvlText w:val="%3."/>
      <w:lvlJc w:val="right"/>
      <w:pPr>
        <w:ind w:left="1732" w:hanging="420"/>
      </w:pPr>
    </w:lvl>
    <w:lvl w:ilvl="3" w:tentative="0">
      <w:start w:val="1"/>
      <w:numFmt w:val="decimal"/>
      <w:lvlText w:val="%4."/>
      <w:lvlJc w:val="left"/>
      <w:pPr>
        <w:ind w:left="2152" w:hanging="420"/>
      </w:pPr>
    </w:lvl>
    <w:lvl w:ilvl="4" w:tentative="0">
      <w:start w:val="1"/>
      <w:numFmt w:val="lowerLetter"/>
      <w:lvlText w:val="%5)"/>
      <w:lvlJc w:val="left"/>
      <w:pPr>
        <w:ind w:left="2572" w:hanging="420"/>
      </w:pPr>
    </w:lvl>
    <w:lvl w:ilvl="5" w:tentative="0">
      <w:start w:val="1"/>
      <w:numFmt w:val="lowerRoman"/>
      <w:lvlText w:val="%6."/>
      <w:lvlJc w:val="right"/>
      <w:pPr>
        <w:ind w:left="2992" w:hanging="420"/>
      </w:pPr>
    </w:lvl>
    <w:lvl w:ilvl="6" w:tentative="0">
      <w:start w:val="1"/>
      <w:numFmt w:val="decimal"/>
      <w:lvlText w:val="%7."/>
      <w:lvlJc w:val="left"/>
      <w:pPr>
        <w:ind w:left="3412" w:hanging="420"/>
      </w:pPr>
    </w:lvl>
    <w:lvl w:ilvl="7" w:tentative="0">
      <w:start w:val="1"/>
      <w:numFmt w:val="lowerLetter"/>
      <w:lvlText w:val="%8)"/>
      <w:lvlJc w:val="left"/>
      <w:pPr>
        <w:ind w:left="3832" w:hanging="420"/>
      </w:pPr>
    </w:lvl>
    <w:lvl w:ilvl="8" w:tentative="0">
      <w:start w:val="1"/>
      <w:numFmt w:val="lowerRoman"/>
      <w:lvlText w:val="%9."/>
      <w:lvlJc w:val="right"/>
      <w:pPr>
        <w:ind w:left="4252" w:hanging="420"/>
      </w:pPr>
    </w:lvl>
  </w:abstractNum>
  <w:num w:numId="1">
    <w:abstractNumId w:val="3"/>
  </w:num>
  <w:num w:numId="2">
    <w:abstractNumId w:val="0"/>
  </w:num>
  <w:num w:numId="3">
    <w:abstractNumId w:val="2"/>
    <w:lvlOverride w:ilvl="0">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NkZWVlN2U0MTQ5ZmU4ZDdlZDkzY2Y5MGEwYWVhNGEifQ=="/>
  </w:docVars>
  <w:rsids>
    <w:rsidRoot w:val="35653D79"/>
    <w:rsid w:val="0225273F"/>
    <w:rsid w:val="02D97086"/>
    <w:rsid w:val="03191B07"/>
    <w:rsid w:val="046E4892"/>
    <w:rsid w:val="06BA6DAD"/>
    <w:rsid w:val="0748283D"/>
    <w:rsid w:val="07F74137"/>
    <w:rsid w:val="08C534D0"/>
    <w:rsid w:val="092654A8"/>
    <w:rsid w:val="09F04BF7"/>
    <w:rsid w:val="0A715EC3"/>
    <w:rsid w:val="0BB13DD9"/>
    <w:rsid w:val="0CA253FC"/>
    <w:rsid w:val="0E2A646C"/>
    <w:rsid w:val="0E75228A"/>
    <w:rsid w:val="0F053765"/>
    <w:rsid w:val="0F3865A4"/>
    <w:rsid w:val="0F625510"/>
    <w:rsid w:val="0F6A7757"/>
    <w:rsid w:val="106A6FF4"/>
    <w:rsid w:val="10A1053B"/>
    <w:rsid w:val="13792D78"/>
    <w:rsid w:val="13C12D12"/>
    <w:rsid w:val="13C95F42"/>
    <w:rsid w:val="14454AB0"/>
    <w:rsid w:val="14AE102E"/>
    <w:rsid w:val="150C69DD"/>
    <w:rsid w:val="15A85EC8"/>
    <w:rsid w:val="15BF7741"/>
    <w:rsid w:val="15EE2D41"/>
    <w:rsid w:val="15FD705D"/>
    <w:rsid w:val="16D108B7"/>
    <w:rsid w:val="16E21AEE"/>
    <w:rsid w:val="18120E1E"/>
    <w:rsid w:val="18786866"/>
    <w:rsid w:val="191C0473"/>
    <w:rsid w:val="19500EB9"/>
    <w:rsid w:val="1A3641A7"/>
    <w:rsid w:val="1FE55E27"/>
    <w:rsid w:val="21010877"/>
    <w:rsid w:val="21275A6E"/>
    <w:rsid w:val="2169593A"/>
    <w:rsid w:val="21C270F8"/>
    <w:rsid w:val="24F4362A"/>
    <w:rsid w:val="25A113CC"/>
    <w:rsid w:val="25EA7504"/>
    <w:rsid w:val="25F82554"/>
    <w:rsid w:val="2628108B"/>
    <w:rsid w:val="27644527"/>
    <w:rsid w:val="27752A93"/>
    <w:rsid w:val="28B250E9"/>
    <w:rsid w:val="298A2467"/>
    <w:rsid w:val="29E8368F"/>
    <w:rsid w:val="2B0C582D"/>
    <w:rsid w:val="2BE27137"/>
    <w:rsid w:val="2C5810D4"/>
    <w:rsid w:val="2C8B5ED0"/>
    <w:rsid w:val="2D0B5FA6"/>
    <w:rsid w:val="2E284726"/>
    <w:rsid w:val="2EAE198B"/>
    <w:rsid w:val="2EF40845"/>
    <w:rsid w:val="2F4B06C8"/>
    <w:rsid w:val="310B5831"/>
    <w:rsid w:val="31F25C3E"/>
    <w:rsid w:val="32D80744"/>
    <w:rsid w:val="32E46260"/>
    <w:rsid w:val="33210AA8"/>
    <w:rsid w:val="33CC0578"/>
    <w:rsid w:val="34A55F9D"/>
    <w:rsid w:val="35571211"/>
    <w:rsid w:val="3558706F"/>
    <w:rsid w:val="35653D79"/>
    <w:rsid w:val="36F6663C"/>
    <w:rsid w:val="37042BDF"/>
    <w:rsid w:val="375A408B"/>
    <w:rsid w:val="377236D2"/>
    <w:rsid w:val="37B3452D"/>
    <w:rsid w:val="37FB7CB6"/>
    <w:rsid w:val="38312021"/>
    <w:rsid w:val="38A46D99"/>
    <w:rsid w:val="39AE798D"/>
    <w:rsid w:val="39C271AC"/>
    <w:rsid w:val="39D1036D"/>
    <w:rsid w:val="3B3E144C"/>
    <w:rsid w:val="3C333E8E"/>
    <w:rsid w:val="3C5979A7"/>
    <w:rsid w:val="3C743954"/>
    <w:rsid w:val="3D155515"/>
    <w:rsid w:val="3EC25994"/>
    <w:rsid w:val="3EFF80CA"/>
    <w:rsid w:val="3FFD5829"/>
    <w:rsid w:val="3FFFC4A1"/>
    <w:rsid w:val="4079295E"/>
    <w:rsid w:val="409F0420"/>
    <w:rsid w:val="40C136BD"/>
    <w:rsid w:val="416C7928"/>
    <w:rsid w:val="4178626F"/>
    <w:rsid w:val="41F27462"/>
    <w:rsid w:val="42864D18"/>
    <w:rsid w:val="42CF1CE3"/>
    <w:rsid w:val="44B86946"/>
    <w:rsid w:val="450A6DE4"/>
    <w:rsid w:val="451C6362"/>
    <w:rsid w:val="45BB3C07"/>
    <w:rsid w:val="470D4DE6"/>
    <w:rsid w:val="47271ACB"/>
    <w:rsid w:val="47F00E85"/>
    <w:rsid w:val="48751710"/>
    <w:rsid w:val="499618FC"/>
    <w:rsid w:val="49F5266D"/>
    <w:rsid w:val="4B1F21AD"/>
    <w:rsid w:val="4B7C6D62"/>
    <w:rsid w:val="4C027DFC"/>
    <w:rsid w:val="4D310A8D"/>
    <w:rsid w:val="4D863AFE"/>
    <w:rsid w:val="4DB7056E"/>
    <w:rsid w:val="4DBF2BE4"/>
    <w:rsid w:val="4E2E734F"/>
    <w:rsid w:val="5149034C"/>
    <w:rsid w:val="51FA302C"/>
    <w:rsid w:val="527A416D"/>
    <w:rsid w:val="52C11B46"/>
    <w:rsid w:val="53C02C3D"/>
    <w:rsid w:val="55553823"/>
    <w:rsid w:val="55962229"/>
    <w:rsid w:val="560902A8"/>
    <w:rsid w:val="56CD18F4"/>
    <w:rsid w:val="577A2526"/>
    <w:rsid w:val="57B679F5"/>
    <w:rsid w:val="57DF5F8B"/>
    <w:rsid w:val="57DF6DD5"/>
    <w:rsid w:val="59355667"/>
    <w:rsid w:val="59401B3D"/>
    <w:rsid w:val="5A0058E1"/>
    <w:rsid w:val="5ACB37B8"/>
    <w:rsid w:val="5B2C7AD8"/>
    <w:rsid w:val="5BA03DA8"/>
    <w:rsid w:val="5BAB338F"/>
    <w:rsid w:val="5CA54909"/>
    <w:rsid w:val="5E451591"/>
    <w:rsid w:val="5EAA7B89"/>
    <w:rsid w:val="5EDC6E45"/>
    <w:rsid w:val="61BA1C46"/>
    <w:rsid w:val="61F2A027"/>
    <w:rsid w:val="62B82CF5"/>
    <w:rsid w:val="63293A07"/>
    <w:rsid w:val="63975485"/>
    <w:rsid w:val="63F82BBA"/>
    <w:rsid w:val="641A6652"/>
    <w:rsid w:val="64442C0B"/>
    <w:rsid w:val="65BE0335"/>
    <w:rsid w:val="660364FC"/>
    <w:rsid w:val="66FA4C1D"/>
    <w:rsid w:val="6A5F58D0"/>
    <w:rsid w:val="6ABB3975"/>
    <w:rsid w:val="6B39476E"/>
    <w:rsid w:val="6BFC4E08"/>
    <w:rsid w:val="6D08089B"/>
    <w:rsid w:val="6D113C78"/>
    <w:rsid w:val="6E1C70A2"/>
    <w:rsid w:val="6E3547AC"/>
    <w:rsid w:val="6EF65C0A"/>
    <w:rsid w:val="6EF68499"/>
    <w:rsid w:val="70074E3A"/>
    <w:rsid w:val="700D42D6"/>
    <w:rsid w:val="710C559B"/>
    <w:rsid w:val="72421DFA"/>
    <w:rsid w:val="746317F1"/>
    <w:rsid w:val="754D6FA9"/>
    <w:rsid w:val="75A66EA3"/>
    <w:rsid w:val="76D552CD"/>
    <w:rsid w:val="776F6FC2"/>
    <w:rsid w:val="782D2DDA"/>
    <w:rsid w:val="78A35F4E"/>
    <w:rsid w:val="7A637641"/>
    <w:rsid w:val="7D0A7CF0"/>
    <w:rsid w:val="7D1E37C3"/>
    <w:rsid w:val="7DAC6794"/>
    <w:rsid w:val="F9FF08D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nhideWhenUsed="0"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99"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before="260" w:beforeLines="0" w:after="260" w:afterLines="0" w:line="413" w:lineRule="auto"/>
      <w:outlineLvl w:val="1"/>
    </w:pPr>
    <w:rPr>
      <w:rFonts w:ascii="Arial" w:hAnsi="Arial" w:eastAsia="黑体"/>
      <w:b/>
      <w:bCs/>
      <w:sz w:val="32"/>
      <w:szCs w:val="32"/>
    </w:rPr>
  </w:style>
  <w:style w:type="paragraph" w:styleId="4">
    <w:name w:val="heading 3"/>
    <w:basedOn w:val="1"/>
    <w:next w:val="1"/>
    <w:qFormat/>
    <w:uiPriority w:val="0"/>
    <w:pPr>
      <w:keepNext/>
      <w:keepLines/>
      <w:spacing w:line="600" w:lineRule="exact"/>
      <w:ind w:firstLine="643" w:firstLineChars="200"/>
      <w:outlineLvl w:val="2"/>
    </w:pPr>
    <w:rPr>
      <w:b/>
      <w:bCs/>
      <w:sz w:val="32"/>
      <w:szCs w:val="32"/>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6">
    <w:name w:val="heading 5"/>
    <w:basedOn w:val="1"/>
    <w:next w:val="1"/>
    <w:qFormat/>
    <w:uiPriority w:val="9"/>
    <w:pPr>
      <w:keepNext/>
      <w:keepLines/>
      <w:spacing w:before="280" w:after="290" w:line="376" w:lineRule="auto"/>
      <w:outlineLvl w:val="4"/>
    </w:pPr>
    <w:rPr>
      <w:b/>
      <w:bCs/>
      <w:sz w:val="28"/>
      <w:szCs w:val="28"/>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 w:type="paragraph" w:styleId="7">
    <w:name w:val="index 8"/>
    <w:basedOn w:val="1"/>
    <w:next w:val="1"/>
    <w:qFormat/>
    <w:uiPriority w:val="99"/>
    <w:pPr>
      <w:ind w:left="1400" w:leftChars="1400"/>
    </w:pPr>
  </w:style>
  <w:style w:type="paragraph" w:styleId="8">
    <w:name w:val="Normal Indent"/>
    <w:basedOn w:val="1"/>
    <w:qFormat/>
    <w:uiPriority w:val="0"/>
    <w:pPr>
      <w:ind w:firstLine="420"/>
    </w:pPr>
    <w:rPr>
      <w:szCs w:val="20"/>
    </w:rPr>
  </w:style>
  <w:style w:type="paragraph" w:styleId="9">
    <w:name w:val="annotation text"/>
    <w:basedOn w:val="1"/>
    <w:qFormat/>
    <w:uiPriority w:val="0"/>
    <w:pPr>
      <w:jc w:val="left"/>
    </w:pPr>
  </w:style>
  <w:style w:type="paragraph" w:styleId="10">
    <w:name w:val="Body Text Indent"/>
    <w:basedOn w:val="1"/>
    <w:qFormat/>
    <w:uiPriority w:val="0"/>
    <w:pPr>
      <w:spacing w:line="200" w:lineRule="exact"/>
      <w:ind w:firstLine="301"/>
    </w:pPr>
    <w:rPr>
      <w:rFonts w:ascii="宋体" w:hAnsi="Courier New"/>
      <w:spacing w:val="-4"/>
      <w:sz w:val="18"/>
      <w:szCs w:val="20"/>
    </w:rPr>
  </w:style>
  <w:style w:type="paragraph" w:styleId="11">
    <w:name w:val="Plain Text"/>
    <w:basedOn w:val="1"/>
    <w:qFormat/>
    <w:uiPriority w:val="0"/>
    <w:rPr>
      <w:rFonts w:ascii="宋体" w:hAnsi="Courier New"/>
      <w:szCs w:val="20"/>
    </w:rPr>
  </w:style>
  <w:style w:type="paragraph" w:styleId="12">
    <w:name w:val="footer"/>
    <w:basedOn w:val="1"/>
    <w:qFormat/>
    <w:uiPriority w:val="99"/>
    <w:pPr>
      <w:tabs>
        <w:tab w:val="center" w:pos="4153"/>
        <w:tab w:val="right" w:pos="8306"/>
      </w:tabs>
      <w:snapToGrid w:val="0"/>
      <w:jc w:val="left"/>
    </w:pPr>
    <w:rPr>
      <w:sz w:val="18"/>
      <w:szCs w:val="18"/>
    </w:rPr>
  </w:style>
  <w:style w:type="paragraph" w:styleId="13">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4">
    <w:name w:val="List"/>
    <w:basedOn w:val="1"/>
    <w:qFormat/>
    <w:uiPriority w:val="0"/>
    <w:pPr>
      <w:ind w:left="200" w:hanging="200" w:hangingChars="200"/>
    </w:pPr>
    <w:rPr>
      <w:sz w:val="28"/>
    </w:rPr>
  </w:style>
  <w:style w:type="paragraph" w:styleId="15">
    <w:name w:val="table of figures"/>
    <w:basedOn w:val="1"/>
    <w:next w:val="1"/>
    <w:qFormat/>
    <w:uiPriority w:val="0"/>
    <w:pPr>
      <w:ind w:left="200" w:leftChars="200" w:hanging="200" w:hangingChars="200"/>
    </w:pPr>
  </w:style>
  <w:style w:type="paragraph" w:styleId="1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7">
    <w:name w:val="Normal (Web)"/>
    <w:basedOn w:val="1"/>
    <w:qFormat/>
    <w:uiPriority w:val="0"/>
    <w:pPr>
      <w:spacing w:before="0" w:beforeAutospacing="1" w:after="0" w:afterAutospacing="1"/>
      <w:ind w:left="0" w:right="0"/>
      <w:jc w:val="left"/>
    </w:pPr>
    <w:rPr>
      <w:kern w:val="0"/>
      <w:sz w:val="24"/>
      <w:lang w:val="en-US" w:eastAsia="zh-CN" w:bidi="ar"/>
    </w:rPr>
  </w:style>
  <w:style w:type="table" w:styleId="19">
    <w:name w:val="Table Grid"/>
    <w:basedOn w:val="1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uiPriority w:val="0"/>
    <w:rPr>
      <w:b/>
    </w:rPr>
  </w:style>
  <w:style w:type="character" w:styleId="22">
    <w:name w:val="page number"/>
    <w:qFormat/>
    <w:uiPriority w:val="0"/>
  </w:style>
  <w:style w:type="character" w:styleId="23">
    <w:name w:val="Hyperlink"/>
    <w:qFormat/>
    <w:uiPriority w:val="99"/>
    <w:rPr>
      <w:color w:val="0000FF"/>
      <w:u w:val="single"/>
    </w:rPr>
  </w:style>
  <w:style w:type="character" w:styleId="24">
    <w:name w:val="HTML Code"/>
    <w:basedOn w:val="20"/>
    <w:qFormat/>
    <w:uiPriority w:val="0"/>
    <w:rPr>
      <w:rFonts w:ascii="Courier New" w:hAnsi="Courier New"/>
      <w:sz w:val="20"/>
    </w:rPr>
  </w:style>
  <w:style w:type="character" w:styleId="25">
    <w:name w:val="annotation reference"/>
    <w:basedOn w:val="20"/>
    <w:qFormat/>
    <w:uiPriority w:val="99"/>
    <w:rPr>
      <w:sz w:val="21"/>
      <w:szCs w:val="21"/>
    </w:rPr>
  </w:style>
  <w:style w:type="paragraph" w:customStyle="1" w:styleId="26">
    <w:name w:val="Title1"/>
    <w:basedOn w:val="1"/>
    <w:next w:val="1"/>
    <w:qFormat/>
    <w:uiPriority w:val="0"/>
    <w:pPr>
      <w:jc w:val="center"/>
      <w:outlineLvl w:val="0"/>
    </w:pPr>
    <w:rPr>
      <w:rFonts w:ascii="Calibri Light" w:hAnsi="Calibri Light" w:eastAsia="Arial Unicode MS" w:cs="Times New Roman"/>
      <w:b/>
    </w:rPr>
  </w:style>
  <w:style w:type="paragraph" w:customStyle="1" w:styleId="27">
    <w:name w:val="正文-公1"/>
    <w:basedOn w:val="1"/>
    <w:qFormat/>
    <w:uiPriority w:val="0"/>
    <w:pPr>
      <w:ind w:firstLine="200" w:firstLineChars="200"/>
      <w:jc w:val="left"/>
    </w:pPr>
    <w:rPr>
      <w:rFonts w:eastAsia="仿宋_GB2312"/>
    </w:rPr>
  </w:style>
  <w:style w:type="paragraph" w:customStyle="1" w:styleId="28">
    <w:name w:val="表格文字115"/>
    <w:basedOn w:val="1"/>
    <w:qFormat/>
    <w:uiPriority w:val="0"/>
    <w:pPr>
      <w:spacing w:before="25" w:beforeLines="0" w:after="25" w:afterLines="0" w:line="240" w:lineRule="auto"/>
      <w:ind w:firstLine="0"/>
      <w:jc w:val="left"/>
    </w:pPr>
    <w:rPr>
      <w:bCs/>
      <w:spacing w:val="10"/>
      <w:kern w:val="0"/>
      <w:sz w:val="24"/>
    </w:rPr>
  </w:style>
  <w:style w:type="paragraph" w:customStyle="1" w:styleId="29">
    <w:name w:val="Default"/>
    <w:qFormat/>
    <w:uiPriority w:val="99"/>
    <w:pPr>
      <w:widowControl w:val="0"/>
      <w:autoSpaceDE w:val="0"/>
      <w:autoSpaceDN w:val="0"/>
      <w:adjustRightInd w:val="0"/>
    </w:pPr>
    <w:rPr>
      <w:rFonts w:ascii="方正小标宋简体" w:hAnsi="Calibri" w:eastAsia="方正小标宋简体" w:cs="方正小标宋简体"/>
      <w:color w:val="000000"/>
      <w:kern w:val="0"/>
      <w:sz w:val="24"/>
      <w:szCs w:val="24"/>
      <w:lang w:val="en-US" w:eastAsia="zh-CN" w:bidi="ar-SA"/>
    </w:rPr>
  </w:style>
  <w:style w:type="paragraph" w:customStyle="1" w:styleId="30">
    <w:name w:val="WPSOffice手动目录 1"/>
    <w:qFormat/>
    <w:uiPriority w:val="0"/>
    <w:pPr>
      <w:ind w:leftChars="0"/>
    </w:pPr>
    <w:rPr>
      <w:rFonts w:ascii="Times New Roman" w:hAnsi="Times New Roman" w:eastAsia="宋体" w:cs="Times New Roman"/>
      <w:sz w:val="20"/>
      <w:szCs w:val="20"/>
    </w:rPr>
  </w:style>
  <w:style w:type="paragraph" w:customStyle="1" w:styleId="31">
    <w:name w:val="WPSOffice手动目录 2"/>
    <w:qFormat/>
    <w:uiPriority w:val="0"/>
    <w:pPr>
      <w:ind w:leftChars="200"/>
    </w:pPr>
    <w:rPr>
      <w:rFonts w:ascii="Times New Roman" w:hAnsi="Times New Roman" w:eastAsia="宋体" w:cs="Times New Roman"/>
      <w:sz w:val="20"/>
      <w:szCs w:val="20"/>
    </w:rPr>
  </w:style>
  <w:style w:type="character" w:customStyle="1" w:styleId="32">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paragraph" w:customStyle="1" w:styleId="33">
    <w:name w:val="正文2"/>
    <w:basedOn w:val="1"/>
    <w:qFormat/>
    <w:uiPriority w:val="0"/>
    <w:pPr>
      <w:adjustRightInd w:val="0"/>
      <w:spacing w:before="156" w:line="360" w:lineRule="auto"/>
      <w:ind w:firstLine="510" w:firstLineChars="200"/>
    </w:pPr>
    <w:rPr>
      <w:sz w:val="24"/>
      <w:szCs w:val="20"/>
    </w:rPr>
  </w:style>
  <w:style w:type="paragraph" w:customStyle="1" w:styleId="34">
    <w:name w:val="正文缩进1"/>
    <w:basedOn w:val="1"/>
    <w:next w:val="10"/>
    <w:qFormat/>
    <w:uiPriority w:val="0"/>
    <w:pPr>
      <w:autoSpaceDE w:val="0"/>
      <w:autoSpaceDN w:val="0"/>
      <w:adjustRightInd w:val="0"/>
      <w:snapToGrid w:val="0"/>
      <w:spacing w:after="120" w:line="360" w:lineRule="auto"/>
      <w:ind w:left="420" w:leftChars="200" w:firstLine="480" w:firstLineChars="200"/>
    </w:pPr>
    <w:rPr>
      <w:sz w:val="24"/>
      <w:szCs w:val="21"/>
    </w:rPr>
  </w:style>
  <w:style w:type="paragraph" w:customStyle="1" w:styleId="35">
    <w:name w:val="样式5"/>
    <w:basedOn w:val="1"/>
    <w:qFormat/>
    <w:uiPriority w:val="0"/>
    <w:pPr>
      <w:adjustRightInd w:val="0"/>
      <w:spacing w:line="440" w:lineRule="exact"/>
      <w:ind w:left="2" w:firstLine="480" w:firstLineChars="200"/>
    </w:pPr>
    <w:rPr>
      <w:rFonts w:ascii="仿宋_GB2312" w:hAnsi="仿宋" w:eastAsia="仿宋_GB2312"/>
      <w:sz w:val="24"/>
    </w:rPr>
  </w:style>
  <w:style w:type="paragraph" w:styleId="36">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99</Pages>
  <Words>29243</Words>
  <Characters>31567</Characters>
  <Lines>0</Lines>
  <Paragraphs>0</Paragraphs>
  <TotalTime>0</TotalTime>
  <ScaleCrop>false</ScaleCrop>
  <LinksUpToDate>false</LinksUpToDate>
  <CharactersWithSpaces>31966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2022-12-30T03:11:00Z</dcterms:created>
  <dc:creator>Max</dc:creator>
  <cp:lastModifiedBy>Max</cp:lastModifiedBy>
  <cp:lastPrinted>2025-06-06T00:58:00Z</cp:lastPrinted>
  <dcterms:modified xsi:type="dcterms:W3CDTF">2025-06-06T09:29:35Z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267587A280284649A4BF551471D05E6F_13</vt:lpwstr>
  </property>
  <property fmtid="{D5CDD505-2E9C-101B-9397-08002B2CF9AE}" pid="4" name="KSOTemplateDocerSaveRecord">
    <vt:lpwstr>eyJoZGlkIjoiYmQyMTllMzkwNzIyMjJiZGFlY2Y0NmNiOTcwZjBkZGQiLCJ1c2VySWQiOiIzODU2MjQwMjkifQ==</vt:lpwstr>
  </property>
</Properties>
</file>