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A44E06">
      <w:pPr>
        <w:spacing w:before="165" w:beforeLines="50" w:line="360" w:lineRule="auto"/>
        <w:jc w:val="center"/>
        <w:rPr>
          <w:rFonts w:hint="eastAsia" w:ascii="宋体" w:hAnsi="宋体" w:cs="宋体"/>
          <w:color w:val="auto"/>
          <w:sz w:val="52"/>
          <w:szCs w:val="52"/>
          <w:highlight w:val="none"/>
        </w:rPr>
      </w:pPr>
    </w:p>
    <w:p w14:paraId="64008B05">
      <w:pPr>
        <w:spacing w:before="165" w:beforeLines="50" w:line="360" w:lineRule="auto"/>
        <w:jc w:val="center"/>
        <w:rPr>
          <w:rFonts w:ascii="宋体" w:hAnsi="宋体" w:cs="宋体"/>
          <w:color w:val="auto"/>
          <w:sz w:val="52"/>
          <w:szCs w:val="52"/>
          <w:highlight w:val="none"/>
        </w:rPr>
      </w:pPr>
      <w:r>
        <w:rPr>
          <w:rFonts w:hint="eastAsia" w:ascii="宋体" w:hAnsi="宋体" w:cs="宋体"/>
          <w:color w:val="auto"/>
          <w:sz w:val="52"/>
          <w:szCs w:val="52"/>
          <w:highlight w:val="none"/>
        </w:rPr>
        <w:t>南宁市政府采购</w:t>
      </w:r>
    </w:p>
    <w:p w14:paraId="1C749A0F">
      <w:pPr>
        <w:spacing w:before="165" w:beforeLines="50" w:line="360" w:lineRule="auto"/>
        <w:jc w:val="center"/>
        <w:rPr>
          <w:rFonts w:ascii="宋体" w:hAnsi="宋体" w:cs="宋体"/>
          <w:color w:val="auto"/>
          <w:sz w:val="52"/>
          <w:szCs w:val="52"/>
          <w:highlight w:val="none"/>
        </w:rPr>
      </w:pPr>
      <w:r>
        <w:rPr>
          <w:rFonts w:hint="eastAsia" w:ascii="宋体" w:hAnsi="宋体" w:cs="宋体"/>
          <w:color w:val="auto"/>
          <w:sz w:val="52"/>
          <w:szCs w:val="52"/>
          <w:highlight w:val="none"/>
        </w:rPr>
        <w:t>竞争性磋商文件</w:t>
      </w:r>
    </w:p>
    <w:p w14:paraId="20BDE4EF">
      <w:pPr>
        <w:spacing w:before="165" w:beforeLines="50" w:line="360" w:lineRule="auto"/>
        <w:jc w:val="center"/>
        <w:rPr>
          <w:rFonts w:ascii="宋体" w:hAnsi="宋体" w:cs="宋体"/>
          <w:color w:val="auto"/>
          <w:sz w:val="36"/>
          <w:szCs w:val="36"/>
          <w:highlight w:val="none"/>
        </w:rPr>
      </w:pPr>
    </w:p>
    <w:p w14:paraId="710CB81E">
      <w:pPr>
        <w:snapToGrid w:val="0"/>
        <w:spacing w:before="165" w:beforeLines="50" w:line="360" w:lineRule="auto"/>
        <w:jc w:val="center"/>
        <w:rPr>
          <w:rFonts w:ascii="宋体" w:hAnsi="宋体" w:cs="宋体"/>
          <w:color w:val="auto"/>
          <w:sz w:val="44"/>
          <w:szCs w:val="44"/>
          <w:highlight w:val="none"/>
        </w:rPr>
      </w:pPr>
      <w:r>
        <w:rPr>
          <w:rFonts w:hint="eastAsia" w:ascii="宋体" w:hAnsi="宋体" w:cs="宋体"/>
          <w:color w:val="auto"/>
          <w:sz w:val="72"/>
          <w:szCs w:val="72"/>
          <w:highlight w:val="none"/>
        </w:rPr>
        <w:t>竞争性磋商文件</w:t>
      </w:r>
    </w:p>
    <w:p w14:paraId="352BABB0">
      <w:pPr>
        <w:spacing w:before="331" w:beforeLines="100" w:after="165" w:afterLines="50" w:line="360" w:lineRule="auto"/>
        <w:jc w:val="center"/>
        <w:rPr>
          <w:rFonts w:ascii="宋体" w:hAnsi="宋体" w:cs="宋体"/>
          <w:color w:val="auto"/>
          <w:szCs w:val="21"/>
          <w:highlight w:val="none"/>
        </w:rPr>
      </w:pPr>
      <w:r>
        <w:rPr>
          <w:rFonts w:hint="eastAsia" w:ascii="宋体" w:hAnsi="宋体" w:cs="宋体"/>
          <w:color w:val="auto"/>
          <w:szCs w:val="21"/>
          <w:highlight w:val="none"/>
        </w:rPr>
        <w:t>（全流程电子化评标）</w:t>
      </w:r>
    </w:p>
    <w:p w14:paraId="02FD3F51">
      <w:pPr>
        <w:spacing w:line="360" w:lineRule="auto"/>
        <w:rPr>
          <w:rFonts w:ascii="宋体" w:hAnsi="宋体" w:cs="宋体"/>
          <w:b/>
          <w:color w:val="auto"/>
          <w:sz w:val="32"/>
          <w:szCs w:val="32"/>
          <w:highlight w:val="none"/>
        </w:rPr>
      </w:pPr>
    </w:p>
    <w:p w14:paraId="7718CCFD">
      <w:pPr>
        <w:spacing w:line="360" w:lineRule="auto"/>
        <w:jc w:val="center"/>
        <w:rPr>
          <w:rFonts w:ascii="宋体" w:hAnsi="宋体" w:cs="宋体"/>
          <w:b/>
          <w:color w:val="auto"/>
          <w:sz w:val="32"/>
          <w:szCs w:val="32"/>
          <w:highlight w:val="none"/>
        </w:rPr>
      </w:pPr>
    </w:p>
    <w:p w14:paraId="35792153">
      <w:pPr>
        <w:pStyle w:val="15"/>
        <w:snapToGrid w:val="0"/>
        <w:spacing w:before="50" w:after="120" w:line="360" w:lineRule="auto"/>
        <w:ind w:left="3295" w:leftChars="852" w:hanging="1506" w:hangingChars="500"/>
        <w:rPr>
          <w:rFonts w:hint="eastAsia" w:hAnsi="宋体" w:eastAsia="宋体" w:cs="宋体"/>
          <w:b/>
          <w:bCs/>
          <w:color w:val="auto"/>
          <w:sz w:val="30"/>
          <w:szCs w:val="30"/>
          <w:highlight w:val="none"/>
          <w:lang w:eastAsia="zh-CN"/>
        </w:rPr>
      </w:pPr>
      <w:r>
        <w:rPr>
          <w:rFonts w:hint="eastAsia" w:hAnsi="宋体" w:cs="宋体"/>
          <w:b/>
          <w:bCs/>
          <w:color w:val="auto"/>
          <w:sz w:val="30"/>
          <w:szCs w:val="30"/>
          <w:highlight w:val="none"/>
        </w:rPr>
        <w:t>项目名称：</w:t>
      </w:r>
      <w:r>
        <w:rPr>
          <w:rFonts w:hint="eastAsia" w:hAnsi="宋体" w:cs="宋体"/>
          <w:b/>
          <w:bCs/>
          <w:color w:val="auto"/>
          <w:sz w:val="30"/>
          <w:szCs w:val="30"/>
          <w:highlight w:val="none"/>
          <w:lang w:eastAsia="zh-CN"/>
        </w:rPr>
        <w:t>2025年苏圩镇仁德村蔬菜基地一期项目</w:t>
      </w:r>
    </w:p>
    <w:p w14:paraId="71D8D178">
      <w:pPr>
        <w:pStyle w:val="15"/>
        <w:snapToGrid w:val="0"/>
        <w:spacing w:before="50" w:after="120" w:line="360" w:lineRule="auto"/>
        <w:ind w:firstLine="1783" w:firstLineChars="592"/>
        <w:outlineLvl w:val="0"/>
        <w:rPr>
          <w:rFonts w:hint="eastAsia" w:hAnsi="宋体" w:eastAsia="宋体" w:cs="宋体"/>
          <w:b/>
          <w:bCs/>
          <w:color w:val="auto"/>
          <w:sz w:val="30"/>
          <w:szCs w:val="30"/>
          <w:highlight w:val="none"/>
          <w:lang w:eastAsia="zh-CN"/>
        </w:rPr>
      </w:pPr>
      <w:bookmarkStart w:id="0" w:name="_Toc1559"/>
      <w:bookmarkStart w:id="1" w:name="_Toc7308"/>
      <w:bookmarkStart w:id="2" w:name="_Toc681"/>
      <w:bookmarkStart w:id="3" w:name="_Toc29502"/>
      <w:r>
        <w:rPr>
          <w:rFonts w:hint="eastAsia" w:hAnsi="宋体" w:cs="宋体"/>
          <w:b/>
          <w:bCs/>
          <w:color w:val="auto"/>
          <w:sz w:val="30"/>
          <w:szCs w:val="30"/>
          <w:highlight w:val="none"/>
        </w:rPr>
        <w:t>项目编号：</w:t>
      </w:r>
      <w:bookmarkEnd w:id="0"/>
      <w:bookmarkEnd w:id="1"/>
      <w:bookmarkEnd w:id="2"/>
      <w:bookmarkEnd w:id="3"/>
      <w:r>
        <w:rPr>
          <w:rFonts w:hint="eastAsia" w:hAnsi="宋体" w:cs="宋体"/>
          <w:b/>
          <w:bCs/>
          <w:color w:val="auto"/>
          <w:sz w:val="30"/>
          <w:szCs w:val="30"/>
          <w:highlight w:val="none"/>
          <w:lang w:eastAsia="zh-CN"/>
        </w:rPr>
        <w:t>NNZC2025-C2-050029-GXHM</w:t>
      </w:r>
    </w:p>
    <w:p w14:paraId="684CB429">
      <w:pPr>
        <w:pStyle w:val="15"/>
        <w:snapToGrid w:val="0"/>
        <w:spacing w:before="50" w:after="120" w:line="360" w:lineRule="auto"/>
        <w:ind w:firstLine="1783" w:firstLineChars="592"/>
        <w:outlineLvl w:val="0"/>
        <w:rPr>
          <w:rFonts w:hint="eastAsia" w:hAnsi="宋体" w:eastAsia="宋体" w:cs="宋体"/>
          <w:b/>
          <w:bCs/>
          <w:color w:val="auto"/>
          <w:sz w:val="30"/>
          <w:szCs w:val="30"/>
          <w:highlight w:val="none"/>
          <w:lang w:eastAsia="zh-CN"/>
        </w:rPr>
      </w:pPr>
      <w:bookmarkStart w:id="4" w:name="_Toc28130"/>
      <w:bookmarkStart w:id="5" w:name="_Toc31224"/>
      <w:bookmarkStart w:id="6" w:name="_Toc23882"/>
      <w:bookmarkStart w:id="7" w:name="_Toc22189"/>
      <w:r>
        <w:rPr>
          <w:rFonts w:hint="eastAsia" w:hAnsi="宋体" w:cs="宋体"/>
          <w:b/>
          <w:bCs/>
          <w:color w:val="auto"/>
          <w:sz w:val="30"/>
          <w:szCs w:val="30"/>
          <w:highlight w:val="none"/>
        </w:rPr>
        <w:t>采购文号：</w:t>
      </w:r>
      <w:bookmarkEnd w:id="4"/>
      <w:bookmarkEnd w:id="5"/>
      <w:bookmarkEnd w:id="6"/>
      <w:bookmarkEnd w:id="7"/>
      <w:r>
        <w:rPr>
          <w:rFonts w:hint="eastAsia" w:hAnsi="宋体" w:cs="宋体"/>
          <w:b/>
          <w:bCs/>
          <w:color w:val="auto"/>
          <w:sz w:val="30"/>
          <w:szCs w:val="30"/>
          <w:highlight w:val="none"/>
          <w:lang w:eastAsia="zh-CN"/>
        </w:rPr>
        <w:t>JNZC2025-C2-00504</w:t>
      </w:r>
    </w:p>
    <w:p w14:paraId="443D885B">
      <w:pPr>
        <w:pStyle w:val="15"/>
        <w:snapToGrid w:val="0"/>
        <w:spacing w:before="50" w:after="120" w:line="360" w:lineRule="auto"/>
        <w:ind w:firstLine="1783" w:firstLineChars="592"/>
        <w:rPr>
          <w:rFonts w:hAnsi="宋体" w:cs="宋体"/>
          <w:b/>
          <w:bCs/>
          <w:color w:val="auto"/>
          <w:sz w:val="30"/>
          <w:szCs w:val="30"/>
          <w:highlight w:val="none"/>
        </w:rPr>
      </w:pPr>
      <w:r>
        <w:rPr>
          <w:rFonts w:hint="eastAsia" w:hAnsi="宋体" w:cs="宋体"/>
          <w:b/>
          <w:bCs/>
          <w:color w:val="auto"/>
          <w:sz w:val="30"/>
          <w:szCs w:val="30"/>
          <w:highlight w:val="none"/>
        </w:rPr>
        <w:t>项目所属区划：</w:t>
      </w:r>
      <w:r>
        <w:rPr>
          <w:rFonts w:hint="eastAsia" w:hAnsi="宋体" w:cs="宋体"/>
          <w:b/>
          <w:bCs/>
          <w:color w:val="auto"/>
          <w:sz w:val="30"/>
          <w:szCs w:val="30"/>
          <w:highlight w:val="none"/>
          <w:lang w:eastAsia="zh-CN"/>
        </w:rPr>
        <w:t>南宁市江南区项目</w:t>
      </w:r>
      <w:r>
        <w:rPr>
          <w:rFonts w:hint="eastAsia" w:hAnsi="宋体" w:cs="宋体"/>
          <w:b/>
          <w:bCs/>
          <w:color w:val="auto"/>
          <w:sz w:val="30"/>
          <w:szCs w:val="30"/>
          <w:highlight w:val="none"/>
        </w:rPr>
        <w:t xml:space="preserve">   </w:t>
      </w:r>
    </w:p>
    <w:p w14:paraId="39F96867">
      <w:pPr>
        <w:pStyle w:val="15"/>
        <w:snapToGrid w:val="0"/>
        <w:spacing w:before="50" w:after="120" w:line="360" w:lineRule="auto"/>
        <w:ind w:firstLine="1783" w:firstLineChars="592"/>
        <w:outlineLvl w:val="0"/>
        <w:rPr>
          <w:rFonts w:hint="eastAsia" w:hAnsi="宋体" w:eastAsia="宋体" w:cs="宋体"/>
          <w:b/>
          <w:bCs/>
          <w:color w:val="auto"/>
          <w:sz w:val="30"/>
          <w:szCs w:val="30"/>
          <w:highlight w:val="none"/>
          <w:lang w:eastAsia="zh-CN"/>
        </w:rPr>
      </w:pPr>
      <w:bookmarkStart w:id="8" w:name="_Toc26813"/>
      <w:bookmarkStart w:id="9" w:name="_Toc19676"/>
      <w:bookmarkStart w:id="10" w:name="_Toc3482"/>
      <w:bookmarkStart w:id="11" w:name="_Toc6186"/>
      <w:r>
        <w:rPr>
          <w:rFonts w:hint="eastAsia" w:hAnsi="宋体" w:cs="宋体"/>
          <w:b/>
          <w:bCs/>
          <w:color w:val="auto"/>
          <w:sz w:val="30"/>
          <w:szCs w:val="30"/>
          <w:highlight w:val="none"/>
        </w:rPr>
        <w:t>采 购 人：</w:t>
      </w:r>
      <w:bookmarkEnd w:id="8"/>
      <w:bookmarkEnd w:id="9"/>
      <w:bookmarkStart w:id="12" w:name="_Toc6082"/>
      <w:r>
        <w:rPr>
          <w:rFonts w:hint="eastAsia" w:hAnsi="宋体" w:cs="宋体"/>
          <w:b/>
          <w:bCs/>
          <w:color w:val="auto"/>
          <w:sz w:val="30"/>
          <w:szCs w:val="30"/>
          <w:highlight w:val="none"/>
          <w:lang w:eastAsia="zh-CN"/>
        </w:rPr>
        <w:t>南宁市江南区苏圩镇人民政府</w:t>
      </w:r>
      <w:bookmarkEnd w:id="10"/>
      <w:bookmarkEnd w:id="11"/>
    </w:p>
    <w:p w14:paraId="44176F58">
      <w:pPr>
        <w:pStyle w:val="15"/>
        <w:snapToGrid w:val="0"/>
        <w:spacing w:before="50" w:after="120" w:line="360" w:lineRule="auto"/>
        <w:ind w:firstLine="1783" w:firstLineChars="592"/>
        <w:outlineLvl w:val="0"/>
        <w:rPr>
          <w:rFonts w:hAnsi="宋体" w:cs="宋体"/>
          <w:b/>
          <w:bCs/>
          <w:color w:val="auto"/>
          <w:w w:val="95"/>
          <w:sz w:val="30"/>
          <w:szCs w:val="30"/>
          <w:highlight w:val="none"/>
        </w:rPr>
      </w:pPr>
      <w:bookmarkStart w:id="13" w:name="_Toc5106"/>
      <w:bookmarkStart w:id="14" w:name="_Toc28027"/>
      <w:bookmarkStart w:id="15" w:name="_Toc17452"/>
      <w:r>
        <w:rPr>
          <w:rFonts w:hint="eastAsia" w:hAnsi="宋体" w:cs="宋体"/>
          <w:b/>
          <w:bCs/>
          <w:color w:val="auto"/>
          <w:sz w:val="30"/>
          <w:szCs w:val="30"/>
          <w:highlight w:val="none"/>
        </w:rPr>
        <w:t>采购代理机构：</w:t>
      </w:r>
      <w:bookmarkEnd w:id="12"/>
      <w:bookmarkEnd w:id="13"/>
      <w:r>
        <w:rPr>
          <w:rFonts w:hint="eastAsia" w:hAnsi="宋体" w:cs="宋体"/>
          <w:b/>
          <w:bCs/>
          <w:color w:val="auto"/>
          <w:sz w:val="30"/>
          <w:szCs w:val="30"/>
          <w:highlight w:val="none"/>
        </w:rPr>
        <w:t>广西合美工程咨询有限公司</w:t>
      </w:r>
      <w:bookmarkEnd w:id="14"/>
      <w:bookmarkEnd w:id="15"/>
    </w:p>
    <w:p w14:paraId="350F288B">
      <w:pPr>
        <w:pStyle w:val="15"/>
        <w:snapToGrid w:val="0"/>
        <w:spacing w:before="50" w:after="120" w:line="360" w:lineRule="auto"/>
        <w:jc w:val="center"/>
        <w:outlineLvl w:val="0"/>
        <w:rPr>
          <w:rFonts w:hint="eastAsia" w:hAnsi="宋体" w:cs="宋体"/>
          <w:b/>
          <w:bCs/>
          <w:color w:val="auto"/>
          <w:sz w:val="30"/>
          <w:szCs w:val="30"/>
          <w:highlight w:val="none"/>
        </w:rPr>
      </w:pPr>
      <w:r>
        <w:rPr>
          <w:rFonts w:hint="eastAsia" w:hAnsi="宋体" w:cs="宋体"/>
          <w:b/>
          <w:bCs/>
          <w:color w:val="auto"/>
          <w:sz w:val="30"/>
          <w:szCs w:val="30"/>
          <w:highlight w:val="none"/>
        </w:rPr>
        <w:t>202</w:t>
      </w:r>
      <w:r>
        <w:rPr>
          <w:rFonts w:hint="eastAsia" w:hAnsi="宋体" w:cs="宋体"/>
          <w:b/>
          <w:bCs/>
          <w:color w:val="auto"/>
          <w:sz w:val="30"/>
          <w:szCs w:val="30"/>
          <w:highlight w:val="none"/>
          <w:lang w:val="en-US" w:eastAsia="zh-CN"/>
        </w:rPr>
        <w:t>5</w:t>
      </w:r>
      <w:r>
        <w:rPr>
          <w:rFonts w:hint="eastAsia" w:hAnsi="宋体" w:cs="宋体"/>
          <w:b/>
          <w:bCs/>
          <w:color w:val="auto"/>
          <w:sz w:val="30"/>
          <w:szCs w:val="30"/>
          <w:highlight w:val="none"/>
        </w:rPr>
        <w:t>年</w:t>
      </w:r>
      <w:r>
        <w:rPr>
          <w:rFonts w:hint="eastAsia" w:hAnsi="宋体" w:cs="宋体"/>
          <w:b/>
          <w:bCs/>
          <w:color w:val="auto"/>
          <w:sz w:val="30"/>
          <w:szCs w:val="30"/>
          <w:highlight w:val="none"/>
          <w:lang w:val="en-US" w:eastAsia="zh-CN"/>
        </w:rPr>
        <w:t>5</w:t>
      </w:r>
      <w:r>
        <w:rPr>
          <w:rFonts w:hint="eastAsia" w:hAnsi="宋体" w:cs="宋体"/>
          <w:b/>
          <w:bCs/>
          <w:color w:val="auto"/>
          <w:sz w:val="30"/>
          <w:szCs w:val="30"/>
          <w:highlight w:val="none"/>
        </w:rPr>
        <w:t>月</w:t>
      </w:r>
      <w:r>
        <w:rPr>
          <w:rFonts w:hint="eastAsia" w:hAnsi="宋体" w:cs="宋体"/>
          <w:b/>
          <w:bCs/>
          <w:color w:val="auto"/>
          <w:sz w:val="30"/>
          <w:szCs w:val="30"/>
          <w:highlight w:val="none"/>
          <w:lang w:val="en-US" w:eastAsia="zh-CN"/>
        </w:rPr>
        <w:t>20</w:t>
      </w:r>
      <w:r>
        <w:rPr>
          <w:rFonts w:hint="eastAsia" w:hAnsi="宋体" w:cs="宋体"/>
          <w:b/>
          <w:bCs/>
          <w:color w:val="auto"/>
          <w:sz w:val="30"/>
          <w:szCs w:val="30"/>
          <w:highlight w:val="none"/>
        </w:rPr>
        <w:t>日</w:t>
      </w:r>
    </w:p>
    <w:p w14:paraId="7697E9D4">
      <w:pPr>
        <w:pStyle w:val="15"/>
        <w:snapToGrid w:val="0"/>
        <w:spacing w:before="50" w:after="120" w:line="360" w:lineRule="auto"/>
        <w:ind w:firstLine="1783" w:firstLineChars="592"/>
        <w:outlineLvl w:val="0"/>
        <w:rPr>
          <w:rFonts w:hint="eastAsia" w:hAnsi="宋体" w:cs="宋体"/>
          <w:b/>
          <w:bCs/>
          <w:color w:val="auto"/>
          <w:sz w:val="30"/>
          <w:szCs w:val="30"/>
          <w:highlight w:val="none"/>
        </w:rPr>
        <w:sectPr>
          <w:headerReference r:id="rId3" w:type="default"/>
          <w:pgSz w:w="11906" w:h="16838"/>
          <w:pgMar w:top="1134" w:right="1134" w:bottom="1134" w:left="1134" w:header="720" w:footer="720" w:gutter="0"/>
          <w:pgNumType w:start="1"/>
          <w:cols w:space="0" w:num="1"/>
          <w:rtlGutter w:val="0"/>
          <w:docGrid w:type="lines" w:linePitch="331" w:charSpace="0"/>
        </w:sectPr>
      </w:pPr>
    </w:p>
    <w:p w14:paraId="1A360404">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目   录</w:t>
      </w:r>
    </w:p>
    <w:p w14:paraId="3836A1AD">
      <w:pPr>
        <w:spacing w:line="400" w:lineRule="exact"/>
        <w:jc w:val="center"/>
        <w:rPr>
          <w:rFonts w:ascii="宋体" w:hAnsi="宋体" w:cs="宋体"/>
          <w:b/>
          <w:color w:val="auto"/>
          <w:sz w:val="44"/>
          <w:szCs w:val="44"/>
          <w:highlight w:val="none"/>
        </w:rPr>
      </w:pPr>
    </w:p>
    <w:p w14:paraId="0AEAF339">
      <w:pPr>
        <w:pStyle w:val="20"/>
        <w:tabs>
          <w:tab w:val="right" w:leader="dot" w:pos="9638"/>
        </w:tabs>
        <w:rPr>
          <w:color w:val="auto"/>
          <w:highlight w:val="none"/>
        </w:rPr>
      </w:pPr>
      <w:r>
        <w:rPr>
          <w:rFonts w:hint="eastAsia" w:ascii="宋体" w:hAnsi="宋体" w:cs="宋体"/>
          <w:b/>
          <w:color w:val="auto"/>
          <w:sz w:val="30"/>
          <w:szCs w:val="30"/>
          <w:highlight w:val="none"/>
        </w:rPr>
        <w:fldChar w:fldCharType="begin"/>
      </w:r>
      <w:r>
        <w:rPr>
          <w:rFonts w:hint="eastAsia" w:ascii="宋体" w:hAnsi="宋体" w:cs="宋体"/>
          <w:b/>
          <w:color w:val="auto"/>
          <w:sz w:val="30"/>
          <w:szCs w:val="30"/>
          <w:highlight w:val="none"/>
        </w:rPr>
        <w:instrText xml:space="preserve"> TOC \o "1-3" \h \z \u </w:instrText>
      </w:r>
      <w:r>
        <w:rPr>
          <w:rFonts w:hint="eastAsia" w:ascii="宋体" w:hAnsi="宋体" w:cs="宋体"/>
          <w:b/>
          <w:color w:val="auto"/>
          <w:sz w:val="30"/>
          <w:szCs w:val="30"/>
          <w:highlight w:val="none"/>
        </w:rPr>
        <w:fldChar w:fldCharType="separate"/>
      </w:r>
    </w:p>
    <w:p w14:paraId="77DCF9A3">
      <w:pPr>
        <w:pStyle w:val="20"/>
        <w:tabs>
          <w:tab w:val="right" w:leader="dot" w:pos="9638"/>
        </w:tabs>
        <w:rPr>
          <w:color w:val="auto"/>
          <w:highlight w:val="none"/>
        </w:rPr>
      </w:pPr>
      <w:r>
        <w:rPr>
          <w:rFonts w:hint="eastAsia" w:ascii="宋体" w:hAnsi="宋体" w:cs="宋体"/>
          <w:color w:val="auto"/>
          <w:szCs w:val="30"/>
          <w:highlight w:val="none"/>
        </w:rPr>
        <w:fldChar w:fldCharType="begin"/>
      </w:r>
      <w:r>
        <w:rPr>
          <w:rFonts w:hint="eastAsia" w:ascii="宋体" w:hAnsi="宋体" w:cs="宋体"/>
          <w:color w:val="auto"/>
          <w:szCs w:val="30"/>
          <w:highlight w:val="none"/>
        </w:rPr>
        <w:instrText xml:space="preserve"> HYPERLINK \l _Toc4137 </w:instrText>
      </w:r>
      <w:r>
        <w:rPr>
          <w:rFonts w:hint="eastAsia" w:ascii="宋体" w:hAnsi="宋体" w:cs="宋体"/>
          <w:color w:val="auto"/>
          <w:szCs w:val="30"/>
          <w:highlight w:val="none"/>
        </w:rPr>
        <w:fldChar w:fldCharType="separate"/>
      </w:r>
      <w:r>
        <w:rPr>
          <w:rFonts w:hint="eastAsia" w:ascii="宋体" w:hAnsi="宋体" w:cs="宋体"/>
          <w:color w:val="auto"/>
          <w:highlight w:val="none"/>
        </w:rPr>
        <w:t>第一章 竞争性磋商公告</w:t>
      </w:r>
      <w:r>
        <w:rPr>
          <w:color w:val="auto"/>
          <w:highlight w:val="none"/>
        </w:rPr>
        <w:tab/>
      </w:r>
      <w:r>
        <w:rPr>
          <w:color w:val="auto"/>
          <w:highlight w:val="none"/>
        </w:rPr>
        <w:fldChar w:fldCharType="begin"/>
      </w:r>
      <w:r>
        <w:rPr>
          <w:color w:val="auto"/>
          <w:highlight w:val="none"/>
        </w:rPr>
        <w:instrText xml:space="preserve"> PAGEREF _Toc4137 \h </w:instrText>
      </w:r>
      <w:r>
        <w:rPr>
          <w:color w:val="auto"/>
          <w:highlight w:val="none"/>
        </w:rPr>
        <w:fldChar w:fldCharType="separate"/>
      </w:r>
      <w:r>
        <w:rPr>
          <w:color w:val="auto"/>
          <w:highlight w:val="none"/>
        </w:rPr>
        <w:t>3</w:t>
      </w:r>
      <w:r>
        <w:rPr>
          <w:color w:val="auto"/>
          <w:highlight w:val="none"/>
        </w:rPr>
        <w:fldChar w:fldCharType="end"/>
      </w:r>
      <w:r>
        <w:rPr>
          <w:rFonts w:hint="eastAsia" w:ascii="宋体" w:hAnsi="宋体" w:cs="宋体"/>
          <w:color w:val="auto"/>
          <w:szCs w:val="30"/>
          <w:highlight w:val="none"/>
        </w:rPr>
        <w:fldChar w:fldCharType="end"/>
      </w:r>
    </w:p>
    <w:p w14:paraId="716EC71D">
      <w:pPr>
        <w:pStyle w:val="20"/>
        <w:tabs>
          <w:tab w:val="right" w:leader="dot" w:pos="9638"/>
        </w:tabs>
        <w:rPr>
          <w:color w:val="auto"/>
          <w:highlight w:val="none"/>
        </w:rPr>
      </w:pPr>
      <w:r>
        <w:rPr>
          <w:rFonts w:hint="eastAsia" w:ascii="宋体" w:hAnsi="宋体" w:cs="宋体"/>
          <w:color w:val="auto"/>
          <w:szCs w:val="30"/>
          <w:highlight w:val="none"/>
        </w:rPr>
        <w:fldChar w:fldCharType="begin"/>
      </w:r>
      <w:r>
        <w:rPr>
          <w:rFonts w:hint="eastAsia" w:ascii="宋体" w:hAnsi="宋体" w:cs="宋体"/>
          <w:color w:val="auto"/>
          <w:szCs w:val="30"/>
          <w:highlight w:val="none"/>
        </w:rPr>
        <w:instrText xml:space="preserve"> HYPERLINK \l _Toc6103 </w:instrText>
      </w:r>
      <w:r>
        <w:rPr>
          <w:rFonts w:hint="eastAsia" w:ascii="宋体" w:hAnsi="宋体" w:cs="宋体"/>
          <w:color w:val="auto"/>
          <w:szCs w:val="30"/>
          <w:highlight w:val="none"/>
        </w:rPr>
        <w:fldChar w:fldCharType="separate"/>
      </w:r>
      <w:r>
        <w:rPr>
          <w:rFonts w:hint="eastAsia" w:ascii="宋体" w:hAnsi="宋体" w:cs="宋体"/>
          <w:bCs w:val="0"/>
          <w:color w:val="auto"/>
          <w:szCs w:val="32"/>
          <w:highlight w:val="none"/>
        </w:rPr>
        <w:t>第二章 采购需求</w:t>
      </w:r>
      <w:r>
        <w:rPr>
          <w:color w:val="auto"/>
          <w:highlight w:val="none"/>
        </w:rPr>
        <w:tab/>
      </w:r>
      <w:r>
        <w:rPr>
          <w:color w:val="auto"/>
          <w:highlight w:val="none"/>
        </w:rPr>
        <w:fldChar w:fldCharType="begin"/>
      </w:r>
      <w:r>
        <w:rPr>
          <w:color w:val="auto"/>
          <w:highlight w:val="none"/>
        </w:rPr>
        <w:instrText xml:space="preserve"> PAGEREF _Toc6103 \h </w:instrText>
      </w:r>
      <w:r>
        <w:rPr>
          <w:color w:val="auto"/>
          <w:highlight w:val="none"/>
        </w:rPr>
        <w:fldChar w:fldCharType="separate"/>
      </w:r>
      <w:r>
        <w:rPr>
          <w:color w:val="auto"/>
          <w:highlight w:val="none"/>
        </w:rPr>
        <w:t>7</w:t>
      </w:r>
      <w:r>
        <w:rPr>
          <w:color w:val="auto"/>
          <w:highlight w:val="none"/>
        </w:rPr>
        <w:fldChar w:fldCharType="end"/>
      </w:r>
      <w:r>
        <w:rPr>
          <w:rFonts w:hint="eastAsia" w:ascii="宋体" w:hAnsi="宋体" w:cs="宋体"/>
          <w:color w:val="auto"/>
          <w:szCs w:val="30"/>
          <w:highlight w:val="none"/>
        </w:rPr>
        <w:fldChar w:fldCharType="end"/>
      </w:r>
    </w:p>
    <w:p w14:paraId="17AEF9C3">
      <w:pPr>
        <w:pStyle w:val="20"/>
        <w:tabs>
          <w:tab w:val="right" w:leader="dot" w:pos="9638"/>
        </w:tabs>
        <w:rPr>
          <w:color w:val="auto"/>
          <w:highlight w:val="none"/>
        </w:rPr>
      </w:pPr>
      <w:r>
        <w:rPr>
          <w:rFonts w:hint="eastAsia" w:ascii="宋体" w:hAnsi="宋体" w:cs="宋体"/>
          <w:color w:val="auto"/>
          <w:szCs w:val="30"/>
          <w:highlight w:val="none"/>
        </w:rPr>
        <w:fldChar w:fldCharType="begin"/>
      </w:r>
      <w:r>
        <w:rPr>
          <w:rFonts w:hint="eastAsia" w:ascii="宋体" w:hAnsi="宋体" w:cs="宋体"/>
          <w:color w:val="auto"/>
          <w:szCs w:val="30"/>
          <w:highlight w:val="none"/>
        </w:rPr>
        <w:instrText xml:space="preserve"> HYPERLINK \l _Toc20606 </w:instrText>
      </w:r>
      <w:r>
        <w:rPr>
          <w:rFonts w:hint="eastAsia" w:ascii="宋体" w:hAnsi="宋体" w:cs="宋体"/>
          <w:color w:val="auto"/>
          <w:szCs w:val="30"/>
          <w:highlight w:val="none"/>
        </w:rPr>
        <w:fldChar w:fldCharType="separate"/>
      </w:r>
      <w:r>
        <w:rPr>
          <w:rFonts w:hint="eastAsia" w:ascii="宋体" w:hAnsi="宋体" w:cs="宋体"/>
          <w:bCs w:val="0"/>
          <w:color w:val="auto"/>
          <w:szCs w:val="32"/>
          <w:highlight w:val="none"/>
        </w:rPr>
        <w:t>第三章 供应商须知</w:t>
      </w:r>
      <w:r>
        <w:rPr>
          <w:color w:val="auto"/>
          <w:highlight w:val="none"/>
        </w:rPr>
        <w:tab/>
      </w:r>
      <w:r>
        <w:rPr>
          <w:color w:val="auto"/>
          <w:highlight w:val="none"/>
        </w:rPr>
        <w:fldChar w:fldCharType="begin"/>
      </w:r>
      <w:r>
        <w:rPr>
          <w:color w:val="auto"/>
          <w:highlight w:val="none"/>
        </w:rPr>
        <w:instrText xml:space="preserve"> PAGEREF _Toc20606 \h </w:instrText>
      </w:r>
      <w:r>
        <w:rPr>
          <w:color w:val="auto"/>
          <w:highlight w:val="none"/>
        </w:rPr>
        <w:fldChar w:fldCharType="separate"/>
      </w:r>
      <w:r>
        <w:rPr>
          <w:color w:val="auto"/>
          <w:highlight w:val="none"/>
        </w:rPr>
        <w:t>10</w:t>
      </w:r>
      <w:r>
        <w:rPr>
          <w:color w:val="auto"/>
          <w:highlight w:val="none"/>
        </w:rPr>
        <w:fldChar w:fldCharType="end"/>
      </w:r>
      <w:r>
        <w:rPr>
          <w:rFonts w:hint="eastAsia" w:ascii="宋体" w:hAnsi="宋体" w:cs="宋体"/>
          <w:color w:val="auto"/>
          <w:szCs w:val="30"/>
          <w:highlight w:val="none"/>
        </w:rPr>
        <w:fldChar w:fldCharType="end"/>
      </w:r>
    </w:p>
    <w:p w14:paraId="0523C0BD">
      <w:pPr>
        <w:pStyle w:val="23"/>
        <w:tabs>
          <w:tab w:val="right" w:leader="dot" w:pos="9638"/>
          <w:tab w:val="clear" w:pos="8296"/>
        </w:tabs>
        <w:rPr>
          <w:color w:val="auto"/>
          <w:highlight w:val="none"/>
        </w:rPr>
      </w:pPr>
      <w:r>
        <w:rPr>
          <w:rFonts w:hint="eastAsia" w:ascii="宋体" w:hAnsi="宋体" w:cs="宋体"/>
          <w:color w:val="auto"/>
          <w:szCs w:val="30"/>
          <w:highlight w:val="none"/>
        </w:rPr>
        <w:fldChar w:fldCharType="begin"/>
      </w:r>
      <w:r>
        <w:rPr>
          <w:rFonts w:hint="eastAsia" w:ascii="宋体" w:hAnsi="宋体" w:cs="宋体"/>
          <w:color w:val="auto"/>
          <w:szCs w:val="30"/>
          <w:highlight w:val="none"/>
        </w:rPr>
        <w:instrText xml:space="preserve"> HYPERLINK \l _Toc25061 </w:instrText>
      </w:r>
      <w:r>
        <w:rPr>
          <w:rFonts w:hint="eastAsia" w:ascii="宋体" w:hAnsi="宋体" w:cs="宋体"/>
          <w:color w:val="auto"/>
          <w:szCs w:val="30"/>
          <w:highlight w:val="none"/>
        </w:rPr>
        <w:fldChar w:fldCharType="separate"/>
      </w:r>
      <w:r>
        <w:rPr>
          <w:rFonts w:hint="eastAsia" w:ascii="宋体" w:hAnsi="宋体" w:cs="宋体"/>
          <w:color w:val="auto"/>
          <w:highlight w:val="none"/>
        </w:rPr>
        <w:t>第一节 供应商须知前附表</w:t>
      </w:r>
      <w:r>
        <w:rPr>
          <w:color w:val="auto"/>
          <w:highlight w:val="none"/>
        </w:rPr>
        <w:tab/>
      </w:r>
      <w:r>
        <w:rPr>
          <w:color w:val="auto"/>
          <w:highlight w:val="none"/>
        </w:rPr>
        <w:fldChar w:fldCharType="begin"/>
      </w:r>
      <w:r>
        <w:rPr>
          <w:color w:val="auto"/>
          <w:highlight w:val="none"/>
        </w:rPr>
        <w:instrText xml:space="preserve"> PAGEREF _Toc25061 \h </w:instrText>
      </w:r>
      <w:r>
        <w:rPr>
          <w:color w:val="auto"/>
          <w:highlight w:val="none"/>
        </w:rPr>
        <w:fldChar w:fldCharType="separate"/>
      </w:r>
      <w:r>
        <w:rPr>
          <w:color w:val="auto"/>
          <w:highlight w:val="none"/>
        </w:rPr>
        <w:t>10</w:t>
      </w:r>
      <w:r>
        <w:rPr>
          <w:color w:val="auto"/>
          <w:highlight w:val="none"/>
        </w:rPr>
        <w:fldChar w:fldCharType="end"/>
      </w:r>
      <w:r>
        <w:rPr>
          <w:rFonts w:hint="eastAsia" w:ascii="宋体" w:hAnsi="宋体" w:cs="宋体"/>
          <w:color w:val="auto"/>
          <w:szCs w:val="30"/>
          <w:highlight w:val="none"/>
        </w:rPr>
        <w:fldChar w:fldCharType="end"/>
      </w:r>
    </w:p>
    <w:p w14:paraId="366A2119">
      <w:pPr>
        <w:pStyle w:val="23"/>
        <w:tabs>
          <w:tab w:val="right" w:leader="dot" w:pos="9638"/>
          <w:tab w:val="clear" w:pos="8296"/>
        </w:tabs>
        <w:rPr>
          <w:color w:val="auto"/>
          <w:highlight w:val="none"/>
        </w:rPr>
      </w:pPr>
      <w:r>
        <w:rPr>
          <w:rFonts w:hint="eastAsia" w:ascii="宋体" w:hAnsi="宋体" w:cs="宋体"/>
          <w:color w:val="auto"/>
          <w:szCs w:val="30"/>
          <w:highlight w:val="none"/>
        </w:rPr>
        <w:fldChar w:fldCharType="begin"/>
      </w:r>
      <w:r>
        <w:rPr>
          <w:rFonts w:hint="eastAsia" w:ascii="宋体" w:hAnsi="宋体" w:cs="宋体"/>
          <w:color w:val="auto"/>
          <w:szCs w:val="30"/>
          <w:highlight w:val="none"/>
        </w:rPr>
        <w:instrText xml:space="preserve"> HYPERLINK \l _Toc3048 </w:instrText>
      </w:r>
      <w:r>
        <w:rPr>
          <w:rFonts w:hint="eastAsia" w:ascii="宋体" w:hAnsi="宋体" w:cs="宋体"/>
          <w:color w:val="auto"/>
          <w:szCs w:val="30"/>
          <w:highlight w:val="none"/>
        </w:rPr>
        <w:fldChar w:fldCharType="separate"/>
      </w:r>
      <w:r>
        <w:rPr>
          <w:rFonts w:hint="eastAsia" w:ascii="宋体" w:hAnsi="宋体" w:cs="宋体"/>
          <w:color w:val="auto"/>
          <w:highlight w:val="none"/>
        </w:rPr>
        <w:t>第二节 供应商须知正文</w:t>
      </w:r>
      <w:r>
        <w:rPr>
          <w:color w:val="auto"/>
          <w:highlight w:val="none"/>
        </w:rPr>
        <w:tab/>
      </w:r>
      <w:r>
        <w:rPr>
          <w:color w:val="auto"/>
          <w:highlight w:val="none"/>
        </w:rPr>
        <w:fldChar w:fldCharType="begin"/>
      </w:r>
      <w:r>
        <w:rPr>
          <w:color w:val="auto"/>
          <w:highlight w:val="none"/>
        </w:rPr>
        <w:instrText xml:space="preserve"> PAGEREF _Toc3048 \h </w:instrText>
      </w:r>
      <w:r>
        <w:rPr>
          <w:color w:val="auto"/>
          <w:highlight w:val="none"/>
        </w:rPr>
        <w:fldChar w:fldCharType="separate"/>
      </w:r>
      <w:r>
        <w:rPr>
          <w:color w:val="auto"/>
          <w:highlight w:val="none"/>
        </w:rPr>
        <w:t>15</w:t>
      </w:r>
      <w:r>
        <w:rPr>
          <w:color w:val="auto"/>
          <w:highlight w:val="none"/>
        </w:rPr>
        <w:fldChar w:fldCharType="end"/>
      </w:r>
      <w:r>
        <w:rPr>
          <w:rFonts w:hint="eastAsia" w:ascii="宋体" w:hAnsi="宋体" w:cs="宋体"/>
          <w:color w:val="auto"/>
          <w:szCs w:val="30"/>
          <w:highlight w:val="none"/>
        </w:rPr>
        <w:fldChar w:fldCharType="end"/>
      </w:r>
    </w:p>
    <w:p w14:paraId="4FD79465">
      <w:pPr>
        <w:pStyle w:val="14"/>
        <w:tabs>
          <w:tab w:val="right" w:leader="dot" w:pos="9638"/>
        </w:tabs>
        <w:rPr>
          <w:color w:val="auto"/>
          <w:highlight w:val="none"/>
        </w:rPr>
      </w:pPr>
      <w:r>
        <w:rPr>
          <w:rFonts w:hint="eastAsia" w:ascii="宋体" w:hAnsi="宋体" w:cs="宋体"/>
          <w:color w:val="auto"/>
          <w:szCs w:val="30"/>
          <w:highlight w:val="none"/>
        </w:rPr>
        <w:fldChar w:fldCharType="begin"/>
      </w:r>
      <w:r>
        <w:rPr>
          <w:rFonts w:hint="eastAsia" w:ascii="宋体" w:hAnsi="宋体" w:cs="宋体"/>
          <w:color w:val="auto"/>
          <w:szCs w:val="30"/>
          <w:highlight w:val="none"/>
        </w:rPr>
        <w:instrText xml:space="preserve"> HYPERLINK \l _Toc27305 </w:instrText>
      </w:r>
      <w:r>
        <w:rPr>
          <w:rFonts w:hint="eastAsia" w:ascii="宋体" w:hAnsi="宋体" w:cs="宋体"/>
          <w:color w:val="auto"/>
          <w:szCs w:val="30"/>
          <w:highlight w:val="none"/>
        </w:rPr>
        <w:fldChar w:fldCharType="separate"/>
      </w:r>
      <w:r>
        <w:rPr>
          <w:rFonts w:hint="eastAsia" w:ascii="宋体" w:hAnsi="宋体" w:cs="宋体"/>
          <w:color w:val="auto"/>
          <w:highlight w:val="none"/>
        </w:rPr>
        <w:t>一、总则</w:t>
      </w:r>
      <w:r>
        <w:rPr>
          <w:color w:val="auto"/>
          <w:highlight w:val="none"/>
        </w:rPr>
        <w:tab/>
      </w:r>
      <w:r>
        <w:rPr>
          <w:color w:val="auto"/>
          <w:highlight w:val="none"/>
        </w:rPr>
        <w:fldChar w:fldCharType="begin"/>
      </w:r>
      <w:r>
        <w:rPr>
          <w:color w:val="auto"/>
          <w:highlight w:val="none"/>
        </w:rPr>
        <w:instrText xml:space="preserve"> PAGEREF _Toc27305 \h </w:instrText>
      </w:r>
      <w:r>
        <w:rPr>
          <w:color w:val="auto"/>
          <w:highlight w:val="none"/>
        </w:rPr>
        <w:fldChar w:fldCharType="separate"/>
      </w:r>
      <w:r>
        <w:rPr>
          <w:color w:val="auto"/>
          <w:highlight w:val="none"/>
        </w:rPr>
        <w:t>15</w:t>
      </w:r>
      <w:r>
        <w:rPr>
          <w:color w:val="auto"/>
          <w:highlight w:val="none"/>
        </w:rPr>
        <w:fldChar w:fldCharType="end"/>
      </w:r>
      <w:r>
        <w:rPr>
          <w:rFonts w:hint="eastAsia" w:ascii="宋体" w:hAnsi="宋体" w:cs="宋体"/>
          <w:color w:val="auto"/>
          <w:szCs w:val="30"/>
          <w:highlight w:val="none"/>
        </w:rPr>
        <w:fldChar w:fldCharType="end"/>
      </w:r>
    </w:p>
    <w:p w14:paraId="56632A2D">
      <w:pPr>
        <w:pStyle w:val="14"/>
        <w:tabs>
          <w:tab w:val="right" w:leader="dot" w:pos="9638"/>
        </w:tabs>
        <w:rPr>
          <w:color w:val="auto"/>
          <w:highlight w:val="none"/>
        </w:rPr>
      </w:pPr>
      <w:r>
        <w:rPr>
          <w:rFonts w:hint="eastAsia" w:ascii="宋体" w:hAnsi="宋体" w:cs="宋体"/>
          <w:color w:val="auto"/>
          <w:szCs w:val="30"/>
          <w:highlight w:val="none"/>
        </w:rPr>
        <w:fldChar w:fldCharType="begin"/>
      </w:r>
      <w:r>
        <w:rPr>
          <w:rFonts w:hint="eastAsia" w:ascii="宋体" w:hAnsi="宋体" w:cs="宋体"/>
          <w:color w:val="auto"/>
          <w:szCs w:val="30"/>
          <w:highlight w:val="none"/>
        </w:rPr>
        <w:instrText xml:space="preserve"> HYPERLINK \l _Toc4536 </w:instrText>
      </w:r>
      <w:r>
        <w:rPr>
          <w:rFonts w:hint="eastAsia" w:ascii="宋体" w:hAnsi="宋体" w:cs="宋体"/>
          <w:color w:val="auto"/>
          <w:szCs w:val="30"/>
          <w:highlight w:val="none"/>
        </w:rPr>
        <w:fldChar w:fldCharType="separate"/>
      </w:r>
      <w:r>
        <w:rPr>
          <w:rFonts w:hint="eastAsia" w:ascii="宋体" w:hAnsi="宋体" w:cs="宋体"/>
          <w:bCs w:val="0"/>
          <w:color w:val="auto"/>
          <w:highlight w:val="none"/>
        </w:rPr>
        <w:t>二、磋商文件</w:t>
      </w:r>
      <w:r>
        <w:rPr>
          <w:color w:val="auto"/>
          <w:highlight w:val="none"/>
        </w:rPr>
        <w:tab/>
      </w:r>
      <w:r>
        <w:rPr>
          <w:color w:val="auto"/>
          <w:highlight w:val="none"/>
        </w:rPr>
        <w:fldChar w:fldCharType="begin"/>
      </w:r>
      <w:r>
        <w:rPr>
          <w:color w:val="auto"/>
          <w:highlight w:val="none"/>
        </w:rPr>
        <w:instrText xml:space="preserve"> PAGEREF _Toc4536 \h </w:instrText>
      </w:r>
      <w:r>
        <w:rPr>
          <w:color w:val="auto"/>
          <w:highlight w:val="none"/>
        </w:rPr>
        <w:fldChar w:fldCharType="separate"/>
      </w:r>
      <w:r>
        <w:rPr>
          <w:color w:val="auto"/>
          <w:highlight w:val="none"/>
        </w:rPr>
        <w:t>17</w:t>
      </w:r>
      <w:r>
        <w:rPr>
          <w:color w:val="auto"/>
          <w:highlight w:val="none"/>
        </w:rPr>
        <w:fldChar w:fldCharType="end"/>
      </w:r>
      <w:r>
        <w:rPr>
          <w:rFonts w:hint="eastAsia" w:ascii="宋体" w:hAnsi="宋体" w:cs="宋体"/>
          <w:color w:val="auto"/>
          <w:szCs w:val="30"/>
          <w:highlight w:val="none"/>
        </w:rPr>
        <w:fldChar w:fldCharType="end"/>
      </w:r>
    </w:p>
    <w:p w14:paraId="67AE7388">
      <w:pPr>
        <w:pStyle w:val="14"/>
        <w:tabs>
          <w:tab w:val="right" w:leader="dot" w:pos="9638"/>
        </w:tabs>
        <w:rPr>
          <w:color w:val="auto"/>
          <w:highlight w:val="none"/>
        </w:rPr>
      </w:pPr>
      <w:r>
        <w:rPr>
          <w:rFonts w:hint="eastAsia" w:ascii="宋体" w:hAnsi="宋体" w:cs="宋体"/>
          <w:color w:val="auto"/>
          <w:szCs w:val="30"/>
          <w:highlight w:val="none"/>
        </w:rPr>
        <w:fldChar w:fldCharType="begin"/>
      </w:r>
      <w:r>
        <w:rPr>
          <w:rFonts w:hint="eastAsia" w:ascii="宋体" w:hAnsi="宋体" w:cs="宋体"/>
          <w:color w:val="auto"/>
          <w:szCs w:val="30"/>
          <w:highlight w:val="none"/>
        </w:rPr>
        <w:instrText xml:space="preserve"> HYPERLINK \l _Toc1418 </w:instrText>
      </w:r>
      <w:r>
        <w:rPr>
          <w:rFonts w:hint="eastAsia" w:ascii="宋体" w:hAnsi="宋体" w:cs="宋体"/>
          <w:color w:val="auto"/>
          <w:szCs w:val="30"/>
          <w:highlight w:val="none"/>
        </w:rPr>
        <w:fldChar w:fldCharType="separate"/>
      </w:r>
      <w:r>
        <w:rPr>
          <w:rFonts w:hint="eastAsia" w:ascii="宋体" w:hAnsi="宋体" w:cs="宋体"/>
          <w:bCs w:val="0"/>
          <w:color w:val="auto"/>
          <w:highlight w:val="none"/>
        </w:rPr>
        <w:t>三、响应文件的编制</w:t>
      </w:r>
      <w:r>
        <w:rPr>
          <w:color w:val="auto"/>
          <w:highlight w:val="none"/>
        </w:rPr>
        <w:tab/>
      </w:r>
      <w:r>
        <w:rPr>
          <w:color w:val="auto"/>
          <w:highlight w:val="none"/>
        </w:rPr>
        <w:fldChar w:fldCharType="begin"/>
      </w:r>
      <w:r>
        <w:rPr>
          <w:color w:val="auto"/>
          <w:highlight w:val="none"/>
        </w:rPr>
        <w:instrText xml:space="preserve"> PAGEREF _Toc1418 \h </w:instrText>
      </w:r>
      <w:r>
        <w:rPr>
          <w:color w:val="auto"/>
          <w:highlight w:val="none"/>
        </w:rPr>
        <w:fldChar w:fldCharType="separate"/>
      </w:r>
      <w:r>
        <w:rPr>
          <w:color w:val="auto"/>
          <w:highlight w:val="none"/>
        </w:rPr>
        <w:t>18</w:t>
      </w:r>
      <w:r>
        <w:rPr>
          <w:color w:val="auto"/>
          <w:highlight w:val="none"/>
        </w:rPr>
        <w:fldChar w:fldCharType="end"/>
      </w:r>
      <w:r>
        <w:rPr>
          <w:rFonts w:hint="eastAsia" w:ascii="宋体" w:hAnsi="宋体" w:cs="宋体"/>
          <w:color w:val="auto"/>
          <w:szCs w:val="30"/>
          <w:highlight w:val="none"/>
        </w:rPr>
        <w:fldChar w:fldCharType="end"/>
      </w:r>
    </w:p>
    <w:p w14:paraId="6BEA86C2">
      <w:pPr>
        <w:pStyle w:val="14"/>
        <w:tabs>
          <w:tab w:val="right" w:leader="dot" w:pos="9638"/>
        </w:tabs>
        <w:rPr>
          <w:color w:val="auto"/>
          <w:highlight w:val="none"/>
        </w:rPr>
      </w:pPr>
      <w:r>
        <w:rPr>
          <w:rFonts w:hint="eastAsia" w:ascii="宋体" w:hAnsi="宋体" w:cs="宋体"/>
          <w:color w:val="auto"/>
          <w:szCs w:val="30"/>
          <w:highlight w:val="none"/>
        </w:rPr>
        <w:fldChar w:fldCharType="begin"/>
      </w:r>
      <w:r>
        <w:rPr>
          <w:rFonts w:hint="eastAsia" w:ascii="宋体" w:hAnsi="宋体" w:cs="宋体"/>
          <w:color w:val="auto"/>
          <w:szCs w:val="30"/>
          <w:highlight w:val="none"/>
        </w:rPr>
        <w:instrText xml:space="preserve"> HYPERLINK \l _Toc5699 </w:instrText>
      </w:r>
      <w:r>
        <w:rPr>
          <w:rFonts w:hint="eastAsia" w:ascii="宋体" w:hAnsi="宋体" w:cs="宋体"/>
          <w:color w:val="auto"/>
          <w:szCs w:val="30"/>
          <w:highlight w:val="none"/>
        </w:rPr>
        <w:fldChar w:fldCharType="separate"/>
      </w:r>
      <w:r>
        <w:rPr>
          <w:rFonts w:hint="eastAsia" w:ascii="宋体" w:hAnsi="宋体" w:cs="宋体"/>
          <w:bCs w:val="0"/>
          <w:color w:val="auto"/>
          <w:highlight w:val="none"/>
        </w:rPr>
        <w:t>四、评审及磋商</w:t>
      </w:r>
      <w:r>
        <w:rPr>
          <w:color w:val="auto"/>
          <w:highlight w:val="none"/>
        </w:rPr>
        <w:tab/>
      </w:r>
      <w:r>
        <w:rPr>
          <w:color w:val="auto"/>
          <w:highlight w:val="none"/>
        </w:rPr>
        <w:fldChar w:fldCharType="begin"/>
      </w:r>
      <w:r>
        <w:rPr>
          <w:color w:val="auto"/>
          <w:highlight w:val="none"/>
        </w:rPr>
        <w:instrText xml:space="preserve"> PAGEREF _Toc5699 \h </w:instrText>
      </w:r>
      <w:r>
        <w:rPr>
          <w:color w:val="auto"/>
          <w:highlight w:val="none"/>
        </w:rPr>
        <w:fldChar w:fldCharType="separate"/>
      </w:r>
      <w:r>
        <w:rPr>
          <w:color w:val="auto"/>
          <w:highlight w:val="none"/>
        </w:rPr>
        <w:t>20</w:t>
      </w:r>
      <w:r>
        <w:rPr>
          <w:color w:val="auto"/>
          <w:highlight w:val="none"/>
        </w:rPr>
        <w:fldChar w:fldCharType="end"/>
      </w:r>
      <w:r>
        <w:rPr>
          <w:rFonts w:hint="eastAsia" w:ascii="宋体" w:hAnsi="宋体" w:cs="宋体"/>
          <w:color w:val="auto"/>
          <w:szCs w:val="30"/>
          <w:highlight w:val="none"/>
        </w:rPr>
        <w:fldChar w:fldCharType="end"/>
      </w:r>
    </w:p>
    <w:p w14:paraId="66622395">
      <w:pPr>
        <w:pStyle w:val="14"/>
        <w:tabs>
          <w:tab w:val="right" w:leader="dot" w:pos="9638"/>
        </w:tabs>
        <w:rPr>
          <w:color w:val="auto"/>
          <w:highlight w:val="none"/>
        </w:rPr>
      </w:pPr>
      <w:r>
        <w:rPr>
          <w:rFonts w:hint="eastAsia" w:ascii="宋体" w:hAnsi="宋体" w:cs="宋体"/>
          <w:color w:val="auto"/>
          <w:szCs w:val="30"/>
          <w:highlight w:val="none"/>
        </w:rPr>
        <w:fldChar w:fldCharType="begin"/>
      </w:r>
      <w:r>
        <w:rPr>
          <w:rFonts w:hint="eastAsia" w:ascii="宋体" w:hAnsi="宋体" w:cs="宋体"/>
          <w:color w:val="auto"/>
          <w:szCs w:val="30"/>
          <w:highlight w:val="none"/>
        </w:rPr>
        <w:instrText xml:space="preserve"> HYPERLINK \l _Toc27128 </w:instrText>
      </w:r>
      <w:r>
        <w:rPr>
          <w:rFonts w:hint="eastAsia" w:ascii="宋体" w:hAnsi="宋体" w:cs="宋体"/>
          <w:color w:val="auto"/>
          <w:szCs w:val="30"/>
          <w:highlight w:val="none"/>
        </w:rPr>
        <w:fldChar w:fldCharType="separate"/>
      </w:r>
      <w:r>
        <w:rPr>
          <w:rFonts w:hint="eastAsia" w:ascii="宋体" w:hAnsi="宋体" w:cs="宋体"/>
          <w:bCs w:val="0"/>
          <w:color w:val="auto"/>
          <w:highlight w:val="none"/>
        </w:rPr>
        <w:t>五、成交及合同</w:t>
      </w:r>
      <w:r>
        <w:rPr>
          <w:color w:val="auto"/>
          <w:highlight w:val="none"/>
        </w:rPr>
        <w:tab/>
      </w:r>
      <w:r>
        <w:rPr>
          <w:color w:val="auto"/>
          <w:highlight w:val="none"/>
        </w:rPr>
        <w:fldChar w:fldCharType="begin"/>
      </w:r>
      <w:r>
        <w:rPr>
          <w:color w:val="auto"/>
          <w:highlight w:val="none"/>
        </w:rPr>
        <w:instrText xml:space="preserve"> PAGEREF _Toc27128 \h </w:instrText>
      </w:r>
      <w:r>
        <w:rPr>
          <w:color w:val="auto"/>
          <w:highlight w:val="none"/>
        </w:rPr>
        <w:fldChar w:fldCharType="separate"/>
      </w:r>
      <w:r>
        <w:rPr>
          <w:color w:val="auto"/>
          <w:highlight w:val="none"/>
        </w:rPr>
        <w:t>21</w:t>
      </w:r>
      <w:r>
        <w:rPr>
          <w:color w:val="auto"/>
          <w:highlight w:val="none"/>
        </w:rPr>
        <w:fldChar w:fldCharType="end"/>
      </w:r>
      <w:r>
        <w:rPr>
          <w:rFonts w:hint="eastAsia" w:ascii="宋体" w:hAnsi="宋体" w:cs="宋体"/>
          <w:color w:val="auto"/>
          <w:szCs w:val="30"/>
          <w:highlight w:val="none"/>
        </w:rPr>
        <w:fldChar w:fldCharType="end"/>
      </w:r>
    </w:p>
    <w:p w14:paraId="0205F18D">
      <w:pPr>
        <w:pStyle w:val="14"/>
        <w:tabs>
          <w:tab w:val="right" w:leader="dot" w:pos="9638"/>
        </w:tabs>
        <w:rPr>
          <w:color w:val="auto"/>
          <w:highlight w:val="none"/>
        </w:rPr>
      </w:pPr>
      <w:r>
        <w:rPr>
          <w:rFonts w:hint="eastAsia" w:ascii="宋体" w:hAnsi="宋体" w:cs="宋体"/>
          <w:color w:val="auto"/>
          <w:szCs w:val="30"/>
          <w:highlight w:val="none"/>
        </w:rPr>
        <w:fldChar w:fldCharType="begin"/>
      </w:r>
      <w:r>
        <w:rPr>
          <w:rFonts w:hint="eastAsia" w:ascii="宋体" w:hAnsi="宋体" w:cs="宋体"/>
          <w:color w:val="auto"/>
          <w:szCs w:val="30"/>
          <w:highlight w:val="none"/>
        </w:rPr>
        <w:instrText xml:space="preserve"> HYPERLINK \l _Toc15849 </w:instrText>
      </w:r>
      <w:r>
        <w:rPr>
          <w:rFonts w:hint="eastAsia" w:ascii="宋体" w:hAnsi="宋体" w:cs="宋体"/>
          <w:color w:val="auto"/>
          <w:szCs w:val="30"/>
          <w:highlight w:val="none"/>
        </w:rPr>
        <w:fldChar w:fldCharType="separate"/>
      </w:r>
      <w:r>
        <w:rPr>
          <w:rFonts w:hint="eastAsia" w:ascii="宋体" w:hAnsi="宋体" w:cs="宋体"/>
          <w:color w:val="auto"/>
          <w:highlight w:val="none"/>
        </w:rPr>
        <w:t>六、验收</w:t>
      </w:r>
      <w:r>
        <w:rPr>
          <w:color w:val="auto"/>
          <w:highlight w:val="none"/>
        </w:rPr>
        <w:tab/>
      </w:r>
      <w:r>
        <w:rPr>
          <w:color w:val="auto"/>
          <w:highlight w:val="none"/>
        </w:rPr>
        <w:fldChar w:fldCharType="begin"/>
      </w:r>
      <w:r>
        <w:rPr>
          <w:color w:val="auto"/>
          <w:highlight w:val="none"/>
        </w:rPr>
        <w:instrText xml:space="preserve"> PAGEREF _Toc15849 \h </w:instrText>
      </w:r>
      <w:r>
        <w:rPr>
          <w:color w:val="auto"/>
          <w:highlight w:val="none"/>
        </w:rPr>
        <w:fldChar w:fldCharType="separate"/>
      </w:r>
      <w:r>
        <w:rPr>
          <w:color w:val="auto"/>
          <w:highlight w:val="none"/>
        </w:rPr>
        <w:t>23</w:t>
      </w:r>
      <w:r>
        <w:rPr>
          <w:color w:val="auto"/>
          <w:highlight w:val="none"/>
        </w:rPr>
        <w:fldChar w:fldCharType="end"/>
      </w:r>
      <w:r>
        <w:rPr>
          <w:rFonts w:hint="eastAsia" w:ascii="宋体" w:hAnsi="宋体" w:cs="宋体"/>
          <w:color w:val="auto"/>
          <w:szCs w:val="30"/>
          <w:highlight w:val="none"/>
        </w:rPr>
        <w:fldChar w:fldCharType="end"/>
      </w:r>
    </w:p>
    <w:p w14:paraId="77104F5D">
      <w:pPr>
        <w:pStyle w:val="14"/>
        <w:tabs>
          <w:tab w:val="right" w:leader="dot" w:pos="9638"/>
        </w:tabs>
        <w:rPr>
          <w:color w:val="auto"/>
          <w:highlight w:val="none"/>
        </w:rPr>
      </w:pPr>
      <w:r>
        <w:rPr>
          <w:rFonts w:hint="eastAsia" w:ascii="宋体" w:hAnsi="宋体" w:cs="宋体"/>
          <w:color w:val="auto"/>
          <w:szCs w:val="30"/>
          <w:highlight w:val="none"/>
        </w:rPr>
        <w:fldChar w:fldCharType="begin"/>
      </w:r>
      <w:r>
        <w:rPr>
          <w:rFonts w:hint="eastAsia" w:ascii="宋体" w:hAnsi="宋体" w:cs="宋体"/>
          <w:color w:val="auto"/>
          <w:szCs w:val="30"/>
          <w:highlight w:val="none"/>
        </w:rPr>
        <w:instrText xml:space="preserve"> HYPERLINK \l _Toc29402 </w:instrText>
      </w:r>
      <w:r>
        <w:rPr>
          <w:rFonts w:hint="eastAsia" w:ascii="宋体" w:hAnsi="宋体" w:cs="宋体"/>
          <w:color w:val="auto"/>
          <w:szCs w:val="30"/>
          <w:highlight w:val="none"/>
        </w:rPr>
        <w:fldChar w:fldCharType="separate"/>
      </w:r>
      <w:r>
        <w:rPr>
          <w:rFonts w:hint="eastAsia" w:ascii="宋体" w:hAnsi="宋体" w:cs="宋体"/>
          <w:bCs w:val="0"/>
          <w:color w:val="auto"/>
          <w:highlight w:val="none"/>
        </w:rPr>
        <w:t>七、其他事项</w:t>
      </w:r>
      <w:r>
        <w:rPr>
          <w:color w:val="auto"/>
          <w:highlight w:val="none"/>
        </w:rPr>
        <w:tab/>
      </w:r>
      <w:r>
        <w:rPr>
          <w:color w:val="auto"/>
          <w:highlight w:val="none"/>
        </w:rPr>
        <w:fldChar w:fldCharType="begin"/>
      </w:r>
      <w:r>
        <w:rPr>
          <w:color w:val="auto"/>
          <w:highlight w:val="none"/>
        </w:rPr>
        <w:instrText xml:space="preserve"> PAGEREF _Toc29402 \h </w:instrText>
      </w:r>
      <w:r>
        <w:rPr>
          <w:color w:val="auto"/>
          <w:highlight w:val="none"/>
        </w:rPr>
        <w:fldChar w:fldCharType="separate"/>
      </w:r>
      <w:r>
        <w:rPr>
          <w:color w:val="auto"/>
          <w:highlight w:val="none"/>
        </w:rPr>
        <w:t>24</w:t>
      </w:r>
      <w:r>
        <w:rPr>
          <w:color w:val="auto"/>
          <w:highlight w:val="none"/>
        </w:rPr>
        <w:fldChar w:fldCharType="end"/>
      </w:r>
      <w:r>
        <w:rPr>
          <w:rFonts w:hint="eastAsia" w:ascii="宋体" w:hAnsi="宋体" w:cs="宋体"/>
          <w:color w:val="auto"/>
          <w:szCs w:val="30"/>
          <w:highlight w:val="none"/>
        </w:rPr>
        <w:fldChar w:fldCharType="end"/>
      </w:r>
    </w:p>
    <w:p w14:paraId="584CE3BA">
      <w:pPr>
        <w:pStyle w:val="20"/>
        <w:tabs>
          <w:tab w:val="right" w:leader="dot" w:pos="9638"/>
        </w:tabs>
        <w:rPr>
          <w:color w:val="auto"/>
          <w:highlight w:val="none"/>
        </w:rPr>
      </w:pPr>
      <w:r>
        <w:rPr>
          <w:rFonts w:hint="eastAsia" w:ascii="宋体" w:hAnsi="宋体" w:cs="宋体"/>
          <w:color w:val="auto"/>
          <w:szCs w:val="30"/>
          <w:highlight w:val="none"/>
        </w:rPr>
        <w:fldChar w:fldCharType="begin"/>
      </w:r>
      <w:r>
        <w:rPr>
          <w:rFonts w:hint="eastAsia" w:ascii="宋体" w:hAnsi="宋体" w:cs="宋体"/>
          <w:color w:val="auto"/>
          <w:szCs w:val="30"/>
          <w:highlight w:val="none"/>
        </w:rPr>
        <w:instrText xml:space="preserve"> HYPERLINK \l _Toc10219 </w:instrText>
      </w:r>
      <w:r>
        <w:rPr>
          <w:rFonts w:hint="eastAsia" w:ascii="宋体" w:hAnsi="宋体" w:cs="宋体"/>
          <w:color w:val="auto"/>
          <w:szCs w:val="30"/>
          <w:highlight w:val="none"/>
        </w:rPr>
        <w:fldChar w:fldCharType="separate"/>
      </w:r>
      <w:r>
        <w:rPr>
          <w:rFonts w:hint="eastAsia" w:ascii="宋体" w:hAnsi="宋体" w:cs="宋体"/>
          <w:color w:val="auto"/>
          <w:highlight w:val="none"/>
        </w:rPr>
        <w:t>第四章  评审程序、评审方法和评审标准</w:t>
      </w:r>
      <w:r>
        <w:rPr>
          <w:color w:val="auto"/>
          <w:highlight w:val="none"/>
        </w:rPr>
        <w:tab/>
      </w:r>
      <w:r>
        <w:rPr>
          <w:color w:val="auto"/>
          <w:highlight w:val="none"/>
        </w:rPr>
        <w:fldChar w:fldCharType="begin"/>
      </w:r>
      <w:r>
        <w:rPr>
          <w:color w:val="auto"/>
          <w:highlight w:val="none"/>
        </w:rPr>
        <w:instrText xml:space="preserve"> PAGEREF _Toc10219 \h </w:instrText>
      </w:r>
      <w:r>
        <w:rPr>
          <w:color w:val="auto"/>
          <w:highlight w:val="none"/>
        </w:rPr>
        <w:fldChar w:fldCharType="separate"/>
      </w:r>
      <w:r>
        <w:rPr>
          <w:color w:val="auto"/>
          <w:highlight w:val="none"/>
        </w:rPr>
        <w:t>25</w:t>
      </w:r>
      <w:r>
        <w:rPr>
          <w:color w:val="auto"/>
          <w:highlight w:val="none"/>
        </w:rPr>
        <w:fldChar w:fldCharType="end"/>
      </w:r>
      <w:r>
        <w:rPr>
          <w:rFonts w:hint="eastAsia" w:ascii="宋体" w:hAnsi="宋体" w:cs="宋体"/>
          <w:color w:val="auto"/>
          <w:szCs w:val="30"/>
          <w:highlight w:val="none"/>
        </w:rPr>
        <w:fldChar w:fldCharType="end"/>
      </w:r>
    </w:p>
    <w:p w14:paraId="07E61DC1">
      <w:pPr>
        <w:pStyle w:val="23"/>
        <w:tabs>
          <w:tab w:val="right" w:leader="dot" w:pos="9638"/>
          <w:tab w:val="clear" w:pos="8296"/>
        </w:tabs>
        <w:rPr>
          <w:color w:val="auto"/>
          <w:highlight w:val="none"/>
        </w:rPr>
      </w:pPr>
      <w:r>
        <w:rPr>
          <w:rFonts w:hint="eastAsia" w:ascii="宋体" w:hAnsi="宋体" w:cs="宋体"/>
          <w:color w:val="auto"/>
          <w:szCs w:val="30"/>
          <w:highlight w:val="none"/>
        </w:rPr>
        <w:fldChar w:fldCharType="begin"/>
      </w:r>
      <w:r>
        <w:rPr>
          <w:rFonts w:hint="eastAsia" w:ascii="宋体" w:hAnsi="宋体" w:cs="宋体"/>
          <w:color w:val="auto"/>
          <w:szCs w:val="30"/>
          <w:highlight w:val="none"/>
        </w:rPr>
        <w:instrText xml:space="preserve"> HYPERLINK \l _Toc6778 </w:instrText>
      </w:r>
      <w:r>
        <w:rPr>
          <w:rFonts w:hint="eastAsia" w:ascii="宋体" w:hAnsi="宋体" w:cs="宋体"/>
          <w:color w:val="auto"/>
          <w:szCs w:val="30"/>
          <w:highlight w:val="none"/>
        </w:rPr>
        <w:fldChar w:fldCharType="separate"/>
      </w:r>
      <w:r>
        <w:rPr>
          <w:rFonts w:hint="eastAsia" w:ascii="宋体" w:hAnsi="宋体" w:cs="宋体"/>
          <w:color w:val="auto"/>
          <w:highlight w:val="none"/>
        </w:rPr>
        <w:t>第一节 评审程序和评审方法</w:t>
      </w:r>
      <w:r>
        <w:rPr>
          <w:color w:val="auto"/>
          <w:highlight w:val="none"/>
        </w:rPr>
        <w:tab/>
      </w:r>
      <w:r>
        <w:rPr>
          <w:color w:val="auto"/>
          <w:highlight w:val="none"/>
        </w:rPr>
        <w:fldChar w:fldCharType="begin"/>
      </w:r>
      <w:r>
        <w:rPr>
          <w:color w:val="auto"/>
          <w:highlight w:val="none"/>
        </w:rPr>
        <w:instrText xml:space="preserve"> PAGEREF _Toc6778 \h </w:instrText>
      </w:r>
      <w:r>
        <w:rPr>
          <w:color w:val="auto"/>
          <w:highlight w:val="none"/>
        </w:rPr>
        <w:fldChar w:fldCharType="separate"/>
      </w:r>
      <w:r>
        <w:rPr>
          <w:color w:val="auto"/>
          <w:highlight w:val="none"/>
        </w:rPr>
        <w:t>25</w:t>
      </w:r>
      <w:r>
        <w:rPr>
          <w:color w:val="auto"/>
          <w:highlight w:val="none"/>
        </w:rPr>
        <w:fldChar w:fldCharType="end"/>
      </w:r>
      <w:r>
        <w:rPr>
          <w:rFonts w:hint="eastAsia" w:ascii="宋体" w:hAnsi="宋体" w:cs="宋体"/>
          <w:color w:val="auto"/>
          <w:szCs w:val="30"/>
          <w:highlight w:val="none"/>
        </w:rPr>
        <w:fldChar w:fldCharType="end"/>
      </w:r>
    </w:p>
    <w:p w14:paraId="7735B5F6">
      <w:pPr>
        <w:pStyle w:val="23"/>
        <w:tabs>
          <w:tab w:val="right" w:leader="dot" w:pos="9638"/>
          <w:tab w:val="clear" w:pos="8296"/>
        </w:tabs>
        <w:rPr>
          <w:color w:val="auto"/>
          <w:highlight w:val="none"/>
        </w:rPr>
      </w:pPr>
      <w:r>
        <w:rPr>
          <w:rFonts w:hint="eastAsia" w:ascii="宋体" w:hAnsi="宋体" w:cs="宋体"/>
          <w:color w:val="auto"/>
          <w:szCs w:val="30"/>
          <w:highlight w:val="none"/>
        </w:rPr>
        <w:fldChar w:fldCharType="begin"/>
      </w:r>
      <w:r>
        <w:rPr>
          <w:rFonts w:hint="eastAsia" w:ascii="宋体" w:hAnsi="宋体" w:cs="宋体"/>
          <w:color w:val="auto"/>
          <w:szCs w:val="30"/>
          <w:highlight w:val="none"/>
        </w:rPr>
        <w:instrText xml:space="preserve"> HYPERLINK \l _Toc9528 </w:instrText>
      </w:r>
      <w:r>
        <w:rPr>
          <w:rFonts w:hint="eastAsia" w:ascii="宋体" w:hAnsi="宋体" w:cs="宋体"/>
          <w:color w:val="auto"/>
          <w:szCs w:val="30"/>
          <w:highlight w:val="none"/>
        </w:rPr>
        <w:fldChar w:fldCharType="separate"/>
      </w:r>
      <w:r>
        <w:rPr>
          <w:rFonts w:hint="eastAsia" w:ascii="宋体" w:hAnsi="宋体" w:cs="宋体"/>
          <w:color w:val="auto"/>
          <w:highlight w:val="none"/>
        </w:rPr>
        <w:t>第二节 评标报告</w:t>
      </w:r>
      <w:r>
        <w:rPr>
          <w:color w:val="auto"/>
          <w:highlight w:val="none"/>
        </w:rPr>
        <w:tab/>
      </w:r>
      <w:r>
        <w:rPr>
          <w:color w:val="auto"/>
          <w:highlight w:val="none"/>
        </w:rPr>
        <w:fldChar w:fldCharType="begin"/>
      </w:r>
      <w:r>
        <w:rPr>
          <w:color w:val="auto"/>
          <w:highlight w:val="none"/>
        </w:rPr>
        <w:instrText xml:space="preserve"> PAGEREF _Toc9528 \h </w:instrText>
      </w:r>
      <w:r>
        <w:rPr>
          <w:color w:val="auto"/>
          <w:highlight w:val="none"/>
        </w:rPr>
        <w:fldChar w:fldCharType="separate"/>
      </w:r>
      <w:r>
        <w:rPr>
          <w:color w:val="auto"/>
          <w:highlight w:val="none"/>
        </w:rPr>
        <w:t>34</w:t>
      </w:r>
      <w:r>
        <w:rPr>
          <w:color w:val="auto"/>
          <w:highlight w:val="none"/>
        </w:rPr>
        <w:fldChar w:fldCharType="end"/>
      </w:r>
      <w:r>
        <w:rPr>
          <w:rFonts w:hint="eastAsia" w:ascii="宋体" w:hAnsi="宋体" w:cs="宋体"/>
          <w:color w:val="auto"/>
          <w:szCs w:val="30"/>
          <w:highlight w:val="none"/>
        </w:rPr>
        <w:fldChar w:fldCharType="end"/>
      </w:r>
    </w:p>
    <w:p w14:paraId="245BB811">
      <w:pPr>
        <w:pStyle w:val="23"/>
        <w:tabs>
          <w:tab w:val="right" w:leader="dot" w:pos="9638"/>
          <w:tab w:val="clear" w:pos="8296"/>
        </w:tabs>
        <w:rPr>
          <w:color w:val="auto"/>
          <w:highlight w:val="none"/>
        </w:rPr>
      </w:pPr>
      <w:r>
        <w:rPr>
          <w:rFonts w:hint="eastAsia" w:ascii="宋体" w:hAnsi="宋体" w:cs="宋体"/>
          <w:color w:val="auto"/>
          <w:szCs w:val="30"/>
          <w:highlight w:val="none"/>
        </w:rPr>
        <w:fldChar w:fldCharType="begin"/>
      </w:r>
      <w:r>
        <w:rPr>
          <w:rFonts w:hint="eastAsia" w:ascii="宋体" w:hAnsi="宋体" w:cs="宋体"/>
          <w:color w:val="auto"/>
          <w:szCs w:val="30"/>
          <w:highlight w:val="none"/>
        </w:rPr>
        <w:instrText xml:space="preserve"> HYPERLINK \l _Toc22191 </w:instrText>
      </w:r>
      <w:r>
        <w:rPr>
          <w:rFonts w:hint="eastAsia" w:ascii="宋体" w:hAnsi="宋体" w:cs="宋体"/>
          <w:color w:val="auto"/>
          <w:szCs w:val="30"/>
          <w:highlight w:val="none"/>
        </w:rPr>
        <w:fldChar w:fldCharType="separate"/>
      </w:r>
      <w:r>
        <w:rPr>
          <w:rFonts w:hint="eastAsia" w:ascii="宋体" w:hAnsi="宋体" w:cs="宋体"/>
          <w:color w:val="auto"/>
          <w:highlight w:val="none"/>
        </w:rPr>
        <w:t>第三节 评审过程的保密与录像</w:t>
      </w:r>
      <w:r>
        <w:rPr>
          <w:color w:val="auto"/>
          <w:highlight w:val="none"/>
        </w:rPr>
        <w:tab/>
      </w:r>
      <w:r>
        <w:rPr>
          <w:color w:val="auto"/>
          <w:highlight w:val="none"/>
        </w:rPr>
        <w:fldChar w:fldCharType="begin"/>
      </w:r>
      <w:r>
        <w:rPr>
          <w:color w:val="auto"/>
          <w:highlight w:val="none"/>
        </w:rPr>
        <w:instrText xml:space="preserve"> PAGEREF _Toc22191 \h </w:instrText>
      </w:r>
      <w:r>
        <w:rPr>
          <w:color w:val="auto"/>
          <w:highlight w:val="none"/>
        </w:rPr>
        <w:fldChar w:fldCharType="separate"/>
      </w:r>
      <w:r>
        <w:rPr>
          <w:color w:val="auto"/>
          <w:highlight w:val="none"/>
        </w:rPr>
        <w:t>34</w:t>
      </w:r>
      <w:r>
        <w:rPr>
          <w:color w:val="auto"/>
          <w:highlight w:val="none"/>
        </w:rPr>
        <w:fldChar w:fldCharType="end"/>
      </w:r>
      <w:r>
        <w:rPr>
          <w:rFonts w:hint="eastAsia" w:ascii="宋体" w:hAnsi="宋体" w:cs="宋体"/>
          <w:color w:val="auto"/>
          <w:szCs w:val="30"/>
          <w:highlight w:val="none"/>
        </w:rPr>
        <w:fldChar w:fldCharType="end"/>
      </w:r>
    </w:p>
    <w:p w14:paraId="24FEC39C">
      <w:pPr>
        <w:pStyle w:val="20"/>
        <w:tabs>
          <w:tab w:val="right" w:leader="dot" w:pos="9638"/>
        </w:tabs>
        <w:rPr>
          <w:color w:val="auto"/>
          <w:highlight w:val="none"/>
        </w:rPr>
      </w:pPr>
      <w:r>
        <w:rPr>
          <w:rFonts w:hint="eastAsia" w:ascii="宋体" w:hAnsi="宋体" w:cs="宋体"/>
          <w:color w:val="auto"/>
          <w:szCs w:val="30"/>
          <w:highlight w:val="none"/>
        </w:rPr>
        <w:fldChar w:fldCharType="begin"/>
      </w:r>
      <w:r>
        <w:rPr>
          <w:rFonts w:hint="eastAsia" w:ascii="宋体" w:hAnsi="宋体" w:cs="宋体"/>
          <w:color w:val="auto"/>
          <w:szCs w:val="30"/>
          <w:highlight w:val="none"/>
        </w:rPr>
        <w:instrText xml:space="preserve"> HYPERLINK \l _Toc8800 </w:instrText>
      </w:r>
      <w:r>
        <w:rPr>
          <w:rFonts w:hint="eastAsia" w:ascii="宋体" w:hAnsi="宋体" w:cs="宋体"/>
          <w:color w:val="auto"/>
          <w:szCs w:val="30"/>
          <w:highlight w:val="none"/>
        </w:rPr>
        <w:fldChar w:fldCharType="separate"/>
      </w:r>
      <w:r>
        <w:rPr>
          <w:rFonts w:hint="eastAsia" w:ascii="宋体" w:hAnsi="宋体" w:cs="宋体"/>
          <w:color w:val="auto"/>
          <w:highlight w:val="none"/>
        </w:rPr>
        <w:t>第五章 响应文件格式</w:t>
      </w:r>
      <w:r>
        <w:rPr>
          <w:color w:val="auto"/>
          <w:highlight w:val="none"/>
        </w:rPr>
        <w:tab/>
      </w:r>
      <w:r>
        <w:rPr>
          <w:color w:val="auto"/>
          <w:highlight w:val="none"/>
        </w:rPr>
        <w:fldChar w:fldCharType="begin"/>
      </w:r>
      <w:r>
        <w:rPr>
          <w:color w:val="auto"/>
          <w:highlight w:val="none"/>
        </w:rPr>
        <w:instrText xml:space="preserve"> PAGEREF _Toc8800 \h </w:instrText>
      </w:r>
      <w:r>
        <w:rPr>
          <w:color w:val="auto"/>
          <w:highlight w:val="none"/>
        </w:rPr>
        <w:fldChar w:fldCharType="separate"/>
      </w:r>
      <w:r>
        <w:rPr>
          <w:color w:val="auto"/>
          <w:highlight w:val="none"/>
        </w:rPr>
        <w:t>35</w:t>
      </w:r>
      <w:r>
        <w:rPr>
          <w:color w:val="auto"/>
          <w:highlight w:val="none"/>
        </w:rPr>
        <w:fldChar w:fldCharType="end"/>
      </w:r>
      <w:r>
        <w:rPr>
          <w:rFonts w:hint="eastAsia" w:ascii="宋体" w:hAnsi="宋体" w:cs="宋体"/>
          <w:color w:val="auto"/>
          <w:szCs w:val="30"/>
          <w:highlight w:val="none"/>
        </w:rPr>
        <w:fldChar w:fldCharType="end"/>
      </w:r>
    </w:p>
    <w:p w14:paraId="056C7329">
      <w:pPr>
        <w:pStyle w:val="23"/>
        <w:tabs>
          <w:tab w:val="right" w:leader="dot" w:pos="9638"/>
          <w:tab w:val="clear" w:pos="8296"/>
        </w:tabs>
        <w:rPr>
          <w:color w:val="auto"/>
          <w:highlight w:val="none"/>
        </w:rPr>
      </w:pPr>
      <w:r>
        <w:rPr>
          <w:rFonts w:hint="eastAsia" w:ascii="宋体" w:hAnsi="宋体" w:cs="宋体"/>
          <w:color w:val="auto"/>
          <w:szCs w:val="30"/>
          <w:highlight w:val="none"/>
        </w:rPr>
        <w:fldChar w:fldCharType="begin"/>
      </w:r>
      <w:r>
        <w:rPr>
          <w:rFonts w:hint="eastAsia" w:ascii="宋体" w:hAnsi="宋体" w:cs="宋体"/>
          <w:color w:val="auto"/>
          <w:szCs w:val="30"/>
          <w:highlight w:val="none"/>
        </w:rPr>
        <w:instrText xml:space="preserve"> HYPERLINK \l _Toc24446 </w:instrText>
      </w:r>
      <w:r>
        <w:rPr>
          <w:rFonts w:hint="eastAsia" w:ascii="宋体" w:hAnsi="宋体" w:cs="宋体"/>
          <w:color w:val="auto"/>
          <w:szCs w:val="30"/>
          <w:highlight w:val="none"/>
        </w:rPr>
        <w:fldChar w:fldCharType="separate"/>
      </w:r>
      <w:r>
        <w:rPr>
          <w:rFonts w:hint="eastAsia" w:ascii="宋体" w:hAnsi="宋体" w:cs="宋体"/>
          <w:color w:val="auto"/>
          <w:highlight w:val="none"/>
        </w:rPr>
        <w:t>第一节 封面格式</w:t>
      </w:r>
      <w:r>
        <w:rPr>
          <w:color w:val="auto"/>
          <w:highlight w:val="none"/>
        </w:rPr>
        <w:tab/>
      </w:r>
      <w:r>
        <w:rPr>
          <w:color w:val="auto"/>
          <w:highlight w:val="none"/>
        </w:rPr>
        <w:fldChar w:fldCharType="begin"/>
      </w:r>
      <w:r>
        <w:rPr>
          <w:color w:val="auto"/>
          <w:highlight w:val="none"/>
        </w:rPr>
        <w:instrText xml:space="preserve"> PAGEREF _Toc24446 \h </w:instrText>
      </w:r>
      <w:r>
        <w:rPr>
          <w:color w:val="auto"/>
          <w:highlight w:val="none"/>
        </w:rPr>
        <w:fldChar w:fldCharType="separate"/>
      </w:r>
      <w:r>
        <w:rPr>
          <w:color w:val="auto"/>
          <w:highlight w:val="none"/>
        </w:rPr>
        <w:t>36</w:t>
      </w:r>
      <w:r>
        <w:rPr>
          <w:color w:val="auto"/>
          <w:highlight w:val="none"/>
        </w:rPr>
        <w:fldChar w:fldCharType="end"/>
      </w:r>
      <w:r>
        <w:rPr>
          <w:rFonts w:hint="eastAsia" w:ascii="宋体" w:hAnsi="宋体" w:cs="宋体"/>
          <w:color w:val="auto"/>
          <w:szCs w:val="30"/>
          <w:highlight w:val="none"/>
        </w:rPr>
        <w:fldChar w:fldCharType="end"/>
      </w:r>
    </w:p>
    <w:p w14:paraId="71C44667">
      <w:pPr>
        <w:pStyle w:val="23"/>
        <w:tabs>
          <w:tab w:val="right" w:leader="dot" w:pos="9638"/>
          <w:tab w:val="clear" w:pos="8296"/>
        </w:tabs>
        <w:rPr>
          <w:color w:val="auto"/>
          <w:highlight w:val="none"/>
        </w:rPr>
      </w:pPr>
      <w:r>
        <w:rPr>
          <w:rFonts w:hint="eastAsia" w:ascii="宋体" w:hAnsi="宋体" w:cs="宋体"/>
          <w:color w:val="auto"/>
          <w:szCs w:val="30"/>
          <w:highlight w:val="none"/>
        </w:rPr>
        <w:fldChar w:fldCharType="begin"/>
      </w:r>
      <w:r>
        <w:rPr>
          <w:rFonts w:hint="eastAsia" w:ascii="宋体" w:hAnsi="宋体" w:cs="宋体"/>
          <w:color w:val="auto"/>
          <w:szCs w:val="30"/>
          <w:highlight w:val="none"/>
        </w:rPr>
        <w:instrText xml:space="preserve"> HYPERLINK \l _Toc17988 </w:instrText>
      </w:r>
      <w:r>
        <w:rPr>
          <w:rFonts w:hint="eastAsia" w:ascii="宋体" w:hAnsi="宋体" w:cs="宋体"/>
          <w:color w:val="auto"/>
          <w:szCs w:val="30"/>
          <w:highlight w:val="none"/>
        </w:rPr>
        <w:fldChar w:fldCharType="separate"/>
      </w:r>
      <w:r>
        <w:rPr>
          <w:rFonts w:hint="eastAsia" w:ascii="宋体" w:hAnsi="宋体" w:cs="宋体"/>
          <w:bCs w:val="0"/>
          <w:color w:val="auto"/>
          <w:highlight w:val="none"/>
        </w:rPr>
        <w:t>第二节 资格证明文件格式</w:t>
      </w:r>
      <w:r>
        <w:rPr>
          <w:color w:val="auto"/>
          <w:highlight w:val="none"/>
        </w:rPr>
        <w:tab/>
      </w:r>
      <w:r>
        <w:rPr>
          <w:color w:val="auto"/>
          <w:highlight w:val="none"/>
        </w:rPr>
        <w:fldChar w:fldCharType="begin"/>
      </w:r>
      <w:r>
        <w:rPr>
          <w:color w:val="auto"/>
          <w:highlight w:val="none"/>
        </w:rPr>
        <w:instrText xml:space="preserve"> PAGEREF _Toc17988 \h </w:instrText>
      </w:r>
      <w:r>
        <w:rPr>
          <w:color w:val="auto"/>
          <w:highlight w:val="none"/>
        </w:rPr>
        <w:fldChar w:fldCharType="separate"/>
      </w:r>
      <w:r>
        <w:rPr>
          <w:color w:val="auto"/>
          <w:highlight w:val="none"/>
        </w:rPr>
        <w:t>37</w:t>
      </w:r>
      <w:r>
        <w:rPr>
          <w:color w:val="auto"/>
          <w:highlight w:val="none"/>
        </w:rPr>
        <w:fldChar w:fldCharType="end"/>
      </w:r>
      <w:r>
        <w:rPr>
          <w:rFonts w:hint="eastAsia" w:ascii="宋体" w:hAnsi="宋体" w:cs="宋体"/>
          <w:color w:val="auto"/>
          <w:szCs w:val="30"/>
          <w:highlight w:val="none"/>
        </w:rPr>
        <w:fldChar w:fldCharType="end"/>
      </w:r>
    </w:p>
    <w:p w14:paraId="1510D5F6">
      <w:pPr>
        <w:pStyle w:val="23"/>
        <w:tabs>
          <w:tab w:val="right" w:leader="dot" w:pos="9638"/>
          <w:tab w:val="clear" w:pos="8296"/>
        </w:tabs>
        <w:rPr>
          <w:color w:val="auto"/>
          <w:highlight w:val="none"/>
        </w:rPr>
      </w:pPr>
      <w:r>
        <w:rPr>
          <w:rFonts w:hint="eastAsia" w:ascii="宋体" w:hAnsi="宋体" w:cs="宋体"/>
          <w:color w:val="auto"/>
          <w:szCs w:val="30"/>
          <w:highlight w:val="none"/>
        </w:rPr>
        <w:fldChar w:fldCharType="begin"/>
      </w:r>
      <w:r>
        <w:rPr>
          <w:rFonts w:hint="eastAsia" w:ascii="宋体" w:hAnsi="宋体" w:cs="宋体"/>
          <w:color w:val="auto"/>
          <w:szCs w:val="30"/>
          <w:highlight w:val="none"/>
        </w:rPr>
        <w:instrText xml:space="preserve"> HYPERLINK \l _Toc31618 </w:instrText>
      </w:r>
      <w:r>
        <w:rPr>
          <w:rFonts w:hint="eastAsia" w:ascii="宋体" w:hAnsi="宋体" w:cs="宋体"/>
          <w:color w:val="auto"/>
          <w:szCs w:val="30"/>
          <w:highlight w:val="none"/>
        </w:rPr>
        <w:fldChar w:fldCharType="separate"/>
      </w:r>
      <w:r>
        <w:rPr>
          <w:rFonts w:hint="eastAsia" w:ascii="宋体" w:hAnsi="宋体" w:cs="宋体"/>
          <w:bCs w:val="0"/>
          <w:color w:val="auto"/>
          <w:highlight w:val="none"/>
        </w:rPr>
        <w:t xml:space="preserve">第三节 </w:t>
      </w:r>
      <w:r>
        <w:rPr>
          <w:rFonts w:hint="eastAsia" w:ascii="宋体" w:hAnsi="宋体" w:cs="宋体"/>
          <w:color w:val="auto"/>
          <w:highlight w:val="none"/>
        </w:rPr>
        <w:t>商务技术文件格式</w:t>
      </w:r>
      <w:r>
        <w:rPr>
          <w:color w:val="auto"/>
          <w:highlight w:val="none"/>
        </w:rPr>
        <w:tab/>
      </w:r>
      <w:r>
        <w:rPr>
          <w:color w:val="auto"/>
          <w:highlight w:val="none"/>
        </w:rPr>
        <w:fldChar w:fldCharType="begin"/>
      </w:r>
      <w:r>
        <w:rPr>
          <w:color w:val="auto"/>
          <w:highlight w:val="none"/>
        </w:rPr>
        <w:instrText xml:space="preserve"> PAGEREF _Toc31618 \h </w:instrText>
      </w:r>
      <w:r>
        <w:rPr>
          <w:color w:val="auto"/>
          <w:highlight w:val="none"/>
        </w:rPr>
        <w:fldChar w:fldCharType="separate"/>
      </w:r>
      <w:r>
        <w:rPr>
          <w:color w:val="auto"/>
          <w:highlight w:val="none"/>
        </w:rPr>
        <w:t>51</w:t>
      </w:r>
      <w:r>
        <w:rPr>
          <w:color w:val="auto"/>
          <w:highlight w:val="none"/>
        </w:rPr>
        <w:fldChar w:fldCharType="end"/>
      </w:r>
      <w:r>
        <w:rPr>
          <w:rFonts w:hint="eastAsia" w:ascii="宋体" w:hAnsi="宋体" w:cs="宋体"/>
          <w:color w:val="auto"/>
          <w:szCs w:val="30"/>
          <w:highlight w:val="none"/>
        </w:rPr>
        <w:fldChar w:fldCharType="end"/>
      </w:r>
    </w:p>
    <w:p w14:paraId="7792E29C">
      <w:pPr>
        <w:pStyle w:val="23"/>
        <w:tabs>
          <w:tab w:val="right" w:leader="dot" w:pos="9638"/>
          <w:tab w:val="clear" w:pos="8296"/>
        </w:tabs>
        <w:rPr>
          <w:color w:val="auto"/>
          <w:highlight w:val="none"/>
        </w:rPr>
      </w:pPr>
      <w:r>
        <w:rPr>
          <w:rFonts w:hint="eastAsia" w:ascii="宋体" w:hAnsi="宋体" w:cs="宋体"/>
          <w:color w:val="auto"/>
          <w:szCs w:val="30"/>
          <w:highlight w:val="none"/>
        </w:rPr>
        <w:fldChar w:fldCharType="begin"/>
      </w:r>
      <w:r>
        <w:rPr>
          <w:rFonts w:hint="eastAsia" w:ascii="宋体" w:hAnsi="宋体" w:cs="宋体"/>
          <w:color w:val="auto"/>
          <w:szCs w:val="30"/>
          <w:highlight w:val="none"/>
        </w:rPr>
        <w:instrText xml:space="preserve"> HYPERLINK \l _Toc4937 </w:instrText>
      </w:r>
      <w:r>
        <w:rPr>
          <w:rFonts w:hint="eastAsia" w:ascii="宋体" w:hAnsi="宋体" w:cs="宋体"/>
          <w:color w:val="auto"/>
          <w:szCs w:val="30"/>
          <w:highlight w:val="none"/>
        </w:rPr>
        <w:fldChar w:fldCharType="separate"/>
      </w:r>
      <w:r>
        <w:rPr>
          <w:rFonts w:hint="eastAsia" w:ascii="宋体" w:hAnsi="宋体" w:cs="宋体"/>
          <w:color w:val="auto"/>
          <w:highlight w:val="none"/>
        </w:rPr>
        <w:t>第四节 报价文件格式</w:t>
      </w:r>
      <w:r>
        <w:rPr>
          <w:color w:val="auto"/>
          <w:highlight w:val="none"/>
        </w:rPr>
        <w:tab/>
      </w:r>
      <w:r>
        <w:rPr>
          <w:color w:val="auto"/>
          <w:highlight w:val="none"/>
        </w:rPr>
        <w:fldChar w:fldCharType="begin"/>
      </w:r>
      <w:r>
        <w:rPr>
          <w:color w:val="auto"/>
          <w:highlight w:val="none"/>
        </w:rPr>
        <w:instrText xml:space="preserve"> PAGEREF _Toc4937 \h </w:instrText>
      </w:r>
      <w:r>
        <w:rPr>
          <w:color w:val="auto"/>
          <w:highlight w:val="none"/>
        </w:rPr>
        <w:fldChar w:fldCharType="separate"/>
      </w:r>
      <w:r>
        <w:rPr>
          <w:color w:val="auto"/>
          <w:highlight w:val="none"/>
        </w:rPr>
        <w:t>64</w:t>
      </w:r>
      <w:r>
        <w:rPr>
          <w:color w:val="auto"/>
          <w:highlight w:val="none"/>
        </w:rPr>
        <w:fldChar w:fldCharType="end"/>
      </w:r>
      <w:r>
        <w:rPr>
          <w:rFonts w:hint="eastAsia" w:ascii="宋体" w:hAnsi="宋体" w:cs="宋体"/>
          <w:color w:val="auto"/>
          <w:szCs w:val="30"/>
          <w:highlight w:val="none"/>
        </w:rPr>
        <w:fldChar w:fldCharType="end"/>
      </w:r>
    </w:p>
    <w:p w14:paraId="4E0452CD">
      <w:pPr>
        <w:pStyle w:val="23"/>
        <w:tabs>
          <w:tab w:val="right" w:leader="dot" w:pos="9638"/>
          <w:tab w:val="clear" w:pos="8296"/>
        </w:tabs>
        <w:rPr>
          <w:color w:val="auto"/>
          <w:highlight w:val="none"/>
        </w:rPr>
      </w:pPr>
      <w:r>
        <w:rPr>
          <w:rFonts w:hint="eastAsia" w:ascii="宋体" w:hAnsi="宋体" w:cs="宋体"/>
          <w:color w:val="auto"/>
          <w:szCs w:val="30"/>
          <w:highlight w:val="none"/>
        </w:rPr>
        <w:fldChar w:fldCharType="begin"/>
      </w:r>
      <w:r>
        <w:rPr>
          <w:rFonts w:hint="eastAsia" w:ascii="宋体" w:hAnsi="宋体" w:cs="宋体"/>
          <w:color w:val="auto"/>
          <w:szCs w:val="30"/>
          <w:highlight w:val="none"/>
        </w:rPr>
        <w:instrText xml:space="preserve"> HYPERLINK \l _Toc2270 </w:instrText>
      </w:r>
      <w:r>
        <w:rPr>
          <w:rFonts w:hint="eastAsia" w:ascii="宋体" w:hAnsi="宋体" w:cs="宋体"/>
          <w:color w:val="auto"/>
          <w:szCs w:val="30"/>
          <w:highlight w:val="none"/>
        </w:rPr>
        <w:fldChar w:fldCharType="separate"/>
      </w:r>
      <w:r>
        <w:rPr>
          <w:rFonts w:hint="eastAsia" w:ascii="宋体" w:hAnsi="宋体" w:cs="宋体"/>
          <w:color w:val="auto"/>
          <w:highlight w:val="none"/>
        </w:rPr>
        <w:t>第五节 其他文书、文件格式</w:t>
      </w:r>
      <w:r>
        <w:rPr>
          <w:color w:val="auto"/>
          <w:highlight w:val="none"/>
        </w:rPr>
        <w:tab/>
      </w:r>
      <w:r>
        <w:rPr>
          <w:color w:val="auto"/>
          <w:highlight w:val="none"/>
        </w:rPr>
        <w:fldChar w:fldCharType="begin"/>
      </w:r>
      <w:r>
        <w:rPr>
          <w:color w:val="auto"/>
          <w:highlight w:val="none"/>
        </w:rPr>
        <w:instrText xml:space="preserve"> PAGEREF _Toc2270 \h </w:instrText>
      </w:r>
      <w:r>
        <w:rPr>
          <w:color w:val="auto"/>
          <w:highlight w:val="none"/>
        </w:rPr>
        <w:fldChar w:fldCharType="separate"/>
      </w:r>
      <w:r>
        <w:rPr>
          <w:color w:val="auto"/>
          <w:highlight w:val="none"/>
        </w:rPr>
        <w:t>70</w:t>
      </w:r>
      <w:r>
        <w:rPr>
          <w:color w:val="auto"/>
          <w:highlight w:val="none"/>
        </w:rPr>
        <w:fldChar w:fldCharType="end"/>
      </w:r>
      <w:r>
        <w:rPr>
          <w:rFonts w:hint="eastAsia" w:ascii="宋体" w:hAnsi="宋体" w:cs="宋体"/>
          <w:color w:val="auto"/>
          <w:szCs w:val="30"/>
          <w:highlight w:val="none"/>
        </w:rPr>
        <w:fldChar w:fldCharType="end"/>
      </w:r>
    </w:p>
    <w:p w14:paraId="723E4E94">
      <w:pPr>
        <w:pStyle w:val="20"/>
        <w:tabs>
          <w:tab w:val="right" w:leader="dot" w:pos="9638"/>
        </w:tabs>
        <w:rPr>
          <w:color w:val="auto"/>
          <w:highlight w:val="none"/>
        </w:rPr>
      </w:pPr>
      <w:r>
        <w:rPr>
          <w:rFonts w:hint="eastAsia" w:ascii="宋体" w:hAnsi="宋体" w:cs="宋体"/>
          <w:color w:val="auto"/>
          <w:szCs w:val="30"/>
          <w:highlight w:val="none"/>
        </w:rPr>
        <w:fldChar w:fldCharType="begin"/>
      </w:r>
      <w:r>
        <w:rPr>
          <w:rFonts w:hint="eastAsia" w:ascii="宋体" w:hAnsi="宋体" w:cs="宋体"/>
          <w:color w:val="auto"/>
          <w:szCs w:val="30"/>
          <w:highlight w:val="none"/>
        </w:rPr>
        <w:instrText xml:space="preserve"> HYPERLINK \l _Toc1810 </w:instrText>
      </w:r>
      <w:r>
        <w:rPr>
          <w:rFonts w:hint="eastAsia" w:ascii="宋体" w:hAnsi="宋体" w:cs="宋体"/>
          <w:color w:val="auto"/>
          <w:szCs w:val="30"/>
          <w:highlight w:val="none"/>
        </w:rPr>
        <w:fldChar w:fldCharType="separate"/>
      </w:r>
      <w:r>
        <w:rPr>
          <w:rFonts w:hint="eastAsia" w:ascii="宋体" w:hAnsi="宋体" w:cs="宋体"/>
          <w:bCs w:val="0"/>
          <w:color w:val="auto"/>
          <w:highlight w:val="none"/>
        </w:rPr>
        <w:t>第六章  合同文本</w:t>
      </w:r>
      <w:r>
        <w:rPr>
          <w:color w:val="auto"/>
          <w:highlight w:val="none"/>
        </w:rPr>
        <w:tab/>
      </w:r>
      <w:r>
        <w:rPr>
          <w:color w:val="auto"/>
          <w:highlight w:val="none"/>
        </w:rPr>
        <w:fldChar w:fldCharType="begin"/>
      </w:r>
      <w:r>
        <w:rPr>
          <w:color w:val="auto"/>
          <w:highlight w:val="none"/>
        </w:rPr>
        <w:instrText xml:space="preserve"> PAGEREF _Toc1810 \h </w:instrText>
      </w:r>
      <w:r>
        <w:rPr>
          <w:color w:val="auto"/>
          <w:highlight w:val="none"/>
        </w:rPr>
        <w:fldChar w:fldCharType="separate"/>
      </w:r>
      <w:r>
        <w:rPr>
          <w:color w:val="auto"/>
          <w:highlight w:val="none"/>
        </w:rPr>
        <w:t>71</w:t>
      </w:r>
      <w:r>
        <w:rPr>
          <w:color w:val="auto"/>
          <w:highlight w:val="none"/>
        </w:rPr>
        <w:fldChar w:fldCharType="end"/>
      </w:r>
      <w:r>
        <w:rPr>
          <w:rFonts w:hint="eastAsia" w:ascii="宋体" w:hAnsi="宋体" w:cs="宋体"/>
          <w:color w:val="auto"/>
          <w:szCs w:val="30"/>
          <w:highlight w:val="none"/>
        </w:rPr>
        <w:fldChar w:fldCharType="end"/>
      </w:r>
    </w:p>
    <w:p w14:paraId="7032A667">
      <w:pPr>
        <w:pStyle w:val="20"/>
        <w:tabs>
          <w:tab w:val="right" w:leader="dot" w:pos="9638"/>
        </w:tabs>
        <w:ind w:firstLine="420" w:firstLineChars="200"/>
        <w:rPr>
          <w:color w:val="auto"/>
          <w:highlight w:val="none"/>
        </w:rPr>
      </w:pPr>
      <w:r>
        <w:rPr>
          <w:rFonts w:hint="eastAsia" w:ascii="宋体" w:hAnsi="宋体" w:cs="宋体"/>
          <w:color w:val="auto"/>
          <w:szCs w:val="30"/>
          <w:highlight w:val="none"/>
        </w:rPr>
        <w:fldChar w:fldCharType="begin"/>
      </w:r>
      <w:r>
        <w:rPr>
          <w:rFonts w:hint="eastAsia" w:ascii="宋体" w:hAnsi="宋体" w:cs="宋体"/>
          <w:color w:val="auto"/>
          <w:szCs w:val="30"/>
          <w:highlight w:val="none"/>
        </w:rPr>
        <w:instrText xml:space="preserve"> HYPERLINK \l _Toc28300 </w:instrText>
      </w:r>
      <w:r>
        <w:rPr>
          <w:rFonts w:hint="eastAsia" w:ascii="宋体" w:hAnsi="宋体" w:cs="宋体"/>
          <w:color w:val="auto"/>
          <w:szCs w:val="30"/>
          <w:highlight w:val="none"/>
        </w:rPr>
        <w:fldChar w:fldCharType="separate"/>
      </w:r>
      <w:r>
        <w:rPr>
          <w:rFonts w:hint="eastAsia" w:cs="黑体"/>
          <w:color w:val="auto"/>
          <w:highlight w:val="none"/>
        </w:rPr>
        <w:t>第一部分</w:t>
      </w:r>
      <w:r>
        <w:rPr>
          <w:color w:val="auto"/>
          <w:highlight w:val="none"/>
        </w:rPr>
        <w:t xml:space="preserve"> </w:t>
      </w:r>
      <w:r>
        <w:rPr>
          <w:rFonts w:hint="eastAsia" w:cs="黑体"/>
          <w:color w:val="auto"/>
          <w:highlight w:val="none"/>
        </w:rPr>
        <w:t>合同协议书</w:t>
      </w:r>
      <w:r>
        <w:rPr>
          <w:color w:val="auto"/>
          <w:highlight w:val="none"/>
        </w:rPr>
        <w:tab/>
      </w:r>
      <w:r>
        <w:rPr>
          <w:color w:val="auto"/>
          <w:highlight w:val="none"/>
        </w:rPr>
        <w:fldChar w:fldCharType="begin"/>
      </w:r>
      <w:r>
        <w:rPr>
          <w:color w:val="auto"/>
          <w:highlight w:val="none"/>
        </w:rPr>
        <w:instrText xml:space="preserve"> PAGEREF _Toc28300 \h </w:instrText>
      </w:r>
      <w:r>
        <w:rPr>
          <w:color w:val="auto"/>
          <w:highlight w:val="none"/>
        </w:rPr>
        <w:fldChar w:fldCharType="separate"/>
      </w:r>
      <w:r>
        <w:rPr>
          <w:color w:val="auto"/>
          <w:highlight w:val="none"/>
        </w:rPr>
        <w:t>73</w:t>
      </w:r>
      <w:r>
        <w:rPr>
          <w:color w:val="auto"/>
          <w:highlight w:val="none"/>
        </w:rPr>
        <w:fldChar w:fldCharType="end"/>
      </w:r>
      <w:r>
        <w:rPr>
          <w:rFonts w:hint="eastAsia" w:ascii="宋体" w:hAnsi="宋体" w:cs="宋体"/>
          <w:color w:val="auto"/>
          <w:szCs w:val="30"/>
          <w:highlight w:val="none"/>
        </w:rPr>
        <w:fldChar w:fldCharType="end"/>
      </w:r>
    </w:p>
    <w:p w14:paraId="05CE29F8">
      <w:pPr>
        <w:pStyle w:val="20"/>
        <w:tabs>
          <w:tab w:val="right" w:leader="dot" w:pos="9638"/>
        </w:tabs>
        <w:ind w:firstLine="420" w:firstLineChars="200"/>
        <w:rPr>
          <w:color w:val="auto"/>
          <w:highlight w:val="none"/>
        </w:rPr>
      </w:pPr>
      <w:r>
        <w:rPr>
          <w:rFonts w:hint="eastAsia" w:ascii="宋体" w:hAnsi="宋体" w:cs="宋体"/>
          <w:color w:val="auto"/>
          <w:szCs w:val="30"/>
          <w:highlight w:val="none"/>
        </w:rPr>
        <w:fldChar w:fldCharType="begin"/>
      </w:r>
      <w:r>
        <w:rPr>
          <w:rFonts w:hint="eastAsia" w:ascii="宋体" w:hAnsi="宋体" w:cs="宋体"/>
          <w:color w:val="auto"/>
          <w:szCs w:val="30"/>
          <w:highlight w:val="none"/>
        </w:rPr>
        <w:instrText xml:space="preserve"> HYPERLINK \l _Toc32557 </w:instrText>
      </w:r>
      <w:r>
        <w:rPr>
          <w:rFonts w:hint="eastAsia" w:ascii="宋体" w:hAnsi="宋体" w:cs="宋体"/>
          <w:color w:val="auto"/>
          <w:szCs w:val="30"/>
          <w:highlight w:val="none"/>
        </w:rPr>
        <w:fldChar w:fldCharType="separate"/>
      </w:r>
      <w:r>
        <w:rPr>
          <w:rFonts w:hint="eastAsia" w:cs="黑体"/>
          <w:color w:val="auto"/>
          <w:highlight w:val="none"/>
        </w:rPr>
        <w:t>第二部分</w:t>
      </w:r>
      <w:r>
        <w:rPr>
          <w:color w:val="auto"/>
          <w:highlight w:val="none"/>
        </w:rPr>
        <w:t xml:space="preserve"> </w:t>
      </w:r>
      <w:r>
        <w:rPr>
          <w:rFonts w:hint="eastAsia" w:cs="黑体"/>
          <w:color w:val="auto"/>
          <w:highlight w:val="none"/>
        </w:rPr>
        <w:t>通用合同条款</w:t>
      </w:r>
      <w:r>
        <w:rPr>
          <w:color w:val="auto"/>
          <w:highlight w:val="none"/>
        </w:rPr>
        <w:tab/>
      </w:r>
      <w:r>
        <w:rPr>
          <w:color w:val="auto"/>
          <w:highlight w:val="none"/>
        </w:rPr>
        <w:fldChar w:fldCharType="begin"/>
      </w:r>
      <w:r>
        <w:rPr>
          <w:color w:val="auto"/>
          <w:highlight w:val="none"/>
        </w:rPr>
        <w:instrText xml:space="preserve"> PAGEREF _Toc32557 \h </w:instrText>
      </w:r>
      <w:r>
        <w:rPr>
          <w:color w:val="auto"/>
          <w:highlight w:val="none"/>
        </w:rPr>
        <w:fldChar w:fldCharType="separate"/>
      </w:r>
      <w:r>
        <w:rPr>
          <w:color w:val="auto"/>
          <w:highlight w:val="none"/>
        </w:rPr>
        <w:t>76</w:t>
      </w:r>
      <w:r>
        <w:rPr>
          <w:color w:val="auto"/>
          <w:highlight w:val="none"/>
        </w:rPr>
        <w:fldChar w:fldCharType="end"/>
      </w:r>
      <w:r>
        <w:rPr>
          <w:rFonts w:hint="eastAsia" w:ascii="宋体" w:hAnsi="宋体" w:cs="宋体"/>
          <w:color w:val="auto"/>
          <w:szCs w:val="30"/>
          <w:highlight w:val="none"/>
        </w:rPr>
        <w:fldChar w:fldCharType="end"/>
      </w:r>
    </w:p>
    <w:p w14:paraId="367C13CE">
      <w:pPr>
        <w:pStyle w:val="20"/>
        <w:tabs>
          <w:tab w:val="right" w:leader="dot" w:pos="9638"/>
        </w:tabs>
        <w:ind w:firstLine="420" w:firstLineChars="200"/>
        <w:rPr>
          <w:color w:val="auto"/>
          <w:highlight w:val="none"/>
        </w:rPr>
      </w:pPr>
      <w:r>
        <w:rPr>
          <w:rFonts w:hint="eastAsia" w:ascii="宋体" w:hAnsi="宋体" w:cs="宋体"/>
          <w:color w:val="auto"/>
          <w:szCs w:val="30"/>
          <w:highlight w:val="none"/>
        </w:rPr>
        <w:fldChar w:fldCharType="begin"/>
      </w:r>
      <w:r>
        <w:rPr>
          <w:rFonts w:hint="eastAsia" w:ascii="宋体" w:hAnsi="宋体" w:cs="宋体"/>
          <w:color w:val="auto"/>
          <w:szCs w:val="30"/>
          <w:highlight w:val="none"/>
        </w:rPr>
        <w:instrText xml:space="preserve"> HYPERLINK \l _Toc28270 </w:instrText>
      </w:r>
      <w:r>
        <w:rPr>
          <w:rFonts w:hint="eastAsia" w:ascii="宋体" w:hAnsi="宋体" w:cs="宋体"/>
          <w:color w:val="auto"/>
          <w:szCs w:val="30"/>
          <w:highlight w:val="none"/>
        </w:rPr>
        <w:fldChar w:fldCharType="separate"/>
      </w:r>
      <w:r>
        <w:rPr>
          <w:rFonts w:hint="eastAsia" w:hAnsi="宋体" w:cs="黑体"/>
          <w:color w:val="auto"/>
          <w:szCs w:val="30"/>
          <w:highlight w:val="none"/>
        </w:rPr>
        <w:t>第三部分</w:t>
      </w:r>
      <w:r>
        <w:rPr>
          <w:color w:val="auto"/>
          <w:szCs w:val="30"/>
          <w:highlight w:val="none"/>
        </w:rPr>
        <w:t xml:space="preserve"> </w:t>
      </w:r>
      <w:r>
        <w:rPr>
          <w:rFonts w:hint="eastAsia" w:hAnsi="宋体" w:cs="黑体"/>
          <w:color w:val="auto"/>
          <w:szCs w:val="30"/>
          <w:highlight w:val="none"/>
        </w:rPr>
        <w:t>专用合同条款</w:t>
      </w:r>
      <w:r>
        <w:rPr>
          <w:color w:val="auto"/>
          <w:highlight w:val="none"/>
        </w:rPr>
        <w:tab/>
      </w:r>
      <w:r>
        <w:rPr>
          <w:color w:val="auto"/>
          <w:highlight w:val="none"/>
        </w:rPr>
        <w:fldChar w:fldCharType="begin"/>
      </w:r>
      <w:r>
        <w:rPr>
          <w:color w:val="auto"/>
          <w:highlight w:val="none"/>
        </w:rPr>
        <w:instrText xml:space="preserve"> PAGEREF _Toc28270 \h </w:instrText>
      </w:r>
      <w:r>
        <w:rPr>
          <w:color w:val="auto"/>
          <w:highlight w:val="none"/>
        </w:rPr>
        <w:fldChar w:fldCharType="separate"/>
      </w:r>
      <w:r>
        <w:rPr>
          <w:color w:val="auto"/>
          <w:highlight w:val="none"/>
        </w:rPr>
        <w:t>76</w:t>
      </w:r>
      <w:r>
        <w:rPr>
          <w:color w:val="auto"/>
          <w:highlight w:val="none"/>
        </w:rPr>
        <w:fldChar w:fldCharType="end"/>
      </w:r>
      <w:r>
        <w:rPr>
          <w:rFonts w:hint="eastAsia" w:ascii="宋体" w:hAnsi="宋体" w:cs="宋体"/>
          <w:color w:val="auto"/>
          <w:szCs w:val="30"/>
          <w:highlight w:val="none"/>
        </w:rPr>
        <w:fldChar w:fldCharType="end"/>
      </w:r>
    </w:p>
    <w:p w14:paraId="05F59382">
      <w:pPr>
        <w:pStyle w:val="20"/>
        <w:tabs>
          <w:tab w:val="right" w:leader="dot" w:pos="9638"/>
        </w:tabs>
        <w:rPr>
          <w:color w:val="auto"/>
          <w:highlight w:val="none"/>
        </w:rPr>
      </w:pPr>
      <w:r>
        <w:rPr>
          <w:rFonts w:hint="eastAsia" w:ascii="宋体" w:hAnsi="宋体" w:cs="宋体"/>
          <w:color w:val="auto"/>
          <w:szCs w:val="30"/>
          <w:highlight w:val="none"/>
        </w:rPr>
        <w:fldChar w:fldCharType="begin"/>
      </w:r>
      <w:r>
        <w:rPr>
          <w:rFonts w:hint="eastAsia" w:ascii="宋体" w:hAnsi="宋体" w:cs="宋体"/>
          <w:color w:val="auto"/>
          <w:szCs w:val="30"/>
          <w:highlight w:val="none"/>
        </w:rPr>
        <w:instrText xml:space="preserve"> HYPERLINK \l _Toc31271 </w:instrText>
      </w:r>
      <w:r>
        <w:rPr>
          <w:rFonts w:hint="eastAsia" w:ascii="宋体" w:hAnsi="宋体" w:cs="宋体"/>
          <w:color w:val="auto"/>
          <w:szCs w:val="30"/>
          <w:highlight w:val="none"/>
        </w:rPr>
        <w:fldChar w:fldCharType="separate"/>
      </w:r>
      <w:r>
        <w:rPr>
          <w:rFonts w:hint="eastAsia" w:ascii="宋体" w:hAnsi="宋体" w:eastAsia="宋体" w:cs="宋体"/>
          <w:bCs w:val="0"/>
          <w:color w:val="auto"/>
          <w:highlight w:val="none"/>
        </w:rPr>
        <w:t>第七章 工程量清单、图纸</w:t>
      </w:r>
      <w:r>
        <w:rPr>
          <w:color w:val="auto"/>
          <w:highlight w:val="none"/>
        </w:rPr>
        <w:tab/>
      </w:r>
      <w:r>
        <w:rPr>
          <w:color w:val="auto"/>
          <w:highlight w:val="none"/>
        </w:rPr>
        <w:fldChar w:fldCharType="begin"/>
      </w:r>
      <w:r>
        <w:rPr>
          <w:color w:val="auto"/>
          <w:highlight w:val="none"/>
        </w:rPr>
        <w:instrText xml:space="preserve"> PAGEREF _Toc31271 \h </w:instrText>
      </w:r>
      <w:r>
        <w:rPr>
          <w:color w:val="auto"/>
          <w:highlight w:val="none"/>
        </w:rPr>
        <w:fldChar w:fldCharType="separate"/>
      </w:r>
      <w:r>
        <w:rPr>
          <w:color w:val="auto"/>
          <w:highlight w:val="none"/>
        </w:rPr>
        <w:t>109</w:t>
      </w:r>
      <w:r>
        <w:rPr>
          <w:color w:val="auto"/>
          <w:highlight w:val="none"/>
        </w:rPr>
        <w:fldChar w:fldCharType="end"/>
      </w:r>
      <w:r>
        <w:rPr>
          <w:rFonts w:hint="eastAsia" w:ascii="宋体" w:hAnsi="宋体" w:cs="宋体"/>
          <w:color w:val="auto"/>
          <w:szCs w:val="30"/>
          <w:highlight w:val="none"/>
        </w:rPr>
        <w:fldChar w:fldCharType="end"/>
      </w:r>
    </w:p>
    <w:p w14:paraId="69C5C2A9">
      <w:pPr>
        <w:pStyle w:val="20"/>
        <w:tabs>
          <w:tab w:val="right" w:leader="dot" w:pos="9638"/>
        </w:tabs>
        <w:rPr>
          <w:color w:val="auto"/>
          <w:highlight w:val="none"/>
        </w:rPr>
      </w:pPr>
      <w:r>
        <w:rPr>
          <w:rFonts w:hint="eastAsia" w:ascii="宋体" w:hAnsi="宋体" w:cs="宋体"/>
          <w:color w:val="auto"/>
          <w:szCs w:val="30"/>
          <w:highlight w:val="none"/>
        </w:rPr>
        <w:fldChar w:fldCharType="begin"/>
      </w:r>
      <w:r>
        <w:rPr>
          <w:rFonts w:hint="eastAsia" w:ascii="宋体" w:hAnsi="宋体" w:cs="宋体"/>
          <w:color w:val="auto"/>
          <w:szCs w:val="30"/>
          <w:highlight w:val="none"/>
        </w:rPr>
        <w:instrText xml:space="preserve"> HYPERLINK \l _Toc23183 </w:instrText>
      </w:r>
      <w:r>
        <w:rPr>
          <w:rFonts w:hint="eastAsia" w:ascii="宋体" w:hAnsi="宋体" w:cs="宋体"/>
          <w:color w:val="auto"/>
          <w:szCs w:val="30"/>
          <w:highlight w:val="none"/>
        </w:rPr>
        <w:fldChar w:fldCharType="separate"/>
      </w:r>
      <w:r>
        <w:rPr>
          <w:rFonts w:hint="eastAsia" w:ascii="宋体" w:hAnsi="宋体" w:cs="宋体"/>
          <w:color w:val="auto"/>
          <w:highlight w:val="none"/>
        </w:rPr>
        <w:t>第</w:t>
      </w:r>
      <w:r>
        <w:rPr>
          <w:rFonts w:hint="eastAsia" w:ascii="宋体" w:hAnsi="宋体" w:cs="宋体"/>
          <w:color w:val="auto"/>
          <w:highlight w:val="none"/>
          <w:lang w:val="en-US" w:eastAsia="zh-CN"/>
        </w:rPr>
        <w:t>八</w:t>
      </w:r>
      <w:r>
        <w:rPr>
          <w:rFonts w:hint="eastAsia" w:ascii="宋体" w:hAnsi="宋体" w:cs="宋体"/>
          <w:color w:val="auto"/>
          <w:highlight w:val="none"/>
        </w:rPr>
        <w:t>章 质疑、投诉材料格式</w:t>
      </w:r>
      <w:r>
        <w:rPr>
          <w:color w:val="auto"/>
          <w:highlight w:val="none"/>
        </w:rPr>
        <w:tab/>
      </w:r>
      <w:r>
        <w:rPr>
          <w:color w:val="auto"/>
          <w:highlight w:val="none"/>
        </w:rPr>
        <w:fldChar w:fldCharType="begin"/>
      </w:r>
      <w:r>
        <w:rPr>
          <w:color w:val="auto"/>
          <w:highlight w:val="none"/>
        </w:rPr>
        <w:instrText xml:space="preserve"> PAGEREF _Toc23183 \h </w:instrText>
      </w:r>
      <w:r>
        <w:rPr>
          <w:color w:val="auto"/>
          <w:highlight w:val="none"/>
        </w:rPr>
        <w:fldChar w:fldCharType="separate"/>
      </w:r>
      <w:r>
        <w:rPr>
          <w:color w:val="auto"/>
          <w:highlight w:val="none"/>
        </w:rPr>
        <w:t>113</w:t>
      </w:r>
      <w:r>
        <w:rPr>
          <w:color w:val="auto"/>
          <w:highlight w:val="none"/>
        </w:rPr>
        <w:fldChar w:fldCharType="end"/>
      </w:r>
      <w:r>
        <w:rPr>
          <w:rFonts w:hint="eastAsia" w:ascii="宋体" w:hAnsi="宋体" w:cs="宋体"/>
          <w:color w:val="auto"/>
          <w:szCs w:val="30"/>
          <w:highlight w:val="none"/>
        </w:rPr>
        <w:fldChar w:fldCharType="end"/>
      </w:r>
    </w:p>
    <w:p w14:paraId="124EC431">
      <w:pPr>
        <w:pStyle w:val="23"/>
        <w:rPr>
          <w:rFonts w:ascii="宋体" w:hAnsi="宋体" w:cs="宋体"/>
          <w:color w:val="auto"/>
          <w:sz w:val="28"/>
          <w:szCs w:val="28"/>
          <w:highlight w:val="none"/>
        </w:rPr>
      </w:pPr>
      <w:r>
        <w:rPr>
          <w:rFonts w:hint="eastAsia" w:ascii="宋体" w:hAnsi="宋体" w:cs="宋体"/>
          <w:color w:val="auto"/>
          <w:szCs w:val="30"/>
          <w:highlight w:val="none"/>
        </w:rPr>
        <w:fldChar w:fldCharType="end"/>
      </w:r>
    </w:p>
    <w:p w14:paraId="40BA845A">
      <w:pPr>
        <w:tabs>
          <w:tab w:val="left" w:pos="7470"/>
        </w:tabs>
        <w:spacing w:line="400" w:lineRule="exact"/>
        <w:jc w:val="left"/>
        <w:rPr>
          <w:rFonts w:ascii="宋体" w:hAnsi="宋体" w:cs="宋体"/>
          <w:b/>
          <w:color w:val="auto"/>
          <w:sz w:val="32"/>
          <w:szCs w:val="32"/>
          <w:highlight w:val="none"/>
        </w:rPr>
      </w:pPr>
      <w:r>
        <w:rPr>
          <w:rFonts w:hint="eastAsia" w:ascii="宋体" w:hAnsi="宋体" w:cs="宋体"/>
          <w:b/>
          <w:color w:val="auto"/>
          <w:sz w:val="32"/>
          <w:szCs w:val="32"/>
          <w:highlight w:val="none"/>
        </w:rPr>
        <w:tab/>
      </w:r>
    </w:p>
    <w:p w14:paraId="029169E4">
      <w:pPr>
        <w:spacing w:line="400" w:lineRule="exact"/>
        <w:jc w:val="center"/>
        <w:rPr>
          <w:rFonts w:ascii="宋体" w:hAnsi="宋体" w:cs="宋体"/>
          <w:b/>
          <w:color w:val="auto"/>
          <w:sz w:val="32"/>
          <w:szCs w:val="32"/>
          <w:highlight w:val="none"/>
        </w:rPr>
      </w:pPr>
    </w:p>
    <w:p w14:paraId="50E9E88C">
      <w:pPr>
        <w:spacing w:line="400" w:lineRule="exact"/>
        <w:jc w:val="center"/>
        <w:rPr>
          <w:rFonts w:ascii="宋体" w:hAnsi="宋体" w:cs="宋体"/>
          <w:b/>
          <w:color w:val="auto"/>
          <w:sz w:val="32"/>
          <w:szCs w:val="32"/>
          <w:highlight w:val="none"/>
        </w:rPr>
      </w:pPr>
    </w:p>
    <w:p w14:paraId="2FBB5E4E">
      <w:pPr>
        <w:spacing w:line="400" w:lineRule="exact"/>
        <w:jc w:val="center"/>
        <w:rPr>
          <w:rFonts w:ascii="宋体" w:hAnsi="宋体" w:cs="宋体"/>
          <w:b/>
          <w:color w:val="auto"/>
          <w:sz w:val="32"/>
          <w:szCs w:val="32"/>
          <w:highlight w:val="none"/>
        </w:rPr>
      </w:pPr>
    </w:p>
    <w:p w14:paraId="24086204">
      <w:pPr>
        <w:spacing w:line="400" w:lineRule="exact"/>
        <w:jc w:val="center"/>
        <w:rPr>
          <w:rFonts w:ascii="宋体" w:hAnsi="宋体" w:cs="宋体"/>
          <w:b/>
          <w:color w:val="auto"/>
          <w:sz w:val="32"/>
          <w:szCs w:val="32"/>
          <w:highlight w:val="none"/>
        </w:rPr>
      </w:pPr>
    </w:p>
    <w:p w14:paraId="07094F08">
      <w:pPr>
        <w:spacing w:line="400" w:lineRule="exact"/>
        <w:jc w:val="center"/>
        <w:rPr>
          <w:rFonts w:ascii="宋体" w:hAnsi="宋体" w:cs="宋体"/>
          <w:b/>
          <w:color w:val="auto"/>
          <w:sz w:val="32"/>
          <w:szCs w:val="32"/>
          <w:highlight w:val="none"/>
        </w:rPr>
      </w:pPr>
    </w:p>
    <w:p w14:paraId="4462B89B">
      <w:pPr>
        <w:pStyle w:val="2"/>
        <w:spacing w:before="0" w:after="0" w:line="360" w:lineRule="auto"/>
        <w:jc w:val="center"/>
        <w:rPr>
          <w:rFonts w:ascii="宋体" w:hAnsi="宋体" w:cs="宋体"/>
          <w:color w:val="auto"/>
          <w:highlight w:val="none"/>
        </w:rPr>
      </w:pPr>
      <w:bookmarkStart w:id="16" w:name="_Toc4137"/>
      <w:r>
        <w:rPr>
          <w:rFonts w:hint="eastAsia" w:ascii="宋体" w:hAnsi="宋体" w:cs="宋体"/>
          <w:color w:val="auto"/>
          <w:highlight w:val="none"/>
        </w:rPr>
        <w:t>第一章 竞争性磋商公告</w:t>
      </w:r>
      <w:bookmarkEnd w:id="16"/>
      <w:bookmarkStart w:id="17" w:name="_Toc44229878"/>
      <w:bookmarkStart w:id="18" w:name="_Toc35393629"/>
      <w:bookmarkStart w:id="19" w:name="_Toc28359089"/>
      <w:bookmarkStart w:id="20" w:name="_Toc35393798"/>
      <w:bookmarkStart w:id="21" w:name="_Toc28359012"/>
      <w:bookmarkStart w:id="22" w:name="_Toc28359004"/>
      <w:bookmarkStart w:id="23" w:name="_Toc28359081"/>
      <w:bookmarkStart w:id="24" w:name="_Toc35393623"/>
      <w:bookmarkStart w:id="25" w:name="_Toc35393792"/>
    </w:p>
    <w:p w14:paraId="17B584B9">
      <w:pPr>
        <w:rPr>
          <w:rFonts w:ascii="宋体" w:hAnsi="宋体" w:cs="宋体"/>
          <w:color w:val="auto"/>
          <w:highlight w:val="none"/>
        </w:rPr>
      </w:pPr>
    </w:p>
    <w:tbl>
      <w:tblPr>
        <w:tblStyle w:val="27"/>
        <w:tblW w:w="95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7"/>
      </w:tblGrid>
      <w:tr w14:paraId="30704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7" w:type="dxa"/>
          </w:tcPr>
          <w:p w14:paraId="2A673080">
            <w:pPr>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项目概况</w:t>
            </w:r>
          </w:p>
          <w:p w14:paraId="484D0771">
            <w:pPr>
              <w:spacing w:line="400" w:lineRule="exact"/>
              <w:ind w:firstLine="420" w:firstLineChars="200"/>
              <w:rPr>
                <w:rFonts w:ascii="宋体" w:hAnsi="宋体" w:cs="宋体"/>
                <w:b/>
                <w:bCs/>
                <w:color w:val="auto"/>
                <w:sz w:val="24"/>
                <w:highlight w:val="none"/>
              </w:rPr>
            </w:pPr>
            <w:r>
              <w:rPr>
                <w:rFonts w:hint="eastAsia" w:ascii="宋体" w:hAnsi="宋体" w:cs="宋体"/>
                <w:color w:val="auto"/>
                <w:szCs w:val="21"/>
                <w:highlight w:val="none"/>
                <w:u w:val="single"/>
                <w:lang w:eastAsia="zh-CN"/>
              </w:rPr>
              <w:t>2025年苏圩镇仁德村蔬菜基地一期项目</w:t>
            </w:r>
            <w:r>
              <w:rPr>
                <w:rFonts w:hint="eastAsia" w:ascii="宋体" w:hAnsi="宋体" w:cs="宋体"/>
                <w:color w:val="auto"/>
                <w:szCs w:val="21"/>
                <w:highlight w:val="none"/>
              </w:rPr>
              <w:t>采购项目的潜在供应商应在广西政府采购云平台https://www.gcy.zfcg.gxzf.gov.cn）获取（下载）获取竞争性磋商文件，并于</w:t>
            </w:r>
            <w:r>
              <w:rPr>
                <w:rFonts w:hint="eastAsia" w:ascii="宋体" w:hAnsi="宋体" w:cs="宋体"/>
                <w:color w:val="auto"/>
                <w:szCs w:val="21"/>
                <w:highlight w:val="none"/>
                <w:u w:val="single"/>
              </w:rPr>
              <w:t>202</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u w:val="single"/>
              </w:rPr>
              <w:t>年</w:t>
            </w:r>
            <w:r>
              <w:rPr>
                <w:rFonts w:hint="eastAsia" w:ascii="宋体" w:hAnsi="宋体" w:cs="宋体"/>
                <w:color w:val="auto"/>
                <w:szCs w:val="21"/>
                <w:highlight w:val="none"/>
                <w:u w:val="single"/>
                <w:lang w:val="en-US" w:eastAsia="zh-CN"/>
              </w:rPr>
              <w:t>6</w:t>
            </w:r>
            <w:r>
              <w:rPr>
                <w:rFonts w:hint="eastAsia" w:ascii="宋体" w:hAnsi="宋体" w:cs="宋体"/>
                <w:color w:val="auto"/>
                <w:szCs w:val="21"/>
                <w:highlight w:val="none"/>
                <w:u w:val="single"/>
              </w:rPr>
              <w:t>月</w:t>
            </w:r>
            <w:r>
              <w:rPr>
                <w:rFonts w:hint="eastAsia" w:ascii="宋体" w:hAnsi="宋体" w:cs="宋体"/>
                <w:color w:val="auto"/>
                <w:szCs w:val="21"/>
                <w:highlight w:val="none"/>
                <w:u w:val="single"/>
                <w:lang w:val="en-US" w:eastAsia="zh-CN"/>
              </w:rPr>
              <w:t>3</w:t>
            </w:r>
            <w:r>
              <w:rPr>
                <w:rFonts w:hint="eastAsia" w:ascii="宋体" w:hAnsi="宋体" w:cs="宋体"/>
                <w:color w:val="auto"/>
                <w:szCs w:val="21"/>
                <w:highlight w:val="none"/>
                <w:u w:val="single"/>
              </w:rPr>
              <w:t>日09点30分</w:t>
            </w:r>
            <w:r>
              <w:rPr>
                <w:rFonts w:hint="eastAsia" w:ascii="宋体" w:hAnsi="宋体" w:cs="宋体"/>
                <w:color w:val="auto"/>
                <w:szCs w:val="21"/>
                <w:highlight w:val="none"/>
              </w:rPr>
              <w:t>（北京时间）</w:t>
            </w:r>
            <w:r>
              <w:rPr>
                <w:rFonts w:hint="eastAsia" w:ascii="宋体" w:hAnsi="宋体" w:cs="宋体"/>
                <w:bCs/>
                <w:color w:val="auto"/>
                <w:szCs w:val="21"/>
                <w:highlight w:val="none"/>
              </w:rPr>
              <w:t>前提交响应文件</w:t>
            </w:r>
            <w:r>
              <w:rPr>
                <w:rFonts w:hint="eastAsia" w:ascii="宋体" w:hAnsi="宋体" w:cs="宋体"/>
                <w:color w:val="auto"/>
                <w:szCs w:val="21"/>
                <w:highlight w:val="none"/>
              </w:rPr>
              <w:t>。</w:t>
            </w:r>
          </w:p>
        </w:tc>
      </w:tr>
    </w:tbl>
    <w:p w14:paraId="6327B9C4">
      <w:pPr>
        <w:spacing w:line="360" w:lineRule="auto"/>
        <w:ind w:firstLine="482" w:firstLineChars="200"/>
        <w:rPr>
          <w:rFonts w:ascii="宋体" w:hAnsi="宋体" w:cs="宋体"/>
          <w:b/>
          <w:color w:val="auto"/>
          <w:highlight w:val="none"/>
        </w:rPr>
      </w:pPr>
      <w:r>
        <w:rPr>
          <w:rFonts w:hint="eastAsia" w:ascii="宋体" w:hAnsi="宋体" w:cs="宋体"/>
          <w:b/>
          <w:color w:val="auto"/>
          <w:sz w:val="24"/>
          <w:highlight w:val="none"/>
        </w:rPr>
        <w:t>一、项目基本情况</w:t>
      </w:r>
      <w:bookmarkEnd w:id="17"/>
      <w:bookmarkEnd w:id="18"/>
      <w:bookmarkEnd w:id="19"/>
      <w:bookmarkEnd w:id="20"/>
      <w:bookmarkEnd w:id="21"/>
    </w:p>
    <w:p w14:paraId="1FCCD325">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1.项目编号：</w:t>
      </w:r>
      <w:r>
        <w:rPr>
          <w:rFonts w:hint="eastAsia" w:ascii="宋体" w:hAnsi="宋体" w:cs="宋体"/>
          <w:color w:val="auto"/>
          <w:szCs w:val="21"/>
          <w:highlight w:val="none"/>
          <w:lang w:eastAsia="zh-CN"/>
        </w:rPr>
        <w:t>NNZC2025-C2-050029-GXHM</w:t>
      </w:r>
    </w:p>
    <w:p w14:paraId="20A535B3">
      <w:pPr>
        <w:spacing w:line="360" w:lineRule="auto"/>
        <w:ind w:firstLine="420" w:firstLineChars="200"/>
        <w:rPr>
          <w:rFonts w:hint="eastAsia" w:ascii="宋体" w:hAnsi="宋体" w:eastAsia="宋体" w:cs="宋体"/>
          <w:color w:val="auto"/>
          <w:szCs w:val="21"/>
          <w:highlight w:val="none"/>
          <w:u w:val="single"/>
          <w:lang w:eastAsia="zh-CN"/>
        </w:rPr>
      </w:pPr>
      <w:r>
        <w:rPr>
          <w:rFonts w:hint="eastAsia" w:ascii="宋体" w:hAnsi="宋体" w:cs="宋体"/>
          <w:color w:val="auto"/>
          <w:szCs w:val="21"/>
          <w:highlight w:val="none"/>
        </w:rPr>
        <w:t>2.项目名称：</w:t>
      </w:r>
      <w:r>
        <w:rPr>
          <w:rFonts w:hint="eastAsia" w:ascii="宋体" w:hAnsi="宋体" w:cs="宋体"/>
          <w:color w:val="auto"/>
          <w:szCs w:val="21"/>
          <w:highlight w:val="none"/>
          <w:lang w:eastAsia="zh-CN"/>
        </w:rPr>
        <w:t>2025年苏圩镇仁德村蔬菜基地一期项目</w:t>
      </w:r>
    </w:p>
    <w:p w14:paraId="6488725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3.采购方式：竞争性磋商</w:t>
      </w:r>
    </w:p>
    <w:p w14:paraId="1D67085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4.预算金额：</w:t>
      </w:r>
      <w:r>
        <w:rPr>
          <w:rFonts w:hint="eastAsia" w:ascii="宋体" w:hAnsi="宋体" w:cs="宋体"/>
          <w:color w:val="auto"/>
          <w:szCs w:val="21"/>
          <w:highlight w:val="none"/>
          <w:lang w:eastAsia="zh-CN"/>
        </w:rPr>
        <w:t>3529372.51</w:t>
      </w:r>
      <w:r>
        <w:rPr>
          <w:rFonts w:hint="eastAsia" w:ascii="宋体" w:hAnsi="宋体" w:cs="宋体"/>
          <w:color w:val="auto"/>
          <w:szCs w:val="21"/>
          <w:highlight w:val="none"/>
        </w:rPr>
        <w:t>元</w:t>
      </w:r>
    </w:p>
    <w:p w14:paraId="1E66012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5.最高限价</w:t>
      </w:r>
      <w:bookmarkStart w:id="26" w:name="_Hlk66782034"/>
      <w:r>
        <w:rPr>
          <w:rFonts w:hint="eastAsia" w:ascii="宋体" w:hAnsi="宋体" w:cs="宋体"/>
          <w:color w:val="auto"/>
          <w:szCs w:val="21"/>
          <w:highlight w:val="none"/>
        </w:rPr>
        <w:t>（如有）</w:t>
      </w:r>
      <w:bookmarkEnd w:id="26"/>
      <w:r>
        <w:rPr>
          <w:rFonts w:hint="eastAsia" w:ascii="宋体" w:hAnsi="宋体" w:cs="宋体"/>
          <w:color w:val="auto"/>
          <w:szCs w:val="21"/>
          <w:highlight w:val="none"/>
        </w:rPr>
        <w:t>：同预算金额</w:t>
      </w:r>
    </w:p>
    <w:p w14:paraId="3310524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6.采购需求：</w:t>
      </w:r>
    </w:p>
    <w:tbl>
      <w:tblPr>
        <w:tblStyle w:val="26"/>
        <w:tblW w:w="960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7"/>
        <w:gridCol w:w="1909"/>
        <w:gridCol w:w="709"/>
        <w:gridCol w:w="695"/>
        <w:gridCol w:w="5617"/>
      </w:tblGrid>
      <w:tr w14:paraId="58D488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7" w:type="dxa"/>
            <w:tcBorders>
              <w:top w:val="single" w:color="auto" w:sz="4" w:space="0"/>
              <w:left w:val="single" w:color="auto" w:sz="4" w:space="0"/>
              <w:bottom w:val="single" w:color="auto" w:sz="4" w:space="0"/>
              <w:right w:val="single" w:color="auto" w:sz="4" w:space="0"/>
            </w:tcBorders>
            <w:vAlign w:val="center"/>
          </w:tcPr>
          <w:p w14:paraId="746DFF0D">
            <w:pPr>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909" w:type="dxa"/>
            <w:tcBorders>
              <w:top w:val="single" w:color="auto" w:sz="4" w:space="0"/>
              <w:left w:val="single" w:color="auto" w:sz="4" w:space="0"/>
              <w:bottom w:val="single" w:color="auto" w:sz="4" w:space="0"/>
              <w:right w:val="single" w:color="auto" w:sz="4" w:space="0"/>
            </w:tcBorders>
            <w:vAlign w:val="center"/>
          </w:tcPr>
          <w:p w14:paraId="002BEAD3">
            <w:pPr>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标的的名称</w:t>
            </w:r>
          </w:p>
        </w:tc>
        <w:tc>
          <w:tcPr>
            <w:tcW w:w="709" w:type="dxa"/>
            <w:tcBorders>
              <w:top w:val="single" w:color="auto" w:sz="4" w:space="0"/>
              <w:left w:val="single" w:color="auto" w:sz="4" w:space="0"/>
              <w:bottom w:val="single" w:color="auto" w:sz="4" w:space="0"/>
              <w:right w:val="single" w:color="auto" w:sz="4" w:space="0"/>
            </w:tcBorders>
            <w:vAlign w:val="center"/>
          </w:tcPr>
          <w:p w14:paraId="246B195C">
            <w:pPr>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单位</w:t>
            </w:r>
          </w:p>
        </w:tc>
        <w:tc>
          <w:tcPr>
            <w:tcW w:w="695" w:type="dxa"/>
            <w:tcBorders>
              <w:top w:val="single" w:color="auto" w:sz="4" w:space="0"/>
              <w:left w:val="single" w:color="auto" w:sz="4" w:space="0"/>
              <w:bottom w:val="single" w:color="auto" w:sz="4" w:space="0"/>
              <w:right w:val="single" w:color="auto" w:sz="4" w:space="0"/>
            </w:tcBorders>
            <w:vAlign w:val="center"/>
          </w:tcPr>
          <w:p w14:paraId="4223E1FA">
            <w:pPr>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数量</w:t>
            </w:r>
          </w:p>
        </w:tc>
        <w:tc>
          <w:tcPr>
            <w:tcW w:w="5617" w:type="dxa"/>
            <w:tcBorders>
              <w:top w:val="single" w:color="auto" w:sz="4" w:space="0"/>
              <w:left w:val="single" w:color="auto" w:sz="4" w:space="0"/>
              <w:bottom w:val="single" w:color="auto" w:sz="4" w:space="0"/>
              <w:right w:val="single" w:color="auto" w:sz="4" w:space="0"/>
            </w:tcBorders>
            <w:vAlign w:val="center"/>
          </w:tcPr>
          <w:p w14:paraId="4F8046EB">
            <w:pPr>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简要服务要求或者技术需求</w:t>
            </w:r>
          </w:p>
        </w:tc>
      </w:tr>
      <w:tr w14:paraId="105EE6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7" w:type="dxa"/>
            <w:tcBorders>
              <w:top w:val="single" w:color="auto" w:sz="4" w:space="0"/>
              <w:left w:val="single" w:color="auto" w:sz="4" w:space="0"/>
              <w:bottom w:val="single" w:color="auto" w:sz="4" w:space="0"/>
              <w:right w:val="single" w:color="auto" w:sz="4" w:space="0"/>
            </w:tcBorders>
            <w:vAlign w:val="center"/>
          </w:tcPr>
          <w:p w14:paraId="7DCE3960">
            <w:pPr>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1909" w:type="dxa"/>
            <w:tcBorders>
              <w:top w:val="single" w:color="auto" w:sz="4" w:space="0"/>
              <w:left w:val="single" w:color="auto" w:sz="4" w:space="0"/>
              <w:bottom w:val="single" w:color="auto" w:sz="4" w:space="0"/>
              <w:right w:val="single" w:color="auto" w:sz="4" w:space="0"/>
            </w:tcBorders>
            <w:vAlign w:val="center"/>
          </w:tcPr>
          <w:p w14:paraId="298640B8">
            <w:pPr>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2025年苏圩镇仁德村蔬菜基地一期项目</w:t>
            </w:r>
          </w:p>
        </w:tc>
        <w:tc>
          <w:tcPr>
            <w:tcW w:w="709" w:type="dxa"/>
            <w:tcBorders>
              <w:top w:val="single" w:color="auto" w:sz="4" w:space="0"/>
              <w:left w:val="single" w:color="auto" w:sz="4" w:space="0"/>
              <w:bottom w:val="single" w:color="auto" w:sz="4" w:space="0"/>
              <w:right w:val="single" w:color="auto" w:sz="4" w:space="0"/>
            </w:tcBorders>
            <w:vAlign w:val="center"/>
          </w:tcPr>
          <w:p w14:paraId="0725FDA6">
            <w:pPr>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项</w:t>
            </w:r>
          </w:p>
        </w:tc>
        <w:tc>
          <w:tcPr>
            <w:tcW w:w="695" w:type="dxa"/>
            <w:tcBorders>
              <w:top w:val="single" w:color="auto" w:sz="4" w:space="0"/>
              <w:left w:val="single" w:color="auto" w:sz="4" w:space="0"/>
              <w:bottom w:val="single" w:color="auto" w:sz="4" w:space="0"/>
              <w:right w:val="single" w:color="auto" w:sz="4" w:space="0"/>
            </w:tcBorders>
            <w:vAlign w:val="center"/>
          </w:tcPr>
          <w:p w14:paraId="5ECF89DF">
            <w:pPr>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1</w:t>
            </w:r>
          </w:p>
        </w:tc>
        <w:tc>
          <w:tcPr>
            <w:tcW w:w="5617" w:type="dxa"/>
            <w:tcBorders>
              <w:top w:val="single" w:color="auto" w:sz="4" w:space="0"/>
              <w:left w:val="single" w:color="auto" w:sz="4" w:space="0"/>
              <w:bottom w:val="single" w:color="auto" w:sz="4" w:space="0"/>
              <w:right w:val="single" w:color="auto" w:sz="4" w:space="0"/>
            </w:tcBorders>
            <w:vAlign w:val="center"/>
          </w:tcPr>
          <w:p w14:paraId="357DCA22">
            <w:pPr>
              <w:spacing w:line="340" w:lineRule="exact"/>
              <w:jc w:val="lef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建设规模及内容</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新建70亩蔬菜大棚，完善配套大棚、灌溉系统、电力系统等，具体详见工程量清单、招标控制价及图纸</w:t>
            </w:r>
            <w:r>
              <w:rPr>
                <w:rFonts w:hint="eastAsia" w:ascii="宋体" w:hAnsi="宋体" w:eastAsia="宋体" w:cs="宋体"/>
                <w:color w:val="auto"/>
                <w:szCs w:val="21"/>
                <w:highlight w:val="none"/>
              </w:rPr>
              <w:t>。</w:t>
            </w:r>
          </w:p>
        </w:tc>
      </w:tr>
    </w:tbl>
    <w:p w14:paraId="6049F319">
      <w:pP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7.合同履行期限</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工期）</w:t>
      </w:r>
      <w:r>
        <w:rPr>
          <w:rFonts w:hint="eastAsia" w:ascii="宋体" w:hAnsi="宋体" w:cs="宋体"/>
          <w:color w:val="auto"/>
          <w:szCs w:val="21"/>
          <w:highlight w:val="none"/>
        </w:rPr>
        <w:t>：详见采购文件“第二章采购需求”商务条款。</w:t>
      </w:r>
    </w:p>
    <w:p w14:paraId="5C8E170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8.本项目是否接受联合体：□是，☑否</w:t>
      </w:r>
    </w:p>
    <w:p w14:paraId="56EB0DCF">
      <w:pPr>
        <w:spacing w:line="360" w:lineRule="auto"/>
        <w:ind w:firstLine="482" w:firstLineChars="200"/>
        <w:rPr>
          <w:rFonts w:ascii="宋体" w:hAnsi="宋体" w:cs="宋体"/>
          <w:bCs/>
          <w:color w:val="auto"/>
          <w:sz w:val="24"/>
          <w:highlight w:val="none"/>
        </w:rPr>
      </w:pPr>
      <w:bookmarkStart w:id="27" w:name="_Toc35393630"/>
      <w:bookmarkStart w:id="28" w:name="_Toc28359090"/>
      <w:bookmarkStart w:id="29" w:name="_Toc35393799"/>
      <w:bookmarkStart w:id="30" w:name="_Toc28359013"/>
      <w:bookmarkStart w:id="31" w:name="_Toc44229879"/>
      <w:r>
        <w:rPr>
          <w:rFonts w:hint="eastAsia" w:ascii="宋体" w:hAnsi="宋体" w:cs="宋体"/>
          <w:b/>
          <w:color w:val="auto"/>
          <w:kern w:val="44"/>
          <w:sz w:val="24"/>
          <w:highlight w:val="none"/>
        </w:rPr>
        <w:t>二、供应商的资格条件</w:t>
      </w:r>
      <w:bookmarkEnd w:id="27"/>
      <w:bookmarkEnd w:id="28"/>
      <w:bookmarkEnd w:id="29"/>
      <w:bookmarkEnd w:id="30"/>
      <w:bookmarkEnd w:id="31"/>
    </w:p>
    <w:p w14:paraId="00806E4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1.满足《中华人民共和国政府采购法》第二十二条规定；</w:t>
      </w:r>
    </w:p>
    <w:p w14:paraId="0E4B3AD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2.落实政府采购政策需满足的资格要求：专门面向中小企业采购的项目（供应商应为中小微企业或监狱企业或残疾人福利性单位）；</w:t>
      </w:r>
    </w:p>
    <w:p w14:paraId="403E3D4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3.本项目的特定资格要求：供应商须具备建筑工程施工总承包三级及以上资质，同时持有省级及以上建设行政主管部门颁发的安全生产许可证，并在人员、设备、资金等方面具备相应的施工能力；</w:t>
      </w:r>
    </w:p>
    <w:p w14:paraId="7A52B18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本项目的特定条件：拟投入本项目的项目经理须具备建筑工程专业贰级以上（含贰级）注册建造师资格，并持有省级或省级以上行政主管部门或其授权部门（机构）颁发的B类安全生产考核合格证书。本项目不接受有在建、已中标（成交）未开工或已列为其他项目中标（成交）候选人第一名的建造师作为项目经理（符合桂建管﹝2013﹞17号文除外）；拟投入本项目的专职安全员须具备有效的安全生产考核合格证书（C类）；</w:t>
      </w:r>
    </w:p>
    <w:p w14:paraId="750CC26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0D9DE37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14:paraId="76AD7DE6">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三、获取竞争性磋商文件</w:t>
      </w:r>
      <w:bookmarkEnd w:id="22"/>
      <w:bookmarkEnd w:id="23"/>
      <w:bookmarkEnd w:id="24"/>
      <w:bookmarkEnd w:id="25"/>
    </w:p>
    <w:p w14:paraId="561C7452">
      <w:pPr>
        <w:spacing w:line="360" w:lineRule="auto"/>
        <w:ind w:firstLine="420" w:firstLineChars="200"/>
        <w:rPr>
          <w:rFonts w:ascii="宋体" w:hAnsi="宋体" w:cs="宋体"/>
          <w:color w:val="auto"/>
          <w:szCs w:val="21"/>
          <w:highlight w:val="none"/>
        </w:rPr>
      </w:pPr>
      <w:bookmarkStart w:id="32" w:name="_Toc35393624"/>
      <w:bookmarkStart w:id="33" w:name="_Toc28359082"/>
      <w:bookmarkStart w:id="34" w:name="_Toc28359005"/>
      <w:bookmarkStart w:id="35" w:name="_Toc35393793"/>
      <w:r>
        <w:rPr>
          <w:rFonts w:hint="eastAsia" w:ascii="宋体" w:hAnsi="宋体" w:cs="宋体"/>
          <w:color w:val="auto"/>
          <w:szCs w:val="21"/>
          <w:highlight w:val="none"/>
        </w:rPr>
        <w:t>时间：自公告发布之日起</w:t>
      </w:r>
      <w:r>
        <w:rPr>
          <w:rFonts w:hint="eastAsia" w:ascii="宋体" w:hAnsi="宋体" w:cs="宋体"/>
          <w:color w:val="auto"/>
          <w:highlight w:val="none"/>
        </w:rPr>
        <w:t>至</w:t>
      </w:r>
      <w:r>
        <w:rPr>
          <w:rFonts w:hint="eastAsia" w:ascii="宋体" w:hAnsi="宋体" w:cs="宋体"/>
          <w:color w:val="auto"/>
          <w:szCs w:val="21"/>
          <w:highlight w:val="none"/>
          <w:u w:val="single"/>
        </w:rPr>
        <w:t>202</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u w:val="single"/>
        </w:rPr>
        <w:t>年</w:t>
      </w:r>
      <w:r>
        <w:rPr>
          <w:rFonts w:hint="eastAsia" w:ascii="宋体" w:hAnsi="宋体" w:cs="宋体"/>
          <w:color w:val="auto"/>
          <w:szCs w:val="21"/>
          <w:highlight w:val="none"/>
          <w:u w:val="single"/>
          <w:lang w:val="en-US" w:eastAsia="zh-CN"/>
        </w:rPr>
        <w:t>6</w:t>
      </w:r>
      <w:r>
        <w:rPr>
          <w:rFonts w:hint="eastAsia" w:ascii="宋体" w:hAnsi="宋体" w:cs="宋体"/>
          <w:color w:val="auto"/>
          <w:szCs w:val="21"/>
          <w:highlight w:val="none"/>
          <w:u w:val="single"/>
        </w:rPr>
        <w:t>月</w:t>
      </w:r>
      <w:r>
        <w:rPr>
          <w:rFonts w:hint="eastAsia" w:ascii="宋体" w:hAnsi="宋体" w:cs="宋体"/>
          <w:color w:val="auto"/>
          <w:szCs w:val="21"/>
          <w:highlight w:val="none"/>
          <w:u w:val="single"/>
          <w:lang w:val="en-US" w:eastAsia="zh-CN"/>
        </w:rPr>
        <w:t>3</w:t>
      </w:r>
      <w:r>
        <w:rPr>
          <w:rFonts w:hint="eastAsia" w:ascii="宋体" w:hAnsi="宋体" w:cs="宋体"/>
          <w:color w:val="auto"/>
          <w:szCs w:val="21"/>
          <w:highlight w:val="none"/>
          <w:u w:val="single"/>
        </w:rPr>
        <w:t>日</w:t>
      </w:r>
      <w:r>
        <w:rPr>
          <w:rFonts w:hint="eastAsia" w:ascii="宋体" w:hAnsi="宋体" w:cs="宋体"/>
          <w:color w:val="auto"/>
          <w:szCs w:val="21"/>
          <w:highlight w:val="none"/>
          <w:u w:val="none"/>
        </w:rPr>
        <w:t>（北京时间）</w:t>
      </w:r>
      <w:r>
        <w:rPr>
          <w:rFonts w:hint="eastAsia" w:ascii="宋体" w:hAnsi="宋体" w:cs="宋体"/>
          <w:color w:val="auto"/>
          <w:szCs w:val="21"/>
          <w:highlight w:val="none"/>
        </w:rPr>
        <w:t>。</w:t>
      </w:r>
    </w:p>
    <w:p w14:paraId="19F0A6E7">
      <w:pPr>
        <w:spacing w:line="360" w:lineRule="auto"/>
        <w:ind w:firstLine="420" w:firstLineChars="200"/>
        <w:rPr>
          <w:rFonts w:ascii="宋体" w:hAnsi="宋体" w:cs="宋体"/>
          <w:b/>
          <w:bCs/>
          <w:color w:val="auto"/>
          <w:sz w:val="24"/>
          <w:highlight w:val="none"/>
        </w:rPr>
      </w:pPr>
      <w:r>
        <w:rPr>
          <w:rFonts w:hint="eastAsia" w:ascii="宋体" w:hAnsi="宋体" w:cs="宋体"/>
          <w:color w:val="auto"/>
          <w:szCs w:val="21"/>
          <w:highlight w:val="none"/>
        </w:rPr>
        <w:t>获取方式:网上下载。本项目不发放纸质采购文件，供应商可自行在“广西政府采购云平台”（https://www.gcy.zfcg.gxzf.gov.cn）下载采购文件（操作路径：登录“广西政府采购云平台”-项目采购-获取采购文件-找到本项目-点击“申请获取采购文件”），电子响应文件制作需要基于“广西政府采购云平台”（https://www.gcy.zfcg.gxzf.gov.cn）获取的采购文件编制。</w:t>
      </w:r>
    </w:p>
    <w:p w14:paraId="4FFFB13B">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售价：0元。</w:t>
      </w:r>
    </w:p>
    <w:p w14:paraId="4EB0DE22">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四、</w:t>
      </w:r>
      <w:bookmarkEnd w:id="32"/>
      <w:bookmarkEnd w:id="33"/>
      <w:bookmarkEnd w:id="34"/>
      <w:bookmarkEnd w:id="35"/>
      <w:r>
        <w:rPr>
          <w:rFonts w:hint="eastAsia" w:ascii="宋体" w:hAnsi="宋体" w:cs="宋体"/>
          <w:b/>
          <w:bCs/>
          <w:color w:val="auto"/>
          <w:sz w:val="24"/>
          <w:highlight w:val="none"/>
        </w:rPr>
        <w:t>响应文件提交</w:t>
      </w:r>
    </w:p>
    <w:p w14:paraId="1A1503F7">
      <w:pP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1、首次响应文件提交截止时间</w:t>
      </w:r>
      <w:r>
        <w:rPr>
          <w:rFonts w:hint="eastAsia" w:ascii="宋体" w:hAnsi="宋体" w:cs="宋体"/>
          <w:bCs/>
          <w:color w:val="auto"/>
          <w:szCs w:val="21"/>
          <w:highlight w:val="none"/>
        </w:rPr>
        <w:t>（北京时间）：</w:t>
      </w:r>
      <w:r>
        <w:rPr>
          <w:rFonts w:hint="eastAsia" w:ascii="宋体" w:hAnsi="宋体" w:cs="宋体"/>
          <w:color w:val="auto"/>
          <w:szCs w:val="21"/>
          <w:highlight w:val="none"/>
          <w:u w:val="single"/>
        </w:rPr>
        <w:t>202</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u w:val="single"/>
        </w:rPr>
        <w:t>年</w:t>
      </w:r>
      <w:r>
        <w:rPr>
          <w:rFonts w:hint="eastAsia" w:ascii="宋体" w:hAnsi="宋体" w:cs="宋体"/>
          <w:color w:val="auto"/>
          <w:szCs w:val="21"/>
          <w:highlight w:val="none"/>
          <w:u w:val="single"/>
          <w:lang w:val="en-US" w:eastAsia="zh-CN"/>
        </w:rPr>
        <w:t>6</w:t>
      </w:r>
      <w:r>
        <w:rPr>
          <w:rFonts w:hint="eastAsia" w:ascii="宋体" w:hAnsi="宋体" w:cs="宋体"/>
          <w:color w:val="auto"/>
          <w:szCs w:val="21"/>
          <w:highlight w:val="none"/>
          <w:u w:val="single"/>
        </w:rPr>
        <w:t>月</w:t>
      </w:r>
      <w:r>
        <w:rPr>
          <w:rFonts w:hint="eastAsia" w:ascii="宋体" w:hAnsi="宋体" w:cs="宋体"/>
          <w:color w:val="auto"/>
          <w:szCs w:val="21"/>
          <w:highlight w:val="none"/>
          <w:u w:val="single"/>
          <w:lang w:val="en-US" w:eastAsia="zh-CN"/>
        </w:rPr>
        <w:t>3</w:t>
      </w:r>
      <w:r>
        <w:rPr>
          <w:rFonts w:hint="eastAsia" w:ascii="宋体" w:hAnsi="宋体" w:cs="宋体"/>
          <w:color w:val="auto"/>
          <w:szCs w:val="21"/>
          <w:highlight w:val="none"/>
          <w:u w:val="single"/>
        </w:rPr>
        <w:t>日09点30分</w:t>
      </w:r>
    </w:p>
    <w:p w14:paraId="3FEC18B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2、首次响应文件提交地点：</w:t>
      </w:r>
    </w:p>
    <w:p w14:paraId="37F86216">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响应文件提交方式：本项目为南宁市全流程电子化项目，通过“广西政府采购云平台”（https://www.gcy.zfcg.gxzf.gov.cn）实行在线电子响应，供应商应先安装“广西政府采购云平台新版客户端”（新版客户端下载路径：广西政府采购网（访问地址http://zfcg.gxzf.gov.cn/）—办事服务—下载专区），并按照本项目采购文件和“广西政府采购云平台”的要求编制、加密后在投标截止时间前通过网络上传至“广西政府采购云平台”，供应商在“广西政府采购云平台”提交电子版响应文件时，请填写参加远程采购活动经办人联系方式，电子响应文件具体操作流程详见本公告附件2。</w:t>
      </w:r>
    </w:p>
    <w:p w14:paraId="47C9CA52">
      <w:pPr>
        <w:widowControl/>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未进行网上注册并办理数字证书（CA认证）的供应商将无法参与本项目政府采购活动，潜在供应商应当在投标截止时间前，完成电子交易平台上的CA数字证书办理（申领流程见本公告附件2）及响应文件的提交。完成CA数字证书办理预计7日左右，供应商只需办理其中一家CA数字证书及签章。</w:t>
      </w:r>
    </w:p>
    <w:p w14:paraId="3DF4D4D4">
      <w:pPr>
        <w:widowControl/>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（3）为确保网上操作合法、有效和安全，请供应商确保在电子响应过程中能够对相关数据电文进行加密和使用电子签章，妥善保管CA数字证书并使用有效的CA数字证书参与整个采购活动。</w:t>
      </w:r>
    </w:p>
    <w:p w14:paraId="1FFECF3D">
      <w:pPr>
        <w:widowControl/>
        <w:spacing w:line="360" w:lineRule="auto"/>
        <w:ind w:firstLine="420" w:firstLineChars="200"/>
        <w:jc w:val="left"/>
        <w:rPr>
          <w:rFonts w:ascii="宋体" w:hAnsi="宋体" w:cs="宋体"/>
          <w:bCs/>
          <w:color w:val="auto"/>
          <w:szCs w:val="21"/>
          <w:highlight w:val="none"/>
          <w:u w:val="single"/>
        </w:rPr>
      </w:pPr>
      <w:r>
        <w:rPr>
          <w:rFonts w:hint="eastAsia" w:ascii="宋体" w:hAnsi="宋体" w:cs="宋体"/>
          <w:color w:val="auto"/>
          <w:szCs w:val="21"/>
          <w:highlight w:val="none"/>
        </w:rPr>
        <w:t>注：供应商应当在首次响应文件提交截止时间前完成电子响应文件的上传、递交，响应文件提交截止时间前可以补充、修改或者撤回响应文件。补充或者修改响应文件的，应当先行撤回原文件，补充、修改后重新上传、递交。响应截止时间前未完成上传、递交的，视为撤回响应文件。响应文件提交截止时间以后上传递交的响应文件的，“广西政府采购云平台”将予以拒收。</w:t>
      </w:r>
    </w:p>
    <w:p w14:paraId="11083F00">
      <w:pPr>
        <w:snapToGrid w:val="0"/>
        <w:spacing w:line="440" w:lineRule="exact"/>
        <w:ind w:firstLine="420" w:firstLineChars="200"/>
        <w:rPr>
          <w:rFonts w:ascii="宋体" w:hAnsi="宋体" w:eastAsia="宋体" w:cs="宋体"/>
          <w:b/>
          <w:bCs/>
          <w:color w:val="auto"/>
          <w:kern w:val="0"/>
          <w:szCs w:val="21"/>
          <w:highlight w:val="none"/>
        </w:rPr>
      </w:pPr>
      <w:r>
        <w:rPr>
          <w:rFonts w:hint="eastAsia" w:ascii="宋体" w:hAnsi="宋体" w:eastAsia="宋体" w:cs="宋体"/>
          <w:color w:val="auto"/>
          <w:kern w:val="0"/>
          <w:szCs w:val="21"/>
          <w:highlight w:val="none"/>
        </w:rPr>
        <w:t>3、CA证书在线解密：</w:t>
      </w:r>
      <w:r>
        <w:rPr>
          <w:rFonts w:hint="eastAsia" w:ascii="宋体" w:hAnsi="宋体" w:eastAsia="宋体" w:cs="宋体"/>
          <w:b/>
          <w:bCs/>
          <w:color w:val="auto"/>
          <w:kern w:val="0"/>
          <w:szCs w:val="21"/>
          <w:highlight w:val="none"/>
        </w:rPr>
        <w:t>首次响应文件开启时，须要供应商携带制作响应文件时用来加密的有效数字证书（CA认证）登录“广西政府采购云平台”电子开标大厅现场按规定时间对加密的响应文件进行解密，未能按要求进行解密的，由此产生的后果由投标人自行承担。</w:t>
      </w:r>
    </w:p>
    <w:p w14:paraId="6F336A25">
      <w:pPr>
        <w:snapToGrid w:val="0"/>
        <w:spacing w:line="440" w:lineRule="exact"/>
        <w:ind w:firstLine="420" w:firstLineChars="200"/>
        <w:rPr>
          <w:rFonts w:ascii="宋体" w:hAnsi="宋体" w:cs="宋体"/>
          <w:color w:val="auto"/>
          <w:kern w:val="0"/>
          <w:szCs w:val="21"/>
          <w:highlight w:val="none"/>
        </w:rPr>
      </w:pPr>
      <w:r>
        <w:rPr>
          <w:rFonts w:hint="eastAsia" w:ascii="宋体" w:hAnsi="宋体" w:eastAsia="宋体" w:cs="宋体"/>
          <w:color w:val="auto"/>
          <w:kern w:val="0"/>
          <w:szCs w:val="21"/>
          <w:highlight w:val="none"/>
        </w:rPr>
        <w:t>4、供应商需要在具备有摄像头及语音功能且互联网网络状况良好的电脑登录“广西政府采购云平台”远程开标大厅参与本次磋商，否则后果自负</w:t>
      </w:r>
      <w:r>
        <w:rPr>
          <w:rFonts w:hint="eastAsia" w:ascii="宋体" w:hAnsi="宋体" w:cs="宋体"/>
          <w:color w:val="auto"/>
          <w:kern w:val="0"/>
          <w:szCs w:val="21"/>
          <w:highlight w:val="none"/>
        </w:rPr>
        <w:t>。</w:t>
      </w:r>
    </w:p>
    <w:p w14:paraId="284481B3">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五、开启（首次响应文件开启时间）</w:t>
      </w:r>
    </w:p>
    <w:p w14:paraId="597DAD0B">
      <w:pPr>
        <w:spacing w:line="360" w:lineRule="auto"/>
        <w:ind w:firstLine="420" w:firstLineChars="200"/>
        <w:rPr>
          <w:rFonts w:ascii="宋体" w:hAnsi="宋体" w:cs="宋体"/>
          <w:bCs/>
          <w:color w:val="auto"/>
          <w:szCs w:val="21"/>
          <w:highlight w:val="none"/>
          <w:u w:val="single"/>
        </w:rPr>
      </w:pPr>
      <w:r>
        <w:rPr>
          <w:rFonts w:hint="eastAsia" w:ascii="宋体" w:hAnsi="宋体" w:cs="宋体"/>
          <w:color w:val="auto"/>
          <w:szCs w:val="21"/>
          <w:highlight w:val="none"/>
        </w:rPr>
        <w:t>1.时间</w:t>
      </w:r>
      <w:r>
        <w:rPr>
          <w:rFonts w:hint="eastAsia" w:ascii="宋体" w:hAnsi="宋体" w:cs="宋体"/>
          <w:bCs/>
          <w:color w:val="auto"/>
          <w:szCs w:val="21"/>
          <w:highlight w:val="none"/>
        </w:rPr>
        <w:t>（北京时间）</w:t>
      </w:r>
      <w:r>
        <w:rPr>
          <w:rFonts w:hint="eastAsia" w:ascii="宋体" w:hAnsi="宋体" w:cs="宋体"/>
          <w:color w:val="auto"/>
          <w:szCs w:val="21"/>
          <w:highlight w:val="none"/>
        </w:rPr>
        <w:t>：</w:t>
      </w:r>
      <w:r>
        <w:rPr>
          <w:rFonts w:hint="eastAsia" w:ascii="宋体" w:hAnsi="宋体" w:cs="宋体"/>
          <w:color w:val="auto"/>
          <w:szCs w:val="21"/>
          <w:highlight w:val="none"/>
          <w:u w:val="single"/>
        </w:rPr>
        <w:t>202</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u w:val="single"/>
        </w:rPr>
        <w:t>年</w:t>
      </w:r>
      <w:r>
        <w:rPr>
          <w:rFonts w:hint="eastAsia" w:ascii="宋体" w:hAnsi="宋体" w:cs="宋体"/>
          <w:color w:val="auto"/>
          <w:szCs w:val="21"/>
          <w:highlight w:val="none"/>
          <w:u w:val="single"/>
          <w:lang w:val="en-US" w:eastAsia="zh-CN"/>
        </w:rPr>
        <w:t>6</w:t>
      </w:r>
      <w:r>
        <w:rPr>
          <w:rFonts w:hint="eastAsia" w:ascii="宋体" w:hAnsi="宋体" w:cs="宋体"/>
          <w:color w:val="auto"/>
          <w:szCs w:val="21"/>
          <w:highlight w:val="none"/>
          <w:u w:val="single"/>
        </w:rPr>
        <w:t>月</w:t>
      </w:r>
      <w:r>
        <w:rPr>
          <w:rFonts w:hint="eastAsia" w:ascii="宋体" w:hAnsi="宋体" w:cs="宋体"/>
          <w:color w:val="auto"/>
          <w:szCs w:val="21"/>
          <w:highlight w:val="none"/>
          <w:u w:val="single"/>
          <w:lang w:val="en-US" w:eastAsia="zh-CN"/>
        </w:rPr>
        <w:t>3</w:t>
      </w:r>
      <w:r>
        <w:rPr>
          <w:rFonts w:hint="eastAsia" w:ascii="宋体" w:hAnsi="宋体" w:cs="宋体"/>
          <w:color w:val="auto"/>
          <w:szCs w:val="21"/>
          <w:highlight w:val="none"/>
          <w:u w:val="single"/>
        </w:rPr>
        <w:t>日09点30分</w:t>
      </w:r>
      <w:r>
        <w:rPr>
          <w:rFonts w:hint="eastAsia" w:ascii="宋体" w:hAnsi="宋体" w:cs="宋体"/>
          <w:color w:val="auto"/>
          <w:szCs w:val="21"/>
          <w:highlight w:val="none"/>
        </w:rPr>
        <w:t>后</w:t>
      </w:r>
    </w:p>
    <w:p w14:paraId="62C194E5">
      <w:pPr>
        <w:spacing w:line="360" w:lineRule="auto"/>
        <w:ind w:firstLine="420" w:firstLineChars="200"/>
        <w:rPr>
          <w:rFonts w:ascii="宋体" w:hAnsi="宋体" w:cs="宋体"/>
          <w:bCs/>
          <w:color w:val="auto"/>
          <w:szCs w:val="21"/>
          <w:highlight w:val="none"/>
          <w:u w:val="single"/>
        </w:rPr>
      </w:pPr>
      <w:r>
        <w:rPr>
          <w:rFonts w:hint="eastAsia" w:ascii="宋体" w:hAnsi="宋体" w:cs="宋体"/>
          <w:color w:val="auto"/>
          <w:szCs w:val="21"/>
          <w:highlight w:val="none"/>
        </w:rPr>
        <w:t>2.地点：</w:t>
      </w:r>
      <w:r>
        <w:rPr>
          <w:rFonts w:hint="eastAsia" w:ascii="宋体" w:hAnsi="宋体" w:eastAsia="宋体" w:cs="Times New Roman"/>
          <w:color w:val="auto"/>
          <w:szCs w:val="21"/>
          <w:highlight w:val="none"/>
          <w:u w:val="single"/>
          <w:lang w:eastAsia="zh-CN"/>
        </w:rPr>
        <w:t>广西政</w:t>
      </w:r>
      <w:r>
        <w:rPr>
          <w:rFonts w:hint="eastAsia" w:ascii="宋体" w:hAnsi="宋体" w:eastAsia="宋体" w:cs="Times New Roman"/>
          <w:color w:val="auto"/>
          <w:szCs w:val="21"/>
          <w:highlight w:val="none"/>
          <w:u w:val="single"/>
        </w:rPr>
        <w:t>府采购云平台开标大厅</w:t>
      </w:r>
      <w:r>
        <w:rPr>
          <w:rFonts w:hint="eastAsia" w:ascii="宋体" w:hAnsi="宋体" w:cs="宋体"/>
          <w:color w:val="auto"/>
          <w:szCs w:val="21"/>
          <w:highlight w:val="none"/>
          <w:u w:val="single"/>
        </w:rPr>
        <w:t xml:space="preserve"> </w:t>
      </w:r>
    </w:p>
    <w:p w14:paraId="73BBCE3C">
      <w:pPr>
        <w:spacing w:line="360" w:lineRule="auto"/>
        <w:ind w:firstLine="482" w:firstLineChars="200"/>
        <w:rPr>
          <w:rFonts w:ascii="宋体" w:hAnsi="宋体" w:cs="宋体"/>
          <w:b/>
          <w:bCs/>
          <w:color w:val="auto"/>
          <w:sz w:val="24"/>
          <w:highlight w:val="none"/>
        </w:rPr>
      </w:pPr>
      <w:bookmarkStart w:id="36" w:name="_Toc35393794"/>
      <w:bookmarkStart w:id="37" w:name="_Toc28359084"/>
      <w:bookmarkStart w:id="38" w:name="_Toc28359007"/>
      <w:bookmarkStart w:id="39" w:name="_Toc35393625"/>
      <w:r>
        <w:rPr>
          <w:rFonts w:hint="eastAsia" w:ascii="宋体" w:hAnsi="宋体" w:cs="宋体"/>
          <w:b/>
          <w:bCs/>
          <w:color w:val="auto"/>
          <w:sz w:val="24"/>
          <w:highlight w:val="none"/>
        </w:rPr>
        <w:t>六、公告期限</w:t>
      </w:r>
      <w:bookmarkEnd w:id="36"/>
      <w:bookmarkEnd w:id="37"/>
      <w:bookmarkEnd w:id="38"/>
      <w:bookmarkEnd w:id="39"/>
    </w:p>
    <w:p w14:paraId="2C88E51A">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自本公告发布之日起3个工作日。</w:t>
      </w:r>
    </w:p>
    <w:p w14:paraId="75D0CD81">
      <w:pPr>
        <w:spacing w:line="360" w:lineRule="auto"/>
        <w:ind w:firstLine="482" w:firstLineChars="200"/>
        <w:rPr>
          <w:rFonts w:ascii="宋体" w:hAnsi="宋体" w:cs="宋体"/>
          <w:b/>
          <w:bCs/>
          <w:color w:val="auto"/>
          <w:sz w:val="24"/>
          <w:highlight w:val="none"/>
        </w:rPr>
      </w:pPr>
      <w:bookmarkStart w:id="40" w:name="_Toc35393795"/>
      <w:bookmarkStart w:id="41" w:name="_Toc35393626"/>
      <w:r>
        <w:rPr>
          <w:rFonts w:hint="eastAsia" w:ascii="宋体" w:hAnsi="宋体" w:cs="宋体"/>
          <w:b/>
          <w:bCs/>
          <w:color w:val="auto"/>
          <w:sz w:val="24"/>
          <w:highlight w:val="none"/>
        </w:rPr>
        <w:t>七、其他补充事宜</w:t>
      </w:r>
      <w:bookmarkEnd w:id="40"/>
      <w:bookmarkEnd w:id="41"/>
    </w:p>
    <w:p w14:paraId="335B9670">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1.磋商保证金：本项目不收取磋商保证金</w:t>
      </w:r>
    </w:p>
    <w:p w14:paraId="7DFE97A0">
      <w:pPr>
        <w:spacing w:line="360" w:lineRule="auto"/>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2.采购意向公开链接：</w:t>
      </w:r>
      <w:r>
        <w:rPr>
          <w:rFonts w:hint="eastAsia" w:ascii="宋体" w:hAnsi="宋体" w:cs="宋体"/>
          <w:color w:val="auto"/>
          <w:kern w:val="0"/>
          <w:szCs w:val="21"/>
          <w:highlight w:val="none"/>
          <w:lang w:val="en-US" w:eastAsia="zh-CN"/>
        </w:rPr>
        <w:t>https://zfcg.gxzf.gov.cn/site/detail?categoryCode=reformColumn&amp;parentId=66601&amp;articleId=KXKQAfQo7HUr3egIwtpTsw==</w:t>
      </w:r>
    </w:p>
    <w:p w14:paraId="5F036744">
      <w:pPr>
        <w:spacing w:line="360" w:lineRule="auto"/>
        <w:ind w:firstLine="420" w:firstLineChars="200"/>
        <w:rPr>
          <w:rFonts w:ascii="宋体" w:hAnsi="宋体" w:cs="宋体"/>
          <w:color w:val="auto"/>
          <w:kern w:val="0"/>
          <w:szCs w:val="21"/>
          <w:highlight w:val="none"/>
        </w:rPr>
      </w:pPr>
      <w:bookmarkStart w:id="42" w:name="_Hlk37429585"/>
      <w:r>
        <w:rPr>
          <w:rFonts w:hint="eastAsia" w:ascii="宋体" w:hAnsi="宋体" w:cs="宋体"/>
          <w:color w:val="auto"/>
          <w:kern w:val="0"/>
          <w:szCs w:val="21"/>
          <w:highlight w:val="none"/>
        </w:rPr>
        <w:t>3.</w:t>
      </w:r>
      <w:bookmarkStart w:id="43" w:name="_Hlk37429595"/>
      <w:r>
        <w:rPr>
          <w:rFonts w:hint="eastAsia" w:ascii="宋体" w:hAnsi="宋体" w:cs="宋体"/>
          <w:color w:val="auto"/>
          <w:kern w:val="0"/>
          <w:szCs w:val="21"/>
          <w:highlight w:val="none"/>
        </w:rPr>
        <w:t>网上查询地址</w:t>
      </w:r>
    </w:p>
    <w:bookmarkEnd w:id="42"/>
    <w:bookmarkEnd w:id="43"/>
    <w:p w14:paraId="7F50F401">
      <w:pPr>
        <w:spacing w:line="360" w:lineRule="auto"/>
        <w:ind w:firstLine="420" w:firstLineChars="200"/>
        <w:rPr>
          <w:rFonts w:ascii="宋体" w:hAnsi="宋体" w:cs="宋体"/>
          <w:color w:val="auto"/>
          <w:kern w:val="0"/>
          <w:szCs w:val="21"/>
          <w:highlight w:val="none"/>
        </w:rPr>
      </w:pPr>
      <w:bookmarkStart w:id="44" w:name="_Hlk37429674"/>
      <w:r>
        <w:rPr>
          <w:rFonts w:hint="eastAsia" w:ascii="宋体" w:hAnsi="宋体" w:cs="宋体"/>
          <w:color w:val="auto"/>
          <w:kern w:val="0"/>
          <w:szCs w:val="21"/>
          <w:highlight w:val="none"/>
        </w:rPr>
        <w:t>中国政府采购网（www.ccgp.gov.cn）、广西壮族自治区政府采购网（http://zfcg.gxzf.gov.cn/）、全国公共资源交易平台</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广西·南宁</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（http://ggzy.jgswj.gxzf.gov.cn/nnggzy/）</w:t>
      </w:r>
    </w:p>
    <w:p w14:paraId="751820A0">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w:t>
      </w:r>
      <w:r>
        <w:rPr>
          <w:rFonts w:hint="eastAsia" w:ascii="宋体" w:hAnsi="宋体" w:cs="宋体"/>
          <w:color w:val="auto"/>
          <w:szCs w:val="21"/>
          <w:highlight w:val="none"/>
        </w:rPr>
        <w:t xml:space="preserve">. </w:t>
      </w:r>
      <w:r>
        <w:rPr>
          <w:rFonts w:hint="eastAsia" w:ascii="宋体" w:hAnsi="宋体" w:cs="宋体"/>
          <w:color w:val="auto"/>
          <w:kern w:val="0"/>
          <w:szCs w:val="21"/>
          <w:highlight w:val="none"/>
        </w:rPr>
        <w:t>本项目需要落实的政府采购政策</w:t>
      </w:r>
    </w:p>
    <w:bookmarkEnd w:id="44"/>
    <w:p w14:paraId="20037644">
      <w:pPr>
        <w:spacing w:line="360" w:lineRule="auto"/>
        <w:ind w:firstLine="315" w:firstLineChars="150"/>
        <w:rPr>
          <w:rFonts w:ascii="宋体" w:hAnsi="宋体" w:cs="宋体"/>
          <w:color w:val="auto"/>
          <w:kern w:val="0"/>
          <w:szCs w:val="21"/>
          <w:highlight w:val="none"/>
        </w:rPr>
      </w:pPr>
      <w:r>
        <w:rPr>
          <w:rFonts w:hint="eastAsia" w:ascii="宋体" w:hAnsi="宋体" w:cs="宋体"/>
          <w:color w:val="auto"/>
          <w:kern w:val="0"/>
          <w:szCs w:val="21"/>
          <w:highlight w:val="none"/>
        </w:rPr>
        <w:t>（1）政府采购促进中小企业发展。</w:t>
      </w:r>
    </w:p>
    <w:p w14:paraId="53AA4A80">
      <w:pPr>
        <w:spacing w:line="360" w:lineRule="auto"/>
        <w:ind w:firstLine="315" w:firstLineChars="150"/>
        <w:rPr>
          <w:rFonts w:ascii="宋体" w:hAnsi="宋体" w:cs="宋体"/>
          <w:color w:val="auto"/>
          <w:kern w:val="0"/>
          <w:szCs w:val="21"/>
          <w:highlight w:val="none"/>
        </w:rPr>
      </w:pPr>
      <w:r>
        <w:rPr>
          <w:rFonts w:hint="eastAsia" w:ascii="宋体" w:hAnsi="宋体" w:cs="宋体"/>
          <w:color w:val="auto"/>
          <w:kern w:val="0"/>
          <w:szCs w:val="21"/>
          <w:highlight w:val="none"/>
        </w:rPr>
        <w:t>（2）政府采购支持采用本国产品的政策。</w:t>
      </w:r>
    </w:p>
    <w:p w14:paraId="33051B00">
      <w:pPr>
        <w:spacing w:line="360" w:lineRule="auto"/>
        <w:ind w:firstLine="315" w:firstLineChars="150"/>
        <w:rPr>
          <w:rFonts w:ascii="宋体" w:hAnsi="宋体" w:cs="宋体"/>
          <w:color w:val="auto"/>
          <w:kern w:val="0"/>
          <w:szCs w:val="21"/>
          <w:highlight w:val="none"/>
        </w:rPr>
      </w:pPr>
      <w:r>
        <w:rPr>
          <w:rFonts w:hint="eastAsia" w:ascii="宋体" w:hAnsi="宋体" w:cs="宋体"/>
          <w:color w:val="auto"/>
          <w:kern w:val="0"/>
          <w:szCs w:val="21"/>
          <w:highlight w:val="none"/>
        </w:rPr>
        <w:t>（3）政府采购促进残疾人就业政策。</w:t>
      </w:r>
    </w:p>
    <w:p w14:paraId="22664B51">
      <w:pPr>
        <w:spacing w:line="360" w:lineRule="auto"/>
        <w:ind w:firstLine="315" w:firstLineChars="150"/>
        <w:rPr>
          <w:rFonts w:ascii="宋体" w:hAnsi="宋体" w:cs="宋体"/>
          <w:color w:val="auto"/>
          <w:kern w:val="0"/>
          <w:szCs w:val="21"/>
          <w:highlight w:val="none"/>
        </w:rPr>
      </w:pPr>
      <w:r>
        <w:rPr>
          <w:rFonts w:hint="eastAsia" w:ascii="宋体" w:hAnsi="宋体" w:cs="宋体"/>
          <w:color w:val="auto"/>
          <w:kern w:val="0"/>
          <w:szCs w:val="21"/>
          <w:highlight w:val="none"/>
        </w:rPr>
        <w:t>（4）政府采购支持监狱企业发展。</w:t>
      </w:r>
    </w:p>
    <w:p w14:paraId="3FE397A5">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5.供应商认为采购文件使自己的权益受到损害的，可以自获取采购文件之日或者采购文件公告期限届满之日（公告期限届满后获取采购文件的，以公告期限届满之日为准）起7个工作日内以书面形式一次性向采购人和采购代理机构提出同一环节的质疑。否则，逾期的质疑采购人及招标代理机构可不予接受。质疑供应商对采购人、采购代理机构的答复不满意或者采购人、采购代理机构未在规定的时间内作出答复的，可以在答复期满后十五个工作日内向同级政府采购监督管理部门投诉。</w:t>
      </w:r>
    </w:p>
    <w:p w14:paraId="2A0D1215">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6.若对项目采购电子交易系统操作有疑问，可登录“广西政府采购云平台”https://www.gcy.zfcg.gxzf.gov.cn），点击右侧咨询小采，获取采小蜜智能服务管家帮助，或拨打广西政府采购云平台服务热线95763</w:t>
      </w:r>
      <w:r>
        <w:rPr>
          <w:rFonts w:hint="eastAsia" w:ascii="宋体" w:hAnsi="宋体" w:eastAsia="宋体" w:cs="宋体"/>
          <w:color w:val="auto"/>
          <w:kern w:val="0"/>
          <w:sz w:val="21"/>
          <w:szCs w:val="21"/>
          <w:highlight w:val="none"/>
          <w:lang w:val="en-US" w:eastAsia="zh-CN" w:bidi="ar"/>
        </w:rPr>
        <w:t>或0771-3381253</w:t>
      </w:r>
      <w:r>
        <w:rPr>
          <w:rFonts w:hint="eastAsia" w:ascii="宋体" w:hAnsi="宋体" w:cs="宋体"/>
          <w:color w:val="auto"/>
          <w:kern w:val="0"/>
          <w:szCs w:val="21"/>
          <w:highlight w:val="none"/>
        </w:rPr>
        <w:t xml:space="preserve">获取热线服务帮助。 </w:t>
      </w:r>
    </w:p>
    <w:p w14:paraId="45F092D3">
      <w:pPr>
        <w:spacing w:line="360" w:lineRule="auto"/>
        <w:ind w:firstLine="482" w:firstLineChars="200"/>
        <w:rPr>
          <w:rFonts w:ascii="宋体" w:hAnsi="宋体" w:cs="宋体"/>
          <w:bCs/>
          <w:color w:val="auto"/>
          <w:sz w:val="24"/>
          <w:highlight w:val="none"/>
        </w:rPr>
      </w:pPr>
      <w:r>
        <w:rPr>
          <w:rFonts w:hint="eastAsia" w:ascii="宋体" w:hAnsi="宋体" w:cs="宋体"/>
          <w:b/>
          <w:color w:val="auto"/>
          <w:kern w:val="44"/>
          <w:sz w:val="24"/>
          <w:highlight w:val="none"/>
        </w:rPr>
        <w:t>八、凡对本次采购提出询问，请按以下方式联系</w:t>
      </w:r>
    </w:p>
    <w:p w14:paraId="09FFC568">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　　　1.采购人信息</w:t>
      </w:r>
    </w:p>
    <w:p w14:paraId="25873759">
      <w:pPr>
        <w:spacing w:line="360" w:lineRule="auto"/>
        <w:ind w:firstLine="735" w:firstLineChars="35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名称：</w:t>
      </w:r>
      <w:r>
        <w:rPr>
          <w:rFonts w:hint="eastAsia" w:ascii="宋体" w:hAnsi="宋体" w:cs="宋体"/>
          <w:color w:val="auto"/>
          <w:szCs w:val="21"/>
          <w:highlight w:val="none"/>
          <w:lang w:eastAsia="zh-CN"/>
        </w:rPr>
        <w:t>南宁市江南区苏圩镇人民政府</w:t>
      </w:r>
    </w:p>
    <w:p w14:paraId="2684A431">
      <w:pPr>
        <w:spacing w:line="360" w:lineRule="auto"/>
        <w:ind w:firstLine="735" w:firstLineChars="35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地址：</w:t>
      </w:r>
      <w:r>
        <w:rPr>
          <w:rFonts w:hint="eastAsia" w:ascii="宋体" w:hAnsi="宋体" w:cs="宋体"/>
          <w:color w:val="auto"/>
          <w:szCs w:val="21"/>
          <w:highlight w:val="none"/>
          <w:lang w:eastAsia="zh-CN"/>
        </w:rPr>
        <w:t>南宁市江南区苏圩镇团结路8号</w:t>
      </w:r>
    </w:p>
    <w:p w14:paraId="0B98B543">
      <w:pPr>
        <w:spacing w:line="360" w:lineRule="auto"/>
        <w:ind w:firstLine="735" w:firstLineChars="35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项目联系人：</w:t>
      </w:r>
      <w:r>
        <w:rPr>
          <w:rFonts w:hint="eastAsia" w:ascii="宋体" w:hAnsi="宋体" w:cs="宋体"/>
          <w:color w:val="auto"/>
          <w:szCs w:val="21"/>
          <w:highlight w:val="none"/>
          <w:lang w:eastAsia="zh-CN"/>
        </w:rPr>
        <w:t>朱润泽</w:t>
      </w:r>
    </w:p>
    <w:p w14:paraId="11815238">
      <w:pPr>
        <w:spacing w:line="360" w:lineRule="auto"/>
        <w:ind w:firstLine="735" w:firstLineChars="35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联系电话：0771-</w:t>
      </w:r>
      <w:r>
        <w:rPr>
          <w:rFonts w:hint="eastAsia" w:ascii="宋体" w:hAnsi="宋体" w:cs="宋体"/>
          <w:color w:val="auto"/>
          <w:szCs w:val="21"/>
          <w:highlight w:val="none"/>
          <w:lang w:eastAsia="zh-CN"/>
        </w:rPr>
        <w:t>4178002</w:t>
      </w:r>
    </w:p>
    <w:p w14:paraId="7DC4760B">
      <w:pPr>
        <w:spacing w:line="360" w:lineRule="auto"/>
        <w:ind w:firstLine="630" w:firstLineChars="300"/>
        <w:jc w:val="left"/>
        <w:rPr>
          <w:rFonts w:ascii="宋体" w:hAnsi="宋体" w:cs="宋体"/>
          <w:color w:val="auto"/>
          <w:szCs w:val="21"/>
          <w:highlight w:val="none"/>
        </w:rPr>
      </w:pPr>
      <w:r>
        <w:rPr>
          <w:rFonts w:hint="eastAsia" w:ascii="宋体" w:hAnsi="宋体" w:cs="宋体"/>
          <w:color w:val="auto"/>
          <w:szCs w:val="21"/>
          <w:highlight w:val="none"/>
        </w:rPr>
        <w:t>2.采购代理机构信息</w:t>
      </w:r>
    </w:p>
    <w:p w14:paraId="06E7D7D1">
      <w:pPr>
        <w:spacing w:line="360" w:lineRule="auto"/>
        <w:ind w:firstLine="735" w:firstLineChars="350"/>
        <w:rPr>
          <w:rFonts w:ascii="宋体" w:hAnsi="宋体" w:cs="宋体"/>
          <w:color w:val="auto"/>
          <w:szCs w:val="21"/>
          <w:highlight w:val="none"/>
        </w:rPr>
      </w:pPr>
      <w:r>
        <w:rPr>
          <w:rFonts w:hint="eastAsia" w:ascii="宋体" w:hAnsi="宋体" w:cs="宋体"/>
          <w:color w:val="auto"/>
          <w:szCs w:val="21"/>
          <w:highlight w:val="none"/>
        </w:rPr>
        <w:t>名称：广西合美工程咨询有限公司</w:t>
      </w:r>
    </w:p>
    <w:p w14:paraId="6FAD6A0F">
      <w:pPr>
        <w:spacing w:line="360" w:lineRule="auto"/>
        <w:ind w:firstLine="735" w:firstLineChars="35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地址：</w:t>
      </w:r>
      <w:r>
        <w:rPr>
          <w:rFonts w:hint="eastAsia" w:ascii="宋体" w:hAnsi="宋体" w:cs="宋体"/>
          <w:color w:val="auto"/>
          <w:szCs w:val="21"/>
          <w:highlight w:val="none"/>
          <w:lang w:eastAsia="zh-CN"/>
        </w:rPr>
        <w:t>南宁市青秀区双拥路36号绿城画卷B座1708-1709室</w:t>
      </w:r>
    </w:p>
    <w:p w14:paraId="39CAFAC3">
      <w:pPr>
        <w:spacing w:line="360" w:lineRule="auto"/>
        <w:ind w:firstLine="735" w:firstLineChars="35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项目联系人：</w:t>
      </w:r>
      <w:r>
        <w:rPr>
          <w:rFonts w:hint="eastAsia" w:ascii="宋体" w:hAnsi="宋体" w:cs="宋体"/>
          <w:color w:val="auto"/>
          <w:szCs w:val="21"/>
          <w:highlight w:val="none"/>
          <w:lang w:eastAsia="zh-CN"/>
        </w:rPr>
        <w:t>雷方敏、欧诗伶</w:t>
      </w:r>
    </w:p>
    <w:p w14:paraId="5A9880AE">
      <w:pPr>
        <w:spacing w:line="360" w:lineRule="auto"/>
        <w:ind w:firstLine="735" w:firstLineChars="35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联系电话：</w:t>
      </w:r>
      <w:r>
        <w:rPr>
          <w:rFonts w:hint="eastAsia" w:ascii="宋体" w:hAnsi="宋体" w:cs="宋体"/>
          <w:color w:val="auto"/>
          <w:szCs w:val="21"/>
          <w:highlight w:val="none"/>
          <w:lang w:eastAsia="zh-CN"/>
        </w:rPr>
        <w:t>0771-2420225</w:t>
      </w:r>
    </w:p>
    <w:p w14:paraId="6F19C37C">
      <w:pPr>
        <w:spacing w:line="360" w:lineRule="auto"/>
        <w:ind w:firstLine="630" w:firstLineChars="300"/>
        <w:jc w:val="left"/>
        <w:rPr>
          <w:rFonts w:ascii="宋体" w:hAnsi="宋体" w:cs="宋体"/>
          <w:color w:val="auto"/>
          <w:szCs w:val="21"/>
          <w:highlight w:val="none"/>
        </w:rPr>
      </w:pPr>
      <w:r>
        <w:rPr>
          <w:rFonts w:hint="eastAsia" w:ascii="宋体" w:hAnsi="宋体" w:cs="宋体"/>
          <w:color w:val="auto"/>
          <w:szCs w:val="21"/>
          <w:highlight w:val="none"/>
        </w:rPr>
        <w:t>3.项目联系方式</w:t>
      </w:r>
    </w:p>
    <w:p w14:paraId="64F1B0D4">
      <w:pPr>
        <w:spacing w:line="360" w:lineRule="auto"/>
        <w:ind w:firstLine="735" w:firstLineChars="35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项目联系人：</w:t>
      </w:r>
      <w:r>
        <w:rPr>
          <w:rFonts w:hint="eastAsia" w:ascii="宋体" w:hAnsi="宋体" w:cs="宋体"/>
          <w:color w:val="auto"/>
          <w:szCs w:val="21"/>
          <w:highlight w:val="none"/>
          <w:lang w:eastAsia="zh-CN"/>
        </w:rPr>
        <w:t>雷方敏、欧诗伶</w:t>
      </w:r>
    </w:p>
    <w:p w14:paraId="583B77C0">
      <w:pPr>
        <w:spacing w:line="360" w:lineRule="auto"/>
        <w:ind w:firstLine="735" w:firstLineChars="35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电话：</w:t>
      </w:r>
      <w:r>
        <w:rPr>
          <w:rFonts w:hint="eastAsia" w:ascii="宋体" w:hAnsi="宋体" w:cs="宋体"/>
          <w:color w:val="auto"/>
          <w:szCs w:val="21"/>
          <w:highlight w:val="none"/>
          <w:lang w:eastAsia="zh-CN"/>
        </w:rPr>
        <w:t>0771-2420225</w:t>
      </w:r>
    </w:p>
    <w:p w14:paraId="545A4345">
      <w:pPr>
        <w:spacing w:line="360" w:lineRule="auto"/>
        <w:rPr>
          <w:rFonts w:ascii="宋体" w:hAnsi="宋体" w:cs="宋体"/>
          <w:color w:val="auto"/>
          <w:szCs w:val="21"/>
          <w:highlight w:val="none"/>
        </w:rPr>
      </w:pPr>
    </w:p>
    <w:p w14:paraId="45AA80BA">
      <w:pPr>
        <w:pStyle w:val="9"/>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highlight w:val="none"/>
        </w:rPr>
        <w:t>附件： 1.CA证书申请方式及操作指南下载地址（登陆</w:t>
      </w:r>
      <w:r>
        <w:rPr>
          <w:rFonts w:ascii="宋体" w:hAnsi="宋体" w:eastAsia="宋体" w:cs="Times New Roman"/>
          <w:color w:val="auto"/>
          <w:highlight w:val="none"/>
        </w:rPr>
        <w:fldChar w:fldCharType="begin"/>
      </w:r>
      <w:r>
        <w:rPr>
          <w:rFonts w:ascii="宋体" w:hAnsi="宋体" w:eastAsia="宋体" w:cs="Times New Roman"/>
          <w:color w:val="auto"/>
          <w:highlight w:val="none"/>
        </w:rPr>
        <w:instrText xml:space="preserve"> HYPERLINK "http://nncz.nanning.gov.cn/" </w:instrText>
      </w:r>
      <w:r>
        <w:rPr>
          <w:rFonts w:ascii="宋体" w:hAnsi="宋体" w:eastAsia="宋体" w:cs="Times New Roman"/>
          <w:color w:val="auto"/>
          <w:highlight w:val="none"/>
        </w:rPr>
        <w:fldChar w:fldCharType="separate"/>
      </w:r>
      <w:r>
        <w:rPr>
          <w:rStyle w:val="29"/>
          <w:rFonts w:ascii="宋体" w:hAnsi="宋体" w:eastAsia="宋体" w:cs="Times New Roman"/>
          <w:color w:val="auto"/>
          <w:highlight w:val="none"/>
        </w:rPr>
        <w:t>http://nncz.nanning.gov.cn/</w:t>
      </w:r>
      <w:r>
        <w:rPr>
          <w:rStyle w:val="29"/>
          <w:rFonts w:ascii="宋体" w:hAnsi="宋体" w:eastAsia="宋体" w:cs="Times New Roman"/>
          <w:color w:val="auto"/>
          <w:highlight w:val="none"/>
        </w:rPr>
        <w:fldChar w:fldCharType="end"/>
      </w:r>
      <w:r>
        <w:rPr>
          <w:rFonts w:hint="eastAsia" w:ascii="宋体" w:hAnsi="宋体" w:eastAsia="宋体" w:cs="Times New Roman"/>
          <w:color w:val="auto"/>
          <w:highlight w:val="none"/>
        </w:rPr>
        <w:t>（南宁市财政局官网）</w:t>
      </w:r>
      <w:r>
        <w:rPr>
          <w:rFonts w:ascii="宋体" w:hAnsi="宋体" w:eastAsia="宋体" w:cs="Times New Roman"/>
          <w:color w:val="auto"/>
          <w:highlight w:val="none"/>
        </w:rPr>
        <w:t>-</w:t>
      </w:r>
      <w:r>
        <w:rPr>
          <w:rFonts w:hint="eastAsia" w:ascii="宋体" w:hAnsi="宋体" w:eastAsia="宋体" w:cs="Times New Roman"/>
          <w:color w:val="auto"/>
          <w:highlight w:val="none"/>
        </w:rPr>
        <w:t>业务专题-政府采购监督管理-资料下载</w:t>
      </w:r>
      <w:r>
        <w:rPr>
          <w:rFonts w:ascii="宋体" w:hAnsi="宋体" w:eastAsia="宋体" w:cs="Times New Roman"/>
          <w:color w:val="auto"/>
          <w:highlight w:val="none"/>
        </w:rPr>
        <w:t>-</w:t>
      </w:r>
      <w:r>
        <w:rPr>
          <w:rFonts w:hint="eastAsia" w:ascii="宋体" w:hAnsi="宋体" w:eastAsia="宋体" w:cs="Times New Roman"/>
          <w:color w:val="auto"/>
          <w:highlight w:val="none"/>
        </w:rPr>
        <w:t>“广西政采云西部</w:t>
      </w:r>
      <w:r>
        <w:rPr>
          <w:rFonts w:ascii="宋体" w:hAnsi="宋体" w:eastAsia="宋体" w:cs="Times New Roman"/>
          <w:color w:val="auto"/>
          <w:highlight w:val="none"/>
        </w:rPr>
        <w:t>CA</w:t>
      </w:r>
      <w:r>
        <w:rPr>
          <w:rFonts w:hint="eastAsia" w:ascii="宋体" w:hAnsi="宋体" w:eastAsia="宋体" w:cs="Times New Roman"/>
          <w:color w:val="auto"/>
          <w:highlight w:val="none"/>
        </w:rPr>
        <w:t>办理方式”或“南宁市政采云</w:t>
      </w:r>
      <w:r>
        <w:rPr>
          <w:rFonts w:ascii="宋体" w:hAnsi="宋体" w:eastAsia="宋体" w:cs="Times New Roman"/>
          <w:color w:val="auto"/>
          <w:highlight w:val="none"/>
        </w:rPr>
        <w:t>CA</w:t>
      </w:r>
      <w:r>
        <w:rPr>
          <w:rFonts w:hint="eastAsia" w:ascii="宋体" w:hAnsi="宋体" w:eastAsia="宋体" w:cs="Times New Roman"/>
          <w:color w:val="auto"/>
          <w:highlight w:val="none"/>
        </w:rPr>
        <w:t>证书办理操作指南”）</w:t>
      </w:r>
    </w:p>
    <w:p w14:paraId="27FB0D88">
      <w:pPr>
        <w:pStyle w:val="9"/>
        <w:spacing w:line="360" w:lineRule="auto"/>
        <w:ind w:firstLine="420" w:firstLineChars="200"/>
        <w:rPr>
          <w:rFonts w:ascii="宋体" w:hAnsi="宋体" w:eastAsia="宋体" w:cs="Times New Roman"/>
          <w:color w:val="auto"/>
          <w:highlight w:val="none"/>
        </w:rPr>
      </w:pPr>
      <w:r>
        <w:rPr>
          <w:rFonts w:hint="eastAsia" w:ascii="宋体" w:hAnsi="宋体" w:eastAsia="宋体" w:cs="Times New Roman"/>
          <w:color w:val="auto"/>
          <w:highlight w:val="none"/>
        </w:rPr>
        <w:t>2.电子投标文件制作与投送教程（在此网址下载：</w:t>
      </w:r>
      <w:r>
        <w:rPr>
          <w:rFonts w:ascii="宋体" w:hAnsi="宋体" w:eastAsia="宋体" w:cs="Times New Roman"/>
          <w:color w:val="auto"/>
          <w:highlight w:val="none"/>
        </w:rPr>
        <w:fldChar w:fldCharType="begin"/>
      </w:r>
      <w:r>
        <w:rPr>
          <w:rFonts w:ascii="宋体" w:hAnsi="宋体" w:eastAsia="宋体" w:cs="Times New Roman"/>
          <w:color w:val="auto"/>
          <w:highlight w:val="none"/>
        </w:rPr>
        <w:instrText xml:space="preserve"> HYPERLINK "http://nncz.nanning.gov.cn/" </w:instrText>
      </w:r>
      <w:r>
        <w:rPr>
          <w:rFonts w:ascii="宋体" w:hAnsi="宋体" w:eastAsia="宋体" w:cs="Times New Roman"/>
          <w:color w:val="auto"/>
          <w:highlight w:val="none"/>
        </w:rPr>
        <w:fldChar w:fldCharType="separate"/>
      </w:r>
      <w:r>
        <w:rPr>
          <w:rFonts w:hint="default" w:ascii="宋体" w:hAnsi="宋体" w:eastAsia="宋体" w:cs="Times New Roman"/>
          <w:color w:val="auto"/>
          <w:highlight w:val="none"/>
          <w:u w:val="single"/>
        </w:rPr>
        <w:t>http://nncz.nanning.gov.cn/</w:t>
      </w:r>
      <w:r>
        <w:rPr>
          <w:rFonts w:hint="default" w:ascii="宋体" w:hAnsi="宋体" w:eastAsia="宋体" w:cs="Times New Roman"/>
          <w:color w:val="auto"/>
          <w:highlight w:val="none"/>
          <w:u w:val="single"/>
        </w:rPr>
        <w:fldChar w:fldCharType="end"/>
      </w:r>
      <w:r>
        <w:rPr>
          <w:rFonts w:hint="eastAsia" w:ascii="宋体" w:hAnsi="宋体" w:eastAsia="宋体" w:cs="Times New Roman"/>
          <w:color w:val="auto"/>
          <w:highlight w:val="none"/>
        </w:rPr>
        <w:t>（南宁市财政局官网）</w:t>
      </w:r>
      <w:r>
        <w:rPr>
          <w:rFonts w:ascii="宋体" w:hAnsi="宋体" w:eastAsia="宋体" w:cs="Times New Roman"/>
          <w:color w:val="auto"/>
          <w:highlight w:val="none"/>
        </w:rPr>
        <w:t>-</w:t>
      </w:r>
      <w:r>
        <w:rPr>
          <w:rFonts w:hint="eastAsia" w:ascii="宋体" w:hAnsi="宋体" w:eastAsia="宋体" w:cs="Times New Roman"/>
          <w:color w:val="auto"/>
          <w:highlight w:val="none"/>
        </w:rPr>
        <w:t>业务专题-政府采购监督管理-资料下载-南宁市政府采购项目全流程电子化交易操作指南）</w:t>
      </w:r>
    </w:p>
    <w:p w14:paraId="2F8A819C">
      <w:pPr>
        <w:spacing w:line="360" w:lineRule="auto"/>
        <w:jc w:val="right"/>
        <w:rPr>
          <w:rFonts w:ascii="宋体" w:hAnsi="宋体" w:cs="宋体"/>
          <w:color w:val="auto"/>
          <w:szCs w:val="21"/>
          <w:highlight w:val="none"/>
        </w:rPr>
      </w:pPr>
      <w:r>
        <w:rPr>
          <w:rFonts w:hint="eastAsia" w:ascii="宋体" w:hAnsi="宋体" w:cs="宋体"/>
          <w:color w:val="auto"/>
          <w:szCs w:val="21"/>
          <w:highlight w:val="none"/>
        </w:rPr>
        <w:t>广西合美工程咨询有限公司</w:t>
      </w:r>
    </w:p>
    <w:p w14:paraId="7C7F5591">
      <w:pPr>
        <w:spacing w:line="360" w:lineRule="auto"/>
        <w:ind w:firstLine="210" w:firstLineChars="100"/>
        <w:jc w:val="right"/>
        <w:rPr>
          <w:rFonts w:ascii="宋体" w:hAnsi="宋体" w:cs="宋体"/>
          <w:color w:val="auto"/>
          <w:highlight w:val="none"/>
        </w:rPr>
      </w:pPr>
      <w:r>
        <w:rPr>
          <w:rFonts w:hint="eastAsia" w:ascii="宋体" w:hAnsi="宋体" w:cs="宋体"/>
          <w:color w:val="auto"/>
          <w:szCs w:val="21"/>
          <w:highlight w:val="none"/>
        </w:rPr>
        <w:t>202</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20</w:t>
      </w:r>
      <w:r>
        <w:rPr>
          <w:rFonts w:hint="eastAsia" w:ascii="宋体" w:hAnsi="宋体" w:cs="宋体"/>
          <w:color w:val="auto"/>
          <w:szCs w:val="21"/>
          <w:highlight w:val="none"/>
        </w:rPr>
        <w:t>日</w:t>
      </w:r>
    </w:p>
    <w:p w14:paraId="10069EB1">
      <w:pPr>
        <w:widowControl/>
        <w:spacing w:line="360" w:lineRule="auto"/>
        <w:jc w:val="left"/>
        <w:rPr>
          <w:rFonts w:ascii="宋体" w:hAnsi="宋体" w:cs="宋体"/>
          <w:color w:val="auto"/>
          <w:sz w:val="24"/>
          <w:highlight w:val="none"/>
          <w:lang w:val="zh-CN"/>
        </w:rPr>
        <w:sectPr>
          <w:footerReference r:id="rId4" w:type="default"/>
          <w:pgSz w:w="11906" w:h="16838"/>
          <w:pgMar w:top="1134" w:right="1134" w:bottom="1134" w:left="1134" w:header="720" w:footer="720" w:gutter="0"/>
          <w:cols w:space="0" w:num="1"/>
          <w:rtlGutter w:val="0"/>
          <w:docGrid w:type="lines" w:linePitch="331" w:charSpace="0"/>
        </w:sectPr>
      </w:pPr>
    </w:p>
    <w:p w14:paraId="53A35D25">
      <w:pPr>
        <w:pStyle w:val="2"/>
        <w:jc w:val="center"/>
        <w:rPr>
          <w:rFonts w:ascii="宋体" w:hAnsi="宋体" w:cs="宋体"/>
          <w:color w:val="auto"/>
          <w:highlight w:val="none"/>
        </w:rPr>
      </w:pPr>
      <w:bookmarkStart w:id="45" w:name="_Toc6103"/>
      <w:r>
        <w:rPr>
          <w:rFonts w:hint="eastAsia" w:ascii="宋体" w:hAnsi="宋体" w:cs="宋体"/>
          <w:bCs w:val="0"/>
          <w:color w:val="auto"/>
          <w:sz w:val="32"/>
          <w:szCs w:val="32"/>
          <w:highlight w:val="none"/>
        </w:rPr>
        <w:t>第二章 采购需求</w:t>
      </w:r>
      <w:bookmarkEnd w:id="45"/>
    </w:p>
    <w:p w14:paraId="3F6752C3">
      <w:pPr>
        <w:spacing w:line="420" w:lineRule="exact"/>
        <w:jc w:val="left"/>
        <w:rPr>
          <w:rFonts w:ascii="宋体" w:hAnsi="宋体" w:cs="宋体"/>
          <w:color w:val="auto"/>
          <w:szCs w:val="21"/>
          <w:highlight w:val="none"/>
        </w:rPr>
      </w:pPr>
      <w:r>
        <w:rPr>
          <w:rFonts w:hint="eastAsia" w:ascii="宋体" w:hAnsi="宋体" w:cs="宋体"/>
          <w:color w:val="auto"/>
          <w:szCs w:val="21"/>
          <w:highlight w:val="none"/>
        </w:rPr>
        <w:t>说明：</w:t>
      </w:r>
    </w:p>
    <w:p w14:paraId="2F6BFDA1">
      <w:pPr>
        <w:spacing w:line="420" w:lineRule="exact"/>
        <w:ind w:firstLine="420" w:firstLineChars="200"/>
        <w:jc w:val="left"/>
        <w:rPr>
          <w:rFonts w:ascii="宋体" w:hAnsi="宋体" w:cs="宋体"/>
          <w:color w:val="auto"/>
          <w:szCs w:val="21"/>
          <w:highlight w:val="none"/>
        </w:rPr>
      </w:pPr>
      <w:r>
        <w:rPr>
          <w:rFonts w:hint="eastAsia" w:ascii="宋体" w:hAnsi="宋体" w:cs="宋体"/>
          <w:color w:val="auto"/>
          <w:highlight w:val="none"/>
        </w:rPr>
        <w:t>1. 为落实政府采购政策需满足的要求（根据项目实际情况填写内容）</w:t>
      </w:r>
    </w:p>
    <w:p w14:paraId="5F52DE8C">
      <w:pPr>
        <w:spacing w:line="42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（1）本竞争性磋商采购文件所称中小企业必须符合《政府采购促进中小企业发展管理办法》（财库〔2020〕46号）的规定。</w:t>
      </w:r>
    </w:p>
    <w:p w14:paraId="2703A866">
      <w:pPr>
        <w:tabs>
          <w:tab w:val="left" w:pos="180"/>
          <w:tab w:val="left" w:pos="1620"/>
        </w:tabs>
        <w:spacing w:line="420" w:lineRule="exact"/>
        <w:ind w:firstLine="420" w:firstLineChars="200"/>
        <w:rPr>
          <w:rFonts w:ascii="宋体" w:hAnsi="宋体" w:cs="宋体"/>
          <w:b/>
          <w:bCs/>
          <w:color w:val="auto"/>
          <w:szCs w:val="21"/>
          <w:highlight w:val="none"/>
        </w:rPr>
      </w:pPr>
      <w:r>
        <w:rPr>
          <w:rFonts w:hint="eastAsia" w:ascii="宋体" w:hAnsi="宋体" w:cs="宋体"/>
          <w:color w:val="auto"/>
          <w:szCs w:val="21"/>
          <w:highlight w:val="none"/>
        </w:rPr>
        <w:t>（2）服务项目中包含货物的，根据《财政部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供应商必须在响应文件中提供所竞标产品的节能产品认证证书复印件（加盖供应商公章），否则响应文件作无效处理。如本项目包含的配套货物属于品目清单内非标注“★”的产品时，应优先采购，具体详见“第四章 评审程序和评定成交的标准”。</w:t>
      </w:r>
    </w:p>
    <w:p w14:paraId="5BBF9889">
      <w:pPr>
        <w:spacing w:line="42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服务项目中包含货物的，根据《关于信息安全产品实施政府采购的通知》（财库〔2010〕48号）的规定，本项目采购范围包含信息安全产品的（信息安全产品包括：防火墙、网络安全隔离卡与线路选择器、安全隔离与信息交换产品、安全路由器、智能卡COS、数据备份与恢复产品、安全操作系统、安全数据库系统、反垃圾邮件产品、入侵检测系统（IDS）、网络脆弱扫描产品、安全审计产品、网站恢复产品），供应商必须在响应文件中提供中国信息安全认证中心授予的有效的信息安全产品认证证书（加盖供应商公章），否则响应文件作无效处理。</w:t>
      </w:r>
    </w:p>
    <w:p w14:paraId="2AA0C20F">
      <w:pPr>
        <w:spacing w:line="420" w:lineRule="exact"/>
        <w:ind w:firstLine="424" w:firstLineChars="202"/>
        <w:jc w:val="left"/>
        <w:rPr>
          <w:rFonts w:ascii="宋体" w:hAnsi="宋体" w:cs="宋体"/>
          <w:color w:val="auto"/>
          <w:szCs w:val="21"/>
          <w:highlight w:val="none"/>
        </w:rPr>
      </w:pPr>
      <w:r>
        <w:rPr>
          <w:rFonts w:hint="eastAsia" w:ascii="宋体" w:hAnsi="宋体" w:cs="宋体"/>
          <w:color w:val="auto"/>
          <w:szCs w:val="21"/>
          <w:highlight w:val="none"/>
        </w:rPr>
        <w:t>……</w:t>
      </w:r>
    </w:p>
    <w:p w14:paraId="43F5F564">
      <w:pPr>
        <w:spacing w:line="420" w:lineRule="exact"/>
        <w:ind w:firstLine="413" w:firstLineChars="196"/>
        <w:rPr>
          <w:rFonts w:ascii="宋体" w:hAnsi="宋体" w:cs="宋体"/>
          <w:b/>
          <w:bCs/>
          <w:color w:val="auto"/>
          <w:szCs w:val="21"/>
          <w:highlight w:val="none"/>
        </w:rPr>
      </w:pPr>
      <w:r>
        <w:rPr>
          <w:rFonts w:hint="eastAsia" w:ascii="宋体" w:hAnsi="宋体" w:cs="宋体"/>
          <w:b/>
          <w:bCs/>
          <w:color w:val="auto"/>
          <w:szCs w:val="21"/>
          <w:highlight w:val="none"/>
        </w:rPr>
        <w:t>2.“实质性要求”是指采购需求中带“▲”的条款或者不能负偏离的条款或者已经指明不满足按响应文件作无效处理的条款。</w:t>
      </w:r>
    </w:p>
    <w:p w14:paraId="288F76AA">
      <w:pPr>
        <w:pStyle w:val="9"/>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 不需要供应商对采购需求响应为具体数值的，此采购需求的数值后将以◆号标注。</w:t>
      </w:r>
    </w:p>
    <w:p w14:paraId="45F8910B">
      <w:pPr>
        <w:pStyle w:val="9"/>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 如竞标人竞标产品存在侵犯他人的知识产权或者专利成果行为的，应承担相应法律责任。</w:t>
      </w:r>
    </w:p>
    <w:tbl>
      <w:tblPr>
        <w:tblStyle w:val="26"/>
        <w:tblW w:w="1012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5"/>
        <w:gridCol w:w="420"/>
        <w:gridCol w:w="1348"/>
        <w:gridCol w:w="464"/>
        <w:gridCol w:w="642"/>
        <w:gridCol w:w="4787"/>
        <w:gridCol w:w="727"/>
        <w:gridCol w:w="1188"/>
      </w:tblGrid>
      <w:tr w14:paraId="2520FC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10121" w:type="dxa"/>
            <w:gridSpan w:val="8"/>
            <w:tcBorders>
              <w:top w:val="single" w:color="auto" w:sz="4" w:space="0"/>
              <w:left w:val="single" w:color="auto" w:sz="4" w:space="0"/>
              <w:right w:val="single" w:color="auto" w:sz="4" w:space="0"/>
            </w:tcBorders>
            <w:vAlign w:val="center"/>
          </w:tcPr>
          <w:p w14:paraId="1C2E2E5A">
            <w:pPr>
              <w:spacing w:line="360" w:lineRule="exact"/>
              <w:jc w:val="center"/>
              <w:rPr>
                <w:rFonts w:ascii="宋体" w:hAnsi="宋体" w:cs="宋体"/>
                <w:b/>
                <w:color w:val="auto"/>
                <w:sz w:val="24"/>
                <w:highlight w:val="none"/>
              </w:rPr>
            </w:pPr>
            <w:r>
              <w:rPr>
                <w:rFonts w:hint="eastAsia" w:ascii="宋体" w:hAnsi="宋体" w:cs="宋体"/>
                <w:b/>
                <w:color w:val="auto"/>
                <w:sz w:val="32"/>
                <w:szCs w:val="32"/>
                <w:highlight w:val="none"/>
              </w:rPr>
              <w:t>服务需求一览表</w:t>
            </w:r>
          </w:p>
        </w:tc>
      </w:tr>
      <w:tr w14:paraId="24FA85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545" w:type="dxa"/>
            <w:vMerge w:val="restart"/>
            <w:tcBorders>
              <w:top w:val="single" w:color="auto" w:sz="4" w:space="0"/>
              <w:left w:val="single" w:color="auto" w:sz="4" w:space="0"/>
              <w:right w:val="single" w:color="auto" w:sz="4" w:space="0"/>
            </w:tcBorders>
          </w:tcPr>
          <w:p w14:paraId="0A717C2A">
            <w:pPr>
              <w:keepNext w:val="0"/>
              <w:keepLines w:val="0"/>
              <w:pageBreakBefore w:val="0"/>
              <w:kinsoku/>
              <w:wordWrap/>
              <w:overflowPunct/>
              <w:topLinePunct w:val="0"/>
              <w:autoSpaceDE/>
              <w:autoSpaceDN/>
              <w:bidi w:val="0"/>
              <w:adjustRightInd/>
              <w:spacing w:line="36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采购清单及服务参数</w:t>
            </w:r>
          </w:p>
        </w:tc>
        <w:tc>
          <w:tcPr>
            <w:tcW w:w="420"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618D9C62">
            <w:pPr>
              <w:keepNext w:val="0"/>
              <w:keepLines w:val="0"/>
              <w:pageBreakBefore w:val="0"/>
              <w:kinsoku/>
              <w:wordWrap/>
              <w:overflowPunct/>
              <w:topLinePunct w:val="0"/>
              <w:autoSpaceDE/>
              <w:autoSpaceDN/>
              <w:bidi w:val="0"/>
              <w:adjustRightInd/>
              <w:spacing w:line="36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标项</w:t>
            </w:r>
          </w:p>
        </w:tc>
        <w:tc>
          <w:tcPr>
            <w:tcW w:w="1348" w:type="dxa"/>
            <w:tcBorders>
              <w:top w:val="single" w:color="auto" w:sz="4" w:space="0"/>
              <w:left w:val="single" w:color="auto" w:sz="4" w:space="0"/>
              <w:bottom w:val="single" w:color="auto" w:sz="4" w:space="0"/>
              <w:right w:val="single" w:color="auto" w:sz="4" w:space="0"/>
            </w:tcBorders>
            <w:vAlign w:val="center"/>
          </w:tcPr>
          <w:p w14:paraId="0369A42D">
            <w:pPr>
              <w:keepNext w:val="0"/>
              <w:keepLines w:val="0"/>
              <w:pageBreakBefore w:val="0"/>
              <w:kinsoku/>
              <w:wordWrap/>
              <w:overflowPunct/>
              <w:topLinePunct w:val="0"/>
              <w:autoSpaceDE/>
              <w:autoSpaceDN/>
              <w:bidi w:val="0"/>
              <w:adjustRightInd/>
              <w:spacing w:line="36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采购服务名称</w:t>
            </w:r>
          </w:p>
        </w:tc>
        <w:tc>
          <w:tcPr>
            <w:tcW w:w="464" w:type="dxa"/>
            <w:tcBorders>
              <w:top w:val="single" w:color="auto" w:sz="4" w:space="0"/>
              <w:left w:val="single" w:color="auto" w:sz="4" w:space="0"/>
              <w:bottom w:val="single" w:color="auto" w:sz="4" w:space="0"/>
              <w:right w:val="single" w:color="auto" w:sz="4" w:space="0"/>
            </w:tcBorders>
            <w:vAlign w:val="center"/>
          </w:tcPr>
          <w:p w14:paraId="13AED162">
            <w:pPr>
              <w:keepNext w:val="0"/>
              <w:keepLines w:val="0"/>
              <w:pageBreakBefore w:val="0"/>
              <w:kinsoku/>
              <w:wordWrap/>
              <w:overflowPunct/>
              <w:topLinePunct w:val="0"/>
              <w:autoSpaceDE/>
              <w:autoSpaceDN/>
              <w:bidi w:val="0"/>
              <w:adjustRightInd/>
              <w:spacing w:line="36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单位</w:t>
            </w:r>
          </w:p>
        </w:tc>
        <w:tc>
          <w:tcPr>
            <w:tcW w:w="642" w:type="dxa"/>
            <w:tcBorders>
              <w:top w:val="single" w:color="auto" w:sz="4" w:space="0"/>
              <w:left w:val="single" w:color="auto" w:sz="4" w:space="0"/>
              <w:bottom w:val="single" w:color="auto" w:sz="4" w:space="0"/>
              <w:right w:val="single" w:color="auto" w:sz="4" w:space="0"/>
            </w:tcBorders>
            <w:vAlign w:val="center"/>
          </w:tcPr>
          <w:p w14:paraId="00D0516B">
            <w:pPr>
              <w:keepNext w:val="0"/>
              <w:keepLines w:val="0"/>
              <w:pageBreakBefore w:val="0"/>
              <w:kinsoku/>
              <w:wordWrap/>
              <w:overflowPunct/>
              <w:topLinePunct w:val="0"/>
              <w:autoSpaceDE/>
              <w:autoSpaceDN/>
              <w:bidi w:val="0"/>
              <w:adjustRightInd/>
              <w:spacing w:line="36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数量</w:t>
            </w:r>
          </w:p>
        </w:tc>
        <w:tc>
          <w:tcPr>
            <w:tcW w:w="4787" w:type="dxa"/>
            <w:tcBorders>
              <w:top w:val="single" w:color="auto" w:sz="4" w:space="0"/>
              <w:left w:val="single" w:color="auto" w:sz="4" w:space="0"/>
              <w:bottom w:val="single" w:color="auto" w:sz="4" w:space="0"/>
              <w:right w:val="single" w:color="auto" w:sz="4" w:space="0"/>
            </w:tcBorders>
            <w:vAlign w:val="center"/>
          </w:tcPr>
          <w:p w14:paraId="2E698F89">
            <w:pPr>
              <w:keepNext w:val="0"/>
              <w:keepLines w:val="0"/>
              <w:pageBreakBefore w:val="0"/>
              <w:kinsoku/>
              <w:wordWrap/>
              <w:overflowPunct/>
              <w:topLinePunct w:val="0"/>
              <w:autoSpaceDE/>
              <w:autoSpaceDN/>
              <w:bidi w:val="0"/>
              <w:adjustRightInd/>
              <w:spacing w:line="36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服务参数</w:t>
            </w:r>
          </w:p>
        </w:tc>
        <w:tc>
          <w:tcPr>
            <w:tcW w:w="727" w:type="dxa"/>
            <w:tcBorders>
              <w:top w:val="single" w:color="auto" w:sz="4" w:space="0"/>
              <w:left w:val="single" w:color="auto" w:sz="4" w:space="0"/>
              <w:bottom w:val="single" w:color="auto" w:sz="4" w:space="0"/>
              <w:right w:val="single" w:color="auto" w:sz="4" w:space="0"/>
            </w:tcBorders>
            <w:vAlign w:val="center"/>
          </w:tcPr>
          <w:p w14:paraId="28E8CC59">
            <w:pPr>
              <w:keepNext w:val="0"/>
              <w:keepLines w:val="0"/>
              <w:pageBreakBefore w:val="0"/>
              <w:kinsoku/>
              <w:wordWrap/>
              <w:overflowPunct/>
              <w:topLinePunct w:val="0"/>
              <w:autoSpaceDE/>
              <w:autoSpaceDN/>
              <w:bidi w:val="0"/>
              <w:adjustRightInd/>
              <w:spacing w:line="36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分项预算合计（元）</w:t>
            </w:r>
          </w:p>
        </w:tc>
        <w:tc>
          <w:tcPr>
            <w:tcW w:w="1188" w:type="dxa"/>
            <w:tcBorders>
              <w:top w:val="single" w:color="auto" w:sz="4" w:space="0"/>
              <w:left w:val="single" w:color="auto" w:sz="4" w:space="0"/>
              <w:bottom w:val="single" w:color="auto" w:sz="4" w:space="0"/>
              <w:right w:val="single" w:color="auto" w:sz="4" w:space="0"/>
            </w:tcBorders>
            <w:vAlign w:val="center"/>
          </w:tcPr>
          <w:p w14:paraId="66549E58">
            <w:pPr>
              <w:keepNext w:val="0"/>
              <w:keepLines w:val="0"/>
              <w:pageBreakBefore w:val="0"/>
              <w:kinsoku/>
              <w:wordWrap/>
              <w:overflowPunct/>
              <w:topLinePunct w:val="0"/>
              <w:autoSpaceDE/>
              <w:autoSpaceDN/>
              <w:bidi w:val="0"/>
              <w:adjustRightInd/>
              <w:spacing w:line="36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中小企业划分标准所属行业名称（行业名称及划分见本章附件1）</w:t>
            </w:r>
          </w:p>
        </w:tc>
      </w:tr>
      <w:tr w14:paraId="22D081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545" w:type="dxa"/>
            <w:vMerge w:val="continue"/>
            <w:tcBorders>
              <w:left w:val="single" w:color="auto" w:sz="4" w:space="0"/>
              <w:right w:val="single" w:color="auto" w:sz="4" w:space="0"/>
            </w:tcBorders>
          </w:tcPr>
          <w:p w14:paraId="078C76C6">
            <w:pPr>
              <w:keepNext w:val="0"/>
              <w:keepLines w:val="0"/>
              <w:pageBreakBefore w:val="0"/>
              <w:kinsoku/>
              <w:wordWrap/>
              <w:overflowPunct/>
              <w:topLinePunct w:val="0"/>
              <w:autoSpaceDE/>
              <w:autoSpaceDN/>
              <w:bidi w:val="0"/>
              <w:adjustRightInd/>
              <w:spacing w:line="360" w:lineRule="exact"/>
              <w:jc w:val="center"/>
              <w:textAlignment w:val="auto"/>
              <w:rPr>
                <w:rFonts w:ascii="宋体" w:hAnsi="宋体" w:cs="宋体"/>
                <w:b/>
                <w:bCs/>
                <w:color w:val="auto"/>
                <w:highlight w:val="none"/>
              </w:rPr>
            </w:pPr>
          </w:p>
        </w:tc>
        <w:tc>
          <w:tcPr>
            <w:tcW w:w="420" w:type="dxa"/>
            <w:tcBorders>
              <w:top w:val="single" w:color="auto" w:sz="4" w:space="0"/>
              <w:left w:val="single" w:color="auto" w:sz="4" w:space="0"/>
              <w:right w:val="single" w:color="auto" w:sz="4" w:space="0"/>
            </w:tcBorders>
            <w:vAlign w:val="center"/>
          </w:tcPr>
          <w:p w14:paraId="0AB1E26B">
            <w:pPr>
              <w:keepNext w:val="0"/>
              <w:keepLines w:val="0"/>
              <w:pageBreakBefore w:val="0"/>
              <w:kinsoku/>
              <w:wordWrap/>
              <w:overflowPunct/>
              <w:topLinePunct w:val="0"/>
              <w:autoSpaceDE/>
              <w:autoSpaceDN/>
              <w:bidi w:val="0"/>
              <w:adjustRightInd/>
              <w:spacing w:line="36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1</w:t>
            </w:r>
          </w:p>
        </w:tc>
        <w:tc>
          <w:tcPr>
            <w:tcW w:w="1348" w:type="dxa"/>
            <w:tcBorders>
              <w:top w:val="single" w:color="auto" w:sz="4" w:space="0"/>
              <w:left w:val="single" w:color="auto" w:sz="4" w:space="0"/>
              <w:right w:val="single" w:color="auto" w:sz="4" w:space="0"/>
            </w:tcBorders>
            <w:vAlign w:val="center"/>
          </w:tcPr>
          <w:p w14:paraId="448EFDD0">
            <w:pPr>
              <w:keepNext w:val="0"/>
              <w:keepLines w:val="0"/>
              <w:pageBreakBefore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2025年苏圩镇仁德村蔬菜基地一期项目</w:t>
            </w:r>
          </w:p>
        </w:tc>
        <w:tc>
          <w:tcPr>
            <w:tcW w:w="464" w:type="dxa"/>
            <w:tcBorders>
              <w:top w:val="single" w:color="auto" w:sz="4" w:space="0"/>
              <w:left w:val="single" w:color="auto" w:sz="4" w:space="0"/>
              <w:right w:val="single" w:color="auto" w:sz="4" w:space="0"/>
            </w:tcBorders>
            <w:vAlign w:val="center"/>
          </w:tcPr>
          <w:p w14:paraId="04B676AE">
            <w:pPr>
              <w:keepNext w:val="0"/>
              <w:keepLines w:val="0"/>
              <w:pageBreakBefore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项</w:t>
            </w:r>
          </w:p>
        </w:tc>
        <w:tc>
          <w:tcPr>
            <w:tcW w:w="642" w:type="dxa"/>
            <w:tcBorders>
              <w:top w:val="single" w:color="auto" w:sz="4" w:space="0"/>
              <w:left w:val="single" w:color="auto" w:sz="4" w:space="0"/>
              <w:right w:val="single" w:color="auto" w:sz="4" w:space="0"/>
            </w:tcBorders>
            <w:vAlign w:val="center"/>
          </w:tcPr>
          <w:p w14:paraId="3544990A">
            <w:pPr>
              <w:keepNext w:val="0"/>
              <w:keepLines w:val="0"/>
              <w:pageBreakBefore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1</w:t>
            </w:r>
          </w:p>
        </w:tc>
        <w:tc>
          <w:tcPr>
            <w:tcW w:w="4787" w:type="dxa"/>
            <w:tcBorders>
              <w:top w:val="single" w:color="auto" w:sz="4" w:space="0"/>
              <w:left w:val="single" w:color="auto" w:sz="4" w:space="0"/>
              <w:right w:val="single" w:color="auto" w:sz="4" w:space="0"/>
            </w:tcBorders>
            <w:vAlign w:val="center"/>
          </w:tcPr>
          <w:p w14:paraId="150CDDCA">
            <w:pPr>
              <w:pStyle w:val="32"/>
              <w:keepNext w:val="0"/>
              <w:keepLines w:val="0"/>
              <w:pageBreakBefore w:val="0"/>
              <w:kinsoku/>
              <w:wordWrap/>
              <w:overflowPunct/>
              <w:topLinePunct w:val="0"/>
              <w:autoSpaceDE/>
              <w:autoSpaceDN/>
              <w:bidi w:val="0"/>
              <w:adjustRightInd/>
              <w:spacing w:line="360" w:lineRule="exact"/>
              <w:ind w:firstLine="211" w:firstLineChars="100"/>
              <w:jc w:val="left"/>
              <w:textAlignment w:val="auto"/>
              <w:rPr>
                <w:rFonts w:hint="eastAsia" w:asciiTheme="minorEastAsia" w:hAnsiTheme="minorEastAsia" w:eastAsiaTheme="minorEastAsia" w:cstheme="minorEastAsia"/>
                <w:b w:val="0"/>
                <w:bCs/>
                <w:color w:val="auto"/>
                <w:highlight w:val="none"/>
              </w:rPr>
            </w:pPr>
            <w:bookmarkStart w:id="46" w:name="_Toc27951"/>
            <w:bookmarkStart w:id="47" w:name="_Toc16904"/>
            <w:bookmarkStart w:id="48" w:name="_Toc1895"/>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b w:val="0"/>
                <w:bCs/>
                <w:color w:val="auto"/>
                <w:highlight w:val="none"/>
                <w:lang w:val="en-US" w:eastAsia="zh-CN"/>
              </w:rPr>
              <w:t>一、建设规模及内容：新建70亩蔬菜大棚，完善配套大棚、灌溉系统、电力系统等，具体详见工程量清单、招标控制价及图纸</w:t>
            </w:r>
            <w:r>
              <w:rPr>
                <w:rFonts w:hint="eastAsia" w:asciiTheme="minorEastAsia" w:hAnsiTheme="minorEastAsia" w:eastAsiaTheme="minorEastAsia" w:cstheme="minorEastAsia"/>
                <w:b w:val="0"/>
                <w:bCs/>
                <w:color w:val="auto"/>
                <w:highlight w:val="none"/>
              </w:rPr>
              <w:t>。</w:t>
            </w:r>
            <w:bookmarkEnd w:id="46"/>
            <w:bookmarkEnd w:id="47"/>
            <w:bookmarkEnd w:id="48"/>
          </w:p>
          <w:p w14:paraId="5979FBC9">
            <w:pPr>
              <w:pStyle w:val="32"/>
              <w:keepNext w:val="0"/>
              <w:keepLines w:val="0"/>
              <w:pageBreakBefore w:val="0"/>
              <w:kinsoku/>
              <w:wordWrap/>
              <w:overflowPunct/>
              <w:topLinePunct w:val="0"/>
              <w:autoSpaceDE/>
              <w:autoSpaceDN/>
              <w:bidi w:val="0"/>
              <w:adjustRightInd/>
              <w:spacing w:line="360" w:lineRule="exact"/>
              <w:ind w:firstLine="210" w:firstLineChars="100"/>
              <w:jc w:val="left"/>
              <w:textAlignment w:val="auto"/>
              <w:rPr>
                <w:rFonts w:hint="eastAsia" w:asciiTheme="minorEastAsia" w:hAnsiTheme="minorEastAsia" w:eastAsiaTheme="minorEastAsia" w:cstheme="minorEastAsia"/>
                <w:b w:val="0"/>
                <w:bCs/>
                <w:color w:val="auto"/>
                <w:highlight w:val="none"/>
                <w:lang w:val="en-US" w:eastAsia="zh-CN"/>
              </w:rPr>
            </w:pPr>
            <w:bookmarkStart w:id="49" w:name="_Toc1900"/>
            <w:bookmarkStart w:id="50" w:name="_Toc3095"/>
            <w:bookmarkStart w:id="51" w:name="_Toc2238"/>
            <w:r>
              <w:rPr>
                <w:rFonts w:hint="eastAsia" w:asciiTheme="minorEastAsia" w:hAnsiTheme="minorEastAsia" w:eastAsiaTheme="minorEastAsia" w:cstheme="minorEastAsia"/>
                <w:b w:val="0"/>
                <w:bCs/>
                <w:color w:val="auto"/>
                <w:highlight w:val="none"/>
                <w:lang w:val="en-US" w:eastAsia="zh-CN"/>
              </w:rPr>
              <w:t>二、建设地点：</w:t>
            </w:r>
            <w:bookmarkEnd w:id="49"/>
            <w:r>
              <w:rPr>
                <w:rFonts w:hint="eastAsia" w:asciiTheme="minorEastAsia" w:hAnsiTheme="minorEastAsia" w:eastAsiaTheme="minorEastAsia" w:cstheme="minorEastAsia"/>
                <w:b w:val="0"/>
                <w:bCs/>
                <w:color w:val="auto"/>
                <w:highlight w:val="none"/>
                <w:lang w:val="en-US" w:eastAsia="zh-CN"/>
              </w:rPr>
              <w:t>南宁市江南区苏圩镇仁德村。</w:t>
            </w:r>
            <w:bookmarkEnd w:id="50"/>
            <w:bookmarkEnd w:id="51"/>
          </w:p>
          <w:p w14:paraId="1250C503">
            <w:pPr>
              <w:keepNext w:val="0"/>
              <w:keepLines w:val="0"/>
              <w:pageBreakBefore w:val="0"/>
              <w:kinsoku/>
              <w:wordWrap/>
              <w:overflowPunct/>
              <w:topLinePunct w:val="0"/>
              <w:autoSpaceDE/>
              <w:autoSpaceDN/>
              <w:bidi w:val="0"/>
              <w:adjustRightInd/>
              <w:spacing w:line="360" w:lineRule="exact"/>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highlight w:val="none"/>
                <w:lang w:val="en-US" w:eastAsia="zh-CN"/>
              </w:rPr>
              <w:t>三、质量要求</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highlight w:val="none"/>
                <w:lang w:val="en-US" w:eastAsia="zh-CN"/>
              </w:rPr>
              <w:t>工程质量符合国家施工验收规范合格标准</w:t>
            </w:r>
            <w:r>
              <w:rPr>
                <w:rFonts w:hint="eastAsia" w:asciiTheme="minorEastAsia" w:hAnsiTheme="minorEastAsia" w:eastAsiaTheme="minorEastAsia" w:cstheme="minorEastAsia"/>
                <w:color w:val="auto"/>
                <w:highlight w:val="none"/>
              </w:rPr>
              <w:t>。</w:t>
            </w:r>
          </w:p>
        </w:tc>
        <w:tc>
          <w:tcPr>
            <w:tcW w:w="727" w:type="dxa"/>
            <w:tcBorders>
              <w:top w:val="single" w:color="auto" w:sz="4" w:space="0"/>
              <w:left w:val="single" w:color="auto" w:sz="4" w:space="0"/>
              <w:right w:val="single" w:color="auto" w:sz="4" w:space="0"/>
            </w:tcBorders>
            <w:vAlign w:val="center"/>
          </w:tcPr>
          <w:p w14:paraId="7B4DE544">
            <w:pPr>
              <w:keepNext w:val="0"/>
              <w:keepLines w:val="0"/>
              <w:pageBreakBefore w:val="0"/>
              <w:kinsoku/>
              <w:wordWrap/>
              <w:overflowPunct/>
              <w:topLinePunct w:val="0"/>
              <w:autoSpaceDE/>
              <w:autoSpaceDN/>
              <w:bidi w:val="0"/>
              <w:adjustRightInd/>
              <w:spacing w:line="360" w:lineRule="exact"/>
              <w:jc w:val="center"/>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3529372.51</w:t>
            </w:r>
          </w:p>
        </w:tc>
        <w:tc>
          <w:tcPr>
            <w:tcW w:w="1188" w:type="dxa"/>
            <w:tcBorders>
              <w:top w:val="single" w:color="auto" w:sz="4" w:space="0"/>
              <w:left w:val="single" w:color="auto" w:sz="4" w:space="0"/>
              <w:right w:val="single" w:color="auto" w:sz="4" w:space="0"/>
            </w:tcBorders>
            <w:vAlign w:val="center"/>
          </w:tcPr>
          <w:p w14:paraId="26B109DE">
            <w:pPr>
              <w:keepNext w:val="0"/>
              <w:keepLines w:val="0"/>
              <w:pageBreakBefore w:val="0"/>
              <w:kinsoku/>
              <w:wordWrap/>
              <w:overflowPunct/>
              <w:topLinePunct w:val="0"/>
              <w:autoSpaceDE/>
              <w:autoSpaceDN/>
              <w:bidi w:val="0"/>
              <w:adjustRightInd/>
              <w:spacing w:line="360" w:lineRule="exact"/>
              <w:jc w:val="center"/>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建筑业</w:t>
            </w:r>
          </w:p>
        </w:tc>
      </w:tr>
      <w:tr w14:paraId="37A086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2313" w:type="dxa"/>
            <w:gridSpan w:val="3"/>
            <w:tcBorders>
              <w:top w:val="single" w:color="auto" w:sz="4" w:space="0"/>
              <w:left w:val="single" w:color="auto" w:sz="4" w:space="0"/>
              <w:bottom w:val="single" w:color="auto" w:sz="4" w:space="0"/>
              <w:right w:val="single" w:color="auto" w:sz="4" w:space="0"/>
            </w:tcBorders>
          </w:tcPr>
          <w:p w14:paraId="23F718BA">
            <w:pPr>
              <w:keepNext w:val="0"/>
              <w:keepLines w:val="0"/>
              <w:pageBreakBefore w:val="0"/>
              <w:kinsoku/>
              <w:wordWrap/>
              <w:overflowPunct/>
              <w:topLinePunct w:val="0"/>
              <w:autoSpaceDE/>
              <w:autoSpaceDN/>
              <w:bidi w:val="0"/>
              <w:adjustRightInd/>
              <w:spacing w:line="360" w:lineRule="exact"/>
              <w:jc w:val="center"/>
              <w:textAlignment w:val="auto"/>
              <w:rPr>
                <w:rFonts w:ascii="宋体" w:hAnsi="宋体" w:cs="宋体"/>
                <w:color w:val="auto"/>
                <w:highlight w:val="none"/>
              </w:rPr>
            </w:pPr>
          </w:p>
          <w:p w14:paraId="7E0A1725">
            <w:pPr>
              <w:keepNext w:val="0"/>
              <w:keepLines w:val="0"/>
              <w:pageBreakBefore w:val="0"/>
              <w:kinsoku/>
              <w:wordWrap/>
              <w:overflowPunct/>
              <w:topLinePunct w:val="0"/>
              <w:autoSpaceDE/>
              <w:autoSpaceDN/>
              <w:bidi w:val="0"/>
              <w:adjustRightInd/>
              <w:spacing w:line="360" w:lineRule="exact"/>
              <w:jc w:val="center"/>
              <w:textAlignment w:val="auto"/>
              <w:rPr>
                <w:rFonts w:ascii="宋体" w:hAnsi="宋体" w:cs="宋体"/>
                <w:color w:val="auto"/>
                <w:highlight w:val="none"/>
              </w:rPr>
            </w:pPr>
          </w:p>
          <w:p w14:paraId="05DBBA9C">
            <w:pPr>
              <w:keepNext w:val="0"/>
              <w:keepLines w:val="0"/>
              <w:pageBreakBefore w:val="0"/>
              <w:kinsoku/>
              <w:wordWrap/>
              <w:overflowPunct/>
              <w:topLinePunct w:val="0"/>
              <w:autoSpaceDE/>
              <w:autoSpaceDN/>
              <w:bidi w:val="0"/>
              <w:adjustRightInd/>
              <w:spacing w:line="360" w:lineRule="exact"/>
              <w:jc w:val="center"/>
              <w:textAlignment w:val="auto"/>
              <w:rPr>
                <w:rFonts w:ascii="宋体" w:hAnsi="宋体" w:cs="宋体"/>
                <w:color w:val="auto"/>
                <w:highlight w:val="none"/>
              </w:rPr>
            </w:pPr>
            <w:r>
              <w:rPr>
                <w:rFonts w:hint="eastAsia" w:ascii="宋体" w:hAnsi="宋体" w:cs="宋体"/>
                <w:color w:val="auto"/>
                <w:highlight w:val="none"/>
              </w:rPr>
              <w:t>商务条款</w:t>
            </w:r>
          </w:p>
        </w:tc>
        <w:tc>
          <w:tcPr>
            <w:tcW w:w="7808" w:type="dxa"/>
            <w:gridSpan w:val="5"/>
            <w:tcBorders>
              <w:top w:val="single" w:color="auto" w:sz="4" w:space="0"/>
              <w:left w:val="single" w:color="auto" w:sz="4" w:space="0"/>
              <w:bottom w:val="single" w:color="auto" w:sz="4" w:space="0"/>
              <w:right w:val="single" w:color="auto" w:sz="4" w:space="0"/>
            </w:tcBorders>
          </w:tcPr>
          <w:p w14:paraId="3ED2D9E6">
            <w:pPr>
              <w:keepNext w:val="0"/>
              <w:keepLines w:val="0"/>
              <w:pageBreakBefore w:val="0"/>
              <w:widowControl/>
              <w:shd w:val="clear" w:color="auto" w:fill="FFFFFF"/>
              <w:kinsoku/>
              <w:wordWrap/>
              <w:overflowPunct/>
              <w:topLinePunct w:val="0"/>
              <w:autoSpaceDE/>
              <w:autoSpaceDN/>
              <w:bidi w:val="0"/>
              <w:adjustRightInd/>
              <w:spacing w:line="360" w:lineRule="exact"/>
              <w:ind w:firstLine="211" w:firstLineChars="100"/>
              <w:textAlignment w:val="auto"/>
              <w:rPr>
                <w:rFonts w:ascii="宋体" w:hAnsi="宋体" w:cs="宋体"/>
                <w:color w:val="auto"/>
                <w:highlight w:val="none"/>
              </w:rPr>
            </w:pPr>
            <w:r>
              <w:rPr>
                <w:rFonts w:hint="eastAsia" w:ascii="宋体" w:hAnsi="宋体" w:cs="宋体"/>
                <w:b/>
                <w:bCs/>
                <w:color w:val="auto"/>
                <w:highlight w:val="none"/>
              </w:rPr>
              <w:t>一、合同签订期：</w:t>
            </w:r>
            <w:r>
              <w:rPr>
                <w:rFonts w:hint="eastAsia" w:ascii="宋体" w:hAnsi="宋体" w:cs="宋体"/>
                <w:color w:val="auto"/>
                <w:highlight w:val="none"/>
              </w:rPr>
              <w:t>自</w:t>
            </w:r>
            <w:r>
              <w:rPr>
                <w:rFonts w:hint="eastAsia" w:ascii="宋体" w:hAnsi="宋体" w:cs="宋体"/>
                <w:bCs/>
                <w:color w:val="auto"/>
                <w:highlight w:val="none"/>
              </w:rPr>
              <w:t>成交</w:t>
            </w:r>
            <w:r>
              <w:rPr>
                <w:rFonts w:hint="eastAsia" w:ascii="宋体" w:hAnsi="宋体" w:cs="宋体"/>
                <w:color w:val="auto"/>
                <w:highlight w:val="none"/>
              </w:rPr>
              <w:t>通知书发出之日起 25 日内（注：</w:t>
            </w:r>
            <w:r>
              <w:rPr>
                <w:rFonts w:hint="eastAsia" w:ascii="宋体" w:hAnsi="宋体" w:cs="宋体"/>
                <w:bCs/>
                <w:color w:val="auto"/>
                <w:highlight w:val="none"/>
              </w:rPr>
              <w:t>成交</w:t>
            </w:r>
            <w:r>
              <w:rPr>
                <w:rFonts w:hint="eastAsia" w:ascii="宋体" w:hAnsi="宋体" w:cs="宋体"/>
                <w:color w:val="auto"/>
                <w:highlight w:val="none"/>
              </w:rPr>
              <w:t>通知书发出之日起25日内必须签订合同。）</w:t>
            </w:r>
          </w:p>
          <w:p w14:paraId="2A1C7D09">
            <w:pPr>
              <w:keepNext w:val="0"/>
              <w:keepLines w:val="0"/>
              <w:pageBreakBefore w:val="0"/>
              <w:widowControl/>
              <w:shd w:val="clear" w:color="auto" w:fill="FFFFFF"/>
              <w:kinsoku/>
              <w:wordWrap/>
              <w:overflowPunct/>
              <w:topLinePunct w:val="0"/>
              <w:autoSpaceDE/>
              <w:autoSpaceDN/>
              <w:bidi w:val="0"/>
              <w:adjustRightInd/>
              <w:spacing w:line="360" w:lineRule="exact"/>
              <w:textAlignment w:val="auto"/>
              <w:rPr>
                <w:rFonts w:ascii="宋体" w:hAnsi="宋体" w:cs="宋体"/>
                <w:color w:val="auto"/>
                <w:highlight w:val="none"/>
              </w:rPr>
            </w:pPr>
            <w:r>
              <w:rPr>
                <w:rFonts w:hint="eastAsia" w:ascii="宋体" w:hAnsi="宋体" w:cs="宋体"/>
                <w:color w:val="auto"/>
                <w:highlight w:val="none"/>
              </w:rPr>
              <w:t>▲</w:t>
            </w:r>
            <w:r>
              <w:rPr>
                <w:rFonts w:hint="eastAsia" w:ascii="宋体" w:hAnsi="宋体" w:cs="宋体"/>
                <w:b/>
                <w:bCs/>
                <w:color w:val="auto"/>
                <w:szCs w:val="21"/>
                <w:highlight w:val="none"/>
              </w:rPr>
              <w:t>二、</w:t>
            </w:r>
            <w:r>
              <w:rPr>
                <w:rFonts w:hint="eastAsia" w:ascii="宋体" w:hAnsi="宋体" w:cs="宋体"/>
                <w:b/>
                <w:bCs/>
                <w:color w:val="auto"/>
                <w:szCs w:val="21"/>
                <w:highlight w:val="none"/>
                <w:lang w:val="en-US" w:eastAsia="zh-CN"/>
              </w:rPr>
              <w:t>工期</w:t>
            </w:r>
            <w:r>
              <w:rPr>
                <w:rFonts w:hint="eastAsia" w:ascii="宋体" w:hAnsi="宋体" w:cs="宋体"/>
                <w:b/>
                <w:bCs/>
                <w:color w:val="auto"/>
                <w:szCs w:val="21"/>
                <w:highlight w:val="none"/>
              </w:rPr>
              <w:t>：</w:t>
            </w:r>
            <w:r>
              <w:rPr>
                <w:rFonts w:hint="eastAsia" w:ascii="宋体" w:hAnsi="宋体" w:cs="宋体"/>
                <w:color w:val="auto"/>
                <w:szCs w:val="21"/>
                <w:highlight w:val="none"/>
                <w:lang w:val="en-US" w:eastAsia="zh-CN"/>
              </w:rPr>
              <w:t>120日历天</w:t>
            </w:r>
            <w:r>
              <w:rPr>
                <w:rFonts w:hint="eastAsia" w:ascii="宋体" w:hAnsi="宋体" w:cs="宋体"/>
                <w:color w:val="auto"/>
                <w:szCs w:val="21"/>
                <w:highlight w:val="none"/>
              </w:rPr>
              <w:t>。</w:t>
            </w:r>
          </w:p>
          <w:p w14:paraId="6CEBA79E">
            <w:pPr>
              <w:keepNext w:val="0"/>
              <w:keepLines w:val="0"/>
              <w:pageBreakBefore w:val="0"/>
              <w:widowControl/>
              <w:shd w:val="clear" w:color="auto" w:fill="FFFFFF"/>
              <w:kinsoku/>
              <w:wordWrap/>
              <w:overflowPunct/>
              <w:topLinePunct w:val="0"/>
              <w:autoSpaceDE/>
              <w:autoSpaceDN/>
              <w:bidi w:val="0"/>
              <w:adjustRightInd/>
              <w:spacing w:line="360" w:lineRule="exact"/>
              <w:textAlignment w:val="auto"/>
              <w:rPr>
                <w:rFonts w:hint="eastAsia" w:ascii="宋体" w:hAnsi="宋体" w:eastAsia="宋体" w:cs="宋体"/>
                <w:color w:val="auto"/>
                <w:highlight w:val="none"/>
                <w:lang w:eastAsia="zh-CN"/>
              </w:rPr>
            </w:pPr>
            <w:r>
              <w:rPr>
                <w:rFonts w:hint="eastAsia" w:ascii="宋体" w:hAnsi="宋体" w:cs="宋体"/>
                <w:color w:val="auto"/>
                <w:highlight w:val="none"/>
              </w:rPr>
              <w:t>▲</w:t>
            </w:r>
            <w:r>
              <w:rPr>
                <w:rFonts w:hint="eastAsia" w:ascii="宋体" w:hAnsi="宋体" w:cs="宋体"/>
                <w:b/>
                <w:bCs/>
                <w:color w:val="auto"/>
                <w:highlight w:val="none"/>
                <w:lang w:val="en-US" w:eastAsia="zh-CN"/>
              </w:rPr>
              <w:t>三</w:t>
            </w:r>
            <w:r>
              <w:rPr>
                <w:rFonts w:hint="eastAsia" w:ascii="宋体" w:hAnsi="宋体" w:cs="宋体"/>
                <w:b/>
                <w:bCs/>
                <w:color w:val="auto"/>
                <w:highlight w:val="none"/>
              </w:rPr>
              <w:t>、</w:t>
            </w:r>
            <w:r>
              <w:rPr>
                <w:rFonts w:hint="eastAsia" w:ascii="宋体" w:hAnsi="宋体" w:cs="宋体"/>
                <w:b/>
                <w:bCs/>
                <w:color w:val="auto"/>
                <w:highlight w:val="none"/>
                <w:lang w:val="en-US" w:eastAsia="zh-CN"/>
              </w:rPr>
              <w:t>验收标准、规范：</w:t>
            </w:r>
            <w:r>
              <w:rPr>
                <w:rFonts w:hint="eastAsia" w:ascii="宋体" w:hAnsi="宋体" w:cs="宋体"/>
                <w:color w:val="auto"/>
                <w:highlight w:val="none"/>
                <w:lang w:val="en-US" w:eastAsia="zh-CN"/>
              </w:rPr>
              <w:t>达到国家施工验收规范合格标准</w:t>
            </w:r>
            <w:r>
              <w:rPr>
                <w:rFonts w:hint="eastAsia" w:ascii="宋体" w:hAnsi="宋体" w:cs="宋体"/>
                <w:color w:val="auto"/>
                <w:highlight w:val="none"/>
                <w:lang w:eastAsia="zh-CN"/>
              </w:rPr>
              <w:t>。</w:t>
            </w:r>
          </w:p>
          <w:p w14:paraId="5E250AD6">
            <w:pPr>
              <w:keepNext w:val="0"/>
              <w:keepLines w:val="0"/>
              <w:pageBreakBefore w:val="0"/>
              <w:widowControl/>
              <w:shd w:val="clear" w:color="auto" w:fill="FFFFFF"/>
              <w:kinsoku/>
              <w:wordWrap/>
              <w:overflowPunct/>
              <w:topLinePunct w:val="0"/>
              <w:autoSpaceDE/>
              <w:autoSpaceDN/>
              <w:bidi w:val="0"/>
              <w:adjustRightInd/>
              <w:spacing w:line="360" w:lineRule="exact"/>
              <w:textAlignment w:val="auto"/>
              <w:rPr>
                <w:rFonts w:ascii="宋体" w:hAnsi="宋体" w:cs="宋体"/>
                <w:b/>
                <w:bCs/>
                <w:color w:val="auto"/>
                <w:highlight w:val="none"/>
              </w:rPr>
            </w:pPr>
            <w:r>
              <w:rPr>
                <w:rFonts w:hint="eastAsia" w:ascii="宋体" w:hAnsi="宋体" w:cs="宋体"/>
                <w:color w:val="auto"/>
                <w:highlight w:val="none"/>
              </w:rPr>
              <w:t>▲</w:t>
            </w:r>
            <w:r>
              <w:rPr>
                <w:rFonts w:hint="eastAsia" w:ascii="宋体" w:hAnsi="宋体" w:cs="宋体"/>
                <w:b/>
                <w:bCs/>
                <w:color w:val="auto"/>
                <w:highlight w:val="none"/>
                <w:lang w:val="en-US" w:eastAsia="zh-CN"/>
              </w:rPr>
              <w:t>四</w:t>
            </w:r>
            <w:r>
              <w:rPr>
                <w:rFonts w:hint="eastAsia" w:ascii="宋体" w:hAnsi="宋体" w:cs="宋体"/>
                <w:b/>
                <w:bCs/>
                <w:color w:val="auto"/>
                <w:highlight w:val="none"/>
              </w:rPr>
              <w:t>、其他要求：</w:t>
            </w:r>
          </w:p>
          <w:p w14:paraId="0B05E82F">
            <w:pPr>
              <w:keepNext w:val="0"/>
              <w:keepLines w:val="0"/>
              <w:pageBreakBefore w:val="0"/>
              <w:widowControl/>
              <w:shd w:val="clear" w:color="auto" w:fill="FFFFFF"/>
              <w:kinsoku/>
              <w:wordWrap/>
              <w:overflowPunct/>
              <w:topLinePunct w:val="0"/>
              <w:autoSpaceDE/>
              <w:autoSpaceDN/>
              <w:bidi w:val="0"/>
              <w:adjustRightInd/>
              <w:spacing w:line="360" w:lineRule="exact"/>
              <w:ind w:firstLine="420" w:firstLineChars="200"/>
              <w:textAlignment w:val="auto"/>
              <w:rPr>
                <w:rFonts w:hint="eastAsia" w:ascii="宋体" w:hAnsi="宋体" w:cs="宋体"/>
                <w:color w:val="auto"/>
                <w:highlight w:val="none"/>
              </w:rPr>
            </w:pPr>
            <w:r>
              <w:rPr>
                <w:rFonts w:hint="eastAsia" w:ascii="宋体" w:hAnsi="宋体" w:cs="宋体"/>
                <w:color w:val="auto"/>
                <w:highlight w:val="none"/>
              </w:rPr>
              <w:t>▲1、本项目采用工程量清单报价。供应商应结合自身因素进行工程量清单报价，但不得超出采购预算价或最高限价，否则</w:t>
            </w:r>
            <w:r>
              <w:rPr>
                <w:rFonts w:hint="eastAsia" w:ascii="宋体" w:hAnsi="宋体" w:cs="宋体"/>
                <w:color w:val="auto"/>
                <w:highlight w:val="none"/>
                <w:lang w:val="en-US" w:eastAsia="zh-CN"/>
              </w:rPr>
              <w:t>磋商</w:t>
            </w:r>
            <w:r>
              <w:rPr>
                <w:rFonts w:hint="eastAsia" w:ascii="宋体" w:hAnsi="宋体" w:cs="宋体"/>
                <w:color w:val="auto"/>
                <w:highlight w:val="none"/>
              </w:rPr>
              <w:t>无效。供应商必须就所</w:t>
            </w:r>
            <w:r>
              <w:rPr>
                <w:rFonts w:hint="eastAsia" w:ascii="宋体" w:hAnsi="宋体" w:cs="宋体"/>
                <w:color w:val="auto"/>
                <w:highlight w:val="none"/>
                <w:lang w:val="en-US" w:eastAsia="zh-CN"/>
              </w:rPr>
              <w:t>竞标</w:t>
            </w:r>
            <w:r>
              <w:rPr>
                <w:rFonts w:hint="eastAsia" w:ascii="宋体" w:hAnsi="宋体" w:cs="宋体"/>
                <w:color w:val="auto"/>
                <w:highlight w:val="none"/>
              </w:rPr>
              <w:t>工程的全部内容作完整唯一报价，漏项的或有选择的或有条件的报价，其</w:t>
            </w:r>
            <w:r>
              <w:rPr>
                <w:rFonts w:hint="eastAsia" w:ascii="宋体" w:hAnsi="宋体" w:cs="宋体"/>
                <w:color w:val="auto"/>
                <w:highlight w:val="none"/>
                <w:lang w:val="en-US" w:eastAsia="zh-CN"/>
              </w:rPr>
              <w:t>磋商</w:t>
            </w:r>
            <w:r>
              <w:rPr>
                <w:rFonts w:hint="eastAsia" w:ascii="宋体" w:hAnsi="宋体" w:cs="宋体"/>
                <w:color w:val="auto"/>
                <w:highlight w:val="none"/>
              </w:rPr>
              <w:t>无效。</w:t>
            </w:r>
          </w:p>
          <w:p w14:paraId="255BECDC">
            <w:pPr>
              <w:keepNext w:val="0"/>
              <w:keepLines w:val="0"/>
              <w:pageBreakBefore w:val="0"/>
              <w:widowControl/>
              <w:shd w:val="clear" w:color="auto" w:fill="FFFFFF"/>
              <w:kinsoku/>
              <w:wordWrap/>
              <w:overflowPunct/>
              <w:topLinePunct w:val="0"/>
              <w:autoSpaceDE/>
              <w:autoSpaceDN/>
              <w:bidi w:val="0"/>
              <w:adjustRightInd/>
              <w:spacing w:line="360" w:lineRule="exact"/>
              <w:ind w:firstLine="420" w:firstLineChars="200"/>
              <w:textAlignment w:val="auto"/>
              <w:rPr>
                <w:rFonts w:hint="eastAsia" w:ascii="宋体" w:hAnsi="宋体" w:cs="宋体"/>
                <w:color w:val="auto"/>
                <w:highlight w:val="none"/>
              </w:rPr>
            </w:pPr>
            <w:r>
              <w:rPr>
                <w:rFonts w:hint="eastAsia" w:ascii="宋体" w:hAnsi="宋体" w:cs="宋体"/>
                <w:color w:val="auto"/>
                <w:highlight w:val="none"/>
              </w:rPr>
              <w:t>▲2、报价必须含以下部分，包括：</w:t>
            </w:r>
          </w:p>
          <w:p w14:paraId="7F8892F7">
            <w:pPr>
              <w:keepNext w:val="0"/>
              <w:keepLines w:val="0"/>
              <w:pageBreakBefore w:val="0"/>
              <w:widowControl/>
              <w:shd w:val="clear" w:color="auto" w:fill="FFFFFF"/>
              <w:kinsoku/>
              <w:wordWrap/>
              <w:overflowPunct/>
              <w:topLinePunct w:val="0"/>
              <w:autoSpaceDE/>
              <w:autoSpaceDN/>
              <w:bidi w:val="0"/>
              <w:adjustRightInd/>
              <w:spacing w:line="360" w:lineRule="exact"/>
              <w:ind w:firstLine="420" w:firstLineChars="200"/>
              <w:textAlignment w:val="auto"/>
              <w:rPr>
                <w:rFonts w:hint="eastAsia" w:ascii="宋体" w:hAnsi="宋体" w:cs="宋体"/>
                <w:color w:val="auto"/>
                <w:highlight w:val="none"/>
              </w:rPr>
            </w:pPr>
            <w:r>
              <w:rPr>
                <w:rFonts w:hint="eastAsia" w:ascii="宋体" w:hAnsi="宋体" w:cs="宋体"/>
                <w:color w:val="auto"/>
                <w:highlight w:val="none"/>
              </w:rPr>
              <w:t>（1）工程量清单中的每一子目须填入单价或价格，且只允许有一个报价。</w:t>
            </w:r>
          </w:p>
          <w:p w14:paraId="1F212760">
            <w:pPr>
              <w:keepNext w:val="0"/>
              <w:keepLines w:val="0"/>
              <w:pageBreakBefore w:val="0"/>
              <w:widowControl/>
              <w:shd w:val="clear" w:color="auto" w:fill="FFFFFF"/>
              <w:kinsoku/>
              <w:wordWrap/>
              <w:overflowPunct/>
              <w:topLinePunct w:val="0"/>
              <w:autoSpaceDE/>
              <w:autoSpaceDN/>
              <w:bidi w:val="0"/>
              <w:adjustRightInd/>
              <w:spacing w:line="360" w:lineRule="exact"/>
              <w:ind w:firstLine="420" w:firstLineChars="200"/>
              <w:textAlignment w:val="auto"/>
              <w:rPr>
                <w:rFonts w:hint="eastAsia" w:ascii="宋体" w:hAnsi="宋体" w:cs="宋体"/>
                <w:color w:val="auto"/>
                <w:highlight w:val="none"/>
              </w:rPr>
            </w:pPr>
            <w:r>
              <w:rPr>
                <w:rFonts w:hint="eastAsia" w:ascii="宋体" w:hAnsi="宋体" w:cs="宋体"/>
                <w:color w:val="auto"/>
                <w:highlight w:val="none"/>
              </w:rPr>
              <w:t>（2）除非合同另有规定，工程量清单中有标价的单价和总额价均已包括了为实施和完成合同工程所需的劳务、材料、机械、质检（自检）、安装、缺陷修复、管理、保险、税费、利润等费用，以及合同明示或暗示的所有责任、义务和一般风险。</w:t>
            </w:r>
          </w:p>
          <w:p w14:paraId="4646AB90">
            <w:pPr>
              <w:keepNext w:val="0"/>
              <w:keepLines w:val="0"/>
              <w:pageBreakBefore w:val="0"/>
              <w:widowControl/>
              <w:shd w:val="clear" w:color="auto" w:fill="FFFFFF"/>
              <w:kinsoku/>
              <w:wordWrap/>
              <w:overflowPunct/>
              <w:topLinePunct w:val="0"/>
              <w:autoSpaceDE/>
              <w:autoSpaceDN/>
              <w:bidi w:val="0"/>
              <w:adjustRightInd/>
              <w:spacing w:line="360" w:lineRule="exact"/>
              <w:ind w:firstLine="420" w:firstLineChars="200"/>
              <w:textAlignment w:val="auto"/>
              <w:rPr>
                <w:rFonts w:hint="eastAsia" w:ascii="宋体" w:hAnsi="宋体" w:cs="宋体"/>
                <w:color w:val="auto"/>
                <w:highlight w:val="none"/>
              </w:rPr>
            </w:pPr>
            <w:r>
              <w:rPr>
                <w:rFonts w:hint="eastAsia" w:ascii="宋体" w:hAnsi="宋体" w:cs="宋体"/>
                <w:color w:val="auto"/>
                <w:highlight w:val="none"/>
              </w:rPr>
              <w:t>（3）工程量清单中供应商没有填入单价或价格的子目，其费用视为己分摊在工程量清单中其他相关子目的单价或价格之中。承包人必须按监理人或采购人指令完成工程量清单中未填入单价或价格的子目，但不能得到结算与支付。</w:t>
            </w:r>
          </w:p>
          <w:p w14:paraId="50B8391F">
            <w:pPr>
              <w:keepNext w:val="0"/>
              <w:keepLines w:val="0"/>
              <w:pageBreakBefore w:val="0"/>
              <w:widowControl/>
              <w:shd w:val="clear" w:color="auto" w:fill="FFFFFF"/>
              <w:kinsoku/>
              <w:wordWrap/>
              <w:overflowPunct/>
              <w:topLinePunct w:val="0"/>
              <w:autoSpaceDE/>
              <w:autoSpaceDN/>
              <w:bidi w:val="0"/>
              <w:adjustRightInd/>
              <w:spacing w:line="360" w:lineRule="exact"/>
              <w:ind w:firstLine="420" w:firstLineChars="200"/>
              <w:textAlignment w:val="auto"/>
              <w:rPr>
                <w:rFonts w:hint="eastAsia" w:ascii="宋体" w:hAnsi="宋体" w:cs="宋体"/>
                <w:color w:val="auto"/>
                <w:highlight w:val="none"/>
              </w:rPr>
            </w:pPr>
            <w:r>
              <w:rPr>
                <w:rFonts w:hint="eastAsia" w:ascii="宋体" w:hAnsi="宋体" w:cs="宋体"/>
                <w:color w:val="auto"/>
                <w:highlight w:val="none"/>
              </w:rPr>
              <w:t>（4）符合合同条款规定的全部费用应认为已被计入有标价的工程量清单所列各子目之中，未列子目不予计量的工作，其费用应视为已分摊在本合同工程的有关子目的单价或总额价之中。</w:t>
            </w:r>
          </w:p>
          <w:p w14:paraId="5BEFFDE5">
            <w:pPr>
              <w:keepNext w:val="0"/>
              <w:keepLines w:val="0"/>
              <w:pageBreakBefore w:val="0"/>
              <w:widowControl/>
              <w:shd w:val="clear" w:color="auto" w:fill="FFFFFF"/>
              <w:kinsoku/>
              <w:wordWrap/>
              <w:overflowPunct/>
              <w:topLinePunct w:val="0"/>
              <w:autoSpaceDE/>
              <w:autoSpaceDN/>
              <w:bidi w:val="0"/>
              <w:adjustRightInd/>
              <w:spacing w:line="360" w:lineRule="exact"/>
              <w:ind w:firstLine="420" w:firstLineChars="200"/>
              <w:textAlignment w:val="auto"/>
              <w:rPr>
                <w:rFonts w:hint="eastAsia" w:ascii="宋体" w:hAnsi="宋体" w:cs="宋体"/>
                <w:color w:val="auto"/>
                <w:highlight w:val="none"/>
              </w:rPr>
            </w:pPr>
            <w:r>
              <w:rPr>
                <w:rFonts w:hint="eastAsia" w:ascii="宋体" w:hAnsi="宋体" w:cs="宋体"/>
                <w:color w:val="auto"/>
                <w:highlight w:val="none"/>
              </w:rPr>
              <w:t>（5）承包人用于本合同工程的各类装备的提供、运输、维护、拆卸、拼装等支付的费用，已包括在工程量清单的单价与总额价之中。</w:t>
            </w:r>
          </w:p>
          <w:p w14:paraId="5C503824">
            <w:pPr>
              <w:keepNext w:val="0"/>
              <w:keepLines w:val="0"/>
              <w:pageBreakBefore w:val="0"/>
              <w:widowControl/>
              <w:shd w:val="clear" w:color="auto" w:fill="FFFFFF"/>
              <w:kinsoku/>
              <w:wordWrap/>
              <w:overflowPunct/>
              <w:topLinePunct w:val="0"/>
              <w:autoSpaceDE/>
              <w:autoSpaceDN/>
              <w:bidi w:val="0"/>
              <w:adjustRightInd/>
              <w:spacing w:line="360" w:lineRule="exact"/>
              <w:ind w:firstLine="420" w:firstLineChars="200"/>
              <w:textAlignment w:val="auto"/>
              <w:rPr>
                <w:rFonts w:hint="eastAsia" w:ascii="宋体" w:hAnsi="宋体" w:cs="宋体"/>
                <w:color w:val="auto"/>
                <w:highlight w:val="none"/>
              </w:rPr>
            </w:pPr>
            <w:r>
              <w:rPr>
                <w:rFonts w:hint="eastAsia" w:ascii="宋体" w:hAnsi="宋体" w:cs="宋体"/>
                <w:color w:val="auto"/>
                <w:highlight w:val="none"/>
              </w:rPr>
              <w:t>3、工程量清单中各项金额均以人民币（元）结算。</w:t>
            </w:r>
          </w:p>
          <w:p w14:paraId="019DB57B">
            <w:pPr>
              <w:keepNext w:val="0"/>
              <w:keepLines w:val="0"/>
              <w:pageBreakBefore w:val="0"/>
              <w:widowControl/>
              <w:shd w:val="clear" w:color="auto" w:fill="FFFFFF"/>
              <w:kinsoku/>
              <w:wordWrap/>
              <w:overflowPunct/>
              <w:topLinePunct w:val="0"/>
              <w:autoSpaceDE/>
              <w:autoSpaceDN/>
              <w:bidi w:val="0"/>
              <w:adjustRightInd/>
              <w:spacing w:line="360" w:lineRule="exact"/>
              <w:ind w:firstLine="420" w:firstLineChars="200"/>
              <w:textAlignment w:val="auto"/>
              <w:rPr>
                <w:rFonts w:hint="eastAsia" w:ascii="宋体" w:hAnsi="宋体" w:cs="宋体"/>
                <w:color w:val="auto"/>
                <w:highlight w:val="none"/>
              </w:rPr>
            </w:pPr>
            <w:r>
              <w:rPr>
                <w:rFonts w:hint="eastAsia" w:ascii="宋体" w:hAnsi="宋体" w:cs="宋体"/>
                <w:color w:val="auto"/>
                <w:highlight w:val="none"/>
              </w:rPr>
              <w:t>4、暂列金额（不含计日工总额）的数量及拟用子目的说明：详见工程量清单（招标控制价）。</w:t>
            </w:r>
          </w:p>
          <w:p w14:paraId="4F20902F">
            <w:pPr>
              <w:keepNext w:val="0"/>
              <w:keepLines w:val="0"/>
              <w:pageBreakBefore w:val="0"/>
              <w:widowControl/>
              <w:shd w:val="clear" w:color="auto" w:fill="FFFFFF"/>
              <w:kinsoku/>
              <w:wordWrap/>
              <w:overflowPunct/>
              <w:topLinePunct w:val="0"/>
              <w:autoSpaceDE/>
              <w:autoSpaceDN/>
              <w:bidi w:val="0"/>
              <w:adjustRightInd/>
              <w:spacing w:line="360" w:lineRule="exact"/>
              <w:ind w:firstLine="420" w:firstLineChars="200"/>
              <w:textAlignment w:val="auto"/>
              <w:rPr>
                <w:rFonts w:hint="eastAsia" w:ascii="宋体" w:hAnsi="宋体" w:cs="宋体"/>
                <w:color w:val="auto"/>
                <w:highlight w:val="none"/>
              </w:rPr>
            </w:pPr>
            <w:r>
              <w:rPr>
                <w:rFonts w:hint="eastAsia" w:ascii="宋体" w:hAnsi="宋体" w:cs="宋体"/>
                <w:color w:val="auto"/>
                <w:highlight w:val="none"/>
              </w:rPr>
              <w:t>5、暂估价的数量及拟用子目的说明：详见工程量清单（招标控制价）。</w:t>
            </w:r>
          </w:p>
          <w:p w14:paraId="33D00BA3">
            <w:pPr>
              <w:keepNext w:val="0"/>
              <w:keepLines w:val="0"/>
              <w:pageBreakBefore w:val="0"/>
              <w:widowControl/>
              <w:shd w:val="clear" w:color="auto" w:fill="FFFFFF"/>
              <w:kinsoku/>
              <w:wordWrap/>
              <w:overflowPunct/>
              <w:topLinePunct w:val="0"/>
              <w:autoSpaceDE/>
              <w:autoSpaceDN/>
              <w:bidi w:val="0"/>
              <w:adjustRightInd/>
              <w:spacing w:line="360" w:lineRule="exact"/>
              <w:ind w:firstLine="420" w:firstLineChars="200"/>
              <w:textAlignment w:val="auto"/>
              <w:rPr>
                <w:color w:val="auto"/>
                <w:highlight w:val="none"/>
              </w:rPr>
            </w:pPr>
            <w:r>
              <w:rPr>
                <w:rFonts w:hint="eastAsia" w:ascii="宋体" w:hAnsi="宋体" w:cs="宋体"/>
                <w:color w:val="auto"/>
                <w:highlight w:val="none"/>
              </w:rPr>
              <w:t>6、供应商必须按照采购人提供的工程量清单格式填写，不可擅自修改工程量清单，投标报价清单（已标价工程量清单）与采购人提供的工程量清单有任何不一致的，将做无效</w:t>
            </w:r>
            <w:r>
              <w:rPr>
                <w:rFonts w:hint="eastAsia" w:ascii="宋体" w:hAnsi="宋体" w:cs="宋体"/>
                <w:color w:val="auto"/>
                <w:highlight w:val="none"/>
                <w:lang w:val="en-US" w:eastAsia="zh-CN"/>
              </w:rPr>
              <w:t>磋商</w:t>
            </w:r>
            <w:r>
              <w:rPr>
                <w:rFonts w:hint="eastAsia" w:ascii="宋体" w:hAnsi="宋体" w:cs="宋体"/>
                <w:color w:val="auto"/>
                <w:highlight w:val="none"/>
              </w:rPr>
              <w:t>处理。</w:t>
            </w:r>
          </w:p>
          <w:p w14:paraId="7E16DE9B">
            <w:pPr>
              <w:keepNext w:val="0"/>
              <w:keepLines w:val="0"/>
              <w:pageBreakBefore w:val="0"/>
              <w:widowControl/>
              <w:shd w:val="clear" w:color="auto" w:fill="FFFFFF"/>
              <w:kinsoku/>
              <w:wordWrap/>
              <w:overflowPunct/>
              <w:topLinePunct w:val="0"/>
              <w:autoSpaceDE/>
              <w:autoSpaceDN/>
              <w:bidi w:val="0"/>
              <w:adjustRightInd/>
              <w:spacing w:line="360" w:lineRule="exact"/>
              <w:ind w:firstLine="211" w:firstLineChars="100"/>
              <w:textAlignment w:val="auto"/>
              <w:rPr>
                <w:rFonts w:ascii="宋体" w:hAnsi="宋体" w:cs="宋体"/>
                <w:color w:val="auto"/>
                <w:szCs w:val="21"/>
                <w:highlight w:val="none"/>
              </w:rPr>
            </w:pPr>
            <w:r>
              <w:rPr>
                <w:rFonts w:hint="eastAsia" w:ascii="宋体" w:hAnsi="宋体" w:cs="宋体"/>
                <w:b/>
                <w:bCs/>
                <w:color w:val="auto"/>
                <w:highlight w:val="none"/>
                <w:lang w:val="en-US" w:eastAsia="zh-CN"/>
              </w:rPr>
              <w:t>五</w:t>
            </w:r>
            <w:r>
              <w:rPr>
                <w:rFonts w:hint="eastAsia" w:ascii="宋体" w:hAnsi="宋体" w:cs="宋体"/>
                <w:b/>
                <w:bCs/>
                <w:color w:val="auto"/>
                <w:highlight w:val="none"/>
              </w:rPr>
              <w:t>、付款方式：</w:t>
            </w:r>
            <w:r>
              <w:rPr>
                <w:rFonts w:hint="eastAsia" w:ascii="宋体" w:hAnsi="宋体" w:cs="宋体"/>
                <w:color w:val="auto"/>
                <w:highlight w:val="none"/>
                <w:lang w:val="en-US" w:eastAsia="zh-CN"/>
              </w:rPr>
              <w:t>详见合同</w:t>
            </w:r>
            <w:r>
              <w:rPr>
                <w:rFonts w:hint="eastAsia" w:ascii="宋体" w:hAnsi="宋体" w:cs="宋体"/>
                <w:color w:val="auto"/>
                <w:highlight w:val="none"/>
              </w:rPr>
              <w:t>。</w:t>
            </w:r>
          </w:p>
        </w:tc>
      </w:tr>
    </w:tbl>
    <w:p w14:paraId="1CAD5572">
      <w:pPr>
        <w:keepNext w:val="0"/>
        <w:keepLines w:val="0"/>
        <w:pageBreakBefore w:val="0"/>
        <w:widowControl/>
        <w:kinsoku/>
        <w:wordWrap/>
        <w:overflowPunct/>
        <w:topLinePunct w:val="0"/>
        <w:autoSpaceDE/>
        <w:autoSpaceDN/>
        <w:bidi w:val="0"/>
        <w:adjustRightInd/>
        <w:spacing w:line="360" w:lineRule="exact"/>
        <w:jc w:val="left"/>
        <w:textAlignment w:val="auto"/>
        <w:rPr>
          <w:rFonts w:ascii="宋体" w:hAnsi="宋体" w:cs="宋体"/>
          <w:b/>
          <w:bCs/>
          <w:color w:val="auto"/>
          <w:szCs w:val="21"/>
          <w:highlight w:val="none"/>
        </w:rPr>
        <w:sectPr>
          <w:pgSz w:w="11910" w:h="16840"/>
          <w:pgMar w:top="1134" w:right="1134" w:bottom="1134" w:left="1134" w:header="720" w:footer="720" w:gutter="0"/>
          <w:cols w:space="0" w:num="1"/>
          <w:rtlGutter w:val="0"/>
        </w:sectPr>
      </w:pPr>
    </w:p>
    <w:p w14:paraId="5DE57914">
      <w:pPr>
        <w:pStyle w:val="15"/>
        <w:jc w:val="left"/>
        <w:rPr>
          <w:rFonts w:hAnsi="宋体" w:cs="宋体"/>
          <w:color w:val="auto"/>
          <w:sz w:val="32"/>
          <w:szCs w:val="32"/>
          <w:highlight w:val="none"/>
        </w:rPr>
      </w:pPr>
      <w:r>
        <w:rPr>
          <w:rFonts w:hint="eastAsia" w:hAnsi="宋体" w:cs="宋体"/>
          <w:color w:val="auto"/>
          <w:sz w:val="32"/>
          <w:szCs w:val="32"/>
          <w:highlight w:val="none"/>
        </w:rPr>
        <w:t>附件1：</w:t>
      </w:r>
    </w:p>
    <w:p w14:paraId="10DF6AD6">
      <w:pPr>
        <w:spacing w:line="528" w:lineRule="exact"/>
        <w:jc w:val="center"/>
        <w:rPr>
          <w:rFonts w:ascii="宋体" w:hAnsi="宋体" w:cs="宋体"/>
          <w:color w:val="auto"/>
          <w:sz w:val="40"/>
          <w:szCs w:val="40"/>
          <w:highlight w:val="none"/>
        </w:rPr>
      </w:pPr>
      <w:r>
        <w:rPr>
          <w:rFonts w:hint="eastAsia" w:ascii="宋体" w:hAnsi="宋体" w:cs="宋体"/>
          <w:color w:val="auto"/>
          <w:sz w:val="40"/>
          <w:szCs w:val="40"/>
          <w:highlight w:val="none"/>
        </w:rPr>
        <w:t>中小微企业划型标准</w:t>
      </w:r>
    </w:p>
    <w:tbl>
      <w:tblPr>
        <w:tblStyle w:val="26"/>
        <w:tblW w:w="9500" w:type="dxa"/>
        <w:jc w:val="center"/>
        <w:tblLayout w:type="fixed"/>
        <w:tblCellMar>
          <w:top w:w="0" w:type="dxa"/>
          <w:left w:w="108" w:type="dxa"/>
          <w:bottom w:w="0" w:type="dxa"/>
          <w:right w:w="108" w:type="dxa"/>
        </w:tblCellMar>
      </w:tblPr>
      <w:tblGrid>
        <w:gridCol w:w="1985"/>
        <w:gridCol w:w="1985"/>
        <w:gridCol w:w="851"/>
        <w:gridCol w:w="1843"/>
        <w:gridCol w:w="1702"/>
        <w:gridCol w:w="1134"/>
      </w:tblGrid>
      <w:tr w14:paraId="6684E6C1">
        <w:tblPrEx>
          <w:tblCellMar>
            <w:top w:w="0" w:type="dxa"/>
            <w:left w:w="108" w:type="dxa"/>
            <w:bottom w:w="0" w:type="dxa"/>
            <w:right w:w="108" w:type="dxa"/>
          </w:tblCellMar>
        </w:tblPrEx>
        <w:trPr>
          <w:trHeight w:val="285" w:hRule="atLeast"/>
          <w:jc w:val="center"/>
        </w:trPr>
        <w:tc>
          <w:tcPr>
            <w:tcW w:w="1985" w:type="dxa"/>
            <w:tcBorders>
              <w:top w:val="single" w:color="auto" w:sz="4" w:space="0"/>
              <w:left w:val="single" w:color="auto" w:sz="4" w:space="0"/>
              <w:bottom w:val="single" w:color="auto" w:sz="4" w:space="0"/>
              <w:right w:val="single" w:color="auto" w:sz="4" w:space="0"/>
            </w:tcBorders>
            <w:vAlign w:val="center"/>
          </w:tcPr>
          <w:p w14:paraId="2C7A1832">
            <w:pPr>
              <w:widowControl/>
              <w:jc w:val="left"/>
              <w:rPr>
                <w:rFonts w:ascii="宋体" w:hAnsi="宋体" w:cs="宋体"/>
                <w:b/>
                <w:color w:val="auto"/>
                <w:kern w:val="0"/>
                <w:sz w:val="24"/>
                <w:highlight w:val="none"/>
              </w:rPr>
            </w:pPr>
            <w:r>
              <w:rPr>
                <w:rFonts w:hint="eastAsia" w:ascii="宋体" w:hAnsi="宋体" w:cs="宋体"/>
                <w:b/>
                <w:color w:val="auto"/>
                <w:kern w:val="0"/>
                <w:sz w:val="24"/>
                <w:highlight w:val="none"/>
              </w:rPr>
              <w:t>行业名称</w:t>
            </w:r>
          </w:p>
        </w:tc>
        <w:tc>
          <w:tcPr>
            <w:tcW w:w="1985" w:type="dxa"/>
            <w:tcBorders>
              <w:top w:val="single" w:color="auto" w:sz="4" w:space="0"/>
              <w:left w:val="nil"/>
              <w:bottom w:val="single" w:color="auto" w:sz="4" w:space="0"/>
              <w:right w:val="single" w:color="auto" w:sz="4" w:space="0"/>
            </w:tcBorders>
            <w:vAlign w:val="center"/>
          </w:tcPr>
          <w:p w14:paraId="40427A51">
            <w:pPr>
              <w:widowControl/>
              <w:jc w:val="left"/>
              <w:rPr>
                <w:rFonts w:ascii="宋体" w:hAnsi="宋体" w:cs="宋体"/>
                <w:b/>
                <w:color w:val="auto"/>
                <w:kern w:val="0"/>
                <w:sz w:val="24"/>
                <w:highlight w:val="none"/>
              </w:rPr>
            </w:pPr>
            <w:r>
              <w:rPr>
                <w:rFonts w:hint="eastAsia" w:ascii="宋体" w:hAnsi="宋体" w:cs="宋体"/>
                <w:b/>
                <w:color w:val="auto"/>
                <w:kern w:val="0"/>
                <w:sz w:val="24"/>
                <w:highlight w:val="none"/>
              </w:rPr>
              <w:t>指标名称</w:t>
            </w:r>
          </w:p>
        </w:tc>
        <w:tc>
          <w:tcPr>
            <w:tcW w:w="851" w:type="dxa"/>
            <w:tcBorders>
              <w:top w:val="single" w:color="auto" w:sz="4" w:space="0"/>
              <w:left w:val="nil"/>
              <w:bottom w:val="single" w:color="auto" w:sz="4" w:space="0"/>
              <w:right w:val="single" w:color="auto" w:sz="4" w:space="0"/>
            </w:tcBorders>
            <w:vAlign w:val="center"/>
          </w:tcPr>
          <w:p w14:paraId="516D2528">
            <w:pPr>
              <w:widowControl/>
              <w:jc w:val="left"/>
              <w:rPr>
                <w:rFonts w:ascii="宋体" w:hAnsi="宋体" w:cs="宋体"/>
                <w:b/>
                <w:color w:val="auto"/>
                <w:kern w:val="0"/>
                <w:sz w:val="24"/>
                <w:highlight w:val="none"/>
              </w:rPr>
            </w:pPr>
            <w:r>
              <w:rPr>
                <w:rFonts w:hint="eastAsia" w:ascii="宋体" w:hAnsi="宋体" w:cs="宋体"/>
                <w:b/>
                <w:color w:val="auto"/>
                <w:kern w:val="0"/>
                <w:sz w:val="24"/>
                <w:highlight w:val="none"/>
              </w:rPr>
              <w:t>计量单位</w:t>
            </w:r>
          </w:p>
        </w:tc>
        <w:tc>
          <w:tcPr>
            <w:tcW w:w="1843" w:type="dxa"/>
            <w:tcBorders>
              <w:top w:val="single" w:color="auto" w:sz="4" w:space="0"/>
              <w:left w:val="nil"/>
              <w:bottom w:val="single" w:color="auto" w:sz="4" w:space="0"/>
              <w:right w:val="single" w:color="auto" w:sz="4" w:space="0"/>
            </w:tcBorders>
            <w:vAlign w:val="center"/>
          </w:tcPr>
          <w:p w14:paraId="3C557845">
            <w:pPr>
              <w:widowControl/>
              <w:jc w:val="left"/>
              <w:rPr>
                <w:rFonts w:ascii="宋体" w:hAnsi="宋体" w:cs="宋体"/>
                <w:b/>
                <w:color w:val="auto"/>
                <w:kern w:val="0"/>
                <w:sz w:val="24"/>
                <w:highlight w:val="none"/>
              </w:rPr>
            </w:pPr>
            <w:r>
              <w:rPr>
                <w:rFonts w:hint="eastAsia" w:ascii="宋体" w:hAnsi="宋体" w:cs="宋体"/>
                <w:b/>
                <w:color w:val="auto"/>
                <w:kern w:val="0"/>
                <w:sz w:val="24"/>
                <w:highlight w:val="none"/>
              </w:rPr>
              <w:t>中型</w:t>
            </w:r>
          </w:p>
        </w:tc>
        <w:tc>
          <w:tcPr>
            <w:tcW w:w="1702" w:type="dxa"/>
            <w:tcBorders>
              <w:top w:val="single" w:color="auto" w:sz="4" w:space="0"/>
              <w:left w:val="nil"/>
              <w:bottom w:val="single" w:color="auto" w:sz="4" w:space="0"/>
              <w:right w:val="single" w:color="auto" w:sz="4" w:space="0"/>
            </w:tcBorders>
            <w:vAlign w:val="center"/>
          </w:tcPr>
          <w:p w14:paraId="5278A5BF">
            <w:pPr>
              <w:widowControl/>
              <w:jc w:val="left"/>
              <w:rPr>
                <w:rFonts w:ascii="宋体" w:hAnsi="宋体" w:cs="宋体"/>
                <w:b/>
                <w:color w:val="auto"/>
                <w:kern w:val="0"/>
                <w:sz w:val="24"/>
                <w:highlight w:val="none"/>
              </w:rPr>
            </w:pPr>
            <w:r>
              <w:rPr>
                <w:rFonts w:hint="eastAsia" w:ascii="宋体" w:hAnsi="宋体" w:cs="宋体"/>
                <w:b/>
                <w:color w:val="auto"/>
                <w:kern w:val="0"/>
                <w:sz w:val="24"/>
                <w:highlight w:val="none"/>
              </w:rPr>
              <w:t>小型</w:t>
            </w:r>
          </w:p>
        </w:tc>
        <w:tc>
          <w:tcPr>
            <w:tcW w:w="1134" w:type="dxa"/>
            <w:tcBorders>
              <w:top w:val="single" w:color="auto" w:sz="4" w:space="0"/>
              <w:left w:val="nil"/>
              <w:bottom w:val="single" w:color="auto" w:sz="4" w:space="0"/>
              <w:right w:val="single" w:color="auto" w:sz="4" w:space="0"/>
            </w:tcBorders>
            <w:vAlign w:val="center"/>
          </w:tcPr>
          <w:p w14:paraId="09B25B0C">
            <w:pPr>
              <w:widowControl/>
              <w:jc w:val="left"/>
              <w:rPr>
                <w:rFonts w:ascii="宋体" w:hAnsi="宋体" w:cs="宋体"/>
                <w:b/>
                <w:color w:val="auto"/>
                <w:kern w:val="0"/>
                <w:sz w:val="24"/>
                <w:highlight w:val="none"/>
              </w:rPr>
            </w:pPr>
            <w:r>
              <w:rPr>
                <w:rFonts w:hint="eastAsia" w:ascii="宋体" w:hAnsi="宋体" w:cs="宋体"/>
                <w:b/>
                <w:color w:val="auto"/>
                <w:kern w:val="0"/>
                <w:sz w:val="24"/>
                <w:highlight w:val="none"/>
              </w:rPr>
              <w:t>微型</w:t>
            </w:r>
          </w:p>
        </w:tc>
      </w:tr>
      <w:tr w14:paraId="09EA3372">
        <w:tblPrEx>
          <w:tblCellMar>
            <w:top w:w="0" w:type="dxa"/>
            <w:left w:w="108" w:type="dxa"/>
            <w:bottom w:w="0" w:type="dxa"/>
            <w:right w:w="108" w:type="dxa"/>
          </w:tblCellMar>
        </w:tblPrEx>
        <w:trPr>
          <w:trHeight w:val="225" w:hRule="atLeast"/>
          <w:jc w:val="center"/>
        </w:trPr>
        <w:tc>
          <w:tcPr>
            <w:tcW w:w="1985" w:type="dxa"/>
            <w:tcBorders>
              <w:top w:val="nil"/>
              <w:left w:val="single" w:color="auto" w:sz="4" w:space="0"/>
              <w:bottom w:val="single" w:color="auto" w:sz="4" w:space="0"/>
              <w:right w:val="single" w:color="auto" w:sz="4" w:space="0"/>
            </w:tcBorders>
            <w:vAlign w:val="center"/>
          </w:tcPr>
          <w:p w14:paraId="69D71BD7">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农、林、牧、渔</w:t>
            </w:r>
          </w:p>
        </w:tc>
        <w:tc>
          <w:tcPr>
            <w:tcW w:w="1985" w:type="dxa"/>
            <w:tcBorders>
              <w:top w:val="nil"/>
              <w:left w:val="nil"/>
              <w:bottom w:val="single" w:color="auto" w:sz="4" w:space="0"/>
              <w:right w:val="single" w:color="auto" w:sz="4" w:space="0"/>
            </w:tcBorders>
            <w:vAlign w:val="center"/>
          </w:tcPr>
          <w:p w14:paraId="094B42E6">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14:paraId="6246DDC3">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3" w:type="dxa"/>
            <w:tcBorders>
              <w:top w:val="nil"/>
              <w:left w:val="nil"/>
              <w:bottom w:val="single" w:color="auto" w:sz="4" w:space="0"/>
              <w:right w:val="single" w:color="auto" w:sz="4" w:space="0"/>
            </w:tcBorders>
            <w:vAlign w:val="center"/>
          </w:tcPr>
          <w:p w14:paraId="0FCF70DC">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702" w:type="dxa"/>
            <w:tcBorders>
              <w:top w:val="nil"/>
              <w:left w:val="nil"/>
              <w:bottom w:val="single" w:color="auto" w:sz="4" w:space="0"/>
              <w:right w:val="single" w:color="auto" w:sz="4" w:space="0"/>
            </w:tcBorders>
            <w:vAlign w:val="center"/>
          </w:tcPr>
          <w:p w14:paraId="0FB81D6F">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50≤Y＜500</w:t>
            </w:r>
          </w:p>
        </w:tc>
        <w:tc>
          <w:tcPr>
            <w:tcW w:w="1134" w:type="dxa"/>
            <w:tcBorders>
              <w:top w:val="nil"/>
              <w:left w:val="nil"/>
              <w:bottom w:val="single" w:color="auto" w:sz="4" w:space="0"/>
              <w:right w:val="single" w:color="auto" w:sz="4" w:space="0"/>
            </w:tcBorders>
            <w:vAlign w:val="center"/>
          </w:tcPr>
          <w:p w14:paraId="7D06FA7F">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14:paraId="2BADC421">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vAlign w:val="center"/>
          </w:tcPr>
          <w:p w14:paraId="4BE3BC0B">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工业</w:t>
            </w:r>
          </w:p>
        </w:tc>
        <w:tc>
          <w:tcPr>
            <w:tcW w:w="1985" w:type="dxa"/>
            <w:tcBorders>
              <w:top w:val="nil"/>
              <w:left w:val="nil"/>
              <w:bottom w:val="single" w:color="auto" w:sz="4" w:space="0"/>
              <w:right w:val="single" w:color="auto" w:sz="4" w:space="0"/>
            </w:tcBorders>
            <w:vAlign w:val="center"/>
          </w:tcPr>
          <w:p w14:paraId="2C7D830F">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14:paraId="559A7424">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43" w:type="dxa"/>
            <w:tcBorders>
              <w:top w:val="nil"/>
              <w:left w:val="nil"/>
              <w:bottom w:val="single" w:color="auto" w:sz="4" w:space="0"/>
              <w:right w:val="single" w:color="auto" w:sz="4" w:space="0"/>
            </w:tcBorders>
            <w:vAlign w:val="center"/>
          </w:tcPr>
          <w:p w14:paraId="031F5AE9">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702" w:type="dxa"/>
            <w:tcBorders>
              <w:top w:val="nil"/>
              <w:left w:val="nil"/>
              <w:bottom w:val="single" w:color="auto" w:sz="4" w:space="0"/>
              <w:right w:val="single" w:color="auto" w:sz="4" w:space="0"/>
            </w:tcBorders>
            <w:vAlign w:val="center"/>
          </w:tcPr>
          <w:p w14:paraId="47C1F6DE">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1134" w:type="dxa"/>
            <w:tcBorders>
              <w:top w:val="nil"/>
              <w:left w:val="nil"/>
              <w:bottom w:val="single" w:color="auto" w:sz="4" w:space="0"/>
              <w:right w:val="single" w:color="auto" w:sz="4" w:space="0"/>
            </w:tcBorders>
            <w:vAlign w:val="center"/>
          </w:tcPr>
          <w:p w14:paraId="087FFAF9">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109D19FC">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vAlign w:val="center"/>
          </w:tcPr>
          <w:p w14:paraId="2BF8FF0A">
            <w:pPr>
              <w:widowControl/>
              <w:jc w:val="center"/>
              <w:rPr>
                <w:rFonts w:ascii="宋体" w:hAnsi="宋体" w:cs="宋体"/>
                <w:b/>
                <w:bCs/>
                <w:color w:val="auto"/>
                <w:kern w:val="0"/>
                <w:sz w:val="18"/>
                <w:szCs w:val="18"/>
                <w:highlight w:val="none"/>
              </w:rPr>
            </w:pPr>
          </w:p>
        </w:tc>
        <w:tc>
          <w:tcPr>
            <w:tcW w:w="1985" w:type="dxa"/>
            <w:tcBorders>
              <w:top w:val="nil"/>
              <w:left w:val="nil"/>
              <w:bottom w:val="single" w:color="auto" w:sz="4" w:space="0"/>
              <w:right w:val="single" w:color="auto" w:sz="4" w:space="0"/>
            </w:tcBorders>
            <w:vAlign w:val="center"/>
          </w:tcPr>
          <w:p w14:paraId="1780617B">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14:paraId="57FA8054">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3" w:type="dxa"/>
            <w:tcBorders>
              <w:top w:val="nil"/>
              <w:left w:val="nil"/>
              <w:bottom w:val="single" w:color="auto" w:sz="4" w:space="0"/>
              <w:right w:val="single" w:color="auto" w:sz="4" w:space="0"/>
            </w:tcBorders>
            <w:vAlign w:val="center"/>
          </w:tcPr>
          <w:p w14:paraId="42B61647">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2000≤Y＜40000</w:t>
            </w:r>
          </w:p>
        </w:tc>
        <w:tc>
          <w:tcPr>
            <w:tcW w:w="1702" w:type="dxa"/>
            <w:tcBorders>
              <w:top w:val="nil"/>
              <w:left w:val="nil"/>
              <w:bottom w:val="single" w:color="auto" w:sz="4" w:space="0"/>
              <w:right w:val="single" w:color="auto" w:sz="4" w:space="0"/>
            </w:tcBorders>
            <w:vAlign w:val="center"/>
          </w:tcPr>
          <w:p w14:paraId="00229949">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300≤Y＜2000</w:t>
            </w:r>
          </w:p>
        </w:tc>
        <w:tc>
          <w:tcPr>
            <w:tcW w:w="1134" w:type="dxa"/>
            <w:tcBorders>
              <w:top w:val="nil"/>
              <w:left w:val="nil"/>
              <w:bottom w:val="single" w:color="auto" w:sz="4" w:space="0"/>
              <w:right w:val="single" w:color="auto" w:sz="4" w:space="0"/>
            </w:tcBorders>
            <w:vAlign w:val="center"/>
          </w:tcPr>
          <w:p w14:paraId="3AFEFEB8">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14:paraId="7F593A90">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vAlign w:val="center"/>
          </w:tcPr>
          <w:p w14:paraId="4E1C4E8A">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建筑业</w:t>
            </w:r>
          </w:p>
        </w:tc>
        <w:tc>
          <w:tcPr>
            <w:tcW w:w="1985" w:type="dxa"/>
            <w:tcBorders>
              <w:top w:val="nil"/>
              <w:left w:val="nil"/>
              <w:bottom w:val="single" w:color="auto" w:sz="4" w:space="0"/>
              <w:right w:val="single" w:color="auto" w:sz="4" w:space="0"/>
            </w:tcBorders>
            <w:vAlign w:val="center"/>
          </w:tcPr>
          <w:p w14:paraId="680E781A">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14:paraId="069FF628">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3" w:type="dxa"/>
            <w:tcBorders>
              <w:top w:val="nil"/>
              <w:left w:val="nil"/>
              <w:bottom w:val="single" w:color="auto" w:sz="4" w:space="0"/>
              <w:right w:val="single" w:color="auto" w:sz="4" w:space="0"/>
            </w:tcBorders>
            <w:vAlign w:val="center"/>
          </w:tcPr>
          <w:p w14:paraId="41C5AB7C">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6000≤Y＜80000</w:t>
            </w:r>
          </w:p>
        </w:tc>
        <w:tc>
          <w:tcPr>
            <w:tcW w:w="1702" w:type="dxa"/>
            <w:tcBorders>
              <w:top w:val="nil"/>
              <w:left w:val="nil"/>
              <w:bottom w:val="single" w:color="auto" w:sz="4" w:space="0"/>
              <w:right w:val="single" w:color="auto" w:sz="4" w:space="0"/>
            </w:tcBorders>
            <w:vAlign w:val="center"/>
          </w:tcPr>
          <w:p w14:paraId="68F3B8AB">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300≤Y＜6000</w:t>
            </w:r>
          </w:p>
        </w:tc>
        <w:tc>
          <w:tcPr>
            <w:tcW w:w="1134" w:type="dxa"/>
            <w:tcBorders>
              <w:top w:val="nil"/>
              <w:left w:val="nil"/>
              <w:bottom w:val="single" w:color="auto" w:sz="4" w:space="0"/>
              <w:right w:val="single" w:color="auto" w:sz="4" w:space="0"/>
            </w:tcBorders>
            <w:vAlign w:val="center"/>
          </w:tcPr>
          <w:p w14:paraId="067510DA">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14:paraId="3B5293D3">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vAlign w:val="center"/>
          </w:tcPr>
          <w:p w14:paraId="566ACEF1">
            <w:pPr>
              <w:widowControl/>
              <w:jc w:val="center"/>
              <w:rPr>
                <w:rFonts w:ascii="宋体" w:hAnsi="宋体" w:cs="宋体"/>
                <w:b/>
                <w:bCs/>
                <w:color w:val="auto"/>
                <w:kern w:val="0"/>
                <w:sz w:val="18"/>
                <w:szCs w:val="18"/>
                <w:highlight w:val="none"/>
              </w:rPr>
            </w:pPr>
          </w:p>
        </w:tc>
        <w:tc>
          <w:tcPr>
            <w:tcW w:w="1985" w:type="dxa"/>
            <w:tcBorders>
              <w:top w:val="nil"/>
              <w:left w:val="nil"/>
              <w:bottom w:val="single" w:color="auto" w:sz="4" w:space="0"/>
              <w:right w:val="single" w:color="auto" w:sz="4" w:space="0"/>
            </w:tcBorders>
            <w:vAlign w:val="center"/>
          </w:tcPr>
          <w:p w14:paraId="1568397B">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851" w:type="dxa"/>
            <w:tcBorders>
              <w:top w:val="nil"/>
              <w:left w:val="nil"/>
              <w:bottom w:val="single" w:color="auto" w:sz="4" w:space="0"/>
              <w:right w:val="single" w:color="auto" w:sz="4" w:space="0"/>
            </w:tcBorders>
            <w:vAlign w:val="center"/>
          </w:tcPr>
          <w:p w14:paraId="4E47027C">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3" w:type="dxa"/>
            <w:tcBorders>
              <w:top w:val="nil"/>
              <w:left w:val="nil"/>
              <w:bottom w:val="single" w:color="auto" w:sz="4" w:space="0"/>
              <w:right w:val="single" w:color="auto" w:sz="4" w:space="0"/>
            </w:tcBorders>
            <w:vAlign w:val="center"/>
          </w:tcPr>
          <w:p w14:paraId="5D6ED696">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5000≤Z＜80000</w:t>
            </w:r>
          </w:p>
        </w:tc>
        <w:tc>
          <w:tcPr>
            <w:tcW w:w="1702" w:type="dxa"/>
            <w:tcBorders>
              <w:top w:val="nil"/>
              <w:left w:val="nil"/>
              <w:bottom w:val="single" w:color="auto" w:sz="4" w:space="0"/>
              <w:right w:val="single" w:color="auto" w:sz="4" w:space="0"/>
            </w:tcBorders>
            <w:vAlign w:val="center"/>
          </w:tcPr>
          <w:p w14:paraId="623F23E6">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300≤Z＜5000</w:t>
            </w:r>
          </w:p>
        </w:tc>
        <w:tc>
          <w:tcPr>
            <w:tcW w:w="1134" w:type="dxa"/>
            <w:tcBorders>
              <w:top w:val="nil"/>
              <w:left w:val="nil"/>
              <w:bottom w:val="single" w:color="auto" w:sz="4" w:space="0"/>
              <w:right w:val="single" w:color="auto" w:sz="4" w:space="0"/>
            </w:tcBorders>
            <w:vAlign w:val="center"/>
          </w:tcPr>
          <w:p w14:paraId="1D832A61">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Z＜300</w:t>
            </w:r>
          </w:p>
        </w:tc>
      </w:tr>
      <w:tr w14:paraId="36F983EE">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vAlign w:val="center"/>
          </w:tcPr>
          <w:p w14:paraId="41A18E0A">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批发业</w:t>
            </w:r>
          </w:p>
        </w:tc>
        <w:tc>
          <w:tcPr>
            <w:tcW w:w="1985" w:type="dxa"/>
            <w:tcBorders>
              <w:top w:val="nil"/>
              <w:left w:val="nil"/>
              <w:bottom w:val="single" w:color="auto" w:sz="4" w:space="0"/>
              <w:right w:val="single" w:color="auto" w:sz="4" w:space="0"/>
            </w:tcBorders>
            <w:vAlign w:val="center"/>
          </w:tcPr>
          <w:p w14:paraId="6087D0D0">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14:paraId="1C1DFD90">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43" w:type="dxa"/>
            <w:tcBorders>
              <w:top w:val="nil"/>
              <w:left w:val="nil"/>
              <w:bottom w:val="single" w:color="auto" w:sz="4" w:space="0"/>
              <w:right w:val="single" w:color="auto" w:sz="4" w:space="0"/>
            </w:tcBorders>
            <w:vAlign w:val="center"/>
          </w:tcPr>
          <w:p w14:paraId="13D2A515">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20≤X＜200</w:t>
            </w:r>
          </w:p>
        </w:tc>
        <w:tc>
          <w:tcPr>
            <w:tcW w:w="1702" w:type="dxa"/>
            <w:tcBorders>
              <w:top w:val="nil"/>
              <w:left w:val="nil"/>
              <w:bottom w:val="single" w:color="auto" w:sz="4" w:space="0"/>
              <w:right w:val="single" w:color="auto" w:sz="4" w:space="0"/>
            </w:tcBorders>
            <w:vAlign w:val="center"/>
          </w:tcPr>
          <w:p w14:paraId="76B5E444">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5≤X＜20</w:t>
            </w:r>
          </w:p>
        </w:tc>
        <w:tc>
          <w:tcPr>
            <w:tcW w:w="1134" w:type="dxa"/>
            <w:tcBorders>
              <w:top w:val="nil"/>
              <w:left w:val="nil"/>
              <w:bottom w:val="single" w:color="auto" w:sz="4" w:space="0"/>
              <w:right w:val="single" w:color="auto" w:sz="4" w:space="0"/>
            </w:tcBorders>
            <w:vAlign w:val="center"/>
          </w:tcPr>
          <w:p w14:paraId="3BD09946">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X＜5</w:t>
            </w:r>
          </w:p>
        </w:tc>
      </w:tr>
      <w:tr w14:paraId="344836BD">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vAlign w:val="center"/>
          </w:tcPr>
          <w:p w14:paraId="0FEA5434">
            <w:pPr>
              <w:widowControl/>
              <w:jc w:val="center"/>
              <w:rPr>
                <w:rFonts w:ascii="宋体" w:hAnsi="宋体" w:cs="宋体"/>
                <w:b/>
                <w:bCs/>
                <w:color w:val="auto"/>
                <w:kern w:val="0"/>
                <w:sz w:val="18"/>
                <w:szCs w:val="18"/>
                <w:highlight w:val="none"/>
              </w:rPr>
            </w:pPr>
          </w:p>
        </w:tc>
        <w:tc>
          <w:tcPr>
            <w:tcW w:w="1985" w:type="dxa"/>
            <w:tcBorders>
              <w:top w:val="nil"/>
              <w:left w:val="nil"/>
              <w:bottom w:val="single" w:color="auto" w:sz="4" w:space="0"/>
              <w:right w:val="single" w:color="auto" w:sz="4" w:space="0"/>
            </w:tcBorders>
            <w:vAlign w:val="center"/>
          </w:tcPr>
          <w:p w14:paraId="13F592E4">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14:paraId="5AA33636">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3" w:type="dxa"/>
            <w:tcBorders>
              <w:top w:val="nil"/>
              <w:left w:val="nil"/>
              <w:bottom w:val="single" w:color="auto" w:sz="4" w:space="0"/>
              <w:right w:val="single" w:color="auto" w:sz="4" w:space="0"/>
            </w:tcBorders>
            <w:vAlign w:val="center"/>
          </w:tcPr>
          <w:p w14:paraId="044A6C05">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5000≤Y＜40000</w:t>
            </w:r>
          </w:p>
        </w:tc>
        <w:tc>
          <w:tcPr>
            <w:tcW w:w="1702" w:type="dxa"/>
            <w:tcBorders>
              <w:top w:val="nil"/>
              <w:left w:val="nil"/>
              <w:bottom w:val="single" w:color="auto" w:sz="4" w:space="0"/>
              <w:right w:val="single" w:color="auto" w:sz="4" w:space="0"/>
            </w:tcBorders>
            <w:vAlign w:val="center"/>
          </w:tcPr>
          <w:p w14:paraId="0788248E">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1134" w:type="dxa"/>
            <w:tcBorders>
              <w:top w:val="nil"/>
              <w:left w:val="nil"/>
              <w:bottom w:val="single" w:color="auto" w:sz="4" w:space="0"/>
              <w:right w:val="single" w:color="auto" w:sz="4" w:space="0"/>
            </w:tcBorders>
            <w:vAlign w:val="center"/>
          </w:tcPr>
          <w:p w14:paraId="1FFBCD26">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w:t>
            </w:r>
          </w:p>
        </w:tc>
      </w:tr>
      <w:tr w14:paraId="7A65F76A">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vAlign w:val="center"/>
          </w:tcPr>
          <w:p w14:paraId="65AEF368">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零售业</w:t>
            </w:r>
          </w:p>
        </w:tc>
        <w:tc>
          <w:tcPr>
            <w:tcW w:w="1985" w:type="dxa"/>
            <w:tcBorders>
              <w:top w:val="nil"/>
              <w:left w:val="nil"/>
              <w:bottom w:val="single" w:color="auto" w:sz="4" w:space="0"/>
              <w:right w:val="single" w:color="auto" w:sz="4" w:space="0"/>
            </w:tcBorders>
            <w:vAlign w:val="center"/>
          </w:tcPr>
          <w:p w14:paraId="3D22DB9F">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14:paraId="20C6D439">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43" w:type="dxa"/>
            <w:tcBorders>
              <w:top w:val="nil"/>
              <w:left w:val="nil"/>
              <w:bottom w:val="single" w:color="auto" w:sz="4" w:space="0"/>
              <w:right w:val="single" w:color="auto" w:sz="4" w:space="0"/>
            </w:tcBorders>
            <w:vAlign w:val="center"/>
          </w:tcPr>
          <w:p w14:paraId="11398A15">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50≤X＜300</w:t>
            </w:r>
          </w:p>
        </w:tc>
        <w:tc>
          <w:tcPr>
            <w:tcW w:w="1702" w:type="dxa"/>
            <w:tcBorders>
              <w:top w:val="nil"/>
              <w:left w:val="nil"/>
              <w:bottom w:val="single" w:color="auto" w:sz="4" w:space="0"/>
              <w:right w:val="single" w:color="auto" w:sz="4" w:space="0"/>
            </w:tcBorders>
            <w:vAlign w:val="center"/>
          </w:tcPr>
          <w:p w14:paraId="6C28C207">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10≤X＜50</w:t>
            </w:r>
          </w:p>
        </w:tc>
        <w:tc>
          <w:tcPr>
            <w:tcW w:w="1134" w:type="dxa"/>
            <w:tcBorders>
              <w:top w:val="nil"/>
              <w:left w:val="nil"/>
              <w:bottom w:val="single" w:color="auto" w:sz="4" w:space="0"/>
              <w:right w:val="single" w:color="auto" w:sz="4" w:space="0"/>
            </w:tcBorders>
            <w:vAlign w:val="center"/>
          </w:tcPr>
          <w:p w14:paraId="2A70F8E5">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56E32630">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vAlign w:val="center"/>
          </w:tcPr>
          <w:p w14:paraId="7E1F8998">
            <w:pPr>
              <w:widowControl/>
              <w:jc w:val="center"/>
              <w:rPr>
                <w:rFonts w:ascii="宋体" w:hAnsi="宋体" w:cs="宋体"/>
                <w:b/>
                <w:bCs/>
                <w:color w:val="auto"/>
                <w:kern w:val="0"/>
                <w:sz w:val="18"/>
                <w:szCs w:val="18"/>
                <w:highlight w:val="none"/>
              </w:rPr>
            </w:pPr>
          </w:p>
        </w:tc>
        <w:tc>
          <w:tcPr>
            <w:tcW w:w="1985" w:type="dxa"/>
            <w:tcBorders>
              <w:top w:val="nil"/>
              <w:left w:val="nil"/>
              <w:bottom w:val="single" w:color="auto" w:sz="4" w:space="0"/>
              <w:right w:val="single" w:color="auto" w:sz="4" w:space="0"/>
            </w:tcBorders>
            <w:vAlign w:val="center"/>
          </w:tcPr>
          <w:p w14:paraId="2DA1DF8F">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14:paraId="09F0C9CD">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3" w:type="dxa"/>
            <w:tcBorders>
              <w:top w:val="nil"/>
              <w:left w:val="nil"/>
              <w:bottom w:val="single" w:color="auto" w:sz="4" w:space="0"/>
              <w:right w:val="single" w:color="auto" w:sz="4" w:space="0"/>
            </w:tcBorders>
            <w:vAlign w:val="center"/>
          </w:tcPr>
          <w:p w14:paraId="55CCDC6D">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702" w:type="dxa"/>
            <w:tcBorders>
              <w:top w:val="nil"/>
              <w:left w:val="nil"/>
              <w:bottom w:val="single" w:color="auto" w:sz="4" w:space="0"/>
              <w:right w:val="single" w:color="auto" w:sz="4" w:space="0"/>
            </w:tcBorders>
            <w:vAlign w:val="center"/>
          </w:tcPr>
          <w:p w14:paraId="21D613A3">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100≤Y＜500</w:t>
            </w:r>
          </w:p>
        </w:tc>
        <w:tc>
          <w:tcPr>
            <w:tcW w:w="1134" w:type="dxa"/>
            <w:tcBorders>
              <w:top w:val="nil"/>
              <w:left w:val="nil"/>
              <w:bottom w:val="single" w:color="auto" w:sz="4" w:space="0"/>
              <w:right w:val="single" w:color="auto" w:sz="4" w:space="0"/>
            </w:tcBorders>
            <w:vAlign w:val="center"/>
          </w:tcPr>
          <w:p w14:paraId="09E01495">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3A3F6278">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vAlign w:val="center"/>
          </w:tcPr>
          <w:p w14:paraId="1FB7550A">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交通运输业</w:t>
            </w:r>
          </w:p>
        </w:tc>
        <w:tc>
          <w:tcPr>
            <w:tcW w:w="1985" w:type="dxa"/>
            <w:tcBorders>
              <w:top w:val="nil"/>
              <w:left w:val="nil"/>
              <w:bottom w:val="single" w:color="auto" w:sz="4" w:space="0"/>
              <w:right w:val="single" w:color="auto" w:sz="4" w:space="0"/>
            </w:tcBorders>
            <w:vAlign w:val="center"/>
          </w:tcPr>
          <w:p w14:paraId="52446EAC">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14:paraId="5CC58200">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43" w:type="dxa"/>
            <w:tcBorders>
              <w:top w:val="nil"/>
              <w:left w:val="nil"/>
              <w:bottom w:val="single" w:color="auto" w:sz="4" w:space="0"/>
              <w:right w:val="single" w:color="auto" w:sz="4" w:space="0"/>
            </w:tcBorders>
            <w:vAlign w:val="center"/>
          </w:tcPr>
          <w:p w14:paraId="1A086C47">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702" w:type="dxa"/>
            <w:tcBorders>
              <w:top w:val="nil"/>
              <w:left w:val="nil"/>
              <w:bottom w:val="single" w:color="auto" w:sz="4" w:space="0"/>
              <w:right w:val="single" w:color="auto" w:sz="4" w:space="0"/>
            </w:tcBorders>
            <w:vAlign w:val="center"/>
          </w:tcPr>
          <w:p w14:paraId="4521BFD3">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1134" w:type="dxa"/>
            <w:tcBorders>
              <w:top w:val="nil"/>
              <w:left w:val="nil"/>
              <w:bottom w:val="single" w:color="auto" w:sz="4" w:space="0"/>
              <w:right w:val="single" w:color="auto" w:sz="4" w:space="0"/>
            </w:tcBorders>
            <w:vAlign w:val="center"/>
          </w:tcPr>
          <w:p w14:paraId="241FC794">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5B8B2AAC">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vAlign w:val="center"/>
          </w:tcPr>
          <w:p w14:paraId="738EA68D">
            <w:pPr>
              <w:widowControl/>
              <w:jc w:val="center"/>
              <w:rPr>
                <w:rFonts w:ascii="宋体" w:hAnsi="宋体" w:cs="宋体"/>
                <w:b/>
                <w:bCs/>
                <w:color w:val="auto"/>
                <w:kern w:val="0"/>
                <w:sz w:val="18"/>
                <w:szCs w:val="18"/>
                <w:highlight w:val="none"/>
              </w:rPr>
            </w:pPr>
          </w:p>
        </w:tc>
        <w:tc>
          <w:tcPr>
            <w:tcW w:w="1985" w:type="dxa"/>
            <w:tcBorders>
              <w:top w:val="nil"/>
              <w:left w:val="nil"/>
              <w:bottom w:val="single" w:color="auto" w:sz="4" w:space="0"/>
              <w:right w:val="single" w:color="auto" w:sz="4" w:space="0"/>
            </w:tcBorders>
            <w:vAlign w:val="center"/>
          </w:tcPr>
          <w:p w14:paraId="66D1AF2E">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14:paraId="06DBE4F7">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3" w:type="dxa"/>
            <w:tcBorders>
              <w:top w:val="nil"/>
              <w:left w:val="nil"/>
              <w:bottom w:val="single" w:color="auto" w:sz="4" w:space="0"/>
              <w:right w:val="single" w:color="auto" w:sz="4" w:space="0"/>
            </w:tcBorders>
            <w:vAlign w:val="center"/>
          </w:tcPr>
          <w:p w14:paraId="577B640C">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3000≤Y＜30000</w:t>
            </w:r>
          </w:p>
        </w:tc>
        <w:tc>
          <w:tcPr>
            <w:tcW w:w="1702" w:type="dxa"/>
            <w:tcBorders>
              <w:top w:val="nil"/>
              <w:left w:val="nil"/>
              <w:bottom w:val="single" w:color="auto" w:sz="4" w:space="0"/>
              <w:right w:val="single" w:color="auto" w:sz="4" w:space="0"/>
            </w:tcBorders>
            <w:vAlign w:val="center"/>
          </w:tcPr>
          <w:p w14:paraId="279C83A9">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200≤Y＜3000</w:t>
            </w:r>
          </w:p>
        </w:tc>
        <w:tc>
          <w:tcPr>
            <w:tcW w:w="1134" w:type="dxa"/>
            <w:tcBorders>
              <w:top w:val="nil"/>
              <w:left w:val="nil"/>
              <w:bottom w:val="single" w:color="auto" w:sz="4" w:space="0"/>
              <w:right w:val="single" w:color="auto" w:sz="4" w:space="0"/>
            </w:tcBorders>
            <w:vAlign w:val="center"/>
          </w:tcPr>
          <w:p w14:paraId="14E289EC">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w:t>
            </w:r>
          </w:p>
        </w:tc>
      </w:tr>
      <w:tr w14:paraId="0DA2014F">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vAlign w:val="center"/>
          </w:tcPr>
          <w:p w14:paraId="2DF90A88">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仓储业</w:t>
            </w:r>
          </w:p>
        </w:tc>
        <w:tc>
          <w:tcPr>
            <w:tcW w:w="1985" w:type="dxa"/>
            <w:tcBorders>
              <w:top w:val="nil"/>
              <w:left w:val="nil"/>
              <w:bottom w:val="single" w:color="auto" w:sz="4" w:space="0"/>
              <w:right w:val="single" w:color="auto" w:sz="4" w:space="0"/>
            </w:tcBorders>
            <w:vAlign w:val="center"/>
          </w:tcPr>
          <w:p w14:paraId="6BD64E14">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14:paraId="42CF9994">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43" w:type="dxa"/>
            <w:tcBorders>
              <w:top w:val="nil"/>
              <w:left w:val="nil"/>
              <w:bottom w:val="single" w:color="auto" w:sz="4" w:space="0"/>
              <w:right w:val="single" w:color="auto" w:sz="4" w:space="0"/>
            </w:tcBorders>
            <w:vAlign w:val="center"/>
          </w:tcPr>
          <w:p w14:paraId="6BC5996A">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100≤X＜200</w:t>
            </w:r>
          </w:p>
        </w:tc>
        <w:tc>
          <w:tcPr>
            <w:tcW w:w="1702" w:type="dxa"/>
            <w:tcBorders>
              <w:top w:val="nil"/>
              <w:left w:val="nil"/>
              <w:bottom w:val="single" w:color="auto" w:sz="4" w:space="0"/>
              <w:right w:val="single" w:color="auto" w:sz="4" w:space="0"/>
            </w:tcBorders>
            <w:vAlign w:val="center"/>
          </w:tcPr>
          <w:p w14:paraId="40EB1B89">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20≤X＜100</w:t>
            </w:r>
          </w:p>
        </w:tc>
        <w:tc>
          <w:tcPr>
            <w:tcW w:w="1134" w:type="dxa"/>
            <w:tcBorders>
              <w:top w:val="nil"/>
              <w:left w:val="nil"/>
              <w:bottom w:val="single" w:color="auto" w:sz="4" w:space="0"/>
              <w:right w:val="single" w:color="auto" w:sz="4" w:space="0"/>
            </w:tcBorders>
            <w:vAlign w:val="center"/>
          </w:tcPr>
          <w:p w14:paraId="66770845">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338385B8">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vAlign w:val="center"/>
          </w:tcPr>
          <w:p w14:paraId="182D767B">
            <w:pPr>
              <w:widowControl/>
              <w:jc w:val="center"/>
              <w:rPr>
                <w:rFonts w:ascii="宋体" w:hAnsi="宋体" w:cs="宋体"/>
                <w:b/>
                <w:bCs/>
                <w:color w:val="auto"/>
                <w:kern w:val="0"/>
                <w:sz w:val="18"/>
                <w:szCs w:val="18"/>
                <w:highlight w:val="none"/>
              </w:rPr>
            </w:pPr>
          </w:p>
        </w:tc>
        <w:tc>
          <w:tcPr>
            <w:tcW w:w="1985" w:type="dxa"/>
            <w:tcBorders>
              <w:top w:val="nil"/>
              <w:left w:val="nil"/>
              <w:bottom w:val="single" w:color="auto" w:sz="4" w:space="0"/>
              <w:right w:val="single" w:color="auto" w:sz="4" w:space="0"/>
            </w:tcBorders>
            <w:vAlign w:val="center"/>
          </w:tcPr>
          <w:p w14:paraId="71770E66">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14:paraId="5BE199C2">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3" w:type="dxa"/>
            <w:tcBorders>
              <w:top w:val="nil"/>
              <w:left w:val="nil"/>
              <w:bottom w:val="single" w:color="auto" w:sz="4" w:space="0"/>
              <w:right w:val="single" w:color="auto" w:sz="4" w:space="0"/>
            </w:tcBorders>
            <w:vAlign w:val="center"/>
          </w:tcPr>
          <w:p w14:paraId="73EA6CD2">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1000≤Y＜30000</w:t>
            </w:r>
          </w:p>
        </w:tc>
        <w:tc>
          <w:tcPr>
            <w:tcW w:w="1702" w:type="dxa"/>
            <w:tcBorders>
              <w:top w:val="nil"/>
              <w:left w:val="nil"/>
              <w:bottom w:val="single" w:color="auto" w:sz="4" w:space="0"/>
              <w:right w:val="single" w:color="auto" w:sz="4" w:space="0"/>
            </w:tcBorders>
            <w:vAlign w:val="center"/>
          </w:tcPr>
          <w:p w14:paraId="24E68058">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1134" w:type="dxa"/>
            <w:tcBorders>
              <w:top w:val="nil"/>
              <w:left w:val="nil"/>
              <w:bottom w:val="single" w:color="auto" w:sz="4" w:space="0"/>
              <w:right w:val="single" w:color="auto" w:sz="4" w:space="0"/>
            </w:tcBorders>
            <w:vAlign w:val="center"/>
          </w:tcPr>
          <w:p w14:paraId="1AA70E27">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482ED46A">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vAlign w:val="center"/>
          </w:tcPr>
          <w:p w14:paraId="1CCEBB90">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邮政业</w:t>
            </w:r>
          </w:p>
        </w:tc>
        <w:tc>
          <w:tcPr>
            <w:tcW w:w="1985" w:type="dxa"/>
            <w:tcBorders>
              <w:top w:val="nil"/>
              <w:left w:val="nil"/>
              <w:bottom w:val="single" w:color="auto" w:sz="4" w:space="0"/>
              <w:right w:val="single" w:color="auto" w:sz="4" w:space="0"/>
            </w:tcBorders>
            <w:vAlign w:val="center"/>
          </w:tcPr>
          <w:p w14:paraId="02663B89">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14:paraId="6E1B9454">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43" w:type="dxa"/>
            <w:tcBorders>
              <w:top w:val="nil"/>
              <w:left w:val="nil"/>
              <w:bottom w:val="single" w:color="auto" w:sz="4" w:space="0"/>
              <w:right w:val="single" w:color="auto" w:sz="4" w:space="0"/>
            </w:tcBorders>
            <w:vAlign w:val="center"/>
          </w:tcPr>
          <w:p w14:paraId="00133DA7">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702" w:type="dxa"/>
            <w:tcBorders>
              <w:top w:val="nil"/>
              <w:left w:val="nil"/>
              <w:bottom w:val="single" w:color="auto" w:sz="4" w:space="0"/>
              <w:right w:val="single" w:color="auto" w:sz="4" w:space="0"/>
            </w:tcBorders>
            <w:vAlign w:val="center"/>
          </w:tcPr>
          <w:p w14:paraId="1D667915">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1134" w:type="dxa"/>
            <w:tcBorders>
              <w:top w:val="nil"/>
              <w:left w:val="nil"/>
              <w:bottom w:val="single" w:color="auto" w:sz="4" w:space="0"/>
              <w:right w:val="single" w:color="auto" w:sz="4" w:space="0"/>
            </w:tcBorders>
            <w:vAlign w:val="center"/>
          </w:tcPr>
          <w:p w14:paraId="03220492">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667F6EBB">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vAlign w:val="center"/>
          </w:tcPr>
          <w:p w14:paraId="744102ED">
            <w:pPr>
              <w:widowControl/>
              <w:jc w:val="center"/>
              <w:rPr>
                <w:rFonts w:ascii="宋体" w:hAnsi="宋体" w:cs="宋体"/>
                <w:b/>
                <w:bCs/>
                <w:color w:val="auto"/>
                <w:kern w:val="0"/>
                <w:sz w:val="18"/>
                <w:szCs w:val="18"/>
                <w:highlight w:val="none"/>
              </w:rPr>
            </w:pPr>
          </w:p>
        </w:tc>
        <w:tc>
          <w:tcPr>
            <w:tcW w:w="1985" w:type="dxa"/>
            <w:tcBorders>
              <w:top w:val="nil"/>
              <w:left w:val="nil"/>
              <w:bottom w:val="single" w:color="auto" w:sz="4" w:space="0"/>
              <w:right w:val="single" w:color="auto" w:sz="4" w:space="0"/>
            </w:tcBorders>
            <w:vAlign w:val="center"/>
          </w:tcPr>
          <w:p w14:paraId="393CF563">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14:paraId="3E2B5B70">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3" w:type="dxa"/>
            <w:tcBorders>
              <w:top w:val="nil"/>
              <w:left w:val="nil"/>
              <w:bottom w:val="single" w:color="auto" w:sz="4" w:space="0"/>
              <w:right w:val="single" w:color="auto" w:sz="4" w:space="0"/>
            </w:tcBorders>
            <w:vAlign w:val="center"/>
          </w:tcPr>
          <w:p w14:paraId="0EA09A4F">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2000≤Y＜30000</w:t>
            </w:r>
          </w:p>
        </w:tc>
        <w:tc>
          <w:tcPr>
            <w:tcW w:w="1702" w:type="dxa"/>
            <w:tcBorders>
              <w:top w:val="nil"/>
              <w:left w:val="nil"/>
              <w:bottom w:val="single" w:color="auto" w:sz="4" w:space="0"/>
              <w:right w:val="single" w:color="auto" w:sz="4" w:space="0"/>
            </w:tcBorders>
            <w:vAlign w:val="center"/>
          </w:tcPr>
          <w:p w14:paraId="364CCAD1">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1134" w:type="dxa"/>
            <w:tcBorders>
              <w:top w:val="nil"/>
              <w:left w:val="nil"/>
              <w:bottom w:val="single" w:color="auto" w:sz="4" w:space="0"/>
              <w:right w:val="single" w:color="auto" w:sz="4" w:space="0"/>
            </w:tcBorders>
            <w:vAlign w:val="center"/>
          </w:tcPr>
          <w:p w14:paraId="5B6360FE">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544A0510">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vAlign w:val="center"/>
          </w:tcPr>
          <w:p w14:paraId="4A873666">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住宿业</w:t>
            </w:r>
          </w:p>
        </w:tc>
        <w:tc>
          <w:tcPr>
            <w:tcW w:w="1985" w:type="dxa"/>
            <w:tcBorders>
              <w:top w:val="nil"/>
              <w:left w:val="nil"/>
              <w:bottom w:val="single" w:color="auto" w:sz="4" w:space="0"/>
              <w:right w:val="single" w:color="auto" w:sz="4" w:space="0"/>
            </w:tcBorders>
            <w:vAlign w:val="center"/>
          </w:tcPr>
          <w:p w14:paraId="08C89708">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14:paraId="51CE779E">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43" w:type="dxa"/>
            <w:tcBorders>
              <w:top w:val="nil"/>
              <w:left w:val="nil"/>
              <w:bottom w:val="single" w:color="auto" w:sz="4" w:space="0"/>
              <w:right w:val="single" w:color="auto" w:sz="4" w:space="0"/>
            </w:tcBorders>
            <w:vAlign w:val="center"/>
          </w:tcPr>
          <w:p w14:paraId="3A909FD7">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702" w:type="dxa"/>
            <w:tcBorders>
              <w:top w:val="nil"/>
              <w:left w:val="nil"/>
              <w:bottom w:val="single" w:color="auto" w:sz="4" w:space="0"/>
              <w:right w:val="single" w:color="auto" w:sz="4" w:space="0"/>
            </w:tcBorders>
            <w:vAlign w:val="center"/>
          </w:tcPr>
          <w:p w14:paraId="16A2EAA0">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134" w:type="dxa"/>
            <w:tcBorders>
              <w:top w:val="nil"/>
              <w:left w:val="nil"/>
              <w:bottom w:val="single" w:color="auto" w:sz="4" w:space="0"/>
              <w:right w:val="single" w:color="auto" w:sz="4" w:space="0"/>
            </w:tcBorders>
            <w:vAlign w:val="center"/>
          </w:tcPr>
          <w:p w14:paraId="69ECBA8E">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0417851D">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vAlign w:val="center"/>
          </w:tcPr>
          <w:p w14:paraId="67D594BF">
            <w:pPr>
              <w:widowControl/>
              <w:jc w:val="center"/>
              <w:rPr>
                <w:rFonts w:ascii="宋体" w:hAnsi="宋体" w:cs="宋体"/>
                <w:b/>
                <w:bCs/>
                <w:color w:val="auto"/>
                <w:kern w:val="0"/>
                <w:sz w:val="18"/>
                <w:szCs w:val="18"/>
                <w:highlight w:val="none"/>
              </w:rPr>
            </w:pPr>
          </w:p>
        </w:tc>
        <w:tc>
          <w:tcPr>
            <w:tcW w:w="1985" w:type="dxa"/>
            <w:tcBorders>
              <w:top w:val="nil"/>
              <w:left w:val="nil"/>
              <w:bottom w:val="single" w:color="auto" w:sz="4" w:space="0"/>
              <w:right w:val="single" w:color="auto" w:sz="4" w:space="0"/>
            </w:tcBorders>
            <w:vAlign w:val="center"/>
          </w:tcPr>
          <w:p w14:paraId="673A5A43">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14:paraId="6D2E162A">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3" w:type="dxa"/>
            <w:tcBorders>
              <w:top w:val="nil"/>
              <w:left w:val="nil"/>
              <w:bottom w:val="single" w:color="auto" w:sz="4" w:space="0"/>
              <w:right w:val="single" w:color="auto" w:sz="4" w:space="0"/>
            </w:tcBorders>
            <w:vAlign w:val="center"/>
          </w:tcPr>
          <w:p w14:paraId="50847FDC">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702" w:type="dxa"/>
            <w:tcBorders>
              <w:top w:val="nil"/>
              <w:left w:val="nil"/>
              <w:bottom w:val="single" w:color="auto" w:sz="4" w:space="0"/>
              <w:right w:val="single" w:color="auto" w:sz="4" w:space="0"/>
            </w:tcBorders>
            <w:vAlign w:val="center"/>
          </w:tcPr>
          <w:p w14:paraId="7FA87178">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1134" w:type="dxa"/>
            <w:tcBorders>
              <w:top w:val="nil"/>
              <w:left w:val="nil"/>
              <w:bottom w:val="single" w:color="auto" w:sz="4" w:space="0"/>
              <w:right w:val="single" w:color="auto" w:sz="4" w:space="0"/>
            </w:tcBorders>
            <w:vAlign w:val="center"/>
          </w:tcPr>
          <w:p w14:paraId="4FF737E0">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00878263">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vAlign w:val="center"/>
          </w:tcPr>
          <w:p w14:paraId="28FF5C41">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餐饮业</w:t>
            </w:r>
          </w:p>
        </w:tc>
        <w:tc>
          <w:tcPr>
            <w:tcW w:w="1985" w:type="dxa"/>
            <w:tcBorders>
              <w:top w:val="nil"/>
              <w:left w:val="nil"/>
              <w:bottom w:val="single" w:color="auto" w:sz="4" w:space="0"/>
              <w:right w:val="single" w:color="auto" w:sz="4" w:space="0"/>
            </w:tcBorders>
            <w:vAlign w:val="center"/>
          </w:tcPr>
          <w:p w14:paraId="72D4B2CC">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14:paraId="71EF49DA">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43" w:type="dxa"/>
            <w:tcBorders>
              <w:top w:val="nil"/>
              <w:left w:val="nil"/>
              <w:bottom w:val="single" w:color="auto" w:sz="4" w:space="0"/>
              <w:right w:val="single" w:color="auto" w:sz="4" w:space="0"/>
            </w:tcBorders>
            <w:vAlign w:val="center"/>
          </w:tcPr>
          <w:p w14:paraId="2F534EBA">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702" w:type="dxa"/>
            <w:tcBorders>
              <w:top w:val="nil"/>
              <w:left w:val="nil"/>
              <w:bottom w:val="single" w:color="auto" w:sz="4" w:space="0"/>
              <w:right w:val="single" w:color="auto" w:sz="4" w:space="0"/>
            </w:tcBorders>
            <w:vAlign w:val="center"/>
          </w:tcPr>
          <w:p w14:paraId="11B4BD23">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134" w:type="dxa"/>
            <w:tcBorders>
              <w:top w:val="nil"/>
              <w:left w:val="nil"/>
              <w:bottom w:val="single" w:color="auto" w:sz="4" w:space="0"/>
              <w:right w:val="single" w:color="auto" w:sz="4" w:space="0"/>
            </w:tcBorders>
            <w:vAlign w:val="center"/>
          </w:tcPr>
          <w:p w14:paraId="6DCA31A5">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4D9AEE13">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vAlign w:val="center"/>
          </w:tcPr>
          <w:p w14:paraId="433C6DD9">
            <w:pPr>
              <w:widowControl/>
              <w:jc w:val="center"/>
              <w:rPr>
                <w:rFonts w:ascii="宋体" w:hAnsi="宋体" w:cs="宋体"/>
                <w:b/>
                <w:bCs/>
                <w:color w:val="auto"/>
                <w:kern w:val="0"/>
                <w:sz w:val="18"/>
                <w:szCs w:val="18"/>
                <w:highlight w:val="none"/>
              </w:rPr>
            </w:pPr>
          </w:p>
        </w:tc>
        <w:tc>
          <w:tcPr>
            <w:tcW w:w="1985" w:type="dxa"/>
            <w:tcBorders>
              <w:top w:val="nil"/>
              <w:left w:val="nil"/>
              <w:bottom w:val="single" w:color="auto" w:sz="4" w:space="0"/>
              <w:right w:val="single" w:color="auto" w:sz="4" w:space="0"/>
            </w:tcBorders>
            <w:vAlign w:val="center"/>
          </w:tcPr>
          <w:p w14:paraId="13905935">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14:paraId="1BC235F8">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3" w:type="dxa"/>
            <w:tcBorders>
              <w:top w:val="nil"/>
              <w:left w:val="nil"/>
              <w:bottom w:val="single" w:color="auto" w:sz="4" w:space="0"/>
              <w:right w:val="single" w:color="auto" w:sz="4" w:space="0"/>
            </w:tcBorders>
            <w:vAlign w:val="center"/>
          </w:tcPr>
          <w:p w14:paraId="63F4202A">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702" w:type="dxa"/>
            <w:tcBorders>
              <w:top w:val="nil"/>
              <w:left w:val="nil"/>
              <w:bottom w:val="single" w:color="auto" w:sz="4" w:space="0"/>
              <w:right w:val="single" w:color="auto" w:sz="4" w:space="0"/>
            </w:tcBorders>
            <w:vAlign w:val="center"/>
          </w:tcPr>
          <w:p w14:paraId="4707C66F">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1134" w:type="dxa"/>
            <w:tcBorders>
              <w:top w:val="nil"/>
              <w:left w:val="nil"/>
              <w:bottom w:val="single" w:color="auto" w:sz="4" w:space="0"/>
              <w:right w:val="single" w:color="auto" w:sz="4" w:space="0"/>
            </w:tcBorders>
            <w:vAlign w:val="center"/>
          </w:tcPr>
          <w:p w14:paraId="3B075FF2">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5EF7538C">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vAlign w:val="center"/>
          </w:tcPr>
          <w:p w14:paraId="6269E082">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信息传输业</w:t>
            </w:r>
          </w:p>
        </w:tc>
        <w:tc>
          <w:tcPr>
            <w:tcW w:w="1985" w:type="dxa"/>
            <w:tcBorders>
              <w:top w:val="nil"/>
              <w:left w:val="nil"/>
              <w:bottom w:val="single" w:color="auto" w:sz="4" w:space="0"/>
              <w:right w:val="single" w:color="auto" w:sz="4" w:space="0"/>
            </w:tcBorders>
            <w:vAlign w:val="center"/>
          </w:tcPr>
          <w:p w14:paraId="6646EE78">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14:paraId="2005D438">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43" w:type="dxa"/>
            <w:tcBorders>
              <w:top w:val="nil"/>
              <w:left w:val="nil"/>
              <w:bottom w:val="single" w:color="auto" w:sz="4" w:space="0"/>
              <w:right w:val="single" w:color="auto" w:sz="4" w:space="0"/>
            </w:tcBorders>
            <w:vAlign w:val="center"/>
          </w:tcPr>
          <w:p w14:paraId="682A2B5B">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100≤X＜2000</w:t>
            </w:r>
          </w:p>
        </w:tc>
        <w:tc>
          <w:tcPr>
            <w:tcW w:w="1702" w:type="dxa"/>
            <w:tcBorders>
              <w:top w:val="nil"/>
              <w:left w:val="nil"/>
              <w:bottom w:val="single" w:color="auto" w:sz="4" w:space="0"/>
              <w:right w:val="single" w:color="auto" w:sz="4" w:space="0"/>
            </w:tcBorders>
            <w:vAlign w:val="center"/>
          </w:tcPr>
          <w:p w14:paraId="25F5C663">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134" w:type="dxa"/>
            <w:tcBorders>
              <w:top w:val="nil"/>
              <w:left w:val="nil"/>
              <w:bottom w:val="single" w:color="auto" w:sz="4" w:space="0"/>
              <w:right w:val="single" w:color="auto" w:sz="4" w:space="0"/>
            </w:tcBorders>
            <w:vAlign w:val="center"/>
          </w:tcPr>
          <w:p w14:paraId="00DD0B60">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5FB356D9">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vAlign w:val="center"/>
          </w:tcPr>
          <w:p w14:paraId="1DC91ADA">
            <w:pPr>
              <w:widowControl/>
              <w:jc w:val="center"/>
              <w:rPr>
                <w:rFonts w:ascii="宋体" w:hAnsi="宋体" w:cs="宋体"/>
                <w:b/>
                <w:bCs/>
                <w:color w:val="auto"/>
                <w:kern w:val="0"/>
                <w:sz w:val="18"/>
                <w:szCs w:val="18"/>
                <w:highlight w:val="none"/>
              </w:rPr>
            </w:pPr>
          </w:p>
        </w:tc>
        <w:tc>
          <w:tcPr>
            <w:tcW w:w="1985" w:type="dxa"/>
            <w:tcBorders>
              <w:top w:val="nil"/>
              <w:left w:val="nil"/>
              <w:bottom w:val="single" w:color="auto" w:sz="4" w:space="0"/>
              <w:right w:val="single" w:color="auto" w:sz="4" w:space="0"/>
            </w:tcBorders>
            <w:vAlign w:val="center"/>
          </w:tcPr>
          <w:p w14:paraId="6B7A87EC">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14:paraId="4FD8FAF9">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3" w:type="dxa"/>
            <w:tcBorders>
              <w:top w:val="nil"/>
              <w:left w:val="nil"/>
              <w:bottom w:val="single" w:color="auto" w:sz="4" w:space="0"/>
              <w:right w:val="single" w:color="auto" w:sz="4" w:space="0"/>
            </w:tcBorders>
            <w:vAlign w:val="center"/>
          </w:tcPr>
          <w:p w14:paraId="677E768B">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1000≤Y＜100000</w:t>
            </w:r>
          </w:p>
        </w:tc>
        <w:tc>
          <w:tcPr>
            <w:tcW w:w="1702" w:type="dxa"/>
            <w:tcBorders>
              <w:top w:val="nil"/>
              <w:left w:val="nil"/>
              <w:bottom w:val="single" w:color="auto" w:sz="4" w:space="0"/>
              <w:right w:val="single" w:color="auto" w:sz="4" w:space="0"/>
            </w:tcBorders>
            <w:vAlign w:val="center"/>
          </w:tcPr>
          <w:p w14:paraId="5B8924DC">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1134" w:type="dxa"/>
            <w:tcBorders>
              <w:top w:val="nil"/>
              <w:left w:val="nil"/>
              <w:bottom w:val="single" w:color="auto" w:sz="4" w:space="0"/>
              <w:right w:val="single" w:color="auto" w:sz="4" w:space="0"/>
            </w:tcBorders>
            <w:vAlign w:val="center"/>
          </w:tcPr>
          <w:p w14:paraId="508D6294">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6F236286">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vAlign w:val="center"/>
          </w:tcPr>
          <w:p w14:paraId="5E9A9E72">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软件和信息技术服务业</w:t>
            </w:r>
          </w:p>
        </w:tc>
        <w:tc>
          <w:tcPr>
            <w:tcW w:w="1985" w:type="dxa"/>
            <w:tcBorders>
              <w:top w:val="nil"/>
              <w:left w:val="nil"/>
              <w:bottom w:val="single" w:color="auto" w:sz="4" w:space="0"/>
              <w:right w:val="single" w:color="auto" w:sz="4" w:space="0"/>
            </w:tcBorders>
            <w:vAlign w:val="center"/>
          </w:tcPr>
          <w:p w14:paraId="5A16DF6C">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14:paraId="186561CB">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43" w:type="dxa"/>
            <w:tcBorders>
              <w:top w:val="nil"/>
              <w:left w:val="nil"/>
              <w:bottom w:val="single" w:color="auto" w:sz="4" w:space="0"/>
              <w:right w:val="single" w:color="auto" w:sz="4" w:space="0"/>
            </w:tcBorders>
            <w:vAlign w:val="center"/>
          </w:tcPr>
          <w:p w14:paraId="5A54ED6C">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702" w:type="dxa"/>
            <w:tcBorders>
              <w:top w:val="nil"/>
              <w:left w:val="nil"/>
              <w:bottom w:val="single" w:color="auto" w:sz="4" w:space="0"/>
              <w:right w:val="single" w:color="auto" w:sz="4" w:space="0"/>
            </w:tcBorders>
            <w:vAlign w:val="center"/>
          </w:tcPr>
          <w:p w14:paraId="1E8D9120">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134" w:type="dxa"/>
            <w:tcBorders>
              <w:top w:val="nil"/>
              <w:left w:val="nil"/>
              <w:bottom w:val="single" w:color="auto" w:sz="4" w:space="0"/>
              <w:right w:val="single" w:color="auto" w:sz="4" w:space="0"/>
            </w:tcBorders>
            <w:vAlign w:val="center"/>
          </w:tcPr>
          <w:p w14:paraId="1B4D5BC8">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44D1A5EF">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vAlign w:val="center"/>
          </w:tcPr>
          <w:p w14:paraId="13BC3235">
            <w:pPr>
              <w:widowControl/>
              <w:jc w:val="center"/>
              <w:rPr>
                <w:rFonts w:ascii="宋体" w:hAnsi="宋体" w:cs="宋体"/>
                <w:b/>
                <w:bCs/>
                <w:color w:val="auto"/>
                <w:kern w:val="0"/>
                <w:sz w:val="18"/>
                <w:szCs w:val="18"/>
                <w:highlight w:val="none"/>
              </w:rPr>
            </w:pPr>
          </w:p>
        </w:tc>
        <w:tc>
          <w:tcPr>
            <w:tcW w:w="1985" w:type="dxa"/>
            <w:tcBorders>
              <w:top w:val="nil"/>
              <w:left w:val="nil"/>
              <w:bottom w:val="single" w:color="auto" w:sz="4" w:space="0"/>
              <w:right w:val="single" w:color="auto" w:sz="4" w:space="0"/>
            </w:tcBorders>
            <w:vAlign w:val="center"/>
          </w:tcPr>
          <w:p w14:paraId="521B3860">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14:paraId="6548561D">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3" w:type="dxa"/>
            <w:tcBorders>
              <w:top w:val="nil"/>
              <w:left w:val="nil"/>
              <w:bottom w:val="single" w:color="auto" w:sz="4" w:space="0"/>
              <w:right w:val="single" w:color="auto" w:sz="4" w:space="0"/>
            </w:tcBorders>
            <w:vAlign w:val="center"/>
          </w:tcPr>
          <w:p w14:paraId="51BF23E7">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1000≤Y＜10000</w:t>
            </w:r>
          </w:p>
        </w:tc>
        <w:tc>
          <w:tcPr>
            <w:tcW w:w="1702" w:type="dxa"/>
            <w:tcBorders>
              <w:top w:val="nil"/>
              <w:left w:val="nil"/>
              <w:bottom w:val="single" w:color="auto" w:sz="4" w:space="0"/>
              <w:right w:val="single" w:color="auto" w:sz="4" w:space="0"/>
            </w:tcBorders>
            <w:vAlign w:val="center"/>
          </w:tcPr>
          <w:p w14:paraId="0F5A17FB">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50≤Y＜1000</w:t>
            </w:r>
          </w:p>
        </w:tc>
        <w:tc>
          <w:tcPr>
            <w:tcW w:w="1134" w:type="dxa"/>
            <w:tcBorders>
              <w:top w:val="nil"/>
              <w:left w:val="nil"/>
              <w:bottom w:val="single" w:color="auto" w:sz="4" w:space="0"/>
              <w:right w:val="single" w:color="auto" w:sz="4" w:space="0"/>
            </w:tcBorders>
            <w:vAlign w:val="center"/>
          </w:tcPr>
          <w:p w14:paraId="1EA440D1">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14:paraId="07F01019">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vAlign w:val="center"/>
          </w:tcPr>
          <w:p w14:paraId="36D67329">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房地产开发经营</w:t>
            </w:r>
          </w:p>
        </w:tc>
        <w:tc>
          <w:tcPr>
            <w:tcW w:w="1985" w:type="dxa"/>
            <w:tcBorders>
              <w:top w:val="nil"/>
              <w:left w:val="nil"/>
              <w:bottom w:val="single" w:color="auto" w:sz="4" w:space="0"/>
              <w:right w:val="single" w:color="auto" w:sz="4" w:space="0"/>
            </w:tcBorders>
            <w:vAlign w:val="center"/>
          </w:tcPr>
          <w:p w14:paraId="61B7ABC1">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14:paraId="2EAEAC23">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3" w:type="dxa"/>
            <w:tcBorders>
              <w:top w:val="nil"/>
              <w:left w:val="nil"/>
              <w:bottom w:val="single" w:color="auto" w:sz="4" w:space="0"/>
              <w:right w:val="single" w:color="auto" w:sz="4" w:space="0"/>
            </w:tcBorders>
            <w:vAlign w:val="center"/>
          </w:tcPr>
          <w:p w14:paraId="0904BE76">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1000≤Y＜200000</w:t>
            </w:r>
          </w:p>
        </w:tc>
        <w:tc>
          <w:tcPr>
            <w:tcW w:w="1702" w:type="dxa"/>
            <w:tcBorders>
              <w:top w:val="nil"/>
              <w:left w:val="nil"/>
              <w:bottom w:val="single" w:color="auto" w:sz="4" w:space="0"/>
              <w:right w:val="single" w:color="auto" w:sz="4" w:space="0"/>
            </w:tcBorders>
            <w:vAlign w:val="center"/>
          </w:tcPr>
          <w:p w14:paraId="5B6530F3">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100≤X＜1000</w:t>
            </w:r>
          </w:p>
        </w:tc>
        <w:tc>
          <w:tcPr>
            <w:tcW w:w="1134" w:type="dxa"/>
            <w:tcBorders>
              <w:top w:val="nil"/>
              <w:left w:val="nil"/>
              <w:bottom w:val="single" w:color="auto" w:sz="4" w:space="0"/>
              <w:right w:val="single" w:color="auto" w:sz="4" w:space="0"/>
            </w:tcBorders>
            <w:vAlign w:val="center"/>
          </w:tcPr>
          <w:p w14:paraId="187BE12B">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w:t>
            </w:r>
          </w:p>
        </w:tc>
      </w:tr>
      <w:tr w14:paraId="06A8E5BB">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vAlign w:val="center"/>
          </w:tcPr>
          <w:p w14:paraId="4F63431F">
            <w:pPr>
              <w:widowControl/>
              <w:jc w:val="center"/>
              <w:rPr>
                <w:rFonts w:ascii="宋体" w:hAnsi="宋体" w:cs="宋体"/>
                <w:b/>
                <w:bCs/>
                <w:color w:val="auto"/>
                <w:kern w:val="0"/>
                <w:sz w:val="18"/>
                <w:szCs w:val="18"/>
                <w:highlight w:val="none"/>
              </w:rPr>
            </w:pPr>
          </w:p>
        </w:tc>
        <w:tc>
          <w:tcPr>
            <w:tcW w:w="1985" w:type="dxa"/>
            <w:tcBorders>
              <w:top w:val="nil"/>
              <w:left w:val="nil"/>
              <w:bottom w:val="single" w:color="auto" w:sz="4" w:space="0"/>
              <w:right w:val="single" w:color="auto" w:sz="4" w:space="0"/>
            </w:tcBorders>
            <w:vAlign w:val="center"/>
          </w:tcPr>
          <w:p w14:paraId="2CBE41C8">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851" w:type="dxa"/>
            <w:tcBorders>
              <w:top w:val="nil"/>
              <w:left w:val="nil"/>
              <w:bottom w:val="single" w:color="auto" w:sz="4" w:space="0"/>
              <w:right w:val="single" w:color="auto" w:sz="4" w:space="0"/>
            </w:tcBorders>
            <w:vAlign w:val="center"/>
          </w:tcPr>
          <w:p w14:paraId="0A0CE3E5">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3" w:type="dxa"/>
            <w:tcBorders>
              <w:top w:val="nil"/>
              <w:left w:val="nil"/>
              <w:bottom w:val="single" w:color="auto" w:sz="4" w:space="0"/>
              <w:right w:val="single" w:color="auto" w:sz="4" w:space="0"/>
            </w:tcBorders>
            <w:vAlign w:val="center"/>
          </w:tcPr>
          <w:p w14:paraId="5CB1DA70">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5000≤Z＜10000</w:t>
            </w:r>
          </w:p>
        </w:tc>
        <w:tc>
          <w:tcPr>
            <w:tcW w:w="1702" w:type="dxa"/>
            <w:tcBorders>
              <w:top w:val="nil"/>
              <w:left w:val="nil"/>
              <w:bottom w:val="single" w:color="auto" w:sz="4" w:space="0"/>
              <w:right w:val="single" w:color="auto" w:sz="4" w:space="0"/>
            </w:tcBorders>
            <w:vAlign w:val="center"/>
          </w:tcPr>
          <w:p w14:paraId="21019958">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2000≤Y＜5000</w:t>
            </w:r>
          </w:p>
        </w:tc>
        <w:tc>
          <w:tcPr>
            <w:tcW w:w="1134" w:type="dxa"/>
            <w:tcBorders>
              <w:top w:val="nil"/>
              <w:left w:val="nil"/>
              <w:bottom w:val="single" w:color="auto" w:sz="4" w:space="0"/>
              <w:right w:val="single" w:color="auto" w:sz="4" w:space="0"/>
            </w:tcBorders>
            <w:vAlign w:val="center"/>
          </w:tcPr>
          <w:p w14:paraId="6C7079F7">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w:t>
            </w:r>
          </w:p>
        </w:tc>
      </w:tr>
      <w:tr w14:paraId="763B589D">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vAlign w:val="center"/>
          </w:tcPr>
          <w:p w14:paraId="23FB5306">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物业管理</w:t>
            </w:r>
          </w:p>
        </w:tc>
        <w:tc>
          <w:tcPr>
            <w:tcW w:w="1985" w:type="dxa"/>
            <w:tcBorders>
              <w:top w:val="nil"/>
              <w:left w:val="nil"/>
              <w:bottom w:val="single" w:color="auto" w:sz="4" w:space="0"/>
              <w:right w:val="single" w:color="auto" w:sz="4" w:space="0"/>
            </w:tcBorders>
            <w:vAlign w:val="center"/>
          </w:tcPr>
          <w:p w14:paraId="02712B17">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14:paraId="6A85108C">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43" w:type="dxa"/>
            <w:tcBorders>
              <w:top w:val="nil"/>
              <w:left w:val="nil"/>
              <w:bottom w:val="single" w:color="auto" w:sz="4" w:space="0"/>
              <w:right w:val="single" w:color="auto" w:sz="4" w:space="0"/>
            </w:tcBorders>
            <w:vAlign w:val="center"/>
          </w:tcPr>
          <w:p w14:paraId="6AA95209">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702" w:type="dxa"/>
            <w:tcBorders>
              <w:top w:val="nil"/>
              <w:left w:val="nil"/>
              <w:bottom w:val="single" w:color="auto" w:sz="4" w:space="0"/>
              <w:right w:val="single" w:color="auto" w:sz="4" w:space="0"/>
            </w:tcBorders>
            <w:vAlign w:val="center"/>
          </w:tcPr>
          <w:p w14:paraId="5E74FBD4">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134" w:type="dxa"/>
            <w:tcBorders>
              <w:top w:val="nil"/>
              <w:left w:val="nil"/>
              <w:bottom w:val="single" w:color="auto" w:sz="4" w:space="0"/>
              <w:right w:val="single" w:color="auto" w:sz="4" w:space="0"/>
            </w:tcBorders>
            <w:vAlign w:val="center"/>
          </w:tcPr>
          <w:p w14:paraId="1683A02C">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w:t>
            </w:r>
          </w:p>
        </w:tc>
      </w:tr>
      <w:tr w14:paraId="251462DC">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vAlign w:val="center"/>
          </w:tcPr>
          <w:p w14:paraId="42061737">
            <w:pPr>
              <w:widowControl/>
              <w:jc w:val="center"/>
              <w:rPr>
                <w:rFonts w:ascii="宋体" w:hAnsi="宋体" w:cs="宋体"/>
                <w:b/>
                <w:bCs/>
                <w:color w:val="auto"/>
                <w:kern w:val="0"/>
                <w:sz w:val="18"/>
                <w:szCs w:val="18"/>
                <w:highlight w:val="none"/>
              </w:rPr>
            </w:pPr>
          </w:p>
        </w:tc>
        <w:tc>
          <w:tcPr>
            <w:tcW w:w="1985" w:type="dxa"/>
            <w:tcBorders>
              <w:top w:val="nil"/>
              <w:left w:val="nil"/>
              <w:bottom w:val="single" w:color="auto" w:sz="4" w:space="0"/>
              <w:right w:val="single" w:color="auto" w:sz="4" w:space="0"/>
            </w:tcBorders>
            <w:vAlign w:val="center"/>
          </w:tcPr>
          <w:p w14:paraId="60E2CF36">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14:paraId="4B7100AB">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3" w:type="dxa"/>
            <w:tcBorders>
              <w:top w:val="nil"/>
              <w:left w:val="nil"/>
              <w:bottom w:val="single" w:color="auto" w:sz="4" w:space="0"/>
              <w:right w:val="single" w:color="auto" w:sz="4" w:space="0"/>
            </w:tcBorders>
            <w:vAlign w:val="center"/>
          </w:tcPr>
          <w:p w14:paraId="0485175D">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1702" w:type="dxa"/>
            <w:tcBorders>
              <w:top w:val="nil"/>
              <w:left w:val="nil"/>
              <w:bottom w:val="single" w:color="auto" w:sz="4" w:space="0"/>
              <w:right w:val="single" w:color="auto" w:sz="4" w:space="0"/>
            </w:tcBorders>
            <w:vAlign w:val="center"/>
          </w:tcPr>
          <w:p w14:paraId="1B6BD62D">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500≤Y＜1000</w:t>
            </w:r>
          </w:p>
        </w:tc>
        <w:tc>
          <w:tcPr>
            <w:tcW w:w="1134" w:type="dxa"/>
            <w:tcBorders>
              <w:top w:val="nil"/>
              <w:left w:val="nil"/>
              <w:bottom w:val="single" w:color="auto" w:sz="4" w:space="0"/>
              <w:right w:val="single" w:color="auto" w:sz="4" w:space="0"/>
            </w:tcBorders>
            <w:vAlign w:val="center"/>
          </w:tcPr>
          <w:p w14:paraId="6FE4CC80">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Y＜500</w:t>
            </w:r>
          </w:p>
        </w:tc>
      </w:tr>
      <w:tr w14:paraId="723417C0">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vAlign w:val="center"/>
          </w:tcPr>
          <w:p w14:paraId="42CB662C">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租赁和商务服务业</w:t>
            </w:r>
          </w:p>
        </w:tc>
        <w:tc>
          <w:tcPr>
            <w:tcW w:w="1985" w:type="dxa"/>
            <w:tcBorders>
              <w:top w:val="nil"/>
              <w:left w:val="nil"/>
              <w:bottom w:val="single" w:color="auto" w:sz="4" w:space="0"/>
              <w:right w:val="single" w:color="auto" w:sz="4" w:space="0"/>
            </w:tcBorders>
            <w:vAlign w:val="center"/>
          </w:tcPr>
          <w:p w14:paraId="7091D836">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14:paraId="2821D81B">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43" w:type="dxa"/>
            <w:tcBorders>
              <w:top w:val="nil"/>
              <w:left w:val="nil"/>
              <w:bottom w:val="single" w:color="auto" w:sz="4" w:space="0"/>
              <w:right w:val="single" w:color="auto" w:sz="4" w:space="0"/>
            </w:tcBorders>
            <w:vAlign w:val="center"/>
          </w:tcPr>
          <w:p w14:paraId="3014BBDB">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702" w:type="dxa"/>
            <w:tcBorders>
              <w:top w:val="nil"/>
              <w:left w:val="nil"/>
              <w:bottom w:val="single" w:color="auto" w:sz="4" w:space="0"/>
              <w:right w:val="single" w:color="auto" w:sz="4" w:space="0"/>
            </w:tcBorders>
            <w:vAlign w:val="center"/>
          </w:tcPr>
          <w:p w14:paraId="076F278A">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134" w:type="dxa"/>
            <w:tcBorders>
              <w:top w:val="nil"/>
              <w:left w:val="nil"/>
              <w:bottom w:val="single" w:color="auto" w:sz="4" w:space="0"/>
              <w:right w:val="single" w:color="auto" w:sz="4" w:space="0"/>
            </w:tcBorders>
            <w:vAlign w:val="center"/>
          </w:tcPr>
          <w:p w14:paraId="1638C656">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46C368AA">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vAlign w:val="center"/>
          </w:tcPr>
          <w:p w14:paraId="07298F07">
            <w:pPr>
              <w:widowControl/>
              <w:jc w:val="center"/>
              <w:rPr>
                <w:rFonts w:ascii="宋体" w:hAnsi="宋体" w:cs="宋体"/>
                <w:b/>
                <w:bCs/>
                <w:color w:val="auto"/>
                <w:kern w:val="0"/>
                <w:sz w:val="18"/>
                <w:szCs w:val="18"/>
                <w:highlight w:val="none"/>
              </w:rPr>
            </w:pPr>
          </w:p>
        </w:tc>
        <w:tc>
          <w:tcPr>
            <w:tcW w:w="1985" w:type="dxa"/>
            <w:tcBorders>
              <w:top w:val="nil"/>
              <w:left w:val="nil"/>
              <w:bottom w:val="single" w:color="auto" w:sz="4" w:space="0"/>
              <w:right w:val="single" w:color="auto" w:sz="4" w:space="0"/>
            </w:tcBorders>
            <w:vAlign w:val="center"/>
          </w:tcPr>
          <w:p w14:paraId="63CFA3A3">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851" w:type="dxa"/>
            <w:tcBorders>
              <w:top w:val="nil"/>
              <w:left w:val="nil"/>
              <w:bottom w:val="single" w:color="auto" w:sz="4" w:space="0"/>
              <w:right w:val="single" w:color="auto" w:sz="4" w:space="0"/>
            </w:tcBorders>
            <w:vAlign w:val="center"/>
          </w:tcPr>
          <w:p w14:paraId="0DC8FD20">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3" w:type="dxa"/>
            <w:tcBorders>
              <w:top w:val="nil"/>
              <w:left w:val="nil"/>
              <w:bottom w:val="single" w:color="auto" w:sz="4" w:space="0"/>
              <w:right w:val="single" w:color="auto" w:sz="4" w:space="0"/>
            </w:tcBorders>
            <w:vAlign w:val="center"/>
          </w:tcPr>
          <w:p w14:paraId="3BA9BCFA">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8000≤Z＜120000</w:t>
            </w:r>
          </w:p>
        </w:tc>
        <w:tc>
          <w:tcPr>
            <w:tcW w:w="1702" w:type="dxa"/>
            <w:tcBorders>
              <w:top w:val="nil"/>
              <w:left w:val="nil"/>
              <w:bottom w:val="single" w:color="auto" w:sz="4" w:space="0"/>
              <w:right w:val="single" w:color="auto" w:sz="4" w:space="0"/>
            </w:tcBorders>
            <w:vAlign w:val="center"/>
          </w:tcPr>
          <w:p w14:paraId="72A31071">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100≤Z＜8000</w:t>
            </w:r>
          </w:p>
        </w:tc>
        <w:tc>
          <w:tcPr>
            <w:tcW w:w="1134" w:type="dxa"/>
            <w:tcBorders>
              <w:top w:val="nil"/>
              <w:left w:val="nil"/>
              <w:bottom w:val="single" w:color="auto" w:sz="4" w:space="0"/>
              <w:right w:val="single" w:color="auto" w:sz="4" w:space="0"/>
            </w:tcBorders>
            <w:vAlign w:val="center"/>
          </w:tcPr>
          <w:p w14:paraId="4CA26663">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7D4A1C0B">
        <w:tblPrEx>
          <w:tblCellMar>
            <w:top w:w="0" w:type="dxa"/>
            <w:left w:w="108" w:type="dxa"/>
            <w:bottom w:w="0" w:type="dxa"/>
            <w:right w:w="108" w:type="dxa"/>
          </w:tblCellMar>
        </w:tblPrEx>
        <w:trPr>
          <w:trHeight w:val="225" w:hRule="atLeast"/>
          <w:jc w:val="center"/>
        </w:trPr>
        <w:tc>
          <w:tcPr>
            <w:tcW w:w="1985" w:type="dxa"/>
            <w:tcBorders>
              <w:top w:val="nil"/>
              <w:left w:val="single" w:color="auto" w:sz="4" w:space="0"/>
              <w:bottom w:val="single" w:color="auto" w:sz="4" w:space="0"/>
              <w:right w:val="single" w:color="auto" w:sz="4" w:space="0"/>
            </w:tcBorders>
            <w:vAlign w:val="center"/>
          </w:tcPr>
          <w:p w14:paraId="57D7F041">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其他未列明行业</w:t>
            </w:r>
          </w:p>
        </w:tc>
        <w:tc>
          <w:tcPr>
            <w:tcW w:w="1985" w:type="dxa"/>
            <w:tcBorders>
              <w:top w:val="nil"/>
              <w:left w:val="nil"/>
              <w:bottom w:val="single" w:color="auto" w:sz="4" w:space="0"/>
              <w:right w:val="single" w:color="auto" w:sz="4" w:space="0"/>
            </w:tcBorders>
            <w:vAlign w:val="center"/>
          </w:tcPr>
          <w:p w14:paraId="1893A00A">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14:paraId="588E2218">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43" w:type="dxa"/>
            <w:tcBorders>
              <w:top w:val="nil"/>
              <w:left w:val="nil"/>
              <w:bottom w:val="single" w:color="auto" w:sz="4" w:space="0"/>
              <w:right w:val="single" w:color="auto" w:sz="4" w:space="0"/>
            </w:tcBorders>
            <w:vAlign w:val="center"/>
          </w:tcPr>
          <w:p w14:paraId="1668B42B">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702" w:type="dxa"/>
            <w:tcBorders>
              <w:top w:val="nil"/>
              <w:left w:val="nil"/>
              <w:bottom w:val="single" w:color="auto" w:sz="4" w:space="0"/>
              <w:right w:val="single" w:color="auto" w:sz="4" w:space="0"/>
            </w:tcBorders>
            <w:vAlign w:val="center"/>
          </w:tcPr>
          <w:p w14:paraId="1B93ED05">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134" w:type="dxa"/>
            <w:tcBorders>
              <w:top w:val="nil"/>
              <w:left w:val="nil"/>
              <w:bottom w:val="single" w:color="auto" w:sz="4" w:space="0"/>
              <w:right w:val="single" w:color="auto" w:sz="4" w:space="0"/>
            </w:tcBorders>
            <w:vAlign w:val="center"/>
          </w:tcPr>
          <w:p w14:paraId="38700613">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bl>
    <w:p w14:paraId="1C336A26">
      <w:pPr>
        <w:spacing w:line="560" w:lineRule="exact"/>
        <w:ind w:firstLine="525" w:firstLineChars="250"/>
        <w:rPr>
          <w:rFonts w:ascii="宋体" w:hAnsi="宋体" w:cs="宋体"/>
          <w:color w:val="auto"/>
          <w:kern w:val="0"/>
          <w:sz w:val="20"/>
          <w:szCs w:val="21"/>
          <w:highlight w:val="none"/>
        </w:rPr>
        <w:sectPr>
          <w:pgSz w:w="11906" w:h="16838"/>
          <w:pgMar w:top="1134" w:right="1134" w:bottom="1134" w:left="1134" w:header="720" w:footer="720" w:gutter="0"/>
          <w:cols w:space="0" w:num="1"/>
          <w:rtlGutter w:val="0"/>
          <w:docGrid w:type="lines" w:linePitch="331" w:charSpace="0"/>
        </w:sectPr>
      </w:pPr>
      <w:r>
        <w:rPr>
          <w:rFonts w:hint="eastAsia" w:ascii="宋体" w:hAnsi="宋体" w:cs="宋体"/>
          <w:color w:val="auto"/>
          <w:szCs w:val="21"/>
          <w:highlight w:val="none"/>
        </w:rPr>
        <w:t>说明：上述标准参照《关于印发中小企业划型标准规定的通知》（工信部联企业[2011]300号），大型、中型和小型企业须同时满足所列指标的下限，否则下划一档；微型企业只须满足所列指标中的一项即可。</w:t>
      </w:r>
    </w:p>
    <w:p w14:paraId="709FD7AA">
      <w:pPr>
        <w:pStyle w:val="2"/>
        <w:jc w:val="center"/>
        <w:rPr>
          <w:rFonts w:ascii="宋体" w:hAnsi="宋体" w:cs="宋体"/>
          <w:color w:val="auto"/>
          <w:highlight w:val="none"/>
        </w:rPr>
      </w:pPr>
      <w:bookmarkStart w:id="52" w:name="_Toc20606"/>
      <w:r>
        <w:rPr>
          <w:rFonts w:hint="eastAsia" w:ascii="宋体" w:hAnsi="宋体" w:cs="宋体"/>
          <w:bCs w:val="0"/>
          <w:color w:val="auto"/>
          <w:sz w:val="32"/>
          <w:szCs w:val="32"/>
          <w:highlight w:val="none"/>
        </w:rPr>
        <w:t>第三章 供应商须知</w:t>
      </w:r>
      <w:bookmarkEnd w:id="52"/>
    </w:p>
    <w:p w14:paraId="67C85CFA">
      <w:pPr>
        <w:pStyle w:val="3"/>
        <w:jc w:val="center"/>
        <w:rPr>
          <w:rFonts w:ascii="宋体" w:hAnsi="宋体" w:cs="宋体"/>
          <w:b w:val="0"/>
          <w:color w:val="auto"/>
          <w:highlight w:val="none"/>
        </w:rPr>
      </w:pPr>
      <w:bookmarkStart w:id="53" w:name="_Toc25061"/>
      <w:r>
        <w:rPr>
          <w:rFonts w:hint="eastAsia" w:ascii="宋体" w:hAnsi="宋体" w:cs="宋体"/>
          <w:b w:val="0"/>
          <w:color w:val="auto"/>
          <w:highlight w:val="none"/>
        </w:rPr>
        <w:t>第一节 供应商须知前附表</w:t>
      </w:r>
      <w:bookmarkEnd w:id="53"/>
    </w:p>
    <w:p w14:paraId="1702292F">
      <w:pPr>
        <w:spacing w:line="400" w:lineRule="exact"/>
        <w:jc w:val="center"/>
        <w:rPr>
          <w:rFonts w:ascii="宋体" w:hAnsi="宋体" w:cs="宋体"/>
          <w:b/>
          <w:color w:val="auto"/>
          <w:sz w:val="32"/>
          <w:szCs w:val="32"/>
          <w:highlight w:val="none"/>
        </w:rPr>
      </w:pPr>
    </w:p>
    <w:tbl>
      <w:tblPr>
        <w:tblStyle w:val="26"/>
        <w:tblW w:w="103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5"/>
        <w:gridCol w:w="2785"/>
        <w:gridCol w:w="6850"/>
      </w:tblGrid>
      <w:tr w14:paraId="422B99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725" w:type="dxa"/>
            <w:tcBorders>
              <w:top w:val="single" w:color="000000" w:sz="4" w:space="0"/>
              <w:left w:val="single" w:color="000000" w:sz="4" w:space="0"/>
              <w:bottom w:val="single" w:color="000000" w:sz="4" w:space="0"/>
              <w:right w:val="single" w:color="000000" w:sz="4" w:space="0"/>
            </w:tcBorders>
            <w:vAlign w:val="center"/>
          </w:tcPr>
          <w:p w14:paraId="377FBDE8">
            <w:pPr>
              <w:pageBreakBefore w:val="0"/>
              <w:kinsoku/>
              <w:wordWrap/>
              <w:overflowPunct/>
              <w:topLinePunct w:val="0"/>
              <w:bidi w:val="0"/>
              <w:adjustRightInd/>
              <w:spacing w:line="360" w:lineRule="exact"/>
              <w:ind w:left="0"/>
              <w:jc w:val="center"/>
              <w:rPr>
                <w:rFonts w:ascii="宋体" w:hAnsi="宋体" w:cs="宋体"/>
                <w:b/>
                <w:color w:val="auto"/>
                <w:szCs w:val="21"/>
                <w:highlight w:val="none"/>
              </w:rPr>
            </w:pPr>
            <w:r>
              <w:rPr>
                <w:rFonts w:hint="eastAsia" w:ascii="宋体" w:hAnsi="宋体" w:cs="宋体"/>
                <w:b/>
                <w:color w:val="auto"/>
                <w:szCs w:val="21"/>
                <w:highlight w:val="none"/>
              </w:rPr>
              <w:t>条款号</w:t>
            </w:r>
          </w:p>
        </w:tc>
        <w:tc>
          <w:tcPr>
            <w:tcW w:w="2785" w:type="dxa"/>
            <w:tcBorders>
              <w:top w:val="single" w:color="000000" w:sz="4" w:space="0"/>
              <w:left w:val="single" w:color="000000" w:sz="4" w:space="0"/>
              <w:bottom w:val="single" w:color="000000" w:sz="4" w:space="0"/>
              <w:right w:val="single" w:color="000000" w:sz="4" w:space="0"/>
            </w:tcBorders>
            <w:vAlign w:val="center"/>
          </w:tcPr>
          <w:p w14:paraId="656F3545">
            <w:pPr>
              <w:pageBreakBefore w:val="0"/>
              <w:kinsoku/>
              <w:wordWrap/>
              <w:overflowPunct/>
              <w:topLinePunct w:val="0"/>
              <w:bidi w:val="0"/>
              <w:adjustRightInd/>
              <w:spacing w:line="360" w:lineRule="exact"/>
              <w:ind w:left="0"/>
              <w:jc w:val="center"/>
              <w:rPr>
                <w:rFonts w:ascii="宋体" w:hAnsi="宋体" w:cs="宋体"/>
                <w:b/>
                <w:color w:val="auto"/>
                <w:szCs w:val="21"/>
                <w:highlight w:val="none"/>
              </w:rPr>
            </w:pPr>
            <w:r>
              <w:rPr>
                <w:rFonts w:hint="eastAsia" w:ascii="宋体" w:hAnsi="宋体" w:cs="宋体"/>
                <w:b/>
                <w:color w:val="auto"/>
                <w:szCs w:val="21"/>
                <w:highlight w:val="none"/>
              </w:rPr>
              <w:t>条款内容</w:t>
            </w:r>
          </w:p>
        </w:tc>
        <w:tc>
          <w:tcPr>
            <w:tcW w:w="6850" w:type="dxa"/>
            <w:tcBorders>
              <w:top w:val="single" w:color="000000" w:sz="4" w:space="0"/>
              <w:left w:val="single" w:color="000000" w:sz="4" w:space="0"/>
              <w:bottom w:val="single" w:color="000000" w:sz="4" w:space="0"/>
              <w:right w:val="single" w:color="000000" w:sz="4" w:space="0"/>
            </w:tcBorders>
            <w:vAlign w:val="center"/>
          </w:tcPr>
          <w:p w14:paraId="22526275">
            <w:pPr>
              <w:pageBreakBefore w:val="0"/>
              <w:kinsoku/>
              <w:wordWrap/>
              <w:overflowPunct/>
              <w:topLinePunct w:val="0"/>
              <w:bidi w:val="0"/>
              <w:adjustRightInd/>
              <w:spacing w:line="360" w:lineRule="exact"/>
              <w:ind w:left="0"/>
              <w:jc w:val="center"/>
              <w:rPr>
                <w:rFonts w:ascii="宋体" w:hAnsi="宋体" w:cs="宋体"/>
                <w:b/>
                <w:color w:val="auto"/>
                <w:szCs w:val="21"/>
                <w:highlight w:val="none"/>
              </w:rPr>
            </w:pPr>
            <w:r>
              <w:rPr>
                <w:rFonts w:hint="eastAsia" w:ascii="宋体" w:hAnsi="宋体" w:cs="宋体"/>
                <w:b/>
                <w:color w:val="auto"/>
                <w:szCs w:val="21"/>
                <w:highlight w:val="none"/>
              </w:rPr>
              <w:t>具体要求</w:t>
            </w:r>
          </w:p>
        </w:tc>
      </w:tr>
      <w:tr w14:paraId="3D261C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14:paraId="2375B977">
            <w:pPr>
              <w:pageBreakBefore w:val="0"/>
              <w:kinsoku/>
              <w:wordWrap/>
              <w:overflowPunct/>
              <w:topLinePunct w:val="0"/>
              <w:bidi w:val="0"/>
              <w:adjustRightInd/>
              <w:spacing w:line="360" w:lineRule="exact"/>
              <w:ind w:left="0"/>
              <w:jc w:val="center"/>
              <w:rPr>
                <w:rFonts w:ascii="宋体" w:hAnsi="宋体" w:cs="宋体"/>
                <w:color w:val="auto"/>
                <w:szCs w:val="21"/>
                <w:highlight w:val="none"/>
              </w:rPr>
            </w:pPr>
            <w:r>
              <w:rPr>
                <w:rFonts w:hint="eastAsia" w:ascii="宋体" w:hAnsi="宋体" w:cs="宋体"/>
                <w:color w:val="auto"/>
                <w:szCs w:val="21"/>
                <w:highlight w:val="none"/>
              </w:rPr>
              <w:t>3.1</w:t>
            </w:r>
          </w:p>
        </w:tc>
        <w:tc>
          <w:tcPr>
            <w:tcW w:w="2785" w:type="dxa"/>
            <w:tcBorders>
              <w:top w:val="single" w:color="000000" w:sz="4" w:space="0"/>
              <w:left w:val="single" w:color="000000" w:sz="4" w:space="0"/>
              <w:bottom w:val="single" w:color="000000" w:sz="4" w:space="0"/>
              <w:right w:val="single" w:color="000000" w:sz="4" w:space="0"/>
            </w:tcBorders>
            <w:vAlign w:val="center"/>
          </w:tcPr>
          <w:p w14:paraId="7495CBDA">
            <w:pPr>
              <w:pageBreakBefore w:val="0"/>
              <w:kinsoku/>
              <w:wordWrap/>
              <w:overflowPunct/>
              <w:topLinePunct w:val="0"/>
              <w:bidi w:val="0"/>
              <w:adjustRightInd/>
              <w:spacing w:line="360" w:lineRule="exact"/>
              <w:ind w:left="0"/>
              <w:jc w:val="center"/>
              <w:rPr>
                <w:rFonts w:ascii="宋体" w:hAnsi="宋体" w:cs="宋体"/>
                <w:color w:val="auto"/>
                <w:szCs w:val="21"/>
                <w:highlight w:val="none"/>
              </w:rPr>
            </w:pPr>
            <w:r>
              <w:rPr>
                <w:rFonts w:hint="eastAsia" w:ascii="宋体" w:hAnsi="宋体" w:cs="宋体"/>
                <w:color w:val="auto"/>
                <w:szCs w:val="21"/>
                <w:highlight w:val="none"/>
              </w:rPr>
              <w:t>供应商资格条件</w:t>
            </w:r>
          </w:p>
        </w:tc>
        <w:tc>
          <w:tcPr>
            <w:tcW w:w="6850" w:type="dxa"/>
            <w:tcBorders>
              <w:top w:val="single" w:color="000000" w:sz="4" w:space="0"/>
              <w:left w:val="single" w:color="000000" w:sz="4" w:space="0"/>
              <w:bottom w:val="single" w:color="000000" w:sz="4" w:space="0"/>
              <w:right w:val="single" w:color="000000" w:sz="4" w:space="0"/>
            </w:tcBorders>
          </w:tcPr>
          <w:p w14:paraId="57FCEA1C">
            <w:pPr>
              <w:pageBreakBefore w:val="0"/>
              <w:kinsoku/>
              <w:wordWrap/>
              <w:overflowPunct/>
              <w:topLinePunct w:val="0"/>
              <w:bidi w:val="0"/>
              <w:adjustRightInd/>
              <w:spacing w:line="360" w:lineRule="exact"/>
              <w:ind w:left="0"/>
              <w:rPr>
                <w:rFonts w:ascii="宋体" w:hAnsi="宋体" w:cs="宋体"/>
                <w:color w:val="auto"/>
                <w:szCs w:val="21"/>
                <w:highlight w:val="none"/>
              </w:rPr>
            </w:pPr>
            <w:r>
              <w:rPr>
                <w:rFonts w:hint="eastAsia" w:ascii="宋体" w:hAnsi="宋体" w:cs="宋体"/>
                <w:color w:val="auto"/>
                <w:szCs w:val="21"/>
                <w:highlight w:val="none"/>
              </w:rPr>
              <w:t>详见公告。</w:t>
            </w:r>
          </w:p>
        </w:tc>
      </w:tr>
      <w:tr w14:paraId="0538AF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14:paraId="0A5261C8">
            <w:pPr>
              <w:pageBreakBefore w:val="0"/>
              <w:kinsoku/>
              <w:wordWrap/>
              <w:overflowPunct/>
              <w:topLinePunct w:val="0"/>
              <w:bidi w:val="0"/>
              <w:adjustRightInd/>
              <w:spacing w:line="360" w:lineRule="exact"/>
              <w:ind w:left="0"/>
              <w:jc w:val="center"/>
              <w:rPr>
                <w:rFonts w:ascii="宋体" w:hAnsi="宋体" w:cs="宋体"/>
                <w:color w:val="auto"/>
                <w:szCs w:val="21"/>
                <w:highlight w:val="none"/>
              </w:rPr>
            </w:pPr>
            <w:r>
              <w:rPr>
                <w:rFonts w:hint="eastAsia" w:ascii="宋体" w:hAnsi="宋体" w:cs="宋体"/>
                <w:color w:val="auto"/>
                <w:szCs w:val="21"/>
                <w:highlight w:val="none"/>
              </w:rPr>
              <w:t>5.1</w:t>
            </w:r>
          </w:p>
        </w:tc>
        <w:tc>
          <w:tcPr>
            <w:tcW w:w="2785" w:type="dxa"/>
            <w:tcBorders>
              <w:top w:val="single" w:color="000000" w:sz="4" w:space="0"/>
              <w:left w:val="single" w:color="000000" w:sz="4" w:space="0"/>
              <w:bottom w:val="single" w:color="000000" w:sz="4" w:space="0"/>
              <w:right w:val="single" w:color="000000" w:sz="4" w:space="0"/>
            </w:tcBorders>
            <w:vAlign w:val="center"/>
          </w:tcPr>
          <w:p w14:paraId="1A9DC9BE">
            <w:pPr>
              <w:pageBreakBefore w:val="0"/>
              <w:kinsoku/>
              <w:wordWrap/>
              <w:overflowPunct/>
              <w:topLinePunct w:val="0"/>
              <w:bidi w:val="0"/>
              <w:adjustRightInd/>
              <w:spacing w:line="360" w:lineRule="exact"/>
              <w:ind w:left="0"/>
              <w:jc w:val="center"/>
              <w:rPr>
                <w:rFonts w:ascii="宋体" w:hAnsi="宋体" w:cs="宋体"/>
                <w:color w:val="auto"/>
                <w:szCs w:val="21"/>
                <w:highlight w:val="none"/>
              </w:rPr>
            </w:pPr>
            <w:r>
              <w:rPr>
                <w:rFonts w:hint="eastAsia" w:ascii="宋体" w:hAnsi="宋体" w:cs="宋体"/>
                <w:color w:val="auto"/>
                <w:szCs w:val="21"/>
                <w:highlight w:val="none"/>
              </w:rPr>
              <w:t>是否接受联合体竞标</w:t>
            </w:r>
          </w:p>
        </w:tc>
        <w:tc>
          <w:tcPr>
            <w:tcW w:w="6850" w:type="dxa"/>
            <w:tcBorders>
              <w:top w:val="single" w:color="000000" w:sz="4" w:space="0"/>
              <w:left w:val="single" w:color="000000" w:sz="4" w:space="0"/>
              <w:bottom w:val="single" w:color="000000" w:sz="4" w:space="0"/>
              <w:right w:val="single" w:color="000000" w:sz="4" w:space="0"/>
            </w:tcBorders>
            <w:vAlign w:val="center"/>
          </w:tcPr>
          <w:p w14:paraId="5B383EC6">
            <w:pPr>
              <w:pageBreakBefore w:val="0"/>
              <w:kinsoku/>
              <w:wordWrap/>
              <w:overflowPunct/>
              <w:topLinePunct w:val="0"/>
              <w:bidi w:val="0"/>
              <w:adjustRightInd/>
              <w:spacing w:line="360" w:lineRule="exact"/>
              <w:ind w:left="0"/>
              <w:rPr>
                <w:rFonts w:ascii="宋体" w:hAnsi="宋体" w:cs="宋体"/>
                <w:color w:val="auto"/>
                <w:szCs w:val="21"/>
                <w:highlight w:val="none"/>
              </w:rPr>
            </w:pPr>
            <w:r>
              <w:rPr>
                <w:rFonts w:hint="eastAsia" w:ascii="宋体" w:hAnsi="宋体" w:cs="宋体"/>
                <w:color w:val="auto"/>
                <w:szCs w:val="21"/>
                <w:highlight w:val="none"/>
              </w:rPr>
              <w:t>详见公告。</w:t>
            </w:r>
          </w:p>
        </w:tc>
      </w:tr>
      <w:tr w14:paraId="32E7C3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14:paraId="3F94C0EE">
            <w:pPr>
              <w:pageBreakBefore w:val="0"/>
              <w:kinsoku/>
              <w:wordWrap/>
              <w:overflowPunct/>
              <w:topLinePunct w:val="0"/>
              <w:bidi w:val="0"/>
              <w:adjustRightInd/>
              <w:spacing w:line="360" w:lineRule="exact"/>
              <w:ind w:left="0"/>
              <w:jc w:val="center"/>
              <w:rPr>
                <w:rFonts w:ascii="宋体" w:hAnsi="宋体" w:cs="宋体"/>
                <w:color w:val="auto"/>
                <w:szCs w:val="21"/>
                <w:highlight w:val="none"/>
              </w:rPr>
            </w:pPr>
            <w:r>
              <w:rPr>
                <w:rFonts w:hint="eastAsia" w:ascii="宋体" w:hAnsi="宋体" w:cs="宋体"/>
                <w:color w:val="auto"/>
                <w:szCs w:val="21"/>
                <w:highlight w:val="none"/>
              </w:rPr>
              <w:t>5.2</w:t>
            </w:r>
          </w:p>
        </w:tc>
        <w:tc>
          <w:tcPr>
            <w:tcW w:w="2785" w:type="dxa"/>
            <w:tcBorders>
              <w:top w:val="single" w:color="000000" w:sz="4" w:space="0"/>
              <w:left w:val="single" w:color="000000" w:sz="4" w:space="0"/>
              <w:bottom w:val="single" w:color="000000" w:sz="4" w:space="0"/>
              <w:right w:val="single" w:color="000000" w:sz="4" w:space="0"/>
            </w:tcBorders>
            <w:vAlign w:val="center"/>
          </w:tcPr>
          <w:p w14:paraId="52008B38">
            <w:pPr>
              <w:pageBreakBefore w:val="0"/>
              <w:kinsoku/>
              <w:wordWrap/>
              <w:overflowPunct/>
              <w:topLinePunct w:val="0"/>
              <w:bidi w:val="0"/>
              <w:adjustRightInd/>
              <w:spacing w:line="360" w:lineRule="exact"/>
              <w:ind w:left="0"/>
              <w:jc w:val="center"/>
              <w:rPr>
                <w:rFonts w:ascii="宋体" w:hAnsi="宋体" w:cs="宋体"/>
                <w:color w:val="auto"/>
                <w:szCs w:val="21"/>
                <w:highlight w:val="none"/>
              </w:rPr>
            </w:pPr>
            <w:r>
              <w:rPr>
                <w:rFonts w:hint="eastAsia" w:ascii="宋体" w:hAnsi="宋体" w:cs="宋体"/>
                <w:color w:val="auto"/>
                <w:szCs w:val="21"/>
                <w:highlight w:val="none"/>
              </w:rPr>
              <w:t>联合体竞标要求</w:t>
            </w:r>
          </w:p>
        </w:tc>
        <w:tc>
          <w:tcPr>
            <w:tcW w:w="6850" w:type="dxa"/>
            <w:tcBorders>
              <w:top w:val="single" w:color="000000" w:sz="4" w:space="0"/>
              <w:left w:val="single" w:color="000000" w:sz="4" w:space="0"/>
              <w:bottom w:val="single" w:color="000000" w:sz="4" w:space="0"/>
              <w:right w:val="single" w:color="000000" w:sz="4" w:space="0"/>
            </w:tcBorders>
            <w:vAlign w:val="center"/>
          </w:tcPr>
          <w:p w14:paraId="19C8069D">
            <w:pPr>
              <w:pageBreakBefore w:val="0"/>
              <w:kinsoku/>
              <w:wordWrap/>
              <w:overflowPunct/>
              <w:topLinePunct w:val="0"/>
              <w:bidi w:val="0"/>
              <w:adjustRightInd/>
              <w:spacing w:line="360" w:lineRule="exact"/>
              <w:ind w:left="0"/>
              <w:rPr>
                <w:rFonts w:ascii="宋体" w:hAnsi="宋体" w:cs="宋体"/>
                <w:color w:val="auto"/>
                <w:szCs w:val="21"/>
                <w:highlight w:val="none"/>
              </w:rPr>
            </w:pPr>
            <w:r>
              <w:rPr>
                <w:rFonts w:hint="eastAsia" w:ascii="宋体" w:hAnsi="宋体" w:cs="宋体"/>
                <w:color w:val="auto"/>
                <w:szCs w:val="21"/>
                <w:highlight w:val="none"/>
              </w:rPr>
              <w:t>无。</w:t>
            </w:r>
          </w:p>
        </w:tc>
      </w:tr>
      <w:tr w14:paraId="0F7E61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14:paraId="0D0BAFDF">
            <w:pPr>
              <w:pageBreakBefore w:val="0"/>
              <w:kinsoku/>
              <w:wordWrap/>
              <w:overflowPunct/>
              <w:topLinePunct w:val="0"/>
              <w:bidi w:val="0"/>
              <w:adjustRightInd/>
              <w:spacing w:line="360" w:lineRule="exact"/>
              <w:ind w:left="0"/>
              <w:jc w:val="center"/>
              <w:rPr>
                <w:rFonts w:ascii="宋体" w:hAnsi="宋体" w:cs="宋体"/>
                <w:color w:val="auto"/>
                <w:szCs w:val="21"/>
                <w:highlight w:val="none"/>
              </w:rPr>
            </w:pPr>
            <w:r>
              <w:rPr>
                <w:rFonts w:hint="eastAsia" w:ascii="宋体" w:hAnsi="宋体" w:cs="宋体"/>
                <w:color w:val="auto"/>
                <w:szCs w:val="21"/>
                <w:highlight w:val="none"/>
              </w:rPr>
              <w:t>6.1</w:t>
            </w:r>
          </w:p>
        </w:tc>
        <w:tc>
          <w:tcPr>
            <w:tcW w:w="2785" w:type="dxa"/>
            <w:tcBorders>
              <w:top w:val="single" w:color="000000" w:sz="4" w:space="0"/>
              <w:left w:val="single" w:color="000000" w:sz="4" w:space="0"/>
              <w:bottom w:val="single" w:color="000000" w:sz="4" w:space="0"/>
              <w:right w:val="single" w:color="000000" w:sz="4" w:space="0"/>
            </w:tcBorders>
            <w:vAlign w:val="center"/>
          </w:tcPr>
          <w:p w14:paraId="64C6AEF0">
            <w:pPr>
              <w:pageBreakBefore w:val="0"/>
              <w:kinsoku/>
              <w:wordWrap/>
              <w:overflowPunct/>
              <w:topLinePunct w:val="0"/>
              <w:bidi w:val="0"/>
              <w:adjustRightInd/>
              <w:spacing w:line="360" w:lineRule="exact"/>
              <w:ind w:left="0"/>
              <w:jc w:val="center"/>
              <w:rPr>
                <w:rFonts w:ascii="宋体" w:hAnsi="宋体" w:cs="宋体"/>
                <w:color w:val="auto"/>
                <w:szCs w:val="21"/>
                <w:highlight w:val="none"/>
              </w:rPr>
            </w:pPr>
            <w:r>
              <w:rPr>
                <w:rFonts w:hint="eastAsia" w:ascii="宋体" w:hAnsi="宋体" w:cs="宋体"/>
                <w:color w:val="auto"/>
                <w:szCs w:val="21"/>
                <w:highlight w:val="none"/>
              </w:rPr>
              <w:t>是否允许分包</w:t>
            </w:r>
          </w:p>
        </w:tc>
        <w:tc>
          <w:tcPr>
            <w:tcW w:w="6850" w:type="dxa"/>
            <w:tcBorders>
              <w:top w:val="single" w:color="000000" w:sz="4" w:space="0"/>
              <w:left w:val="single" w:color="000000" w:sz="4" w:space="0"/>
              <w:bottom w:val="single" w:color="000000" w:sz="4" w:space="0"/>
              <w:right w:val="single" w:color="000000" w:sz="4" w:space="0"/>
            </w:tcBorders>
            <w:vAlign w:val="center"/>
          </w:tcPr>
          <w:p w14:paraId="6BA6F0E9">
            <w:pPr>
              <w:pStyle w:val="9"/>
              <w:pageBreakBefore w:val="0"/>
              <w:kinsoku/>
              <w:wordWrap/>
              <w:overflowPunct/>
              <w:topLinePunct w:val="0"/>
              <w:bidi w:val="0"/>
              <w:adjustRightInd/>
              <w:spacing w:line="360" w:lineRule="exact"/>
              <w:ind w:left="0"/>
              <w:rPr>
                <w:rFonts w:ascii="宋体" w:hAnsi="宋体" w:cs="宋体"/>
                <w:color w:val="auto"/>
                <w:szCs w:val="21"/>
                <w:highlight w:val="none"/>
              </w:rPr>
            </w:pPr>
            <w:r>
              <w:rPr>
                <w:rFonts w:hint="eastAsia" w:ascii="宋体" w:hAnsi="宋体" w:cs="宋体"/>
                <w:color w:val="auto"/>
                <w:szCs w:val="21"/>
                <w:highlight w:val="none"/>
              </w:rPr>
              <w:t>☑不允许转包/分包</w:t>
            </w:r>
          </w:p>
          <w:p w14:paraId="04595E7F">
            <w:pPr>
              <w:pStyle w:val="9"/>
              <w:pageBreakBefore w:val="0"/>
              <w:kinsoku/>
              <w:wordWrap/>
              <w:overflowPunct/>
              <w:topLinePunct w:val="0"/>
              <w:bidi w:val="0"/>
              <w:adjustRightInd/>
              <w:spacing w:line="360" w:lineRule="exact"/>
              <w:ind w:left="0"/>
              <w:rPr>
                <w:rFonts w:ascii="宋体" w:hAnsi="宋体" w:cs="宋体"/>
                <w:color w:val="auto"/>
                <w:szCs w:val="21"/>
                <w:highlight w:val="none"/>
              </w:rPr>
            </w:pPr>
            <w:r>
              <w:rPr>
                <w:rFonts w:hint="eastAsia" w:ascii="宋体" w:hAnsi="宋体" w:cs="宋体"/>
                <w:color w:val="auto"/>
                <w:szCs w:val="21"/>
                <w:highlight w:val="none"/>
              </w:rPr>
              <w:t>□允许转包/分包</w:t>
            </w:r>
          </w:p>
          <w:p w14:paraId="25143D11">
            <w:pPr>
              <w:pStyle w:val="9"/>
              <w:pageBreakBefore w:val="0"/>
              <w:kinsoku/>
              <w:wordWrap/>
              <w:overflowPunct/>
              <w:topLinePunct w:val="0"/>
              <w:bidi w:val="0"/>
              <w:adjustRightInd/>
              <w:spacing w:line="360" w:lineRule="exact"/>
              <w:ind w:left="0"/>
              <w:rPr>
                <w:rFonts w:ascii="宋体" w:hAnsi="宋体" w:cs="宋体"/>
                <w:color w:val="auto"/>
                <w:szCs w:val="21"/>
                <w:highlight w:val="none"/>
                <w:u w:val="single"/>
              </w:rPr>
            </w:pPr>
            <w:r>
              <w:rPr>
                <w:rFonts w:hint="eastAsia" w:ascii="宋体" w:hAnsi="宋体" w:cs="宋体"/>
                <w:color w:val="auto"/>
                <w:szCs w:val="21"/>
                <w:highlight w:val="none"/>
              </w:rPr>
              <w:t>分包内容：</w:t>
            </w:r>
            <w:r>
              <w:rPr>
                <w:rFonts w:hint="eastAsia" w:ascii="宋体" w:hAnsi="宋体" w:cs="宋体"/>
                <w:color w:val="auto"/>
                <w:szCs w:val="21"/>
                <w:highlight w:val="none"/>
                <w:u w:val="single"/>
              </w:rPr>
              <w:t xml:space="preserve">                                     。</w:t>
            </w:r>
          </w:p>
          <w:p w14:paraId="139483E8">
            <w:pPr>
              <w:pStyle w:val="9"/>
              <w:pageBreakBefore w:val="0"/>
              <w:kinsoku/>
              <w:wordWrap/>
              <w:overflowPunct/>
              <w:topLinePunct w:val="0"/>
              <w:bidi w:val="0"/>
              <w:adjustRightInd/>
              <w:spacing w:line="360" w:lineRule="exact"/>
              <w:ind w:left="0"/>
              <w:rPr>
                <w:rFonts w:ascii="宋体" w:hAnsi="宋体" w:cs="宋体"/>
                <w:color w:val="auto"/>
                <w:szCs w:val="21"/>
                <w:highlight w:val="none"/>
              </w:rPr>
            </w:pPr>
            <w:r>
              <w:rPr>
                <w:rFonts w:hint="eastAsia" w:ascii="宋体" w:hAnsi="宋体" w:cs="宋体"/>
                <w:color w:val="auto"/>
                <w:szCs w:val="21"/>
                <w:highlight w:val="none"/>
              </w:rPr>
              <w:t>分包金额或者比例：</w:t>
            </w:r>
            <w:r>
              <w:rPr>
                <w:rFonts w:hint="eastAsia" w:ascii="宋体" w:hAnsi="宋体" w:cs="宋体"/>
                <w:color w:val="auto"/>
                <w:szCs w:val="21"/>
                <w:highlight w:val="none"/>
                <w:u w:val="single"/>
              </w:rPr>
              <w:t xml:space="preserve">                                     。</w:t>
            </w:r>
          </w:p>
        </w:tc>
      </w:tr>
      <w:tr w14:paraId="6D969E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jc w:val="center"/>
        </w:trPr>
        <w:tc>
          <w:tcPr>
            <w:tcW w:w="725" w:type="dxa"/>
            <w:tcBorders>
              <w:top w:val="single" w:color="000000" w:sz="4" w:space="0"/>
              <w:left w:val="single" w:color="000000" w:sz="4" w:space="0"/>
              <w:bottom w:val="single" w:color="000000" w:sz="4" w:space="0"/>
              <w:right w:val="single" w:color="000000" w:sz="4" w:space="0"/>
            </w:tcBorders>
            <w:vAlign w:val="center"/>
          </w:tcPr>
          <w:p w14:paraId="404F53B2">
            <w:pPr>
              <w:pageBreakBefore w:val="0"/>
              <w:kinsoku/>
              <w:wordWrap/>
              <w:overflowPunct/>
              <w:topLinePunct w:val="0"/>
              <w:bidi w:val="0"/>
              <w:adjustRightInd/>
              <w:spacing w:line="360" w:lineRule="exact"/>
              <w:ind w:left="0"/>
              <w:jc w:val="center"/>
              <w:rPr>
                <w:rFonts w:ascii="宋体" w:hAnsi="宋体" w:cs="宋体"/>
                <w:color w:val="auto"/>
                <w:szCs w:val="21"/>
                <w:highlight w:val="none"/>
              </w:rPr>
            </w:pPr>
            <w:r>
              <w:rPr>
                <w:rFonts w:hint="eastAsia" w:ascii="宋体" w:hAnsi="宋体" w:cs="宋体"/>
                <w:color w:val="auto"/>
                <w:szCs w:val="21"/>
                <w:highlight w:val="none"/>
              </w:rPr>
              <w:t>11.4</w:t>
            </w:r>
          </w:p>
        </w:tc>
        <w:tc>
          <w:tcPr>
            <w:tcW w:w="2785" w:type="dxa"/>
            <w:tcBorders>
              <w:top w:val="single" w:color="000000" w:sz="4" w:space="0"/>
              <w:left w:val="single" w:color="000000" w:sz="4" w:space="0"/>
              <w:bottom w:val="single" w:color="000000" w:sz="4" w:space="0"/>
              <w:right w:val="single" w:color="000000" w:sz="4" w:space="0"/>
            </w:tcBorders>
            <w:vAlign w:val="center"/>
          </w:tcPr>
          <w:p w14:paraId="4C630A93">
            <w:pPr>
              <w:pageBreakBefore w:val="0"/>
              <w:kinsoku/>
              <w:wordWrap/>
              <w:overflowPunct/>
              <w:topLinePunct w:val="0"/>
              <w:bidi w:val="0"/>
              <w:adjustRightInd/>
              <w:spacing w:line="360" w:lineRule="exact"/>
              <w:ind w:left="0"/>
              <w:jc w:val="center"/>
              <w:rPr>
                <w:rFonts w:ascii="宋体" w:hAnsi="宋体" w:cs="宋体"/>
                <w:color w:val="auto"/>
                <w:szCs w:val="21"/>
                <w:highlight w:val="none"/>
              </w:rPr>
            </w:pPr>
            <w:r>
              <w:rPr>
                <w:rFonts w:hint="eastAsia" w:ascii="宋体" w:hAnsi="宋体" w:cs="宋体"/>
                <w:color w:val="auto"/>
                <w:szCs w:val="21"/>
                <w:highlight w:val="none"/>
              </w:rPr>
              <w:t>媒体发布渠道</w:t>
            </w:r>
          </w:p>
        </w:tc>
        <w:tc>
          <w:tcPr>
            <w:tcW w:w="6850" w:type="dxa"/>
            <w:tcBorders>
              <w:top w:val="single" w:color="000000" w:sz="4" w:space="0"/>
              <w:left w:val="single" w:color="000000" w:sz="4" w:space="0"/>
              <w:bottom w:val="single" w:color="000000" w:sz="4" w:space="0"/>
              <w:right w:val="single" w:color="000000" w:sz="4" w:space="0"/>
            </w:tcBorders>
            <w:vAlign w:val="center"/>
          </w:tcPr>
          <w:p w14:paraId="3DF7C9D5">
            <w:pPr>
              <w:pageBreakBefore w:val="0"/>
              <w:kinsoku/>
              <w:wordWrap/>
              <w:overflowPunct/>
              <w:topLinePunct w:val="0"/>
              <w:bidi w:val="0"/>
              <w:adjustRightInd/>
              <w:spacing w:line="360" w:lineRule="exact"/>
              <w:ind w:left="0"/>
              <w:rPr>
                <w:rFonts w:ascii="宋体" w:hAnsi="宋体" w:cs="宋体"/>
                <w:color w:val="auto"/>
                <w:szCs w:val="21"/>
                <w:highlight w:val="none"/>
              </w:rPr>
            </w:pPr>
            <w:r>
              <w:rPr>
                <w:rFonts w:hint="eastAsia" w:ascii="宋体" w:hAnsi="宋体" w:cs="宋体"/>
                <w:color w:val="auto"/>
                <w:szCs w:val="21"/>
                <w:highlight w:val="none"/>
              </w:rPr>
              <w:t>与本项目相关的政府采购业务澄清、更正及与之相关的事项将在采购公告中“六、其他补充事宜”中网上查询地址上发布</w:t>
            </w:r>
            <w:r>
              <w:rPr>
                <w:rFonts w:hint="eastAsia" w:ascii="宋体" w:hAnsi="宋体" w:cs="宋体"/>
                <w:color w:val="auto"/>
                <w:kern w:val="0"/>
                <w:szCs w:val="21"/>
                <w:highlight w:val="none"/>
              </w:rPr>
              <w:t>。</w:t>
            </w:r>
          </w:p>
        </w:tc>
      </w:tr>
      <w:tr w14:paraId="0CE647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14:paraId="69D9ED1B">
            <w:pPr>
              <w:pageBreakBefore w:val="0"/>
              <w:kinsoku/>
              <w:wordWrap/>
              <w:overflowPunct/>
              <w:topLinePunct w:val="0"/>
              <w:bidi w:val="0"/>
              <w:adjustRightInd/>
              <w:spacing w:line="360" w:lineRule="exact"/>
              <w:ind w:left="0"/>
              <w:jc w:val="center"/>
              <w:rPr>
                <w:rFonts w:ascii="宋体" w:hAnsi="宋体" w:cs="宋体"/>
                <w:color w:val="auto"/>
                <w:szCs w:val="21"/>
                <w:highlight w:val="none"/>
              </w:rPr>
            </w:pPr>
            <w:r>
              <w:rPr>
                <w:rFonts w:hint="eastAsia" w:ascii="宋体" w:hAnsi="宋体" w:cs="宋体"/>
                <w:color w:val="auto"/>
                <w:szCs w:val="21"/>
                <w:highlight w:val="none"/>
              </w:rPr>
              <w:t>12.1.1</w:t>
            </w:r>
          </w:p>
        </w:tc>
        <w:tc>
          <w:tcPr>
            <w:tcW w:w="2785" w:type="dxa"/>
            <w:tcBorders>
              <w:top w:val="single" w:color="000000" w:sz="4" w:space="0"/>
              <w:left w:val="single" w:color="000000" w:sz="4" w:space="0"/>
              <w:bottom w:val="single" w:color="000000" w:sz="4" w:space="0"/>
              <w:right w:val="single" w:color="000000" w:sz="4" w:space="0"/>
            </w:tcBorders>
            <w:vAlign w:val="center"/>
          </w:tcPr>
          <w:p w14:paraId="43BBECA9">
            <w:pPr>
              <w:pageBreakBefore w:val="0"/>
              <w:kinsoku/>
              <w:wordWrap/>
              <w:overflowPunct/>
              <w:topLinePunct w:val="0"/>
              <w:bidi w:val="0"/>
              <w:adjustRightInd/>
              <w:snapToGrid w:val="0"/>
              <w:spacing w:line="360" w:lineRule="exact"/>
              <w:ind w:left="0"/>
              <w:jc w:val="center"/>
              <w:rPr>
                <w:rFonts w:ascii="宋体" w:hAnsi="宋体" w:cs="宋体"/>
                <w:b/>
                <w:color w:val="auto"/>
                <w:szCs w:val="21"/>
                <w:highlight w:val="none"/>
              </w:rPr>
            </w:pPr>
            <w:r>
              <w:rPr>
                <w:rFonts w:hint="eastAsia" w:ascii="宋体" w:hAnsi="宋体" w:cs="宋体"/>
                <w:b/>
                <w:color w:val="auto"/>
                <w:szCs w:val="21"/>
                <w:highlight w:val="none"/>
              </w:rPr>
              <w:t>资格证明文件组成</w:t>
            </w:r>
          </w:p>
          <w:p w14:paraId="631857A7">
            <w:pPr>
              <w:pageBreakBefore w:val="0"/>
              <w:kinsoku/>
              <w:wordWrap/>
              <w:overflowPunct/>
              <w:topLinePunct w:val="0"/>
              <w:bidi w:val="0"/>
              <w:adjustRightInd/>
              <w:spacing w:line="360" w:lineRule="exact"/>
              <w:ind w:left="0"/>
              <w:jc w:val="center"/>
              <w:rPr>
                <w:rFonts w:ascii="宋体" w:hAnsi="宋体" w:cs="宋体"/>
                <w:color w:val="auto"/>
                <w:szCs w:val="21"/>
                <w:highlight w:val="none"/>
              </w:rPr>
            </w:pPr>
          </w:p>
        </w:tc>
        <w:tc>
          <w:tcPr>
            <w:tcW w:w="6850" w:type="dxa"/>
            <w:tcBorders>
              <w:top w:val="single" w:color="000000" w:sz="4" w:space="0"/>
              <w:left w:val="single" w:color="000000" w:sz="4" w:space="0"/>
              <w:bottom w:val="single" w:color="000000" w:sz="4" w:space="0"/>
              <w:right w:val="single" w:color="000000" w:sz="4" w:space="0"/>
            </w:tcBorders>
            <w:vAlign w:val="center"/>
          </w:tcPr>
          <w:p w14:paraId="317E2632">
            <w:pPr>
              <w:pStyle w:val="9"/>
              <w:pageBreakBefore w:val="0"/>
              <w:kinsoku/>
              <w:wordWrap/>
              <w:overflowPunct/>
              <w:topLinePunct w:val="0"/>
              <w:bidi w:val="0"/>
              <w:adjustRightInd/>
              <w:spacing w:line="360" w:lineRule="exact"/>
              <w:ind w:left="0"/>
              <w:rPr>
                <w:rFonts w:ascii="宋体" w:hAnsi="宋体" w:cs="宋体"/>
                <w:color w:val="auto"/>
                <w:szCs w:val="21"/>
                <w:highlight w:val="none"/>
              </w:rPr>
            </w:pPr>
            <w:r>
              <w:rPr>
                <w:rFonts w:hint="eastAsia" w:ascii="宋体" w:hAnsi="宋体" w:cs="宋体"/>
                <w:color w:val="auto"/>
                <w:szCs w:val="21"/>
                <w:highlight w:val="none"/>
              </w:rPr>
              <w:t>1.供应商为法人或者其他组织的提供其营业执照等证明文件（如营业执照或者事业单位法人证书或者执业许可证等），供应商为自然人的提供其身份证复印件；（</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58048F83">
            <w:pPr>
              <w:pageBreakBefore w:val="0"/>
              <w:kinsoku/>
              <w:wordWrap/>
              <w:overflowPunct/>
              <w:topLinePunct w:val="0"/>
              <w:bidi w:val="0"/>
              <w:adjustRightInd/>
              <w:snapToGrid w:val="0"/>
              <w:spacing w:line="360" w:lineRule="exact"/>
              <w:ind w:left="0"/>
              <w:jc w:val="left"/>
              <w:rPr>
                <w:rFonts w:ascii="宋体" w:hAnsi="宋体" w:cs="宋体"/>
                <w:color w:val="auto"/>
                <w:szCs w:val="21"/>
                <w:highlight w:val="none"/>
              </w:rPr>
            </w:pPr>
            <w:r>
              <w:rPr>
                <w:rFonts w:hint="eastAsia" w:ascii="宋体" w:hAnsi="宋体" w:cs="宋体"/>
                <w:color w:val="auto"/>
                <w:szCs w:val="21"/>
                <w:highlight w:val="none"/>
              </w:rPr>
              <w:t>2.供应商依法缴纳税收的相关材料：提供</w:t>
            </w:r>
            <w:r>
              <w:rPr>
                <w:rFonts w:hint="eastAsia" w:ascii="宋体" w:hAnsi="宋体" w:cs="宋体"/>
                <w:color w:val="auto"/>
                <w:szCs w:val="21"/>
                <w:highlight w:val="none"/>
                <w:u w:val="single"/>
              </w:rPr>
              <w:t>202</w:t>
            </w:r>
            <w:r>
              <w:rPr>
                <w:rFonts w:hint="eastAsia" w:ascii="宋体" w:hAnsi="宋体" w:cs="宋体"/>
                <w:color w:val="auto"/>
                <w:szCs w:val="21"/>
                <w:highlight w:val="none"/>
                <w:u w:val="single"/>
                <w:lang w:val="en-US" w:eastAsia="zh-CN"/>
              </w:rPr>
              <w:t>4</w:t>
            </w:r>
            <w:r>
              <w:rPr>
                <w:rFonts w:hint="eastAsia" w:ascii="宋体" w:hAnsi="宋体" w:cs="宋体"/>
                <w:color w:val="auto"/>
                <w:szCs w:val="21"/>
                <w:highlight w:val="none"/>
              </w:rPr>
              <w:t>年</w:t>
            </w:r>
            <w:r>
              <w:rPr>
                <w:rFonts w:hint="eastAsia" w:ascii="宋体" w:hAnsi="宋体" w:cs="宋体"/>
                <w:color w:val="auto"/>
                <w:szCs w:val="21"/>
                <w:highlight w:val="none"/>
                <w:u w:val="single"/>
                <w:lang w:val="en-US" w:eastAsia="zh-CN"/>
              </w:rPr>
              <w:t>11</w:t>
            </w:r>
            <w:r>
              <w:rPr>
                <w:rFonts w:hint="eastAsia" w:ascii="宋体" w:hAnsi="宋体" w:cs="宋体"/>
                <w:color w:val="auto"/>
                <w:szCs w:val="21"/>
                <w:highlight w:val="none"/>
              </w:rPr>
              <w:t>月至</w:t>
            </w:r>
            <w:r>
              <w:rPr>
                <w:rFonts w:hint="eastAsia" w:ascii="宋体" w:hAnsi="宋体" w:cs="宋体"/>
                <w:color w:val="auto"/>
                <w:szCs w:val="21"/>
                <w:highlight w:val="none"/>
                <w:u w:val="single"/>
              </w:rPr>
              <w:t>202</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rPr>
              <w:t>年</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rPr>
              <w:t>月期间连续</w:t>
            </w:r>
            <w:r>
              <w:rPr>
                <w:rFonts w:hint="eastAsia" w:ascii="宋体" w:hAnsi="宋体" w:cs="宋体"/>
                <w:color w:val="auto"/>
                <w:szCs w:val="21"/>
                <w:highlight w:val="none"/>
                <w:u w:val="single"/>
              </w:rPr>
              <w:t xml:space="preserve"> 3 </w:t>
            </w:r>
            <w:r>
              <w:rPr>
                <w:rFonts w:hint="eastAsia" w:ascii="宋体" w:hAnsi="宋体" w:cs="宋体"/>
                <w:color w:val="auto"/>
                <w:szCs w:val="21"/>
                <w:highlight w:val="none"/>
              </w:rPr>
              <w:t>个月的依法缴纳税收的凭据复印件；依法免税的供应商，必须提供相应文件证明其依法免税。从取得营业执照时间起到投标文件提交截止时间为止不足要求月数的，只需提供从取得营业执照起的依法缴纳税收相应证明文件）；（</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578BF804">
            <w:pPr>
              <w:pageBreakBefore w:val="0"/>
              <w:kinsoku/>
              <w:wordWrap/>
              <w:overflowPunct/>
              <w:topLinePunct w:val="0"/>
              <w:bidi w:val="0"/>
              <w:adjustRightInd/>
              <w:snapToGrid w:val="0"/>
              <w:spacing w:line="360" w:lineRule="exact"/>
              <w:ind w:left="0"/>
              <w:jc w:val="left"/>
              <w:rPr>
                <w:rFonts w:ascii="宋体" w:hAnsi="宋体" w:cs="宋体"/>
                <w:color w:val="auto"/>
                <w:szCs w:val="21"/>
                <w:highlight w:val="none"/>
              </w:rPr>
            </w:pPr>
            <w:r>
              <w:rPr>
                <w:rFonts w:hint="eastAsia" w:ascii="宋体" w:hAnsi="宋体" w:cs="宋体"/>
                <w:color w:val="auto"/>
                <w:szCs w:val="21"/>
                <w:highlight w:val="none"/>
              </w:rPr>
              <w:t>3.供应商依法缴纳社会保障资金的相关材料：提供</w:t>
            </w:r>
            <w:r>
              <w:rPr>
                <w:rFonts w:hint="eastAsia" w:ascii="宋体" w:hAnsi="宋体" w:cs="宋体"/>
                <w:color w:val="auto"/>
                <w:szCs w:val="21"/>
                <w:highlight w:val="none"/>
                <w:u w:val="single"/>
              </w:rPr>
              <w:t>202</w:t>
            </w:r>
            <w:r>
              <w:rPr>
                <w:rFonts w:hint="eastAsia" w:ascii="宋体" w:hAnsi="宋体" w:cs="宋体"/>
                <w:color w:val="auto"/>
                <w:szCs w:val="21"/>
                <w:highlight w:val="none"/>
                <w:u w:val="single"/>
                <w:lang w:val="en-US" w:eastAsia="zh-CN"/>
              </w:rPr>
              <w:t>4</w:t>
            </w:r>
            <w:r>
              <w:rPr>
                <w:rFonts w:hint="eastAsia" w:ascii="宋体" w:hAnsi="宋体" w:cs="宋体"/>
                <w:color w:val="auto"/>
                <w:szCs w:val="21"/>
                <w:highlight w:val="none"/>
              </w:rPr>
              <w:t>年</w:t>
            </w:r>
            <w:r>
              <w:rPr>
                <w:rFonts w:hint="eastAsia" w:ascii="宋体" w:hAnsi="宋体" w:cs="宋体"/>
                <w:color w:val="auto"/>
                <w:szCs w:val="21"/>
                <w:highlight w:val="none"/>
                <w:u w:val="single"/>
                <w:lang w:val="en-US" w:eastAsia="zh-CN"/>
              </w:rPr>
              <w:t>11</w:t>
            </w:r>
            <w:r>
              <w:rPr>
                <w:rFonts w:hint="eastAsia" w:ascii="宋体" w:hAnsi="宋体" w:cs="宋体"/>
                <w:color w:val="auto"/>
                <w:szCs w:val="21"/>
                <w:highlight w:val="none"/>
              </w:rPr>
              <w:t>月至</w:t>
            </w:r>
            <w:r>
              <w:rPr>
                <w:rFonts w:hint="eastAsia" w:ascii="宋体" w:hAnsi="宋体" w:cs="宋体"/>
                <w:color w:val="auto"/>
                <w:szCs w:val="21"/>
                <w:highlight w:val="none"/>
                <w:u w:val="single"/>
              </w:rPr>
              <w:t>202</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rPr>
              <w:t>年</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rPr>
              <w:t>月期间连续</w:t>
            </w:r>
            <w:r>
              <w:rPr>
                <w:rFonts w:hint="eastAsia" w:ascii="宋体" w:hAnsi="宋体" w:cs="宋体"/>
                <w:color w:val="auto"/>
                <w:szCs w:val="21"/>
                <w:highlight w:val="none"/>
                <w:u w:val="single"/>
              </w:rPr>
              <w:t xml:space="preserve"> 3 </w:t>
            </w:r>
            <w:r>
              <w:rPr>
                <w:rFonts w:hint="eastAsia" w:ascii="宋体" w:hAnsi="宋体" w:cs="宋体"/>
                <w:color w:val="auto"/>
                <w:szCs w:val="21"/>
                <w:highlight w:val="none"/>
              </w:rPr>
              <w:t>个月的依法缴纳社会保障资金的缴费凭证（专用收据或者社会保险缴纳清单）复印件；依法不需要缴纳社会保障资金的供应商，必须提供相应文件证明不需要缴纳社会保障资金。从取得营业执照时间起到响应文件提交截止时间为止不足要求月数的只需提供从取得营业执照起的依法缴纳社会保障资金的相应证明文件]；（</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252A5554">
            <w:pPr>
              <w:pageBreakBefore w:val="0"/>
              <w:kinsoku/>
              <w:wordWrap/>
              <w:overflowPunct/>
              <w:topLinePunct w:val="0"/>
              <w:bidi w:val="0"/>
              <w:adjustRightInd/>
              <w:snapToGrid w:val="0"/>
              <w:spacing w:line="360" w:lineRule="exact"/>
              <w:ind w:left="0"/>
              <w:jc w:val="left"/>
              <w:rPr>
                <w:rFonts w:ascii="宋体" w:hAnsi="宋体" w:cs="宋体"/>
                <w:color w:val="auto"/>
                <w:szCs w:val="21"/>
                <w:highlight w:val="none"/>
              </w:rPr>
            </w:pPr>
            <w:r>
              <w:rPr>
                <w:rFonts w:hint="eastAsia" w:ascii="宋体" w:hAnsi="宋体" w:cs="宋体"/>
                <w:color w:val="auto"/>
                <w:szCs w:val="21"/>
                <w:highlight w:val="none"/>
              </w:rPr>
              <w:t>4.供应商财务状况报告：提供202</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或2024年</w:t>
            </w:r>
            <w:r>
              <w:rPr>
                <w:rFonts w:hint="eastAsia" w:ascii="宋体" w:hAnsi="宋体" w:cs="宋体"/>
                <w:color w:val="auto"/>
                <w:szCs w:val="21"/>
                <w:highlight w:val="none"/>
              </w:rPr>
              <w:t>财务状况报告复印件；供应商成立不满一年的应按提供首次响应文件提交截止时间上一个月的财务状况报告复印件。（上述财务状况报告包括：①供应商执行《企业会计准则》的，提供资产负债表、利润表、现金流量表、所有者权益变动表、附注（以下称“四表一注”）；②供应商执行《小企业会计准则》的，提供资产负债表、利润表、现金流量表、附注（以下称“三表一注”）；③供应商执行《政府会计制度》的，提供资产负债表、收入费用表、净资产变动表、附注</w:t>
            </w:r>
            <w:r>
              <w:rPr>
                <w:rFonts w:hint="eastAsia" w:ascii="宋体" w:hAnsi="宋体" w:cs="宋体"/>
                <w:color w:val="auto"/>
                <w:szCs w:val="21"/>
                <w:highlight w:val="none"/>
                <w:lang w:eastAsia="zh-CN"/>
              </w:rPr>
              <w:t>）</w:t>
            </w:r>
            <w:r>
              <w:rPr>
                <w:rFonts w:hint="eastAsia" w:ascii="宋体" w:hAnsi="宋体" w:cs="宋体"/>
                <w:color w:val="auto"/>
                <w:szCs w:val="21"/>
                <w:highlight w:val="none"/>
              </w:rPr>
              <w:t>；（</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343597FB">
            <w:pPr>
              <w:pageBreakBefore w:val="0"/>
              <w:kinsoku/>
              <w:wordWrap/>
              <w:overflowPunct/>
              <w:topLinePunct w:val="0"/>
              <w:bidi w:val="0"/>
              <w:adjustRightInd/>
              <w:snapToGrid w:val="0"/>
              <w:spacing w:line="360" w:lineRule="exact"/>
              <w:ind w:left="0"/>
              <w:jc w:val="left"/>
              <w:rPr>
                <w:rFonts w:ascii="宋体" w:hAnsi="宋体" w:cs="宋体"/>
                <w:color w:val="auto"/>
                <w:szCs w:val="21"/>
                <w:highlight w:val="none"/>
              </w:rPr>
            </w:pPr>
            <w:r>
              <w:rPr>
                <w:rFonts w:hint="eastAsia" w:ascii="宋体" w:hAnsi="宋体" w:cs="宋体"/>
                <w:color w:val="auto"/>
                <w:szCs w:val="21"/>
                <w:highlight w:val="none"/>
              </w:rPr>
              <w:t>5.供应商直接控股、管理关系信息表；（</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132FC492">
            <w:pPr>
              <w:pageBreakBefore w:val="0"/>
              <w:kinsoku/>
              <w:wordWrap/>
              <w:overflowPunct/>
              <w:topLinePunct w:val="0"/>
              <w:bidi w:val="0"/>
              <w:adjustRightInd/>
              <w:snapToGrid w:val="0"/>
              <w:spacing w:line="360" w:lineRule="exact"/>
              <w:ind w:left="0"/>
              <w:jc w:val="left"/>
              <w:rPr>
                <w:rFonts w:ascii="宋体" w:hAnsi="宋体" w:cs="宋体"/>
                <w:color w:val="auto"/>
                <w:szCs w:val="21"/>
                <w:highlight w:val="none"/>
              </w:rPr>
            </w:pPr>
            <w:r>
              <w:rPr>
                <w:rFonts w:hint="eastAsia" w:ascii="宋体" w:hAnsi="宋体" w:cs="宋体"/>
                <w:color w:val="auto"/>
                <w:szCs w:val="21"/>
                <w:highlight w:val="none"/>
              </w:rPr>
              <w:t>6.资格声明函；（</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0CF92382">
            <w:pPr>
              <w:pageBreakBefore w:val="0"/>
              <w:kinsoku/>
              <w:wordWrap/>
              <w:overflowPunct/>
              <w:topLinePunct w:val="0"/>
              <w:bidi w:val="0"/>
              <w:adjustRightInd/>
              <w:snapToGrid w:val="0"/>
              <w:spacing w:line="360" w:lineRule="exact"/>
              <w:ind w:left="0"/>
              <w:jc w:val="left"/>
              <w:rPr>
                <w:rFonts w:ascii="宋体" w:hAnsi="宋体" w:cs="宋体"/>
                <w:color w:val="auto"/>
                <w:szCs w:val="21"/>
                <w:highlight w:val="none"/>
              </w:rPr>
            </w:pPr>
            <w:r>
              <w:rPr>
                <w:rFonts w:hint="eastAsia" w:ascii="宋体" w:hAnsi="宋体" w:cs="宋体"/>
                <w:color w:val="auto"/>
                <w:szCs w:val="21"/>
                <w:highlight w:val="none"/>
              </w:rPr>
              <w:t>7.联合体协议书；（</w:t>
            </w:r>
            <w:r>
              <w:rPr>
                <w:rFonts w:hint="eastAsia" w:ascii="宋体" w:hAnsi="宋体" w:cs="宋体"/>
                <w:b/>
                <w:color w:val="auto"/>
                <w:szCs w:val="21"/>
                <w:highlight w:val="none"/>
              </w:rPr>
              <w:t>联合体竞标时必须提供，否则响应文件按无效响应处理</w:t>
            </w:r>
            <w:r>
              <w:rPr>
                <w:rFonts w:hint="eastAsia" w:ascii="宋体" w:hAnsi="宋体" w:cs="宋体"/>
                <w:color w:val="auto"/>
                <w:szCs w:val="21"/>
                <w:highlight w:val="none"/>
              </w:rPr>
              <w:t>）</w:t>
            </w:r>
          </w:p>
          <w:p w14:paraId="2558D933">
            <w:pPr>
              <w:pageBreakBefore w:val="0"/>
              <w:kinsoku/>
              <w:wordWrap/>
              <w:overflowPunct/>
              <w:topLinePunct w:val="0"/>
              <w:bidi w:val="0"/>
              <w:adjustRightInd/>
              <w:snapToGrid w:val="0"/>
              <w:spacing w:line="360" w:lineRule="exact"/>
              <w:ind w:left="0"/>
              <w:jc w:val="left"/>
              <w:rPr>
                <w:rFonts w:ascii="宋体" w:hAnsi="宋体" w:cs="宋体"/>
                <w:color w:val="auto"/>
                <w:szCs w:val="21"/>
                <w:highlight w:val="none"/>
              </w:rPr>
            </w:pPr>
            <w:r>
              <w:rPr>
                <w:rFonts w:hint="eastAsia" w:ascii="宋体" w:hAnsi="宋体" w:cs="宋体"/>
                <w:color w:val="auto"/>
                <w:szCs w:val="21"/>
                <w:highlight w:val="none"/>
              </w:rPr>
              <w:t>8.中小企业声明函或残疾人福利性单位声明函或属于监狱企业的证明文件；（</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2654300D">
            <w:pPr>
              <w:pageBreakBefore w:val="0"/>
              <w:kinsoku/>
              <w:wordWrap/>
              <w:overflowPunct/>
              <w:topLinePunct w:val="0"/>
              <w:bidi w:val="0"/>
              <w:adjustRightInd/>
              <w:spacing w:line="360" w:lineRule="exact"/>
              <w:ind w:left="0"/>
              <w:rPr>
                <w:rFonts w:hint="eastAsia" w:ascii="宋体" w:hAnsi="宋体" w:cs="宋体"/>
                <w:color w:val="auto"/>
                <w:szCs w:val="21"/>
                <w:highlight w:val="none"/>
              </w:rPr>
            </w:pPr>
            <w:r>
              <w:rPr>
                <w:rFonts w:hint="eastAsia" w:ascii="宋体" w:hAnsi="宋体" w:cs="宋体"/>
                <w:color w:val="auto"/>
                <w:szCs w:val="21"/>
                <w:highlight w:val="none"/>
              </w:rPr>
              <w:t>9.</w:t>
            </w:r>
            <w:r>
              <w:rPr>
                <w:rFonts w:hint="eastAsia" w:ascii="宋体" w:hAnsi="宋体" w:cs="宋体"/>
                <w:color w:val="auto"/>
                <w:szCs w:val="21"/>
                <w:highlight w:val="none"/>
                <w:lang w:val="en-US" w:eastAsia="zh-CN"/>
              </w:rPr>
              <w:t>资格要求</w:t>
            </w:r>
            <w:r>
              <w:rPr>
                <w:rFonts w:hint="eastAsia" w:ascii="宋体" w:hAnsi="宋体" w:cs="宋体"/>
                <w:color w:val="auto"/>
                <w:szCs w:val="21"/>
                <w:highlight w:val="none"/>
                <w:lang w:eastAsia="zh-CN"/>
              </w:rPr>
              <w:t>：</w:t>
            </w:r>
            <w:r>
              <w:rPr>
                <w:rFonts w:hint="eastAsia" w:asciiTheme="minorEastAsia" w:hAnsiTheme="minorEastAsia" w:eastAsiaTheme="minorEastAsia" w:cstheme="minorEastAsia"/>
                <w:color w:val="auto"/>
                <w:szCs w:val="21"/>
                <w:highlight w:val="none"/>
                <w:lang w:eastAsia="zh-CN"/>
              </w:rPr>
              <w:t>①</w:t>
            </w:r>
            <w:r>
              <w:rPr>
                <w:rFonts w:hint="eastAsia" w:asciiTheme="minorEastAsia" w:hAnsiTheme="minorEastAsia" w:eastAsiaTheme="minorEastAsia" w:cstheme="minorEastAsia"/>
                <w:color w:val="auto"/>
                <w:szCs w:val="21"/>
                <w:highlight w:val="none"/>
              </w:rPr>
              <w:t>供应商须具备建筑工程施工总承包</w:t>
            </w:r>
            <w:r>
              <w:rPr>
                <w:rFonts w:hint="eastAsia" w:ascii="宋体" w:hAnsi="宋体" w:cs="宋体"/>
                <w:color w:val="auto"/>
                <w:szCs w:val="21"/>
                <w:highlight w:val="none"/>
              </w:rPr>
              <w:t>三</w:t>
            </w:r>
            <w:r>
              <w:rPr>
                <w:rFonts w:hint="eastAsia" w:asciiTheme="minorEastAsia" w:hAnsiTheme="minorEastAsia" w:eastAsiaTheme="minorEastAsia" w:cstheme="minorEastAsia"/>
                <w:color w:val="auto"/>
                <w:szCs w:val="21"/>
                <w:highlight w:val="none"/>
              </w:rPr>
              <w:t>级及以上资质，同时持有省级及以上建设行政主管部门颁发的安全生产许可证；②</w:t>
            </w:r>
            <w:r>
              <w:rPr>
                <w:rFonts w:hint="eastAsia" w:asciiTheme="minorEastAsia" w:hAnsiTheme="minorEastAsia" w:eastAsiaTheme="minorEastAsia" w:cstheme="minorEastAsia"/>
                <w:color w:val="auto"/>
                <w:szCs w:val="21"/>
                <w:highlight w:val="none"/>
                <w:lang w:val="en-US" w:eastAsia="zh-CN"/>
              </w:rPr>
              <w:t>项目经理须具备建筑工程专业贰级以上（含贰级）注册建造师资格，并持有省级或省级以上行政主管部门或其授权部门（机构）颁发的B类安全生产考核合格证书；</w:t>
            </w:r>
            <w:r>
              <w:rPr>
                <w:rFonts w:hint="eastAsia" w:asciiTheme="minorEastAsia" w:hAnsiTheme="minorEastAsia" w:eastAsiaTheme="minorEastAsia" w:cstheme="minorEastAsia"/>
                <w:color w:val="auto"/>
                <w:szCs w:val="21"/>
                <w:highlight w:val="none"/>
                <w:lang w:eastAsia="zh-CN"/>
              </w:rPr>
              <w:t>③</w:t>
            </w:r>
            <w:r>
              <w:rPr>
                <w:rFonts w:hint="eastAsia" w:asciiTheme="minorEastAsia" w:hAnsiTheme="minorEastAsia" w:eastAsiaTheme="minorEastAsia" w:cstheme="minorEastAsia"/>
                <w:color w:val="auto"/>
                <w:szCs w:val="21"/>
                <w:highlight w:val="none"/>
                <w:lang w:val="en-US" w:eastAsia="zh-CN"/>
              </w:rPr>
              <w:t>拟投入本项目的专职安全员须具备有效的安全生产考核合格证书（C类）。</w:t>
            </w:r>
            <w:r>
              <w:rPr>
                <w:rFonts w:hint="eastAsia" w:ascii="宋体" w:hAnsi="宋体" w:cs="宋体"/>
                <w:color w:val="auto"/>
                <w:szCs w:val="21"/>
                <w:highlight w:val="none"/>
              </w:rPr>
              <w:t>（</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55CF39C5">
            <w:pPr>
              <w:pageBreakBefore w:val="0"/>
              <w:kinsoku/>
              <w:wordWrap/>
              <w:overflowPunct/>
              <w:topLinePunct w:val="0"/>
              <w:bidi w:val="0"/>
              <w:adjustRightInd/>
              <w:spacing w:line="360" w:lineRule="exact"/>
              <w:ind w:left="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10.建设工程项目管理承诺书；</w:t>
            </w:r>
            <w:r>
              <w:rPr>
                <w:rFonts w:hint="eastAsia" w:ascii="宋体" w:hAnsi="宋体" w:cs="宋体"/>
                <w:color w:val="auto"/>
                <w:szCs w:val="21"/>
                <w:highlight w:val="none"/>
              </w:rPr>
              <w:t>（</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5C5AAB03">
            <w:pPr>
              <w:pageBreakBefore w:val="0"/>
              <w:kinsoku/>
              <w:wordWrap/>
              <w:overflowPunct/>
              <w:topLinePunct w:val="0"/>
              <w:bidi w:val="0"/>
              <w:adjustRightInd/>
              <w:snapToGrid w:val="0"/>
              <w:spacing w:line="360" w:lineRule="exact"/>
              <w:ind w:left="0"/>
              <w:jc w:val="left"/>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、除磋商文件规定必须提供以外，供应商认为需要提供的其他证明材料；</w:t>
            </w:r>
          </w:p>
          <w:p w14:paraId="075FFD76">
            <w:pPr>
              <w:pageBreakBefore w:val="0"/>
              <w:kinsoku/>
              <w:wordWrap/>
              <w:overflowPunct/>
              <w:topLinePunct w:val="0"/>
              <w:bidi w:val="0"/>
              <w:adjustRightInd/>
              <w:snapToGrid w:val="0"/>
              <w:spacing w:line="360" w:lineRule="exact"/>
              <w:ind w:left="0"/>
              <w:jc w:val="left"/>
              <w:rPr>
                <w:rFonts w:ascii="宋体" w:hAnsi="宋体" w:cs="宋体"/>
                <w:b/>
                <w:color w:val="auto"/>
                <w:szCs w:val="21"/>
                <w:highlight w:val="none"/>
              </w:rPr>
            </w:pPr>
            <w:r>
              <w:rPr>
                <w:rFonts w:hint="eastAsia" w:ascii="宋体" w:hAnsi="宋体" w:cs="宋体"/>
                <w:b/>
                <w:color w:val="auto"/>
                <w:szCs w:val="21"/>
                <w:highlight w:val="none"/>
              </w:rPr>
              <w:t>注：</w:t>
            </w:r>
          </w:p>
          <w:p w14:paraId="7A64730C">
            <w:pPr>
              <w:pageBreakBefore w:val="0"/>
              <w:kinsoku/>
              <w:wordWrap/>
              <w:overflowPunct/>
              <w:topLinePunct w:val="0"/>
              <w:bidi w:val="0"/>
              <w:adjustRightInd/>
              <w:snapToGrid w:val="0"/>
              <w:spacing w:line="360" w:lineRule="exact"/>
              <w:ind w:left="0" w:firstLine="413" w:firstLineChars="196"/>
              <w:jc w:val="left"/>
              <w:rPr>
                <w:rFonts w:ascii="宋体" w:hAnsi="宋体" w:cs="宋体"/>
                <w:b/>
                <w:color w:val="auto"/>
                <w:szCs w:val="21"/>
                <w:highlight w:val="none"/>
              </w:rPr>
            </w:pPr>
            <w:r>
              <w:rPr>
                <w:rFonts w:hint="eastAsia" w:ascii="宋体" w:hAnsi="宋体" w:cs="宋体"/>
                <w:b/>
                <w:color w:val="auto"/>
                <w:szCs w:val="21"/>
                <w:highlight w:val="none"/>
              </w:rPr>
              <w:t>1.以上标明“必须提供”的材料属于复印件的扫描件的，必须加盖供应商电子公章，否则响应文件按无效响应处理。</w:t>
            </w:r>
          </w:p>
          <w:p w14:paraId="6E455E21">
            <w:pPr>
              <w:pStyle w:val="9"/>
              <w:pageBreakBefore w:val="0"/>
              <w:kinsoku/>
              <w:wordWrap/>
              <w:overflowPunct/>
              <w:topLinePunct w:val="0"/>
              <w:bidi w:val="0"/>
              <w:adjustRightInd/>
              <w:spacing w:line="360" w:lineRule="exact"/>
              <w:ind w:left="0" w:firstLine="422" w:firstLineChars="200"/>
              <w:rPr>
                <w:rFonts w:ascii="宋体" w:hAnsi="宋体" w:cs="宋体"/>
                <w:b/>
                <w:color w:val="auto"/>
                <w:szCs w:val="21"/>
                <w:highlight w:val="none"/>
              </w:rPr>
            </w:pPr>
            <w:r>
              <w:rPr>
                <w:rFonts w:hint="eastAsia" w:ascii="宋体" w:hAnsi="宋体" w:cs="宋体"/>
                <w:b/>
                <w:color w:val="auto"/>
                <w:szCs w:val="21"/>
                <w:highlight w:val="none"/>
              </w:rPr>
              <w:t>2.联合体竞标时，第1-5项资格证明文件联合体各方均必须分别提供，联合体各方分别盖章和签字，否则响应文件按无效响应处理。</w:t>
            </w:r>
          </w:p>
        </w:tc>
      </w:tr>
      <w:tr w14:paraId="3E4644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restart"/>
            <w:tcBorders>
              <w:top w:val="single" w:color="000000" w:sz="4" w:space="0"/>
              <w:left w:val="single" w:color="000000" w:sz="4" w:space="0"/>
              <w:bottom w:val="single" w:color="000000" w:sz="4" w:space="0"/>
              <w:right w:val="single" w:color="000000" w:sz="4" w:space="0"/>
            </w:tcBorders>
            <w:vAlign w:val="center"/>
          </w:tcPr>
          <w:p w14:paraId="24D946B1">
            <w:pPr>
              <w:pageBreakBefore w:val="0"/>
              <w:kinsoku/>
              <w:wordWrap/>
              <w:overflowPunct/>
              <w:topLinePunct w:val="0"/>
              <w:bidi w:val="0"/>
              <w:adjustRightInd/>
              <w:spacing w:line="360" w:lineRule="exact"/>
              <w:ind w:left="0"/>
              <w:jc w:val="center"/>
              <w:rPr>
                <w:rFonts w:ascii="宋体" w:hAnsi="宋体" w:cs="宋体"/>
                <w:color w:val="auto"/>
                <w:szCs w:val="21"/>
                <w:highlight w:val="none"/>
              </w:rPr>
            </w:pPr>
            <w:r>
              <w:rPr>
                <w:rFonts w:hint="eastAsia" w:ascii="宋体" w:hAnsi="宋体" w:cs="宋体"/>
                <w:color w:val="auto"/>
                <w:szCs w:val="21"/>
                <w:highlight w:val="none"/>
              </w:rPr>
              <w:t>12.1.2</w:t>
            </w:r>
          </w:p>
        </w:tc>
        <w:tc>
          <w:tcPr>
            <w:tcW w:w="2785" w:type="dxa"/>
            <w:tcBorders>
              <w:top w:val="single" w:color="000000" w:sz="4" w:space="0"/>
              <w:left w:val="single" w:color="000000" w:sz="4" w:space="0"/>
              <w:bottom w:val="single" w:color="000000" w:sz="4" w:space="0"/>
              <w:right w:val="single" w:color="000000" w:sz="4" w:space="0"/>
            </w:tcBorders>
            <w:vAlign w:val="center"/>
          </w:tcPr>
          <w:p w14:paraId="5C210A01">
            <w:pPr>
              <w:pageBreakBefore w:val="0"/>
              <w:kinsoku/>
              <w:wordWrap/>
              <w:overflowPunct/>
              <w:topLinePunct w:val="0"/>
              <w:bidi w:val="0"/>
              <w:adjustRightInd/>
              <w:spacing w:line="360" w:lineRule="exact"/>
              <w:ind w:left="0"/>
              <w:jc w:val="center"/>
              <w:rPr>
                <w:rFonts w:ascii="宋体" w:hAnsi="宋体" w:cs="宋体"/>
                <w:b/>
                <w:bCs/>
                <w:color w:val="auto"/>
                <w:szCs w:val="21"/>
                <w:highlight w:val="none"/>
              </w:rPr>
            </w:pPr>
            <w:r>
              <w:rPr>
                <w:rFonts w:hint="eastAsia" w:ascii="宋体" w:hAnsi="宋体" w:cs="宋体"/>
                <w:b/>
                <w:bCs/>
                <w:color w:val="auto"/>
                <w:szCs w:val="21"/>
                <w:highlight w:val="none"/>
              </w:rPr>
              <w:t>商务文件组成</w:t>
            </w:r>
          </w:p>
        </w:tc>
        <w:tc>
          <w:tcPr>
            <w:tcW w:w="6850" w:type="dxa"/>
            <w:tcBorders>
              <w:top w:val="single" w:color="000000" w:sz="4" w:space="0"/>
              <w:left w:val="single" w:color="000000" w:sz="4" w:space="0"/>
              <w:bottom w:val="single" w:color="000000" w:sz="4" w:space="0"/>
              <w:right w:val="single" w:color="000000" w:sz="4" w:space="0"/>
            </w:tcBorders>
            <w:vAlign w:val="center"/>
          </w:tcPr>
          <w:p w14:paraId="1A34866C">
            <w:pPr>
              <w:pageBreakBefore w:val="0"/>
              <w:kinsoku/>
              <w:wordWrap/>
              <w:overflowPunct/>
              <w:topLinePunct w:val="0"/>
              <w:bidi w:val="0"/>
              <w:adjustRightInd/>
              <w:spacing w:line="360" w:lineRule="exact"/>
              <w:ind w:left="0"/>
              <w:rPr>
                <w:rFonts w:ascii="宋体" w:hAnsi="宋体" w:cs="宋体"/>
                <w:color w:val="auto"/>
                <w:szCs w:val="21"/>
                <w:highlight w:val="none"/>
              </w:rPr>
            </w:pPr>
            <w:r>
              <w:rPr>
                <w:rFonts w:hint="eastAsia" w:ascii="宋体" w:hAnsi="宋体" w:cs="宋体"/>
                <w:color w:val="auto"/>
                <w:szCs w:val="21"/>
                <w:highlight w:val="none"/>
              </w:rPr>
              <w:t>1.无串通竞标行为的承诺函；（</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6CBFFAB2">
            <w:pPr>
              <w:pageBreakBefore w:val="0"/>
              <w:kinsoku/>
              <w:wordWrap/>
              <w:overflowPunct/>
              <w:topLinePunct w:val="0"/>
              <w:bidi w:val="0"/>
              <w:adjustRightInd/>
              <w:snapToGrid w:val="0"/>
              <w:spacing w:line="360" w:lineRule="exact"/>
              <w:ind w:left="0"/>
              <w:jc w:val="left"/>
              <w:rPr>
                <w:rFonts w:ascii="宋体" w:hAnsi="宋体" w:cs="宋体"/>
                <w:color w:val="auto"/>
                <w:szCs w:val="21"/>
                <w:highlight w:val="none"/>
              </w:rPr>
            </w:pPr>
            <w:r>
              <w:rPr>
                <w:rFonts w:hint="eastAsia" w:ascii="宋体" w:hAnsi="宋体" w:cs="宋体"/>
                <w:color w:val="auto"/>
                <w:szCs w:val="21"/>
                <w:highlight w:val="none"/>
              </w:rPr>
              <w:t>2.法定代表人身份证明书及法定代表人有效身份证正反面复印件；（</w:t>
            </w:r>
            <w:r>
              <w:rPr>
                <w:rFonts w:hint="eastAsia" w:ascii="宋体" w:hAnsi="宋体" w:cs="宋体"/>
                <w:b/>
                <w:bCs/>
                <w:color w:val="auto"/>
                <w:szCs w:val="21"/>
                <w:highlight w:val="none"/>
              </w:rPr>
              <w:t>除自然人竞标外</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1D0B5199">
            <w:pPr>
              <w:pageBreakBefore w:val="0"/>
              <w:kinsoku/>
              <w:wordWrap/>
              <w:overflowPunct/>
              <w:topLinePunct w:val="0"/>
              <w:bidi w:val="0"/>
              <w:adjustRightInd/>
              <w:spacing w:line="360" w:lineRule="exact"/>
              <w:ind w:left="0"/>
              <w:rPr>
                <w:rFonts w:ascii="宋体" w:hAnsi="宋体" w:cs="宋体"/>
                <w:b/>
                <w:color w:val="auto"/>
                <w:szCs w:val="21"/>
                <w:highlight w:val="none"/>
              </w:rPr>
            </w:pPr>
            <w:r>
              <w:rPr>
                <w:rFonts w:hint="eastAsia" w:ascii="宋体" w:hAnsi="宋体" w:cs="宋体"/>
                <w:color w:val="auto"/>
                <w:szCs w:val="21"/>
                <w:highlight w:val="none"/>
              </w:rPr>
              <w:t>3.法定代表人授权委托书及委托代理人有效身份证正反面复印件；（</w:t>
            </w:r>
            <w:r>
              <w:rPr>
                <w:rFonts w:hint="eastAsia" w:ascii="宋体" w:hAnsi="宋体" w:cs="宋体"/>
                <w:b/>
                <w:color w:val="auto"/>
                <w:szCs w:val="21"/>
                <w:highlight w:val="none"/>
              </w:rPr>
              <w:t>委托时必须提供，否则响应文件按无效响应处理</w:t>
            </w:r>
            <w:r>
              <w:rPr>
                <w:rFonts w:hint="eastAsia" w:ascii="宋体" w:hAnsi="宋体" w:cs="宋体"/>
                <w:color w:val="auto"/>
                <w:szCs w:val="21"/>
                <w:highlight w:val="none"/>
              </w:rPr>
              <w:t>）</w:t>
            </w:r>
          </w:p>
          <w:p w14:paraId="1C098590">
            <w:pPr>
              <w:pageBreakBefore w:val="0"/>
              <w:kinsoku/>
              <w:wordWrap/>
              <w:overflowPunct/>
              <w:topLinePunct w:val="0"/>
              <w:bidi w:val="0"/>
              <w:adjustRightInd/>
              <w:spacing w:line="360" w:lineRule="exact"/>
              <w:ind w:left="0"/>
              <w:rPr>
                <w:rFonts w:ascii="宋体" w:hAnsi="宋体" w:cs="宋体"/>
                <w:color w:val="auto"/>
                <w:szCs w:val="21"/>
                <w:highlight w:val="none"/>
              </w:rPr>
            </w:pPr>
            <w:r>
              <w:rPr>
                <w:rFonts w:hint="eastAsia" w:ascii="宋体" w:hAnsi="宋体" w:cs="宋体"/>
                <w:color w:val="auto"/>
                <w:szCs w:val="21"/>
                <w:highlight w:val="none"/>
              </w:rPr>
              <w:t>4.商务条款偏离表；（</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3C336849">
            <w:pPr>
              <w:pageBreakBefore w:val="0"/>
              <w:kinsoku/>
              <w:wordWrap/>
              <w:overflowPunct/>
              <w:topLinePunct w:val="0"/>
              <w:bidi w:val="0"/>
              <w:adjustRightInd/>
              <w:spacing w:line="360" w:lineRule="exact"/>
              <w:ind w:left="0"/>
              <w:rPr>
                <w:rFonts w:ascii="宋体" w:hAnsi="宋体" w:cs="宋体"/>
                <w:color w:val="auto"/>
                <w:szCs w:val="21"/>
                <w:highlight w:val="none"/>
              </w:rPr>
            </w:pPr>
            <w:r>
              <w:rPr>
                <w:rFonts w:hint="eastAsia" w:ascii="宋体" w:hAnsi="宋体" w:cs="宋体"/>
                <w:color w:val="auto"/>
                <w:szCs w:val="21"/>
                <w:highlight w:val="none"/>
              </w:rPr>
              <w:t>5.竞标人情况介绍；</w:t>
            </w:r>
          </w:p>
          <w:p w14:paraId="49D458A2">
            <w:pPr>
              <w:pageBreakBefore w:val="0"/>
              <w:kinsoku/>
              <w:wordWrap/>
              <w:overflowPunct/>
              <w:topLinePunct w:val="0"/>
              <w:bidi w:val="0"/>
              <w:adjustRightInd/>
              <w:spacing w:line="360" w:lineRule="exact"/>
              <w:ind w:left="0"/>
              <w:rPr>
                <w:rFonts w:ascii="宋体" w:hAnsi="宋体" w:cs="宋体"/>
                <w:color w:val="auto"/>
                <w:szCs w:val="21"/>
                <w:highlight w:val="none"/>
              </w:rPr>
            </w:pPr>
            <w:r>
              <w:rPr>
                <w:rFonts w:hint="eastAsia" w:ascii="宋体" w:hAnsi="宋体" w:cs="宋体"/>
                <w:color w:val="auto"/>
                <w:szCs w:val="21"/>
                <w:highlight w:val="none"/>
              </w:rPr>
              <w:t>6.供应商认为需要提供的其他有关资料。</w:t>
            </w:r>
          </w:p>
          <w:p w14:paraId="75A59362">
            <w:pPr>
              <w:pageBreakBefore w:val="0"/>
              <w:kinsoku/>
              <w:wordWrap/>
              <w:overflowPunct/>
              <w:topLinePunct w:val="0"/>
              <w:bidi w:val="0"/>
              <w:adjustRightInd/>
              <w:snapToGrid w:val="0"/>
              <w:spacing w:line="360" w:lineRule="exact"/>
              <w:ind w:left="0"/>
              <w:jc w:val="left"/>
              <w:rPr>
                <w:rFonts w:ascii="宋体" w:hAnsi="宋体" w:cs="宋体"/>
                <w:b/>
                <w:color w:val="auto"/>
                <w:szCs w:val="21"/>
                <w:highlight w:val="none"/>
              </w:rPr>
            </w:pPr>
            <w:r>
              <w:rPr>
                <w:rFonts w:hint="eastAsia" w:ascii="宋体" w:hAnsi="宋体" w:cs="宋体"/>
                <w:b/>
                <w:color w:val="auto"/>
                <w:szCs w:val="21"/>
                <w:highlight w:val="none"/>
              </w:rPr>
              <w:t xml:space="preserve">注： </w:t>
            </w:r>
          </w:p>
          <w:p w14:paraId="6C56B7EE">
            <w:pPr>
              <w:pageBreakBefore w:val="0"/>
              <w:kinsoku/>
              <w:wordWrap/>
              <w:overflowPunct/>
              <w:topLinePunct w:val="0"/>
              <w:bidi w:val="0"/>
              <w:adjustRightInd/>
              <w:snapToGrid w:val="0"/>
              <w:spacing w:line="360" w:lineRule="exact"/>
              <w:ind w:left="0" w:firstLine="413" w:firstLineChars="196"/>
              <w:jc w:val="left"/>
              <w:rPr>
                <w:rFonts w:ascii="宋体" w:hAnsi="宋体" w:cs="宋体"/>
                <w:b/>
                <w:color w:val="auto"/>
                <w:szCs w:val="21"/>
                <w:highlight w:val="none"/>
              </w:rPr>
            </w:pPr>
            <w:r>
              <w:rPr>
                <w:rFonts w:hint="eastAsia" w:ascii="宋体" w:hAnsi="宋体" w:cs="宋体"/>
                <w:b/>
                <w:color w:val="auto"/>
                <w:szCs w:val="21"/>
                <w:highlight w:val="none"/>
              </w:rPr>
              <w:t>1.法定代表人授权委托书必须由法定代表人及委托代理人签字，并加盖供应商公章，否则响应文件按无效响应处理。</w:t>
            </w:r>
          </w:p>
          <w:p w14:paraId="6ADA2A02">
            <w:pPr>
              <w:pageBreakBefore w:val="0"/>
              <w:kinsoku/>
              <w:wordWrap/>
              <w:overflowPunct/>
              <w:topLinePunct w:val="0"/>
              <w:bidi w:val="0"/>
              <w:adjustRightInd/>
              <w:spacing w:line="360" w:lineRule="exact"/>
              <w:ind w:left="0" w:firstLine="413" w:firstLineChars="196"/>
              <w:rPr>
                <w:rFonts w:ascii="宋体" w:hAnsi="宋体" w:cs="宋体"/>
                <w:b/>
                <w:color w:val="auto"/>
                <w:szCs w:val="21"/>
                <w:highlight w:val="none"/>
              </w:rPr>
            </w:pPr>
            <w:r>
              <w:rPr>
                <w:rFonts w:hint="eastAsia" w:ascii="宋体" w:hAnsi="宋体" w:cs="宋体"/>
                <w:b/>
                <w:color w:val="auto"/>
                <w:szCs w:val="21"/>
                <w:highlight w:val="none"/>
              </w:rPr>
              <w:t>2.以上标明“必须提供”的材料属于复印件的扫描件的，必须加盖供应商电子公章，否则响应文件按无效响应处理。</w:t>
            </w:r>
          </w:p>
        </w:tc>
      </w:tr>
      <w:tr w14:paraId="311BCA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continue"/>
            <w:tcBorders>
              <w:top w:val="single" w:color="000000" w:sz="4" w:space="0"/>
              <w:left w:val="single" w:color="000000" w:sz="4" w:space="0"/>
              <w:bottom w:val="single" w:color="000000" w:sz="4" w:space="0"/>
              <w:right w:val="single" w:color="000000" w:sz="4" w:space="0"/>
            </w:tcBorders>
            <w:vAlign w:val="center"/>
          </w:tcPr>
          <w:p w14:paraId="2A7978D5">
            <w:pPr>
              <w:pageBreakBefore w:val="0"/>
              <w:widowControl/>
              <w:kinsoku/>
              <w:wordWrap/>
              <w:overflowPunct/>
              <w:topLinePunct w:val="0"/>
              <w:bidi w:val="0"/>
              <w:adjustRightInd/>
              <w:spacing w:line="360" w:lineRule="exact"/>
              <w:ind w:left="0"/>
              <w:jc w:val="center"/>
              <w:rPr>
                <w:rFonts w:ascii="宋体" w:hAnsi="宋体" w:cs="宋体"/>
                <w:color w:val="auto"/>
                <w:szCs w:val="21"/>
                <w:highlight w:val="none"/>
              </w:rPr>
            </w:pPr>
          </w:p>
        </w:tc>
        <w:tc>
          <w:tcPr>
            <w:tcW w:w="2785" w:type="dxa"/>
            <w:tcBorders>
              <w:top w:val="single" w:color="000000" w:sz="4" w:space="0"/>
              <w:left w:val="single" w:color="000000" w:sz="4" w:space="0"/>
              <w:bottom w:val="single" w:color="000000" w:sz="4" w:space="0"/>
              <w:right w:val="single" w:color="000000" w:sz="4" w:space="0"/>
            </w:tcBorders>
            <w:vAlign w:val="center"/>
          </w:tcPr>
          <w:p w14:paraId="05C711FF">
            <w:pPr>
              <w:pageBreakBefore w:val="0"/>
              <w:kinsoku/>
              <w:wordWrap/>
              <w:overflowPunct/>
              <w:topLinePunct w:val="0"/>
              <w:bidi w:val="0"/>
              <w:adjustRightInd/>
              <w:spacing w:line="360" w:lineRule="exact"/>
              <w:ind w:left="0"/>
              <w:jc w:val="center"/>
              <w:rPr>
                <w:rFonts w:ascii="宋体" w:hAnsi="宋体" w:cs="宋体"/>
                <w:b/>
                <w:bCs/>
                <w:color w:val="auto"/>
                <w:szCs w:val="21"/>
                <w:highlight w:val="none"/>
              </w:rPr>
            </w:pPr>
            <w:r>
              <w:rPr>
                <w:rFonts w:hint="eastAsia" w:ascii="宋体" w:hAnsi="宋体" w:cs="宋体"/>
                <w:b/>
                <w:bCs/>
                <w:color w:val="auto"/>
                <w:szCs w:val="21"/>
                <w:highlight w:val="none"/>
              </w:rPr>
              <w:t>技术文件组成</w:t>
            </w:r>
          </w:p>
        </w:tc>
        <w:tc>
          <w:tcPr>
            <w:tcW w:w="6850" w:type="dxa"/>
            <w:tcBorders>
              <w:top w:val="single" w:color="000000" w:sz="4" w:space="0"/>
              <w:left w:val="single" w:color="000000" w:sz="4" w:space="0"/>
              <w:bottom w:val="single" w:color="000000" w:sz="4" w:space="0"/>
              <w:right w:val="single" w:color="000000" w:sz="4" w:space="0"/>
            </w:tcBorders>
            <w:vAlign w:val="center"/>
          </w:tcPr>
          <w:p w14:paraId="36749299">
            <w:pPr>
              <w:spacing w:line="360" w:lineRule="auto"/>
              <w:rPr>
                <w:rFonts w:ascii="宋体" w:hAnsi="宋体" w:cs="宋体"/>
                <w:color w:val="auto"/>
                <w:szCs w:val="21"/>
                <w:highlight w:val="none"/>
              </w:rPr>
            </w:pPr>
            <w:r>
              <w:rPr>
                <w:rFonts w:hint="eastAsia" w:ascii="宋体" w:hAnsi="宋体" w:cs="宋体"/>
                <w:color w:val="auto"/>
                <w:szCs w:val="21"/>
                <w:highlight w:val="none"/>
              </w:rPr>
              <w:t>1.服务需求偏离表；（</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0624EBD7">
            <w:pPr>
              <w:spacing w:line="360" w:lineRule="auto"/>
              <w:rPr>
                <w:rFonts w:ascii="宋体" w:hAnsi="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.售后服务承诺；（</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517854EC">
            <w:pPr>
              <w:spacing w:line="360" w:lineRule="auto"/>
              <w:rPr>
                <w:rFonts w:ascii="宋体" w:hAnsi="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 xml:space="preserve">.项目实施人员一览表； </w:t>
            </w:r>
          </w:p>
          <w:p w14:paraId="105EB5F5">
            <w:pPr>
              <w:spacing w:line="360" w:lineRule="auto"/>
              <w:rPr>
                <w:rFonts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.对应采购需求的服务需求、商务条款提供的其他文件资料；</w:t>
            </w:r>
          </w:p>
          <w:p w14:paraId="1C7731C7">
            <w:pPr>
              <w:spacing w:line="360" w:lineRule="auto"/>
              <w:rPr>
                <w:rFonts w:ascii="宋体" w:hAnsi="宋体" w:cs="宋体"/>
                <w:color w:val="auto"/>
                <w:szCs w:val="21"/>
                <w:highlight w:val="none"/>
              </w:rPr>
            </w:pP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.供应商认为需要提供的其他有关资料。</w:t>
            </w:r>
          </w:p>
          <w:p w14:paraId="370D5DD8">
            <w:pPr>
              <w:pageBreakBefore w:val="0"/>
              <w:kinsoku/>
              <w:wordWrap/>
              <w:overflowPunct/>
              <w:topLinePunct w:val="0"/>
              <w:bidi w:val="0"/>
              <w:adjustRightInd/>
              <w:spacing w:line="360" w:lineRule="exact"/>
              <w:ind w:left="0"/>
              <w:rPr>
                <w:rFonts w:ascii="宋体" w:hAnsi="宋体" w:cs="宋体"/>
                <w:color w:val="auto"/>
                <w:szCs w:val="21"/>
                <w:highlight w:val="none"/>
              </w:rPr>
            </w:pPr>
            <w:r>
              <w:rPr>
                <w:rFonts w:hint="eastAsia" w:ascii="宋体" w:hAnsi="宋体" w:cs="宋体"/>
                <w:b/>
                <w:color w:val="auto"/>
                <w:szCs w:val="21"/>
                <w:highlight w:val="none"/>
              </w:rPr>
              <w:t>注：1.以上标明“必须提供”的材料属于复印件的扫描件的，必须加盖供应商电子公章，否则响应文件按无效响应处理。</w:t>
            </w:r>
          </w:p>
        </w:tc>
      </w:tr>
      <w:tr w14:paraId="2ADAEA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14:paraId="6E81C60A">
            <w:pPr>
              <w:pageBreakBefore w:val="0"/>
              <w:kinsoku/>
              <w:wordWrap/>
              <w:overflowPunct/>
              <w:topLinePunct w:val="0"/>
              <w:bidi w:val="0"/>
              <w:adjustRightInd/>
              <w:spacing w:line="360" w:lineRule="exact"/>
              <w:ind w:left="0"/>
              <w:jc w:val="center"/>
              <w:rPr>
                <w:rFonts w:ascii="宋体" w:hAnsi="宋体" w:cs="宋体"/>
                <w:color w:val="auto"/>
                <w:szCs w:val="21"/>
                <w:highlight w:val="none"/>
              </w:rPr>
            </w:pPr>
            <w:r>
              <w:rPr>
                <w:rFonts w:hint="eastAsia" w:ascii="宋体" w:hAnsi="宋体" w:cs="宋体"/>
                <w:color w:val="auto"/>
                <w:szCs w:val="21"/>
                <w:highlight w:val="none"/>
              </w:rPr>
              <w:t>12.1.2</w:t>
            </w:r>
          </w:p>
        </w:tc>
        <w:tc>
          <w:tcPr>
            <w:tcW w:w="2785" w:type="dxa"/>
            <w:tcBorders>
              <w:top w:val="single" w:color="000000" w:sz="4" w:space="0"/>
              <w:left w:val="single" w:color="000000" w:sz="4" w:space="0"/>
              <w:bottom w:val="single" w:color="000000" w:sz="4" w:space="0"/>
              <w:right w:val="single" w:color="000000" w:sz="4" w:space="0"/>
            </w:tcBorders>
            <w:vAlign w:val="center"/>
          </w:tcPr>
          <w:p w14:paraId="27621AC9">
            <w:pPr>
              <w:pageBreakBefore w:val="0"/>
              <w:kinsoku/>
              <w:wordWrap/>
              <w:overflowPunct/>
              <w:topLinePunct w:val="0"/>
              <w:bidi w:val="0"/>
              <w:adjustRightInd/>
              <w:spacing w:line="360" w:lineRule="exact"/>
              <w:ind w:left="0"/>
              <w:jc w:val="center"/>
              <w:rPr>
                <w:rFonts w:ascii="宋体" w:hAnsi="宋体" w:cs="宋体"/>
                <w:color w:val="auto"/>
                <w:szCs w:val="21"/>
                <w:highlight w:val="none"/>
              </w:rPr>
            </w:pPr>
            <w:r>
              <w:rPr>
                <w:rFonts w:hint="eastAsia" w:ascii="宋体" w:hAnsi="宋体" w:cs="宋体"/>
                <w:b/>
                <w:bCs/>
                <w:color w:val="auto"/>
                <w:szCs w:val="21"/>
                <w:highlight w:val="none"/>
              </w:rPr>
              <w:t>报价文件组成</w:t>
            </w:r>
          </w:p>
        </w:tc>
        <w:tc>
          <w:tcPr>
            <w:tcW w:w="6850" w:type="dxa"/>
            <w:tcBorders>
              <w:top w:val="single" w:color="000000" w:sz="4" w:space="0"/>
              <w:left w:val="single" w:color="000000" w:sz="4" w:space="0"/>
              <w:bottom w:val="single" w:color="000000" w:sz="4" w:space="0"/>
              <w:right w:val="single" w:color="000000" w:sz="4" w:space="0"/>
            </w:tcBorders>
            <w:vAlign w:val="center"/>
          </w:tcPr>
          <w:p w14:paraId="4D8AEA35">
            <w:pPr>
              <w:pageBreakBefore w:val="0"/>
              <w:kinsoku/>
              <w:wordWrap/>
              <w:overflowPunct/>
              <w:topLinePunct w:val="0"/>
              <w:bidi w:val="0"/>
              <w:adjustRightInd/>
              <w:spacing w:line="360" w:lineRule="exact"/>
              <w:ind w:left="0"/>
              <w:rPr>
                <w:rFonts w:ascii="宋体" w:hAnsi="宋体" w:cs="宋体"/>
                <w:color w:val="auto"/>
                <w:szCs w:val="21"/>
                <w:highlight w:val="none"/>
              </w:rPr>
            </w:pPr>
            <w:r>
              <w:rPr>
                <w:rFonts w:hint="eastAsia" w:ascii="宋体" w:hAnsi="宋体" w:cs="宋体"/>
                <w:color w:val="auto"/>
                <w:szCs w:val="21"/>
                <w:highlight w:val="none"/>
              </w:rPr>
              <w:t>1.响应函；</w:t>
            </w:r>
            <w:r>
              <w:rPr>
                <w:rFonts w:hint="eastAsia" w:ascii="宋体" w:hAnsi="宋体" w:cs="宋体"/>
                <w:b/>
                <w:bCs/>
                <w:color w:val="auto"/>
                <w:szCs w:val="21"/>
                <w:highlight w:val="none"/>
              </w:rPr>
              <w:t>（必须提供，否则响应文件按无效响应处理）</w:t>
            </w:r>
          </w:p>
          <w:p w14:paraId="43D49DA7">
            <w:pPr>
              <w:pageBreakBefore w:val="0"/>
              <w:kinsoku/>
              <w:wordWrap/>
              <w:overflowPunct/>
              <w:topLinePunct w:val="0"/>
              <w:bidi w:val="0"/>
              <w:adjustRightInd/>
              <w:spacing w:line="360" w:lineRule="exact"/>
              <w:ind w:left="0"/>
              <w:rPr>
                <w:rFonts w:hint="eastAsia" w:ascii="宋体" w:hAnsi="宋体" w:cs="宋体"/>
                <w:b/>
                <w:bCs/>
                <w:color w:val="auto"/>
                <w:szCs w:val="21"/>
                <w:highlight w:val="none"/>
              </w:rPr>
            </w:pPr>
            <w:r>
              <w:rPr>
                <w:rFonts w:hint="eastAsia" w:ascii="宋体" w:hAnsi="宋体" w:cs="宋体"/>
                <w:color w:val="auto"/>
                <w:szCs w:val="21"/>
                <w:highlight w:val="none"/>
              </w:rPr>
              <w:t>2.响应报价表；</w:t>
            </w:r>
            <w:r>
              <w:rPr>
                <w:rFonts w:hint="eastAsia" w:ascii="宋体" w:hAnsi="宋体" w:cs="宋体"/>
                <w:b/>
                <w:bCs/>
                <w:color w:val="auto"/>
                <w:szCs w:val="21"/>
                <w:highlight w:val="none"/>
              </w:rPr>
              <w:t>（必须提供，否则响应文件按无效响应处理）</w:t>
            </w:r>
          </w:p>
          <w:p w14:paraId="62CEE3F3">
            <w:pPr>
              <w:pageBreakBefore w:val="0"/>
              <w:kinsoku/>
              <w:wordWrap/>
              <w:overflowPunct/>
              <w:topLinePunct w:val="0"/>
              <w:bidi w:val="0"/>
              <w:adjustRightInd/>
              <w:spacing w:line="360" w:lineRule="exact"/>
              <w:ind w:left="0"/>
              <w:rPr>
                <w:rFonts w:ascii="宋体" w:hAnsi="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.已标价的工程量清单；</w:t>
            </w:r>
            <w:r>
              <w:rPr>
                <w:rFonts w:hint="eastAsia" w:ascii="宋体" w:hAnsi="宋体" w:cs="宋体"/>
                <w:b/>
                <w:bCs/>
                <w:color w:val="auto"/>
                <w:szCs w:val="21"/>
                <w:highlight w:val="none"/>
              </w:rPr>
              <w:t>（必须提供，否则响应文件按无效响应处理）</w:t>
            </w:r>
          </w:p>
        </w:tc>
      </w:tr>
      <w:tr w14:paraId="057F92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14:paraId="4B1B7202">
            <w:pPr>
              <w:pageBreakBefore w:val="0"/>
              <w:kinsoku/>
              <w:wordWrap/>
              <w:overflowPunct/>
              <w:topLinePunct w:val="0"/>
              <w:bidi w:val="0"/>
              <w:adjustRightInd/>
              <w:spacing w:line="360" w:lineRule="exact"/>
              <w:ind w:left="0"/>
              <w:jc w:val="center"/>
              <w:rPr>
                <w:rFonts w:ascii="宋体" w:hAnsi="宋体" w:cs="宋体"/>
                <w:color w:val="auto"/>
                <w:szCs w:val="21"/>
                <w:highlight w:val="none"/>
              </w:rPr>
            </w:pPr>
            <w:r>
              <w:rPr>
                <w:rFonts w:hint="eastAsia" w:ascii="宋体" w:hAnsi="宋体" w:cs="宋体"/>
                <w:color w:val="auto"/>
                <w:szCs w:val="21"/>
                <w:highlight w:val="none"/>
              </w:rPr>
              <w:t>12.2</w:t>
            </w:r>
          </w:p>
        </w:tc>
        <w:tc>
          <w:tcPr>
            <w:tcW w:w="2785" w:type="dxa"/>
            <w:tcBorders>
              <w:top w:val="single" w:color="000000" w:sz="4" w:space="0"/>
              <w:left w:val="single" w:color="000000" w:sz="4" w:space="0"/>
              <w:bottom w:val="single" w:color="000000" w:sz="4" w:space="0"/>
              <w:right w:val="single" w:color="000000" w:sz="4" w:space="0"/>
            </w:tcBorders>
            <w:vAlign w:val="center"/>
          </w:tcPr>
          <w:p w14:paraId="477136B5">
            <w:pPr>
              <w:pageBreakBefore w:val="0"/>
              <w:kinsoku/>
              <w:wordWrap/>
              <w:overflowPunct/>
              <w:topLinePunct w:val="0"/>
              <w:bidi w:val="0"/>
              <w:adjustRightInd/>
              <w:spacing w:line="360" w:lineRule="exact"/>
              <w:ind w:left="0"/>
              <w:jc w:val="center"/>
              <w:rPr>
                <w:rFonts w:ascii="宋体" w:hAnsi="宋体" w:cs="宋体"/>
                <w:color w:val="auto"/>
                <w:szCs w:val="21"/>
                <w:highlight w:val="none"/>
              </w:rPr>
            </w:pPr>
            <w:r>
              <w:rPr>
                <w:rFonts w:hint="eastAsia" w:ascii="宋体" w:hAnsi="宋体" w:cs="宋体"/>
                <w:color w:val="auto"/>
                <w:szCs w:val="21"/>
                <w:highlight w:val="none"/>
              </w:rPr>
              <w:t>响应文件电子版要求</w:t>
            </w:r>
          </w:p>
        </w:tc>
        <w:tc>
          <w:tcPr>
            <w:tcW w:w="6850" w:type="dxa"/>
            <w:tcBorders>
              <w:top w:val="single" w:color="000000" w:sz="4" w:space="0"/>
              <w:left w:val="single" w:color="000000" w:sz="4" w:space="0"/>
              <w:bottom w:val="single" w:color="000000" w:sz="4" w:space="0"/>
              <w:right w:val="single" w:color="000000" w:sz="4" w:space="0"/>
            </w:tcBorders>
            <w:vAlign w:val="center"/>
          </w:tcPr>
          <w:p w14:paraId="56D8F4DB">
            <w:pPr>
              <w:pageBreakBefore w:val="0"/>
              <w:kinsoku/>
              <w:wordWrap/>
              <w:overflowPunct/>
              <w:topLinePunct w:val="0"/>
              <w:bidi w:val="0"/>
              <w:adjustRightInd/>
              <w:snapToGrid w:val="0"/>
              <w:spacing w:line="360" w:lineRule="exact"/>
              <w:ind w:left="0"/>
              <w:jc w:val="left"/>
              <w:rPr>
                <w:rFonts w:ascii="宋体" w:hAnsi="宋体" w:cs="宋体"/>
                <w:color w:val="auto"/>
                <w:szCs w:val="21"/>
                <w:highlight w:val="none"/>
              </w:rPr>
            </w:pPr>
            <w:r>
              <w:rPr>
                <w:rFonts w:hint="eastAsia" w:ascii="宋体" w:hAnsi="宋体" w:cs="宋体"/>
                <w:color w:val="auto"/>
                <w:szCs w:val="21"/>
                <w:highlight w:val="none"/>
              </w:rPr>
              <w:t>1.响应文件电子版要求：按照本采购文件“第五章 响应文件格式”编写（第五章未附格式的，由供应商自行拟定），不可涂改并在规定加盖公章处加盖电子公章，</w:t>
            </w:r>
            <w:r>
              <w:rPr>
                <w:rFonts w:hint="eastAsia" w:ascii="宋体" w:hAnsi="宋体" w:cs="宋体"/>
                <w:b/>
                <w:color w:val="auto"/>
                <w:szCs w:val="21"/>
                <w:highlight w:val="none"/>
              </w:rPr>
              <w:t>否则响应文件按无效响应处理</w:t>
            </w:r>
            <w:r>
              <w:rPr>
                <w:rFonts w:hint="eastAsia" w:ascii="宋体" w:hAnsi="宋体" w:cs="宋体"/>
                <w:color w:val="auto"/>
                <w:szCs w:val="21"/>
                <w:highlight w:val="none"/>
              </w:rPr>
              <w:t>。</w:t>
            </w:r>
          </w:p>
          <w:p w14:paraId="0A913919">
            <w:pPr>
              <w:pageBreakBefore w:val="0"/>
              <w:kinsoku/>
              <w:wordWrap/>
              <w:overflowPunct/>
              <w:topLinePunct w:val="0"/>
              <w:bidi w:val="0"/>
              <w:adjustRightInd/>
              <w:snapToGrid w:val="0"/>
              <w:spacing w:line="360" w:lineRule="exact"/>
              <w:ind w:left="0"/>
              <w:jc w:val="left"/>
              <w:rPr>
                <w:rFonts w:ascii="宋体" w:hAnsi="宋体" w:cs="宋体"/>
                <w:color w:val="auto"/>
                <w:szCs w:val="21"/>
                <w:highlight w:val="none"/>
              </w:rPr>
            </w:pPr>
            <w:r>
              <w:rPr>
                <w:rFonts w:hint="eastAsia" w:ascii="宋体" w:hAnsi="宋体" w:cs="宋体"/>
                <w:color w:val="auto"/>
                <w:szCs w:val="21"/>
                <w:highlight w:val="none"/>
              </w:rPr>
              <w:t>2.响应文件电子版密封方式：电子响应文件通过平台有效CA加密后在“广西政府采购云平台”投送。（操作方式见公告附件“电子响应文件制作与投送教程” ）</w:t>
            </w:r>
          </w:p>
        </w:tc>
      </w:tr>
      <w:tr w14:paraId="2980FE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14:paraId="03DC3D69">
            <w:pPr>
              <w:pageBreakBefore w:val="0"/>
              <w:kinsoku/>
              <w:wordWrap/>
              <w:overflowPunct/>
              <w:topLinePunct w:val="0"/>
              <w:bidi w:val="0"/>
              <w:adjustRightInd/>
              <w:spacing w:line="360" w:lineRule="exact"/>
              <w:ind w:left="0"/>
              <w:jc w:val="center"/>
              <w:rPr>
                <w:rFonts w:ascii="宋体" w:hAnsi="宋体" w:cs="宋体"/>
                <w:color w:val="auto"/>
                <w:szCs w:val="21"/>
                <w:highlight w:val="none"/>
              </w:rPr>
            </w:pPr>
            <w:r>
              <w:rPr>
                <w:rFonts w:hint="eastAsia" w:ascii="宋体" w:hAnsi="宋体" w:cs="宋体"/>
                <w:color w:val="auto"/>
                <w:szCs w:val="21"/>
                <w:highlight w:val="none"/>
              </w:rPr>
              <w:t>15.2</w:t>
            </w:r>
          </w:p>
        </w:tc>
        <w:tc>
          <w:tcPr>
            <w:tcW w:w="2785" w:type="dxa"/>
            <w:tcBorders>
              <w:top w:val="single" w:color="000000" w:sz="4" w:space="0"/>
              <w:left w:val="single" w:color="000000" w:sz="4" w:space="0"/>
              <w:bottom w:val="single" w:color="000000" w:sz="4" w:space="0"/>
              <w:right w:val="single" w:color="000000" w:sz="4" w:space="0"/>
            </w:tcBorders>
            <w:vAlign w:val="center"/>
          </w:tcPr>
          <w:p w14:paraId="0A44A3A8">
            <w:pPr>
              <w:pageBreakBefore w:val="0"/>
              <w:kinsoku/>
              <w:wordWrap/>
              <w:overflowPunct/>
              <w:topLinePunct w:val="0"/>
              <w:bidi w:val="0"/>
              <w:adjustRightInd/>
              <w:spacing w:line="360" w:lineRule="exact"/>
              <w:ind w:left="0"/>
              <w:jc w:val="center"/>
              <w:rPr>
                <w:rFonts w:ascii="宋体" w:hAnsi="宋体" w:cs="宋体"/>
                <w:color w:val="auto"/>
                <w:szCs w:val="21"/>
                <w:highlight w:val="none"/>
              </w:rPr>
            </w:pPr>
            <w:r>
              <w:rPr>
                <w:rFonts w:hint="eastAsia" w:ascii="宋体" w:hAnsi="宋体" w:cs="宋体"/>
                <w:color w:val="auto"/>
                <w:szCs w:val="21"/>
                <w:highlight w:val="none"/>
              </w:rPr>
              <w:t>响应报价要求</w:t>
            </w:r>
          </w:p>
        </w:tc>
        <w:tc>
          <w:tcPr>
            <w:tcW w:w="6850" w:type="dxa"/>
            <w:tcBorders>
              <w:top w:val="single" w:color="000000" w:sz="4" w:space="0"/>
              <w:left w:val="single" w:color="000000" w:sz="4" w:space="0"/>
              <w:bottom w:val="single" w:color="000000" w:sz="4" w:space="0"/>
              <w:right w:val="single" w:color="000000" w:sz="4" w:space="0"/>
            </w:tcBorders>
            <w:vAlign w:val="center"/>
          </w:tcPr>
          <w:p w14:paraId="218ECD5F">
            <w:pPr>
              <w:pageBreakBefore w:val="0"/>
              <w:kinsoku/>
              <w:wordWrap/>
              <w:overflowPunct/>
              <w:topLinePunct w:val="0"/>
              <w:bidi w:val="0"/>
              <w:adjustRightInd/>
              <w:snapToGrid w:val="0"/>
              <w:spacing w:line="360" w:lineRule="exact"/>
              <w:ind w:left="0"/>
              <w:jc w:val="left"/>
              <w:rPr>
                <w:rFonts w:ascii="宋体" w:hAnsi="宋体" w:cs="宋体"/>
                <w:color w:val="auto"/>
                <w:szCs w:val="21"/>
                <w:highlight w:val="none"/>
              </w:rPr>
            </w:pPr>
            <w:r>
              <w:rPr>
                <w:rFonts w:hint="eastAsia" w:ascii="宋体" w:hAnsi="宋体" w:cs="宋体"/>
                <w:color w:val="auto"/>
                <w:szCs w:val="21"/>
                <w:highlight w:val="none"/>
              </w:rPr>
              <w:t>响应报价必须包含满足本次竞标全部采购需求所应提供的服务，以及伴随的货物和工程（如有）的价格；包含竞标服务、货物、工程的成本、运输（含保险）、安装（如有）、调试、检验、技术服务、培训、税费等所有费用。</w:t>
            </w:r>
            <w:r>
              <w:rPr>
                <w:rFonts w:hint="eastAsia" w:ascii="宋体" w:hAnsi="宋体" w:cs="宋体"/>
                <w:b/>
                <w:color w:val="auto"/>
                <w:szCs w:val="21"/>
                <w:highlight w:val="none"/>
              </w:rPr>
              <w:t>（采购需求另有约定的，从其约定。）</w:t>
            </w:r>
          </w:p>
        </w:tc>
      </w:tr>
      <w:tr w14:paraId="03FD13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14:paraId="0CAA1744">
            <w:pPr>
              <w:pageBreakBefore w:val="0"/>
              <w:kinsoku/>
              <w:wordWrap/>
              <w:overflowPunct/>
              <w:topLinePunct w:val="0"/>
              <w:bidi w:val="0"/>
              <w:adjustRightInd/>
              <w:spacing w:line="360" w:lineRule="exact"/>
              <w:ind w:left="0"/>
              <w:jc w:val="center"/>
              <w:rPr>
                <w:rFonts w:ascii="宋体" w:hAnsi="宋体" w:cs="宋体"/>
                <w:color w:val="auto"/>
                <w:szCs w:val="21"/>
                <w:highlight w:val="none"/>
              </w:rPr>
            </w:pPr>
            <w:r>
              <w:rPr>
                <w:rFonts w:hint="eastAsia" w:ascii="宋体" w:hAnsi="宋体" w:cs="宋体"/>
                <w:color w:val="auto"/>
                <w:szCs w:val="21"/>
                <w:highlight w:val="none"/>
              </w:rPr>
              <w:t>16.2</w:t>
            </w:r>
          </w:p>
        </w:tc>
        <w:tc>
          <w:tcPr>
            <w:tcW w:w="2785" w:type="dxa"/>
            <w:tcBorders>
              <w:top w:val="single" w:color="000000" w:sz="4" w:space="0"/>
              <w:left w:val="single" w:color="000000" w:sz="4" w:space="0"/>
              <w:bottom w:val="single" w:color="000000" w:sz="4" w:space="0"/>
              <w:right w:val="single" w:color="000000" w:sz="4" w:space="0"/>
            </w:tcBorders>
            <w:vAlign w:val="center"/>
          </w:tcPr>
          <w:p w14:paraId="65665DB6">
            <w:pPr>
              <w:pageBreakBefore w:val="0"/>
              <w:kinsoku/>
              <w:wordWrap/>
              <w:overflowPunct/>
              <w:topLinePunct w:val="0"/>
              <w:bidi w:val="0"/>
              <w:adjustRightInd/>
              <w:spacing w:line="360" w:lineRule="exact"/>
              <w:ind w:left="0"/>
              <w:jc w:val="center"/>
              <w:rPr>
                <w:rFonts w:ascii="宋体" w:hAnsi="宋体" w:cs="宋体"/>
                <w:color w:val="auto"/>
                <w:szCs w:val="21"/>
                <w:highlight w:val="none"/>
              </w:rPr>
            </w:pPr>
            <w:r>
              <w:rPr>
                <w:rFonts w:hint="eastAsia" w:ascii="宋体" w:hAnsi="宋体" w:cs="宋体"/>
                <w:color w:val="auto"/>
                <w:szCs w:val="21"/>
                <w:highlight w:val="none"/>
              </w:rPr>
              <w:t>竞标有效期</w:t>
            </w:r>
          </w:p>
        </w:tc>
        <w:tc>
          <w:tcPr>
            <w:tcW w:w="6850" w:type="dxa"/>
            <w:tcBorders>
              <w:top w:val="single" w:color="000000" w:sz="4" w:space="0"/>
              <w:left w:val="single" w:color="000000" w:sz="4" w:space="0"/>
              <w:bottom w:val="single" w:color="000000" w:sz="4" w:space="0"/>
              <w:right w:val="single" w:color="000000" w:sz="4" w:space="0"/>
            </w:tcBorders>
            <w:vAlign w:val="center"/>
          </w:tcPr>
          <w:p w14:paraId="271873C1">
            <w:pPr>
              <w:pStyle w:val="7"/>
              <w:pageBreakBefore w:val="0"/>
              <w:numPr>
                <w:ilvl w:val="0"/>
                <w:numId w:val="0"/>
              </w:numPr>
              <w:tabs>
                <w:tab w:val="left" w:pos="720"/>
                <w:tab w:val="left" w:pos="840"/>
              </w:tabs>
              <w:kinsoku/>
              <w:wordWrap/>
              <w:overflowPunct/>
              <w:topLinePunct w:val="0"/>
              <w:bidi w:val="0"/>
              <w:adjustRightInd/>
              <w:snapToGrid w:val="0"/>
              <w:spacing w:line="360" w:lineRule="exact"/>
              <w:ind w:left="0" w:hanging="283" w:hangingChars="135"/>
              <w:rPr>
                <w:rFonts w:ascii="宋体" w:hAnsi="宋体" w:cs="宋体"/>
                <w:color w:val="auto"/>
                <w:szCs w:val="21"/>
                <w:highlight w:val="none"/>
              </w:rPr>
            </w:pPr>
            <w:r>
              <w:rPr>
                <w:rFonts w:hint="eastAsia" w:ascii="宋体" w:hAnsi="宋体" w:cs="宋体"/>
                <w:color w:val="auto"/>
                <w:szCs w:val="21"/>
                <w:highlight w:val="none"/>
              </w:rPr>
              <w:t>自首次响应文件提交截止之日起</w:t>
            </w:r>
            <w:r>
              <w:rPr>
                <w:rFonts w:hint="eastAsia" w:ascii="宋体" w:hAnsi="宋体" w:cs="宋体"/>
                <w:color w:val="auto"/>
                <w:szCs w:val="21"/>
                <w:highlight w:val="none"/>
                <w:u w:val="single"/>
              </w:rPr>
              <w:t>90</w:t>
            </w:r>
            <w:r>
              <w:rPr>
                <w:rFonts w:hint="eastAsia" w:ascii="宋体" w:hAnsi="宋体" w:cs="宋体"/>
                <w:color w:val="auto"/>
                <w:szCs w:val="21"/>
                <w:highlight w:val="none"/>
              </w:rPr>
              <w:t>日。</w:t>
            </w:r>
          </w:p>
        </w:tc>
      </w:tr>
      <w:tr w14:paraId="1C68D0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14:paraId="1860A9A2">
            <w:pPr>
              <w:pageBreakBefore w:val="0"/>
              <w:kinsoku/>
              <w:wordWrap/>
              <w:overflowPunct/>
              <w:topLinePunct w:val="0"/>
              <w:bidi w:val="0"/>
              <w:adjustRightInd/>
              <w:spacing w:line="360" w:lineRule="exact"/>
              <w:ind w:left="0"/>
              <w:jc w:val="center"/>
              <w:rPr>
                <w:rFonts w:ascii="宋体" w:hAnsi="宋体" w:cs="宋体"/>
                <w:color w:val="auto"/>
                <w:szCs w:val="21"/>
                <w:highlight w:val="none"/>
              </w:rPr>
            </w:pPr>
            <w:r>
              <w:rPr>
                <w:rFonts w:hint="eastAsia" w:ascii="宋体" w:hAnsi="宋体" w:cs="宋体"/>
                <w:color w:val="auto"/>
                <w:szCs w:val="21"/>
                <w:highlight w:val="none"/>
              </w:rPr>
              <w:t>17.1</w:t>
            </w:r>
          </w:p>
        </w:tc>
        <w:tc>
          <w:tcPr>
            <w:tcW w:w="2785" w:type="dxa"/>
            <w:tcBorders>
              <w:top w:val="single" w:color="000000" w:sz="4" w:space="0"/>
              <w:left w:val="single" w:color="000000" w:sz="4" w:space="0"/>
              <w:bottom w:val="single" w:color="000000" w:sz="4" w:space="0"/>
              <w:right w:val="single" w:color="000000" w:sz="4" w:space="0"/>
            </w:tcBorders>
            <w:vAlign w:val="center"/>
          </w:tcPr>
          <w:p w14:paraId="76A97C28">
            <w:pPr>
              <w:pageBreakBefore w:val="0"/>
              <w:kinsoku/>
              <w:wordWrap/>
              <w:overflowPunct/>
              <w:topLinePunct w:val="0"/>
              <w:bidi w:val="0"/>
              <w:adjustRightInd/>
              <w:spacing w:line="360" w:lineRule="exact"/>
              <w:ind w:left="0"/>
              <w:jc w:val="center"/>
              <w:rPr>
                <w:rFonts w:ascii="宋体" w:hAnsi="宋体" w:cs="宋体"/>
                <w:color w:val="auto"/>
                <w:szCs w:val="21"/>
                <w:highlight w:val="none"/>
              </w:rPr>
            </w:pPr>
            <w:r>
              <w:rPr>
                <w:rFonts w:hint="eastAsia" w:ascii="宋体" w:hAnsi="宋体" w:cs="宋体"/>
                <w:color w:val="auto"/>
                <w:szCs w:val="21"/>
                <w:highlight w:val="none"/>
              </w:rPr>
              <w:t>磋商保证金</w:t>
            </w:r>
          </w:p>
        </w:tc>
        <w:tc>
          <w:tcPr>
            <w:tcW w:w="6850" w:type="dxa"/>
            <w:tcBorders>
              <w:top w:val="single" w:color="000000" w:sz="4" w:space="0"/>
              <w:left w:val="single" w:color="000000" w:sz="4" w:space="0"/>
              <w:bottom w:val="single" w:color="000000" w:sz="4" w:space="0"/>
              <w:right w:val="single" w:color="000000" w:sz="4" w:space="0"/>
            </w:tcBorders>
            <w:vAlign w:val="center"/>
          </w:tcPr>
          <w:p w14:paraId="00866D5C">
            <w:pPr>
              <w:pageBreakBefore w:val="0"/>
              <w:kinsoku/>
              <w:wordWrap/>
              <w:overflowPunct/>
              <w:topLinePunct w:val="0"/>
              <w:autoSpaceDE w:val="0"/>
              <w:autoSpaceDN w:val="0"/>
              <w:bidi w:val="0"/>
              <w:adjustRightInd/>
              <w:snapToGrid w:val="0"/>
              <w:spacing w:line="360" w:lineRule="exact"/>
              <w:ind w:left="0"/>
              <w:textAlignment w:val="bottom"/>
              <w:rPr>
                <w:rFonts w:ascii="宋体" w:hAnsi="宋体" w:cs="宋体"/>
                <w:color w:val="auto"/>
                <w:szCs w:val="21"/>
                <w:highlight w:val="none"/>
              </w:rPr>
            </w:pPr>
            <w:r>
              <w:rPr>
                <w:rFonts w:hint="eastAsia" w:ascii="宋体" w:hAnsi="宋体" w:cs="宋体"/>
                <w:color w:val="auto"/>
                <w:szCs w:val="21"/>
                <w:highlight w:val="none"/>
              </w:rPr>
              <w:t>本项目不收取磋商保证金。</w:t>
            </w:r>
          </w:p>
        </w:tc>
      </w:tr>
      <w:tr w14:paraId="6A1FD3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jc w:val="center"/>
        </w:trPr>
        <w:tc>
          <w:tcPr>
            <w:tcW w:w="725" w:type="dxa"/>
            <w:vMerge w:val="restart"/>
            <w:tcBorders>
              <w:top w:val="single" w:color="000000" w:sz="4" w:space="0"/>
              <w:left w:val="single" w:color="000000" w:sz="4" w:space="0"/>
              <w:bottom w:val="single" w:color="000000" w:sz="4" w:space="0"/>
              <w:right w:val="single" w:color="000000" w:sz="4" w:space="0"/>
            </w:tcBorders>
            <w:vAlign w:val="center"/>
          </w:tcPr>
          <w:p w14:paraId="502E5AF2">
            <w:pPr>
              <w:pageBreakBefore w:val="0"/>
              <w:kinsoku/>
              <w:wordWrap/>
              <w:overflowPunct/>
              <w:topLinePunct w:val="0"/>
              <w:bidi w:val="0"/>
              <w:adjustRightInd/>
              <w:spacing w:line="360" w:lineRule="exact"/>
              <w:ind w:left="0"/>
              <w:jc w:val="center"/>
              <w:rPr>
                <w:rFonts w:ascii="宋体" w:hAnsi="宋体" w:cs="宋体"/>
                <w:color w:val="auto"/>
                <w:szCs w:val="21"/>
                <w:highlight w:val="none"/>
              </w:rPr>
            </w:pPr>
            <w:r>
              <w:rPr>
                <w:rFonts w:hint="eastAsia" w:ascii="宋体" w:hAnsi="宋体" w:cs="宋体"/>
                <w:color w:val="auto"/>
                <w:szCs w:val="21"/>
                <w:highlight w:val="none"/>
              </w:rPr>
              <w:t>20.1</w:t>
            </w:r>
          </w:p>
        </w:tc>
        <w:tc>
          <w:tcPr>
            <w:tcW w:w="2785" w:type="dxa"/>
            <w:tcBorders>
              <w:top w:val="single" w:color="000000" w:sz="4" w:space="0"/>
              <w:left w:val="single" w:color="000000" w:sz="4" w:space="0"/>
              <w:bottom w:val="single" w:color="000000" w:sz="4" w:space="0"/>
              <w:right w:val="single" w:color="000000" w:sz="4" w:space="0"/>
            </w:tcBorders>
            <w:vAlign w:val="center"/>
          </w:tcPr>
          <w:p w14:paraId="665D16BB">
            <w:pPr>
              <w:pageBreakBefore w:val="0"/>
              <w:kinsoku/>
              <w:wordWrap/>
              <w:overflowPunct/>
              <w:topLinePunct w:val="0"/>
              <w:bidi w:val="0"/>
              <w:adjustRightInd/>
              <w:spacing w:line="360" w:lineRule="exact"/>
              <w:ind w:left="0"/>
              <w:jc w:val="center"/>
              <w:rPr>
                <w:rFonts w:ascii="宋体" w:hAnsi="宋体" w:cs="宋体"/>
                <w:color w:val="auto"/>
                <w:szCs w:val="21"/>
                <w:highlight w:val="none"/>
              </w:rPr>
            </w:pPr>
            <w:r>
              <w:rPr>
                <w:rFonts w:hint="eastAsia" w:ascii="宋体" w:hAnsi="宋体" w:cs="宋体"/>
                <w:color w:val="auto"/>
                <w:szCs w:val="21"/>
                <w:highlight w:val="none"/>
              </w:rPr>
              <w:t>首次响应文件提交起止时间</w:t>
            </w:r>
          </w:p>
        </w:tc>
        <w:tc>
          <w:tcPr>
            <w:tcW w:w="6850" w:type="dxa"/>
            <w:tcBorders>
              <w:top w:val="single" w:color="000000" w:sz="4" w:space="0"/>
              <w:left w:val="single" w:color="000000" w:sz="4" w:space="0"/>
              <w:bottom w:val="single" w:color="000000" w:sz="4" w:space="0"/>
              <w:right w:val="single" w:color="000000" w:sz="4" w:space="0"/>
            </w:tcBorders>
            <w:vAlign w:val="center"/>
          </w:tcPr>
          <w:p w14:paraId="7B2C77BA">
            <w:pPr>
              <w:pageBreakBefore w:val="0"/>
              <w:kinsoku/>
              <w:wordWrap/>
              <w:overflowPunct/>
              <w:topLinePunct w:val="0"/>
              <w:bidi w:val="0"/>
              <w:adjustRightInd/>
              <w:snapToGrid w:val="0"/>
              <w:spacing w:line="360" w:lineRule="exact"/>
              <w:ind w:left="0"/>
              <w:jc w:val="left"/>
              <w:rPr>
                <w:rFonts w:ascii="宋体" w:hAnsi="宋体" w:cs="宋体"/>
                <w:color w:val="auto"/>
                <w:szCs w:val="21"/>
                <w:highlight w:val="none"/>
                <w:u w:val="single"/>
              </w:rPr>
            </w:pPr>
            <w:r>
              <w:rPr>
                <w:rFonts w:hint="eastAsia" w:ascii="宋体" w:hAnsi="宋体" w:cs="宋体"/>
                <w:color w:val="auto"/>
                <w:szCs w:val="21"/>
                <w:highlight w:val="none"/>
              </w:rPr>
              <w:t>详见竞争性磋商公告。</w:t>
            </w:r>
          </w:p>
        </w:tc>
      </w:tr>
      <w:tr w14:paraId="2D2779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725" w:type="dxa"/>
            <w:vMerge w:val="continue"/>
            <w:tcBorders>
              <w:top w:val="single" w:color="000000" w:sz="4" w:space="0"/>
              <w:left w:val="single" w:color="000000" w:sz="4" w:space="0"/>
              <w:bottom w:val="single" w:color="000000" w:sz="4" w:space="0"/>
              <w:right w:val="single" w:color="000000" w:sz="4" w:space="0"/>
            </w:tcBorders>
            <w:vAlign w:val="center"/>
          </w:tcPr>
          <w:p w14:paraId="7F325A51">
            <w:pPr>
              <w:pageBreakBefore w:val="0"/>
              <w:widowControl/>
              <w:kinsoku/>
              <w:wordWrap/>
              <w:overflowPunct/>
              <w:topLinePunct w:val="0"/>
              <w:bidi w:val="0"/>
              <w:adjustRightInd/>
              <w:spacing w:line="360" w:lineRule="exact"/>
              <w:ind w:left="0"/>
              <w:jc w:val="center"/>
              <w:rPr>
                <w:rFonts w:ascii="宋体" w:hAnsi="宋体" w:cs="宋体"/>
                <w:color w:val="auto"/>
                <w:szCs w:val="21"/>
                <w:highlight w:val="none"/>
              </w:rPr>
            </w:pPr>
          </w:p>
        </w:tc>
        <w:tc>
          <w:tcPr>
            <w:tcW w:w="2785" w:type="dxa"/>
            <w:tcBorders>
              <w:top w:val="single" w:color="000000" w:sz="4" w:space="0"/>
              <w:left w:val="single" w:color="000000" w:sz="4" w:space="0"/>
              <w:bottom w:val="single" w:color="000000" w:sz="4" w:space="0"/>
              <w:right w:val="single" w:color="000000" w:sz="4" w:space="0"/>
            </w:tcBorders>
            <w:vAlign w:val="center"/>
          </w:tcPr>
          <w:p w14:paraId="735CA3BA">
            <w:pPr>
              <w:pageBreakBefore w:val="0"/>
              <w:kinsoku/>
              <w:wordWrap/>
              <w:overflowPunct/>
              <w:topLinePunct w:val="0"/>
              <w:bidi w:val="0"/>
              <w:adjustRightInd/>
              <w:spacing w:line="360" w:lineRule="exact"/>
              <w:ind w:left="0"/>
              <w:jc w:val="center"/>
              <w:rPr>
                <w:rFonts w:ascii="宋体" w:hAnsi="宋体" w:cs="宋体"/>
                <w:color w:val="auto"/>
                <w:szCs w:val="21"/>
                <w:highlight w:val="none"/>
              </w:rPr>
            </w:pPr>
            <w:r>
              <w:rPr>
                <w:rFonts w:hint="eastAsia" w:ascii="宋体" w:hAnsi="宋体" w:cs="宋体"/>
                <w:color w:val="auto"/>
                <w:szCs w:val="21"/>
                <w:highlight w:val="none"/>
              </w:rPr>
              <w:t>首次响应文件提交地点</w:t>
            </w:r>
          </w:p>
        </w:tc>
        <w:tc>
          <w:tcPr>
            <w:tcW w:w="6850" w:type="dxa"/>
            <w:tcBorders>
              <w:top w:val="single" w:color="000000" w:sz="4" w:space="0"/>
              <w:left w:val="single" w:color="000000" w:sz="4" w:space="0"/>
              <w:bottom w:val="single" w:color="000000" w:sz="4" w:space="0"/>
              <w:right w:val="single" w:color="000000" w:sz="4" w:space="0"/>
            </w:tcBorders>
            <w:vAlign w:val="center"/>
          </w:tcPr>
          <w:p w14:paraId="7F6DC604">
            <w:pPr>
              <w:pageBreakBefore w:val="0"/>
              <w:kinsoku/>
              <w:wordWrap/>
              <w:overflowPunct/>
              <w:topLinePunct w:val="0"/>
              <w:bidi w:val="0"/>
              <w:adjustRightInd/>
              <w:snapToGrid w:val="0"/>
              <w:spacing w:line="360" w:lineRule="exact"/>
              <w:ind w:left="0"/>
              <w:jc w:val="left"/>
              <w:rPr>
                <w:rFonts w:ascii="宋体" w:hAnsi="宋体" w:cs="宋体"/>
                <w:color w:val="auto"/>
                <w:szCs w:val="21"/>
                <w:highlight w:val="none"/>
                <w:u w:val="single"/>
              </w:rPr>
            </w:pPr>
            <w:r>
              <w:rPr>
                <w:rFonts w:hint="eastAsia" w:ascii="宋体" w:hAnsi="宋体" w:cs="宋体"/>
                <w:color w:val="auto"/>
                <w:szCs w:val="21"/>
                <w:highlight w:val="none"/>
              </w:rPr>
              <w:t>详见竞争性磋商公告。</w:t>
            </w:r>
          </w:p>
        </w:tc>
      </w:tr>
      <w:tr w14:paraId="15179E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725" w:type="dxa"/>
            <w:tcBorders>
              <w:top w:val="single" w:color="000000" w:sz="4" w:space="0"/>
              <w:left w:val="single" w:color="000000" w:sz="4" w:space="0"/>
              <w:bottom w:val="single" w:color="000000" w:sz="4" w:space="0"/>
              <w:right w:val="single" w:color="000000" w:sz="4" w:space="0"/>
            </w:tcBorders>
            <w:vAlign w:val="center"/>
          </w:tcPr>
          <w:p w14:paraId="5CA107D9">
            <w:pPr>
              <w:pageBreakBefore w:val="0"/>
              <w:kinsoku/>
              <w:wordWrap/>
              <w:overflowPunct/>
              <w:topLinePunct w:val="0"/>
              <w:bidi w:val="0"/>
              <w:adjustRightInd/>
              <w:spacing w:line="360" w:lineRule="exact"/>
              <w:ind w:left="0"/>
              <w:jc w:val="center"/>
              <w:rPr>
                <w:rFonts w:ascii="宋体" w:hAnsi="宋体" w:cs="宋体"/>
                <w:color w:val="auto"/>
                <w:szCs w:val="21"/>
                <w:highlight w:val="none"/>
              </w:rPr>
            </w:pPr>
            <w:r>
              <w:rPr>
                <w:rFonts w:hint="eastAsia" w:ascii="宋体" w:hAnsi="宋体" w:cs="宋体"/>
                <w:color w:val="auto"/>
                <w:szCs w:val="21"/>
                <w:highlight w:val="none"/>
              </w:rPr>
              <w:t>20.6</w:t>
            </w:r>
          </w:p>
        </w:tc>
        <w:tc>
          <w:tcPr>
            <w:tcW w:w="2785" w:type="dxa"/>
            <w:tcBorders>
              <w:top w:val="single" w:color="000000" w:sz="4" w:space="0"/>
              <w:left w:val="single" w:color="000000" w:sz="4" w:space="0"/>
              <w:bottom w:val="single" w:color="000000" w:sz="4" w:space="0"/>
              <w:right w:val="single" w:color="000000" w:sz="4" w:space="0"/>
            </w:tcBorders>
            <w:vAlign w:val="center"/>
          </w:tcPr>
          <w:p w14:paraId="5E3E2786">
            <w:pPr>
              <w:pageBreakBefore w:val="0"/>
              <w:kinsoku/>
              <w:wordWrap/>
              <w:overflowPunct/>
              <w:topLinePunct w:val="0"/>
              <w:bidi w:val="0"/>
              <w:adjustRightInd/>
              <w:spacing w:line="360" w:lineRule="exact"/>
              <w:ind w:left="0"/>
              <w:jc w:val="center"/>
              <w:rPr>
                <w:rFonts w:ascii="宋体" w:hAnsi="宋体" w:cs="宋体"/>
                <w:color w:val="auto"/>
                <w:szCs w:val="21"/>
                <w:highlight w:val="none"/>
              </w:rPr>
            </w:pPr>
            <w:r>
              <w:rPr>
                <w:rFonts w:hint="eastAsia" w:ascii="宋体" w:hAnsi="宋体" w:cs="宋体"/>
                <w:color w:val="auto"/>
                <w:szCs w:val="21"/>
                <w:highlight w:val="none"/>
              </w:rPr>
              <w:t>备份响应文件</w:t>
            </w:r>
          </w:p>
        </w:tc>
        <w:tc>
          <w:tcPr>
            <w:tcW w:w="6850" w:type="dxa"/>
            <w:tcBorders>
              <w:top w:val="single" w:color="000000" w:sz="4" w:space="0"/>
              <w:left w:val="single" w:color="000000" w:sz="4" w:space="0"/>
              <w:bottom w:val="single" w:color="000000" w:sz="4" w:space="0"/>
              <w:right w:val="single" w:color="000000" w:sz="4" w:space="0"/>
            </w:tcBorders>
            <w:vAlign w:val="center"/>
          </w:tcPr>
          <w:p w14:paraId="2E8628CD">
            <w:pPr>
              <w:pageBreakBefore w:val="0"/>
              <w:kinsoku/>
              <w:wordWrap/>
              <w:overflowPunct/>
              <w:topLinePunct w:val="0"/>
              <w:bidi w:val="0"/>
              <w:adjustRightInd/>
              <w:snapToGrid w:val="0"/>
              <w:spacing w:line="360" w:lineRule="exact"/>
              <w:ind w:left="0"/>
              <w:jc w:val="left"/>
              <w:rPr>
                <w:rFonts w:ascii="宋体" w:hAnsi="宋体" w:cs="宋体"/>
                <w:color w:val="auto"/>
                <w:szCs w:val="21"/>
                <w:highlight w:val="none"/>
              </w:rPr>
            </w:pPr>
            <w:r>
              <w:rPr>
                <w:rFonts w:hint="eastAsia" w:ascii="宋体" w:hAnsi="宋体" w:cs="宋体"/>
                <w:color w:val="auto"/>
                <w:szCs w:val="21"/>
                <w:highlight w:val="none"/>
              </w:rPr>
              <w:t>本项目不接受备份响应文件。</w:t>
            </w:r>
          </w:p>
        </w:tc>
      </w:tr>
      <w:tr w14:paraId="06B882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725" w:type="dxa"/>
            <w:tcBorders>
              <w:top w:val="single" w:color="000000" w:sz="4" w:space="0"/>
              <w:left w:val="single" w:color="000000" w:sz="4" w:space="0"/>
              <w:bottom w:val="single" w:color="000000" w:sz="4" w:space="0"/>
              <w:right w:val="single" w:color="000000" w:sz="4" w:space="0"/>
            </w:tcBorders>
            <w:vAlign w:val="center"/>
          </w:tcPr>
          <w:p w14:paraId="08F9869C">
            <w:pPr>
              <w:pageBreakBefore w:val="0"/>
              <w:kinsoku/>
              <w:wordWrap/>
              <w:overflowPunct/>
              <w:topLinePunct w:val="0"/>
              <w:bidi w:val="0"/>
              <w:adjustRightInd/>
              <w:spacing w:line="360" w:lineRule="exact"/>
              <w:ind w:left="0"/>
              <w:jc w:val="center"/>
              <w:rPr>
                <w:rFonts w:ascii="宋体" w:hAnsi="宋体" w:cs="宋体"/>
                <w:color w:val="auto"/>
                <w:szCs w:val="21"/>
                <w:highlight w:val="none"/>
              </w:rPr>
            </w:pPr>
            <w:r>
              <w:rPr>
                <w:rFonts w:hint="eastAsia" w:ascii="宋体" w:hAnsi="宋体" w:cs="宋体"/>
                <w:color w:val="auto"/>
                <w:szCs w:val="21"/>
                <w:highlight w:val="none"/>
              </w:rPr>
              <w:t>21</w:t>
            </w:r>
          </w:p>
        </w:tc>
        <w:tc>
          <w:tcPr>
            <w:tcW w:w="2785" w:type="dxa"/>
            <w:tcBorders>
              <w:top w:val="single" w:color="000000" w:sz="4" w:space="0"/>
              <w:left w:val="single" w:color="000000" w:sz="4" w:space="0"/>
              <w:bottom w:val="single" w:color="000000" w:sz="4" w:space="0"/>
              <w:right w:val="single" w:color="000000" w:sz="4" w:space="0"/>
            </w:tcBorders>
            <w:vAlign w:val="center"/>
          </w:tcPr>
          <w:p w14:paraId="08501056">
            <w:pPr>
              <w:pageBreakBefore w:val="0"/>
              <w:kinsoku/>
              <w:wordWrap/>
              <w:overflowPunct/>
              <w:topLinePunct w:val="0"/>
              <w:bidi w:val="0"/>
              <w:adjustRightInd/>
              <w:spacing w:line="360" w:lineRule="exact"/>
              <w:ind w:left="0"/>
              <w:jc w:val="center"/>
              <w:rPr>
                <w:rFonts w:ascii="宋体" w:hAnsi="宋体" w:cs="宋体"/>
                <w:color w:val="auto"/>
                <w:szCs w:val="21"/>
                <w:highlight w:val="none"/>
              </w:rPr>
            </w:pPr>
            <w:r>
              <w:rPr>
                <w:rFonts w:hint="eastAsia" w:ascii="宋体" w:hAnsi="宋体" w:cs="宋体"/>
                <w:color w:val="auto"/>
                <w:szCs w:val="21"/>
                <w:highlight w:val="none"/>
              </w:rPr>
              <w:t>首次响应文件的退回</w:t>
            </w:r>
          </w:p>
        </w:tc>
        <w:tc>
          <w:tcPr>
            <w:tcW w:w="6850" w:type="dxa"/>
            <w:tcBorders>
              <w:top w:val="single" w:color="000000" w:sz="4" w:space="0"/>
              <w:left w:val="single" w:color="000000" w:sz="4" w:space="0"/>
              <w:bottom w:val="single" w:color="000000" w:sz="4" w:space="0"/>
              <w:right w:val="single" w:color="000000" w:sz="4" w:space="0"/>
            </w:tcBorders>
            <w:vAlign w:val="center"/>
          </w:tcPr>
          <w:p w14:paraId="53BDDCAB">
            <w:pPr>
              <w:pageBreakBefore w:val="0"/>
              <w:kinsoku/>
              <w:wordWrap/>
              <w:overflowPunct/>
              <w:topLinePunct w:val="0"/>
              <w:bidi w:val="0"/>
              <w:adjustRightInd/>
              <w:snapToGrid w:val="0"/>
              <w:spacing w:line="360" w:lineRule="exact"/>
              <w:ind w:left="0"/>
              <w:jc w:val="left"/>
              <w:rPr>
                <w:rFonts w:ascii="宋体" w:hAnsi="宋体" w:cs="宋体"/>
                <w:color w:val="auto"/>
                <w:szCs w:val="21"/>
                <w:highlight w:val="none"/>
              </w:rPr>
            </w:pPr>
            <w:r>
              <w:rPr>
                <w:rFonts w:hint="eastAsia" w:ascii="宋体" w:hAnsi="宋体" w:cs="宋体"/>
                <w:color w:val="auto"/>
                <w:szCs w:val="21"/>
                <w:highlight w:val="none"/>
              </w:rPr>
              <w:t>详见竞争性磋商公告。</w:t>
            </w:r>
          </w:p>
        </w:tc>
      </w:tr>
      <w:tr w14:paraId="7DCC41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725" w:type="dxa"/>
            <w:vMerge w:val="restart"/>
            <w:tcBorders>
              <w:top w:val="single" w:color="000000" w:sz="4" w:space="0"/>
              <w:left w:val="single" w:color="000000" w:sz="4" w:space="0"/>
              <w:bottom w:val="single" w:color="000000" w:sz="4" w:space="0"/>
              <w:right w:val="single" w:color="000000" w:sz="4" w:space="0"/>
            </w:tcBorders>
            <w:vAlign w:val="center"/>
          </w:tcPr>
          <w:p w14:paraId="5311E866">
            <w:pPr>
              <w:pageBreakBefore w:val="0"/>
              <w:kinsoku/>
              <w:wordWrap/>
              <w:overflowPunct/>
              <w:topLinePunct w:val="0"/>
              <w:bidi w:val="0"/>
              <w:adjustRightInd/>
              <w:spacing w:line="360" w:lineRule="exact"/>
              <w:ind w:left="0"/>
              <w:jc w:val="center"/>
              <w:rPr>
                <w:rFonts w:ascii="宋体" w:hAnsi="宋体" w:cs="宋体"/>
                <w:color w:val="auto"/>
                <w:szCs w:val="21"/>
                <w:highlight w:val="none"/>
              </w:rPr>
            </w:pPr>
            <w:r>
              <w:rPr>
                <w:rFonts w:hint="eastAsia" w:ascii="宋体" w:hAnsi="宋体" w:cs="宋体"/>
                <w:color w:val="auto"/>
                <w:szCs w:val="21"/>
                <w:highlight w:val="none"/>
              </w:rPr>
              <w:t>26.2</w:t>
            </w:r>
          </w:p>
        </w:tc>
        <w:tc>
          <w:tcPr>
            <w:tcW w:w="2785" w:type="dxa"/>
            <w:tcBorders>
              <w:top w:val="single" w:color="000000" w:sz="4" w:space="0"/>
              <w:left w:val="single" w:color="000000" w:sz="4" w:space="0"/>
              <w:bottom w:val="single" w:color="000000" w:sz="4" w:space="0"/>
              <w:right w:val="single" w:color="000000" w:sz="4" w:space="0"/>
            </w:tcBorders>
            <w:vAlign w:val="center"/>
          </w:tcPr>
          <w:p w14:paraId="26A7FA78">
            <w:pPr>
              <w:pageBreakBefore w:val="0"/>
              <w:kinsoku/>
              <w:wordWrap/>
              <w:overflowPunct/>
              <w:topLinePunct w:val="0"/>
              <w:bidi w:val="0"/>
              <w:adjustRightInd/>
              <w:spacing w:line="360" w:lineRule="exact"/>
              <w:ind w:left="0"/>
              <w:jc w:val="center"/>
              <w:rPr>
                <w:rFonts w:ascii="宋体" w:hAnsi="宋体" w:cs="宋体"/>
                <w:color w:val="auto"/>
                <w:szCs w:val="21"/>
                <w:highlight w:val="none"/>
              </w:rPr>
            </w:pPr>
            <w:r>
              <w:rPr>
                <w:rFonts w:hint="eastAsia" w:ascii="宋体" w:hAnsi="宋体" w:cs="宋体"/>
                <w:color w:val="auto"/>
                <w:szCs w:val="21"/>
                <w:highlight w:val="none"/>
              </w:rPr>
              <w:t>负偏离要求</w:t>
            </w:r>
          </w:p>
        </w:tc>
        <w:tc>
          <w:tcPr>
            <w:tcW w:w="6850" w:type="dxa"/>
            <w:tcBorders>
              <w:top w:val="single" w:color="000000" w:sz="4" w:space="0"/>
              <w:left w:val="single" w:color="000000" w:sz="4" w:space="0"/>
              <w:bottom w:val="single" w:color="000000" w:sz="4" w:space="0"/>
              <w:right w:val="single" w:color="000000" w:sz="4" w:space="0"/>
            </w:tcBorders>
            <w:vAlign w:val="center"/>
          </w:tcPr>
          <w:p w14:paraId="12C54F85">
            <w:pPr>
              <w:pageBreakBefore w:val="0"/>
              <w:kinsoku/>
              <w:wordWrap/>
              <w:overflowPunct/>
              <w:topLinePunct w:val="0"/>
              <w:bidi w:val="0"/>
              <w:adjustRightInd/>
              <w:snapToGrid w:val="0"/>
              <w:spacing w:line="360" w:lineRule="exact"/>
              <w:ind w:left="0"/>
              <w:rPr>
                <w:rFonts w:ascii="宋体" w:hAnsi="宋体" w:cs="宋体"/>
                <w:color w:val="auto"/>
                <w:szCs w:val="21"/>
                <w:highlight w:val="none"/>
              </w:rPr>
            </w:pPr>
            <w:r>
              <w:rPr>
                <w:rFonts w:hint="eastAsia" w:ascii="宋体" w:hAnsi="宋体" w:cs="宋体"/>
                <w:color w:val="auto"/>
                <w:szCs w:val="21"/>
                <w:highlight w:val="none"/>
              </w:rPr>
              <w:t>商务条款评审中允许负偏离的条款数为</w:t>
            </w:r>
            <w:r>
              <w:rPr>
                <w:rFonts w:hint="eastAsia" w:ascii="宋体" w:hAnsi="宋体" w:cs="宋体"/>
                <w:color w:val="auto"/>
                <w:szCs w:val="21"/>
                <w:highlight w:val="none"/>
                <w:u w:val="single"/>
              </w:rPr>
              <w:t xml:space="preserve"> 0 </w:t>
            </w:r>
            <w:r>
              <w:rPr>
                <w:rFonts w:hint="eastAsia" w:ascii="宋体" w:hAnsi="宋体" w:cs="宋体"/>
                <w:color w:val="auto"/>
                <w:szCs w:val="21"/>
                <w:highlight w:val="none"/>
              </w:rPr>
              <w:t>项。</w:t>
            </w:r>
          </w:p>
          <w:p w14:paraId="3D92CF54">
            <w:pPr>
              <w:pageBreakBefore w:val="0"/>
              <w:kinsoku/>
              <w:wordWrap/>
              <w:overflowPunct/>
              <w:topLinePunct w:val="0"/>
              <w:bidi w:val="0"/>
              <w:adjustRightInd/>
              <w:snapToGrid w:val="0"/>
              <w:spacing w:line="360" w:lineRule="exact"/>
              <w:ind w:left="0"/>
              <w:rPr>
                <w:rFonts w:ascii="宋体" w:hAnsi="宋体" w:cs="宋体"/>
                <w:color w:val="auto"/>
                <w:szCs w:val="21"/>
                <w:highlight w:val="none"/>
              </w:rPr>
            </w:pPr>
            <w:r>
              <w:rPr>
                <w:rFonts w:hint="eastAsia" w:ascii="宋体" w:hAnsi="宋体" w:cs="宋体"/>
                <w:color w:val="auto"/>
                <w:szCs w:val="21"/>
                <w:highlight w:val="none"/>
              </w:rPr>
              <w:t>服务需求评审中允许负偏离的条款数为</w:t>
            </w:r>
            <w:r>
              <w:rPr>
                <w:rFonts w:hint="eastAsia" w:ascii="宋体" w:hAnsi="宋体" w:cs="宋体"/>
                <w:color w:val="auto"/>
                <w:szCs w:val="21"/>
                <w:highlight w:val="none"/>
                <w:u w:val="single"/>
              </w:rPr>
              <w:t xml:space="preserve"> 0 </w:t>
            </w:r>
            <w:r>
              <w:rPr>
                <w:rFonts w:hint="eastAsia" w:ascii="宋体" w:hAnsi="宋体" w:cs="宋体"/>
                <w:color w:val="auto"/>
                <w:szCs w:val="21"/>
                <w:highlight w:val="none"/>
              </w:rPr>
              <w:t>项。</w:t>
            </w:r>
          </w:p>
        </w:tc>
      </w:tr>
      <w:tr w14:paraId="4ED678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continue"/>
            <w:tcBorders>
              <w:top w:val="single" w:color="000000" w:sz="4" w:space="0"/>
              <w:left w:val="single" w:color="000000" w:sz="4" w:space="0"/>
              <w:bottom w:val="single" w:color="000000" w:sz="4" w:space="0"/>
              <w:right w:val="single" w:color="000000" w:sz="4" w:space="0"/>
            </w:tcBorders>
            <w:vAlign w:val="center"/>
          </w:tcPr>
          <w:p w14:paraId="02917B19">
            <w:pPr>
              <w:pageBreakBefore w:val="0"/>
              <w:widowControl/>
              <w:kinsoku/>
              <w:wordWrap/>
              <w:overflowPunct/>
              <w:topLinePunct w:val="0"/>
              <w:bidi w:val="0"/>
              <w:adjustRightInd/>
              <w:spacing w:line="360" w:lineRule="exact"/>
              <w:ind w:left="0"/>
              <w:jc w:val="center"/>
              <w:rPr>
                <w:rFonts w:ascii="宋体" w:hAnsi="宋体" w:cs="宋体"/>
                <w:color w:val="auto"/>
                <w:szCs w:val="21"/>
                <w:highlight w:val="none"/>
              </w:rPr>
            </w:pPr>
          </w:p>
        </w:tc>
        <w:tc>
          <w:tcPr>
            <w:tcW w:w="2785" w:type="dxa"/>
            <w:tcBorders>
              <w:top w:val="single" w:color="000000" w:sz="4" w:space="0"/>
              <w:left w:val="single" w:color="000000" w:sz="4" w:space="0"/>
              <w:bottom w:val="single" w:color="000000" w:sz="4" w:space="0"/>
              <w:right w:val="single" w:color="000000" w:sz="4" w:space="0"/>
            </w:tcBorders>
            <w:vAlign w:val="center"/>
          </w:tcPr>
          <w:p w14:paraId="288E45D0">
            <w:pPr>
              <w:pageBreakBefore w:val="0"/>
              <w:kinsoku/>
              <w:wordWrap/>
              <w:overflowPunct/>
              <w:topLinePunct w:val="0"/>
              <w:bidi w:val="0"/>
              <w:adjustRightInd/>
              <w:snapToGrid w:val="0"/>
              <w:spacing w:line="360" w:lineRule="exact"/>
              <w:ind w:left="0"/>
              <w:jc w:val="center"/>
              <w:rPr>
                <w:rFonts w:ascii="宋体" w:hAnsi="宋体" w:cs="宋体"/>
                <w:color w:val="auto"/>
                <w:szCs w:val="21"/>
                <w:highlight w:val="none"/>
              </w:rPr>
            </w:pPr>
            <w:r>
              <w:rPr>
                <w:rFonts w:hint="eastAsia" w:ascii="宋体" w:hAnsi="宋体" w:cs="宋体"/>
                <w:color w:val="auto"/>
                <w:szCs w:val="21"/>
                <w:highlight w:val="none"/>
              </w:rPr>
              <w:t>磋商的顺序</w:t>
            </w:r>
          </w:p>
          <w:p w14:paraId="66D51B13">
            <w:pPr>
              <w:pageBreakBefore w:val="0"/>
              <w:kinsoku/>
              <w:wordWrap/>
              <w:overflowPunct/>
              <w:topLinePunct w:val="0"/>
              <w:bidi w:val="0"/>
              <w:adjustRightInd/>
              <w:spacing w:line="360" w:lineRule="exact"/>
              <w:ind w:left="0"/>
              <w:jc w:val="center"/>
              <w:rPr>
                <w:rFonts w:ascii="宋体" w:hAnsi="宋体" w:cs="宋体"/>
                <w:color w:val="auto"/>
                <w:szCs w:val="21"/>
                <w:highlight w:val="none"/>
              </w:rPr>
            </w:pPr>
          </w:p>
        </w:tc>
        <w:tc>
          <w:tcPr>
            <w:tcW w:w="6850" w:type="dxa"/>
            <w:tcBorders>
              <w:top w:val="single" w:color="000000" w:sz="4" w:space="0"/>
              <w:left w:val="single" w:color="000000" w:sz="4" w:space="0"/>
              <w:bottom w:val="single" w:color="000000" w:sz="4" w:space="0"/>
              <w:right w:val="single" w:color="000000" w:sz="4" w:space="0"/>
            </w:tcBorders>
            <w:vAlign w:val="center"/>
          </w:tcPr>
          <w:p w14:paraId="71E6FF56">
            <w:pPr>
              <w:pStyle w:val="9"/>
              <w:pageBreakBefore w:val="0"/>
              <w:kinsoku/>
              <w:wordWrap/>
              <w:overflowPunct/>
              <w:topLinePunct w:val="0"/>
              <w:bidi w:val="0"/>
              <w:adjustRightInd/>
              <w:spacing w:line="360" w:lineRule="exact"/>
              <w:ind w:left="0"/>
              <w:rPr>
                <w:rFonts w:ascii="宋体" w:hAnsi="宋体" w:cs="宋体"/>
                <w:color w:val="auto"/>
                <w:szCs w:val="21"/>
                <w:highlight w:val="none"/>
              </w:rPr>
            </w:pPr>
            <w:r>
              <w:rPr>
                <w:rFonts w:hint="eastAsia" w:ascii="宋体" w:hAnsi="宋体" w:cs="宋体"/>
                <w:color w:val="auto"/>
                <w:szCs w:val="21"/>
                <w:highlight w:val="none"/>
              </w:rPr>
              <w:t>☑按照提交首次响应文件的顺序，通知磋商时，若某供应商不在通知现场时，该供应商排序到最后磋商，按照签到的顺序由其下一位供应商先参与磋商。</w:t>
            </w:r>
          </w:p>
          <w:p w14:paraId="2881F344">
            <w:pPr>
              <w:pageBreakBefore w:val="0"/>
              <w:kinsoku/>
              <w:wordWrap/>
              <w:overflowPunct/>
              <w:topLinePunct w:val="0"/>
              <w:bidi w:val="0"/>
              <w:adjustRightInd/>
              <w:snapToGrid w:val="0"/>
              <w:spacing w:line="360" w:lineRule="exact"/>
              <w:ind w:left="0"/>
              <w:rPr>
                <w:rFonts w:ascii="宋体" w:hAnsi="宋体" w:cs="宋体"/>
                <w:color w:val="auto"/>
                <w:szCs w:val="21"/>
                <w:highlight w:val="none"/>
              </w:rPr>
            </w:pPr>
            <w:r>
              <w:rPr>
                <w:rFonts w:hint="eastAsia" w:ascii="宋体" w:hAnsi="宋体" w:cs="宋体"/>
                <w:color w:val="auto"/>
                <w:szCs w:val="21"/>
                <w:highlight w:val="none"/>
              </w:rPr>
              <w:t>□随机排序。</w:t>
            </w:r>
          </w:p>
          <w:p w14:paraId="2C303FB5">
            <w:pPr>
              <w:pStyle w:val="9"/>
              <w:pageBreakBefore w:val="0"/>
              <w:kinsoku/>
              <w:wordWrap/>
              <w:overflowPunct/>
              <w:topLinePunct w:val="0"/>
              <w:bidi w:val="0"/>
              <w:adjustRightInd/>
              <w:spacing w:line="360" w:lineRule="exact"/>
              <w:ind w:left="0"/>
              <w:rPr>
                <w:rFonts w:ascii="宋体" w:hAnsi="宋体" w:cs="宋体"/>
                <w:b/>
                <w:color w:val="auto"/>
                <w:szCs w:val="21"/>
                <w:highlight w:val="none"/>
              </w:rPr>
            </w:pPr>
            <w:r>
              <w:rPr>
                <w:rFonts w:hint="eastAsia" w:ascii="宋体" w:hAnsi="宋体" w:cs="宋体"/>
                <w:b/>
                <w:color w:val="auto"/>
                <w:szCs w:val="21"/>
                <w:highlight w:val="none"/>
              </w:rPr>
              <w:t>参与磋商前，供应商法定代表人或者委托代理人必须向磋商小组出示本人有效证件原件[有效证件可以是身份证（含临时身份证明）、机动车驾驶证、社会保障卡或者护照的其中一项]，若参与磋商的委托代理人不是响应文件中授权的委托代理人时，必须同时出示有效的法定代表人授权委托书原件，否则磋商小组将拒绝其参与磋商。</w:t>
            </w:r>
          </w:p>
        </w:tc>
      </w:tr>
      <w:tr w14:paraId="4E5606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14:paraId="1E06E0FF">
            <w:pPr>
              <w:pageBreakBefore w:val="0"/>
              <w:kinsoku/>
              <w:wordWrap/>
              <w:overflowPunct/>
              <w:topLinePunct w:val="0"/>
              <w:bidi w:val="0"/>
              <w:adjustRightInd/>
              <w:spacing w:line="360" w:lineRule="exact"/>
              <w:ind w:left="0"/>
              <w:jc w:val="center"/>
              <w:rPr>
                <w:rFonts w:ascii="宋体" w:hAnsi="宋体" w:cs="宋体"/>
                <w:color w:val="auto"/>
                <w:szCs w:val="21"/>
                <w:highlight w:val="none"/>
              </w:rPr>
            </w:pPr>
            <w:r>
              <w:rPr>
                <w:rFonts w:hint="eastAsia" w:ascii="宋体" w:hAnsi="宋体" w:cs="宋体"/>
                <w:color w:val="auto"/>
                <w:szCs w:val="21"/>
                <w:highlight w:val="none"/>
              </w:rPr>
              <w:t>28</w:t>
            </w:r>
          </w:p>
        </w:tc>
        <w:tc>
          <w:tcPr>
            <w:tcW w:w="2785" w:type="dxa"/>
            <w:tcBorders>
              <w:top w:val="single" w:color="000000" w:sz="4" w:space="0"/>
              <w:left w:val="single" w:color="000000" w:sz="4" w:space="0"/>
              <w:bottom w:val="single" w:color="000000" w:sz="4" w:space="0"/>
              <w:right w:val="single" w:color="000000" w:sz="4" w:space="0"/>
            </w:tcBorders>
            <w:vAlign w:val="center"/>
          </w:tcPr>
          <w:p w14:paraId="1BE1F4D9">
            <w:pPr>
              <w:pageBreakBefore w:val="0"/>
              <w:kinsoku/>
              <w:wordWrap/>
              <w:overflowPunct/>
              <w:topLinePunct w:val="0"/>
              <w:bidi w:val="0"/>
              <w:adjustRightInd/>
              <w:spacing w:line="360" w:lineRule="exact"/>
              <w:ind w:left="0"/>
              <w:jc w:val="center"/>
              <w:rPr>
                <w:rFonts w:ascii="宋体" w:hAnsi="宋体" w:cs="宋体"/>
                <w:color w:val="auto"/>
                <w:szCs w:val="21"/>
                <w:highlight w:val="none"/>
              </w:rPr>
            </w:pPr>
            <w:r>
              <w:rPr>
                <w:rFonts w:hint="eastAsia" w:ascii="宋体" w:hAnsi="宋体" w:cs="宋体"/>
                <w:color w:val="auto"/>
                <w:szCs w:val="21"/>
                <w:highlight w:val="none"/>
              </w:rPr>
              <w:t>履约保证金</w:t>
            </w:r>
          </w:p>
        </w:tc>
        <w:tc>
          <w:tcPr>
            <w:tcW w:w="6850" w:type="dxa"/>
            <w:tcBorders>
              <w:top w:val="single" w:color="000000" w:sz="4" w:space="0"/>
              <w:left w:val="single" w:color="000000" w:sz="4" w:space="0"/>
              <w:bottom w:val="single" w:color="000000" w:sz="4" w:space="0"/>
              <w:right w:val="single" w:color="000000" w:sz="4" w:space="0"/>
            </w:tcBorders>
            <w:vAlign w:val="center"/>
          </w:tcPr>
          <w:p w14:paraId="722F4857">
            <w:pPr>
              <w:pageBreakBefore w:val="0"/>
              <w:kinsoku/>
              <w:wordWrap/>
              <w:overflowPunct/>
              <w:topLinePunct w:val="0"/>
              <w:bidi w:val="0"/>
              <w:adjustRightInd/>
              <w:snapToGrid w:val="0"/>
              <w:spacing w:line="360" w:lineRule="exact"/>
              <w:ind w:left="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具体详见合同条款</w:t>
            </w:r>
            <w:bookmarkStart w:id="1448" w:name="_GoBack"/>
            <w:bookmarkEnd w:id="1448"/>
          </w:p>
        </w:tc>
      </w:tr>
      <w:tr w14:paraId="3CCAED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14:paraId="7FF69FB2">
            <w:pPr>
              <w:pageBreakBefore w:val="0"/>
              <w:kinsoku/>
              <w:wordWrap/>
              <w:overflowPunct/>
              <w:topLinePunct w:val="0"/>
              <w:bidi w:val="0"/>
              <w:adjustRightInd/>
              <w:spacing w:line="360" w:lineRule="exact"/>
              <w:ind w:left="0"/>
              <w:jc w:val="center"/>
              <w:rPr>
                <w:rFonts w:ascii="宋体" w:hAnsi="宋体" w:cs="宋体"/>
                <w:color w:val="auto"/>
                <w:szCs w:val="21"/>
                <w:highlight w:val="none"/>
              </w:rPr>
            </w:pPr>
            <w:r>
              <w:rPr>
                <w:rFonts w:hint="eastAsia" w:ascii="宋体" w:hAnsi="宋体" w:cs="宋体"/>
                <w:color w:val="auto"/>
                <w:szCs w:val="21"/>
                <w:highlight w:val="none"/>
              </w:rPr>
              <w:t>29.5</w:t>
            </w:r>
          </w:p>
        </w:tc>
        <w:tc>
          <w:tcPr>
            <w:tcW w:w="2785" w:type="dxa"/>
            <w:tcBorders>
              <w:top w:val="single" w:color="000000" w:sz="4" w:space="0"/>
              <w:left w:val="single" w:color="000000" w:sz="4" w:space="0"/>
              <w:bottom w:val="single" w:color="000000" w:sz="4" w:space="0"/>
              <w:right w:val="single" w:color="000000" w:sz="4" w:space="0"/>
            </w:tcBorders>
            <w:vAlign w:val="center"/>
          </w:tcPr>
          <w:p w14:paraId="339D2097">
            <w:pPr>
              <w:pageBreakBefore w:val="0"/>
              <w:kinsoku/>
              <w:wordWrap/>
              <w:overflowPunct/>
              <w:topLinePunct w:val="0"/>
              <w:bidi w:val="0"/>
              <w:adjustRightInd/>
              <w:spacing w:line="360" w:lineRule="exact"/>
              <w:ind w:left="0"/>
              <w:jc w:val="center"/>
              <w:rPr>
                <w:rFonts w:ascii="宋体" w:hAnsi="宋体" w:cs="宋体"/>
                <w:color w:val="auto"/>
                <w:szCs w:val="21"/>
                <w:highlight w:val="none"/>
              </w:rPr>
            </w:pPr>
            <w:r>
              <w:rPr>
                <w:rFonts w:hint="eastAsia" w:ascii="宋体" w:hAnsi="宋体" w:cs="宋体"/>
                <w:color w:val="auto"/>
                <w:szCs w:val="21"/>
                <w:highlight w:val="none"/>
              </w:rPr>
              <w:t>签订合同携带的材料</w:t>
            </w:r>
          </w:p>
        </w:tc>
        <w:tc>
          <w:tcPr>
            <w:tcW w:w="6850" w:type="dxa"/>
            <w:tcBorders>
              <w:top w:val="single" w:color="000000" w:sz="4" w:space="0"/>
              <w:left w:val="single" w:color="000000" w:sz="4" w:space="0"/>
              <w:bottom w:val="single" w:color="000000" w:sz="4" w:space="0"/>
              <w:right w:val="single" w:color="000000" w:sz="4" w:space="0"/>
            </w:tcBorders>
            <w:vAlign w:val="center"/>
          </w:tcPr>
          <w:p w14:paraId="7FB8B0CA">
            <w:pPr>
              <w:pageBreakBefore w:val="0"/>
              <w:kinsoku/>
              <w:wordWrap/>
              <w:overflowPunct/>
              <w:topLinePunct w:val="0"/>
              <w:bidi w:val="0"/>
              <w:adjustRightInd/>
              <w:snapToGrid w:val="0"/>
              <w:spacing w:line="360" w:lineRule="exact"/>
              <w:ind w:left="0"/>
              <w:rPr>
                <w:rFonts w:ascii="宋体" w:hAnsi="宋体" w:cs="宋体"/>
                <w:color w:val="auto"/>
                <w:szCs w:val="21"/>
                <w:highlight w:val="none"/>
              </w:rPr>
            </w:pPr>
            <w:r>
              <w:rPr>
                <w:rFonts w:hint="eastAsia" w:ascii="宋体" w:hAnsi="宋体" w:cs="宋体"/>
                <w:color w:val="auto"/>
                <w:szCs w:val="21"/>
                <w:highlight w:val="none"/>
              </w:rPr>
              <w:t>使用的有效CA证书加盖单位电子公章</w:t>
            </w:r>
          </w:p>
        </w:tc>
      </w:tr>
      <w:tr w14:paraId="4F413F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restart"/>
            <w:tcBorders>
              <w:top w:val="single" w:color="000000" w:sz="4" w:space="0"/>
              <w:left w:val="single" w:color="000000" w:sz="4" w:space="0"/>
              <w:bottom w:val="single" w:color="000000" w:sz="4" w:space="0"/>
              <w:right w:val="single" w:color="000000" w:sz="4" w:space="0"/>
            </w:tcBorders>
            <w:vAlign w:val="center"/>
          </w:tcPr>
          <w:p w14:paraId="67E58466">
            <w:pPr>
              <w:pageBreakBefore w:val="0"/>
              <w:kinsoku/>
              <w:wordWrap/>
              <w:overflowPunct/>
              <w:topLinePunct w:val="0"/>
              <w:bidi w:val="0"/>
              <w:adjustRightInd/>
              <w:spacing w:line="360" w:lineRule="exact"/>
              <w:ind w:left="0"/>
              <w:jc w:val="center"/>
              <w:rPr>
                <w:rFonts w:ascii="宋体" w:hAnsi="宋体" w:cs="宋体"/>
                <w:color w:val="auto"/>
                <w:szCs w:val="21"/>
                <w:highlight w:val="none"/>
              </w:rPr>
            </w:pPr>
            <w:r>
              <w:rPr>
                <w:rFonts w:hint="eastAsia" w:ascii="宋体" w:hAnsi="宋体" w:cs="宋体"/>
                <w:color w:val="auto"/>
                <w:szCs w:val="21"/>
                <w:highlight w:val="none"/>
              </w:rPr>
              <w:t>31.2</w:t>
            </w:r>
          </w:p>
        </w:tc>
        <w:tc>
          <w:tcPr>
            <w:tcW w:w="2785" w:type="dxa"/>
            <w:tcBorders>
              <w:top w:val="single" w:color="000000" w:sz="4" w:space="0"/>
              <w:left w:val="single" w:color="000000" w:sz="4" w:space="0"/>
              <w:bottom w:val="single" w:color="000000" w:sz="4" w:space="0"/>
              <w:right w:val="single" w:color="000000" w:sz="4" w:space="0"/>
            </w:tcBorders>
            <w:vAlign w:val="center"/>
          </w:tcPr>
          <w:p w14:paraId="34C5A524">
            <w:pPr>
              <w:pageBreakBefore w:val="0"/>
              <w:kinsoku/>
              <w:wordWrap/>
              <w:overflowPunct/>
              <w:topLinePunct w:val="0"/>
              <w:bidi w:val="0"/>
              <w:adjustRightInd/>
              <w:spacing w:line="360" w:lineRule="exact"/>
              <w:ind w:left="0"/>
              <w:jc w:val="center"/>
              <w:rPr>
                <w:rFonts w:ascii="宋体" w:hAnsi="宋体" w:cs="宋体"/>
                <w:color w:val="auto"/>
                <w:szCs w:val="21"/>
                <w:highlight w:val="none"/>
              </w:rPr>
            </w:pPr>
            <w:r>
              <w:rPr>
                <w:rFonts w:hint="eastAsia" w:ascii="宋体" w:hAnsi="宋体" w:cs="宋体"/>
                <w:color w:val="auto"/>
                <w:szCs w:val="21"/>
                <w:highlight w:val="none"/>
              </w:rPr>
              <w:t>接收质疑函方式</w:t>
            </w:r>
          </w:p>
        </w:tc>
        <w:tc>
          <w:tcPr>
            <w:tcW w:w="6850" w:type="dxa"/>
            <w:tcBorders>
              <w:top w:val="single" w:color="000000" w:sz="4" w:space="0"/>
              <w:left w:val="single" w:color="000000" w:sz="4" w:space="0"/>
              <w:bottom w:val="single" w:color="000000" w:sz="4" w:space="0"/>
              <w:right w:val="single" w:color="000000" w:sz="4" w:space="0"/>
            </w:tcBorders>
            <w:vAlign w:val="center"/>
          </w:tcPr>
          <w:p w14:paraId="576D2F48">
            <w:pPr>
              <w:pageBreakBefore w:val="0"/>
              <w:kinsoku/>
              <w:wordWrap/>
              <w:overflowPunct/>
              <w:topLinePunct w:val="0"/>
              <w:bidi w:val="0"/>
              <w:adjustRightInd/>
              <w:snapToGrid w:val="0"/>
              <w:spacing w:line="360" w:lineRule="exact"/>
              <w:ind w:left="0"/>
              <w:rPr>
                <w:rFonts w:ascii="宋体" w:hAnsi="宋体" w:cs="宋体"/>
                <w:color w:val="auto"/>
                <w:szCs w:val="21"/>
                <w:highlight w:val="none"/>
              </w:rPr>
            </w:pPr>
            <w:r>
              <w:rPr>
                <w:rFonts w:hint="eastAsia" w:ascii="宋体" w:hAnsi="宋体" w:cs="宋体"/>
                <w:color w:val="auto"/>
                <w:szCs w:val="21"/>
                <w:highlight w:val="none"/>
              </w:rPr>
              <w:t>以书面形式</w:t>
            </w:r>
          </w:p>
        </w:tc>
      </w:tr>
      <w:tr w14:paraId="10664F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continue"/>
            <w:tcBorders>
              <w:top w:val="single" w:color="000000" w:sz="4" w:space="0"/>
              <w:left w:val="single" w:color="000000" w:sz="4" w:space="0"/>
              <w:bottom w:val="single" w:color="000000" w:sz="4" w:space="0"/>
              <w:right w:val="single" w:color="000000" w:sz="4" w:space="0"/>
            </w:tcBorders>
            <w:vAlign w:val="center"/>
          </w:tcPr>
          <w:p w14:paraId="50F0ED4A">
            <w:pPr>
              <w:pageBreakBefore w:val="0"/>
              <w:widowControl/>
              <w:kinsoku/>
              <w:wordWrap/>
              <w:overflowPunct/>
              <w:topLinePunct w:val="0"/>
              <w:bidi w:val="0"/>
              <w:adjustRightInd/>
              <w:spacing w:line="360" w:lineRule="exact"/>
              <w:ind w:left="0"/>
              <w:jc w:val="center"/>
              <w:rPr>
                <w:rFonts w:ascii="宋体" w:hAnsi="宋体" w:cs="宋体"/>
                <w:color w:val="auto"/>
                <w:szCs w:val="21"/>
                <w:highlight w:val="none"/>
              </w:rPr>
            </w:pPr>
          </w:p>
        </w:tc>
        <w:tc>
          <w:tcPr>
            <w:tcW w:w="2785" w:type="dxa"/>
            <w:tcBorders>
              <w:top w:val="single" w:color="000000" w:sz="4" w:space="0"/>
              <w:left w:val="single" w:color="000000" w:sz="4" w:space="0"/>
              <w:bottom w:val="single" w:color="000000" w:sz="4" w:space="0"/>
              <w:right w:val="single" w:color="000000" w:sz="4" w:space="0"/>
            </w:tcBorders>
            <w:vAlign w:val="center"/>
          </w:tcPr>
          <w:p w14:paraId="7A4706AB">
            <w:pPr>
              <w:pageBreakBefore w:val="0"/>
              <w:kinsoku/>
              <w:wordWrap/>
              <w:overflowPunct/>
              <w:topLinePunct w:val="0"/>
              <w:bidi w:val="0"/>
              <w:adjustRightInd/>
              <w:spacing w:line="360" w:lineRule="exact"/>
              <w:ind w:left="0"/>
              <w:jc w:val="center"/>
              <w:rPr>
                <w:rFonts w:ascii="宋体" w:hAnsi="宋体" w:cs="宋体"/>
                <w:color w:val="auto"/>
                <w:szCs w:val="21"/>
                <w:highlight w:val="none"/>
              </w:rPr>
            </w:pPr>
            <w:r>
              <w:rPr>
                <w:rFonts w:hint="eastAsia" w:ascii="宋体" w:hAnsi="宋体" w:cs="宋体"/>
                <w:color w:val="auto"/>
                <w:szCs w:val="21"/>
                <w:highlight w:val="none"/>
              </w:rPr>
              <w:t>质疑联系部门及联系方式</w:t>
            </w:r>
          </w:p>
        </w:tc>
        <w:tc>
          <w:tcPr>
            <w:tcW w:w="6850" w:type="dxa"/>
            <w:tcBorders>
              <w:top w:val="single" w:color="000000" w:sz="4" w:space="0"/>
              <w:left w:val="single" w:color="000000" w:sz="4" w:space="0"/>
              <w:bottom w:val="single" w:color="000000" w:sz="4" w:space="0"/>
              <w:right w:val="single" w:color="000000" w:sz="4" w:space="0"/>
            </w:tcBorders>
            <w:vAlign w:val="center"/>
          </w:tcPr>
          <w:p w14:paraId="2B0003CD">
            <w:pPr>
              <w:pageBreakBefore w:val="0"/>
              <w:kinsoku/>
              <w:wordWrap/>
              <w:overflowPunct/>
              <w:topLinePunct w:val="0"/>
              <w:bidi w:val="0"/>
              <w:adjustRightInd/>
              <w:snapToGrid w:val="0"/>
              <w:spacing w:line="360" w:lineRule="exact"/>
              <w:ind w:left="0"/>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u w:val="single"/>
              </w:rPr>
              <w:t>广西合美工程咨询有限公司</w:t>
            </w:r>
            <w:r>
              <w:rPr>
                <w:rFonts w:hint="eastAsia" w:ascii="宋体" w:hAnsi="宋体" w:cs="宋体"/>
                <w:color w:val="auto"/>
                <w:szCs w:val="21"/>
                <w:highlight w:val="none"/>
              </w:rPr>
              <w:t>部门；</w:t>
            </w:r>
          </w:p>
          <w:p w14:paraId="3A4B0269">
            <w:pPr>
              <w:pageBreakBefore w:val="0"/>
              <w:kinsoku/>
              <w:wordWrap/>
              <w:overflowPunct/>
              <w:topLinePunct w:val="0"/>
              <w:bidi w:val="0"/>
              <w:adjustRightInd/>
              <w:snapToGrid w:val="0"/>
              <w:spacing w:line="360" w:lineRule="exact"/>
              <w:ind w:left="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联系电话：</w:t>
            </w:r>
            <w:r>
              <w:rPr>
                <w:rFonts w:hint="eastAsia" w:ascii="宋体" w:hAnsi="宋体" w:cs="宋体"/>
                <w:color w:val="auto"/>
                <w:szCs w:val="21"/>
                <w:highlight w:val="none"/>
                <w:u w:val="single"/>
                <w:lang w:eastAsia="zh-CN"/>
              </w:rPr>
              <w:t>0771-2420225</w:t>
            </w:r>
          </w:p>
          <w:p w14:paraId="13403B5F">
            <w:pPr>
              <w:pageBreakBefore w:val="0"/>
              <w:kinsoku/>
              <w:wordWrap/>
              <w:overflowPunct/>
              <w:topLinePunct w:val="0"/>
              <w:bidi w:val="0"/>
              <w:adjustRightInd/>
              <w:snapToGrid w:val="0"/>
              <w:spacing w:line="360" w:lineRule="exact"/>
              <w:ind w:left="0"/>
              <w:rPr>
                <w:rFonts w:ascii="宋体" w:hAnsi="宋体" w:cs="宋体"/>
                <w:color w:val="auto"/>
                <w:szCs w:val="21"/>
                <w:highlight w:val="none"/>
              </w:rPr>
            </w:pPr>
            <w:r>
              <w:rPr>
                <w:rFonts w:hint="eastAsia" w:ascii="宋体" w:hAnsi="宋体" w:cs="宋体"/>
                <w:color w:val="auto"/>
                <w:szCs w:val="21"/>
                <w:highlight w:val="none"/>
              </w:rPr>
              <w:t>通讯地址：</w:t>
            </w:r>
            <w:r>
              <w:rPr>
                <w:rFonts w:hint="eastAsia" w:ascii="宋体" w:hAnsi="宋体" w:cs="宋体"/>
                <w:color w:val="auto"/>
                <w:szCs w:val="21"/>
                <w:highlight w:val="none"/>
                <w:u w:val="single"/>
                <w:lang w:eastAsia="zh-CN"/>
              </w:rPr>
              <w:t>南宁市青秀区双拥路36号绿城画卷B座1708-1709室</w:t>
            </w:r>
            <w:r>
              <w:rPr>
                <w:rFonts w:hint="eastAsia" w:ascii="宋体" w:hAnsi="宋体" w:cs="宋体"/>
                <w:color w:val="auto"/>
                <w:szCs w:val="21"/>
                <w:highlight w:val="none"/>
              </w:rPr>
              <w:t xml:space="preserve"> </w:t>
            </w:r>
          </w:p>
          <w:p w14:paraId="3035BAA8">
            <w:pPr>
              <w:pageBreakBefore w:val="0"/>
              <w:kinsoku/>
              <w:wordWrap/>
              <w:overflowPunct/>
              <w:topLinePunct w:val="0"/>
              <w:bidi w:val="0"/>
              <w:adjustRightInd/>
              <w:snapToGrid w:val="0"/>
              <w:spacing w:line="360" w:lineRule="exact"/>
              <w:ind w:left="0"/>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u w:val="single"/>
                <w:lang w:eastAsia="zh-CN"/>
              </w:rPr>
              <w:t>南宁市江南区苏圩镇人民政府</w:t>
            </w:r>
            <w:r>
              <w:rPr>
                <w:rFonts w:hint="eastAsia" w:ascii="宋体" w:hAnsi="宋体" w:cs="宋体"/>
                <w:color w:val="auto"/>
                <w:szCs w:val="21"/>
                <w:highlight w:val="none"/>
              </w:rPr>
              <w:t>部门；</w:t>
            </w:r>
          </w:p>
          <w:p w14:paraId="460B3CAE">
            <w:pPr>
              <w:pageBreakBefore w:val="0"/>
              <w:kinsoku/>
              <w:wordWrap/>
              <w:overflowPunct/>
              <w:topLinePunct w:val="0"/>
              <w:bidi w:val="0"/>
              <w:adjustRightInd/>
              <w:snapToGrid w:val="0"/>
              <w:spacing w:line="360" w:lineRule="exact"/>
              <w:ind w:left="0"/>
              <w:rPr>
                <w:rFonts w:hint="eastAsia" w:ascii="宋体" w:hAnsi="宋体" w:eastAsia="宋体" w:cs="宋体"/>
                <w:color w:val="auto"/>
                <w:szCs w:val="21"/>
                <w:highlight w:val="none"/>
                <w:u w:val="single"/>
                <w:lang w:eastAsia="zh-CN"/>
              </w:rPr>
            </w:pPr>
            <w:r>
              <w:rPr>
                <w:rFonts w:hint="eastAsia" w:ascii="宋体" w:hAnsi="宋体" w:cs="宋体"/>
                <w:color w:val="auto"/>
                <w:szCs w:val="21"/>
                <w:highlight w:val="none"/>
              </w:rPr>
              <w:t>联系电话：</w:t>
            </w:r>
            <w:r>
              <w:rPr>
                <w:rFonts w:hint="eastAsia" w:ascii="宋体" w:hAnsi="宋体" w:cs="宋体"/>
                <w:color w:val="auto"/>
                <w:szCs w:val="21"/>
                <w:highlight w:val="none"/>
                <w:u w:val="single"/>
              </w:rPr>
              <w:t>0771-</w:t>
            </w:r>
            <w:r>
              <w:rPr>
                <w:rFonts w:hint="eastAsia" w:ascii="宋体" w:hAnsi="宋体" w:cs="宋体"/>
                <w:color w:val="auto"/>
                <w:szCs w:val="21"/>
                <w:highlight w:val="none"/>
                <w:u w:val="single"/>
                <w:lang w:eastAsia="zh-CN"/>
              </w:rPr>
              <w:t>4178002</w:t>
            </w:r>
          </w:p>
          <w:p w14:paraId="4F401FA9">
            <w:pPr>
              <w:pageBreakBefore w:val="0"/>
              <w:kinsoku/>
              <w:wordWrap/>
              <w:overflowPunct/>
              <w:topLinePunct w:val="0"/>
              <w:bidi w:val="0"/>
              <w:adjustRightInd/>
              <w:snapToGrid w:val="0"/>
              <w:spacing w:line="360" w:lineRule="exact"/>
              <w:ind w:left="0"/>
              <w:rPr>
                <w:rFonts w:ascii="宋体" w:hAnsi="宋体" w:cs="宋体"/>
                <w:color w:val="auto"/>
                <w:szCs w:val="21"/>
                <w:highlight w:val="none"/>
              </w:rPr>
            </w:pPr>
            <w:r>
              <w:rPr>
                <w:rFonts w:hint="eastAsia" w:ascii="宋体" w:hAnsi="宋体" w:cs="宋体"/>
                <w:color w:val="auto"/>
                <w:szCs w:val="21"/>
                <w:highlight w:val="none"/>
              </w:rPr>
              <w:t>通讯地址：</w:t>
            </w:r>
            <w:r>
              <w:rPr>
                <w:rFonts w:hint="eastAsia" w:ascii="宋体" w:hAnsi="宋体" w:cs="宋体"/>
                <w:color w:val="auto"/>
                <w:szCs w:val="21"/>
                <w:highlight w:val="none"/>
                <w:u w:val="single"/>
                <w:lang w:eastAsia="zh-CN"/>
              </w:rPr>
              <w:t>南宁市江南区苏圩镇团结路8号</w:t>
            </w:r>
            <w:r>
              <w:rPr>
                <w:rFonts w:hint="eastAsia" w:ascii="宋体" w:hAnsi="宋体" w:cs="宋体"/>
                <w:color w:val="auto"/>
                <w:szCs w:val="21"/>
                <w:highlight w:val="none"/>
              </w:rPr>
              <w:t xml:space="preserve"> </w:t>
            </w:r>
          </w:p>
        </w:tc>
      </w:tr>
      <w:tr w14:paraId="16AD54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continue"/>
            <w:tcBorders>
              <w:top w:val="single" w:color="000000" w:sz="4" w:space="0"/>
              <w:left w:val="single" w:color="000000" w:sz="4" w:space="0"/>
              <w:bottom w:val="single" w:color="000000" w:sz="4" w:space="0"/>
              <w:right w:val="single" w:color="000000" w:sz="4" w:space="0"/>
            </w:tcBorders>
            <w:vAlign w:val="center"/>
          </w:tcPr>
          <w:p w14:paraId="3500BEA6">
            <w:pPr>
              <w:pageBreakBefore w:val="0"/>
              <w:widowControl/>
              <w:kinsoku/>
              <w:wordWrap/>
              <w:overflowPunct/>
              <w:topLinePunct w:val="0"/>
              <w:bidi w:val="0"/>
              <w:adjustRightInd/>
              <w:spacing w:line="360" w:lineRule="exact"/>
              <w:ind w:left="0"/>
              <w:jc w:val="center"/>
              <w:rPr>
                <w:rFonts w:ascii="宋体" w:hAnsi="宋体" w:cs="宋体"/>
                <w:color w:val="auto"/>
                <w:szCs w:val="21"/>
                <w:highlight w:val="none"/>
              </w:rPr>
            </w:pPr>
          </w:p>
        </w:tc>
        <w:tc>
          <w:tcPr>
            <w:tcW w:w="2785" w:type="dxa"/>
            <w:tcBorders>
              <w:top w:val="single" w:color="000000" w:sz="4" w:space="0"/>
              <w:left w:val="single" w:color="000000" w:sz="4" w:space="0"/>
              <w:bottom w:val="single" w:color="000000" w:sz="4" w:space="0"/>
              <w:right w:val="single" w:color="000000" w:sz="4" w:space="0"/>
            </w:tcBorders>
            <w:vAlign w:val="center"/>
          </w:tcPr>
          <w:p w14:paraId="5B5C611D">
            <w:pPr>
              <w:pageBreakBefore w:val="0"/>
              <w:kinsoku/>
              <w:wordWrap/>
              <w:overflowPunct/>
              <w:topLinePunct w:val="0"/>
              <w:bidi w:val="0"/>
              <w:adjustRightInd/>
              <w:spacing w:line="360" w:lineRule="exact"/>
              <w:ind w:left="0"/>
              <w:jc w:val="center"/>
              <w:rPr>
                <w:rFonts w:ascii="宋体" w:hAnsi="宋体" w:cs="宋体"/>
                <w:color w:val="auto"/>
                <w:szCs w:val="21"/>
                <w:highlight w:val="none"/>
              </w:rPr>
            </w:pPr>
            <w:r>
              <w:rPr>
                <w:rFonts w:hint="eastAsia" w:ascii="宋体" w:hAnsi="宋体" w:cs="宋体"/>
                <w:color w:val="auto"/>
                <w:highlight w:val="none"/>
              </w:rPr>
              <w:t>现场提交质疑办理业务时间</w:t>
            </w:r>
          </w:p>
        </w:tc>
        <w:tc>
          <w:tcPr>
            <w:tcW w:w="6850" w:type="dxa"/>
            <w:tcBorders>
              <w:top w:val="single" w:color="000000" w:sz="4" w:space="0"/>
              <w:left w:val="single" w:color="000000" w:sz="4" w:space="0"/>
              <w:bottom w:val="single" w:color="000000" w:sz="4" w:space="0"/>
              <w:right w:val="single" w:color="000000" w:sz="4" w:space="0"/>
            </w:tcBorders>
            <w:vAlign w:val="center"/>
          </w:tcPr>
          <w:p w14:paraId="0C67CFFA">
            <w:pPr>
              <w:pageBreakBefore w:val="0"/>
              <w:kinsoku/>
              <w:wordWrap/>
              <w:overflowPunct/>
              <w:topLinePunct w:val="0"/>
              <w:bidi w:val="0"/>
              <w:adjustRightInd/>
              <w:snapToGrid w:val="0"/>
              <w:spacing w:line="360" w:lineRule="exact"/>
              <w:ind w:left="0"/>
              <w:rPr>
                <w:rFonts w:ascii="宋体" w:hAnsi="宋体" w:cs="宋体"/>
                <w:color w:val="auto"/>
                <w:szCs w:val="21"/>
                <w:highlight w:val="none"/>
              </w:rPr>
            </w:pPr>
            <w:r>
              <w:rPr>
                <w:rFonts w:hint="eastAsia" w:ascii="宋体" w:hAnsi="宋体" w:cs="宋体"/>
                <w:color w:val="auto"/>
                <w:highlight w:val="none"/>
              </w:rPr>
              <w:t>质疑期内每个工作日</w:t>
            </w:r>
            <w:r>
              <w:rPr>
                <w:rFonts w:hint="eastAsia" w:ascii="宋体" w:hAnsi="宋体" w:cs="宋体"/>
                <w:color w:val="auto"/>
                <w:highlight w:val="none"/>
                <w:u w:val="single"/>
              </w:rPr>
              <w:t xml:space="preserve"> </w:t>
            </w:r>
            <w:r>
              <w:rPr>
                <w:rFonts w:hint="eastAsia" w:ascii="宋体" w:hAnsi="宋体" w:cs="宋体"/>
                <w:color w:val="auto"/>
                <w:highlight w:val="none"/>
                <w:u w:val="single"/>
                <w:lang w:val="en-US" w:eastAsia="zh-CN"/>
              </w:rPr>
              <w:t>9</w:t>
            </w:r>
            <w:r>
              <w:rPr>
                <w:rFonts w:hint="eastAsia" w:ascii="宋体" w:hAnsi="宋体" w:cs="宋体"/>
                <w:color w:val="auto"/>
                <w:highlight w:val="none"/>
                <w:u w:val="single"/>
              </w:rPr>
              <w:t xml:space="preserve"> </w:t>
            </w:r>
            <w:r>
              <w:rPr>
                <w:rFonts w:hint="eastAsia" w:ascii="宋体" w:hAnsi="宋体" w:cs="宋体"/>
                <w:color w:val="auto"/>
                <w:highlight w:val="none"/>
              </w:rPr>
              <w:t>时</w:t>
            </w:r>
            <w:r>
              <w:rPr>
                <w:rFonts w:hint="eastAsia" w:ascii="宋体" w:hAnsi="宋体" w:cs="宋体"/>
                <w:color w:val="auto"/>
                <w:highlight w:val="none"/>
                <w:u w:val="single"/>
              </w:rPr>
              <w:t xml:space="preserve"> 0 </w:t>
            </w:r>
            <w:r>
              <w:rPr>
                <w:rFonts w:hint="eastAsia" w:ascii="宋体" w:hAnsi="宋体" w:cs="宋体"/>
                <w:color w:val="auto"/>
                <w:highlight w:val="none"/>
              </w:rPr>
              <w:t>分到</w:t>
            </w:r>
            <w:r>
              <w:rPr>
                <w:rFonts w:hint="eastAsia" w:ascii="宋体" w:hAnsi="宋体" w:cs="宋体"/>
                <w:color w:val="auto"/>
                <w:highlight w:val="none"/>
                <w:u w:val="single"/>
              </w:rPr>
              <w:t xml:space="preserve"> 12 </w:t>
            </w:r>
            <w:r>
              <w:rPr>
                <w:rFonts w:hint="eastAsia" w:ascii="宋体" w:hAnsi="宋体" w:cs="宋体"/>
                <w:color w:val="auto"/>
                <w:highlight w:val="none"/>
              </w:rPr>
              <w:t>时</w:t>
            </w:r>
            <w:r>
              <w:rPr>
                <w:rFonts w:hint="eastAsia" w:ascii="宋体" w:hAnsi="宋体" w:cs="宋体"/>
                <w:color w:val="auto"/>
                <w:highlight w:val="none"/>
                <w:u w:val="single"/>
              </w:rPr>
              <w:t xml:space="preserve"> 0 </w:t>
            </w:r>
            <w:r>
              <w:rPr>
                <w:rFonts w:hint="eastAsia" w:ascii="宋体" w:hAnsi="宋体" w:cs="宋体"/>
                <w:color w:val="auto"/>
                <w:highlight w:val="none"/>
              </w:rPr>
              <w:t>分，</w:t>
            </w:r>
            <w:r>
              <w:rPr>
                <w:rFonts w:hint="eastAsia" w:ascii="宋体" w:hAnsi="宋体" w:cs="宋体"/>
                <w:color w:val="auto"/>
                <w:highlight w:val="none"/>
                <w:u w:val="single"/>
              </w:rPr>
              <w:t xml:space="preserve"> 15 </w:t>
            </w:r>
            <w:r>
              <w:rPr>
                <w:rFonts w:hint="eastAsia" w:ascii="宋体" w:hAnsi="宋体" w:cs="宋体"/>
                <w:color w:val="auto"/>
                <w:highlight w:val="none"/>
              </w:rPr>
              <w:t>时</w:t>
            </w:r>
            <w:r>
              <w:rPr>
                <w:rFonts w:hint="eastAsia" w:ascii="宋体" w:hAnsi="宋体" w:cs="宋体"/>
                <w:color w:val="auto"/>
                <w:highlight w:val="none"/>
                <w:u w:val="single"/>
              </w:rPr>
              <w:t xml:space="preserve"> 0 </w:t>
            </w:r>
            <w:r>
              <w:rPr>
                <w:rFonts w:hint="eastAsia" w:ascii="宋体" w:hAnsi="宋体" w:cs="宋体"/>
                <w:color w:val="auto"/>
                <w:highlight w:val="none"/>
              </w:rPr>
              <w:t>分到</w:t>
            </w:r>
            <w:r>
              <w:rPr>
                <w:rFonts w:hint="eastAsia" w:ascii="宋体" w:hAnsi="宋体" w:cs="宋体"/>
                <w:color w:val="auto"/>
                <w:highlight w:val="none"/>
                <w:u w:val="single"/>
              </w:rPr>
              <w:t xml:space="preserve"> 1</w:t>
            </w:r>
            <w:r>
              <w:rPr>
                <w:rFonts w:hint="eastAsia" w:ascii="宋体" w:hAnsi="宋体" w:cs="宋体"/>
                <w:color w:val="auto"/>
                <w:highlight w:val="none"/>
                <w:u w:val="single"/>
                <w:lang w:val="en-US" w:eastAsia="zh-CN"/>
              </w:rPr>
              <w:t>7</w:t>
            </w:r>
            <w:r>
              <w:rPr>
                <w:rFonts w:hint="eastAsia" w:ascii="宋体" w:hAnsi="宋体" w:cs="宋体"/>
                <w:color w:val="auto"/>
                <w:highlight w:val="none"/>
                <w:u w:val="single"/>
              </w:rPr>
              <w:t xml:space="preserve"> </w:t>
            </w:r>
            <w:r>
              <w:rPr>
                <w:rFonts w:hint="eastAsia" w:ascii="宋体" w:hAnsi="宋体" w:cs="宋体"/>
                <w:color w:val="auto"/>
                <w:highlight w:val="none"/>
              </w:rPr>
              <w:t>时</w:t>
            </w:r>
            <w:r>
              <w:rPr>
                <w:rFonts w:hint="eastAsia" w:ascii="宋体" w:hAnsi="宋体" w:cs="宋体"/>
                <w:color w:val="auto"/>
                <w:highlight w:val="none"/>
                <w:u w:val="single"/>
              </w:rPr>
              <w:t xml:space="preserve"> </w:t>
            </w:r>
            <w:r>
              <w:rPr>
                <w:rFonts w:hint="eastAsia" w:ascii="宋体" w:hAnsi="宋体" w:cs="宋体"/>
                <w:color w:val="auto"/>
                <w:highlight w:val="none"/>
                <w:u w:val="single"/>
                <w:lang w:val="en-US" w:eastAsia="zh-CN"/>
              </w:rPr>
              <w:t>3</w:t>
            </w:r>
            <w:r>
              <w:rPr>
                <w:rFonts w:hint="eastAsia" w:ascii="宋体" w:hAnsi="宋体" w:cs="宋体"/>
                <w:color w:val="auto"/>
                <w:highlight w:val="none"/>
                <w:u w:val="single"/>
              </w:rPr>
              <w:t xml:space="preserve">0 </w:t>
            </w:r>
            <w:r>
              <w:rPr>
                <w:rFonts w:hint="eastAsia" w:ascii="宋体" w:hAnsi="宋体" w:cs="宋体"/>
                <w:color w:val="auto"/>
                <w:highlight w:val="none"/>
              </w:rPr>
              <w:t>分</w:t>
            </w:r>
          </w:p>
        </w:tc>
      </w:tr>
      <w:tr w14:paraId="289EF3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14:paraId="0C51C251">
            <w:pPr>
              <w:pageBreakBefore w:val="0"/>
              <w:kinsoku/>
              <w:wordWrap/>
              <w:overflowPunct/>
              <w:topLinePunct w:val="0"/>
              <w:bidi w:val="0"/>
              <w:adjustRightInd/>
              <w:spacing w:line="360" w:lineRule="exact"/>
              <w:ind w:left="0"/>
              <w:jc w:val="center"/>
              <w:rPr>
                <w:rFonts w:ascii="宋体" w:hAnsi="宋体" w:cs="宋体"/>
                <w:color w:val="auto"/>
                <w:szCs w:val="21"/>
                <w:highlight w:val="none"/>
              </w:rPr>
            </w:pPr>
            <w:r>
              <w:rPr>
                <w:rFonts w:hint="eastAsia" w:ascii="宋体" w:hAnsi="宋体" w:cs="宋体"/>
                <w:color w:val="auto"/>
                <w:szCs w:val="21"/>
                <w:highlight w:val="none"/>
              </w:rPr>
              <w:t>31.6</w:t>
            </w:r>
          </w:p>
        </w:tc>
        <w:tc>
          <w:tcPr>
            <w:tcW w:w="2785" w:type="dxa"/>
            <w:tcBorders>
              <w:top w:val="single" w:color="000000" w:sz="4" w:space="0"/>
              <w:left w:val="single" w:color="000000" w:sz="4" w:space="0"/>
              <w:bottom w:val="single" w:color="000000" w:sz="4" w:space="0"/>
              <w:right w:val="single" w:color="000000" w:sz="4" w:space="0"/>
            </w:tcBorders>
            <w:vAlign w:val="center"/>
          </w:tcPr>
          <w:p w14:paraId="72C8CC1E">
            <w:pPr>
              <w:pageBreakBefore w:val="0"/>
              <w:kinsoku/>
              <w:wordWrap/>
              <w:overflowPunct/>
              <w:topLinePunct w:val="0"/>
              <w:bidi w:val="0"/>
              <w:adjustRightInd/>
              <w:spacing w:line="360" w:lineRule="exact"/>
              <w:ind w:left="0"/>
              <w:jc w:val="center"/>
              <w:rPr>
                <w:rFonts w:ascii="宋体" w:hAnsi="宋体" w:cs="宋体"/>
                <w:color w:val="auto"/>
                <w:szCs w:val="21"/>
                <w:highlight w:val="none"/>
              </w:rPr>
            </w:pPr>
            <w:r>
              <w:rPr>
                <w:rFonts w:hint="eastAsia" w:ascii="宋体" w:hAnsi="宋体" w:cs="宋体"/>
                <w:color w:val="auto"/>
                <w:szCs w:val="21"/>
                <w:highlight w:val="none"/>
              </w:rPr>
              <w:t>受理投诉方式</w:t>
            </w:r>
          </w:p>
        </w:tc>
        <w:tc>
          <w:tcPr>
            <w:tcW w:w="6850" w:type="dxa"/>
            <w:tcBorders>
              <w:top w:val="single" w:color="000000" w:sz="4" w:space="0"/>
              <w:left w:val="single" w:color="000000" w:sz="4" w:space="0"/>
              <w:bottom w:val="single" w:color="000000" w:sz="4" w:space="0"/>
              <w:right w:val="single" w:color="000000" w:sz="4" w:space="0"/>
            </w:tcBorders>
            <w:vAlign w:val="center"/>
          </w:tcPr>
          <w:p w14:paraId="23FDEE59">
            <w:pPr>
              <w:pageBreakBefore w:val="0"/>
              <w:kinsoku/>
              <w:wordWrap/>
              <w:overflowPunct/>
              <w:topLinePunct w:val="0"/>
              <w:bidi w:val="0"/>
              <w:adjustRightInd/>
              <w:snapToGrid w:val="0"/>
              <w:spacing w:line="360" w:lineRule="exact"/>
              <w:ind w:left="0"/>
              <w:rPr>
                <w:rFonts w:ascii="宋体" w:hAnsi="宋体" w:cs="宋体"/>
                <w:color w:val="auto"/>
                <w:highlight w:val="none"/>
              </w:rPr>
            </w:pPr>
            <w:r>
              <w:rPr>
                <w:rFonts w:hint="eastAsia" w:ascii="宋体" w:hAnsi="宋体" w:cs="宋体"/>
                <w:color w:val="auto"/>
                <w:highlight w:val="none"/>
              </w:rPr>
              <w:t>1、受理方式：纸质方式受理，投诉书正、副本（经过质疑的事项才可投诉）。</w:t>
            </w:r>
          </w:p>
          <w:p w14:paraId="40814E2E">
            <w:pPr>
              <w:pageBreakBefore w:val="0"/>
              <w:kinsoku/>
              <w:wordWrap/>
              <w:overflowPunct/>
              <w:topLinePunct w:val="0"/>
              <w:bidi w:val="0"/>
              <w:adjustRightInd/>
              <w:snapToGrid w:val="0"/>
              <w:spacing w:line="360" w:lineRule="exact"/>
              <w:ind w:left="0"/>
              <w:rPr>
                <w:rFonts w:ascii="宋体" w:hAnsi="宋体" w:cs="宋体"/>
                <w:color w:val="auto"/>
                <w:highlight w:val="none"/>
              </w:rPr>
            </w:pPr>
            <w:r>
              <w:rPr>
                <w:rFonts w:hint="eastAsia" w:ascii="宋体" w:hAnsi="宋体" w:cs="宋体"/>
                <w:color w:val="auto"/>
                <w:highlight w:val="none"/>
              </w:rPr>
              <w:t>2、邮寄地址：</w:t>
            </w:r>
          </w:p>
          <w:p w14:paraId="4FA7530B">
            <w:pPr>
              <w:pageBreakBefore w:val="0"/>
              <w:kinsoku/>
              <w:wordWrap/>
              <w:overflowPunct/>
              <w:topLinePunct w:val="0"/>
              <w:bidi w:val="0"/>
              <w:adjustRightInd/>
              <w:snapToGrid w:val="0"/>
              <w:spacing w:line="360" w:lineRule="exact"/>
              <w:ind w:left="0"/>
              <w:rPr>
                <w:rFonts w:hint="eastAsia" w:ascii="宋体" w:hAnsi="宋体" w:cs="宋体"/>
                <w:color w:val="auto"/>
                <w:highlight w:val="none"/>
              </w:rPr>
            </w:pPr>
            <w:r>
              <w:rPr>
                <w:rFonts w:hint="eastAsia" w:ascii="宋体" w:hAnsi="宋体" w:cs="宋体"/>
                <w:color w:val="auto"/>
                <w:highlight w:val="none"/>
              </w:rPr>
              <w:t>名称：南宁市江南区财政局政府采购监督管理办公室</w:t>
            </w:r>
          </w:p>
          <w:p w14:paraId="5FE13F53">
            <w:pPr>
              <w:pageBreakBefore w:val="0"/>
              <w:kinsoku/>
              <w:wordWrap/>
              <w:overflowPunct/>
              <w:topLinePunct w:val="0"/>
              <w:bidi w:val="0"/>
              <w:adjustRightInd/>
              <w:snapToGrid w:val="0"/>
              <w:spacing w:line="360" w:lineRule="exact"/>
              <w:ind w:left="0"/>
              <w:rPr>
                <w:rFonts w:hint="eastAsia" w:ascii="宋体" w:hAnsi="宋体" w:cs="宋体"/>
                <w:color w:val="auto"/>
                <w:highlight w:val="none"/>
              </w:rPr>
            </w:pPr>
            <w:r>
              <w:rPr>
                <w:rFonts w:hint="eastAsia" w:ascii="宋体" w:hAnsi="宋体" w:cs="宋体"/>
                <w:color w:val="auto"/>
                <w:highlight w:val="none"/>
              </w:rPr>
              <w:t>地址：南宁市壮锦大道19号A座10层1017室</w:t>
            </w:r>
          </w:p>
          <w:p w14:paraId="352A18A3">
            <w:pPr>
              <w:pageBreakBefore w:val="0"/>
              <w:kinsoku/>
              <w:wordWrap/>
              <w:overflowPunct/>
              <w:topLinePunct w:val="0"/>
              <w:bidi w:val="0"/>
              <w:adjustRightInd/>
              <w:snapToGrid w:val="0"/>
              <w:spacing w:line="360" w:lineRule="exact"/>
              <w:ind w:left="0"/>
              <w:rPr>
                <w:rFonts w:ascii="宋体" w:hAnsi="宋体" w:cs="宋体"/>
                <w:color w:val="auto"/>
                <w:highlight w:val="none"/>
              </w:rPr>
            </w:pPr>
            <w:r>
              <w:rPr>
                <w:rFonts w:hint="eastAsia" w:ascii="宋体" w:hAnsi="宋体" w:cs="宋体"/>
                <w:color w:val="auto"/>
                <w:highlight w:val="none"/>
              </w:rPr>
              <w:t xml:space="preserve">联系电话：0771-4802805 </w:t>
            </w:r>
          </w:p>
        </w:tc>
      </w:tr>
      <w:tr w14:paraId="5B0205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14:paraId="71B628A2">
            <w:pPr>
              <w:pageBreakBefore w:val="0"/>
              <w:kinsoku/>
              <w:wordWrap/>
              <w:overflowPunct/>
              <w:topLinePunct w:val="0"/>
              <w:bidi w:val="0"/>
              <w:adjustRightInd/>
              <w:spacing w:line="360" w:lineRule="exact"/>
              <w:ind w:left="0"/>
              <w:jc w:val="center"/>
              <w:rPr>
                <w:rFonts w:ascii="宋体" w:hAnsi="宋体" w:cs="宋体"/>
                <w:color w:val="auto"/>
                <w:szCs w:val="21"/>
                <w:highlight w:val="none"/>
              </w:rPr>
            </w:pPr>
            <w:r>
              <w:rPr>
                <w:rFonts w:hint="eastAsia" w:ascii="宋体" w:hAnsi="宋体" w:cs="宋体"/>
                <w:color w:val="auto"/>
                <w:szCs w:val="21"/>
                <w:highlight w:val="none"/>
              </w:rPr>
              <w:t>33</w:t>
            </w:r>
          </w:p>
        </w:tc>
        <w:tc>
          <w:tcPr>
            <w:tcW w:w="2785" w:type="dxa"/>
            <w:tcBorders>
              <w:top w:val="single" w:color="000000" w:sz="4" w:space="0"/>
              <w:left w:val="single" w:color="000000" w:sz="4" w:space="0"/>
              <w:bottom w:val="single" w:color="000000" w:sz="4" w:space="0"/>
              <w:right w:val="single" w:color="000000" w:sz="4" w:space="0"/>
            </w:tcBorders>
            <w:vAlign w:val="center"/>
          </w:tcPr>
          <w:p w14:paraId="1EE5B5D1">
            <w:pPr>
              <w:pageBreakBefore w:val="0"/>
              <w:kinsoku/>
              <w:wordWrap/>
              <w:overflowPunct/>
              <w:topLinePunct w:val="0"/>
              <w:bidi w:val="0"/>
              <w:adjustRightInd/>
              <w:spacing w:line="360" w:lineRule="exact"/>
              <w:ind w:left="0"/>
              <w:jc w:val="center"/>
              <w:rPr>
                <w:rFonts w:ascii="宋体" w:hAnsi="宋体" w:cs="宋体"/>
                <w:color w:val="auto"/>
                <w:szCs w:val="21"/>
                <w:highlight w:val="none"/>
              </w:rPr>
            </w:pPr>
            <w:r>
              <w:rPr>
                <w:rFonts w:hint="eastAsia" w:ascii="宋体" w:hAnsi="宋体" w:cs="宋体"/>
                <w:color w:val="auto"/>
                <w:szCs w:val="21"/>
                <w:highlight w:val="none"/>
              </w:rPr>
              <w:t>采购代理费</w:t>
            </w:r>
          </w:p>
        </w:tc>
        <w:tc>
          <w:tcPr>
            <w:tcW w:w="6850" w:type="dxa"/>
            <w:tcBorders>
              <w:top w:val="single" w:color="000000" w:sz="4" w:space="0"/>
              <w:left w:val="single" w:color="000000" w:sz="4" w:space="0"/>
              <w:bottom w:val="single" w:color="000000" w:sz="4" w:space="0"/>
              <w:right w:val="single" w:color="000000" w:sz="4" w:space="0"/>
            </w:tcBorders>
            <w:vAlign w:val="center"/>
          </w:tcPr>
          <w:p w14:paraId="605D4734">
            <w:pPr>
              <w:pStyle w:val="15"/>
              <w:pageBreakBefore w:val="0"/>
              <w:kinsoku/>
              <w:wordWrap/>
              <w:overflowPunct/>
              <w:topLinePunct w:val="0"/>
              <w:bidi w:val="0"/>
              <w:adjustRightInd/>
              <w:snapToGrid w:val="0"/>
              <w:spacing w:line="360" w:lineRule="exact"/>
              <w:ind w:left="0"/>
              <w:rPr>
                <w:rFonts w:hAnsi="宋体" w:cs="宋体"/>
                <w:color w:val="auto"/>
                <w:sz w:val="21"/>
                <w:highlight w:val="none"/>
              </w:rPr>
            </w:pPr>
            <w:r>
              <w:rPr>
                <w:rFonts w:hint="eastAsia" w:hAnsi="宋体" w:cs="宋体"/>
                <w:color w:val="auto"/>
                <w:sz w:val="21"/>
                <w:highlight w:val="none"/>
              </w:rPr>
              <w:t>1. 是否收取采购代理费：</w:t>
            </w:r>
          </w:p>
          <w:p w14:paraId="0A4E263D">
            <w:pPr>
              <w:pStyle w:val="15"/>
              <w:pageBreakBefore w:val="0"/>
              <w:kinsoku/>
              <w:wordWrap/>
              <w:overflowPunct/>
              <w:topLinePunct w:val="0"/>
              <w:bidi w:val="0"/>
              <w:adjustRightInd/>
              <w:snapToGrid w:val="0"/>
              <w:spacing w:line="360" w:lineRule="exact"/>
              <w:ind w:left="0"/>
              <w:rPr>
                <w:rFonts w:hAnsi="宋体" w:cs="宋体"/>
                <w:color w:val="auto"/>
                <w:sz w:val="21"/>
                <w:highlight w:val="none"/>
              </w:rPr>
            </w:pPr>
            <w:r>
              <w:rPr>
                <w:rFonts w:hint="eastAsia" w:hAnsi="宋体" w:cs="宋体"/>
                <w:color w:val="auto"/>
                <w:sz w:val="21"/>
                <w:highlight w:val="none"/>
              </w:rPr>
              <w:t>☑是    □ 否</w:t>
            </w:r>
          </w:p>
          <w:p w14:paraId="6862A569">
            <w:pPr>
              <w:pStyle w:val="15"/>
              <w:pageBreakBefore w:val="0"/>
              <w:kinsoku/>
              <w:wordWrap/>
              <w:overflowPunct/>
              <w:topLinePunct w:val="0"/>
              <w:bidi w:val="0"/>
              <w:adjustRightInd/>
              <w:snapToGrid w:val="0"/>
              <w:spacing w:line="360" w:lineRule="exact"/>
              <w:ind w:left="0"/>
              <w:rPr>
                <w:rFonts w:hAnsi="宋体" w:cs="宋体"/>
                <w:color w:val="auto"/>
                <w:sz w:val="21"/>
                <w:highlight w:val="none"/>
              </w:rPr>
            </w:pPr>
            <w:r>
              <w:rPr>
                <w:rFonts w:hint="eastAsia" w:hAnsi="宋体" w:cs="宋体"/>
                <w:color w:val="auto"/>
                <w:sz w:val="21"/>
                <w:highlight w:val="none"/>
              </w:rPr>
              <w:t>2.采购代理费支付方式：</w:t>
            </w:r>
          </w:p>
          <w:p w14:paraId="0BB127E3">
            <w:pPr>
              <w:pStyle w:val="15"/>
              <w:pageBreakBefore w:val="0"/>
              <w:kinsoku/>
              <w:wordWrap/>
              <w:overflowPunct/>
              <w:topLinePunct w:val="0"/>
              <w:bidi w:val="0"/>
              <w:adjustRightInd/>
              <w:snapToGrid w:val="0"/>
              <w:spacing w:line="360" w:lineRule="exact"/>
              <w:ind w:left="0"/>
              <w:rPr>
                <w:rFonts w:hAnsi="宋体" w:cs="宋体"/>
                <w:color w:val="auto"/>
                <w:sz w:val="21"/>
                <w:highlight w:val="none"/>
              </w:rPr>
            </w:pPr>
            <w:r>
              <w:rPr>
                <w:rFonts w:hint="eastAsia" w:hAnsi="宋体" w:cs="宋体"/>
                <w:color w:val="auto"/>
                <w:sz w:val="21"/>
                <w:highlight w:val="none"/>
              </w:rPr>
              <w:t>☑本项目代理服务费由</w:t>
            </w:r>
            <w:r>
              <w:rPr>
                <w:rFonts w:hint="eastAsia" w:hAnsi="宋体" w:cs="宋体"/>
                <w:color w:val="auto"/>
                <w:sz w:val="21"/>
                <w:highlight w:val="none"/>
                <w:u w:val="single"/>
              </w:rPr>
              <w:t>成交供应商</w:t>
            </w:r>
            <w:r>
              <w:rPr>
                <w:rFonts w:hint="eastAsia" w:hAnsi="宋体" w:cs="宋体"/>
                <w:color w:val="auto"/>
                <w:sz w:val="21"/>
                <w:highlight w:val="none"/>
              </w:rPr>
              <w:t>领取成交通知书前，一次性向采购代理机构支付。</w:t>
            </w:r>
          </w:p>
          <w:p w14:paraId="488BF3F7">
            <w:pPr>
              <w:pStyle w:val="15"/>
              <w:pageBreakBefore w:val="0"/>
              <w:kinsoku/>
              <w:wordWrap/>
              <w:overflowPunct/>
              <w:topLinePunct w:val="0"/>
              <w:bidi w:val="0"/>
              <w:adjustRightInd/>
              <w:snapToGrid w:val="0"/>
              <w:spacing w:line="360" w:lineRule="exact"/>
              <w:ind w:left="0"/>
              <w:rPr>
                <w:rFonts w:hAnsi="宋体" w:cs="宋体"/>
                <w:color w:val="auto"/>
                <w:sz w:val="21"/>
                <w:highlight w:val="none"/>
              </w:rPr>
            </w:pPr>
            <w:r>
              <w:rPr>
                <w:rFonts w:hint="eastAsia" w:hAnsi="宋体" w:cs="宋体"/>
                <w:color w:val="auto"/>
                <w:sz w:val="21"/>
                <w:highlight w:val="none"/>
              </w:rPr>
              <w:t>□采购人支付。</w:t>
            </w:r>
          </w:p>
          <w:p w14:paraId="06E5C2D3">
            <w:pPr>
              <w:pStyle w:val="15"/>
              <w:pageBreakBefore w:val="0"/>
              <w:kinsoku/>
              <w:wordWrap/>
              <w:overflowPunct/>
              <w:topLinePunct w:val="0"/>
              <w:bidi w:val="0"/>
              <w:adjustRightInd/>
              <w:snapToGrid w:val="0"/>
              <w:spacing w:line="360" w:lineRule="exact"/>
              <w:ind w:left="0"/>
              <w:rPr>
                <w:rFonts w:hAnsi="宋体" w:cs="宋体"/>
                <w:color w:val="auto"/>
                <w:sz w:val="21"/>
                <w:highlight w:val="none"/>
              </w:rPr>
            </w:pPr>
            <w:r>
              <w:rPr>
                <w:rFonts w:hint="eastAsia" w:hAnsi="宋体" w:cs="宋体"/>
                <w:color w:val="auto"/>
                <w:sz w:val="21"/>
                <w:highlight w:val="none"/>
              </w:rPr>
              <w:t>3.采购代理费收取标准：</w:t>
            </w:r>
          </w:p>
          <w:p w14:paraId="61757E40">
            <w:pPr>
              <w:pStyle w:val="15"/>
              <w:pageBreakBefore w:val="0"/>
              <w:kinsoku/>
              <w:wordWrap/>
              <w:overflowPunct/>
              <w:topLinePunct w:val="0"/>
              <w:bidi w:val="0"/>
              <w:adjustRightInd/>
              <w:snapToGrid w:val="0"/>
              <w:spacing w:line="360" w:lineRule="exact"/>
              <w:ind w:left="0"/>
              <w:rPr>
                <w:rFonts w:hAnsi="宋体" w:cs="宋体"/>
                <w:color w:val="auto"/>
                <w:sz w:val="21"/>
                <w:highlight w:val="none"/>
              </w:rPr>
            </w:pPr>
            <w:r>
              <w:rPr>
                <w:rFonts w:hint="eastAsia" w:hAnsi="宋体" w:cs="宋体"/>
                <w:color w:val="auto"/>
                <w:sz w:val="21"/>
                <w:highlight w:val="none"/>
              </w:rPr>
              <w:t>本项目采购代理费参考原国家发展计划委员会计价格[2002]1980号《招标代理服务费管理暂行办法》收费标准（</w:t>
            </w:r>
            <w:r>
              <w:rPr>
                <w:rFonts w:hint="eastAsia" w:hAnsi="宋体" w:cs="宋体"/>
                <w:color w:val="auto"/>
                <w:sz w:val="21"/>
                <w:highlight w:val="none"/>
                <w:lang w:val="en-US" w:eastAsia="zh-CN"/>
              </w:rPr>
              <w:t>工程</w:t>
            </w:r>
            <w:r>
              <w:rPr>
                <w:rFonts w:hint="eastAsia" w:hAnsi="宋体" w:cs="宋体"/>
                <w:color w:val="auto"/>
                <w:sz w:val="21"/>
                <w:highlight w:val="none"/>
              </w:rPr>
              <w:t>类型），并以</w:t>
            </w:r>
            <w:r>
              <w:rPr>
                <w:rFonts w:hint="eastAsia" w:hAnsi="宋体" w:cs="宋体"/>
                <w:color w:val="auto"/>
                <w:sz w:val="21"/>
                <w:highlight w:val="none"/>
                <w:lang w:val="en-US" w:eastAsia="zh-CN"/>
              </w:rPr>
              <w:t>成交金额</w:t>
            </w:r>
            <w:r>
              <w:rPr>
                <w:rFonts w:hint="eastAsia" w:hAnsi="宋体" w:cs="宋体"/>
                <w:color w:val="auto"/>
                <w:sz w:val="21"/>
                <w:highlight w:val="none"/>
              </w:rPr>
              <w:t>为基价计取采购代理费</w:t>
            </w:r>
            <w:r>
              <w:rPr>
                <w:rFonts w:hint="eastAsia" w:hAnsi="宋体" w:cs="宋体"/>
                <w:color w:val="auto"/>
                <w:sz w:val="21"/>
                <w:highlight w:val="none"/>
                <w:lang w:eastAsia="zh-CN"/>
              </w:rPr>
              <w:t>。</w:t>
            </w:r>
            <w:r>
              <w:rPr>
                <w:rFonts w:hint="eastAsia" w:hAnsi="宋体" w:cs="宋体"/>
                <w:color w:val="auto"/>
                <w:sz w:val="21"/>
                <w:highlight w:val="none"/>
                <w:lang w:val="en-US" w:eastAsia="zh-CN"/>
              </w:rPr>
              <w:t>若单个项目采购代理费低于人民币陆千元整的，按人民币陆千元整计收。采购代理费</w:t>
            </w:r>
            <w:r>
              <w:rPr>
                <w:rFonts w:hint="eastAsia" w:hAnsi="宋体" w:cs="宋体"/>
                <w:color w:val="auto"/>
                <w:sz w:val="21"/>
                <w:highlight w:val="none"/>
              </w:rPr>
              <w:t>由采购代理机构向成交供应商收取。成交供应商在领取成交通知书前一次性向采购代理机构付清采购代理费。</w:t>
            </w:r>
          </w:p>
          <w:p w14:paraId="2FC6079D">
            <w:pPr>
              <w:pStyle w:val="15"/>
              <w:pageBreakBefore w:val="0"/>
              <w:kinsoku/>
              <w:wordWrap/>
              <w:overflowPunct/>
              <w:topLinePunct w:val="0"/>
              <w:bidi w:val="0"/>
              <w:adjustRightInd/>
              <w:snapToGrid w:val="0"/>
              <w:spacing w:line="360" w:lineRule="exact"/>
              <w:ind w:left="0"/>
              <w:rPr>
                <w:rFonts w:hAnsi="宋体" w:cs="宋体"/>
                <w:color w:val="auto"/>
                <w:sz w:val="21"/>
                <w:highlight w:val="none"/>
              </w:rPr>
            </w:pPr>
            <w:r>
              <w:rPr>
                <w:rFonts w:hint="eastAsia" w:hAnsi="宋体" w:cs="宋体"/>
                <w:color w:val="auto"/>
                <w:sz w:val="21"/>
                <w:highlight w:val="none"/>
              </w:rPr>
              <w:t>4. 采购代理费收取银行账户</w:t>
            </w:r>
          </w:p>
          <w:p w14:paraId="2861EBCA">
            <w:pPr>
              <w:pStyle w:val="15"/>
              <w:pageBreakBefore w:val="0"/>
              <w:kinsoku/>
              <w:wordWrap/>
              <w:overflowPunct/>
              <w:topLinePunct w:val="0"/>
              <w:bidi w:val="0"/>
              <w:adjustRightInd/>
              <w:snapToGrid w:val="0"/>
              <w:spacing w:line="360" w:lineRule="exact"/>
              <w:ind w:left="0"/>
              <w:rPr>
                <w:rFonts w:hAnsi="宋体" w:cs="宋体"/>
                <w:color w:val="auto"/>
                <w:sz w:val="21"/>
                <w:highlight w:val="none"/>
              </w:rPr>
            </w:pPr>
            <w:r>
              <w:rPr>
                <w:rFonts w:hint="eastAsia" w:hAnsi="宋体" w:cs="宋体"/>
                <w:color w:val="auto"/>
                <w:sz w:val="21"/>
                <w:highlight w:val="none"/>
              </w:rPr>
              <w:t xml:space="preserve">开户名称：广西合美工程咨询有限公司 </w:t>
            </w:r>
          </w:p>
          <w:p w14:paraId="4FD16C21">
            <w:pPr>
              <w:pStyle w:val="15"/>
              <w:pageBreakBefore w:val="0"/>
              <w:kinsoku/>
              <w:wordWrap/>
              <w:overflowPunct/>
              <w:topLinePunct w:val="0"/>
              <w:bidi w:val="0"/>
              <w:adjustRightInd/>
              <w:snapToGrid w:val="0"/>
              <w:spacing w:line="360" w:lineRule="exact"/>
              <w:ind w:left="0"/>
              <w:rPr>
                <w:rFonts w:hAnsi="宋体" w:cs="宋体"/>
                <w:color w:val="auto"/>
                <w:sz w:val="21"/>
                <w:highlight w:val="none"/>
              </w:rPr>
            </w:pPr>
            <w:r>
              <w:rPr>
                <w:rFonts w:hint="eastAsia" w:hAnsi="宋体" w:cs="宋体"/>
                <w:color w:val="auto"/>
                <w:sz w:val="21"/>
                <w:highlight w:val="none"/>
              </w:rPr>
              <w:t xml:space="preserve">开户银行：中国建设银行股份有限公司南宁水利电力大厦支行 </w:t>
            </w:r>
          </w:p>
          <w:p w14:paraId="576AFA9D">
            <w:pPr>
              <w:pStyle w:val="15"/>
              <w:pageBreakBefore w:val="0"/>
              <w:kinsoku/>
              <w:wordWrap/>
              <w:overflowPunct/>
              <w:topLinePunct w:val="0"/>
              <w:bidi w:val="0"/>
              <w:adjustRightInd/>
              <w:snapToGrid w:val="0"/>
              <w:spacing w:line="360" w:lineRule="exact"/>
              <w:ind w:left="0"/>
              <w:rPr>
                <w:rFonts w:hAnsi="宋体" w:cs="宋体"/>
                <w:color w:val="auto"/>
                <w:sz w:val="21"/>
                <w:highlight w:val="none"/>
              </w:rPr>
            </w:pPr>
            <w:r>
              <w:rPr>
                <w:rFonts w:hint="eastAsia" w:hAnsi="宋体" w:cs="宋体"/>
                <w:color w:val="auto"/>
                <w:sz w:val="21"/>
                <w:highlight w:val="none"/>
              </w:rPr>
              <w:t>银行账号：45050160477200001333</w:t>
            </w:r>
          </w:p>
        </w:tc>
      </w:tr>
      <w:tr w14:paraId="294EDF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14:paraId="220DA1D8">
            <w:pPr>
              <w:pageBreakBefore w:val="0"/>
              <w:kinsoku/>
              <w:wordWrap/>
              <w:overflowPunct/>
              <w:topLinePunct w:val="0"/>
              <w:bidi w:val="0"/>
              <w:adjustRightInd/>
              <w:spacing w:line="360" w:lineRule="exact"/>
              <w:ind w:left="0"/>
              <w:jc w:val="center"/>
              <w:rPr>
                <w:rFonts w:ascii="宋体" w:hAnsi="宋体" w:cs="宋体"/>
                <w:color w:val="auto"/>
                <w:szCs w:val="21"/>
                <w:highlight w:val="none"/>
              </w:rPr>
            </w:pPr>
            <w:r>
              <w:rPr>
                <w:rFonts w:hint="eastAsia" w:ascii="宋体" w:hAnsi="宋体" w:cs="宋体"/>
                <w:color w:val="auto"/>
                <w:szCs w:val="21"/>
                <w:highlight w:val="none"/>
              </w:rPr>
              <w:t>34.1</w:t>
            </w:r>
          </w:p>
        </w:tc>
        <w:tc>
          <w:tcPr>
            <w:tcW w:w="2785" w:type="dxa"/>
            <w:tcBorders>
              <w:top w:val="single" w:color="000000" w:sz="4" w:space="0"/>
              <w:left w:val="single" w:color="000000" w:sz="4" w:space="0"/>
              <w:bottom w:val="single" w:color="000000" w:sz="4" w:space="0"/>
              <w:right w:val="single" w:color="000000" w:sz="4" w:space="0"/>
            </w:tcBorders>
            <w:vAlign w:val="center"/>
          </w:tcPr>
          <w:p w14:paraId="1B34FAB1">
            <w:pPr>
              <w:pageBreakBefore w:val="0"/>
              <w:kinsoku/>
              <w:wordWrap/>
              <w:overflowPunct/>
              <w:topLinePunct w:val="0"/>
              <w:bidi w:val="0"/>
              <w:adjustRightInd/>
              <w:spacing w:line="360" w:lineRule="exact"/>
              <w:ind w:left="0"/>
              <w:jc w:val="center"/>
              <w:rPr>
                <w:rFonts w:ascii="宋体" w:hAnsi="宋体" w:cs="宋体"/>
                <w:color w:val="auto"/>
                <w:szCs w:val="21"/>
                <w:highlight w:val="none"/>
              </w:rPr>
            </w:pPr>
            <w:r>
              <w:rPr>
                <w:rFonts w:hint="eastAsia" w:ascii="宋体" w:hAnsi="宋体" w:cs="宋体"/>
                <w:color w:val="auto"/>
                <w:highlight w:val="none"/>
              </w:rPr>
              <w:t>解释</w:t>
            </w:r>
          </w:p>
        </w:tc>
        <w:tc>
          <w:tcPr>
            <w:tcW w:w="6850" w:type="dxa"/>
            <w:tcBorders>
              <w:top w:val="single" w:color="000000" w:sz="4" w:space="0"/>
              <w:left w:val="single" w:color="000000" w:sz="4" w:space="0"/>
              <w:bottom w:val="single" w:color="000000" w:sz="4" w:space="0"/>
              <w:right w:val="single" w:color="000000" w:sz="4" w:space="0"/>
            </w:tcBorders>
            <w:vAlign w:val="center"/>
          </w:tcPr>
          <w:p w14:paraId="75362581">
            <w:pPr>
              <w:pStyle w:val="15"/>
              <w:pageBreakBefore w:val="0"/>
              <w:kinsoku/>
              <w:wordWrap/>
              <w:overflowPunct/>
              <w:topLinePunct w:val="0"/>
              <w:bidi w:val="0"/>
              <w:adjustRightInd/>
              <w:snapToGrid w:val="0"/>
              <w:spacing w:line="360" w:lineRule="exact"/>
              <w:ind w:left="0"/>
              <w:rPr>
                <w:rFonts w:hAnsi="宋体" w:cs="宋体"/>
                <w:b/>
                <w:color w:val="auto"/>
                <w:sz w:val="21"/>
                <w:highlight w:val="none"/>
              </w:rPr>
            </w:pPr>
            <w:r>
              <w:rPr>
                <w:rFonts w:hint="eastAsia" w:hAnsi="宋体" w:cs="宋体"/>
                <w:b/>
                <w:color w:val="auto"/>
                <w:sz w:val="21"/>
                <w:highlight w:val="none"/>
              </w:rPr>
              <w:t>解释权：</w:t>
            </w:r>
            <w:r>
              <w:rPr>
                <w:rFonts w:hint="eastAsia" w:hAnsi="宋体" w:cs="宋体"/>
                <w:color w:val="auto"/>
                <w:sz w:val="21"/>
                <w:highlight w:val="none"/>
              </w:rPr>
              <w:t>构成本磋商文件的各个组成文件应互为解释，互为说明；除磋商文件中有特别规定外，仅适用于竞标阶段的规定，按更正公告（澄清公告）、竞争性磋商公告、供应商须知、采购需求、评审程序、评审方法和评审标准、响应文件格式、合同文本的先后顺序解释；同一组成文件中就同一事项的规定或者约定不一致的，以编排顺序在后者为准；同一组成文件不同版本之间有不一致的，以形成时间在后者为准；更正公告（澄清公告）与同步更新的磋商文件不一致时以更正公告（澄清公告）为准。按本款前述规定仍不能形成结论的，</w:t>
            </w:r>
            <w:r>
              <w:rPr>
                <w:rFonts w:hint="eastAsia" w:hAnsi="宋体" w:cs="宋体"/>
                <w:b/>
                <w:color w:val="auto"/>
                <w:sz w:val="21"/>
                <w:highlight w:val="none"/>
              </w:rPr>
              <w:t>由采购人或者采购代理机构负责解释。</w:t>
            </w:r>
          </w:p>
          <w:p w14:paraId="5ADED1EA">
            <w:pPr>
              <w:pStyle w:val="15"/>
              <w:pageBreakBefore w:val="0"/>
              <w:kinsoku/>
              <w:wordWrap/>
              <w:overflowPunct/>
              <w:topLinePunct w:val="0"/>
              <w:bidi w:val="0"/>
              <w:adjustRightInd/>
              <w:snapToGrid w:val="0"/>
              <w:spacing w:line="360" w:lineRule="exact"/>
              <w:ind w:left="0"/>
              <w:rPr>
                <w:rFonts w:hAnsi="宋体" w:cs="宋体"/>
                <w:b/>
                <w:color w:val="auto"/>
                <w:sz w:val="21"/>
                <w:highlight w:val="none"/>
              </w:rPr>
            </w:pPr>
            <w:r>
              <w:rPr>
                <w:rFonts w:hint="eastAsia" w:hAnsi="宋体" w:cs="宋体"/>
                <w:b/>
                <w:color w:val="auto"/>
                <w:sz w:val="21"/>
                <w:highlight w:val="none"/>
              </w:rPr>
              <w:t>法律责任：</w:t>
            </w:r>
          </w:p>
          <w:p w14:paraId="7CBEDC17">
            <w:pPr>
              <w:pStyle w:val="15"/>
              <w:pageBreakBefore w:val="0"/>
              <w:kinsoku/>
              <w:wordWrap/>
              <w:overflowPunct/>
              <w:topLinePunct w:val="0"/>
              <w:bidi w:val="0"/>
              <w:adjustRightInd/>
              <w:snapToGrid w:val="0"/>
              <w:spacing w:line="360" w:lineRule="exact"/>
              <w:ind w:left="0"/>
              <w:rPr>
                <w:rFonts w:hAnsi="宋体" w:cs="宋体"/>
                <w:color w:val="auto"/>
                <w:sz w:val="21"/>
                <w:highlight w:val="none"/>
              </w:rPr>
            </w:pPr>
            <w:r>
              <w:rPr>
                <w:rFonts w:hint="eastAsia" w:hAnsi="宋体" w:cs="宋体"/>
                <w:b/>
                <w:color w:val="auto"/>
                <w:sz w:val="21"/>
                <w:highlight w:val="none"/>
              </w:rPr>
              <w:t>1.</w:t>
            </w:r>
            <w:r>
              <w:rPr>
                <w:rFonts w:hint="eastAsia" w:hAnsi="宋体" w:cs="宋体"/>
                <w:color w:val="auto"/>
                <w:sz w:val="21"/>
                <w:highlight w:val="none"/>
              </w:rPr>
              <w:t>本采购文件根据《中华人民共和国政府采购法》、《中华人民共和国民法典》；《中华人民共和国政府采购法实施条例》、《政府采购竞争性磋商采购方式管理暂行办法》等有关法律、法规编制，参与本项目的各政府采购当事人依法享有上述法律法规所赋予的权利与义务。</w:t>
            </w:r>
          </w:p>
          <w:p w14:paraId="3D4304C0">
            <w:pPr>
              <w:pageBreakBefore w:val="0"/>
              <w:kinsoku/>
              <w:wordWrap/>
              <w:overflowPunct/>
              <w:topLinePunct w:val="0"/>
              <w:bidi w:val="0"/>
              <w:adjustRightInd/>
              <w:spacing w:line="360" w:lineRule="exact"/>
              <w:ind w:left="0"/>
              <w:rPr>
                <w:rFonts w:ascii="宋体" w:hAnsi="宋体" w:cs="宋体"/>
                <w:color w:val="auto"/>
                <w:highlight w:val="none"/>
              </w:rPr>
            </w:pPr>
            <w:r>
              <w:rPr>
                <w:rFonts w:hint="eastAsia" w:ascii="宋体" w:hAnsi="宋体" w:cs="宋体"/>
                <w:b/>
                <w:color w:val="auto"/>
                <w:highlight w:val="none"/>
              </w:rPr>
              <w:t>2.</w:t>
            </w:r>
            <w:r>
              <w:rPr>
                <w:rFonts w:hint="eastAsia" w:ascii="宋体" w:hAnsi="宋体" w:cs="宋体"/>
                <w:b/>
                <w:color w:val="auto"/>
                <w:szCs w:val="21"/>
                <w:highlight w:val="none"/>
              </w:rPr>
              <w:t xml:space="preserve"> 本项目采购代理机构应严格按照“广西政府采购云平台”项目采购全流程电子化电子开评标规程执行项目采购活动，代理机构在“广西政府采购云平台”的“项目管理”—“采购文件管理”内开评标规则设置作为本采购文件的组成部分，截标之后不可更改，因代理机构开评标规则设置错误导致采购活动无法开展下去的情况，由代理机构负责解释并承担其后果。</w:t>
            </w:r>
          </w:p>
        </w:tc>
      </w:tr>
      <w:tr w14:paraId="5BC1DD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14:paraId="41986D3C">
            <w:pPr>
              <w:pageBreakBefore w:val="0"/>
              <w:kinsoku/>
              <w:wordWrap/>
              <w:overflowPunct/>
              <w:topLinePunct w:val="0"/>
              <w:bidi w:val="0"/>
              <w:adjustRightInd/>
              <w:spacing w:line="360" w:lineRule="exact"/>
              <w:ind w:left="0"/>
              <w:jc w:val="center"/>
              <w:rPr>
                <w:rFonts w:ascii="宋体" w:hAnsi="宋体" w:cs="宋体"/>
                <w:color w:val="auto"/>
                <w:szCs w:val="21"/>
                <w:highlight w:val="none"/>
              </w:rPr>
            </w:pPr>
            <w:r>
              <w:rPr>
                <w:rFonts w:hint="eastAsia" w:ascii="宋体" w:hAnsi="宋体" w:cs="宋体"/>
                <w:color w:val="auto"/>
                <w:szCs w:val="21"/>
                <w:highlight w:val="none"/>
              </w:rPr>
              <w:t>34.2</w:t>
            </w:r>
          </w:p>
        </w:tc>
        <w:tc>
          <w:tcPr>
            <w:tcW w:w="2785" w:type="dxa"/>
            <w:tcBorders>
              <w:top w:val="single" w:color="000000" w:sz="4" w:space="0"/>
              <w:left w:val="single" w:color="000000" w:sz="4" w:space="0"/>
              <w:bottom w:val="single" w:color="000000" w:sz="4" w:space="0"/>
              <w:right w:val="single" w:color="000000" w:sz="4" w:space="0"/>
            </w:tcBorders>
            <w:vAlign w:val="center"/>
          </w:tcPr>
          <w:p w14:paraId="461CB460">
            <w:pPr>
              <w:pageBreakBefore w:val="0"/>
              <w:kinsoku/>
              <w:wordWrap/>
              <w:overflowPunct/>
              <w:topLinePunct w:val="0"/>
              <w:bidi w:val="0"/>
              <w:adjustRightInd/>
              <w:spacing w:line="360" w:lineRule="exact"/>
              <w:ind w:left="0"/>
              <w:jc w:val="center"/>
              <w:rPr>
                <w:rFonts w:ascii="宋体" w:hAnsi="宋体" w:cs="宋体"/>
                <w:color w:val="auto"/>
                <w:szCs w:val="21"/>
                <w:highlight w:val="none"/>
              </w:rPr>
            </w:pPr>
            <w:r>
              <w:rPr>
                <w:rFonts w:hint="eastAsia" w:ascii="宋体" w:hAnsi="宋体" w:cs="宋体"/>
                <w:color w:val="auto"/>
                <w:szCs w:val="21"/>
                <w:highlight w:val="none"/>
              </w:rPr>
              <w:t>其他</w:t>
            </w:r>
          </w:p>
        </w:tc>
        <w:tc>
          <w:tcPr>
            <w:tcW w:w="6850" w:type="dxa"/>
            <w:tcBorders>
              <w:top w:val="single" w:color="000000" w:sz="4" w:space="0"/>
              <w:left w:val="single" w:color="000000" w:sz="4" w:space="0"/>
              <w:bottom w:val="single" w:color="000000" w:sz="4" w:space="0"/>
              <w:right w:val="single" w:color="000000" w:sz="4" w:space="0"/>
            </w:tcBorders>
            <w:vAlign w:val="center"/>
          </w:tcPr>
          <w:p w14:paraId="5E32526E">
            <w:pPr>
              <w:pStyle w:val="15"/>
              <w:pageBreakBefore w:val="0"/>
              <w:kinsoku/>
              <w:wordWrap/>
              <w:overflowPunct/>
              <w:topLinePunct w:val="0"/>
              <w:bidi w:val="0"/>
              <w:adjustRightInd/>
              <w:snapToGrid w:val="0"/>
              <w:spacing w:line="360" w:lineRule="exact"/>
              <w:ind w:left="0"/>
              <w:rPr>
                <w:rFonts w:hAnsi="宋体" w:cs="宋体"/>
                <w:color w:val="auto"/>
                <w:sz w:val="21"/>
                <w:highlight w:val="none"/>
              </w:rPr>
            </w:pPr>
            <w:r>
              <w:rPr>
                <w:rFonts w:hint="eastAsia" w:hAnsi="宋体" w:cs="宋体"/>
                <w:color w:val="auto"/>
                <w:sz w:val="21"/>
                <w:highlight w:val="none"/>
              </w:rPr>
              <w:t>1.本磋商文件中描述供应商的“公章”是指根据我国对公章的管理规定，用供应商法定主体行为名称制作的印章，除本磋商文件有特殊规定外，供应商的财务章、部门章、分公司章、工会章、合同章、竞标/投标专用章、业务专用章及银行的转账章、现金收讫章、现金付讫章等其他形式印章均不能代替公章。</w:t>
            </w:r>
          </w:p>
          <w:p w14:paraId="22E6B06C">
            <w:pPr>
              <w:pStyle w:val="15"/>
              <w:pageBreakBefore w:val="0"/>
              <w:kinsoku/>
              <w:wordWrap/>
              <w:overflowPunct/>
              <w:topLinePunct w:val="0"/>
              <w:bidi w:val="0"/>
              <w:adjustRightInd/>
              <w:snapToGrid w:val="0"/>
              <w:spacing w:line="360" w:lineRule="exact"/>
              <w:ind w:left="0"/>
              <w:rPr>
                <w:rFonts w:hAnsi="宋体" w:cs="宋体"/>
                <w:color w:val="auto"/>
                <w:sz w:val="21"/>
                <w:highlight w:val="none"/>
              </w:rPr>
            </w:pPr>
            <w:r>
              <w:rPr>
                <w:rFonts w:hint="eastAsia" w:hAnsi="宋体" w:cs="宋体"/>
                <w:color w:val="auto"/>
                <w:sz w:val="21"/>
                <w:highlight w:val="none"/>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65F2B5FA">
            <w:pPr>
              <w:pStyle w:val="15"/>
              <w:pageBreakBefore w:val="0"/>
              <w:kinsoku/>
              <w:wordWrap/>
              <w:overflowPunct/>
              <w:topLinePunct w:val="0"/>
              <w:bidi w:val="0"/>
              <w:adjustRightInd/>
              <w:snapToGrid w:val="0"/>
              <w:spacing w:line="360" w:lineRule="exact"/>
              <w:ind w:left="0"/>
              <w:rPr>
                <w:rFonts w:hAnsi="宋体" w:cs="宋体"/>
                <w:color w:val="auto"/>
                <w:sz w:val="21"/>
                <w:highlight w:val="none"/>
              </w:rPr>
            </w:pPr>
            <w:r>
              <w:rPr>
                <w:rFonts w:hint="eastAsia" w:hAnsi="宋体" w:cs="宋体"/>
                <w:color w:val="auto"/>
                <w:sz w:val="21"/>
                <w:highlight w:val="none"/>
              </w:rPr>
              <w:t>3.本磋商文件中描述供应商的“签字”是指供应商的法定代表人或者委托代理人亲自在文件规定签署处亲笔写上个人的名字的行为，私章、签字章、印鉴、影印等其他形式均不能代替亲笔签字。</w:t>
            </w:r>
          </w:p>
          <w:p w14:paraId="448A3EC3">
            <w:pPr>
              <w:pStyle w:val="15"/>
              <w:pageBreakBefore w:val="0"/>
              <w:kinsoku/>
              <w:wordWrap/>
              <w:overflowPunct/>
              <w:topLinePunct w:val="0"/>
              <w:bidi w:val="0"/>
              <w:adjustRightInd/>
              <w:snapToGrid w:val="0"/>
              <w:spacing w:line="360" w:lineRule="exact"/>
              <w:ind w:left="0"/>
              <w:rPr>
                <w:rFonts w:hAnsi="宋体" w:cs="宋体"/>
                <w:color w:val="auto"/>
                <w:sz w:val="21"/>
                <w:highlight w:val="none"/>
              </w:rPr>
            </w:pPr>
            <w:r>
              <w:rPr>
                <w:rFonts w:hint="eastAsia" w:hAnsi="宋体" w:cs="宋体"/>
                <w:color w:val="auto"/>
                <w:sz w:val="21"/>
                <w:highlight w:val="none"/>
              </w:rPr>
              <w:t>4.自然人竞标的，磋商文件规定盖公章处由自然人摁手指指印。</w:t>
            </w:r>
          </w:p>
          <w:p w14:paraId="4CC5FE0C">
            <w:pPr>
              <w:pStyle w:val="15"/>
              <w:pageBreakBefore w:val="0"/>
              <w:kinsoku/>
              <w:wordWrap/>
              <w:overflowPunct/>
              <w:topLinePunct w:val="0"/>
              <w:bidi w:val="0"/>
              <w:adjustRightInd/>
              <w:snapToGrid w:val="0"/>
              <w:spacing w:line="360" w:lineRule="exact"/>
              <w:ind w:left="0"/>
              <w:rPr>
                <w:rFonts w:hAnsi="宋体" w:cs="宋体"/>
                <w:color w:val="auto"/>
                <w:sz w:val="21"/>
                <w:highlight w:val="none"/>
              </w:rPr>
            </w:pPr>
            <w:r>
              <w:rPr>
                <w:rFonts w:hint="eastAsia" w:hAnsi="宋体" w:cs="宋体"/>
                <w:color w:val="auto"/>
                <w:sz w:val="21"/>
                <w:highlight w:val="none"/>
              </w:rPr>
              <w:t>5.本磋商文件所称的“以上”“以下”“以内”“届满”，包括本数；所称的“不满”“超过”“以外”，不包括本数。</w:t>
            </w:r>
          </w:p>
        </w:tc>
      </w:tr>
    </w:tbl>
    <w:p w14:paraId="23B43128">
      <w:pPr>
        <w:pStyle w:val="3"/>
        <w:pageBreakBefore w:val="0"/>
        <w:kinsoku/>
        <w:wordWrap/>
        <w:overflowPunct/>
        <w:topLinePunct w:val="0"/>
        <w:bidi w:val="0"/>
        <w:adjustRightInd/>
        <w:spacing w:before="0" w:after="0" w:line="360" w:lineRule="exact"/>
        <w:ind w:left="0"/>
        <w:jc w:val="center"/>
        <w:rPr>
          <w:rFonts w:ascii="宋体" w:hAnsi="宋体" w:cs="宋体"/>
          <w:b w:val="0"/>
          <w:color w:val="auto"/>
          <w:highlight w:val="none"/>
        </w:rPr>
      </w:pPr>
      <w:r>
        <w:rPr>
          <w:rFonts w:hint="eastAsia" w:ascii="宋体" w:hAnsi="宋体" w:cs="宋体"/>
          <w:bCs w:val="0"/>
          <w:color w:val="auto"/>
          <w:highlight w:val="none"/>
        </w:rPr>
        <w:br w:type="page"/>
      </w:r>
      <w:bookmarkStart w:id="54" w:name="_Toc3048"/>
      <w:r>
        <w:rPr>
          <w:rFonts w:hint="eastAsia" w:ascii="宋体" w:hAnsi="宋体" w:cs="宋体"/>
          <w:b w:val="0"/>
          <w:color w:val="auto"/>
          <w:highlight w:val="none"/>
        </w:rPr>
        <w:t>第二节 供应商须知正文</w:t>
      </w:r>
      <w:bookmarkEnd w:id="54"/>
    </w:p>
    <w:p w14:paraId="5020B4C1">
      <w:pPr>
        <w:pStyle w:val="4"/>
        <w:spacing w:before="0" w:after="0" w:line="360" w:lineRule="auto"/>
        <w:ind w:firstLine="640" w:firstLineChars="200"/>
        <w:rPr>
          <w:rFonts w:ascii="宋体" w:hAnsi="宋体" w:cs="宋体"/>
          <w:b w:val="0"/>
          <w:color w:val="auto"/>
          <w:highlight w:val="none"/>
        </w:rPr>
      </w:pPr>
      <w:bookmarkStart w:id="55" w:name="_Toc27305"/>
      <w:r>
        <w:rPr>
          <w:rFonts w:hint="eastAsia" w:ascii="宋体" w:hAnsi="宋体" w:cs="宋体"/>
          <w:b w:val="0"/>
          <w:color w:val="auto"/>
          <w:highlight w:val="none"/>
        </w:rPr>
        <w:t>一、总则</w:t>
      </w:r>
      <w:bookmarkEnd w:id="55"/>
    </w:p>
    <w:p w14:paraId="1F659A1F">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1.适用范围</w:t>
      </w:r>
    </w:p>
    <w:p w14:paraId="683E7AC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本项目采购人、采购代理机构、供应商、磋商小组的相关行为均受《中华人民共和国政府采购法》《中华人民共和国政府采购法实施条例》《政府采购竞争性磋商采购方式管理暂行办法》《财政部关于政府采购竞争性磋商采购方式管理暂行办法有关问题的补充通知》及本项目本级和上级财政部门政府采购有关规定的约束和保护。</w:t>
      </w:r>
    </w:p>
    <w:p w14:paraId="3C59251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w:t>
      </w:r>
      <w:r>
        <w:rPr>
          <w:rFonts w:hint="eastAsia" w:ascii="宋体" w:hAnsi="宋体" w:cs="宋体"/>
          <w:color w:val="auto"/>
          <w:spacing w:val="-6"/>
          <w:szCs w:val="21"/>
          <w:highlight w:val="none"/>
        </w:rPr>
        <w:t>本竞争性磋商文件（以下简称磋商文件）适用于本项目的所有采购程序和环节（法律、法规另有规定的，从其规定）。</w:t>
      </w:r>
    </w:p>
    <w:p w14:paraId="3973737A">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2.定义</w:t>
      </w:r>
    </w:p>
    <w:p w14:paraId="748828E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2.1“采购人”是指依法进行政府采购的国家机关、事业单位、团体组织。</w:t>
      </w:r>
    </w:p>
    <w:p w14:paraId="49AE5836">
      <w:pP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2.2“采购代理机构”是指政府采购集中采购机构和集中采购机构以外的采购代理机构。</w:t>
      </w:r>
    </w:p>
    <w:p w14:paraId="380DC15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2.3“供应商”是指向采购人提供货物、工程或者服务的法人、其他组织或者自然人。</w:t>
      </w:r>
    </w:p>
    <w:p w14:paraId="26F062A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2.4“服务”是指除货物和工程以外的其他政府采购对象。</w:t>
      </w:r>
    </w:p>
    <w:p w14:paraId="1D9A927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2.5“竞标”是指供应商按照本项目竞争性磋商公告或者邀请函规定的方式获取磋商文件、提交响应文件并希望获得标的的行为。</w:t>
      </w:r>
    </w:p>
    <w:p w14:paraId="1EEE480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2.6“响应文件”</w:t>
      </w:r>
      <w:r>
        <w:rPr>
          <w:rFonts w:hint="eastAsia" w:ascii="宋体" w:hAnsi="宋体" w:cs="宋体"/>
          <w:color w:val="auto"/>
          <w:spacing w:val="-6"/>
          <w:szCs w:val="21"/>
          <w:highlight w:val="none"/>
        </w:rPr>
        <w:t>是指：供应商根据本磋商文件要求，编制包含资格证明、报价商务技术等所有内容的文件。</w:t>
      </w:r>
    </w:p>
    <w:p w14:paraId="183CD56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2.7“实质性要求”是指磋商文件中已经指明不满足则响应文件按无效响应处理的条款，或者不能负偏离的条款，或者采购需求中带“▲”的条款。</w:t>
      </w:r>
    </w:p>
    <w:p w14:paraId="7165A0E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2.8“正偏离”，是指响应文件对磋商文件“采购需求”中有关条款作出的响应优于条款要求并有利于采购人的情形。</w:t>
      </w:r>
    </w:p>
    <w:p w14:paraId="5833B81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2.9“负偏离”，是指响应文件对磋商文件“采购需求”中有关条款作出的响应不满足条款要求，导致采购人要求不能得到满足的情形。</w:t>
      </w:r>
    </w:p>
    <w:p w14:paraId="7C3AD24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2.10“允许负偏离的条款”是指采购需求中的不属于“实质性要求”的条款。</w:t>
      </w:r>
    </w:p>
    <w:p w14:paraId="57FBAC4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2.11“书面形式”是指合同书、信件和数据电文（包括电报、电传、传真、电子数据交换和电子邮件）等可以有形地表现所载内容的形式。</w:t>
      </w:r>
    </w:p>
    <w:p w14:paraId="263DD02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2.12“首次报价”是指供应商提交的首次响应文件中的报价。</w:t>
      </w:r>
    </w:p>
    <w:p w14:paraId="02A658E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2.13“评审报价”是指供应商提交的最后报价并经修正（如有）和政策功能价格扣除（如有）后的价格。</w:t>
      </w:r>
    </w:p>
    <w:p w14:paraId="17593B32">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3.供应商的资格条件</w:t>
      </w:r>
    </w:p>
    <w:p w14:paraId="161F9BA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供应商的资格条件详见“供应商须知前附表”。</w:t>
      </w:r>
    </w:p>
    <w:p w14:paraId="73F7A982">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4.磋商费用</w:t>
      </w:r>
    </w:p>
    <w:p w14:paraId="6E316C4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供应商应承担参与本次采购活动有关的所有费用，包括但不限于、勘查现场、编制和提交响应文件、参加磋商与应答、签订合同等，不论竞标结果如何，均应自行承担。</w:t>
      </w:r>
    </w:p>
    <w:p w14:paraId="65A99051">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5.联合体竞标</w:t>
      </w:r>
    </w:p>
    <w:p w14:paraId="198B982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5.1本项目是否接受联合体竞标，详见“供应商须知前附表”。</w:t>
      </w:r>
    </w:p>
    <w:p w14:paraId="0D5AAA9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5.2</w:t>
      </w:r>
      <w:r>
        <w:rPr>
          <w:rFonts w:hint="eastAsia" w:ascii="宋体" w:hAnsi="宋体" w:cs="宋体"/>
          <w:color w:val="auto"/>
          <w:highlight w:val="none"/>
        </w:rPr>
        <w:t>如接受联合体竞标，</w:t>
      </w:r>
      <w:r>
        <w:rPr>
          <w:rFonts w:hint="eastAsia" w:ascii="宋体" w:hAnsi="宋体" w:cs="宋体"/>
          <w:color w:val="auto"/>
          <w:szCs w:val="21"/>
          <w:highlight w:val="none"/>
        </w:rPr>
        <w:t>联合体竞标要求详见“供应商须知前附表”。</w:t>
      </w:r>
    </w:p>
    <w:p w14:paraId="70CBB441">
      <w:pPr>
        <w:spacing w:line="360" w:lineRule="auto"/>
        <w:ind w:firstLine="420" w:firstLineChars="200"/>
        <w:rPr>
          <w:rFonts w:ascii="宋体" w:hAnsi="宋体" w:cs="宋体"/>
          <w:bCs/>
          <w:color w:val="auto"/>
          <w:szCs w:val="21"/>
          <w:highlight w:val="none"/>
        </w:rPr>
      </w:pPr>
      <w:r>
        <w:rPr>
          <w:rFonts w:hint="eastAsia" w:ascii="宋体" w:hAnsi="宋体" w:cs="宋体"/>
          <w:color w:val="auto"/>
          <w:szCs w:val="21"/>
          <w:highlight w:val="none"/>
        </w:rPr>
        <w:t>5.3根据《政府采购促进中小企业发展管理办法》（财库[2020]46号）第九条及《广西壮族自治区财政厅关于进一步发挥政府采购政策功能促进企业发展的通知》（桂财采〔2022〕30号）规定，接受大中型企业与小微企业组成联合体的采购项目，对于联合协议约定小微企业的合同份额占到合同总金额 30%以上的，采购人、采购代理机构应当对联合体的报价给予 4%-6%（工程项目为 1%—2%）的扣除，用扣除后的价格参加评审。组成联合体的小微企业与联合体内其他企业、分包企业之间存在直接控股、管理关系的，不享受价格扣除优惠政策。</w:t>
      </w:r>
    </w:p>
    <w:p w14:paraId="3D5E2165">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 xml:space="preserve">6.转包与分包             </w:t>
      </w:r>
    </w:p>
    <w:p w14:paraId="496B01B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6.1本项目是否允许分包详见“供应商须知前附表”，本项目不允许违法分包。</w:t>
      </w:r>
    </w:p>
    <w:p w14:paraId="1B3665F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6.2根据《政府采购促进中小企业发展管理办法》（财库[2020]46号）第九条及《广西壮族自治区财政厅关于进一步发挥政府采购政策功能促进企业发展的通知》（桂财采〔2022〕30号）规定，允许大中型企业向一家或者多家小微企业分包的采购项目，对于分包意向协议约定小微企业的合同份额占到合同总金额 30%以上的，采购人、采购代理机构应当对大中型企业的报价给予 4%-6%的扣除，用扣除后的价格参加评审。接受分包的小微企业与分包企业之间存在直接控股、管理关系的，不享受价格扣除优惠政策。</w:t>
      </w:r>
    </w:p>
    <w:p w14:paraId="26959DE6">
      <w:pPr>
        <w:spacing w:line="360" w:lineRule="auto"/>
        <w:ind w:firstLine="482" w:firstLineChars="200"/>
        <w:rPr>
          <w:rFonts w:ascii="宋体" w:hAnsi="宋体" w:cs="宋体"/>
          <w:b/>
          <w:bCs/>
          <w:color w:val="auto"/>
          <w:sz w:val="24"/>
          <w:highlight w:val="none"/>
        </w:rPr>
      </w:pPr>
      <w:bookmarkStart w:id="56" w:name="_Toc254970673"/>
      <w:bookmarkStart w:id="57" w:name="_Toc254970532"/>
      <w:r>
        <w:rPr>
          <w:rFonts w:hint="eastAsia" w:ascii="宋体" w:hAnsi="宋体" w:cs="宋体"/>
          <w:b/>
          <w:bCs/>
          <w:color w:val="auto"/>
          <w:sz w:val="24"/>
          <w:highlight w:val="none"/>
        </w:rPr>
        <w:t>7.特别说明</w:t>
      </w:r>
      <w:bookmarkEnd w:id="56"/>
      <w:bookmarkEnd w:id="57"/>
    </w:p>
    <w:p w14:paraId="0E58991B">
      <w:pPr>
        <w:spacing w:line="360" w:lineRule="auto"/>
        <w:ind w:firstLine="420" w:firstLineChars="200"/>
        <w:rPr>
          <w:rFonts w:ascii="宋体" w:hAnsi="宋体" w:cs="宋体"/>
          <w:color w:val="auto"/>
          <w:szCs w:val="21"/>
          <w:highlight w:val="none"/>
        </w:rPr>
      </w:pPr>
      <w:bookmarkStart w:id="58" w:name="_8.1提供相同品牌产品且通过资格审查、符合性审查的不同投标人参加同一合"/>
      <w:bookmarkEnd w:id="58"/>
      <w:r>
        <w:rPr>
          <w:rFonts w:hint="eastAsia" w:ascii="宋体" w:hAnsi="宋体" w:cs="宋体"/>
          <w:color w:val="auto"/>
          <w:szCs w:val="21"/>
          <w:highlight w:val="none"/>
        </w:rPr>
        <w:t>7.1</w:t>
      </w:r>
      <w:bookmarkStart w:id="59" w:name="_Hlk65832145"/>
      <w:r>
        <w:rPr>
          <w:rFonts w:hint="eastAsia" w:ascii="宋体" w:hAnsi="宋体" w:cs="宋体"/>
          <w:color w:val="auto"/>
          <w:szCs w:val="21"/>
          <w:highlight w:val="none"/>
        </w:rPr>
        <w:t>如果本磋商文件要求提供供应商或制造商的资格、信誉、荣誉、业绩与企业认证等材料的，资格、信誉、荣誉、业绩与企业认证等必须为供应商或者制造商所拥有或自身获得 。</w:t>
      </w:r>
    </w:p>
    <w:bookmarkEnd w:id="59"/>
    <w:p w14:paraId="51B1900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7.2供应商应仔细阅读磋商文件的所有内容，按照磋商文件的要求提交响应文件，并对所提供的全部资料的真实性承担法律责任。</w:t>
      </w:r>
    </w:p>
    <w:p w14:paraId="6369BC8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7.3供应商在竞标活动中提供任何疑似虚假材料，将报监管部门查处；签订合同后发现的，成交供应商须依照《中华人民共和国消费者权益保护法》规定赔偿采购人，且民事赔偿并不免除违法供应商的行政与刑事责任。</w:t>
      </w:r>
    </w:p>
    <w:p w14:paraId="77E6D3E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7.4在政府采购活动中，采购人员及相关人员与供应商有下列利害关系之一的，应当回避：</w:t>
      </w:r>
    </w:p>
    <w:p w14:paraId="0F906EB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（1）参加采购活动前3年内与供应商存在劳动关系；</w:t>
      </w:r>
    </w:p>
    <w:p w14:paraId="42CCE3D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（2）参加采购活动前3年内担任供应商的董事、监事；</w:t>
      </w:r>
    </w:p>
    <w:p w14:paraId="5720826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（3）参加采购活动前3年内是供应商的控股股东或者实际控制人；</w:t>
      </w:r>
    </w:p>
    <w:p w14:paraId="298E72E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（4）与供应商的法定代表人或者负责人有夫妻、直系血亲、三代以内旁系血亲或者近姻亲关系；</w:t>
      </w:r>
    </w:p>
    <w:p w14:paraId="3E77F2C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（5）与供应商有其他可能影响政府采购活动公平、公正进行的关系。</w:t>
      </w:r>
    </w:p>
    <w:p w14:paraId="0178BA8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740B3D6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7.5有下列情形之一的视为供应商相互串通竞标，响应文件将被视为无效：</w:t>
      </w:r>
    </w:p>
    <w:p w14:paraId="7C42CAF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（1）不同供应商的响应文件由同一单位或者个人编制；或者不同供应商报名的IP地址一致的；或者编制响应文件硬件设备CPU编号、硬盘编号、网卡地址一致的情况。 </w:t>
      </w:r>
    </w:p>
    <w:p w14:paraId="5693058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（2）不同供应商委托同一单位或者个人办理竞标事宜；</w:t>
      </w:r>
    </w:p>
    <w:p w14:paraId="6896FB6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（3）不同的供应商的响应文件载明的项目管理员为同一个人；</w:t>
      </w:r>
    </w:p>
    <w:p w14:paraId="5BE854F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（4）不同供应商的响应文件异常一致或者报价呈规律性差异；</w:t>
      </w:r>
    </w:p>
    <w:p w14:paraId="3DB3DB7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（5）不同供应商的响应文件相互混装；</w:t>
      </w:r>
    </w:p>
    <w:p w14:paraId="748860B2">
      <w:pPr>
        <w:tabs>
          <w:tab w:val="left" w:pos="6931"/>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（6）不同供应商的磋商保证金从同一单位或者个人账户转出。</w:t>
      </w:r>
      <w:r>
        <w:rPr>
          <w:rFonts w:hint="eastAsia" w:ascii="宋体" w:hAnsi="宋体" w:cs="宋体"/>
          <w:color w:val="auto"/>
          <w:szCs w:val="21"/>
          <w:highlight w:val="none"/>
        </w:rPr>
        <w:tab/>
      </w:r>
    </w:p>
    <w:p w14:paraId="2D17B82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7.6供应商有下列情形之一的，属于恶意串通行为，将报同级监督管理部门：</w:t>
      </w:r>
    </w:p>
    <w:p w14:paraId="1EE2CBC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（1）供应商直接或者间接从采购人或者采购代理机构处获得其他供应商的相关信息并修改其响应文件；</w:t>
      </w:r>
    </w:p>
    <w:p w14:paraId="033D382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（2）供应商按照采购人或者采购代理机构的授意撤换、修改响应文件；</w:t>
      </w:r>
    </w:p>
    <w:p w14:paraId="4BEBAB4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（3）供应商之间协商报价、技术方案等响应文件或者响应文件的实质性内容；</w:t>
      </w:r>
    </w:p>
    <w:p w14:paraId="038F055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（4）属于同一集团、协会、商会等组织成员的供应商按照该组织要求协同参加政府采购活动；</w:t>
      </w:r>
    </w:p>
    <w:p w14:paraId="5ACB543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（5）供应商之间事先约定一致抬高或者压低报价，或者在政府采购活动中事先约定轮流以高价位或者低价位成交，或者事先约定由某一特定供应商成交，然后再参加竞标；</w:t>
      </w:r>
    </w:p>
    <w:p w14:paraId="3EBB21E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（6）供应商之间商定部分供应商放弃参加政府采购活动或者放弃成交；</w:t>
      </w:r>
    </w:p>
    <w:p w14:paraId="77A2F7D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（7）供应商与采购人或者采购代理机构之间、供应商相互之间，为谋求特定供应商成交或者排斥其他供应商的其他串通行为。</w:t>
      </w:r>
    </w:p>
    <w:p w14:paraId="32153715">
      <w:pPr>
        <w:pStyle w:val="4"/>
        <w:spacing w:before="0" w:after="0" w:line="360" w:lineRule="auto"/>
        <w:ind w:firstLine="640" w:firstLineChars="200"/>
        <w:rPr>
          <w:rFonts w:ascii="宋体" w:hAnsi="宋体" w:cs="宋体"/>
          <w:b w:val="0"/>
          <w:bCs w:val="0"/>
          <w:color w:val="auto"/>
          <w:highlight w:val="none"/>
        </w:rPr>
      </w:pPr>
      <w:bookmarkStart w:id="60" w:name="_Toc254970534"/>
      <w:bookmarkStart w:id="61" w:name="_Toc4536"/>
      <w:bookmarkStart w:id="62" w:name="_Toc254970675"/>
      <w:r>
        <w:rPr>
          <w:rFonts w:hint="eastAsia" w:ascii="宋体" w:hAnsi="宋体" w:cs="宋体"/>
          <w:b w:val="0"/>
          <w:bCs w:val="0"/>
          <w:color w:val="auto"/>
          <w:highlight w:val="none"/>
        </w:rPr>
        <w:t>二、磋商文件</w:t>
      </w:r>
      <w:bookmarkEnd w:id="60"/>
      <w:bookmarkEnd w:id="61"/>
      <w:bookmarkEnd w:id="62"/>
    </w:p>
    <w:p w14:paraId="62C5D974">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8.磋商文件的构成</w:t>
      </w:r>
    </w:p>
    <w:p w14:paraId="4A885271">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第一章 竞争性磋商公告；</w:t>
      </w:r>
    </w:p>
    <w:p w14:paraId="5C68054F">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第二章 采购需求；</w:t>
      </w:r>
    </w:p>
    <w:p w14:paraId="6ADF4B62">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第三章 供应商须知； </w:t>
      </w:r>
    </w:p>
    <w:p w14:paraId="0227D3C1">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第四章 评审程序、评审方法和评审标准；</w:t>
      </w:r>
    </w:p>
    <w:p w14:paraId="5C1F4D46">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第五章 响应文件格式；</w:t>
      </w:r>
    </w:p>
    <w:p w14:paraId="1A83C68C">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第六章 合同文本；</w:t>
      </w:r>
    </w:p>
    <w:p w14:paraId="7793149F">
      <w:pPr>
        <w:spacing w:line="360" w:lineRule="auto"/>
        <w:ind w:firstLine="420" w:firstLineChars="200"/>
        <w:jc w:val="lef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 xml:space="preserve">第七章 </w:t>
      </w:r>
      <w:r>
        <w:rPr>
          <w:rFonts w:hint="eastAsia" w:ascii="宋体" w:hAnsi="宋体" w:eastAsia="宋体" w:cs="宋体"/>
          <w:b w:val="0"/>
          <w:bCs w:val="0"/>
          <w:color w:val="auto"/>
          <w:highlight w:val="none"/>
        </w:rPr>
        <w:t>工程量清单、图纸</w:t>
      </w:r>
    </w:p>
    <w:p w14:paraId="458EEC3E">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第</w:t>
      </w:r>
      <w:r>
        <w:rPr>
          <w:rFonts w:hint="eastAsia" w:ascii="宋体" w:hAnsi="宋体" w:cs="宋体"/>
          <w:color w:val="auto"/>
          <w:szCs w:val="21"/>
          <w:highlight w:val="none"/>
          <w:lang w:val="en-US" w:eastAsia="zh-CN"/>
        </w:rPr>
        <w:t>八</w:t>
      </w:r>
      <w:r>
        <w:rPr>
          <w:rFonts w:hint="eastAsia" w:ascii="宋体" w:hAnsi="宋体" w:cs="宋体"/>
          <w:color w:val="auto"/>
          <w:szCs w:val="21"/>
          <w:highlight w:val="none"/>
        </w:rPr>
        <w:t>章 质疑、投诉材料格式。</w:t>
      </w:r>
    </w:p>
    <w:p w14:paraId="497BD6A4">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9.供应商的询问</w:t>
      </w:r>
    </w:p>
    <w:p w14:paraId="6708815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供应商应认真阅读磋商文件的采购需求，如供应商对磋商文件有疑问的，如要求采购人作出澄清或者修改的，供应商尽应在提交首次响应文件截止之日前，以书面形式向采购人、采购代理机构提出。</w:t>
      </w:r>
    </w:p>
    <w:p w14:paraId="5DCF5145">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10.磋商文件的澄清和修改</w:t>
      </w:r>
    </w:p>
    <w:p w14:paraId="2B26102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10.1已获取磋商文件的潜在供应商，若有问题需要澄清，应于应标截止时间前，以书面形式向采购代理机构提出，采购代理机构与采购人研究后，对认为有必要回答的问题，按照本章10.3的内容处理。</w:t>
      </w:r>
    </w:p>
    <w:p w14:paraId="3F85EBED">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10.2采购人或者采购代理机构可以对已发出的磋商文件进行必要的澄清或者修改，但不得改变采购标的和资格条件。澄清或者修改应当在原公告发布媒体上发布澄清公告。澄清或者修改的内容为磋商文件的组成部分。</w:t>
      </w:r>
    </w:p>
    <w:p w14:paraId="59379CC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10.3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在提交首次响应文件截止之日5日前，以书面形式（目前为网上公告和系统短信等形式）通知所有获取磋商文件的供应商，不足5日的，应当顺延提交首次响应文件截止之日。</w:t>
      </w:r>
    </w:p>
    <w:p w14:paraId="4D2741B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10.4</w:t>
      </w:r>
      <w:r>
        <w:rPr>
          <w:rFonts w:hint="eastAsia" w:ascii="宋体" w:hAnsi="宋体" w:cs="宋体"/>
          <w:color w:val="auto"/>
          <w:highlight w:val="none"/>
          <w:shd w:val="clear" w:color="auto" w:fill="FFFFFF"/>
        </w:rPr>
        <w:t>采购信息更正公告的内容应当包括采购人和采购代理机构名称、地址、联系方式，原公告的采购项目名称及首次公告日期，更正事项、内容及日期，采购项目联系人和电话。</w:t>
      </w:r>
    </w:p>
    <w:p w14:paraId="45AAB797">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10.5  采购人和采购代理机构可以视采购具体情况，变更提交首次响应文件截止时间和竞谈时间，将变更时间将在“采购文件公告”中“七、其他补充事宜3.网上查询地址”规定的政府采购信息发布媒体上发布更正公告。</w:t>
      </w:r>
    </w:p>
    <w:p w14:paraId="4EB42051">
      <w:pPr>
        <w:spacing w:line="360" w:lineRule="auto"/>
        <w:ind w:firstLine="400" w:firstLineChars="200"/>
        <w:rPr>
          <w:rFonts w:ascii="宋体" w:hAnsi="宋体" w:cs="宋体"/>
          <w:color w:val="auto"/>
          <w:kern w:val="0"/>
          <w:sz w:val="20"/>
          <w:szCs w:val="21"/>
          <w:highlight w:val="none"/>
        </w:rPr>
      </w:pPr>
      <w:r>
        <w:rPr>
          <w:rFonts w:hint="eastAsia" w:ascii="宋体" w:hAnsi="宋体" w:cs="宋体"/>
          <w:color w:val="auto"/>
          <w:kern w:val="0"/>
          <w:sz w:val="20"/>
          <w:szCs w:val="21"/>
          <w:highlight w:val="none"/>
        </w:rPr>
        <w:t>▲</w:t>
      </w:r>
      <w:r>
        <w:rPr>
          <w:rFonts w:hint="eastAsia" w:ascii="宋体" w:hAnsi="宋体" w:cs="宋体"/>
          <w:b/>
          <w:color w:val="auto"/>
          <w:kern w:val="0"/>
          <w:sz w:val="20"/>
          <w:szCs w:val="21"/>
          <w:highlight w:val="none"/>
        </w:rPr>
        <w:t>响应文件未按磋商文件的澄清、修改的内容编制，又不符合实质性要求的，其响应文件作无效处理。</w:t>
      </w:r>
    </w:p>
    <w:p w14:paraId="783AB99C">
      <w:pPr>
        <w:pStyle w:val="4"/>
        <w:spacing w:before="0" w:after="0" w:line="360" w:lineRule="auto"/>
        <w:ind w:firstLine="640" w:firstLineChars="200"/>
        <w:rPr>
          <w:rFonts w:ascii="宋体" w:hAnsi="宋体" w:cs="宋体"/>
          <w:b w:val="0"/>
          <w:bCs w:val="0"/>
          <w:color w:val="auto"/>
          <w:highlight w:val="none"/>
        </w:rPr>
      </w:pPr>
      <w:r>
        <w:rPr>
          <w:rFonts w:hint="eastAsia" w:ascii="宋体" w:hAnsi="宋体" w:cs="宋体"/>
          <w:b w:val="0"/>
          <w:bCs w:val="0"/>
          <w:color w:val="auto"/>
          <w:highlight w:val="none"/>
        </w:rPr>
        <w:t xml:space="preserve">  </w:t>
      </w:r>
      <w:bookmarkStart w:id="63" w:name="_Toc1418"/>
      <w:r>
        <w:rPr>
          <w:rFonts w:hint="eastAsia" w:ascii="宋体" w:hAnsi="宋体" w:cs="宋体"/>
          <w:b w:val="0"/>
          <w:bCs w:val="0"/>
          <w:color w:val="auto"/>
          <w:highlight w:val="none"/>
        </w:rPr>
        <w:t>三、响应文件的编制</w:t>
      </w:r>
      <w:bookmarkEnd w:id="63"/>
    </w:p>
    <w:p w14:paraId="4A2B57B3">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11.响应文件的编制原则</w:t>
      </w:r>
    </w:p>
    <w:p w14:paraId="51D3EA2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供应商必须按照磋商文件的要求编制响应文件，并对其提交的响应文件的真实性、合法性承担法律责任。响应文件必须对磋商文件作出实质性响应。</w:t>
      </w:r>
    </w:p>
    <w:p w14:paraId="0042A6F6">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12.响应文件的组成</w:t>
      </w:r>
    </w:p>
    <w:p w14:paraId="5A71426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12.1响应文件由资格证明文件、报价文件、商务和技术文件三部分组成。</w:t>
      </w:r>
    </w:p>
    <w:p w14:paraId="66804C33">
      <w:pPr>
        <w:spacing w:line="360" w:lineRule="auto"/>
        <w:ind w:left="420" w:leftChars="200" w:firstLine="420" w:firstLineChars="200"/>
        <w:rPr>
          <w:rFonts w:ascii="宋体" w:hAnsi="宋体" w:cs="宋体"/>
          <w:color w:val="auto"/>
          <w:szCs w:val="21"/>
          <w:highlight w:val="none"/>
        </w:rPr>
      </w:pPr>
      <w:r>
        <w:rPr>
          <w:rFonts w:hint="eastAsia" w:ascii="宋体" w:hAnsi="宋体" w:cs="宋体"/>
          <w:color w:val="auto"/>
          <w:szCs w:val="21"/>
          <w:highlight w:val="none"/>
        </w:rPr>
        <w:t>12.1.1资格证明文件：详见须知前附表</w:t>
      </w:r>
    </w:p>
    <w:p w14:paraId="4F6432FE">
      <w:pPr>
        <w:spacing w:line="360" w:lineRule="auto"/>
        <w:ind w:left="420" w:leftChars="200" w:firstLine="420" w:firstLineChars="200"/>
        <w:rPr>
          <w:rFonts w:ascii="宋体" w:hAnsi="宋体" w:cs="宋体"/>
          <w:color w:val="auto"/>
          <w:szCs w:val="21"/>
          <w:highlight w:val="none"/>
        </w:rPr>
      </w:pPr>
      <w:r>
        <w:rPr>
          <w:rFonts w:hint="eastAsia" w:ascii="宋体" w:hAnsi="宋体" w:cs="宋体"/>
          <w:color w:val="auto"/>
          <w:szCs w:val="21"/>
          <w:highlight w:val="none"/>
        </w:rPr>
        <w:t>12.1.2商务技术文件：详见须知前附表</w:t>
      </w:r>
    </w:p>
    <w:p w14:paraId="443A1FF4">
      <w:pPr>
        <w:spacing w:line="360" w:lineRule="auto"/>
        <w:ind w:left="420" w:leftChars="200" w:firstLine="420" w:firstLineChars="200"/>
        <w:rPr>
          <w:rFonts w:ascii="宋体" w:hAnsi="宋体" w:cs="宋体"/>
          <w:color w:val="auto"/>
          <w:szCs w:val="21"/>
          <w:highlight w:val="none"/>
        </w:rPr>
      </w:pPr>
      <w:r>
        <w:rPr>
          <w:rFonts w:hint="eastAsia" w:ascii="宋体" w:hAnsi="宋体" w:cs="宋体"/>
          <w:color w:val="auto"/>
          <w:szCs w:val="21"/>
          <w:highlight w:val="none"/>
        </w:rPr>
        <w:t>12.1.3报价文件：详见须知前附表</w:t>
      </w:r>
    </w:p>
    <w:p w14:paraId="1EC2A3D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12.2响应文件电子版：详见须知前附表</w:t>
      </w:r>
    </w:p>
    <w:p w14:paraId="348C8DB0">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13.计量单位</w:t>
      </w:r>
    </w:p>
    <w:p w14:paraId="6E5A8C7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磋商文件已有明确规定的，使用磋商文件规定的计量单位；磋商文件没有规定的，应采用中华人民共和国法定计量单位，货币种类为人民币，否则视同未响应。</w:t>
      </w:r>
    </w:p>
    <w:p w14:paraId="2EF8999B">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14.竞标的风险</w:t>
      </w:r>
    </w:p>
    <w:p w14:paraId="346CD07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供应商没有按照磋商文件要求提供全部资料，或者供应商没有对磋商文件在各方面作出实质性响应可能导致其响应无效，是供应商应当考虑的风险。</w:t>
      </w:r>
    </w:p>
    <w:p w14:paraId="4A1325B6">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15.响应报价要求和构成</w:t>
      </w:r>
    </w:p>
    <w:p w14:paraId="2CC6D88B">
      <w:pPr>
        <w:tabs>
          <w:tab w:val="left" w:pos="2492"/>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15.1响应报价应按“第五章 响应文件格式”中“响应报价表”格式填写。</w:t>
      </w:r>
    </w:p>
    <w:p w14:paraId="0ED0E762">
      <w:pPr>
        <w:tabs>
          <w:tab w:val="left" w:pos="2492"/>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15.2响应报价的价格构成见“供应商须知前附表”。</w:t>
      </w:r>
    </w:p>
    <w:p w14:paraId="408C771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15.3响应报价要求</w:t>
      </w:r>
    </w:p>
    <w:p w14:paraId="6E4BCF5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15.3.1供应商的响应报价应符合以下要求，否则响应文件按无效响应处理：</w:t>
      </w:r>
    </w:p>
    <w:p w14:paraId="5DBC660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（1）供应商必须就“采购需求”中所竞标的每个分标的全部内容分别作完整唯一总价报价，不得存在漏项报价；</w:t>
      </w:r>
    </w:p>
    <w:p w14:paraId="4EC30AB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（2）供应商必须就所竞标的分标的单项内容作唯一报价。</w:t>
      </w:r>
    </w:p>
    <w:p w14:paraId="4A399F5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15.3.2响应报价（包含首次报价、最后报价）超过所竞标分标规定的采购预算金额或者最高限价的，其响应文件将作无效处理。</w:t>
      </w:r>
    </w:p>
    <w:p w14:paraId="55010AB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15.3.3</w:t>
      </w:r>
      <w:bookmarkStart w:id="64" w:name="_Hlk42592874"/>
      <w:r>
        <w:rPr>
          <w:rFonts w:hint="eastAsia" w:ascii="宋体" w:hAnsi="宋体" w:cs="宋体"/>
          <w:color w:val="auto"/>
          <w:szCs w:val="21"/>
          <w:highlight w:val="none"/>
        </w:rPr>
        <w:t>响应报价（包含首次报价、最后报价）超过分项采购预算金额或者最高限价的，其响应文件将作无效处理。</w:t>
      </w:r>
    </w:p>
    <w:bookmarkEnd w:id="64"/>
    <w:p w14:paraId="55859CD6">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16.竞标有效期</w:t>
      </w:r>
    </w:p>
    <w:p w14:paraId="0591154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16.1竞标有效期是指为保证采购人有足够的时间在提交响应文件后完成评审、确定成交供应商、合同签订等工作而要求供应商提交的响应文件在一定时间内保持有效的期限。</w:t>
      </w:r>
    </w:p>
    <w:p w14:paraId="54BEC71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16.2 竞标有效期应由供应商按“供应商须知前附表”规定的期限作出响应。</w:t>
      </w:r>
    </w:p>
    <w:p w14:paraId="190E72E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16.3供应商的响应文件在竞标有效期内均保持有效。</w:t>
      </w:r>
    </w:p>
    <w:p w14:paraId="057F3595">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17.磋商保证金</w:t>
      </w:r>
    </w:p>
    <w:p w14:paraId="75688DF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详见“供应商须知前附表”。</w:t>
      </w:r>
    </w:p>
    <w:p w14:paraId="61DD2881">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18.响应文件编制的要求</w:t>
      </w:r>
    </w:p>
    <w:p w14:paraId="0411065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18.1各供应商在编制响应文件时请按照磋商文件“第五章 响应文件格式”规定的格式进行，混乱的编排导致响应文件被误读或磋商小组查找不到有效文件是供应商的风险。不完整、编排混乱导致响应文件被误读、漏读或者查找不到相关内容的，</w:t>
      </w:r>
      <w:r>
        <w:rPr>
          <w:rFonts w:hint="eastAsia" w:ascii="宋体" w:hAnsi="宋体" w:cs="宋体"/>
          <w:color w:val="auto"/>
          <w:highlight w:val="none"/>
        </w:rPr>
        <w:t>由此引发的</w:t>
      </w:r>
      <w:r>
        <w:rPr>
          <w:rFonts w:hint="eastAsia" w:ascii="宋体" w:hAnsi="宋体" w:cs="宋体"/>
          <w:color w:val="auto"/>
          <w:szCs w:val="21"/>
          <w:highlight w:val="none"/>
        </w:rPr>
        <w:t>后果由供应商承担。</w:t>
      </w:r>
    </w:p>
    <w:p w14:paraId="0E89C47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18.2响应文件应按资格证明、报价分别编制，商务技术文件合并编制，本磋商只接受电子版响应文件，要求见本章“12.2响应文件电子版要求”。</w:t>
      </w:r>
    </w:p>
    <w:p w14:paraId="20D7192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w:t>
      </w:r>
      <w:bookmarkStart w:id="65" w:name="_Hlk65832699"/>
      <w:r>
        <w:rPr>
          <w:rFonts w:hint="eastAsia" w:ascii="宋体" w:hAnsi="宋体" w:cs="宋体"/>
          <w:color w:val="auto"/>
          <w:szCs w:val="21"/>
          <w:highlight w:val="none"/>
        </w:rPr>
        <w:t>3响应文件须由供应商在</w:t>
      </w:r>
      <w:r>
        <w:rPr>
          <w:rFonts w:hint="eastAsia" w:ascii="宋体" w:hAnsi="宋体" w:cs="宋体"/>
          <w:color w:val="auto"/>
          <w:kern w:val="0"/>
          <w:szCs w:val="21"/>
          <w:highlight w:val="none"/>
          <w:lang w:val="zh-CN"/>
        </w:rPr>
        <w:t>“</w:t>
      </w:r>
      <w:r>
        <w:rPr>
          <w:rFonts w:hint="eastAsia" w:ascii="宋体" w:hAnsi="宋体" w:cs="宋体"/>
          <w:color w:val="auto"/>
          <w:szCs w:val="21"/>
          <w:highlight w:val="none"/>
        </w:rPr>
        <w:t>第五章 响应文件格式</w:t>
      </w:r>
      <w:r>
        <w:rPr>
          <w:rFonts w:hint="eastAsia" w:ascii="宋体" w:hAnsi="宋体" w:cs="宋体"/>
          <w:color w:val="auto"/>
          <w:kern w:val="0"/>
          <w:szCs w:val="21"/>
          <w:highlight w:val="none"/>
          <w:lang w:val="zh-CN"/>
        </w:rPr>
        <w:t>”</w:t>
      </w:r>
      <w:r>
        <w:rPr>
          <w:rFonts w:hint="eastAsia" w:ascii="宋体" w:hAnsi="宋体" w:cs="宋体"/>
          <w:color w:val="auto"/>
          <w:szCs w:val="21"/>
          <w:highlight w:val="none"/>
        </w:rPr>
        <w:t>规定位置进行签署、盖章</w:t>
      </w:r>
      <w:bookmarkEnd w:id="65"/>
      <w:r>
        <w:rPr>
          <w:rFonts w:hint="eastAsia" w:ascii="宋体" w:hAnsi="宋体" w:cs="宋体"/>
          <w:color w:val="auto"/>
          <w:szCs w:val="21"/>
          <w:highlight w:val="none"/>
        </w:rPr>
        <w:t>，否则其响应文件按无效响应处理。骑缝盖公章不视为在规定位置盖章。</w:t>
      </w:r>
    </w:p>
    <w:p w14:paraId="61E4BF2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18.4响应文件中标注的供应商名称应与营业执照（事业单位法人证书、执业许可证、自然人身份证）及电子公章一致，否则其响应文件按无效响应处理。</w:t>
      </w:r>
    </w:p>
    <w:p w14:paraId="5964F1A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18.5响应文件应避免涂改、行间插字或者删除，否则其响应文件按无效响应处理。</w:t>
      </w:r>
    </w:p>
    <w:p w14:paraId="3632ED77">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19.响应文件的密封和标记</w:t>
      </w:r>
    </w:p>
    <w:p w14:paraId="6DE0427C">
      <w:pPr>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19.1供应商进行电子交易应安装客户端软件—“广西政府采购云平台电子交易客户端”，并按照磋商文件和电子交易平台的要求编制并加密响应文件。供应商未按规定加密的响应文件，电子交易平台将拒收并提示。</w:t>
      </w:r>
    </w:p>
    <w:p w14:paraId="0B50696E">
      <w:pPr>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19.2使用“广西政府采购云平台电子交易客户端”需要提前申领CA数字证书，申领流程见该项目采购公告附件。</w:t>
      </w:r>
    </w:p>
    <w:p w14:paraId="7B21C37B">
      <w:pPr>
        <w:pStyle w:val="15"/>
        <w:spacing w:line="360" w:lineRule="auto"/>
        <w:ind w:firstLine="420" w:firstLineChars="200"/>
        <w:rPr>
          <w:rFonts w:hAnsi="宋体" w:cs="宋体"/>
          <w:color w:val="auto"/>
          <w:sz w:val="21"/>
          <w:highlight w:val="none"/>
        </w:rPr>
      </w:pPr>
      <w:r>
        <w:rPr>
          <w:rFonts w:hint="eastAsia" w:hAnsi="宋体" w:cs="宋体"/>
          <w:color w:val="auto"/>
          <w:sz w:val="21"/>
          <w:highlight w:val="none"/>
        </w:rPr>
        <w:t>19.3为确保网上操作合法、有效和安全，供应商应当在响应文件提交截止时间前完成在“政府采购云平台”的身份认证，确保在电子交易过程中能够对相关数据电文进行加密和使用电子签名。</w:t>
      </w:r>
    </w:p>
    <w:p w14:paraId="66674661">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20.响应文件的提交</w:t>
      </w:r>
    </w:p>
    <w:p w14:paraId="3B8A656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20.1供应商必须在“供应商须知前附表”规定的时间和地点提交响应文件。</w:t>
      </w:r>
    </w:p>
    <w:p w14:paraId="210FF1E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20.2 在响应文件提交截止时间以后，不能补充、修改响应文件。</w:t>
      </w:r>
    </w:p>
    <w:p w14:paraId="1764769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20.3 在提交“最后报价”后，供应商不能退出谈判。</w:t>
      </w:r>
    </w:p>
    <w:p w14:paraId="122387B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20.4 电子交易平台收到响应文件，将妥善保存并即时向供应商发出确认回执通知。在响应文件提交截止时间前，除供应商补充、修改或者撤回响应文件外，任何单位和个人不得解密或提取响应文件。</w:t>
      </w:r>
    </w:p>
    <w:p w14:paraId="3EEAB9A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20.5 采购机构不可视情况延长提交响应文件的截止时间。</w:t>
      </w:r>
    </w:p>
    <w:p w14:paraId="3B844324">
      <w:pPr>
        <w:spacing w:line="360" w:lineRule="auto"/>
        <w:ind w:firstLine="420" w:firstLineChars="200"/>
        <w:rPr>
          <w:rFonts w:ascii="宋体" w:hAnsi="宋体" w:cs="宋体"/>
          <w:color w:val="auto"/>
          <w:sz w:val="24"/>
          <w:highlight w:val="none"/>
        </w:rPr>
      </w:pPr>
      <w:r>
        <w:rPr>
          <w:rFonts w:hint="eastAsia" w:ascii="宋体" w:hAnsi="宋体" w:cs="宋体"/>
          <w:color w:val="auto"/>
          <w:szCs w:val="21"/>
          <w:highlight w:val="none"/>
        </w:rPr>
        <w:t>20.6备份响应文件。</w:t>
      </w:r>
      <w:r>
        <w:rPr>
          <w:rFonts w:hint="eastAsia" w:ascii="宋体" w:hAnsi="宋体" w:cs="宋体"/>
          <w:bCs/>
          <w:color w:val="auto"/>
          <w:szCs w:val="21"/>
          <w:highlight w:val="none"/>
        </w:rPr>
        <w:t>详见在“供应商须知前附表”。</w:t>
      </w:r>
    </w:p>
    <w:p w14:paraId="3A8B2625">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21.首次响应文件的补充、修改与撤回</w:t>
      </w:r>
    </w:p>
    <w:p w14:paraId="3ECB3E5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详见“供应商须知前附表”。</w:t>
      </w:r>
    </w:p>
    <w:p w14:paraId="7EECFB54">
      <w:pPr>
        <w:spacing w:line="360" w:lineRule="auto"/>
        <w:ind w:firstLine="482" w:firstLineChars="200"/>
        <w:rPr>
          <w:rFonts w:ascii="宋体" w:hAnsi="宋体" w:cs="宋体"/>
          <w:b/>
          <w:bCs/>
          <w:color w:val="auto"/>
          <w:sz w:val="24"/>
          <w:highlight w:val="none"/>
        </w:rPr>
      </w:pPr>
      <w:bookmarkStart w:id="66" w:name="_Hlk45702405"/>
      <w:r>
        <w:rPr>
          <w:rFonts w:hint="eastAsia" w:ascii="宋体" w:hAnsi="宋体" w:cs="宋体"/>
          <w:b/>
          <w:bCs/>
          <w:color w:val="auto"/>
          <w:sz w:val="24"/>
          <w:highlight w:val="none"/>
        </w:rPr>
        <w:t>22. 首次响应文件的退回</w:t>
      </w:r>
    </w:p>
    <w:p w14:paraId="6721A2B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在首次响应文件提交截止时间止提交响应文件的供应商不足3家时电子响应文件由代理机构在“广西政府采购云平台”操作退回，除此之外采购人和采购代理机构对已提交的电子响应文件概不退回。</w:t>
      </w:r>
    </w:p>
    <w:p w14:paraId="37ED0D09">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23. 截止时间后的撤回</w:t>
      </w:r>
    </w:p>
    <w:p w14:paraId="1717194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本项目不收取磋商保证金，供应商在首次响应文件提交截止时间后可向采购人、采购代理机构书面申请撤回电子响应文件。</w:t>
      </w:r>
      <w:bookmarkEnd w:id="66"/>
    </w:p>
    <w:p w14:paraId="422D06E2">
      <w:pPr>
        <w:pStyle w:val="4"/>
        <w:spacing w:before="0" w:after="0" w:line="360" w:lineRule="auto"/>
        <w:ind w:firstLine="640" w:firstLineChars="200"/>
        <w:rPr>
          <w:rFonts w:ascii="宋体" w:hAnsi="宋体" w:cs="宋体"/>
          <w:b w:val="0"/>
          <w:bCs w:val="0"/>
          <w:color w:val="auto"/>
          <w:highlight w:val="none"/>
        </w:rPr>
      </w:pPr>
      <w:r>
        <w:rPr>
          <w:rFonts w:hint="eastAsia" w:ascii="宋体" w:hAnsi="宋体" w:cs="宋体"/>
          <w:b w:val="0"/>
          <w:bCs w:val="0"/>
          <w:color w:val="auto"/>
          <w:highlight w:val="none"/>
        </w:rPr>
        <w:t xml:space="preserve">  </w:t>
      </w:r>
      <w:bookmarkStart w:id="67" w:name="_Toc5699"/>
      <w:r>
        <w:rPr>
          <w:rFonts w:hint="eastAsia" w:ascii="宋体" w:hAnsi="宋体" w:cs="宋体"/>
          <w:b w:val="0"/>
          <w:bCs w:val="0"/>
          <w:color w:val="auto"/>
          <w:highlight w:val="none"/>
        </w:rPr>
        <w:t>四、评审及磋商</w:t>
      </w:r>
      <w:bookmarkEnd w:id="67"/>
    </w:p>
    <w:p w14:paraId="0FA78047">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24.磋商小组成立</w:t>
      </w:r>
    </w:p>
    <w:p w14:paraId="353E364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24.1磋商小组由采购人代表和评审专家共3人以上单数组成，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14:paraId="1EC6F80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1C4A3871">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25.首次响应文件的开启</w:t>
      </w:r>
    </w:p>
    <w:p w14:paraId="2A5B063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25.1首次响应文件由磋商小组或者采购代理机构在“供应商须知前附表”规定的时间开启。</w:t>
      </w:r>
    </w:p>
    <w:p w14:paraId="3961A4B8">
      <w:pPr>
        <w:pStyle w:val="15"/>
        <w:spacing w:line="360" w:lineRule="auto"/>
        <w:ind w:firstLine="420" w:firstLineChars="200"/>
        <w:rPr>
          <w:rFonts w:hAnsi="宋体" w:cs="宋体"/>
          <w:bCs/>
          <w:color w:val="auto"/>
          <w:sz w:val="21"/>
          <w:highlight w:val="none"/>
        </w:rPr>
      </w:pPr>
      <w:r>
        <w:rPr>
          <w:rFonts w:hint="eastAsia" w:hAnsi="宋体" w:cs="宋体"/>
          <w:color w:val="auto"/>
          <w:sz w:val="21"/>
          <w:highlight w:val="none"/>
        </w:rPr>
        <w:t xml:space="preserve">25.2 </w:t>
      </w:r>
      <w:r>
        <w:rPr>
          <w:rFonts w:hint="eastAsia" w:hAnsi="宋体" w:cs="宋体"/>
          <w:bCs/>
          <w:color w:val="auto"/>
          <w:sz w:val="21"/>
          <w:highlight w:val="none"/>
        </w:rPr>
        <w:t>响应文件解密</w:t>
      </w:r>
    </w:p>
    <w:p w14:paraId="3D64E393">
      <w:pPr>
        <w:pStyle w:val="15"/>
        <w:snapToGrid w:val="0"/>
        <w:spacing w:line="360" w:lineRule="auto"/>
        <w:ind w:firstLine="420" w:firstLineChars="200"/>
        <w:rPr>
          <w:rFonts w:hAnsi="宋体" w:cs="宋体"/>
          <w:color w:val="auto"/>
          <w:sz w:val="21"/>
          <w:highlight w:val="none"/>
        </w:rPr>
      </w:pPr>
      <w:r>
        <w:rPr>
          <w:rFonts w:hint="eastAsia" w:hAnsi="宋体" w:cs="宋体"/>
          <w:bCs/>
          <w:color w:val="auto"/>
          <w:sz w:val="21"/>
          <w:highlight w:val="none"/>
        </w:rPr>
        <w:t>采购代理机构将在“供应商须知前附表”规定的时</w:t>
      </w:r>
      <w:r>
        <w:rPr>
          <w:rFonts w:hint="eastAsia" w:hAnsi="宋体" w:cs="宋体"/>
          <w:color w:val="auto"/>
          <w:sz w:val="21"/>
          <w:highlight w:val="none"/>
        </w:rPr>
        <w:t>间通过电子交易平台组织响应文件开启，采购机构依托电子交易平台发起开始解密指令，供应商的法定代表人或其委托代理人</w:t>
      </w:r>
      <w:r>
        <w:rPr>
          <w:rFonts w:hint="eastAsia" w:hAnsi="宋体" w:cs="宋体"/>
          <w:b/>
          <w:color w:val="auto"/>
          <w:sz w:val="21"/>
          <w:highlight w:val="none"/>
        </w:rPr>
        <w:t>须携带加密时所用的CA锁按平台提示和采购文件的规定登录到“广西政府采购云平台”电子开标大厅签到并在发起解密指令之时起30分钟内完成对电子响应文件在线解密</w:t>
      </w:r>
      <w:r>
        <w:rPr>
          <w:rFonts w:hint="eastAsia" w:hAnsi="宋体" w:cs="宋体"/>
          <w:color w:val="auto"/>
          <w:sz w:val="21"/>
          <w:highlight w:val="none"/>
        </w:rPr>
        <w:t>。发起解密指令之时起5分钟内供应商还未进行解密的，代理机构要通知供应商，供应商没预留联系方式或预留联系方式无效，导致代理机构无法联系到供应商进行解密的，</w:t>
      </w:r>
      <w:r>
        <w:rPr>
          <w:rFonts w:hint="eastAsia" w:hAnsi="宋体" w:cs="宋体"/>
          <w:b/>
          <w:color w:val="auto"/>
          <w:sz w:val="21"/>
          <w:highlight w:val="none"/>
        </w:rPr>
        <w:t>视为响应文件无效。</w:t>
      </w:r>
      <w:r>
        <w:rPr>
          <w:rFonts w:hint="eastAsia" w:hAnsi="宋体" w:cs="宋体"/>
          <w:color w:val="auto"/>
          <w:sz w:val="21"/>
          <w:highlight w:val="none"/>
        </w:rPr>
        <w:t>（解密</w:t>
      </w:r>
      <w:r>
        <w:rPr>
          <w:rFonts w:hint="eastAsia" w:hAnsi="宋体" w:cs="宋体"/>
          <w:bCs/>
          <w:color w:val="auto"/>
          <w:sz w:val="21"/>
          <w:highlight w:val="none"/>
        </w:rPr>
        <w:t>异常情况处理：详见本章</w:t>
      </w:r>
      <w:r>
        <w:rPr>
          <w:rFonts w:hint="eastAsia" w:hAnsi="宋体" w:cs="宋体"/>
          <w:color w:val="auto"/>
          <w:sz w:val="21"/>
          <w:highlight w:val="none"/>
        </w:rPr>
        <w:t>26.3 电子交易活动的中止。）</w:t>
      </w:r>
    </w:p>
    <w:p w14:paraId="3140A0E1">
      <w:pPr>
        <w:pStyle w:val="15"/>
        <w:spacing w:line="360" w:lineRule="auto"/>
        <w:ind w:firstLine="420" w:firstLineChars="200"/>
        <w:rPr>
          <w:rFonts w:hAnsi="宋体" w:cs="宋体"/>
          <w:color w:val="auto"/>
          <w:sz w:val="21"/>
          <w:highlight w:val="none"/>
        </w:rPr>
      </w:pPr>
      <w:r>
        <w:rPr>
          <w:rFonts w:hint="eastAsia" w:hAnsi="宋体" w:cs="宋体"/>
          <w:color w:val="auto"/>
          <w:sz w:val="21"/>
          <w:highlight w:val="none"/>
        </w:rPr>
        <w:t>如</w:t>
      </w:r>
      <w:r>
        <w:rPr>
          <w:rFonts w:hint="eastAsia" w:hAnsi="宋体" w:cs="宋体"/>
          <w:bCs/>
          <w:color w:val="auto"/>
          <w:sz w:val="21"/>
          <w:highlight w:val="none"/>
        </w:rPr>
        <w:t>供应商成功解密响应文件，但未在“广西政府采购云平台”电子开标大厅参加谈判的，视同认可谈判过程和结果，</w:t>
      </w:r>
      <w:r>
        <w:rPr>
          <w:rFonts w:hint="eastAsia" w:hAnsi="宋体" w:cs="宋体"/>
          <w:color w:val="auto"/>
          <w:sz w:val="21"/>
          <w:highlight w:val="none"/>
        </w:rPr>
        <w:t>由此产生的后果由供应商自行负责。 参与谈判的供应商不足3家的，不得谈判。</w:t>
      </w:r>
    </w:p>
    <w:p w14:paraId="2FB6353C">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26.评审程序、评审方法和评审标准</w:t>
      </w:r>
    </w:p>
    <w:p w14:paraId="7874AB1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26.1磋商小组按照“第四章 评审程序、评审方法和评审标准”规定的方法、评审因素、标准和程序对响应文件进行评审。</w:t>
      </w:r>
    </w:p>
    <w:p w14:paraId="56D140A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26.2 磋商文件内容违反国家有关强制性规定的，磋商小组应当停止评审并向采购人或者采购代理机构说明情况，并在评审报告中书面体现。</w:t>
      </w:r>
    </w:p>
    <w:p w14:paraId="37376AE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26.3 采购需求负偏离要求及磋商顺序详见 “ 供应商须知前附表”。</w:t>
      </w:r>
    </w:p>
    <w:p w14:paraId="10CBC8F7">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26.4电子交易活动的中止。采购过程中出现以下情形，导致电子交易平台无法正常运行，或者无法保证电子交易的公平、公正和安全时，采购机构可中止电子交易活动：</w:t>
      </w:r>
    </w:p>
    <w:p w14:paraId="7CBC78E5">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 xml:space="preserve">（1）电子交易平台发生故障而无法登录访问的； </w:t>
      </w:r>
    </w:p>
    <w:p w14:paraId="3DAC3364">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（2）电子交易平台应用或数据库出现错误，不能进行正常操作的；</w:t>
      </w:r>
    </w:p>
    <w:p w14:paraId="7B9DE701">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（3）电子交易平台发现严重安全漏洞，有潜在泄密危险的；</w:t>
      </w:r>
    </w:p>
    <w:p w14:paraId="64684058">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 xml:space="preserve">（4）病毒发作导致不能进行正常操作的； </w:t>
      </w:r>
    </w:p>
    <w:p w14:paraId="35E66861">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（5）其他无法保证电子交易的公平、公正和安全的情况。</w:t>
      </w:r>
    </w:p>
    <w:p w14:paraId="4E25DEBD">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26.5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13185448">
      <w:pPr>
        <w:pStyle w:val="4"/>
        <w:spacing w:before="0" w:after="0" w:line="360" w:lineRule="auto"/>
        <w:ind w:firstLine="480" w:firstLineChars="150"/>
        <w:rPr>
          <w:rFonts w:ascii="宋体" w:hAnsi="宋体" w:cs="宋体"/>
          <w:b w:val="0"/>
          <w:bCs w:val="0"/>
          <w:color w:val="auto"/>
          <w:highlight w:val="none"/>
        </w:rPr>
      </w:pPr>
      <w:bookmarkStart w:id="68" w:name="_Toc27128"/>
      <w:r>
        <w:rPr>
          <w:rFonts w:hint="eastAsia" w:ascii="宋体" w:hAnsi="宋体" w:cs="宋体"/>
          <w:b w:val="0"/>
          <w:bCs w:val="0"/>
          <w:color w:val="auto"/>
          <w:highlight w:val="none"/>
        </w:rPr>
        <w:t>五、成交及合同</w:t>
      </w:r>
      <w:bookmarkEnd w:id="68"/>
    </w:p>
    <w:p w14:paraId="1A70C76F">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27.确定成交供应商及结果公告</w:t>
      </w:r>
    </w:p>
    <w:p w14:paraId="00920F4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27.1确定成交供应商。</w:t>
      </w:r>
      <w:r>
        <w:rPr>
          <w:rFonts w:hint="eastAsia" w:ascii="宋体" w:hAnsi="宋体" w:cs="宋体"/>
          <w:color w:val="auto"/>
          <w:kern w:val="0"/>
          <w:szCs w:val="21"/>
          <w:highlight w:val="none"/>
          <w:u w:val="single"/>
        </w:rPr>
        <w:t xml:space="preserve"> 由采购人直接委托评审专家确定</w:t>
      </w:r>
      <w:r>
        <w:rPr>
          <w:rFonts w:hint="eastAsia" w:ascii="宋体" w:hAnsi="宋体" w:cs="宋体"/>
          <w:color w:val="auto"/>
          <w:szCs w:val="21"/>
          <w:highlight w:val="none"/>
          <w:u w:val="single"/>
        </w:rPr>
        <w:t>，评审报告提出的排序第一的供应商为成交供应商。</w:t>
      </w:r>
    </w:p>
    <w:p w14:paraId="568BB31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27.2成交通知及成交结果公告。</w:t>
      </w:r>
      <w:r>
        <w:rPr>
          <w:rFonts w:hint="eastAsia" w:ascii="宋体" w:hAnsi="宋体" w:cs="宋体"/>
          <w:color w:val="auto"/>
          <w:kern w:val="0"/>
          <w:szCs w:val="21"/>
          <w:highlight w:val="none"/>
        </w:rPr>
        <w:t>成交</w:t>
      </w:r>
      <w:r>
        <w:rPr>
          <w:rFonts w:hint="eastAsia" w:ascii="宋体" w:hAnsi="宋体" w:cs="宋体"/>
          <w:color w:val="auto"/>
          <w:szCs w:val="21"/>
          <w:highlight w:val="none"/>
        </w:rPr>
        <w:t>供应商确定后2个工作日内，在省级以上财政部门指定的媒体上公</w:t>
      </w:r>
      <w:r>
        <w:rPr>
          <w:rFonts w:hint="eastAsia" w:ascii="宋体" w:hAnsi="宋体" w:cs="宋体"/>
          <w:color w:val="auto"/>
          <w:kern w:val="0"/>
          <w:szCs w:val="21"/>
          <w:highlight w:val="none"/>
        </w:rPr>
        <w:t>告成交结果（成交通知及成交结果公告应使用南宁市模板进行公告，公告内容除包含《政府采购公告和公示信息格式规范（2020年版）》要求内容外，还应包含采购人专门面向中小企业预留份额情况及成交供应商评审价格、优惠率等内容），</w:t>
      </w:r>
      <w:r>
        <w:rPr>
          <w:rFonts w:hint="eastAsia" w:ascii="宋体" w:hAnsi="宋体" w:cs="宋体"/>
          <w:color w:val="auto"/>
          <w:szCs w:val="21"/>
          <w:highlight w:val="none"/>
        </w:rPr>
        <w:t>同时向成交供应商发出成交通知书，成交通知书规定签订合同的时间不得超过25日。</w:t>
      </w:r>
    </w:p>
    <w:p w14:paraId="1A1FF1C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27.3采购人或者采购代理机构发出成交通知书前，应当对成交供应商信用进行查询核实，对列入失信被执行人、</w:t>
      </w:r>
      <w:r>
        <w:rPr>
          <w:rFonts w:hint="eastAsia" w:ascii="宋体" w:hAnsi="宋体" w:cs="宋体"/>
          <w:color w:val="auto"/>
          <w:szCs w:val="21"/>
          <w:highlight w:val="none"/>
          <w:lang w:eastAsia="zh-CN"/>
        </w:rPr>
        <w:t>重大税收违法失信主体</w:t>
      </w:r>
      <w:r>
        <w:rPr>
          <w:rFonts w:hint="eastAsia" w:ascii="宋体" w:hAnsi="宋体" w:cs="宋体"/>
          <w:color w:val="auto"/>
          <w:szCs w:val="21"/>
          <w:highlight w:val="none"/>
        </w:rPr>
        <w:t>、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竞磋文件一并保存。成交供应商享受《政府采购促进中小企业发展管理办法》（财库〔2020〕46号）规定的中小企业扶持政策的，采购人、采购代理机构应当随成交结果公开成交供应商的《中小企业声明函》。</w:t>
      </w:r>
    </w:p>
    <w:p w14:paraId="0FCC14B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27.4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14:paraId="0B0BFE53">
      <w:pPr>
        <w:spacing w:line="360" w:lineRule="auto"/>
        <w:ind w:firstLine="420" w:firstLineChars="200"/>
        <w:rPr>
          <w:rFonts w:ascii="宋体" w:hAnsi="宋体" w:cs="宋体"/>
          <w:color w:val="auto"/>
          <w:szCs w:val="21"/>
          <w:highlight w:val="none"/>
        </w:rPr>
      </w:pPr>
      <w:r>
        <w:rPr>
          <w:rFonts w:hint="eastAsia" w:ascii="宋体" w:hAnsi="宋体" w:cs="宋体"/>
          <w:bCs/>
          <w:color w:val="auto"/>
          <w:szCs w:val="21"/>
          <w:highlight w:val="none"/>
        </w:rPr>
        <w:t>27.5</w:t>
      </w:r>
      <w:r>
        <w:rPr>
          <w:rFonts w:hint="eastAsia" w:ascii="宋体" w:hAnsi="宋体" w:cs="宋体"/>
          <w:color w:val="auto"/>
          <w:szCs w:val="21"/>
          <w:highlight w:val="none"/>
        </w:rPr>
        <w:t>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w:t>
      </w:r>
    </w:p>
    <w:p w14:paraId="440CEC22">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28.履约保证金</w:t>
      </w:r>
    </w:p>
    <w:p w14:paraId="3ED35D4B">
      <w:pPr>
        <w:spacing w:line="360" w:lineRule="auto"/>
        <w:ind w:firstLine="420" w:firstLineChars="200"/>
        <w:rPr>
          <w:rFonts w:ascii="宋体" w:hAnsi="宋体" w:cs="宋体"/>
          <w:b/>
          <w:bCs/>
          <w:color w:val="auto"/>
          <w:sz w:val="24"/>
          <w:highlight w:val="none"/>
        </w:rPr>
      </w:pPr>
      <w:r>
        <w:rPr>
          <w:rFonts w:hint="eastAsia" w:ascii="宋体" w:hAnsi="宋体" w:cs="宋体"/>
          <w:color w:val="auto"/>
          <w:szCs w:val="21"/>
          <w:highlight w:val="none"/>
        </w:rPr>
        <w:t>详见 “供应商须知前附表”</w:t>
      </w:r>
    </w:p>
    <w:p w14:paraId="61B2728A">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29.签订合同</w:t>
      </w:r>
    </w:p>
    <w:p w14:paraId="67521515">
      <w:pPr>
        <w:pStyle w:val="36"/>
        <w:snapToGrid w:val="0"/>
        <w:spacing w:before="0"/>
        <w:ind w:firstLine="420"/>
        <w:rPr>
          <w:rFonts w:ascii="宋体" w:hAnsi="宋体" w:cs="宋体"/>
          <w:color w:val="auto"/>
          <w:sz w:val="21"/>
          <w:szCs w:val="21"/>
          <w:highlight w:val="none"/>
          <w:lang w:val="zh-CN"/>
        </w:rPr>
      </w:pPr>
      <w:r>
        <w:rPr>
          <w:rFonts w:hint="eastAsia" w:ascii="宋体" w:hAnsi="宋体" w:cs="宋体"/>
          <w:color w:val="auto"/>
          <w:sz w:val="21"/>
          <w:szCs w:val="21"/>
          <w:highlight w:val="none"/>
        </w:rPr>
        <w:t>29.1采购人与成交供应商应当在成交通知书规定的时间内，按照磋商文件确定的合同文本以及采购标的、服务技术、采购金额、采购数量、技术和服务要求等事项签订政府采购合同。</w:t>
      </w:r>
      <w:r>
        <w:rPr>
          <w:rFonts w:hint="eastAsia" w:ascii="宋体" w:hAnsi="宋体" w:cs="宋体"/>
          <w:color w:val="auto"/>
          <w:sz w:val="21"/>
          <w:szCs w:val="21"/>
          <w:highlight w:val="none"/>
          <w:lang w:val="zh-CN"/>
        </w:rPr>
        <w:t>如成交供应商为联合体的，由联合体成员各方法定代表人或其授权代表与采购人代表签订合同。</w:t>
      </w:r>
    </w:p>
    <w:p w14:paraId="218AB65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29.2采购人不得向成交供应商提出超出磋商文件以外的任何要求作为签订合同的条件，不得与成交供应商订立背离磋商文件确定的合同文本以及采购标的、服务技术、采购金额、采购数量、技术和服务要求等实质性内容的协议。</w:t>
      </w:r>
    </w:p>
    <w:p w14:paraId="40415AA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29.3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14:paraId="7B53F73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29.4如签订合同并生效后，供应商无故拒绝或延期，除按照合同条款处理外，列入不良行为记录，并给予通报。</w:t>
      </w:r>
    </w:p>
    <w:p w14:paraId="5A041447">
      <w:pPr>
        <w:pStyle w:val="36"/>
        <w:spacing w:before="0"/>
        <w:ind w:firstLine="420"/>
        <w:rPr>
          <w:rFonts w:ascii="宋体" w:hAnsi="宋体" w:cs="宋体"/>
          <w:color w:val="auto"/>
          <w:szCs w:val="21"/>
          <w:highlight w:val="none"/>
        </w:rPr>
      </w:pPr>
      <w:r>
        <w:rPr>
          <w:rFonts w:hint="eastAsia" w:ascii="宋体" w:hAnsi="宋体" w:cs="宋体"/>
          <w:color w:val="auto"/>
          <w:sz w:val="21"/>
          <w:szCs w:val="21"/>
          <w:highlight w:val="none"/>
        </w:rPr>
        <w:t>29.5采购合同由采购人与成交供应商根据磋商文件、响应文件等内容通过政府采购电子交易平台在线签订，自动备案，在线签订须携带的材料见“</w:t>
      </w:r>
      <w:r>
        <w:rPr>
          <w:rFonts w:hint="eastAsia" w:ascii="宋体" w:hAnsi="宋体" w:cs="宋体"/>
          <w:color w:val="auto"/>
          <w:highlight w:val="none"/>
        </w:rPr>
        <w:t xml:space="preserve"> </w:t>
      </w:r>
      <w:r>
        <w:rPr>
          <w:rFonts w:hint="eastAsia" w:ascii="宋体" w:hAnsi="宋体" w:cs="宋体"/>
          <w:color w:val="auto"/>
          <w:sz w:val="21"/>
          <w:szCs w:val="21"/>
          <w:highlight w:val="none"/>
        </w:rPr>
        <w:t>供应商须知前附表”。</w:t>
      </w:r>
    </w:p>
    <w:p w14:paraId="30B685E4">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30.政府采购合同公告</w:t>
      </w:r>
    </w:p>
    <w:p w14:paraId="71BDDCA4">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采购人或者受托采购代理机构应当自政府采购合同签订之日起2个工作日内，将政府采购合同</w:t>
      </w:r>
      <w:r>
        <w:rPr>
          <w:rFonts w:hint="eastAsia" w:ascii="宋体" w:hAnsi="宋体" w:cs="宋体"/>
          <w:bCs/>
          <w:color w:val="auto"/>
          <w:highlight w:val="none"/>
        </w:rPr>
        <w:t>在以下媒体上发布</w:t>
      </w:r>
      <w:r>
        <w:rPr>
          <w:rFonts w:hint="eastAsia" w:ascii="宋体" w:hAnsi="宋体" w:cs="宋体"/>
          <w:color w:val="auto"/>
          <w:kern w:val="0"/>
          <w:szCs w:val="21"/>
          <w:highlight w:val="none"/>
        </w:rPr>
        <w:t xml:space="preserve"> “广西政府采购网”（http://zfcg.gxzf.gov.cn）</w:t>
      </w:r>
      <w:r>
        <w:rPr>
          <w:rFonts w:hint="eastAsia" w:ascii="宋体" w:hAnsi="宋体" w:cs="宋体"/>
          <w:color w:val="auto"/>
          <w:highlight w:val="none"/>
        </w:rPr>
        <w:t>上公告，但政府采购合同中涉及国家秘密、商业秘密的内容除外。</w:t>
      </w:r>
    </w:p>
    <w:p w14:paraId="655E47B9">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31. 询问、质疑和投诉</w:t>
      </w:r>
    </w:p>
    <w:p w14:paraId="5C0BA414">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31.1供应商对政府采购活动事项有疑问的，可以向采购人、采购代理机构提出询问，采购人或者采购代理机构应当在3个工作日内对供应商依法提出的询问作出答复。</w:t>
      </w:r>
    </w:p>
    <w:p w14:paraId="43286A46">
      <w:pPr>
        <w:spacing w:line="360" w:lineRule="auto"/>
        <w:ind w:firstLine="420" w:firstLineChars="200"/>
        <w:rPr>
          <w:rFonts w:ascii="宋体" w:hAnsi="宋体" w:cs="宋体"/>
          <w:b/>
          <w:color w:val="auto"/>
          <w:szCs w:val="21"/>
          <w:highlight w:val="none"/>
        </w:rPr>
      </w:pPr>
      <w:r>
        <w:rPr>
          <w:rFonts w:hint="eastAsia" w:ascii="宋体" w:hAnsi="宋体" w:cs="宋体"/>
          <w:color w:val="auto"/>
          <w:highlight w:val="none"/>
        </w:rPr>
        <w:t>31.2供应商认为磋商文件、采购过程或者成交结果使自己的合法权益受到损害的，应当在知道或者应知其权益受到损害之日起7个工作日内，以书面形式向采购人、采购代理机构提出质疑，</w:t>
      </w:r>
      <w:r>
        <w:rPr>
          <w:rFonts w:hint="eastAsia" w:ascii="宋体" w:hAnsi="宋体" w:cs="宋体"/>
          <w:color w:val="auto"/>
          <w:highlight w:val="none"/>
          <w:shd w:val="clear" w:color="auto" w:fill="FFFFFF"/>
        </w:rPr>
        <w:t>接收质疑函的方式、联系部门、联系电话和通讯地址等信息详见</w:t>
      </w:r>
      <w:r>
        <w:rPr>
          <w:rFonts w:hint="eastAsia" w:ascii="宋体" w:hAnsi="宋体" w:cs="宋体"/>
          <w:color w:val="auto"/>
          <w:szCs w:val="21"/>
          <w:highlight w:val="none"/>
        </w:rPr>
        <w:t>“供应商须知前附表”</w:t>
      </w:r>
      <w:r>
        <w:rPr>
          <w:rFonts w:hint="eastAsia" w:ascii="宋体" w:hAnsi="宋体" w:cs="宋体"/>
          <w:color w:val="auto"/>
          <w:highlight w:val="none"/>
        </w:rPr>
        <w:t>。</w:t>
      </w:r>
      <w:r>
        <w:rPr>
          <w:rFonts w:hint="eastAsia" w:ascii="宋体" w:hAnsi="宋体" w:cs="宋体"/>
          <w:b/>
          <w:color w:val="auto"/>
          <w:szCs w:val="21"/>
          <w:highlight w:val="none"/>
        </w:rPr>
        <w:t xml:space="preserve">具体质疑起算时间及处理方式如下： </w:t>
      </w:r>
    </w:p>
    <w:p w14:paraId="5509F9DD">
      <w:pPr>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（1）潜在供应商依法获取采购文件后，认为采购文件使自己的权益受到损害的，应当在竞争性磋商采购文件公告期限届满之日起7个工作日内提出质疑。</w:t>
      </w:r>
      <w:r>
        <w:rPr>
          <w:rFonts w:hint="eastAsia" w:ascii="宋体" w:hAnsi="宋体" w:cs="宋体"/>
          <w:color w:val="auto"/>
          <w:highlight w:val="none"/>
        </w:rPr>
        <w:t>委托代理协议无特殊约定的，</w:t>
      </w:r>
      <w:r>
        <w:rPr>
          <w:rFonts w:hint="eastAsia" w:ascii="宋体" w:hAnsi="宋体" w:cs="宋体"/>
          <w:bCs/>
          <w:color w:val="auto"/>
          <w:highlight w:val="none"/>
        </w:rPr>
        <w:t>对竞争性磋商文件中采购需求（含资格要求、采购预算和评分办法）的质疑由采购人受理并负责答复；对竞争性磋商文件中的采购执行程序的质疑由采购代理机构受理并负责答复。</w:t>
      </w:r>
    </w:p>
    <w:p w14:paraId="26502055">
      <w:pPr>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2）供应商认为采购过程使自己的权益受到损害的，应当在各采购程序环节结束之日起7个工作日内提出质疑。对采购过程中资格审查、符合性审查等具体评审情况的质疑应向采购人或代理机构提出，由采购人或代理机构受理并负责答复；对采购过程中采购执行程序的质疑由采购代理机构受理并负责答复。</w:t>
      </w:r>
    </w:p>
    <w:p w14:paraId="5C2C00F1">
      <w:pPr>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（3）供应商认为成交结果使自己的权益受到损害的，应当在成交结果公告期限届满之日起7个工作日内提出质疑，由采购人受理并负责答复。</w:t>
      </w:r>
    </w:p>
    <w:p w14:paraId="2A0B40D2">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31.3供应商提出的询问或者质疑超出采购人对采购代理机构委托授权范围的，采购代理机构应当告知供应商向采购人提出。政府采购评审专家应当配合采购人或者采购代理机构答复供应商的询问和质疑。</w:t>
      </w:r>
    </w:p>
    <w:p w14:paraId="4C98D9FE">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31.4 供应商提出质疑应当提交质疑函和必要的证明材料，针对同一采购程序环节的质疑必须在法定质疑期内一次性提出。质疑函应当包括下列内容</w:t>
      </w:r>
      <w:r>
        <w:rPr>
          <w:rFonts w:hint="eastAsia" w:ascii="宋体" w:hAnsi="宋体" w:cs="宋体"/>
          <w:bCs/>
          <w:color w:val="auto"/>
          <w:highlight w:val="none"/>
        </w:rPr>
        <w:t>（质疑函格式后附）</w:t>
      </w:r>
      <w:r>
        <w:rPr>
          <w:rFonts w:hint="eastAsia" w:ascii="宋体" w:hAnsi="宋体" w:cs="宋体"/>
          <w:color w:val="auto"/>
          <w:highlight w:val="none"/>
        </w:rPr>
        <w:t>：</w:t>
      </w:r>
    </w:p>
    <w:p w14:paraId="3A0011D1">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（1）供应商的姓名或者名称、地址、邮编、联系人及联系电话；</w:t>
      </w:r>
    </w:p>
    <w:p w14:paraId="369ED94F">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（2）质疑项目的名称、编号；</w:t>
      </w:r>
    </w:p>
    <w:p w14:paraId="400FE700">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（3）具体、明确的质疑事项和与质疑事项相关的请求；</w:t>
      </w:r>
    </w:p>
    <w:p w14:paraId="1DD23A87">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（4）事实依据；</w:t>
      </w:r>
    </w:p>
    <w:p w14:paraId="1DA20E96">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（5）必要的法律依据；</w:t>
      </w:r>
    </w:p>
    <w:p w14:paraId="593E3C43">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（6）提出质疑的日期。</w:t>
      </w:r>
    </w:p>
    <w:p w14:paraId="40DA6094">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供应商为自然人的，应当由本人签字；供应商为法人或者其他组织的，应当由法定代表人、主要负责人，或者其委托代理人签字或者盖章，并加盖公章。</w:t>
      </w:r>
    </w:p>
    <w:p w14:paraId="606831A2">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31.5采购人、采购代理机构认为供应商质疑不成立，或者成立但未对成交结果构成影响的，继续开展采购活动；认为供应商质疑成立且影响或者可能影响成交结果的，按照下列情况处理：</w:t>
      </w:r>
    </w:p>
    <w:p w14:paraId="2A372563">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（一）对采购文件提出的质疑，依法通过澄清或者修改可以继续开展采购活动的，澄清或者修改采购文件后继续开展采购活动；否则应当修改采购文件后重新开展采购活动。</w:t>
      </w:r>
    </w:p>
    <w:p w14:paraId="2E2E7655">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（二）对采购过程或者成交结果提出的质疑，合格供应商符合法定数量时，可以从合格的成交候选人中另行确定成交供应商的，应当依法另行确定成交供应商；否则应当重新开展采购活动。</w:t>
      </w:r>
    </w:p>
    <w:p w14:paraId="35277B26">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质疑答复导致成交结果改变的，采购人或者采购代理机构应当将有关情况书面报告本级财政部门。</w:t>
      </w:r>
    </w:p>
    <w:p w14:paraId="40426B74">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31.6投诉的权利。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受理投诉方式见“供应商须知前附表”。</w:t>
      </w:r>
      <w:bookmarkStart w:id="69" w:name="_Toc80205930"/>
    </w:p>
    <w:p w14:paraId="43407C13">
      <w:pPr>
        <w:pStyle w:val="4"/>
        <w:spacing w:before="0" w:after="0" w:line="360" w:lineRule="auto"/>
        <w:ind w:firstLine="315" w:firstLineChars="98"/>
        <w:rPr>
          <w:rFonts w:ascii="宋体" w:hAnsi="宋体" w:cs="宋体"/>
          <w:b w:val="0"/>
          <w:color w:val="auto"/>
          <w:highlight w:val="none"/>
        </w:rPr>
      </w:pPr>
      <w:bookmarkStart w:id="70" w:name="_Toc15849"/>
      <w:r>
        <w:rPr>
          <w:rFonts w:hint="eastAsia" w:ascii="宋体" w:hAnsi="宋体" w:cs="宋体"/>
          <w:color w:val="auto"/>
          <w:highlight w:val="none"/>
        </w:rPr>
        <w:t>六</w:t>
      </w:r>
      <w:r>
        <w:rPr>
          <w:rFonts w:hint="eastAsia" w:ascii="宋体" w:hAnsi="宋体" w:cs="宋体"/>
          <w:b w:val="0"/>
          <w:color w:val="auto"/>
          <w:highlight w:val="none"/>
        </w:rPr>
        <w:t>、验收</w:t>
      </w:r>
      <w:bookmarkEnd w:id="69"/>
      <w:bookmarkEnd w:id="70"/>
    </w:p>
    <w:p w14:paraId="06E4877C">
      <w:pPr>
        <w:tabs>
          <w:tab w:val="left" w:pos="0"/>
        </w:tabs>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32.验收</w:t>
      </w:r>
    </w:p>
    <w:p w14:paraId="37FFB5E7">
      <w:pPr>
        <w:tabs>
          <w:tab w:val="left" w:pos="0"/>
        </w:tabs>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32.1采购人会同实际使用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B0EEF72">
      <w:pPr>
        <w:tabs>
          <w:tab w:val="left" w:pos="0"/>
        </w:tabs>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32.2采购人可以邀请参加本项目的其他供应商或者第三方机构参与验收。参与验收的供应商或者第三方机构的意见作为验收书的参考资料一并存档。</w:t>
      </w:r>
    </w:p>
    <w:p w14:paraId="2F987410">
      <w:pPr>
        <w:tabs>
          <w:tab w:val="left" w:pos="0"/>
        </w:tabs>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32.3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ACF3255">
      <w:pPr>
        <w:tabs>
          <w:tab w:val="left" w:pos="0"/>
        </w:tabs>
        <w:spacing w:line="360" w:lineRule="auto"/>
        <w:ind w:firstLine="420" w:firstLineChars="200"/>
        <w:rPr>
          <w:rFonts w:ascii="宋体" w:hAnsi="宋体" w:cs="宋体"/>
          <w:color w:val="auto"/>
          <w:szCs w:val="21"/>
          <w:highlight w:val="none"/>
        </w:rPr>
      </w:pPr>
      <w:r>
        <w:rPr>
          <w:rFonts w:hint="eastAsia" w:ascii="宋体" w:hAnsi="宋体" w:cs="宋体"/>
          <w:color w:val="auto"/>
          <w:kern w:val="0"/>
          <w:szCs w:val="21"/>
          <w:highlight w:val="none"/>
        </w:rPr>
        <w:t>32.4验收合格的项目，实际使用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2C622A7F">
      <w:pPr>
        <w:pStyle w:val="4"/>
        <w:spacing w:before="0" w:after="0" w:line="360" w:lineRule="auto"/>
        <w:ind w:firstLine="320" w:firstLineChars="100"/>
        <w:rPr>
          <w:rFonts w:ascii="宋体" w:hAnsi="宋体" w:cs="宋体"/>
          <w:b w:val="0"/>
          <w:bCs w:val="0"/>
          <w:color w:val="auto"/>
          <w:highlight w:val="none"/>
        </w:rPr>
      </w:pPr>
      <w:bookmarkStart w:id="71" w:name="_Toc29402"/>
      <w:r>
        <w:rPr>
          <w:rFonts w:hint="eastAsia" w:ascii="宋体" w:hAnsi="宋体" w:cs="宋体"/>
          <w:b w:val="0"/>
          <w:bCs w:val="0"/>
          <w:color w:val="auto"/>
          <w:highlight w:val="none"/>
        </w:rPr>
        <w:t>七、其他事项</w:t>
      </w:r>
      <w:bookmarkEnd w:id="71"/>
    </w:p>
    <w:p w14:paraId="5CA7BCF3">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33.代理服务费</w:t>
      </w:r>
    </w:p>
    <w:p w14:paraId="55368BEF">
      <w:pPr>
        <w:tabs>
          <w:tab w:val="left" w:pos="2835"/>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代理服务收费标准及缴费账户详见“供应商须知前附表”，供应商为联合体的，可以由联合体中的一方或者多方共同交纳代理服务费。</w:t>
      </w:r>
    </w:p>
    <w:p w14:paraId="68FBAE0A">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34.需要补充的其他内容</w:t>
      </w:r>
    </w:p>
    <w:p w14:paraId="552A7F71">
      <w:pPr>
        <w:pStyle w:val="15"/>
        <w:spacing w:line="360" w:lineRule="auto"/>
        <w:ind w:firstLine="420" w:firstLineChars="200"/>
        <w:textAlignment w:val="center"/>
        <w:rPr>
          <w:rFonts w:hAnsi="宋体" w:cs="宋体"/>
          <w:color w:val="auto"/>
          <w:kern w:val="2"/>
          <w:sz w:val="21"/>
          <w:highlight w:val="none"/>
        </w:rPr>
      </w:pPr>
      <w:r>
        <w:rPr>
          <w:rFonts w:hint="eastAsia" w:hAnsi="宋体" w:cs="宋体"/>
          <w:color w:val="auto"/>
          <w:kern w:val="2"/>
          <w:sz w:val="21"/>
          <w:highlight w:val="none"/>
        </w:rPr>
        <w:t>34.1本磋商文件解释规则详见“供应商须知前附表”。</w:t>
      </w:r>
    </w:p>
    <w:p w14:paraId="036965BB">
      <w:pPr>
        <w:pStyle w:val="15"/>
        <w:spacing w:line="360" w:lineRule="auto"/>
        <w:ind w:firstLine="420" w:firstLineChars="200"/>
        <w:textAlignment w:val="center"/>
        <w:rPr>
          <w:rFonts w:hAnsi="宋体" w:cs="宋体"/>
          <w:color w:val="auto"/>
          <w:kern w:val="2"/>
          <w:sz w:val="21"/>
          <w:highlight w:val="none"/>
        </w:rPr>
      </w:pPr>
      <w:r>
        <w:rPr>
          <w:rFonts w:hint="eastAsia" w:hAnsi="宋体" w:cs="宋体"/>
          <w:color w:val="auto"/>
          <w:kern w:val="2"/>
          <w:sz w:val="21"/>
          <w:highlight w:val="none"/>
        </w:rPr>
        <w:t>34.2 其他事项详见“供应商须知前附表”。</w:t>
      </w:r>
    </w:p>
    <w:p w14:paraId="18785C40">
      <w:pPr>
        <w:pStyle w:val="15"/>
        <w:spacing w:line="360" w:lineRule="auto"/>
        <w:ind w:firstLine="420" w:firstLineChars="200"/>
        <w:textAlignment w:val="center"/>
        <w:rPr>
          <w:rFonts w:hAnsi="宋体" w:cs="宋体"/>
          <w:color w:val="auto"/>
          <w:kern w:val="2"/>
          <w:sz w:val="21"/>
          <w:highlight w:val="none"/>
        </w:rPr>
      </w:pPr>
      <w:r>
        <w:rPr>
          <w:rFonts w:hint="eastAsia" w:hAnsi="宋体" w:cs="宋体"/>
          <w:color w:val="auto"/>
          <w:kern w:val="2"/>
          <w:sz w:val="21"/>
          <w:highlight w:val="none"/>
        </w:rPr>
        <w:t>34.3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w:t>
      </w:r>
      <w:r>
        <w:rPr>
          <w:rFonts w:hint="eastAsia" w:hAnsi="宋体" w:cs="宋体"/>
          <w:color w:val="auto"/>
          <w:sz w:val="21"/>
          <w:highlight w:val="none"/>
        </w:rPr>
        <w:t>服务由中小企业承接，即提供服务的人员为中小企业依照《中华人民共和国劳动合同法》订立劳动合同的从业人员，不对其中涉及的货物的制造商和工程承建商作出要求的</w:t>
      </w:r>
      <w:r>
        <w:rPr>
          <w:rFonts w:hint="eastAsia" w:hAnsi="宋体" w:cs="宋体"/>
          <w:color w:val="auto"/>
          <w:kern w:val="2"/>
          <w:sz w:val="21"/>
          <w:highlight w:val="none"/>
        </w:rPr>
        <w:t>，享受本文件规定的中小企业扶持政策。</w:t>
      </w:r>
    </w:p>
    <w:p w14:paraId="706525BC">
      <w:pPr>
        <w:pStyle w:val="15"/>
        <w:spacing w:line="360" w:lineRule="auto"/>
        <w:ind w:firstLine="420" w:firstLineChars="200"/>
        <w:textAlignment w:val="center"/>
        <w:rPr>
          <w:rFonts w:hAnsi="宋体" w:cs="宋体"/>
          <w:color w:val="auto"/>
          <w:kern w:val="2"/>
          <w:sz w:val="21"/>
          <w:highlight w:val="none"/>
        </w:rPr>
      </w:pPr>
      <w:r>
        <w:rPr>
          <w:rFonts w:hint="eastAsia" w:hAnsi="宋体" w:cs="宋体"/>
          <w:color w:val="auto"/>
          <w:kern w:val="2"/>
          <w:sz w:val="21"/>
          <w:highlight w:val="none"/>
        </w:rPr>
        <w:t>以联合体形式参加政府采购活动，联合体各方均为中小企业的，联合体视同中小企业。其中，联合体各方均为小微企业的，联合体视同小微企业。</w:t>
      </w:r>
    </w:p>
    <w:p w14:paraId="10AE4AEB">
      <w:pPr>
        <w:pStyle w:val="15"/>
        <w:spacing w:line="360" w:lineRule="auto"/>
        <w:ind w:firstLine="420" w:firstLineChars="200"/>
        <w:textAlignment w:val="center"/>
        <w:rPr>
          <w:rFonts w:hAnsi="宋体" w:cs="宋体"/>
          <w:color w:val="auto"/>
          <w:kern w:val="2"/>
          <w:sz w:val="21"/>
          <w:highlight w:val="none"/>
        </w:rPr>
      </w:pPr>
      <w:r>
        <w:rPr>
          <w:rFonts w:hint="eastAsia" w:hAnsi="宋体" w:cs="宋体"/>
          <w:color w:val="auto"/>
          <w:kern w:val="2"/>
          <w:sz w:val="21"/>
          <w:highlight w:val="none"/>
        </w:rPr>
        <w:t>依据本文件规定享受扶持政策获得政府采购合同的，小微企业不得将合同分包给大中型企业，中型企业不得将合同分包给大型企业。</w:t>
      </w:r>
    </w:p>
    <w:p w14:paraId="26B2F87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 政采贷相关说明</w:t>
      </w:r>
    </w:p>
    <w:p w14:paraId="18A703A7">
      <w:pPr>
        <w:pStyle w:val="15"/>
        <w:spacing w:line="360" w:lineRule="auto"/>
        <w:ind w:firstLine="420" w:firstLineChars="200"/>
        <w:textAlignment w:val="center"/>
        <w:rPr>
          <w:rFonts w:hAnsi="宋体" w:cs="宋体"/>
          <w:color w:val="auto"/>
          <w:sz w:val="21"/>
          <w:highlight w:val="none"/>
        </w:rPr>
      </w:pPr>
      <w:r>
        <w:rPr>
          <w:rFonts w:hint="eastAsia" w:hAnsi="宋体" w:cs="宋体"/>
          <w:color w:val="auto"/>
          <w:sz w:val="21"/>
          <w:highlight w:val="none"/>
        </w:rPr>
        <w:t>为优化政府采购营商环境，缓解供应商资金难题，南宁市政府采购试行政府采购信用融资制度，中标供应商如有融资需求，可凭政府采购合同通过以下方式申请政府采购信用融资贷款：</w:t>
      </w:r>
    </w:p>
    <w:p w14:paraId="0A91BAE2">
      <w:pPr>
        <w:pStyle w:val="15"/>
        <w:numPr>
          <w:ilvl w:val="0"/>
          <w:numId w:val="2"/>
        </w:numPr>
        <w:spacing w:line="360" w:lineRule="auto"/>
        <w:ind w:firstLine="420" w:firstLineChars="200"/>
        <w:textAlignment w:val="center"/>
        <w:rPr>
          <w:rFonts w:hAnsi="宋体" w:cs="宋体"/>
          <w:color w:val="auto"/>
          <w:sz w:val="21"/>
          <w:highlight w:val="none"/>
        </w:rPr>
      </w:pPr>
      <w:r>
        <w:rPr>
          <w:rFonts w:hint="eastAsia" w:hAnsi="宋体" w:cs="宋体"/>
          <w:color w:val="auto"/>
          <w:sz w:val="21"/>
          <w:highlight w:val="none"/>
        </w:rPr>
        <w:t>线下渠道：在“南宁市公共资源交易中心”官网（网址：</w:t>
      </w:r>
      <w:r>
        <w:rPr>
          <w:color w:val="auto"/>
          <w:highlight w:val="none"/>
        </w:rPr>
        <w:fldChar w:fldCharType="begin"/>
      </w:r>
      <w:r>
        <w:rPr>
          <w:color w:val="auto"/>
          <w:highlight w:val="none"/>
        </w:rPr>
        <w:instrText xml:space="preserve"> HYPERLINK "http://www.nnggzy.org.cn）" </w:instrText>
      </w:r>
      <w:r>
        <w:rPr>
          <w:color w:val="auto"/>
          <w:highlight w:val="none"/>
        </w:rPr>
        <w:fldChar w:fldCharType="separate"/>
      </w:r>
      <w:r>
        <w:rPr>
          <w:rStyle w:val="29"/>
          <w:rFonts w:hint="eastAsia" w:hAnsi="宋体" w:cs="宋体"/>
          <w:color w:val="auto"/>
          <w:sz w:val="21"/>
          <w:highlight w:val="none"/>
        </w:rPr>
        <w:t>http://www.nnggzy.org.cn）“交易信息-政府采购-政府采购信用融资”中融资银行和南宁市企业融资服务中心专栏信息申请政府采购信用融资。</w:t>
      </w:r>
      <w:r>
        <w:rPr>
          <w:rStyle w:val="29"/>
          <w:rFonts w:hint="eastAsia" w:hAnsi="宋体" w:cs="宋体"/>
          <w:color w:val="auto"/>
          <w:sz w:val="21"/>
          <w:highlight w:val="none"/>
        </w:rPr>
        <w:fldChar w:fldCharType="end"/>
      </w:r>
    </w:p>
    <w:p w14:paraId="193C3030">
      <w:pPr>
        <w:pStyle w:val="15"/>
        <w:numPr>
          <w:ilvl w:val="0"/>
          <w:numId w:val="2"/>
        </w:numPr>
        <w:spacing w:line="360" w:lineRule="auto"/>
        <w:ind w:firstLine="402" w:firstLineChars="200"/>
        <w:textAlignment w:val="center"/>
        <w:rPr>
          <w:rFonts w:hAnsi="宋体" w:cs="宋体"/>
          <w:color w:val="auto"/>
          <w:highlight w:val="none"/>
        </w:rPr>
      </w:pPr>
      <w:r>
        <w:rPr>
          <w:rFonts w:hint="eastAsia" w:hAnsi="宋体" w:cs="宋体"/>
          <w:b/>
          <w:color w:val="auto"/>
          <w:highlight w:val="none"/>
        </w:rPr>
        <w:t>（2）线上渠道：登录中征营应收账款融资服务平台（网址：https://www.crcrfsp.com，客服电话：400-009-0001），选择相关金融产品和银行业金融机构金融融资贷款。具体操作方式见《中国人民银行南宁中心支行广西壮族自治区财政厅关于推广线上“政采贷”融资模式的通知》（南宁银发〔2021〕258号）文（文件公开网址详情见：“广西政府采购网”——http://www.ccgp-guangxi.gov.cn/AdministrativeRegulations/AutonomousRegion/9830442.html）</w:t>
      </w:r>
      <w:r>
        <w:rPr>
          <w:rFonts w:hint="eastAsia" w:hAnsi="宋体" w:cs="宋体"/>
          <w:b/>
          <w:color w:val="auto"/>
          <w:highlight w:val="none"/>
        </w:rPr>
        <w:br w:type="page"/>
      </w:r>
    </w:p>
    <w:p w14:paraId="5B1D804C">
      <w:pPr>
        <w:pStyle w:val="2"/>
        <w:jc w:val="center"/>
        <w:rPr>
          <w:rFonts w:ascii="宋体" w:hAnsi="宋体" w:cs="宋体"/>
          <w:color w:val="auto"/>
          <w:highlight w:val="none"/>
        </w:rPr>
      </w:pPr>
      <w:bookmarkStart w:id="72" w:name="_Toc10219"/>
      <w:r>
        <w:rPr>
          <w:rFonts w:hint="eastAsia" w:ascii="宋体" w:hAnsi="宋体" w:cs="宋体"/>
          <w:color w:val="auto"/>
          <w:highlight w:val="none"/>
        </w:rPr>
        <w:t>第四章  评审程序、评审方法和评审标准</w:t>
      </w:r>
      <w:bookmarkEnd w:id="72"/>
    </w:p>
    <w:p w14:paraId="22FB8499">
      <w:pPr>
        <w:pStyle w:val="3"/>
        <w:jc w:val="center"/>
        <w:rPr>
          <w:rFonts w:ascii="宋体" w:hAnsi="宋体" w:cs="宋体"/>
          <w:b w:val="0"/>
          <w:color w:val="auto"/>
          <w:highlight w:val="none"/>
        </w:rPr>
      </w:pPr>
      <w:bookmarkStart w:id="73" w:name="_Toc6778"/>
      <w:r>
        <w:rPr>
          <w:rFonts w:hint="eastAsia" w:ascii="宋体" w:hAnsi="宋体" w:cs="宋体"/>
          <w:b w:val="0"/>
          <w:color w:val="auto"/>
          <w:highlight w:val="none"/>
        </w:rPr>
        <w:t>第一节 评审程序和评审方法</w:t>
      </w:r>
      <w:bookmarkEnd w:id="73"/>
    </w:p>
    <w:p w14:paraId="6663ABEB">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1.确认磋商文件</w:t>
      </w:r>
    </w:p>
    <w:p w14:paraId="4DDA477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由磋商小组确认磋商文件。</w:t>
      </w:r>
    </w:p>
    <w:p w14:paraId="637A2C1A">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2.资格审查</w:t>
      </w:r>
    </w:p>
    <w:p w14:paraId="66E46D1F">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2.1响应文件开启后，磋商小组依法对供应商的资格证明文件进行审查。</w:t>
      </w:r>
    </w:p>
    <w:p w14:paraId="7A78EC16">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注：采购人代表或者采购代理机构在资格审查结束前，对供应商进行信用查询。</w:t>
      </w:r>
    </w:p>
    <w:p w14:paraId="1BB330C7">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（1）查询渠道：“广西政府采购云平台”“信用中国”网站</w:t>
      </w:r>
      <w:r>
        <w:rPr>
          <w:rFonts w:hint="eastAsia" w:ascii="宋体" w:hAnsi="宋体" w:cs="宋体"/>
          <w:color w:val="auto"/>
          <w:szCs w:val="21"/>
          <w:highlight w:val="none"/>
          <w:lang w:eastAsia="zh-CN"/>
        </w:rPr>
        <w:t>（</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29"/>
          <w:rFonts w:hint="eastAsia" w:ascii="宋体" w:hAnsi="宋体" w:cs="宋体"/>
          <w:color w:val="auto"/>
          <w:highlight w:val="none"/>
        </w:rPr>
        <w:t>www.creditchina.gov.cn</w:t>
      </w:r>
      <w:r>
        <w:rPr>
          <w:rStyle w:val="29"/>
          <w:rFonts w:hint="eastAsia" w:ascii="宋体" w:hAnsi="宋体" w:cs="宋体"/>
          <w:color w:val="auto"/>
          <w:highlight w:val="none"/>
        </w:rPr>
        <w:fldChar w:fldCharType="end"/>
      </w:r>
      <w:r>
        <w:rPr>
          <w:rFonts w:hint="eastAsia" w:ascii="宋体" w:hAnsi="宋体" w:cs="宋体"/>
          <w:color w:val="auto"/>
          <w:szCs w:val="21"/>
          <w:highlight w:val="none"/>
          <w:lang w:eastAsia="zh-CN"/>
        </w:rPr>
        <w:t>）</w:t>
      </w:r>
      <w:r>
        <w:rPr>
          <w:rFonts w:hint="eastAsia" w:ascii="宋体" w:hAnsi="宋体" w:cs="宋体"/>
          <w:color w:val="auto"/>
          <w:szCs w:val="21"/>
          <w:highlight w:val="none"/>
        </w:rPr>
        <w:t>、中国政府采购网</w:t>
      </w:r>
      <w:r>
        <w:rPr>
          <w:rFonts w:hint="eastAsia" w:ascii="宋体" w:hAnsi="宋体" w:cs="宋体"/>
          <w:color w:val="auto"/>
          <w:szCs w:val="21"/>
          <w:highlight w:val="none"/>
          <w:lang w:eastAsia="zh-CN"/>
        </w:rPr>
        <w:t>（</w:t>
      </w:r>
      <w:r>
        <w:rPr>
          <w:color w:val="auto"/>
          <w:highlight w:val="none"/>
        </w:rPr>
        <w:fldChar w:fldCharType="begin"/>
      </w:r>
      <w:r>
        <w:rPr>
          <w:color w:val="auto"/>
          <w:highlight w:val="none"/>
        </w:rPr>
        <w:instrText xml:space="preserve"> HYPERLINK "http://www.ccgp.gov.cn" </w:instrText>
      </w:r>
      <w:r>
        <w:rPr>
          <w:color w:val="auto"/>
          <w:highlight w:val="none"/>
        </w:rPr>
        <w:fldChar w:fldCharType="separate"/>
      </w:r>
      <w:r>
        <w:rPr>
          <w:rStyle w:val="29"/>
          <w:rFonts w:hint="eastAsia" w:ascii="宋体" w:hAnsi="宋体" w:cs="宋体"/>
          <w:color w:val="auto"/>
          <w:highlight w:val="none"/>
        </w:rPr>
        <w:t>www.ccgp.gov.cn</w:t>
      </w:r>
      <w:r>
        <w:rPr>
          <w:rStyle w:val="29"/>
          <w:rFonts w:hint="eastAsia" w:ascii="宋体" w:hAnsi="宋体" w:cs="宋体"/>
          <w:color w:val="auto"/>
          <w:highlight w:val="none"/>
        </w:rPr>
        <w:fldChar w:fldCharType="end"/>
      </w:r>
      <w:r>
        <w:rPr>
          <w:rFonts w:hint="eastAsia" w:ascii="宋体" w:hAnsi="宋体" w:cs="宋体"/>
          <w:color w:val="auto"/>
          <w:szCs w:val="21"/>
          <w:highlight w:val="none"/>
          <w:lang w:eastAsia="zh-CN"/>
        </w:rPr>
        <w:t>）</w:t>
      </w:r>
      <w:r>
        <w:rPr>
          <w:rFonts w:hint="eastAsia" w:ascii="宋体" w:hAnsi="宋体" w:cs="宋体"/>
          <w:color w:val="auto"/>
          <w:szCs w:val="21"/>
          <w:highlight w:val="none"/>
        </w:rPr>
        <w:t>链接入口。</w:t>
      </w:r>
    </w:p>
    <w:p w14:paraId="16600C8E">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（2）信用查询截止时点：资格审查结束前。</w:t>
      </w:r>
    </w:p>
    <w:p w14:paraId="2EEA3926">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查询记录和证据留存方式：在查询网站中直接打印查询记录，截图另存为电子文档作为评审资料保存。</w:t>
      </w:r>
    </w:p>
    <w:p w14:paraId="78F46B7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（3）信用信息使用规则：对在“信用中国”网站</w:t>
      </w:r>
      <w:r>
        <w:rPr>
          <w:rFonts w:hint="eastAsia" w:ascii="宋体" w:hAnsi="宋体" w:cs="宋体"/>
          <w:color w:val="auto"/>
          <w:szCs w:val="21"/>
          <w:highlight w:val="none"/>
          <w:lang w:eastAsia="zh-CN"/>
        </w:rPr>
        <w:t>（</w:t>
      </w:r>
      <w:r>
        <w:rPr>
          <w:rFonts w:hint="eastAsia" w:ascii="宋体" w:hAnsi="宋体" w:cs="宋体"/>
          <w:color w:val="auto"/>
          <w:szCs w:val="21"/>
          <w:highlight w:val="none"/>
        </w:rPr>
        <w:t>www.creditchina.gov.cn</w:t>
      </w:r>
      <w:r>
        <w:rPr>
          <w:rFonts w:hint="eastAsia" w:ascii="宋体" w:hAnsi="宋体" w:cs="宋体"/>
          <w:color w:val="auto"/>
          <w:szCs w:val="21"/>
          <w:highlight w:val="none"/>
          <w:lang w:eastAsia="zh-CN"/>
        </w:rPr>
        <w:t>）</w:t>
      </w:r>
      <w:r>
        <w:rPr>
          <w:rFonts w:hint="eastAsia" w:ascii="宋体" w:hAnsi="宋体" w:cs="宋体"/>
          <w:color w:val="auto"/>
          <w:szCs w:val="21"/>
          <w:highlight w:val="none"/>
        </w:rPr>
        <w:t xml:space="preserve"> 、中国政府采购网</w:t>
      </w:r>
      <w:r>
        <w:rPr>
          <w:rFonts w:hint="eastAsia" w:ascii="宋体" w:hAnsi="宋体" w:cs="宋体"/>
          <w:color w:val="auto"/>
          <w:szCs w:val="21"/>
          <w:highlight w:val="none"/>
          <w:lang w:eastAsia="zh-CN"/>
        </w:rPr>
        <w:t>（</w:t>
      </w:r>
      <w:r>
        <w:rPr>
          <w:rFonts w:hint="eastAsia" w:ascii="宋体" w:hAnsi="宋体" w:cs="宋体"/>
          <w:color w:val="auto"/>
          <w:szCs w:val="21"/>
          <w:highlight w:val="none"/>
        </w:rPr>
        <w:t>www.ccgp.gov.cn</w:t>
      </w:r>
      <w:r>
        <w:rPr>
          <w:rFonts w:hint="eastAsia" w:ascii="宋体" w:hAnsi="宋体" w:cs="宋体"/>
          <w:color w:val="auto"/>
          <w:szCs w:val="21"/>
          <w:highlight w:val="none"/>
          <w:lang w:eastAsia="zh-CN"/>
        </w:rPr>
        <w:t>）</w:t>
      </w:r>
      <w:r>
        <w:rPr>
          <w:rFonts w:hint="eastAsia" w:ascii="宋体" w:hAnsi="宋体" w:cs="宋体"/>
          <w:color w:val="auto"/>
          <w:szCs w:val="21"/>
          <w:highlight w:val="none"/>
        </w:rPr>
        <w:t>被列入失信被执行人、</w:t>
      </w:r>
      <w:r>
        <w:rPr>
          <w:rFonts w:hint="eastAsia" w:ascii="宋体" w:hAnsi="宋体" w:cs="宋体"/>
          <w:color w:val="auto"/>
          <w:szCs w:val="21"/>
          <w:highlight w:val="none"/>
          <w:lang w:eastAsia="zh-CN"/>
        </w:rPr>
        <w:t>重大税收违法失信主体</w:t>
      </w:r>
      <w:r>
        <w:rPr>
          <w:rFonts w:hint="eastAsia" w:ascii="宋体" w:hAnsi="宋体" w:cs="宋体"/>
          <w:color w:val="auto"/>
          <w:szCs w:val="21"/>
          <w:highlight w:val="none"/>
        </w:rPr>
        <w:t>、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20F787B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2.2资格审查标准为本磋商文件中载明对供应商资格要求的条件。资格审查采用合格制，凡符合磋商文件规定的供应商资格要求的响应文件均通过资格审查。</w:t>
      </w:r>
    </w:p>
    <w:p w14:paraId="0FDF065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2.3供应商有下列情形之一的，资格审查不通过，其响应文件按无效响应处理：</w:t>
      </w:r>
    </w:p>
    <w:p w14:paraId="32F95A8E">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（1）不具备磋商文件中规定的资格要求的；</w:t>
      </w:r>
    </w:p>
    <w:p w14:paraId="527AC74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（2）响应文件未提供任一项“供应商须知前附表”资格证明文件规定的“必须提供”的文件资料的；</w:t>
      </w:r>
    </w:p>
    <w:p w14:paraId="601CF04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（3）响应文件提供的资格证明文件出现任一项不符合“供应商须知前附表”资格证明文件规定的“必须提供”的文件资料要求或者无效的。</w:t>
      </w:r>
    </w:p>
    <w:p w14:paraId="3772508A">
      <w:pPr>
        <w:spacing w:line="360" w:lineRule="auto"/>
        <w:ind w:firstLine="420" w:firstLineChars="200"/>
        <w:rPr>
          <w:rFonts w:ascii="宋体" w:hAnsi="宋体" w:cs="宋体"/>
          <w:color w:val="auto"/>
          <w:szCs w:val="21"/>
          <w:highlight w:val="none"/>
        </w:rPr>
      </w:pPr>
      <w:bookmarkStart w:id="74" w:name="_Hlk68601553"/>
      <w:r>
        <w:rPr>
          <w:rFonts w:hint="eastAsia" w:ascii="宋体" w:hAnsi="宋体" w:cs="宋体"/>
          <w:color w:val="auto"/>
          <w:szCs w:val="21"/>
          <w:highlight w:val="none"/>
        </w:rPr>
        <w:t>（4）同一合同项下的不同供应商，单位负责人为同一人或者存在直接控股、管理关系的；为本项目提供过整体设计、规范编制或者项目管理、监理、检测等服务的。</w:t>
      </w:r>
      <w:bookmarkEnd w:id="74"/>
    </w:p>
    <w:p w14:paraId="7ECD53A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2.4通过资格审查的合格供应商不足3家的，不得进入符合性审查环节，采购人或者采购代理机构应当重新开展采购活动。</w:t>
      </w:r>
    </w:p>
    <w:p w14:paraId="5C42D628">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3.符合性审查</w:t>
      </w:r>
    </w:p>
    <w:p w14:paraId="665B75C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3.1由磋商小组对通过资格审查的合格供应商的响应文件的响应报价、商务、技术等实质性要求进行符合性审查，以确定其是否满足磋商文件的实质性要求。</w:t>
      </w:r>
    </w:p>
    <w:p w14:paraId="4BBE8A9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3.2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19298E64">
      <w:pPr>
        <w:spacing w:line="360" w:lineRule="auto"/>
        <w:ind w:firstLine="420" w:firstLineChars="200"/>
        <w:rPr>
          <w:rFonts w:ascii="宋体" w:hAnsi="宋体" w:cs="宋体"/>
          <w:color w:val="auto"/>
          <w:spacing w:val="-6"/>
          <w:szCs w:val="21"/>
          <w:highlight w:val="none"/>
        </w:rPr>
      </w:pPr>
      <w:r>
        <w:rPr>
          <w:rFonts w:hint="eastAsia" w:ascii="宋体" w:hAnsi="宋体" w:cs="宋体"/>
          <w:color w:val="auto"/>
          <w:szCs w:val="21"/>
          <w:highlight w:val="none"/>
        </w:rPr>
        <w:t>3.3磋商小组要求供应商澄清、说明或者更正响应文件应当以电子澄清函形式作出。供应商的澄清、说明或者更正应当以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电子公章</w:t>
      </w:r>
      <w:r>
        <w:rPr>
          <w:rFonts w:hint="eastAsia" w:ascii="宋体" w:hAnsi="宋体" w:cs="宋体"/>
          <w:color w:val="auto"/>
          <w:spacing w:val="-6"/>
          <w:szCs w:val="21"/>
          <w:highlight w:val="none"/>
        </w:rPr>
        <w:t>。供应商为自然人的，必须由本人签字并附身份证明。</w:t>
      </w:r>
    </w:p>
    <w:p w14:paraId="3FF7F48C">
      <w:pPr>
        <w:spacing w:line="360" w:lineRule="auto"/>
        <w:ind w:firstLine="396" w:firstLineChars="200"/>
        <w:rPr>
          <w:rFonts w:ascii="宋体" w:hAnsi="宋体" w:cs="宋体"/>
          <w:color w:val="auto"/>
          <w:szCs w:val="21"/>
          <w:highlight w:val="none"/>
        </w:rPr>
      </w:pPr>
      <w:r>
        <w:rPr>
          <w:rFonts w:hint="eastAsia" w:ascii="宋体" w:hAnsi="宋体" w:cs="宋体"/>
          <w:color w:val="auto"/>
          <w:spacing w:val="-6"/>
          <w:szCs w:val="21"/>
          <w:highlight w:val="none"/>
        </w:rPr>
        <w:t>3.4</w:t>
      </w:r>
      <w:r>
        <w:rPr>
          <w:rFonts w:hint="eastAsia" w:ascii="宋体" w:hAnsi="宋体" w:cs="宋体"/>
          <w:color w:val="auto"/>
          <w:szCs w:val="21"/>
          <w:highlight w:val="none"/>
        </w:rPr>
        <w:t xml:space="preserve">首次响应文件报价出现前后不一致的，按照下列规定修正： </w:t>
      </w:r>
    </w:p>
    <w:p w14:paraId="68C718D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（1）响应文件中报价表内容与响应文件中相应内容不一致的，以报价表为准；</w:t>
      </w:r>
    </w:p>
    <w:p w14:paraId="08E66A1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（2）大写金额和小写金额不一致的，以大写金额为准；</w:t>
      </w:r>
    </w:p>
    <w:p w14:paraId="437872E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（3）单价金额小数点或者百分比有明显错位的，以报价表的总价为准，并修改单价；</w:t>
      </w:r>
    </w:p>
    <w:p w14:paraId="5247E7A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（4）总价金额与按单价汇总金额不一致的，以单价金额计算结果为准。</w:t>
      </w:r>
    </w:p>
    <w:p w14:paraId="29B963A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同时出现两种以上不一致的，按照以上（1）-（4）规定的顺序逐条进行修正。修正后的报价经供应商确认后产生约束力，供应商不确认的，其响应文件按无效响应处理。</w:t>
      </w:r>
    </w:p>
    <w:p w14:paraId="4CF77FC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3.5商务技术、报价评审</w:t>
      </w:r>
    </w:p>
    <w:p w14:paraId="5424926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在评审时，如发现下列情形之一的，将被视为响应文件无效处理：</w:t>
      </w:r>
    </w:p>
    <w:p w14:paraId="1C93488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（1）商务技术评审</w:t>
      </w:r>
    </w:p>
    <w:p w14:paraId="726303F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1）响应文件未按磋商文件要求签署、盖章；</w:t>
      </w:r>
    </w:p>
    <w:p w14:paraId="360DA6A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2）委托代理人未能出具有效身份证明或者出具的身份证明与授权委托书中的信息不符； </w:t>
      </w:r>
    </w:p>
    <w:p w14:paraId="5399E10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3）响应文件未提供任一项“供应商须知前附表” 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w:t>
      </w:r>
    </w:p>
    <w:p w14:paraId="3577864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4）商务条款中标“▲”的条款发生负偏离的或者允许负偏离的条款数超过“供应商须知前附表”规定项数的或者标明实质性的要求发生负偏离；</w:t>
      </w:r>
    </w:p>
    <w:p w14:paraId="3125A38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5）未对竞标有效期作出响应或者响应文件承诺的竞标有效期不满足磋商文件要求；</w:t>
      </w:r>
    </w:p>
    <w:p w14:paraId="4B152B1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6）响应文件的实质性内容未使用中文表述、使用计量单位不符合磋商文件要求；</w:t>
      </w:r>
    </w:p>
    <w:p w14:paraId="4BC50B6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7）响应文件中的文件资料因填写不齐全或者内容虚假或者出现其他情形而导致被磋商小组认定无效；</w:t>
      </w:r>
    </w:p>
    <w:p w14:paraId="3FAA3DD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8）响应文件含有采购人不能接受的附加条件；</w:t>
      </w:r>
    </w:p>
    <w:p w14:paraId="7305722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9）属于“供应商须知正文”第7.5条情形；</w:t>
      </w:r>
    </w:p>
    <w:p w14:paraId="59C4A14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10）技术需求允许负偏离的条款数超过“供应商须知前附表”规定项数；</w:t>
      </w:r>
    </w:p>
    <w:p w14:paraId="49909D3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11）虚假竞标，或者出现其他情形而导致被磋商小组认定无效；</w:t>
      </w:r>
    </w:p>
    <w:p w14:paraId="71E66F2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12）竞标技术方案不明确，磋商文件未允许但响应文件中存在一个或者一个以上备选（替代）竞标方案；</w:t>
      </w:r>
    </w:p>
    <w:p w14:paraId="7002BCC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13）响应文件标注的项目名称或者项目编号与竞争性磋商文件标注的项目名称或者项目编号不一致的；</w:t>
      </w:r>
    </w:p>
    <w:p w14:paraId="08231E3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14）未响应磋商文件实质性要求；</w:t>
      </w:r>
    </w:p>
    <w:p w14:paraId="28DC5D8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15）法律、法规和磋商文件规定的其他无效情形。</w:t>
      </w:r>
    </w:p>
    <w:p w14:paraId="6CAD14D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（2）报价评审</w:t>
      </w:r>
    </w:p>
    <w:p w14:paraId="06F0F3B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eastAsia="zh-CN"/>
        </w:rPr>
        <w:t>）</w:t>
      </w:r>
      <w:r>
        <w:rPr>
          <w:rFonts w:hint="eastAsia" w:ascii="宋体" w:hAnsi="宋体" w:cs="宋体"/>
          <w:color w:val="auto"/>
          <w:szCs w:val="21"/>
          <w:highlight w:val="none"/>
        </w:rPr>
        <w:t xml:space="preserve"> 响应文件未提供“供应商须知前附表” 报价文件中规定的“响应报价表”；</w:t>
      </w:r>
    </w:p>
    <w:p w14:paraId="127EFBC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2）未采用人民币报价或者未按照磋商文件标明的币种报价；</w:t>
      </w:r>
    </w:p>
    <w:p w14:paraId="1EF3BF1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供应商未就所竞标分标进行报价或者存在漏项报价；供应商未就所竞标分标的单项内容作唯一报价；供应商未就所竞标分标的全部内容作唯一总价报价；供应商响应文件中存在有选择、有条件报价的（磋商文件允许有备选方案或者其他约定的除外）；</w:t>
      </w:r>
    </w:p>
    <w:p w14:paraId="3D520BB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响应报价（包含首次报价、最后报价）超过所竞标分标规定的采购预算金额或者最高限价的（如本项目公布了最高限价）；响应报价（包含首次报价、最后报价）超过磋商文件分项采购预算金额或者最高限价的（如本项目公布了最高限价）；</w:t>
      </w:r>
    </w:p>
    <w:p w14:paraId="0992992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修正后的报价，供应商不确认的；或者经供应商确认修正后的响应报价（包含首次报价、最后报价）超过所竞标分标规定的采购预算金额或者最高限价（如本项目公布了最高限价）；或者经供应商确认修正后响应报价（包含首次报价、最后报价）超过磋商文件分项采购预算金额或者最高限价的（如本项目公布了最高限价）。</w:t>
      </w:r>
    </w:p>
    <w:p w14:paraId="3AF6763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6）响应文件响应的标的数量及单位与竞争性磋商采购文件要求实质性不一致的。</w:t>
      </w:r>
    </w:p>
    <w:p w14:paraId="4246D7E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3.6磋商小组对响应文件进行评审，未实质性响应磋商文件的响应文件按无效处理，磋商小组应当将资格和符合性不通过的情况告知有关供应商。磋商小组从符合磋商文件规定的相应资格条件的供应商名单中确定不少于3家的供应商参加磋商。</w:t>
      </w:r>
    </w:p>
    <w:p w14:paraId="5930070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3.7非政府购买服务项目，通过符合性审查的合格供应商不足3家的，不得进入磋商环节，采购人或者采购代理机构应当重新开展采购活动。政府购买服务项目，按《财政部关于政府采购竞争性磋商采购方式管理暂行办法有关问题的补充通知》（财库〔2015〕124号）规定，采购过程中通过符合性审查的供应商（社会资本）只有2家的，磋商采购活动可以继续进行。</w:t>
      </w:r>
    </w:p>
    <w:p w14:paraId="0716134A">
      <w:pPr>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4.磋商程序</w:t>
      </w:r>
    </w:p>
    <w:p w14:paraId="2E905765">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4.1磋商小组按照“供应商须知前附表”</w:t>
      </w:r>
      <w:r>
        <w:rPr>
          <w:rFonts w:hint="eastAsia" w:ascii="宋体" w:hAnsi="宋体" w:cs="宋体"/>
          <w:color w:val="auto"/>
          <w:szCs w:val="21"/>
          <w:highlight w:val="none"/>
        </w:rPr>
        <w:t xml:space="preserve"> </w:t>
      </w:r>
      <w:r>
        <w:rPr>
          <w:rFonts w:hint="eastAsia" w:ascii="宋体" w:hAnsi="宋体" w:cs="宋体"/>
          <w:color w:val="auto"/>
          <w:kern w:val="0"/>
          <w:szCs w:val="21"/>
          <w:highlight w:val="none"/>
        </w:rPr>
        <w:t>确定的</w:t>
      </w:r>
      <w:r>
        <w:rPr>
          <w:rFonts w:hint="eastAsia" w:ascii="宋体" w:hAnsi="宋体" w:cs="宋体"/>
          <w:color w:val="auto"/>
          <w:szCs w:val="21"/>
          <w:highlight w:val="none"/>
        </w:rPr>
        <w:t>顺序，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14:paraId="14BA777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4.2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29444BF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4.3对磋商文件作出的实质性变动是磋商文件的有效组成部分，由磋商小组及时以电子澄清函形式同时通知所有参加磋商的供应商。</w:t>
      </w:r>
    </w:p>
    <w:p w14:paraId="2F115F9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4.4供应商必须按照磋商文件的变动情况和磋商小组的要求以回函的形式重新提交响应文件，并加盖电子公章。供应商为自然人的，必须由本人签字并附身份证明。参加磋商的供应商未在规定时间内重新提交响应文件的，视同退出磋商。</w:t>
      </w:r>
    </w:p>
    <w:p w14:paraId="23F7CC1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4.5磋商中，</w:t>
      </w:r>
      <w:r>
        <w:rPr>
          <w:rFonts w:hint="eastAsia" w:ascii="宋体" w:hAnsi="宋体" w:cs="宋体"/>
          <w:color w:val="auto"/>
          <w:spacing w:val="-6"/>
          <w:szCs w:val="21"/>
          <w:highlight w:val="none"/>
        </w:rPr>
        <w:t>磋商的任何一方不得透露与磋商有关的其他供应商的技术资料、价格和其他信息。</w:t>
      </w:r>
    </w:p>
    <w:p w14:paraId="605159F5">
      <w:pPr>
        <w:widowControl/>
        <w:tabs>
          <w:tab w:val="left" w:pos="540"/>
        </w:tabs>
        <w:spacing w:line="360" w:lineRule="auto"/>
        <w:ind w:firstLine="420" w:firstLineChars="200"/>
        <w:jc w:val="left"/>
        <w:rPr>
          <w:rFonts w:ascii="宋体" w:hAnsi="宋体" w:cs="宋体"/>
          <w:b/>
          <w:color w:val="auto"/>
          <w:highlight w:val="none"/>
        </w:rPr>
      </w:pPr>
      <w:r>
        <w:rPr>
          <w:rFonts w:hint="eastAsia" w:ascii="宋体" w:hAnsi="宋体" w:cs="宋体"/>
          <w:color w:val="auto"/>
          <w:szCs w:val="21"/>
          <w:highlight w:val="none"/>
        </w:rPr>
        <w:t>4.6磋商小组应对磋商过程和重要磋商内容进行记录，作为评标报告一部分，磋商小组在记录上签字确认。</w:t>
      </w:r>
      <w:r>
        <w:rPr>
          <w:rFonts w:hint="eastAsia" w:ascii="宋体" w:hAnsi="宋体" w:cs="宋体"/>
          <w:b/>
          <w:color w:val="auto"/>
          <w:highlight w:val="none"/>
        </w:rPr>
        <w:t>主要内容包括：</w:t>
      </w:r>
    </w:p>
    <w:p w14:paraId="571FD32C">
      <w:pPr>
        <w:pStyle w:val="36"/>
        <w:spacing w:before="0"/>
        <w:ind w:firstLine="396"/>
        <w:rPr>
          <w:rFonts w:ascii="宋体" w:hAnsi="宋体" w:cs="宋体"/>
          <w:color w:val="auto"/>
          <w:spacing w:val="-6"/>
          <w:kern w:val="2"/>
          <w:sz w:val="21"/>
          <w:szCs w:val="21"/>
          <w:highlight w:val="none"/>
        </w:rPr>
      </w:pPr>
      <w:r>
        <w:rPr>
          <w:rFonts w:hint="eastAsia" w:ascii="宋体" w:hAnsi="宋体" w:cs="宋体"/>
          <w:color w:val="auto"/>
          <w:spacing w:val="-6"/>
          <w:kern w:val="2"/>
          <w:sz w:val="21"/>
          <w:szCs w:val="21"/>
          <w:highlight w:val="none"/>
        </w:rPr>
        <w:t>（1）按照相关规定进行公示的，公示情况说明；</w:t>
      </w:r>
    </w:p>
    <w:p w14:paraId="27A5C1AA">
      <w:pPr>
        <w:pStyle w:val="36"/>
        <w:spacing w:before="0"/>
        <w:ind w:firstLine="396"/>
        <w:rPr>
          <w:rFonts w:ascii="宋体" w:hAnsi="宋体" w:cs="宋体"/>
          <w:color w:val="auto"/>
          <w:spacing w:val="-6"/>
          <w:kern w:val="2"/>
          <w:sz w:val="21"/>
          <w:szCs w:val="21"/>
          <w:highlight w:val="none"/>
        </w:rPr>
      </w:pPr>
      <w:r>
        <w:rPr>
          <w:rFonts w:hint="eastAsia" w:ascii="宋体" w:hAnsi="宋体" w:cs="宋体"/>
          <w:color w:val="auto"/>
          <w:spacing w:val="-6"/>
          <w:kern w:val="2"/>
          <w:sz w:val="21"/>
          <w:szCs w:val="21"/>
          <w:highlight w:val="none"/>
        </w:rPr>
        <w:t>（2）磋商日期和地点，磋商人员名单；</w:t>
      </w:r>
    </w:p>
    <w:p w14:paraId="4C895A1A">
      <w:pPr>
        <w:pStyle w:val="36"/>
        <w:spacing w:before="0"/>
        <w:ind w:firstLine="396"/>
        <w:rPr>
          <w:rFonts w:ascii="宋体" w:hAnsi="宋体" w:cs="宋体"/>
          <w:color w:val="auto"/>
          <w:spacing w:val="-6"/>
          <w:kern w:val="2"/>
          <w:sz w:val="21"/>
          <w:szCs w:val="21"/>
          <w:highlight w:val="none"/>
        </w:rPr>
      </w:pPr>
      <w:r>
        <w:rPr>
          <w:rFonts w:hint="eastAsia" w:ascii="宋体" w:hAnsi="宋体" w:cs="宋体"/>
          <w:color w:val="auto"/>
          <w:spacing w:val="-6"/>
          <w:kern w:val="2"/>
          <w:sz w:val="21"/>
          <w:szCs w:val="21"/>
          <w:highlight w:val="none"/>
        </w:rPr>
        <w:t>（3）合同主要条款及价格商定情况。</w:t>
      </w:r>
    </w:p>
    <w:p w14:paraId="6DFC8779">
      <w:pPr>
        <w:widowControl/>
        <w:tabs>
          <w:tab w:val="left" w:pos="540"/>
        </w:tabs>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4.7磋商过程中重新提交的响应文件，供应商可以在开启前补充、修改。</w:t>
      </w:r>
    </w:p>
    <w:p w14:paraId="6AE354AC">
      <w:pPr>
        <w:tabs>
          <w:tab w:val="left" w:pos="2835"/>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4.8对磋商过程提交的响应文件进行有效性、完整性和响应程度审查，通过审查的合格供应商不足3家的，采购人或者采购代理机构应当重新开展采购活动。</w:t>
      </w:r>
    </w:p>
    <w:p w14:paraId="74759D13">
      <w:pPr>
        <w:ind w:firstLine="200"/>
        <w:rPr>
          <w:rFonts w:ascii="宋体" w:hAnsi="宋体" w:cs="宋体"/>
          <w:color w:val="auto"/>
          <w:szCs w:val="21"/>
          <w:highlight w:val="none"/>
        </w:rPr>
      </w:pPr>
      <w:r>
        <w:rPr>
          <w:rFonts w:hint="eastAsia" w:ascii="宋体" w:hAnsi="宋体" w:cs="宋体"/>
          <w:b/>
          <w:bCs/>
          <w:color w:val="auto"/>
          <w:sz w:val="24"/>
          <w:highlight w:val="none"/>
        </w:rPr>
        <w:t>5. 最后报价</w:t>
      </w:r>
    </w:p>
    <w:p w14:paraId="5B46B3F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5.1磋商文件能够详细列明采购标的的技术、服务要求的，磋商结束后，由磋商小组要求所有继续参加磋商的供应商在规定时间内密封提交最后报价，除本章第3.7、5.3条外，提交最后报价的供应商不得少于3家，否则必须重新采购。</w:t>
      </w:r>
    </w:p>
    <w:p w14:paraId="69E984E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5.2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密封提交最后报价。</w:t>
      </w:r>
    </w:p>
    <w:p w14:paraId="70D1154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5.3 最后报价是供应商响应文件的有效组成部分。符合《政府采购竞争性磋商采购方式管理暂行办法》（财库〔2014〕214号）第三条第四项“市场竞争不充分的科研项目，以及需要扶持的科技成果转化项目”的，提交最后报价的供应商可以为2家。</w:t>
      </w:r>
    </w:p>
    <w:p w14:paraId="55FCE55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5.4已经提交响应文件的供应商，在提交最后报价之前，可以根据磋商情况退出磋商，退出磋商的供应商的响应文件按无效响应处理。</w:t>
      </w:r>
    </w:p>
    <w:p w14:paraId="02FEE33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5.5供应商未在规定时间内提交最后报价的，视同退出磋商。</w:t>
      </w:r>
    </w:p>
    <w:p w14:paraId="3A202C8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5.6磋商小组收齐某一分标最后报价后统一开启，磋商小组对最后报价进行有效性、完整性和响应程度的审查。</w:t>
      </w:r>
    </w:p>
    <w:p w14:paraId="620F5EA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5.7最终响应文件的报价出现前后不一致的，按照本章第3.4条的规定修正。 </w:t>
      </w:r>
    </w:p>
    <w:p w14:paraId="41AC5E6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5.8修正后的最终报价出现下列情形的，按无效响应处理：</w:t>
      </w:r>
    </w:p>
    <w:p w14:paraId="3EE5598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（1）供应商不确认的（全流程电子化评标采取在线确认）；</w:t>
      </w:r>
    </w:p>
    <w:p w14:paraId="3859AB9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（2）经供应商确认修正后的响应报价（包含首次报价、最后报价）超过所竞标分标规定的采购预算金额或者最高限价的（如本项目公布了最高限价）；</w:t>
      </w:r>
    </w:p>
    <w:p w14:paraId="1426A44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（3）经供应商确认修正后的响应报价（包含首次报价、最后报价）超过分项采购预算金额或者最高限价的（如本项目公布了最高限价）。</w:t>
      </w:r>
    </w:p>
    <w:p w14:paraId="5BF1E13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5.9经供应商确认修正后的最后报价作为评审及签订合同的依据。</w:t>
      </w:r>
    </w:p>
    <w:p w14:paraId="426BBEE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5.10供应商出现最后报价按无效响应处理或者响应文件按无效处理时</w:t>
      </w:r>
      <w:r>
        <w:rPr>
          <w:rFonts w:hint="eastAsia" w:ascii="宋体" w:hAnsi="宋体" w:cs="宋体"/>
          <w:color w:val="auto"/>
          <w:sz w:val="22"/>
          <w:szCs w:val="22"/>
          <w:highlight w:val="none"/>
        </w:rPr>
        <w:t>，磋商小组应当告知有关供应商</w:t>
      </w:r>
      <w:r>
        <w:rPr>
          <w:rFonts w:hint="eastAsia" w:ascii="宋体" w:hAnsi="宋体" w:cs="宋体"/>
          <w:color w:val="auto"/>
          <w:szCs w:val="21"/>
          <w:highlight w:val="none"/>
        </w:rPr>
        <w:t>。</w:t>
      </w:r>
    </w:p>
    <w:p w14:paraId="7CEDB9F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5.11最后报价结束后，磋商小组不得再与供应商进行任何形式的商谈。</w:t>
      </w:r>
    </w:p>
    <w:p w14:paraId="1FE6D919">
      <w:pPr>
        <w:ind w:firstLine="200"/>
        <w:rPr>
          <w:rFonts w:ascii="宋体" w:hAnsi="宋体" w:cs="宋体"/>
          <w:b/>
          <w:bCs/>
          <w:color w:val="auto"/>
          <w:sz w:val="24"/>
          <w:highlight w:val="none"/>
        </w:rPr>
      </w:pPr>
      <w:r>
        <w:rPr>
          <w:rFonts w:hint="eastAsia" w:ascii="宋体" w:hAnsi="宋体" w:cs="宋体"/>
          <w:b/>
          <w:bCs/>
          <w:color w:val="auto"/>
          <w:sz w:val="24"/>
          <w:highlight w:val="none"/>
        </w:rPr>
        <w:t>6.比较与评价</w:t>
      </w:r>
    </w:p>
    <w:p w14:paraId="0DDB236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6.1评审方法：综合评分法。</w:t>
      </w:r>
    </w:p>
    <w:p w14:paraId="6457BA5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6.2经磋商确定最终采购需求和提交最后报价的供应商后，由磋商小组采用综合评分法对提交最后报价的供应商的响应文件和最后报价进行综合评分。</w:t>
      </w:r>
    </w:p>
    <w:p w14:paraId="3E37D21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6.3评审时，磋商小组各成员应当独立对每个有效响应的文件进行评价、打分，然后汇总每个供应商每项评分因素的得分。</w:t>
      </w:r>
    </w:p>
    <w:p w14:paraId="32DE42A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评审委员会成员要根据政府采购法律法规和采购文件所载明的评审方法、标准进行评审。对供应商的价格分等客观评分项的评分应当一致，对其他需要借助专业知识评判的主观评分项，应当严格按照评分细则公正评分。</w:t>
      </w:r>
    </w:p>
    <w:p w14:paraId="723DACC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（2）磋商小组按照磋商文件中规定的评审标准计算各供应商的报价得分。项目评审过程中，不得去掉最后报价中的最高报价和最低报价。</w:t>
      </w:r>
    </w:p>
    <w:p w14:paraId="30B7D20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（3）各供应商的得分为磋商小组所有成员的有效评分的算术平均数。</w:t>
      </w:r>
    </w:p>
    <w:p w14:paraId="290E8A8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6.4评审价为供应商的最后报价进行政策性扣除后的价格，评审价只是作为评审时使用。最终成交供应商的成交金额等于最后报价（如有修正，以确认修正后的最后报价为准）。</w:t>
      </w:r>
    </w:p>
    <w:p w14:paraId="2BBBDFF6">
      <w:pPr>
        <w:spacing w:line="360" w:lineRule="auto"/>
        <w:ind w:firstLine="420" w:firstLineChars="200"/>
        <w:rPr>
          <w:rFonts w:ascii="宋体" w:hAnsi="宋体" w:cs="宋体"/>
          <w:color w:val="auto"/>
          <w:kern w:val="0"/>
          <w:szCs w:val="21"/>
          <w:highlight w:val="none"/>
        </w:rPr>
      </w:pPr>
      <w:r>
        <w:rPr>
          <w:rFonts w:hint="eastAsia" w:ascii="宋体" w:hAnsi="宋体" w:cs="宋体"/>
          <w:color w:val="auto"/>
          <w:szCs w:val="21"/>
          <w:highlight w:val="none"/>
        </w:rPr>
        <w:t>6.5由磋商小组根据综合评分情况，按照评审得分由高到低顺序推荐3名以上成交候选供应商，并编写评</w:t>
      </w:r>
      <w:r>
        <w:rPr>
          <w:rFonts w:hint="eastAsia" w:ascii="宋体" w:hAnsi="宋体" w:cs="宋体"/>
          <w:color w:val="auto"/>
          <w:kern w:val="0"/>
          <w:szCs w:val="21"/>
          <w:highlight w:val="none"/>
        </w:rPr>
        <w:t>审报告。符合本章第4.3条情形的，可以推荐2家成交候选供应商。评审得分相同的，按照最后报价由低到高的顺序推荐。评审得分且最后报价相同的，按照技术指标优劣顺序推荐。</w:t>
      </w:r>
    </w:p>
    <w:p w14:paraId="05C63CC3">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6.6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66C1499D">
      <w:pPr>
        <w:spacing w:line="360" w:lineRule="auto"/>
        <w:ind w:firstLine="200"/>
        <w:rPr>
          <w:rFonts w:ascii="宋体" w:hAnsi="宋体" w:cs="宋体"/>
          <w:b/>
          <w:bCs/>
          <w:color w:val="auto"/>
          <w:sz w:val="24"/>
          <w:highlight w:val="none"/>
        </w:rPr>
      </w:pPr>
      <w:r>
        <w:rPr>
          <w:rFonts w:hint="eastAsia" w:ascii="宋体" w:hAnsi="宋体" w:cs="宋体"/>
          <w:b/>
          <w:bCs/>
          <w:color w:val="auto"/>
          <w:sz w:val="24"/>
          <w:highlight w:val="none"/>
        </w:rPr>
        <w:t>7.评审复核</w:t>
      </w:r>
    </w:p>
    <w:p w14:paraId="2ED164F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7.1评审报告签署前，评审委员会要对评审结果进行复核，复核意见要体现在评审报告中。</w:t>
      </w:r>
    </w:p>
    <w:p w14:paraId="08A923BC">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7.2评审结果汇总完成后，采购人、采购代理机构和评审委员会均不得修改评审结果或者要求重新评审，但资格性检查认定错误、分值汇总计算错误、分项评分超出评分标准范围、客观分评分不一致、经评审委员会一致认定评分畸高、畸低的情形除外。出现上述除外情形的，评审委员会应当现场修改评审结果，并在评审报告中明确记载。</w:t>
      </w:r>
    </w:p>
    <w:p w14:paraId="4BC8AC72">
      <w:pPr>
        <w:spacing w:line="360" w:lineRule="auto"/>
        <w:ind w:firstLine="200"/>
        <w:rPr>
          <w:rFonts w:ascii="宋体" w:hAnsi="宋体" w:cs="宋体"/>
          <w:b/>
          <w:bCs/>
          <w:color w:val="auto"/>
          <w:sz w:val="24"/>
          <w:highlight w:val="none"/>
        </w:rPr>
      </w:pPr>
      <w:r>
        <w:rPr>
          <w:rFonts w:hint="eastAsia" w:ascii="宋体" w:hAnsi="宋体" w:cs="宋体"/>
          <w:b/>
          <w:bCs/>
          <w:color w:val="auto"/>
          <w:sz w:val="24"/>
          <w:highlight w:val="none"/>
        </w:rPr>
        <w:t>8.评审标准</w:t>
      </w:r>
    </w:p>
    <w:p w14:paraId="200EE7A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8.1评审依据：磋商小组将以磋商响应文件为评审依据，对供应商的报价、技术、商务等方面内容按百分制打分。（计分方法按四舍五入取至百分位）</w:t>
      </w:r>
    </w:p>
    <w:p w14:paraId="115A88CB">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总得分=1+2+3</w:t>
      </w:r>
    </w:p>
    <w:tbl>
      <w:tblPr>
        <w:tblStyle w:val="26"/>
        <w:tblW w:w="96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1086"/>
        <w:gridCol w:w="7110"/>
        <w:gridCol w:w="772"/>
      </w:tblGrid>
      <w:tr w14:paraId="6DCDE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52" w:type="dxa"/>
            <w:vAlign w:val="center"/>
          </w:tcPr>
          <w:p w14:paraId="266F9EF4">
            <w:pPr>
              <w:keepNext w:val="0"/>
              <w:keepLines w:val="0"/>
              <w:pageBreakBefore w:val="0"/>
              <w:widowControl/>
              <w:kinsoku/>
              <w:wordWrap/>
              <w:overflowPunct/>
              <w:topLinePunct w:val="0"/>
              <w:autoSpaceDE/>
              <w:autoSpaceDN/>
              <w:bidi w:val="0"/>
              <w:spacing w:line="360" w:lineRule="exact"/>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序号</w:t>
            </w:r>
          </w:p>
        </w:tc>
        <w:tc>
          <w:tcPr>
            <w:tcW w:w="1086" w:type="dxa"/>
            <w:vAlign w:val="center"/>
          </w:tcPr>
          <w:p w14:paraId="5E77D29F">
            <w:pPr>
              <w:keepNext w:val="0"/>
              <w:keepLines w:val="0"/>
              <w:pageBreakBefore w:val="0"/>
              <w:widowControl/>
              <w:kinsoku/>
              <w:wordWrap/>
              <w:overflowPunct/>
              <w:topLinePunct w:val="0"/>
              <w:autoSpaceDE/>
              <w:autoSpaceDN/>
              <w:bidi w:val="0"/>
              <w:spacing w:line="360" w:lineRule="exact"/>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评</w:t>
            </w:r>
            <w:r>
              <w:rPr>
                <w:rFonts w:hint="eastAsia" w:ascii="宋体" w:hAnsi="宋体" w:eastAsia="宋体" w:cs="宋体"/>
                <w:b/>
                <w:bCs/>
                <w:color w:val="auto"/>
                <w:kern w:val="0"/>
                <w:sz w:val="21"/>
                <w:szCs w:val="21"/>
                <w:highlight w:val="none"/>
                <w:lang w:eastAsia="zh-CN"/>
              </w:rPr>
              <w:t>分</w:t>
            </w:r>
            <w:r>
              <w:rPr>
                <w:rFonts w:hint="eastAsia" w:ascii="宋体" w:hAnsi="宋体" w:eastAsia="宋体" w:cs="宋体"/>
                <w:b/>
                <w:bCs/>
                <w:color w:val="auto"/>
                <w:kern w:val="0"/>
                <w:sz w:val="21"/>
                <w:szCs w:val="21"/>
                <w:highlight w:val="none"/>
              </w:rPr>
              <w:t>因素</w:t>
            </w:r>
          </w:p>
        </w:tc>
        <w:tc>
          <w:tcPr>
            <w:tcW w:w="7110" w:type="dxa"/>
            <w:vAlign w:val="center"/>
          </w:tcPr>
          <w:p w14:paraId="66F7E2AB">
            <w:pPr>
              <w:keepNext w:val="0"/>
              <w:keepLines w:val="0"/>
              <w:pageBreakBefore w:val="0"/>
              <w:widowControl/>
              <w:kinsoku/>
              <w:wordWrap/>
              <w:overflowPunct/>
              <w:topLinePunct w:val="0"/>
              <w:autoSpaceDE/>
              <w:autoSpaceDN/>
              <w:bidi w:val="0"/>
              <w:spacing w:line="360" w:lineRule="exact"/>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评</w:t>
            </w:r>
            <w:r>
              <w:rPr>
                <w:rFonts w:hint="eastAsia" w:ascii="宋体" w:hAnsi="宋体" w:eastAsia="宋体" w:cs="宋体"/>
                <w:b/>
                <w:bCs/>
                <w:color w:val="auto"/>
                <w:kern w:val="0"/>
                <w:sz w:val="21"/>
                <w:szCs w:val="21"/>
                <w:highlight w:val="none"/>
                <w:lang w:eastAsia="zh-CN"/>
              </w:rPr>
              <w:t>分</w:t>
            </w:r>
            <w:r>
              <w:rPr>
                <w:rFonts w:hint="eastAsia" w:ascii="宋体" w:hAnsi="宋体" w:eastAsia="宋体" w:cs="宋体"/>
                <w:b/>
                <w:bCs/>
                <w:color w:val="auto"/>
                <w:kern w:val="0"/>
                <w:sz w:val="21"/>
                <w:szCs w:val="21"/>
                <w:highlight w:val="none"/>
              </w:rPr>
              <w:t>因素</w:t>
            </w:r>
          </w:p>
        </w:tc>
        <w:tc>
          <w:tcPr>
            <w:tcW w:w="772" w:type="dxa"/>
            <w:vAlign w:val="center"/>
          </w:tcPr>
          <w:p w14:paraId="5639A989">
            <w:pPr>
              <w:keepNext w:val="0"/>
              <w:keepLines w:val="0"/>
              <w:pageBreakBefore w:val="0"/>
              <w:widowControl/>
              <w:kinsoku/>
              <w:wordWrap/>
              <w:overflowPunct/>
              <w:topLinePunct w:val="0"/>
              <w:autoSpaceDE/>
              <w:autoSpaceDN/>
              <w:bidi w:val="0"/>
              <w:spacing w:line="360" w:lineRule="exact"/>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分值</w:t>
            </w:r>
          </w:p>
        </w:tc>
      </w:tr>
      <w:tr w14:paraId="26A7E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652" w:type="dxa"/>
            <w:vAlign w:val="center"/>
          </w:tcPr>
          <w:p w14:paraId="251CA156">
            <w:pPr>
              <w:keepNext w:val="0"/>
              <w:keepLines w:val="0"/>
              <w:pageBreakBefore w:val="0"/>
              <w:widowControl/>
              <w:kinsoku/>
              <w:wordWrap/>
              <w:overflowPunct/>
              <w:topLinePunct w:val="0"/>
              <w:autoSpaceDE/>
              <w:autoSpaceDN/>
              <w:bidi w:val="0"/>
              <w:spacing w:line="36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086" w:type="dxa"/>
            <w:vAlign w:val="center"/>
          </w:tcPr>
          <w:p w14:paraId="74E3D053">
            <w:pPr>
              <w:keepNext w:val="0"/>
              <w:keepLines w:val="0"/>
              <w:pageBreakBefore w:val="0"/>
              <w:widowControl/>
              <w:kinsoku/>
              <w:wordWrap/>
              <w:overflowPunct/>
              <w:topLinePunct w:val="0"/>
              <w:autoSpaceDE/>
              <w:autoSpaceDN/>
              <w:bidi w:val="0"/>
              <w:spacing w:line="36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价格分（服务项目的价格分值占总分值的比重</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即权值</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为10%至30%。政务信息系统采购服务的，价格分值占总分值比重应当为10%）</w:t>
            </w:r>
          </w:p>
        </w:tc>
        <w:tc>
          <w:tcPr>
            <w:tcW w:w="7110" w:type="dxa"/>
            <w:vAlign w:val="top"/>
          </w:tcPr>
          <w:p w14:paraId="438ABC54">
            <w:pPr>
              <w:snapToGrid w:val="0"/>
              <w:spacing w:line="360" w:lineRule="exact"/>
              <w:ind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（1）本项目为专门面向</w:t>
            </w:r>
            <w:r>
              <w:rPr>
                <w:rFonts w:hint="eastAsia" w:ascii="宋体" w:hAnsi="宋体" w:cs="宋体"/>
                <w:bCs/>
                <w:color w:val="auto"/>
                <w:sz w:val="21"/>
                <w:szCs w:val="21"/>
                <w:highlight w:val="none"/>
                <w:lang w:val="en-US" w:eastAsia="zh-CN"/>
              </w:rPr>
              <w:t>中小</w:t>
            </w:r>
            <w:r>
              <w:rPr>
                <w:rFonts w:hint="eastAsia" w:ascii="宋体" w:hAnsi="宋体" w:eastAsia="宋体" w:cs="宋体"/>
                <w:bCs/>
                <w:color w:val="auto"/>
                <w:sz w:val="21"/>
                <w:szCs w:val="21"/>
                <w:highlight w:val="none"/>
              </w:rPr>
              <w:t>企业采购项目，不执行价格扣除优惠政策，评审报价＝最后报价；</w:t>
            </w:r>
          </w:p>
          <w:p w14:paraId="40471CA3">
            <w:pPr>
              <w:snapToGrid w:val="0"/>
              <w:spacing w:line="360" w:lineRule="exact"/>
              <w:ind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竞标服务/产品提供企业按《关于政府采购支持监狱企业发展有关问题的通知》（财库[2014]68号）认定为监狱企业的，在政府采购活动中，监狱企业视同小型、微型企业，享受预留份额。监狱企业参加政府采购活动时，应当提供由省级以上监狱管理局、戒毒管理局（含新疆生产建设兵团）出具的属于监狱企业的证明文件；</w:t>
            </w:r>
          </w:p>
          <w:p w14:paraId="0F866234">
            <w:pPr>
              <w:snapToGrid w:val="0"/>
              <w:spacing w:line="360" w:lineRule="exact"/>
              <w:ind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竞标服务/产品提供企业按《关于促进残疾人就业政府采购政策的通知》（财库〔2017〕141号）认定为残疾人福利性单位的，在政府采购活动中，残疾人福利性单位视同小型、微型企业，享受预留份额。残疾人福利性单位参加政府采购活动时，应当提供该《残疾人福利性单位声明函》为证明文件（格式见第五章“响应文件格式”）。</w:t>
            </w:r>
          </w:p>
          <w:p w14:paraId="302FD9EF">
            <w:pPr>
              <w:pStyle w:val="15"/>
              <w:spacing w:line="360" w:lineRule="exact"/>
              <w:ind w:firstLine="420" w:firstLineChars="200"/>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（4）以进入比较与评价环节的评审报价</w:t>
            </w:r>
            <w:r>
              <w:rPr>
                <w:rFonts w:hint="eastAsia" w:ascii="宋体" w:hAnsi="宋体" w:eastAsia="宋体" w:cs="宋体"/>
                <w:bCs/>
                <w:color w:val="auto"/>
                <w:kern w:val="2"/>
                <w:sz w:val="21"/>
                <w:szCs w:val="21"/>
                <w:highlight w:val="none"/>
                <w:lang w:val="en-US" w:eastAsia="zh-CN"/>
              </w:rPr>
              <w:t>最低的</w:t>
            </w:r>
            <w:r>
              <w:rPr>
                <w:rFonts w:hint="eastAsia" w:ascii="宋体" w:hAnsi="宋体" w:eastAsia="宋体" w:cs="宋体"/>
                <w:bCs/>
                <w:color w:val="auto"/>
                <w:kern w:val="2"/>
                <w:sz w:val="21"/>
                <w:szCs w:val="21"/>
                <w:highlight w:val="none"/>
              </w:rPr>
              <w:t>为基准价，基准价得分为</w:t>
            </w:r>
            <w:r>
              <w:rPr>
                <w:rFonts w:hint="eastAsia" w:ascii="宋体" w:hAnsi="宋体" w:eastAsia="宋体" w:cs="宋体"/>
                <w:bCs/>
                <w:color w:val="auto"/>
                <w:kern w:val="2"/>
                <w:sz w:val="21"/>
                <w:szCs w:val="21"/>
                <w:highlight w:val="none"/>
                <w:u w:val="single"/>
              </w:rPr>
              <w:t xml:space="preserve"> </w:t>
            </w:r>
            <w:r>
              <w:rPr>
                <w:rFonts w:hint="eastAsia" w:ascii="宋体" w:hAnsi="宋体" w:eastAsia="宋体" w:cs="宋体"/>
                <w:bCs/>
                <w:color w:val="auto"/>
                <w:kern w:val="2"/>
                <w:sz w:val="21"/>
                <w:szCs w:val="21"/>
                <w:highlight w:val="none"/>
                <w:u w:val="single"/>
                <w:lang w:val="en-US" w:eastAsia="zh-CN"/>
              </w:rPr>
              <w:t>10</w:t>
            </w:r>
            <w:r>
              <w:rPr>
                <w:rFonts w:hint="eastAsia" w:ascii="宋体" w:hAnsi="宋体" w:eastAsia="宋体" w:cs="宋体"/>
                <w:bCs/>
                <w:color w:val="auto"/>
                <w:kern w:val="2"/>
                <w:sz w:val="21"/>
                <w:szCs w:val="21"/>
                <w:highlight w:val="none"/>
                <w:u w:val="single"/>
              </w:rPr>
              <w:t xml:space="preserve"> </w:t>
            </w:r>
            <w:r>
              <w:rPr>
                <w:rFonts w:hint="eastAsia" w:ascii="宋体" w:hAnsi="宋体" w:eastAsia="宋体" w:cs="宋体"/>
                <w:bCs/>
                <w:color w:val="auto"/>
                <w:kern w:val="2"/>
                <w:sz w:val="21"/>
                <w:szCs w:val="21"/>
                <w:highlight w:val="none"/>
              </w:rPr>
              <w:t>分。</w:t>
            </w:r>
          </w:p>
          <w:p w14:paraId="4228D171">
            <w:pPr>
              <w:pStyle w:val="15"/>
              <w:spacing w:line="360" w:lineRule="exact"/>
              <w:ind w:firstLine="420" w:firstLineChars="200"/>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（5）价格分计算公式：</w:t>
            </w:r>
          </w:p>
          <w:p w14:paraId="7E98C4EC">
            <w:pPr>
              <w:pStyle w:val="15"/>
              <w:keepNext w:val="0"/>
              <w:keepLines w:val="0"/>
              <w:pageBreakBefore w:val="0"/>
              <w:kinsoku/>
              <w:wordWrap/>
              <w:overflowPunct/>
              <w:topLinePunct w:val="0"/>
              <w:autoSpaceDE/>
              <w:autoSpaceDN/>
              <w:bidi w:val="0"/>
              <w:spacing w:line="360" w:lineRule="exact"/>
              <w:ind w:firstLine="630" w:firstLineChars="300"/>
              <w:rPr>
                <w:rFonts w:hint="eastAsia"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rPr>
              <w:t>报价得分=基准价/</w:t>
            </w:r>
            <w:r>
              <w:rPr>
                <w:rFonts w:hint="eastAsia" w:ascii="宋体" w:hAnsi="宋体" w:eastAsia="宋体" w:cs="宋体"/>
                <w:bCs/>
                <w:color w:val="auto"/>
                <w:kern w:val="2"/>
                <w:sz w:val="21"/>
                <w:szCs w:val="21"/>
                <w:highlight w:val="none"/>
                <w:lang w:val="en-US" w:eastAsia="zh-CN"/>
              </w:rPr>
              <w:t>评审报价</w:t>
            </w:r>
            <w:r>
              <w:rPr>
                <w:rFonts w:hint="eastAsia" w:ascii="宋体" w:hAnsi="宋体" w:eastAsia="宋体" w:cs="宋体"/>
                <w:bCs/>
                <w:color w:val="auto"/>
                <w:kern w:val="2"/>
                <w:sz w:val="21"/>
                <w:szCs w:val="21"/>
                <w:highlight w:val="none"/>
              </w:rPr>
              <w:t>×</w:t>
            </w:r>
            <w:r>
              <w:rPr>
                <w:rFonts w:hint="eastAsia" w:ascii="宋体" w:hAnsi="宋体" w:eastAsia="宋体" w:cs="宋体"/>
                <w:bCs/>
                <w:color w:val="auto"/>
                <w:kern w:val="2"/>
                <w:sz w:val="21"/>
                <w:szCs w:val="21"/>
                <w:highlight w:val="none"/>
                <w:u w:val="single"/>
              </w:rPr>
              <w:t xml:space="preserve"> </w:t>
            </w:r>
            <w:r>
              <w:rPr>
                <w:rFonts w:hint="eastAsia" w:ascii="宋体" w:hAnsi="宋体" w:eastAsia="宋体" w:cs="宋体"/>
                <w:bCs/>
                <w:color w:val="auto"/>
                <w:kern w:val="2"/>
                <w:sz w:val="21"/>
                <w:szCs w:val="21"/>
                <w:highlight w:val="none"/>
                <w:u w:val="single"/>
                <w:lang w:val="en-US" w:eastAsia="zh-CN"/>
              </w:rPr>
              <w:t>1</w:t>
            </w:r>
            <w:r>
              <w:rPr>
                <w:rFonts w:hint="eastAsia" w:ascii="宋体" w:hAnsi="宋体" w:eastAsia="宋体" w:cs="宋体"/>
                <w:bCs/>
                <w:color w:val="auto"/>
                <w:kern w:val="2"/>
                <w:sz w:val="21"/>
                <w:szCs w:val="21"/>
                <w:highlight w:val="none"/>
                <w:u w:val="single"/>
              </w:rPr>
              <w:t xml:space="preserve">0 </w:t>
            </w:r>
            <w:r>
              <w:rPr>
                <w:rFonts w:hint="eastAsia" w:ascii="宋体" w:hAnsi="宋体" w:eastAsia="宋体" w:cs="宋体"/>
                <w:bCs/>
                <w:color w:val="auto"/>
                <w:kern w:val="2"/>
                <w:sz w:val="21"/>
                <w:szCs w:val="21"/>
                <w:highlight w:val="none"/>
              </w:rPr>
              <w:t>分</w:t>
            </w:r>
          </w:p>
        </w:tc>
        <w:tc>
          <w:tcPr>
            <w:tcW w:w="772" w:type="dxa"/>
            <w:vAlign w:val="center"/>
          </w:tcPr>
          <w:p w14:paraId="78634D84">
            <w:pPr>
              <w:keepNext w:val="0"/>
              <w:keepLines w:val="0"/>
              <w:pageBreakBefore w:val="0"/>
              <w:widowControl/>
              <w:kinsoku/>
              <w:wordWrap/>
              <w:overflowPunct/>
              <w:topLinePunct w:val="0"/>
              <w:autoSpaceDE/>
              <w:autoSpaceDN/>
              <w:bidi w:val="0"/>
              <w:spacing w:line="36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10</w:t>
            </w:r>
            <w:r>
              <w:rPr>
                <w:rFonts w:hint="eastAsia" w:ascii="宋体" w:hAnsi="宋体" w:eastAsia="宋体" w:cs="宋体"/>
                <w:color w:val="auto"/>
                <w:kern w:val="0"/>
                <w:sz w:val="21"/>
                <w:szCs w:val="21"/>
                <w:highlight w:val="none"/>
              </w:rPr>
              <w:t>分</w:t>
            </w:r>
          </w:p>
        </w:tc>
      </w:tr>
      <w:tr w14:paraId="34A05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652" w:type="dxa"/>
            <w:vAlign w:val="center"/>
          </w:tcPr>
          <w:p w14:paraId="00AB465A">
            <w:pPr>
              <w:widowControl/>
              <w:spacing w:line="320" w:lineRule="exact"/>
              <w:jc w:val="center"/>
              <w:rPr>
                <w:rFonts w:hint="eastAsia" w:ascii="宋体" w:hAnsi="宋体" w:eastAsia="宋体" w:cs="宋体"/>
                <w:b/>
                <w:bCs w:val="0"/>
                <w:color w:val="auto"/>
                <w:kern w:val="0"/>
                <w:sz w:val="21"/>
                <w:szCs w:val="21"/>
                <w:highlight w:val="none"/>
              </w:rPr>
            </w:pPr>
            <w:r>
              <w:rPr>
                <w:rFonts w:hint="eastAsia" w:ascii="宋体" w:hAnsi="宋体" w:eastAsia="宋体" w:cs="宋体"/>
                <w:b/>
                <w:bCs w:val="0"/>
                <w:color w:val="auto"/>
                <w:kern w:val="0"/>
                <w:sz w:val="21"/>
                <w:szCs w:val="21"/>
                <w:highlight w:val="none"/>
              </w:rPr>
              <w:t>2</w:t>
            </w:r>
          </w:p>
        </w:tc>
        <w:tc>
          <w:tcPr>
            <w:tcW w:w="1086" w:type="dxa"/>
            <w:vAlign w:val="center"/>
          </w:tcPr>
          <w:p w14:paraId="2A8AF582">
            <w:pPr>
              <w:widowControl/>
              <w:spacing w:line="320" w:lineRule="exact"/>
              <w:jc w:val="center"/>
              <w:rPr>
                <w:rFonts w:hint="eastAsia" w:ascii="宋体" w:hAnsi="宋体" w:eastAsia="宋体" w:cs="宋体"/>
                <w:b/>
                <w:bCs w:val="0"/>
                <w:color w:val="auto"/>
                <w:kern w:val="0"/>
                <w:sz w:val="21"/>
                <w:szCs w:val="21"/>
                <w:highlight w:val="none"/>
              </w:rPr>
            </w:pPr>
            <w:r>
              <w:rPr>
                <w:rFonts w:hint="eastAsia" w:ascii="宋体" w:hAnsi="宋体" w:eastAsia="宋体" w:cs="宋体"/>
                <w:b/>
                <w:bCs w:val="0"/>
                <w:color w:val="auto"/>
                <w:kern w:val="0"/>
                <w:sz w:val="21"/>
                <w:szCs w:val="21"/>
                <w:highlight w:val="none"/>
              </w:rPr>
              <w:t>技术分</w:t>
            </w:r>
          </w:p>
        </w:tc>
        <w:tc>
          <w:tcPr>
            <w:tcW w:w="7110" w:type="dxa"/>
            <w:vAlign w:val="center"/>
          </w:tcPr>
          <w:p w14:paraId="54640803">
            <w:pPr>
              <w:widowControl/>
              <w:spacing w:line="320" w:lineRule="exact"/>
              <w:jc w:val="center"/>
              <w:rPr>
                <w:rFonts w:hint="eastAsia" w:ascii="宋体" w:hAnsi="宋体" w:eastAsia="宋体" w:cs="宋体"/>
                <w:b/>
                <w:bCs w:val="0"/>
                <w:color w:val="auto"/>
                <w:kern w:val="0"/>
                <w:sz w:val="21"/>
                <w:szCs w:val="21"/>
                <w:highlight w:val="none"/>
              </w:rPr>
            </w:pPr>
            <w:r>
              <w:rPr>
                <w:rFonts w:hint="eastAsia" w:ascii="宋体" w:hAnsi="宋体" w:eastAsia="宋体" w:cs="宋体"/>
                <w:b/>
                <w:bCs w:val="0"/>
                <w:color w:val="auto"/>
                <w:kern w:val="0"/>
                <w:sz w:val="21"/>
                <w:szCs w:val="21"/>
                <w:highlight w:val="none"/>
              </w:rPr>
              <w:t>评审因素</w:t>
            </w:r>
          </w:p>
        </w:tc>
        <w:tc>
          <w:tcPr>
            <w:tcW w:w="772" w:type="dxa"/>
            <w:vAlign w:val="center"/>
          </w:tcPr>
          <w:p w14:paraId="2022CA07">
            <w:pPr>
              <w:widowControl/>
              <w:spacing w:line="320" w:lineRule="exact"/>
              <w:jc w:val="center"/>
              <w:rPr>
                <w:rFonts w:hint="eastAsia" w:ascii="宋体" w:hAnsi="宋体" w:eastAsia="宋体" w:cs="宋体"/>
                <w:b/>
                <w:bCs w:val="0"/>
                <w:color w:val="auto"/>
                <w:kern w:val="0"/>
                <w:sz w:val="21"/>
                <w:szCs w:val="21"/>
                <w:highlight w:val="none"/>
                <w:lang w:val="en-US" w:eastAsia="zh-CN"/>
              </w:rPr>
            </w:pPr>
            <w:r>
              <w:rPr>
                <w:rFonts w:hint="eastAsia" w:ascii="宋体" w:hAnsi="宋体" w:eastAsia="宋体" w:cs="宋体"/>
                <w:b/>
                <w:bCs w:val="0"/>
                <w:color w:val="auto"/>
                <w:kern w:val="0"/>
                <w:sz w:val="21"/>
                <w:szCs w:val="21"/>
                <w:highlight w:val="none"/>
                <w:lang w:val="en-US" w:eastAsia="zh-CN"/>
              </w:rPr>
              <w:t>70</w:t>
            </w:r>
            <w:r>
              <w:rPr>
                <w:rFonts w:hint="eastAsia" w:ascii="宋体" w:hAnsi="宋体" w:eastAsia="宋体" w:cs="宋体"/>
                <w:b/>
                <w:bCs w:val="0"/>
                <w:color w:val="auto"/>
                <w:kern w:val="0"/>
                <w:sz w:val="21"/>
                <w:szCs w:val="21"/>
                <w:highlight w:val="none"/>
              </w:rPr>
              <w:t>分</w:t>
            </w:r>
          </w:p>
        </w:tc>
      </w:tr>
      <w:tr w14:paraId="7F77D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652" w:type="dxa"/>
            <w:vAlign w:val="center"/>
          </w:tcPr>
          <w:p w14:paraId="253EC4F6">
            <w:pPr>
              <w:adjustRightInd w:val="0"/>
              <w:spacing w:line="360" w:lineRule="exact"/>
              <w:ind w:left="-105" w:leftChars="-50" w:right="-105" w:rightChars="-50"/>
              <w:jc w:val="center"/>
              <w:textAlignment w:val="baseline"/>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rPr>
              <w:t>2.1</w:t>
            </w:r>
          </w:p>
        </w:tc>
        <w:tc>
          <w:tcPr>
            <w:tcW w:w="1086" w:type="dxa"/>
            <w:vAlign w:val="center"/>
          </w:tcPr>
          <w:p w14:paraId="0DDBFD58">
            <w:pPr>
              <w:adjustRightInd w:val="0"/>
              <w:spacing w:line="360" w:lineRule="exact"/>
              <w:jc w:val="center"/>
              <w:textAlignment w:val="baseline"/>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rPr>
              <w:t>主要施工方法</w:t>
            </w:r>
          </w:p>
        </w:tc>
        <w:tc>
          <w:tcPr>
            <w:tcW w:w="7110" w:type="dxa"/>
            <w:vAlign w:val="center"/>
          </w:tcPr>
          <w:p w14:paraId="6CD43E56">
            <w:pPr>
              <w:spacing w:line="400" w:lineRule="exact"/>
              <w:ind w:firstLine="420"/>
              <w:rPr>
                <w:rFonts w:hint="eastAsia" w:ascii="宋体" w:hAnsi="宋体" w:eastAsia="宋体" w:cs="宋体"/>
                <w:bCs/>
                <w:color w:val="auto"/>
                <w:kern w:val="0"/>
                <w:sz w:val="21"/>
                <w:szCs w:val="21"/>
                <w:highlight w:val="none"/>
                <w:lang w:val="zh-CN" w:eastAsia="zh-CN"/>
              </w:rPr>
            </w:pPr>
            <w:r>
              <w:rPr>
                <w:rFonts w:hint="eastAsia" w:ascii="宋体" w:hAnsi="宋体" w:eastAsia="宋体" w:cs="宋体"/>
                <w:bCs/>
                <w:color w:val="auto"/>
                <w:kern w:val="0"/>
                <w:sz w:val="21"/>
                <w:szCs w:val="21"/>
                <w:highlight w:val="none"/>
                <w:lang w:val="en-US" w:eastAsia="zh-CN"/>
              </w:rPr>
              <w:t>一档（1分）：各主要分部施工方法不符合项目实际，有施工技术方案，工艺落后，不能指导具体施工并确保安全</w:t>
            </w:r>
            <w:r>
              <w:rPr>
                <w:rFonts w:hint="eastAsia" w:ascii="宋体" w:hAnsi="宋体" w:eastAsia="宋体" w:cs="宋体"/>
                <w:bCs/>
                <w:color w:val="auto"/>
                <w:kern w:val="0"/>
                <w:sz w:val="21"/>
                <w:szCs w:val="21"/>
                <w:highlight w:val="none"/>
                <w:lang w:val="zh-CN" w:eastAsia="zh-CN"/>
              </w:rPr>
              <w:t>。</w:t>
            </w:r>
          </w:p>
          <w:p w14:paraId="14B53D48">
            <w:pPr>
              <w:spacing w:line="400" w:lineRule="exact"/>
              <w:ind w:firstLine="420"/>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二档（4分）：各主要分部施工方法符合项目实际，有施工技术方案，工艺落后、方法粗略，能指导施工并确保安全。</w:t>
            </w:r>
          </w:p>
          <w:p w14:paraId="3289CDBE">
            <w:pPr>
              <w:spacing w:line="400" w:lineRule="exact"/>
              <w:ind w:firstLine="420"/>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三档（7分）：各主要分部施工方法符合项目实际，有完整的施工技术方案，但是缺乏针对本项目实际情况的表述，工艺操作规范成熟、方法科学完整，能指导具体施工并确保安全。</w:t>
            </w:r>
          </w:p>
          <w:p w14:paraId="363B8A40">
            <w:pPr>
              <w:spacing w:line="400" w:lineRule="exact"/>
              <w:ind w:firstLine="420"/>
              <w:rPr>
                <w:rFonts w:hint="eastAsia" w:ascii="宋体" w:hAnsi="宋体" w:eastAsia="宋体" w:cs="宋体"/>
                <w:bCs/>
                <w:color w:val="auto"/>
                <w:kern w:val="0"/>
                <w:sz w:val="21"/>
                <w:szCs w:val="21"/>
                <w:highlight w:val="none"/>
                <w:lang w:val="en-US" w:eastAsia="zh-CN"/>
              </w:rPr>
            </w:pPr>
            <w:r>
              <w:rPr>
                <w:rFonts w:hint="eastAsia" w:ascii="宋体" w:hAnsi="宋体" w:cs="宋体"/>
                <w:bCs/>
                <w:color w:val="auto"/>
                <w:kern w:val="0"/>
                <w:sz w:val="21"/>
                <w:szCs w:val="21"/>
                <w:highlight w:val="none"/>
                <w:lang w:val="en-US" w:eastAsia="zh-CN"/>
              </w:rPr>
              <w:t>四</w:t>
            </w:r>
            <w:r>
              <w:rPr>
                <w:rFonts w:hint="eastAsia" w:ascii="宋体" w:hAnsi="宋体" w:eastAsia="宋体" w:cs="宋体"/>
                <w:bCs/>
                <w:color w:val="auto"/>
                <w:kern w:val="0"/>
                <w:sz w:val="21"/>
                <w:szCs w:val="21"/>
                <w:highlight w:val="none"/>
                <w:lang w:val="en-US" w:eastAsia="zh-CN"/>
              </w:rPr>
              <w:t>档（10分）：各主要分部施工方法符合项目实际，有详尽的施工技术方案，方案能够针对本项目实际情况进行表述，有明显的针对性，拟采用的工艺先进、方法科学详细完整且适用于本项目，表述清晰能非常好的指导具体施工并确保安全。</w:t>
            </w:r>
          </w:p>
          <w:p w14:paraId="7532E3D8">
            <w:pPr>
              <w:spacing w:line="400" w:lineRule="exact"/>
              <w:ind w:firstLine="420" w:firstLineChars="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kern w:val="0"/>
                <w:sz w:val="21"/>
                <w:szCs w:val="21"/>
                <w:highlight w:val="none"/>
                <w:lang w:val="en-US" w:eastAsia="zh-CN"/>
              </w:rPr>
              <w:t>注：不提供的不予以计分。</w:t>
            </w:r>
          </w:p>
        </w:tc>
        <w:tc>
          <w:tcPr>
            <w:tcW w:w="772" w:type="dxa"/>
            <w:vAlign w:val="center"/>
          </w:tcPr>
          <w:p w14:paraId="26A4E23F">
            <w:pPr>
              <w:spacing w:line="360" w:lineRule="exact"/>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bCs/>
                <w:color w:val="auto"/>
                <w:sz w:val="21"/>
                <w:szCs w:val="21"/>
                <w:highlight w:val="none"/>
                <w:lang w:val="en-US" w:eastAsia="zh-CN"/>
              </w:rPr>
              <w:t>10</w:t>
            </w:r>
            <w:r>
              <w:rPr>
                <w:rFonts w:hint="eastAsia" w:ascii="宋体" w:hAnsi="宋体" w:eastAsia="宋体" w:cs="宋体"/>
                <w:bCs/>
                <w:color w:val="auto"/>
                <w:sz w:val="21"/>
                <w:szCs w:val="21"/>
                <w:highlight w:val="none"/>
              </w:rPr>
              <w:t>分</w:t>
            </w:r>
          </w:p>
        </w:tc>
      </w:tr>
      <w:tr w14:paraId="5C18D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2" w:type="dxa"/>
            <w:vAlign w:val="center"/>
          </w:tcPr>
          <w:p w14:paraId="5038743B">
            <w:pPr>
              <w:adjustRightInd w:val="0"/>
              <w:spacing w:line="360" w:lineRule="exact"/>
              <w:ind w:left="-105" w:leftChars="-50" w:right="-105" w:rightChars="-50"/>
              <w:jc w:val="center"/>
              <w:textAlignment w:val="baseline"/>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rPr>
              <w:t>2.2</w:t>
            </w:r>
          </w:p>
        </w:tc>
        <w:tc>
          <w:tcPr>
            <w:tcW w:w="1086" w:type="dxa"/>
            <w:vAlign w:val="center"/>
          </w:tcPr>
          <w:p w14:paraId="48976EAA">
            <w:pPr>
              <w:adjustRightInd w:val="0"/>
              <w:spacing w:line="320" w:lineRule="exact"/>
              <w:jc w:val="center"/>
              <w:textAlignment w:val="baseline"/>
              <w:rPr>
                <w:rFonts w:hint="eastAsia" w:ascii="宋体" w:hAnsi="宋体" w:eastAsia="宋体" w:cs="宋体"/>
                <w:bCs/>
                <w:color w:val="auto"/>
                <w:kern w:val="0"/>
                <w:sz w:val="21"/>
                <w:szCs w:val="21"/>
                <w:highlight w:val="none"/>
                <w:lang w:eastAsia="zh-CN"/>
              </w:rPr>
            </w:pPr>
            <w:r>
              <w:rPr>
                <w:rFonts w:hint="eastAsia" w:ascii="宋体" w:hAnsi="宋体" w:eastAsia="宋体" w:cs="宋体"/>
                <w:bCs/>
                <w:color w:val="auto"/>
                <w:kern w:val="0"/>
                <w:sz w:val="21"/>
                <w:szCs w:val="21"/>
                <w:highlight w:val="none"/>
              </w:rPr>
              <w:t>拟投入的主要物资计划</w:t>
            </w:r>
          </w:p>
        </w:tc>
        <w:tc>
          <w:tcPr>
            <w:tcW w:w="7110" w:type="dxa"/>
            <w:vAlign w:val="center"/>
          </w:tcPr>
          <w:p w14:paraId="69E3987E">
            <w:pPr>
              <w:spacing w:line="400" w:lineRule="exact"/>
              <w:ind w:firstLine="420" w:firstLineChars="200"/>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rPr>
              <w:t>一档（1分）：投入的施工材料无组织计划，数量、选型配置、进场时间安排不切实际，不满足施工需要</w:t>
            </w:r>
            <w:r>
              <w:rPr>
                <w:rFonts w:hint="eastAsia" w:ascii="宋体" w:hAnsi="宋体" w:eastAsia="宋体" w:cs="宋体"/>
                <w:bCs/>
                <w:color w:val="auto"/>
                <w:kern w:val="0"/>
                <w:sz w:val="21"/>
                <w:szCs w:val="21"/>
                <w:highlight w:val="none"/>
              </w:rPr>
              <w:t>。</w:t>
            </w:r>
          </w:p>
          <w:p w14:paraId="739FBBDE">
            <w:pPr>
              <w:spacing w:line="400" w:lineRule="exact"/>
              <w:ind w:firstLine="420"/>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二档（4分）：投入的施工材料有组织计划但计划粗略，数量、选型配置计划内容有缺项、进场时间安排与进度计划有偏差，基本满足施工需要。</w:t>
            </w:r>
          </w:p>
          <w:p w14:paraId="6E36C2EF">
            <w:pPr>
              <w:spacing w:line="400" w:lineRule="exact"/>
              <w:ind w:firstLine="420"/>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三档（7分）：投入的施工材料有详细的组织计划但计划不够贴合施工实际要求，数量、选型配置、进场时间安排与进度计划有偏差，但基本满足现场需要，满足施工需要。</w:t>
            </w:r>
          </w:p>
          <w:p w14:paraId="5C4D27AC">
            <w:pPr>
              <w:spacing w:line="400" w:lineRule="exact"/>
              <w:ind w:firstLine="420"/>
              <w:rPr>
                <w:rFonts w:hint="eastAsia" w:ascii="宋体" w:hAnsi="宋体" w:eastAsia="宋体" w:cs="宋体"/>
                <w:bCs/>
                <w:color w:val="auto"/>
                <w:kern w:val="0"/>
                <w:sz w:val="21"/>
                <w:szCs w:val="21"/>
                <w:highlight w:val="none"/>
                <w:lang w:val="en-US" w:eastAsia="zh-CN"/>
              </w:rPr>
            </w:pPr>
            <w:r>
              <w:rPr>
                <w:rFonts w:hint="eastAsia" w:ascii="宋体" w:hAnsi="宋体" w:cs="宋体"/>
                <w:bCs/>
                <w:color w:val="auto"/>
                <w:kern w:val="0"/>
                <w:sz w:val="21"/>
                <w:szCs w:val="21"/>
                <w:highlight w:val="none"/>
                <w:lang w:val="en-US" w:eastAsia="zh-CN"/>
              </w:rPr>
              <w:t>四</w:t>
            </w:r>
            <w:r>
              <w:rPr>
                <w:rFonts w:hint="eastAsia" w:ascii="宋体" w:hAnsi="宋体" w:eastAsia="宋体" w:cs="宋体"/>
                <w:bCs/>
                <w:color w:val="auto"/>
                <w:kern w:val="0"/>
                <w:sz w:val="21"/>
                <w:szCs w:val="21"/>
                <w:highlight w:val="none"/>
                <w:lang w:val="en-US" w:eastAsia="zh-CN"/>
              </w:rPr>
              <w:t>档（10分）：投入的施工材料有详细的组织计划且计划周密贴合施工实际要求，数量、选型配置计划内容详尽、进场时间安排贴合现场需要与进度计划呼应，满足施工需要。</w:t>
            </w:r>
          </w:p>
          <w:p w14:paraId="6833ACB5">
            <w:pPr>
              <w:spacing w:line="400" w:lineRule="exact"/>
              <w:ind w:firstLine="420" w:firstLineChars="0"/>
              <w:rPr>
                <w:rFonts w:hint="eastAsia" w:ascii="宋体" w:hAnsi="宋体" w:eastAsia="宋体" w:cs="宋体"/>
                <w:bCs/>
                <w:color w:val="auto"/>
                <w:kern w:val="0"/>
                <w:sz w:val="21"/>
                <w:szCs w:val="21"/>
                <w:highlight w:val="none"/>
                <w:lang w:eastAsia="zh-CN"/>
              </w:rPr>
            </w:pPr>
            <w:r>
              <w:rPr>
                <w:rFonts w:hint="eastAsia" w:ascii="宋体" w:hAnsi="宋体" w:eastAsia="宋体" w:cs="宋体"/>
                <w:bCs/>
                <w:color w:val="auto"/>
                <w:kern w:val="0"/>
                <w:sz w:val="21"/>
                <w:szCs w:val="21"/>
                <w:highlight w:val="none"/>
                <w:lang w:val="en-US" w:eastAsia="zh-CN"/>
              </w:rPr>
              <w:t>注：不提供的不予以计分。</w:t>
            </w:r>
          </w:p>
        </w:tc>
        <w:tc>
          <w:tcPr>
            <w:tcW w:w="772" w:type="dxa"/>
            <w:vAlign w:val="center"/>
          </w:tcPr>
          <w:p w14:paraId="6F296BC1">
            <w:pPr>
              <w:spacing w:line="360" w:lineRule="exact"/>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bCs/>
                <w:color w:val="auto"/>
                <w:kern w:val="0"/>
                <w:sz w:val="21"/>
                <w:szCs w:val="21"/>
                <w:highlight w:val="none"/>
              </w:rPr>
              <w:t>1</w:t>
            </w:r>
            <w:r>
              <w:rPr>
                <w:rFonts w:hint="eastAsia" w:ascii="宋体" w:hAnsi="宋体" w:eastAsia="宋体" w:cs="宋体"/>
                <w:bCs/>
                <w:color w:val="auto"/>
                <w:kern w:val="0"/>
                <w:sz w:val="21"/>
                <w:szCs w:val="21"/>
                <w:highlight w:val="none"/>
                <w:lang w:val="en-US" w:eastAsia="zh-CN"/>
              </w:rPr>
              <w:t>0</w:t>
            </w:r>
            <w:r>
              <w:rPr>
                <w:rFonts w:hint="eastAsia" w:ascii="宋体" w:hAnsi="宋体" w:eastAsia="宋体" w:cs="宋体"/>
                <w:bCs/>
                <w:color w:val="auto"/>
                <w:kern w:val="0"/>
                <w:sz w:val="21"/>
                <w:szCs w:val="21"/>
                <w:highlight w:val="none"/>
              </w:rPr>
              <w:t>分</w:t>
            </w:r>
          </w:p>
        </w:tc>
      </w:tr>
      <w:tr w14:paraId="2CAED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652" w:type="dxa"/>
            <w:vAlign w:val="center"/>
          </w:tcPr>
          <w:p w14:paraId="5929F47A">
            <w:pPr>
              <w:adjustRightInd w:val="0"/>
              <w:spacing w:line="320" w:lineRule="exact"/>
              <w:ind w:left="-105" w:leftChars="-50" w:right="-105" w:rightChars="-50"/>
              <w:jc w:val="center"/>
              <w:textAlignment w:val="baseline"/>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rPr>
              <w:t>2.3</w:t>
            </w:r>
          </w:p>
        </w:tc>
        <w:tc>
          <w:tcPr>
            <w:tcW w:w="1086" w:type="dxa"/>
            <w:vAlign w:val="center"/>
          </w:tcPr>
          <w:p w14:paraId="3CD2DDC7">
            <w:pPr>
              <w:adjustRightInd w:val="0"/>
              <w:spacing w:line="400" w:lineRule="exact"/>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bCs/>
                <w:color w:val="auto"/>
                <w:kern w:val="0"/>
                <w:sz w:val="21"/>
                <w:szCs w:val="21"/>
                <w:highlight w:val="none"/>
                <w:lang w:val="en-US" w:eastAsia="zh-CN" w:bidi="ar-SA"/>
              </w:rPr>
              <w:t>拟投入的主要施工机械、设备计划</w:t>
            </w:r>
          </w:p>
        </w:tc>
        <w:tc>
          <w:tcPr>
            <w:tcW w:w="7110" w:type="dxa"/>
            <w:vAlign w:val="center"/>
          </w:tcPr>
          <w:p w14:paraId="78D327FE">
            <w:pPr>
              <w:pStyle w:val="15"/>
              <w:spacing w:line="400" w:lineRule="exact"/>
              <w:ind w:firstLine="420" w:firstLineChars="20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一档（1分）：投入的施工机械、设备、机具无组织计划，设备数量、选型配置计划内容有重大缺项、进场时间安排不切实际，不满足施工需要。</w:t>
            </w:r>
          </w:p>
          <w:p w14:paraId="7F134734">
            <w:pPr>
              <w:pStyle w:val="15"/>
              <w:spacing w:line="400" w:lineRule="exact"/>
              <w:ind w:firstLine="420" w:firstLineChars="20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二档（4分）：投入的施工机械、设备、机具有组织计划但计划粗略，设备数量、选型配置计划内容有缺项、进场时间安排与进度计划有偏差，基本满足施工需要。</w:t>
            </w:r>
          </w:p>
          <w:p w14:paraId="7B6C2830">
            <w:pPr>
              <w:pStyle w:val="15"/>
              <w:spacing w:line="400" w:lineRule="exact"/>
              <w:ind w:firstLine="420" w:firstLineChars="20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三档（7分）：投入的施工机械、设备、机具有详细的组织计划但计划不够贴合施工实际要求，设备数量、选型配置计划内容有缺项、进场时间安排与进度计划有偏差，但基本满足现场需要，满足施工需要。</w:t>
            </w:r>
          </w:p>
          <w:p w14:paraId="2082F8FF">
            <w:pPr>
              <w:pStyle w:val="15"/>
              <w:spacing w:line="400" w:lineRule="exact"/>
              <w:ind w:firstLine="420" w:firstLineChars="200"/>
              <w:rPr>
                <w:rFonts w:hint="eastAsia" w:ascii="宋体" w:hAnsi="宋体" w:eastAsia="宋体" w:cs="宋体"/>
                <w:bCs/>
                <w:color w:val="auto"/>
                <w:sz w:val="21"/>
                <w:szCs w:val="21"/>
                <w:highlight w:val="none"/>
                <w:lang w:val="en-US" w:eastAsia="zh-CN"/>
              </w:rPr>
            </w:pPr>
            <w:r>
              <w:rPr>
                <w:rFonts w:hint="eastAsia" w:hAnsi="宋体" w:cs="宋体"/>
                <w:bCs/>
                <w:color w:val="auto"/>
                <w:sz w:val="21"/>
                <w:szCs w:val="21"/>
                <w:highlight w:val="none"/>
                <w:lang w:val="en-US" w:eastAsia="zh-CN"/>
              </w:rPr>
              <w:t>四</w:t>
            </w:r>
            <w:r>
              <w:rPr>
                <w:rFonts w:hint="eastAsia" w:ascii="宋体" w:hAnsi="宋体" w:eastAsia="宋体" w:cs="宋体"/>
                <w:bCs/>
                <w:color w:val="auto"/>
                <w:sz w:val="21"/>
                <w:szCs w:val="21"/>
                <w:highlight w:val="none"/>
                <w:lang w:val="en-US" w:eastAsia="zh-CN"/>
              </w:rPr>
              <w:t xml:space="preserve">档（10分）：投入的施工机械、设备、机具有详细的组织计划且计划周密，设备数量、选型配置计划内容详尽、进场时间安排贴合现场需要进度计划呼应，满足施工需要。 </w:t>
            </w:r>
          </w:p>
          <w:p w14:paraId="27054D36">
            <w:pPr>
              <w:pStyle w:val="15"/>
              <w:spacing w:line="400" w:lineRule="exact"/>
              <w:ind w:firstLine="420" w:firstLineChars="20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kern w:val="0"/>
                <w:sz w:val="21"/>
                <w:szCs w:val="21"/>
                <w:highlight w:val="none"/>
                <w:lang w:val="en-US" w:eastAsia="zh-CN"/>
              </w:rPr>
              <w:t>注：不提供的不予以计分。</w:t>
            </w:r>
          </w:p>
        </w:tc>
        <w:tc>
          <w:tcPr>
            <w:tcW w:w="772" w:type="dxa"/>
            <w:vAlign w:val="center"/>
          </w:tcPr>
          <w:p w14:paraId="108F5C4D">
            <w:pPr>
              <w:spacing w:line="320" w:lineRule="exact"/>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10分</w:t>
            </w:r>
          </w:p>
        </w:tc>
      </w:tr>
      <w:tr w14:paraId="54B9F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2" w:type="dxa"/>
            <w:vAlign w:val="center"/>
          </w:tcPr>
          <w:p w14:paraId="13ACB043">
            <w:pPr>
              <w:adjustRightInd w:val="0"/>
              <w:spacing w:line="320" w:lineRule="exact"/>
              <w:ind w:left="-105" w:leftChars="-50" w:right="-105" w:rightChars="-50"/>
              <w:jc w:val="center"/>
              <w:textAlignment w:val="baseline"/>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2.4</w:t>
            </w:r>
          </w:p>
        </w:tc>
        <w:tc>
          <w:tcPr>
            <w:tcW w:w="1086" w:type="dxa"/>
            <w:vAlign w:val="center"/>
          </w:tcPr>
          <w:p w14:paraId="2901BF38">
            <w:pPr>
              <w:adjustRightInd w:val="0"/>
              <w:spacing w:line="400" w:lineRule="exact"/>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bCs/>
                <w:color w:val="auto"/>
                <w:kern w:val="0"/>
                <w:sz w:val="21"/>
                <w:szCs w:val="21"/>
                <w:highlight w:val="none"/>
              </w:rPr>
              <w:t>劳动力安排计划</w:t>
            </w:r>
          </w:p>
        </w:tc>
        <w:tc>
          <w:tcPr>
            <w:tcW w:w="7110" w:type="dxa"/>
            <w:vAlign w:val="center"/>
          </w:tcPr>
          <w:p w14:paraId="12DF8C64">
            <w:pPr>
              <w:pStyle w:val="15"/>
              <w:spacing w:line="400" w:lineRule="exact"/>
              <w:ind w:firstLine="420" w:firstLineChars="20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一档（1分）：各主要施工工序无劳动力安排计划，劳动力投入不足，不满足施工需要。</w:t>
            </w:r>
          </w:p>
          <w:p w14:paraId="4C46CAC0">
            <w:pPr>
              <w:pStyle w:val="15"/>
              <w:spacing w:line="400" w:lineRule="exact"/>
              <w:ind w:firstLine="420" w:firstLineChars="20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二档（4分）：各主要施工工序只有劳动力安排计划，无各工种劳动力安排计划，劳动力投入与进度计划有偏差，基本满足施工需要。</w:t>
            </w:r>
          </w:p>
          <w:p w14:paraId="3E72C9BA">
            <w:pPr>
              <w:pStyle w:val="15"/>
              <w:spacing w:line="400" w:lineRule="exact"/>
              <w:ind w:firstLine="420" w:firstLineChars="20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三档（7分）：各主要施工工序有劳动力安排计划，有各工种劳动力安排计划，劳动力投入满足现场需要与进度计划呼应，满足施工需要。</w:t>
            </w:r>
          </w:p>
          <w:p w14:paraId="65250CB8">
            <w:pPr>
              <w:pStyle w:val="15"/>
              <w:spacing w:line="400" w:lineRule="exact"/>
              <w:ind w:firstLine="420" w:firstLineChars="200"/>
              <w:rPr>
                <w:rFonts w:hint="eastAsia" w:ascii="宋体" w:hAnsi="宋体" w:eastAsia="宋体" w:cs="宋体"/>
                <w:bCs/>
                <w:color w:val="auto"/>
                <w:sz w:val="21"/>
                <w:szCs w:val="21"/>
                <w:highlight w:val="none"/>
                <w:lang w:val="en-US" w:eastAsia="zh-CN"/>
              </w:rPr>
            </w:pPr>
            <w:r>
              <w:rPr>
                <w:rFonts w:hint="eastAsia" w:hAnsi="宋体" w:cs="宋体"/>
                <w:bCs/>
                <w:color w:val="auto"/>
                <w:sz w:val="21"/>
                <w:szCs w:val="21"/>
                <w:highlight w:val="none"/>
                <w:lang w:val="en-US" w:eastAsia="zh-CN"/>
              </w:rPr>
              <w:t>四</w:t>
            </w:r>
            <w:r>
              <w:rPr>
                <w:rFonts w:hint="eastAsia" w:ascii="宋体" w:hAnsi="宋体" w:eastAsia="宋体" w:cs="宋体"/>
                <w:bCs/>
                <w:color w:val="auto"/>
                <w:sz w:val="21"/>
                <w:szCs w:val="21"/>
                <w:highlight w:val="none"/>
                <w:lang w:val="en-US" w:eastAsia="zh-CN"/>
              </w:rPr>
              <w:t>档（10分）：各主要施工工序有详细周密的劳动力安排计划，有各工种劳动力安排计划，劳动力投入贴合现场需要与进度计划呼应，较满足施工需要。</w:t>
            </w:r>
          </w:p>
          <w:p w14:paraId="5DCE9A71">
            <w:pPr>
              <w:pStyle w:val="15"/>
              <w:spacing w:line="40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bCs/>
                <w:color w:val="auto"/>
                <w:kern w:val="0"/>
                <w:sz w:val="21"/>
                <w:szCs w:val="21"/>
                <w:highlight w:val="none"/>
                <w:lang w:val="en-US" w:eastAsia="zh-CN"/>
              </w:rPr>
              <w:t>注：不提供的不予以计分。</w:t>
            </w:r>
          </w:p>
        </w:tc>
        <w:tc>
          <w:tcPr>
            <w:tcW w:w="772" w:type="dxa"/>
            <w:vAlign w:val="center"/>
          </w:tcPr>
          <w:p w14:paraId="6E722E09">
            <w:pPr>
              <w:spacing w:line="320" w:lineRule="exact"/>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10分</w:t>
            </w:r>
          </w:p>
        </w:tc>
      </w:tr>
      <w:tr w14:paraId="20A03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2" w:type="dxa"/>
            <w:vAlign w:val="center"/>
          </w:tcPr>
          <w:p w14:paraId="363528BA">
            <w:pPr>
              <w:adjustRightInd w:val="0"/>
              <w:spacing w:line="320" w:lineRule="exact"/>
              <w:ind w:left="-105" w:leftChars="-50" w:right="-105" w:rightChars="-50"/>
              <w:jc w:val="center"/>
              <w:textAlignment w:val="baseline"/>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2.5</w:t>
            </w:r>
          </w:p>
        </w:tc>
        <w:tc>
          <w:tcPr>
            <w:tcW w:w="1086" w:type="dxa"/>
            <w:vAlign w:val="center"/>
          </w:tcPr>
          <w:p w14:paraId="146CB34D">
            <w:pPr>
              <w:adjustRightInd w:val="0"/>
              <w:spacing w:line="400" w:lineRule="exact"/>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bCs/>
                <w:color w:val="auto"/>
                <w:kern w:val="0"/>
                <w:sz w:val="21"/>
                <w:szCs w:val="21"/>
                <w:highlight w:val="none"/>
              </w:rPr>
              <w:t>确保工程质量的技术组织措施</w:t>
            </w:r>
          </w:p>
        </w:tc>
        <w:tc>
          <w:tcPr>
            <w:tcW w:w="7110" w:type="dxa"/>
            <w:vAlign w:val="center"/>
          </w:tcPr>
          <w:p w14:paraId="34446543">
            <w:pPr>
              <w:pStyle w:val="15"/>
              <w:spacing w:line="400" w:lineRule="exact"/>
              <w:ind w:firstLine="420" w:firstLineChars="20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一档（1分）：有质量技术管理班子和制度。主要工序无质量技术保证措施和手段，自控体系有重大缺漏，不能有效保证技术质量。</w:t>
            </w:r>
          </w:p>
          <w:p w14:paraId="0466BB21">
            <w:pPr>
              <w:pStyle w:val="15"/>
              <w:spacing w:line="400" w:lineRule="exact"/>
              <w:ind w:firstLine="420" w:firstLineChars="20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二档（2分）：有质量技术管理班子和制度。主要工序有质量技术保证措施和手段，自控体系有缺漏，基本能保证技术质量，达到承诺的质量标准。</w:t>
            </w:r>
          </w:p>
          <w:p w14:paraId="4A17D1EF">
            <w:pPr>
              <w:pStyle w:val="15"/>
              <w:spacing w:line="400" w:lineRule="exact"/>
              <w:ind w:firstLine="420" w:firstLineChars="20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三档（3分）：有质量技术管理班子和制度，且人员配备满足施工需要，制度健全。主要工序有质量技术保证措施和手段，自控体系完整，能有效保证技术质量，达到承诺的质量标准。</w:t>
            </w:r>
          </w:p>
          <w:p w14:paraId="39CD9290">
            <w:pPr>
              <w:pStyle w:val="15"/>
              <w:spacing w:line="400" w:lineRule="exact"/>
              <w:ind w:firstLine="420" w:firstLineChars="200"/>
              <w:rPr>
                <w:rFonts w:hint="eastAsia" w:ascii="宋体" w:hAnsi="宋体" w:eastAsia="宋体" w:cs="宋体"/>
                <w:bCs/>
                <w:color w:val="auto"/>
                <w:sz w:val="21"/>
                <w:szCs w:val="21"/>
                <w:highlight w:val="none"/>
                <w:lang w:val="en-US" w:eastAsia="zh-CN"/>
              </w:rPr>
            </w:pPr>
            <w:r>
              <w:rPr>
                <w:rFonts w:hint="eastAsia" w:hAnsi="宋体" w:cs="宋体"/>
                <w:bCs/>
                <w:color w:val="auto"/>
                <w:sz w:val="21"/>
                <w:szCs w:val="21"/>
                <w:highlight w:val="none"/>
                <w:lang w:val="en-US" w:eastAsia="zh-CN"/>
              </w:rPr>
              <w:t>四</w:t>
            </w:r>
            <w:r>
              <w:rPr>
                <w:rFonts w:hint="eastAsia" w:ascii="宋体" w:hAnsi="宋体" w:eastAsia="宋体" w:cs="宋体"/>
                <w:bCs/>
                <w:color w:val="auto"/>
                <w:sz w:val="21"/>
                <w:szCs w:val="21"/>
                <w:highlight w:val="none"/>
                <w:lang w:val="en-US" w:eastAsia="zh-CN"/>
              </w:rPr>
              <w:t>档（5分）：有专门的质量技术管理班子和制度，且人员配备完善符合施工需要，制度健全。主要工序有质量技术保证措施和手段，自控体系完整，能有效保证技术质量，达到承诺的质量标准。</w:t>
            </w:r>
          </w:p>
          <w:p w14:paraId="71CD4A1D">
            <w:pPr>
              <w:pStyle w:val="15"/>
              <w:spacing w:line="40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bCs/>
                <w:color w:val="auto"/>
                <w:kern w:val="0"/>
                <w:sz w:val="21"/>
                <w:szCs w:val="21"/>
                <w:highlight w:val="none"/>
                <w:lang w:val="en-US" w:eastAsia="zh-CN"/>
              </w:rPr>
              <w:t>注：不提供的不予以计分。</w:t>
            </w:r>
          </w:p>
        </w:tc>
        <w:tc>
          <w:tcPr>
            <w:tcW w:w="772" w:type="dxa"/>
            <w:vAlign w:val="center"/>
          </w:tcPr>
          <w:p w14:paraId="1EF5189A">
            <w:pPr>
              <w:spacing w:line="32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rPr>
              <w:t>5分</w:t>
            </w:r>
          </w:p>
        </w:tc>
      </w:tr>
      <w:tr w14:paraId="3C452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2" w:type="dxa"/>
            <w:vAlign w:val="center"/>
          </w:tcPr>
          <w:p w14:paraId="4CCE1D5F">
            <w:pPr>
              <w:adjustRightInd w:val="0"/>
              <w:spacing w:line="320" w:lineRule="exact"/>
              <w:ind w:left="-105" w:leftChars="-50" w:right="-105" w:rightChars="-50"/>
              <w:jc w:val="center"/>
              <w:textAlignment w:val="baseline"/>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2.6</w:t>
            </w:r>
          </w:p>
        </w:tc>
        <w:tc>
          <w:tcPr>
            <w:tcW w:w="1086" w:type="dxa"/>
            <w:vAlign w:val="center"/>
          </w:tcPr>
          <w:p w14:paraId="17B206F2">
            <w:pPr>
              <w:adjustRightInd w:val="0"/>
              <w:spacing w:line="400" w:lineRule="exact"/>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bCs/>
                <w:color w:val="auto"/>
                <w:kern w:val="0"/>
                <w:sz w:val="21"/>
                <w:szCs w:val="21"/>
                <w:highlight w:val="none"/>
              </w:rPr>
              <w:t>确保安全生产的技术组织措施</w:t>
            </w:r>
          </w:p>
        </w:tc>
        <w:tc>
          <w:tcPr>
            <w:tcW w:w="7110" w:type="dxa"/>
            <w:vAlign w:val="center"/>
          </w:tcPr>
          <w:p w14:paraId="16300EE4">
            <w:pPr>
              <w:pStyle w:val="15"/>
              <w:spacing w:line="40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一</w:t>
            </w:r>
            <w:r>
              <w:rPr>
                <w:rFonts w:hint="eastAsia" w:ascii="宋体" w:hAnsi="宋体" w:eastAsia="宋体" w:cs="宋体"/>
                <w:bCs/>
                <w:color w:val="auto"/>
                <w:sz w:val="21"/>
                <w:szCs w:val="21"/>
                <w:highlight w:val="none"/>
              </w:rPr>
              <w:t>档（1分）</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有安全管理人员和制度，各道工序安全技术措施无针对性，满足有关安全技术标准要求。现场防火、应急救援、社会治安安全措施差。</w:t>
            </w:r>
          </w:p>
          <w:p w14:paraId="05C74A30">
            <w:pPr>
              <w:pStyle w:val="15"/>
              <w:spacing w:line="40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二</w:t>
            </w:r>
            <w:r>
              <w:rPr>
                <w:rFonts w:hint="eastAsia" w:ascii="宋体" w:hAnsi="宋体" w:eastAsia="宋体" w:cs="宋体"/>
                <w:bCs/>
                <w:color w:val="auto"/>
                <w:sz w:val="21"/>
                <w:szCs w:val="21"/>
                <w:highlight w:val="none"/>
              </w:rPr>
              <w:t>档（2分）</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有安全管理人员和制度，各道工序安全技术措施针对性差，满足有关安全技术标准要求。现场防火、应急救援、社会治安安全措施差。</w:t>
            </w:r>
          </w:p>
          <w:p w14:paraId="054E2E99">
            <w:pPr>
              <w:pStyle w:val="15"/>
              <w:spacing w:line="40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三</w:t>
            </w:r>
            <w:r>
              <w:rPr>
                <w:rFonts w:hint="eastAsia" w:ascii="宋体" w:hAnsi="宋体" w:eastAsia="宋体" w:cs="宋体"/>
                <w:bCs/>
                <w:color w:val="auto"/>
                <w:sz w:val="21"/>
                <w:szCs w:val="21"/>
                <w:highlight w:val="none"/>
              </w:rPr>
              <w:t>档（3分）</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有安全管理人员和制度，且人员配备满足施工需要，制度健全，各道工序安全技术措施针对性强，符合实际且满足有关安全技术标准要求。现场防火、应急救援、社会治安安全措施得力。</w:t>
            </w:r>
          </w:p>
          <w:p w14:paraId="48242724">
            <w:pPr>
              <w:pStyle w:val="15"/>
              <w:spacing w:line="400" w:lineRule="exact"/>
              <w:ind w:firstLine="420" w:firstLineChars="200"/>
              <w:rPr>
                <w:rFonts w:hint="eastAsia" w:ascii="宋体" w:hAnsi="宋体" w:eastAsia="宋体" w:cs="宋体"/>
                <w:bCs/>
                <w:color w:val="auto"/>
                <w:sz w:val="21"/>
                <w:szCs w:val="21"/>
                <w:highlight w:val="none"/>
              </w:rPr>
            </w:pPr>
            <w:r>
              <w:rPr>
                <w:rFonts w:hint="eastAsia" w:hAnsi="宋体" w:cs="宋体"/>
                <w:bCs/>
                <w:color w:val="auto"/>
                <w:sz w:val="21"/>
                <w:szCs w:val="21"/>
                <w:highlight w:val="none"/>
                <w:lang w:val="en-US" w:eastAsia="zh-CN"/>
              </w:rPr>
              <w:t>四</w:t>
            </w:r>
            <w:r>
              <w:rPr>
                <w:rFonts w:hint="eastAsia" w:ascii="宋体" w:hAnsi="宋体" w:eastAsia="宋体" w:cs="宋体"/>
                <w:bCs/>
                <w:color w:val="auto"/>
                <w:sz w:val="21"/>
                <w:szCs w:val="21"/>
                <w:highlight w:val="none"/>
              </w:rPr>
              <w:t>档（5分）</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有专门的安全管理人员和制度，且人员配备完善符合施工需要，制度健全，各道工序安全技术措施针对性强，符合实际且满足有关安全技术标准要求。现场防火、应急救援、社会治安安全措施得力。</w:t>
            </w:r>
          </w:p>
          <w:p w14:paraId="42B31476">
            <w:pPr>
              <w:pStyle w:val="15"/>
              <w:spacing w:line="40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bCs/>
                <w:color w:val="auto"/>
                <w:kern w:val="0"/>
                <w:sz w:val="21"/>
                <w:szCs w:val="21"/>
                <w:highlight w:val="none"/>
                <w:lang w:val="en-US" w:eastAsia="zh-CN"/>
              </w:rPr>
              <w:t>注：不提供的不予以计分。</w:t>
            </w:r>
          </w:p>
        </w:tc>
        <w:tc>
          <w:tcPr>
            <w:tcW w:w="772" w:type="dxa"/>
            <w:vAlign w:val="center"/>
          </w:tcPr>
          <w:p w14:paraId="5E25D960">
            <w:pPr>
              <w:spacing w:line="32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rPr>
              <w:t>5分</w:t>
            </w:r>
          </w:p>
        </w:tc>
      </w:tr>
      <w:tr w14:paraId="39DF4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2" w:type="dxa"/>
            <w:vAlign w:val="center"/>
          </w:tcPr>
          <w:p w14:paraId="69C5C2B9">
            <w:pPr>
              <w:adjustRightInd w:val="0"/>
              <w:spacing w:line="320" w:lineRule="exact"/>
              <w:ind w:left="-105" w:leftChars="-50" w:right="-105" w:rightChars="-50"/>
              <w:jc w:val="center"/>
              <w:textAlignment w:val="baseline"/>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2.7</w:t>
            </w:r>
          </w:p>
        </w:tc>
        <w:tc>
          <w:tcPr>
            <w:tcW w:w="1086" w:type="dxa"/>
            <w:vAlign w:val="center"/>
          </w:tcPr>
          <w:p w14:paraId="2F129788">
            <w:pPr>
              <w:adjustRightInd w:val="0"/>
              <w:spacing w:line="400" w:lineRule="exact"/>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bCs/>
                <w:color w:val="auto"/>
                <w:kern w:val="0"/>
                <w:sz w:val="21"/>
                <w:szCs w:val="21"/>
                <w:highlight w:val="none"/>
              </w:rPr>
              <w:t>确保工期的技术组织措施</w:t>
            </w:r>
          </w:p>
        </w:tc>
        <w:tc>
          <w:tcPr>
            <w:tcW w:w="7110" w:type="dxa"/>
            <w:vAlign w:val="center"/>
          </w:tcPr>
          <w:p w14:paraId="3CA3D5D8">
            <w:pPr>
              <w:pStyle w:val="15"/>
              <w:spacing w:line="40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一</w:t>
            </w:r>
            <w:r>
              <w:rPr>
                <w:rFonts w:hint="eastAsia" w:ascii="宋体" w:hAnsi="宋体" w:eastAsia="宋体" w:cs="宋体"/>
                <w:bCs/>
                <w:color w:val="auto"/>
                <w:sz w:val="21"/>
                <w:szCs w:val="21"/>
                <w:highlight w:val="none"/>
              </w:rPr>
              <w:t>档（1分）</w:t>
            </w:r>
            <w:r>
              <w:rPr>
                <w:rFonts w:hint="eastAsia" w:ascii="宋体" w:hAnsi="宋体" w:eastAsia="宋体" w:cs="宋体"/>
                <w:bCs/>
                <w:color w:val="auto"/>
                <w:sz w:val="21"/>
                <w:szCs w:val="21"/>
                <w:highlight w:val="none"/>
                <w:lang w:val="en-US" w:eastAsia="zh-CN"/>
              </w:rPr>
              <w:t>:</w:t>
            </w:r>
            <w:r>
              <w:rPr>
                <w:rFonts w:hint="eastAsia" w:ascii="宋体" w:hAnsi="宋体" w:eastAsia="宋体" w:cs="宋体"/>
                <w:bCs/>
                <w:color w:val="auto"/>
                <w:sz w:val="21"/>
                <w:szCs w:val="21"/>
                <w:highlight w:val="none"/>
              </w:rPr>
              <w:t>施工工艺、施工方法、材料选用、劳动力安排、技术等方面有措施。有控制工期的施工进度计划。有施工总进度表或施工网络图，各项计划图表编制差，不符合本项目施工实际要求。</w:t>
            </w:r>
          </w:p>
          <w:p w14:paraId="1A4FF2E2">
            <w:pPr>
              <w:pStyle w:val="15"/>
              <w:spacing w:line="40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二</w:t>
            </w:r>
            <w:r>
              <w:rPr>
                <w:rFonts w:hint="eastAsia" w:ascii="宋体" w:hAnsi="宋体" w:eastAsia="宋体" w:cs="宋体"/>
                <w:bCs/>
                <w:color w:val="auto"/>
                <w:sz w:val="21"/>
                <w:szCs w:val="21"/>
                <w:highlight w:val="none"/>
              </w:rPr>
              <w:t>档（2分）</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施工工艺、施工方法、材料选用、劳动力安排、技术等方面有措施。有控制工期的施工进度计划。有施工总进度表或施工网络图，各项计划图表编制粗略，基本符合本项目施工实际要求。</w:t>
            </w:r>
          </w:p>
          <w:p w14:paraId="6679BE4D">
            <w:pPr>
              <w:pStyle w:val="15"/>
              <w:spacing w:line="40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三</w:t>
            </w:r>
            <w:r>
              <w:rPr>
                <w:rFonts w:hint="eastAsia" w:ascii="宋体" w:hAnsi="宋体" w:eastAsia="宋体" w:cs="宋体"/>
                <w:bCs/>
                <w:color w:val="auto"/>
                <w:sz w:val="21"/>
                <w:szCs w:val="21"/>
                <w:highlight w:val="none"/>
              </w:rPr>
              <w:t>档（3分）</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施工工艺、施工方法、材料选用、劳动力安排、技术等方面有保证工期的具体措施。有控制工期的施工进度计划。有施工总进度表或施工网络图，各项计划图表编制完善，符合本项目施工实际要求。</w:t>
            </w:r>
          </w:p>
          <w:p w14:paraId="4F96B03A">
            <w:pPr>
              <w:pStyle w:val="15"/>
              <w:spacing w:line="400" w:lineRule="exact"/>
              <w:ind w:firstLine="420" w:firstLineChars="200"/>
              <w:rPr>
                <w:rFonts w:hint="eastAsia" w:ascii="宋体" w:hAnsi="宋体" w:eastAsia="宋体" w:cs="宋体"/>
                <w:bCs/>
                <w:color w:val="auto"/>
                <w:sz w:val="21"/>
                <w:szCs w:val="21"/>
                <w:highlight w:val="none"/>
              </w:rPr>
            </w:pPr>
            <w:r>
              <w:rPr>
                <w:rFonts w:hint="eastAsia" w:hAnsi="宋体" w:cs="宋体"/>
                <w:bCs/>
                <w:color w:val="auto"/>
                <w:sz w:val="21"/>
                <w:szCs w:val="21"/>
                <w:highlight w:val="none"/>
                <w:lang w:val="en-US" w:eastAsia="zh-CN"/>
              </w:rPr>
              <w:t>四</w:t>
            </w:r>
            <w:r>
              <w:rPr>
                <w:rFonts w:hint="eastAsia" w:ascii="宋体" w:hAnsi="宋体" w:eastAsia="宋体" w:cs="宋体"/>
                <w:bCs/>
                <w:color w:val="auto"/>
                <w:sz w:val="21"/>
                <w:szCs w:val="21"/>
                <w:highlight w:val="none"/>
              </w:rPr>
              <w:t>档（5分）</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在施工工艺、施工方法、材料选用、劳动力安排、技术等方面有保证工期的具体措施且措施得当。有控制工期的施工进度计划。有施工总进度表或施工网络图，各项计划图表编制完善，安排科学周密，符合本项目施工实际要求。</w:t>
            </w:r>
          </w:p>
          <w:p w14:paraId="23469840">
            <w:pPr>
              <w:pStyle w:val="15"/>
              <w:spacing w:line="40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bCs/>
                <w:color w:val="auto"/>
                <w:kern w:val="0"/>
                <w:sz w:val="21"/>
                <w:szCs w:val="21"/>
                <w:highlight w:val="none"/>
                <w:lang w:val="en-US" w:eastAsia="zh-CN"/>
              </w:rPr>
              <w:t>注：不提供的不予以计分。</w:t>
            </w:r>
          </w:p>
        </w:tc>
        <w:tc>
          <w:tcPr>
            <w:tcW w:w="772" w:type="dxa"/>
            <w:vAlign w:val="center"/>
          </w:tcPr>
          <w:p w14:paraId="70729283">
            <w:pPr>
              <w:spacing w:line="32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rPr>
              <w:t>5分</w:t>
            </w:r>
          </w:p>
        </w:tc>
      </w:tr>
      <w:tr w14:paraId="38D51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2" w:type="dxa"/>
            <w:vAlign w:val="center"/>
          </w:tcPr>
          <w:p w14:paraId="6D42A7EC">
            <w:pPr>
              <w:adjustRightInd w:val="0"/>
              <w:spacing w:line="320" w:lineRule="exact"/>
              <w:ind w:left="-105" w:leftChars="-50" w:right="-105" w:rightChars="-50"/>
              <w:jc w:val="center"/>
              <w:textAlignment w:val="baseline"/>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2.8</w:t>
            </w:r>
          </w:p>
        </w:tc>
        <w:tc>
          <w:tcPr>
            <w:tcW w:w="1086" w:type="dxa"/>
            <w:vAlign w:val="center"/>
          </w:tcPr>
          <w:p w14:paraId="1377FEE2">
            <w:pPr>
              <w:adjustRightInd w:val="0"/>
              <w:spacing w:line="400" w:lineRule="exact"/>
              <w:jc w:val="center"/>
              <w:textAlignment w:val="baseline"/>
              <w:rPr>
                <w:rFonts w:hint="eastAsia" w:ascii="宋体" w:hAnsi="宋体" w:eastAsia="宋体" w:cs="宋体"/>
                <w:color w:val="auto"/>
                <w:sz w:val="21"/>
                <w:szCs w:val="21"/>
                <w:highlight w:val="none"/>
                <w:lang w:val="en-US" w:eastAsia="zh-CN"/>
              </w:rPr>
            </w:pPr>
            <w:r>
              <w:rPr>
                <w:rStyle w:val="28"/>
                <w:rFonts w:hint="eastAsia" w:ascii="宋体" w:hAnsi="宋体" w:eastAsia="宋体" w:cs="宋体"/>
                <w:b w:val="0"/>
                <w:color w:val="auto"/>
                <w:sz w:val="21"/>
                <w:szCs w:val="21"/>
                <w:highlight w:val="none"/>
              </w:rPr>
              <w:t>确保文明施工的技术组织措施</w:t>
            </w:r>
          </w:p>
        </w:tc>
        <w:tc>
          <w:tcPr>
            <w:tcW w:w="7110" w:type="dxa"/>
            <w:vAlign w:val="center"/>
          </w:tcPr>
          <w:p w14:paraId="6F3B3846">
            <w:pPr>
              <w:pStyle w:val="15"/>
              <w:spacing w:line="40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一</w:t>
            </w:r>
            <w:r>
              <w:rPr>
                <w:rFonts w:hint="eastAsia" w:ascii="宋体" w:hAnsi="宋体" w:eastAsia="宋体" w:cs="宋体"/>
                <w:bCs/>
                <w:color w:val="auto"/>
                <w:sz w:val="21"/>
                <w:szCs w:val="21"/>
                <w:highlight w:val="none"/>
              </w:rPr>
              <w:t>档（1分）</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有现场文明施工、环境保护措施，且措施内容达到《建筑施工安全生产检查标准》（JGJ59-2011）合格标准并符合《广西壮族自治区建筑工程文明施工导则》要求。无实现现场文明施工目标的承诺。</w:t>
            </w:r>
          </w:p>
          <w:p w14:paraId="05039F6B">
            <w:pPr>
              <w:pStyle w:val="15"/>
              <w:spacing w:line="40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二</w:t>
            </w:r>
            <w:r>
              <w:rPr>
                <w:rFonts w:hint="eastAsia" w:ascii="宋体" w:hAnsi="宋体" w:eastAsia="宋体" w:cs="宋体"/>
                <w:bCs/>
                <w:color w:val="auto"/>
                <w:sz w:val="21"/>
                <w:szCs w:val="21"/>
                <w:highlight w:val="none"/>
              </w:rPr>
              <w:t>档（2分）</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有现场文明施工、环境保护措施，且措施内容达到《建筑施工安全生产检查标准》（JGJ59-2011）合格标准并符合《广西壮族自治区建筑工程文明施工导则》要求。有实现现场文明施工目标的承诺。</w:t>
            </w:r>
          </w:p>
          <w:p w14:paraId="2A4EF419">
            <w:pPr>
              <w:pStyle w:val="15"/>
              <w:spacing w:line="40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三</w:t>
            </w:r>
            <w:r>
              <w:rPr>
                <w:rFonts w:hint="eastAsia" w:ascii="宋体" w:hAnsi="宋体" w:eastAsia="宋体" w:cs="宋体"/>
                <w:bCs/>
                <w:color w:val="auto"/>
                <w:sz w:val="21"/>
                <w:szCs w:val="21"/>
                <w:highlight w:val="none"/>
              </w:rPr>
              <w:t>档（3分）</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针对本工程项目特点，有现场文明施工、环境保护措施，且措施内容达到《建筑施工安全生产检查标准》（JGJ59-2011）合格标准并符合《广西壮族自治区建筑工程文明施工导则》要求。有实现现场文明施工目标的承诺。</w:t>
            </w:r>
          </w:p>
          <w:p w14:paraId="7209348B">
            <w:pPr>
              <w:pStyle w:val="15"/>
              <w:spacing w:line="400" w:lineRule="exact"/>
              <w:ind w:firstLine="420" w:firstLineChars="200"/>
              <w:rPr>
                <w:rFonts w:hint="eastAsia" w:ascii="宋体" w:hAnsi="宋体" w:eastAsia="宋体" w:cs="宋体"/>
                <w:bCs/>
                <w:color w:val="auto"/>
                <w:sz w:val="21"/>
                <w:szCs w:val="21"/>
                <w:highlight w:val="none"/>
              </w:rPr>
            </w:pPr>
            <w:r>
              <w:rPr>
                <w:rFonts w:hint="eastAsia" w:hAnsi="宋体" w:cs="宋体"/>
                <w:bCs/>
                <w:color w:val="auto"/>
                <w:sz w:val="21"/>
                <w:szCs w:val="21"/>
                <w:highlight w:val="none"/>
                <w:lang w:val="en-US" w:eastAsia="zh-CN"/>
              </w:rPr>
              <w:t>四</w:t>
            </w:r>
            <w:r>
              <w:rPr>
                <w:rFonts w:hint="eastAsia" w:ascii="宋体" w:hAnsi="宋体" w:eastAsia="宋体" w:cs="宋体"/>
                <w:bCs/>
                <w:color w:val="auto"/>
                <w:sz w:val="21"/>
                <w:szCs w:val="21"/>
                <w:highlight w:val="none"/>
              </w:rPr>
              <w:t>档（5分）</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针对本工程项目特点，有现场文明施工、环境保护措施，且措施内容达到《建筑施工安全生产检查标准》（JGJ59-2011）合格标准并符合《广西壮族自治区建筑工程文明施工导则》要求。各项措施周全、具体、有效。有具体实现现场文明施工目标的承诺。</w:t>
            </w:r>
          </w:p>
          <w:p w14:paraId="0370E42F">
            <w:pPr>
              <w:pStyle w:val="15"/>
              <w:spacing w:line="40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bCs/>
                <w:color w:val="auto"/>
                <w:kern w:val="0"/>
                <w:sz w:val="21"/>
                <w:szCs w:val="21"/>
                <w:highlight w:val="none"/>
                <w:lang w:val="en-US" w:eastAsia="zh-CN"/>
              </w:rPr>
              <w:t>注：不提供的不予以计分。</w:t>
            </w:r>
          </w:p>
        </w:tc>
        <w:tc>
          <w:tcPr>
            <w:tcW w:w="772" w:type="dxa"/>
            <w:vAlign w:val="center"/>
          </w:tcPr>
          <w:p w14:paraId="47C8FE7D">
            <w:pPr>
              <w:spacing w:line="32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rPr>
              <w:t>5分</w:t>
            </w:r>
          </w:p>
        </w:tc>
      </w:tr>
      <w:tr w14:paraId="77FDD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2" w:type="dxa"/>
            <w:vAlign w:val="center"/>
          </w:tcPr>
          <w:p w14:paraId="0D02B753">
            <w:pPr>
              <w:adjustRightInd w:val="0"/>
              <w:spacing w:line="320" w:lineRule="exact"/>
              <w:ind w:left="-105" w:leftChars="-50" w:right="-105" w:rightChars="-50"/>
              <w:jc w:val="center"/>
              <w:textAlignment w:val="baseline"/>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2.9</w:t>
            </w:r>
          </w:p>
        </w:tc>
        <w:tc>
          <w:tcPr>
            <w:tcW w:w="1086" w:type="dxa"/>
            <w:vAlign w:val="center"/>
          </w:tcPr>
          <w:p w14:paraId="7599FDED">
            <w:pPr>
              <w:adjustRightInd w:val="0"/>
              <w:spacing w:line="400" w:lineRule="exact"/>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bCs/>
                <w:color w:val="auto"/>
                <w:kern w:val="0"/>
                <w:sz w:val="21"/>
                <w:szCs w:val="21"/>
                <w:highlight w:val="none"/>
              </w:rPr>
              <w:t>工程施工的重点和难点及保证措施</w:t>
            </w:r>
          </w:p>
        </w:tc>
        <w:tc>
          <w:tcPr>
            <w:tcW w:w="7110" w:type="dxa"/>
            <w:vAlign w:val="center"/>
          </w:tcPr>
          <w:p w14:paraId="3B74087A">
            <w:pPr>
              <w:pStyle w:val="15"/>
              <w:spacing w:line="40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一档</w:t>
            </w:r>
            <w:r>
              <w:rPr>
                <w:rFonts w:hint="eastAsia" w:ascii="宋体" w:hAnsi="宋体" w:eastAsia="宋体" w:cs="宋体"/>
                <w:bCs/>
                <w:color w:val="auto"/>
                <w:sz w:val="21"/>
                <w:szCs w:val="21"/>
                <w:highlight w:val="none"/>
              </w:rPr>
              <w:t>（1分）</w:t>
            </w:r>
            <w:r>
              <w:rPr>
                <w:rFonts w:hint="eastAsia" w:ascii="宋体" w:hAnsi="宋体" w:eastAsia="宋体" w:cs="宋体"/>
                <w:bCs/>
                <w:color w:val="auto"/>
                <w:sz w:val="21"/>
                <w:szCs w:val="21"/>
                <w:highlight w:val="none"/>
                <w:lang w:val="en-US" w:eastAsia="zh-CN"/>
              </w:rPr>
              <w:t>:</w:t>
            </w:r>
            <w:r>
              <w:rPr>
                <w:rFonts w:hint="eastAsia" w:ascii="宋体" w:hAnsi="宋体" w:eastAsia="宋体" w:cs="宋体"/>
                <w:bCs/>
                <w:color w:val="auto"/>
                <w:sz w:val="21"/>
                <w:szCs w:val="21"/>
                <w:highlight w:val="none"/>
              </w:rPr>
              <w:t>未阐述本工程的重点和难点，无解决重点和难点问题的方法。</w:t>
            </w:r>
          </w:p>
          <w:p w14:paraId="66DB157C">
            <w:pPr>
              <w:pStyle w:val="15"/>
              <w:spacing w:line="40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二</w:t>
            </w:r>
            <w:r>
              <w:rPr>
                <w:rFonts w:hint="eastAsia" w:ascii="宋体" w:hAnsi="宋体" w:eastAsia="宋体" w:cs="宋体"/>
                <w:bCs/>
                <w:color w:val="auto"/>
                <w:sz w:val="21"/>
                <w:szCs w:val="21"/>
                <w:highlight w:val="none"/>
              </w:rPr>
              <w:t>档（2分）</w:t>
            </w:r>
            <w:r>
              <w:rPr>
                <w:rFonts w:hint="eastAsia" w:ascii="宋体" w:hAnsi="宋体" w:eastAsia="宋体" w:cs="宋体"/>
                <w:bCs/>
                <w:color w:val="auto"/>
                <w:sz w:val="21"/>
                <w:szCs w:val="21"/>
                <w:highlight w:val="none"/>
                <w:lang w:val="en-US" w:eastAsia="zh-CN"/>
              </w:rPr>
              <w:t>:</w:t>
            </w:r>
            <w:r>
              <w:rPr>
                <w:rFonts w:hint="eastAsia" w:ascii="宋体" w:hAnsi="宋体" w:eastAsia="宋体" w:cs="宋体"/>
                <w:bCs/>
                <w:color w:val="auto"/>
                <w:sz w:val="21"/>
                <w:szCs w:val="21"/>
                <w:highlight w:val="none"/>
              </w:rPr>
              <w:t>简单阐述了本工程的重点和难点，解决重点和难点问题的方法粗略。</w:t>
            </w:r>
          </w:p>
          <w:p w14:paraId="348FCD9B">
            <w:pPr>
              <w:pStyle w:val="15"/>
              <w:spacing w:line="40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三</w:t>
            </w:r>
            <w:r>
              <w:rPr>
                <w:rFonts w:hint="eastAsia" w:ascii="宋体" w:hAnsi="宋体" w:eastAsia="宋体" w:cs="宋体"/>
                <w:bCs/>
                <w:color w:val="auto"/>
                <w:sz w:val="21"/>
                <w:szCs w:val="21"/>
                <w:highlight w:val="none"/>
              </w:rPr>
              <w:t>档（3分）</w:t>
            </w:r>
            <w:r>
              <w:rPr>
                <w:rFonts w:hint="eastAsia" w:ascii="宋体" w:hAnsi="宋体" w:eastAsia="宋体" w:cs="宋体"/>
                <w:bCs/>
                <w:color w:val="auto"/>
                <w:sz w:val="21"/>
                <w:szCs w:val="21"/>
                <w:highlight w:val="none"/>
                <w:lang w:val="en-US" w:eastAsia="zh-CN"/>
              </w:rPr>
              <w:t>:</w:t>
            </w:r>
            <w:r>
              <w:rPr>
                <w:rFonts w:hint="eastAsia" w:ascii="宋体" w:hAnsi="宋体" w:eastAsia="宋体" w:cs="宋体"/>
                <w:bCs/>
                <w:color w:val="auto"/>
                <w:sz w:val="21"/>
                <w:szCs w:val="21"/>
                <w:highlight w:val="none"/>
              </w:rPr>
              <w:t>针对本工程的特点，阐述了本工程的重点和难点，解决重点和难点问题的方法有针对性，其内容符合项目情况。</w:t>
            </w:r>
          </w:p>
          <w:p w14:paraId="409650A7">
            <w:pPr>
              <w:pStyle w:val="15"/>
              <w:spacing w:line="400" w:lineRule="exact"/>
              <w:ind w:firstLine="420" w:firstLineChars="200"/>
              <w:rPr>
                <w:rFonts w:hint="eastAsia" w:ascii="宋体" w:hAnsi="宋体" w:eastAsia="宋体" w:cs="宋体"/>
                <w:bCs/>
                <w:color w:val="auto"/>
                <w:sz w:val="21"/>
                <w:szCs w:val="21"/>
                <w:highlight w:val="none"/>
              </w:rPr>
            </w:pPr>
            <w:r>
              <w:rPr>
                <w:rFonts w:hint="eastAsia" w:hAnsi="宋体" w:cs="宋体"/>
                <w:bCs/>
                <w:color w:val="auto"/>
                <w:sz w:val="21"/>
                <w:szCs w:val="21"/>
                <w:highlight w:val="none"/>
                <w:lang w:val="en-US" w:eastAsia="zh-CN"/>
              </w:rPr>
              <w:t>四</w:t>
            </w:r>
            <w:r>
              <w:rPr>
                <w:rFonts w:hint="eastAsia" w:ascii="宋体" w:hAnsi="宋体" w:eastAsia="宋体" w:cs="宋体"/>
                <w:bCs/>
                <w:color w:val="auto"/>
                <w:sz w:val="21"/>
                <w:szCs w:val="21"/>
                <w:highlight w:val="none"/>
              </w:rPr>
              <w:t>档（5分）</w:t>
            </w:r>
            <w:r>
              <w:rPr>
                <w:rFonts w:hint="eastAsia" w:ascii="宋体" w:hAnsi="宋体" w:eastAsia="宋体" w:cs="宋体"/>
                <w:bCs/>
                <w:color w:val="auto"/>
                <w:sz w:val="21"/>
                <w:szCs w:val="21"/>
                <w:highlight w:val="none"/>
                <w:lang w:val="en-US" w:eastAsia="zh-CN"/>
              </w:rPr>
              <w:t>:</w:t>
            </w:r>
            <w:r>
              <w:rPr>
                <w:rFonts w:hint="eastAsia" w:ascii="宋体" w:hAnsi="宋体" w:eastAsia="宋体" w:cs="宋体"/>
                <w:bCs/>
                <w:color w:val="auto"/>
                <w:sz w:val="21"/>
                <w:szCs w:val="21"/>
                <w:highlight w:val="none"/>
              </w:rPr>
              <w:t>针对本工程的特点，详细阐述了本工程的重点和难点，解决重点和难点问题的方法科学、详细贴合项目实际情况，能确保项目顺利实施。</w:t>
            </w:r>
          </w:p>
          <w:p w14:paraId="6B516DAE">
            <w:pPr>
              <w:pStyle w:val="15"/>
              <w:spacing w:line="400" w:lineRule="exact"/>
              <w:ind w:firstLine="420" w:firstLineChars="20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注：不提供的不予以计分。</w:t>
            </w:r>
          </w:p>
        </w:tc>
        <w:tc>
          <w:tcPr>
            <w:tcW w:w="772" w:type="dxa"/>
            <w:vAlign w:val="center"/>
          </w:tcPr>
          <w:p w14:paraId="134BB9E2">
            <w:pPr>
              <w:spacing w:line="32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分</w:t>
            </w:r>
          </w:p>
        </w:tc>
      </w:tr>
      <w:tr w14:paraId="0E433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2" w:type="dxa"/>
            <w:vAlign w:val="center"/>
          </w:tcPr>
          <w:p w14:paraId="4F21CBEE">
            <w:pPr>
              <w:adjustRightInd w:val="0"/>
              <w:spacing w:line="320" w:lineRule="exact"/>
              <w:ind w:left="-105" w:leftChars="-50" w:right="-105" w:rightChars="-50"/>
              <w:jc w:val="center"/>
              <w:textAlignment w:val="baseline"/>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2.10</w:t>
            </w:r>
          </w:p>
        </w:tc>
        <w:tc>
          <w:tcPr>
            <w:tcW w:w="1086" w:type="dxa"/>
            <w:vAlign w:val="center"/>
          </w:tcPr>
          <w:p w14:paraId="3F4383DE">
            <w:pPr>
              <w:adjustRightInd w:val="0"/>
              <w:spacing w:line="400" w:lineRule="exact"/>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bCs/>
                <w:color w:val="auto"/>
                <w:kern w:val="0"/>
                <w:sz w:val="21"/>
                <w:szCs w:val="21"/>
                <w:highlight w:val="none"/>
              </w:rPr>
              <w:t>施工总平面布置图</w:t>
            </w:r>
          </w:p>
        </w:tc>
        <w:tc>
          <w:tcPr>
            <w:tcW w:w="7110" w:type="dxa"/>
            <w:vAlign w:val="center"/>
          </w:tcPr>
          <w:p w14:paraId="74D4E4F7">
            <w:pPr>
              <w:pStyle w:val="15"/>
              <w:spacing w:line="400" w:lineRule="exact"/>
              <w:ind w:firstLine="420" w:firstLineChars="20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一档（1分）:有施工总平面布置图，但不符合本项目施工实际要求。</w:t>
            </w:r>
          </w:p>
          <w:p w14:paraId="6230C9F3">
            <w:pPr>
              <w:pStyle w:val="15"/>
              <w:spacing w:line="400" w:lineRule="exact"/>
              <w:ind w:firstLine="420" w:firstLineChars="20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二档（2 分）:有施工总平面布置图，基本符合本项目施工实际要求。</w:t>
            </w:r>
          </w:p>
          <w:p w14:paraId="2D855E9A">
            <w:pPr>
              <w:pStyle w:val="15"/>
              <w:spacing w:line="400" w:lineRule="exact"/>
              <w:ind w:firstLine="420" w:firstLineChars="20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三档（3 分）:有施工总平面布置图，安排详细，符合本项目施工实际要求。</w:t>
            </w:r>
          </w:p>
          <w:p w14:paraId="3A8020F0">
            <w:pPr>
              <w:pStyle w:val="15"/>
              <w:spacing w:line="400" w:lineRule="exact"/>
              <w:ind w:firstLine="420" w:firstLineChars="200"/>
              <w:rPr>
                <w:rFonts w:hint="eastAsia" w:ascii="宋体" w:hAnsi="宋体" w:eastAsia="宋体" w:cs="宋体"/>
                <w:bCs/>
                <w:color w:val="auto"/>
                <w:sz w:val="21"/>
                <w:szCs w:val="21"/>
                <w:highlight w:val="none"/>
                <w:lang w:val="en-US" w:eastAsia="zh-CN"/>
              </w:rPr>
            </w:pPr>
            <w:r>
              <w:rPr>
                <w:rFonts w:hint="eastAsia" w:hAnsi="宋体" w:cs="宋体"/>
                <w:bCs/>
                <w:color w:val="auto"/>
                <w:sz w:val="21"/>
                <w:szCs w:val="21"/>
                <w:highlight w:val="none"/>
                <w:lang w:val="en-US" w:eastAsia="zh-CN"/>
              </w:rPr>
              <w:t>四</w:t>
            </w:r>
            <w:r>
              <w:rPr>
                <w:rFonts w:hint="eastAsia" w:ascii="宋体" w:hAnsi="宋体" w:eastAsia="宋体" w:cs="宋体"/>
                <w:bCs/>
                <w:color w:val="auto"/>
                <w:sz w:val="21"/>
                <w:szCs w:val="21"/>
                <w:highlight w:val="none"/>
                <w:lang w:val="en-US" w:eastAsia="zh-CN"/>
              </w:rPr>
              <w:t>档（5分）:有施工总平面布置图，安排科学周密贴切实际，符合本项目施工实际要求。</w:t>
            </w:r>
          </w:p>
          <w:p w14:paraId="4D49C504">
            <w:pPr>
              <w:pStyle w:val="15"/>
              <w:spacing w:line="400" w:lineRule="exact"/>
              <w:ind w:firstLine="420" w:firstLineChars="20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注：不提供的不予以计分。</w:t>
            </w:r>
          </w:p>
        </w:tc>
        <w:tc>
          <w:tcPr>
            <w:tcW w:w="772" w:type="dxa"/>
            <w:vAlign w:val="center"/>
          </w:tcPr>
          <w:p w14:paraId="66E129FE">
            <w:pPr>
              <w:spacing w:line="32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分</w:t>
            </w:r>
          </w:p>
        </w:tc>
      </w:tr>
      <w:tr w14:paraId="66F25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652" w:type="dxa"/>
            <w:vAlign w:val="center"/>
          </w:tcPr>
          <w:p w14:paraId="4FCC33A9">
            <w:pPr>
              <w:widowControl/>
              <w:spacing w:line="360" w:lineRule="exact"/>
              <w:jc w:val="center"/>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3</w:t>
            </w:r>
          </w:p>
        </w:tc>
        <w:tc>
          <w:tcPr>
            <w:tcW w:w="1086" w:type="dxa"/>
            <w:vAlign w:val="center"/>
          </w:tcPr>
          <w:p w14:paraId="29BFF5CC">
            <w:pPr>
              <w:widowControl/>
              <w:spacing w:line="360" w:lineRule="exact"/>
              <w:jc w:val="center"/>
              <w:rPr>
                <w:rFonts w:hint="eastAsia" w:ascii="宋体" w:hAnsi="宋体" w:eastAsia="宋体" w:cs="宋体"/>
                <w:bCs/>
                <w:color w:val="auto"/>
                <w:sz w:val="21"/>
                <w:szCs w:val="21"/>
                <w:highlight w:val="none"/>
              </w:rPr>
            </w:pPr>
            <w:r>
              <w:rPr>
                <w:rFonts w:hint="eastAsia" w:ascii="宋体" w:hAnsi="宋体" w:eastAsia="宋体" w:cs="宋体"/>
                <w:b/>
                <w:bCs/>
                <w:color w:val="auto"/>
                <w:sz w:val="21"/>
                <w:szCs w:val="21"/>
                <w:highlight w:val="none"/>
              </w:rPr>
              <w:t>商务分</w:t>
            </w:r>
          </w:p>
        </w:tc>
        <w:tc>
          <w:tcPr>
            <w:tcW w:w="7110" w:type="dxa"/>
            <w:vAlign w:val="center"/>
          </w:tcPr>
          <w:p w14:paraId="54E3A969">
            <w:pPr>
              <w:widowControl/>
              <w:spacing w:line="360" w:lineRule="exact"/>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b/>
                <w:bCs/>
                <w:color w:val="auto"/>
                <w:kern w:val="0"/>
                <w:sz w:val="21"/>
                <w:szCs w:val="21"/>
                <w:highlight w:val="none"/>
              </w:rPr>
              <w:t>评审因素（客观分）</w:t>
            </w:r>
          </w:p>
        </w:tc>
        <w:tc>
          <w:tcPr>
            <w:tcW w:w="772" w:type="dxa"/>
            <w:vAlign w:val="center"/>
          </w:tcPr>
          <w:p w14:paraId="3D16282F">
            <w:pPr>
              <w:widowControl/>
              <w:spacing w:line="360" w:lineRule="exact"/>
              <w:jc w:val="center"/>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lang w:val="en-US" w:eastAsia="zh-CN"/>
              </w:rPr>
              <w:t>20</w:t>
            </w:r>
            <w:r>
              <w:rPr>
                <w:rFonts w:hint="eastAsia" w:ascii="宋体" w:hAnsi="宋体" w:eastAsia="宋体" w:cs="宋体"/>
                <w:b/>
                <w:bCs/>
                <w:color w:val="auto"/>
                <w:kern w:val="0"/>
                <w:sz w:val="21"/>
                <w:szCs w:val="21"/>
                <w:highlight w:val="none"/>
              </w:rPr>
              <w:t>分</w:t>
            </w:r>
          </w:p>
        </w:tc>
      </w:tr>
      <w:tr w14:paraId="454C0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2" w:type="dxa"/>
            <w:vAlign w:val="center"/>
          </w:tcPr>
          <w:p w14:paraId="640F573A">
            <w:pPr>
              <w:widowControl/>
              <w:spacing w:line="360" w:lineRule="exact"/>
              <w:jc w:val="center"/>
              <w:rPr>
                <w:rFonts w:hint="eastAsia" w:ascii="宋体" w:hAnsi="宋体" w:eastAsia="宋体" w:cs="宋体"/>
                <w:bCs/>
                <w:color w:val="auto"/>
                <w:kern w:val="0"/>
                <w:sz w:val="21"/>
                <w:szCs w:val="21"/>
                <w:highlight w:val="none"/>
                <w:lang w:val="en-US" w:eastAsia="zh-CN"/>
              </w:rPr>
            </w:pPr>
            <w:r>
              <w:rPr>
                <w:rFonts w:hint="eastAsia" w:ascii="宋体" w:hAnsi="宋体" w:eastAsia="宋体" w:cs="宋体"/>
                <w:color w:val="auto"/>
                <w:kern w:val="0"/>
                <w:sz w:val="21"/>
                <w:szCs w:val="21"/>
                <w:highlight w:val="none"/>
              </w:rPr>
              <w:t>3.1</w:t>
            </w:r>
          </w:p>
        </w:tc>
        <w:tc>
          <w:tcPr>
            <w:tcW w:w="1086" w:type="dxa"/>
            <w:vAlign w:val="center"/>
          </w:tcPr>
          <w:p w14:paraId="0B325584">
            <w:pPr>
              <w:widowControl/>
              <w:spacing w:line="360" w:lineRule="exact"/>
              <w:jc w:val="center"/>
              <w:rPr>
                <w:rFonts w:hint="eastAsia" w:ascii="宋体" w:hAnsi="宋体" w:eastAsia="宋体" w:cs="宋体"/>
                <w:bCs/>
                <w:color w:val="auto"/>
                <w:sz w:val="21"/>
                <w:szCs w:val="21"/>
                <w:highlight w:val="none"/>
              </w:rPr>
            </w:pPr>
            <w:r>
              <w:rPr>
                <w:rFonts w:hint="eastAsia" w:ascii="宋体" w:hAnsi="宋体" w:eastAsia="宋体" w:cs="宋体"/>
                <w:color w:val="auto"/>
                <w:kern w:val="0"/>
                <w:sz w:val="21"/>
                <w:szCs w:val="21"/>
                <w:highlight w:val="none"/>
                <w:lang w:bidi="ar"/>
              </w:rPr>
              <w:t>业绩</w:t>
            </w:r>
          </w:p>
        </w:tc>
        <w:tc>
          <w:tcPr>
            <w:tcW w:w="7110" w:type="dxa"/>
            <w:vAlign w:val="top"/>
          </w:tcPr>
          <w:p w14:paraId="4F905430">
            <w:pPr>
              <w:pStyle w:val="15"/>
              <w:spacing w:line="360" w:lineRule="exact"/>
              <w:ind w:firstLine="420" w:firstLineChars="200"/>
              <w:rPr>
                <w:rFonts w:hint="eastAsia" w:ascii="宋体" w:hAnsi="宋体" w:eastAsia="宋体" w:cs="宋体"/>
                <w:bCs/>
                <w:color w:val="auto"/>
                <w:sz w:val="21"/>
                <w:szCs w:val="21"/>
                <w:highlight w:val="none"/>
                <w:lang w:val="en-US" w:eastAsia="zh-CN"/>
              </w:rPr>
            </w:pPr>
            <w:r>
              <w:rPr>
                <w:rFonts w:hint="eastAsia" w:ascii="宋体" w:hAnsi="宋体" w:eastAsia="宋体" w:cs="宋体"/>
                <w:color w:val="auto"/>
                <w:sz w:val="21"/>
                <w:szCs w:val="21"/>
                <w:highlight w:val="none"/>
              </w:rPr>
              <w:t>供应</w:t>
            </w:r>
            <w:r>
              <w:rPr>
                <w:rFonts w:hint="eastAsia" w:ascii="宋体" w:hAnsi="宋体" w:eastAsia="宋体" w:cs="宋体"/>
                <w:bCs/>
                <w:color w:val="auto"/>
                <w:sz w:val="21"/>
                <w:szCs w:val="21"/>
                <w:highlight w:val="none"/>
                <w:lang w:val="en-US" w:eastAsia="zh-CN"/>
              </w:rPr>
              <w:t>商2022年1月至今承接过或完成过房屋建筑工程建设业绩的，每个5分，此项满分10分。</w:t>
            </w:r>
          </w:p>
          <w:p w14:paraId="09B0077A">
            <w:pPr>
              <w:pStyle w:val="15"/>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注：响应文件中需提供以下对应材料，并加盖竞标人单位公章，不按照要求提供资料不得分。</w:t>
            </w:r>
          </w:p>
          <w:p w14:paraId="4191CFDC">
            <w:pPr>
              <w:pStyle w:val="15"/>
              <w:numPr>
                <w:ilvl w:val="0"/>
                <w:numId w:val="0"/>
              </w:numPr>
              <w:spacing w:line="360" w:lineRule="exact"/>
              <w:ind w:left="420" w:lef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①提供业绩一览表</w:t>
            </w:r>
            <w:r>
              <w:rPr>
                <w:rFonts w:hint="eastAsia" w:hAnsi="宋体" w:cs="宋体"/>
                <w:color w:val="auto"/>
                <w:sz w:val="21"/>
                <w:szCs w:val="21"/>
                <w:highlight w:val="none"/>
                <w:lang w:eastAsia="zh-CN"/>
              </w:rPr>
              <w:t>（</w:t>
            </w:r>
            <w:r>
              <w:rPr>
                <w:rFonts w:hint="eastAsia" w:hAnsi="宋体" w:cs="宋体"/>
                <w:color w:val="auto"/>
                <w:sz w:val="21"/>
                <w:szCs w:val="21"/>
                <w:highlight w:val="none"/>
                <w:lang w:val="en-US" w:eastAsia="zh-CN"/>
              </w:rPr>
              <w:t>格式附后</w:t>
            </w:r>
            <w:r>
              <w:rPr>
                <w:rFonts w:hint="eastAsia" w:hAnsi="宋体" w:cs="宋体"/>
                <w:color w:val="auto"/>
                <w:sz w:val="21"/>
                <w:szCs w:val="21"/>
                <w:highlight w:val="none"/>
                <w:lang w:eastAsia="zh-CN"/>
              </w:rPr>
              <w:t>）</w:t>
            </w:r>
            <w:r>
              <w:rPr>
                <w:rFonts w:hint="eastAsia" w:ascii="宋体" w:hAnsi="宋体" w:eastAsia="宋体" w:cs="宋体"/>
                <w:color w:val="auto"/>
                <w:sz w:val="21"/>
                <w:szCs w:val="21"/>
                <w:highlight w:val="none"/>
              </w:rPr>
              <w:t>；</w:t>
            </w:r>
          </w:p>
          <w:p w14:paraId="3F752C53">
            <w:pPr>
              <w:pStyle w:val="15"/>
              <w:spacing w:line="360" w:lineRule="exact"/>
              <w:ind w:firstLine="420" w:firstLineChars="200"/>
              <w:rPr>
                <w:rFonts w:hint="eastAsia" w:ascii="宋体" w:hAnsi="宋体" w:eastAsia="宋体" w:cs="宋体"/>
                <w:bCs/>
                <w:color w:val="auto"/>
                <w:kern w:val="0"/>
                <w:sz w:val="21"/>
                <w:szCs w:val="21"/>
                <w:highlight w:val="none"/>
                <w:lang w:val="en-US" w:eastAsia="zh-CN"/>
              </w:rPr>
            </w:pPr>
            <w:r>
              <w:rPr>
                <w:rFonts w:hint="eastAsia" w:ascii="宋体" w:hAnsi="宋体" w:eastAsia="宋体" w:cs="宋体"/>
                <w:color w:val="auto"/>
                <w:sz w:val="21"/>
                <w:szCs w:val="21"/>
                <w:highlight w:val="none"/>
              </w:rPr>
              <w:t>②</w:t>
            </w:r>
            <w:r>
              <w:rPr>
                <w:rFonts w:hint="eastAsia" w:hAnsi="宋体" w:cs="宋体"/>
                <w:bCs/>
                <w:color w:val="auto"/>
                <w:sz w:val="21"/>
                <w:highlight w:val="none"/>
              </w:rPr>
              <w:t>提供合同或中标通知书</w:t>
            </w:r>
            <w:r>
              <w:rPr>
                <w:rFonts w:hint="eastAsia" w:hAnsi="宋体" w:cs="宋体"/>
                <w:bCs/>
                <w:color w:val="auto"/>
                <w:sz w:val="21"/>
                <w:highlight w:val="none"/>
                <w:lang w:val="en-US" w:eastAsia="zh-CN"/>
              </w:rPr>
              <w:t>或竣工验收报告</w:t>
            </w:r>
            <w:r>
              <w:rPr>
                <w:rFonts w:hint="eastAsia" w:ascii="宋体" w:hAnsi="宋体" w:eastAsia="宋体" w:cs="宋体"/>
                <w:color w:val="auto"/>
                <w:sz w:val="21"/>
                <w:szCs w:val="21"/>
                <w:highlight w:val="none"/>
              </w:rPr>
              <w:t>。</w:t>
            </w:r>
          </w:p>
        </w:tc>
        <w:tc>
          <w:tcPr>
            <w:tcW w:w="772" w:type="dxa"/>
            <w:vAlign w:val="center"/>
          </w:tcPr>
          <w:p w14:paraId="0A366C44">
            <w:pPr>
              <w:widowControl/>
              <w:spacing w:line="360" w:lineRule="exact"/>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10</w:t>
            </w:r>
            <w:r>
              <w:rPr>
                <w:rFonts w:hint="eastAsia" w:ascii="宋体" w:hAnsi="宋体" w:eastAsia="宋体" w:cs="宋体"/>
                <w:color w:val="auto"/>
                <w:kern w:val="0"/>
                <w:sz w:val="21"/>
                <w:szCs w:val="21"/>
                <w:highlight w:val="none"/>
              </w:rPr>
              <w:t>分</w:t>
            </w:r>
          </w:p>
        </w:tc>
      </w:tr>
      <w:tr w14:paraId="71B53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2" w:type="dxa"/>
            <w:vAlign w:val="center"/>
          </w:tcPr>
          <w:p w14:paraId="07583621">
            <w:pPr>
              <w:widowControl/>
              <w:spacing w:line="360" w:lineRule="exact"/>
              <w:jc w:val="center"/>
              <w:rPr>
                <w:rFonts w:hint="eastAsia" w:ascii="宋体" w:hAnsi="宋体" w:eastAsia="宋体" w:cs="宋体"/>
                <w:bCs/>
                <w:color w:val="auto"/>
                <w:kern w:val="0"/>
                <w:sz w:val="21"/>
                <w:szCs w:val="21"/>
                <w:highlight w:val="none"/>
                <w:lang w:val="en-US" w:eastAsia="zh-CN"/>
              </w:rPr>
            </w:pPr>
            <w:r>
              <w:rPr>
                <w:rFonts w:hint="eastAsia" w:ascii="宋体" w:hAnsi="宋体" w:eastAsia="宋体" w:cs="宋体"/>
                <w:color w:val="auto"/>
                <w:kern w:val="0"/>
                <w:sz w:val="21"/>
                <w:szCs w:val="21"/>
                <w:highlight w:val="none"/>
                <w:lang w:bidi="ar"/>
              </w:rPr>
              <w:t>3.2</w:t>
            </w:r>
          </w:p>
        </w:tc>
        <w:tc>
          <w:tcPr>
            <w:tcW w:w="1086" w:type="dxa"/>
            <w:vAlign w:val="center"/>
          </w:tcPr>
          <w:p w14:paraId="5E69EFAC">
            <w:pPr>
              <w:widowControl/>
              <w:spacing w:line="360" w:lineRule="exact"/>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bidi="ar"/>
              </w:rPr>
              <w:t>拟投入人员</w:t>
            </w:r>
          </w:p>
        </w:tc>
        <w:tc>
          <w:tcPr>
            <w:tcW w:w="7110" w:type="dxa"/>
            <w:vAlign w:val="top"/>
          </w:tcPr>
          <w:p w14:paraId="288C70FD">
            <w:pPr>
              <w:pStyle w:val="15"/>
              <w:spacing w:line="36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（1）项目经理：</w:t>
            </w:r>
            <w:r>
              <w:rPr>
                <w:rFonts w:hint="eastAsia" w:ascii="宋体" w:hAnsi="宋体" w:eastAsia="宋体" w:cs="宋体"/>
                <w:color w:val="auto"/>
                <w:sz w:val="21"/>
                <w:szCs w:val="21"/>
                <w:highlight w:val="none"/>
              </w:rPr>
              <w:t>拟投入本项目的项目经理具有建筑工程类专业中级及以上技术职称得2分</w:t>
            </w:r>
            <w:r>
              <w:rPr>
                <w:rFonts w:hint="eastAsia" w:ascii="宋体" w:hAnsi="宋体" w:eastAsia="宋体" w:cs="宋体"/>
                <w:color w:val="auto"/>
                <w:sz w:val="21"/>
                <w:szCs w:val="21"/>
                <w:highlight w:val="none"/>
                <w:lang w:val="en-US" w:eastAsia="zh-CN"/>
              </w:rPr>
              <w:t>。</w:t>
            </w:r>
          </w:p>
          <w:p w14:paraId="2559C3EA">
            <w:pPr>
              <w:pStyle w:val="15"/>
              <w:spacing w:line="360" w:lineRule="exact"/>
              <w:ind w:firstLine="420" w:firstLineChars="200"/>
              <w:rPr>
                <w:rFonts w:hAnsi="宋体" w:cs="宋体"/>
                <w:color w:val="auto"/>
                <w:sz w:val="21"/>
                <w:highlight w:val="none"/>
              </w:rPr>
            </w:pPr>
            <w:r>
              <w:rPr>
                <w:rFonts w:hint="eastAsia" w:hAnsi="宋体" w:cs="宋体"/>
                <w:color w:val="auto"/>
                <w:sz w:val="21"/>
                <w:highlight w:val="none"/>
              </w:rPr>
              <w:t>（</w:t>
            </w:r>
            <w:r>
              <w:rPr>
                <w:rFonts w:hAnsi="宋体" w:cs="宋体"/>
                <w:color w:val="auto"/>
                <w:sz w:val="21"/>
                <w:highlight w:val="none"/>
              </w:rPr>
              <w:t>2</w:t>
            </w:r>
            <w:r>
              <w:rPr>
                <w:rFonts w:hint="eastAsia" w:hAnsi="宋体" w:cs="宋体"/>
                <w:color w:val="auto"/>
                <w:sz w:val="21"/>
                <w:highlight w:val="none"/>
              </w:rPr>
              <w:t>）拟投入其他人员（不含项目经理）：拟投入其他人员至少包括安全员、施工员、质量员、材料员，且均具有相应岗位资格证书的，每人得</w:t>
            </w:r>
            <w:r>
              <w:rPr>
                <w:rFonts w:hint="eastAsia" w:hAnsi="宋体" w:cs="宋体"/>
                <w:color w:val="auto"/>
                <w:sz w:val="21"/>
                <w:highlight w:val="none"/>
                <w:lang w:val="en-US" w:eastAsia="zh-CN"/>
              </w:rPr>
              <w:t>2</w:t>
            </w:r>
            <w:r>
              <w:rPr>
                <w:rFonts w:hint="eastAsia" w:hAnsi="宋体" w:cs="宋体"/>
                <w:color w:val="auto"/>
                <w:sz w:val="21"/>
                <w:highlight w:val="none"/>
              </w:rPr>
              <w:t>分，此项满分</w:t>
            </w:r>
            <w:r>
              <w:rPr>
                <w:rFonts w:hint="eastAsia" w:hAnsi="宋体" w:cs="宋体"/>
                <w:color w:val="auto"/>
                <w:sz w:val="21"/>
                <w:highlight w:val="none"/>
                <w:lang w:val="en-US" w:eastAsia="zh-CN"/>
              </w:rPr>
              <w:t>8</w:t>
            </w:r>
            <w:r>
              <w:rPr>
                <w:rFonts w:hint="eastAsia" w:hAnsi="宋体" w:cs="宋体"/>
                <w:color w:val="auto"/>
                <w:sz w:val="21"/>
                <w:highlight w:val="none"/>
              </w:rPr>
              <w:t>分。</w:t>
            </w:r>
          </w:p>
          <w:p w14:paraId="5ADF1500">
            <w:pPr>
              <w:widowControl/>
              <w:spacing w:line="3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注：响应文件中需提供以下对应材料，并加盖竞标人单位公章，不按照要求提供资料不得分。</w:t>
            </w:r>
          </w:p>
          <w:p w14:paraId="53C37A48">
            <w:pPr>
              <w:pStyle w:val="49"/>
              <w:widowControl/>
              <w:numPr>
                <w:ilvl w:val="0"/>
                <w:numId w:val="0"/>
              </w:numPr>
              <w:spacing w:line="360" w:lineRule="exact"/>
              <w:ind w:left="420" w:leftChars="0"/>
              <w:jc w:val="left"/>
              <w:rPr>
                <w:rFonts w:ascii="宋体" w:hAnsi="宋体" w:cs="宋体"/>
                <w:color w:val="auto"/>
                <w:kern w:val="0"/>
                <w:szCs w:val="21"/>
                <w:highlight w:val="none"/>
              </w:rPr>
            </w:pPr>
            <w:r>
              <w:rPr>
                <w:rFonts w:hint="default" w:ascii="宋体" w:hAnsi="宋体" w:eastAsia="宋体" w:cs="宋体"/>
                <w:color w:val="auto"/>
                <w:kern w:val="0"/>
                <w:sz w:val="21"/>
                <w:szCs w:val="21"/>
                <w:highlight w:val="none"/>
                <w:lang w:val="en-US" w:eastAsia="zh-CN" w:bidi="ar-SA"/>
              </w:rPr>
              <w:t>①</w:t>
            </w:r>
            <w:r>
              <w:rPr>
                <w:rFonts w:hint="eastAsia" w:asciiTheme="minorEastAsia" w:hAnsiTheme="minorEastAsia" w:eastAsiaTheme="minorEastAsia" w:cstheme="minorEastAsia"/>
                <w:color w:val="auto"/>
                <w:highlight w:val="none"/>
              </w:rPr>
              <w:t>提供</w:t>
            </w:r>
            <w:r>
              <w:rPr>
                <w:rFonts w:hint="eastAsia" w:ascii="宋体" w:hAnsi="宋体" w:cs="宋体"/>
                <w:color w:val="auto"/>
                <w:kern w:val="0"/>
                <w:szCs w:val="21"/>
                <w:highlight w:val="none"/>
                <w:lang w:bidi="ar"/>
              </w:rPr>
              <w:t>拟项目实施人员一览表</w:t>
            </w:r>
            <w:r>
              <w:rPr>
                <w:rFonts w:hint="eastAsia" w:hAnsi="宋体" w:cs="宋体"/>
                <w:color w:val="auto"/>
                <w:sz w:val="21"/>
                <w:szCs w:val="21"/>
                <w:highlight w:val="none"/>
                <w:lang w:eastAsia="zh-CN"/>
              </w:rPr>
              <w:t>（</w:t>
            </w:r>
            <w:r>
              <w:rPr>
                <w:rFonts w:hint="eastAsia" w:hAnsi="宋体" w:cs="宋体"/>
                <w:color w:val="auto"/>
                <w:sz w:val="21"/>
                <w:szCs w:val="21"/>
                <w:highlight w:val="none"/>
                <w:lang w:val="en-US" w:eastAsia="zh-CN"/>
              </w:rPr>
              <w:t>格式附后</w:t>
            </w:r>
            <w:r>
              <w:rPr>
                <w:rFonts w:hint="eastAsia" w:hAnsi="宋体" w:cs="宋体"/>
                <w:color w:val="auto"/>
                <w:sz w:val="21"/>
                <w:szCs w:val="21"/>
                <w:highlight w:val="none"/>
                <w:lang w:eastAsia="zh-CN"/>
              </w:rPr>
              <w:t>）</w:t>
            </w:r>
            <w:r>
              <w:rPr>
                <w:rFonts w:hint="eastAsia" w:ascii="宋体" w:hAnsi="宋体" w:cs="宋体"/>
                <w:color w:val="auto"/>
                <w:kern w:val="0"/>
                <w:szCs w:val="21"/>
                <w:highlight w:val="none"/>
              </w:rPr>
              <w:t>；</w:t>
            </w:r>
          </w:p>
          <w:p w14:paraId="746426DB">
            <w:pPr>
              <w:pStyle w:val="15"/>
              <w:spacing w:line="360" w:lineRule="exact"/>
              <w:ind w:firstLine="420" w:firstLineChars="200"/>
              <w:rPr>
                <w:rFonts w:hint="eastAsia" w:ascii="宋体" w:hAnsi="宋体" w:eastAsia="宋体" w:cs="宋体"/>
                <w:bCs/>
                <w:color w:val="auto"/>
                <w:kern w:val="0"/>
                <w:sz w:val="21"/>
                <w:szCs w:val="21"/>
                <w:highlight w:val="none"/>
                <w:lang w:eastAsia="zh-CN"/>
              </w:rPr>
            </w:pPr>
            <w:r>
              <w:rPr>
                <w:rFonts w:hint="eastAsia" w:hAnsi="宋体" w:cs="宋体"/>
                <w:color w:val="auto"/>
                <w:sz w:val="21"/>
                <w:highlight w:val="none"/>
              </w:rPr>
              <w:t>②项目经理提供职称证，其他人员提供岗位资格证书。</w:t>
            </w:r>
          </w:p>
        </w:tc>
        <w:tc>
          <w:tcPr>
            <w:tcW w:w="772" w:type="dxa"/>
            <w:vAlign w:val="center"/>
          </w:tcPr>
          <w:p w14:paraId="12145860">
            <w:pPr>
              <w:widowControl/>
              <w:spacing w:line="360" w:lineRule="exact"/>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10</w:t>
            </w:r>
            <w:r>
              <w:rPr>
                <w:rFonts w:hint="eastAsia" w:ascii="宋体" w:hAnsi="宋体" w:eastAsia="宋体" w:cs="宋体"/>
                <w:color w:val="auto"/>
                <w:kern w:val="0"/>
                <w:sz w:val="21"/>
                <w:szCs w:val="21"/>
                <w:highlight w:val="none"/>
              </w:rPr>
              <w:t>分</w:t>
            </w:r>
          </w:p>
        </w:tc>
      </w:tr>
      <w:tr w14:paraId="14197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48" w:type="dxa"/>
            <w:gridSpan w:val="3"/>
            <w:vAlign w:val="top"/>
          </w:tcPr>
          <w:p w14:paraId="389F44A4">
            <w:pPr>
              <w:pStyle w:val="15"/>
              <w:keepNext w:val="0"/>
              <w:keepLines w:val="0"/>
              <w:pageBreakBefore w:val="0"/>
              <w:kinsoku/>
              <w:wordWrap/>
              <w:overflowPunct/>
              <w:topLinePunct w:val="0"/>
              <w:autoSpaceDE/>
              <w:autoSpaceDN/>
              <w:bidi w:val="0"/>
              <w:spacing w:line="360" w:lineRule="exact"/>
              <w:ind w:firstLine="420" w:firstLineChars="200"/>
              <w:rPr>
                <w:rFonts w:hint="eastAsia"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总得分＝1＋2+3</w:t>
            </w:r>
          </w:p>
        </w:tc>
        <w:tc>
          <w:tcPr>
            <w:tcW w:w="772" w:type="dxa"/>
            <w:vAlign w:val="center"/>
          </w:tcPr>
          <w:p w14:paraId="61549654">
            <w:pPr>
              <w:keepNext w:val="0"/>
              <w:keepLines w:val="0"/>
              <w:pageBreakBefore w:val="0"/>
              <w:widowControl/>
              <w:kinsoku/>
              <w:wordWrap/>
              <w:overflowPunct/>
              <w:topLinePunct w:val="0"/>
              <w:autoSpaceDE/>
              <w:autoSpaceDN/>
              <w:bidi w:val="0"/>
              <w:spacing w:line="360" w:lineRule="exact"/>
              <w:jc w:val="center"/>
              <w:rPr>
                <w:rFonts w:hint="eastAsia" w:ascii="宋体" w:hAnsi="宋体" w:eastAsia="宋体" w:cs="宋体"/>
                <w:color w:val="auto"/>
                <w:kern w:val="0"/>
                <w:sz w:val="21"/>
                <w:szCs w:val="21"/>
                <w:highlight w:val="none"/>
              </w:rPr>
            </w:pPr>
          </w:p>
        </w:tc>
      </w:tr>
    </w:tbl>
    <w:p w14:paraId="39DFE81B">
      <w:pPr>
        <w:pStyle w:val="15"/>
        <w:spacing w:line="360" w:lineRule="exact"/>
        <w:ind w:firstLine="420" w:firstLineChars="200"/>
        <w:rPr>
          <w:rFonts w:hAnsi="宋体" w:cs="宋体"/>
          <w:color w:val="auto"/>
          <w:kern w:val="2"/>
          <w:sz w:val="21"/>
          <w:szCs w:val="24"/>
          <w:highlight w:val="none"/>
        </w:rPr>
      </w:pPr>
      <w:r>
        <w:rPr>
          <w:rFonts w:hint="eastAsia" w:hAnsi="宋体" w:cs="宋体"/>
          <w:color w:val="auto"/>
          <w:kern w:val="2"/>
          <w:sz w:val="21"/>
          <w:szCs w:val="24"/>
          <w:highlight w:val="none"/>
        </w:rPr>
        <w:t>8.2商务技术评审因素为客观评分项的，应在评分项目或评分标准中予以标注为“客观分”。对供应商的客观评分项目，各评审专家评分应当一致。</w:t>
      </w:r>
    </w:p>
    <w:p w14:paraId="11C8C29A">
      <w:pPr>
        <w:spacing w:line="360" w:lineRule="auto"/>
        <w:ind w:firstLine="420" w:firstLineChars="200"/>
        <w:rPr>
          <w:rFonts w:ascii="宋体" w:hAnsi="宋体" w:cs="宋体"/>
          <w:color w:val="auto"/>
          <w:highlight w:val="none"/>
        </w:rPr>
      </w:pPr>
      <w:bookmarkStart w:id="75" w:name="_Toc80205935"/>
      <w:r>
        <w:rPr>
          <w:rFonts w:hint="eastAsia" w:ascii="宋体" w:hAnsi="宋体" w:cs="宋体"/>
          <w:color w:val="auto"/>
          <w:highlight w:val="none"/>
        </w:rPr>
        <w:t>8.3.终止竞争性磋商采购活动</w:t>
      </w:r>
    </w:p>
    <w:p w14:paraId="3FEB4C21">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磋商小组发现竞争性磋商文件存在歧义、重大缺陷导致评审工作无法进行，或者竞争性磋商文件内容违反国家有关规定的，要停止评审工作并向采购人或采购代理机构书面说明情况，采购人或采购代理机构应当修改竞争性磋商文件后重新组织采购活动；发现供应商提供虚假材料、串通等违法违规行为的，要及时向采购人或采购代理机构报告。</w:t>
      </w:r>
    </w:p>
    <w:p w14:paraId="1C6CE826">
      <w:pPr>
        <w:pStyle w:val="3"/>
        <w:spacing w:before="0" w:after="0" w:line="360" w:lineRule="auto"/>
        <w:ind w:firstLine="640" w:firstLineChars="200"/>
        <w:jc w:val="center"/>
        <w:rPr>
          <w:rFonts w:ascii="宋体" w:hAnsi="宋体" w:cs="宋体"/>
          <w:b w:val="0"/>
          <w:color w:val="auto"/>
          <w:highlight w:val="none"/>
        </w:rPr>
      </w:pPr>
    </w:p>
    <w:p w14:paraId="4142E62E">
      <w:pPr>
        <w:pStyle w:val="3"/>
        <w:spacing w:before="0" w:after="0" w:line="360" w:lineRule="auto"/>
        <w:ind w:firstLine="640" w:firstLineChars="200"/>
        <w:jc w:val="center"/>
        <w:rPr>
          <w:rFonts w:ascii="宋体" w:hAnsi="宋体" w:cs="宋体"/>
          <w:b w:val="0"/>
          <w:color w:val="auto"/>
          <w:highlight w:val="none"/>
        </w:rPr>
      </w:pPr>
      <w:bookmarkStart w:id="76" w:name="_Toc9528"/>
      <w:r>
        <w:rPr>
          <w:rFonts w:hint="eastAsia" w:ascii="宋体" w:hAnsi="宋体" w:cs="宋体"/>
          <w:b w:val="0"/>
          <w:color w:val="auto"/>
          <w:highlight w:val="none"/>
        </w:rPr>
        <w:t>第二节 评标报告</w:t>
      </w:r>
      <w:bookmarkEnd w:id="75"/>
      <w:bookmarkEnd w:id="76"/>
    </w:p>
    <w:p w14:paraId="5029512F">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1.成交标准</w:t>
      </w:r>
    </w:p>
    <w:p w14:paraId="72AC95D0">
      <w:pPr>
        <w:spacing w:line="360" w:lineRule="auto"/>
        <w:ind w:firstLine="420" w:firstLineChars="200"/>
        <w:rPr>
          <w:rFonts w:ascii="宋体" w:hAnsi="宋体" w:cs="宋体"/>
          <w:color w:val="auto"/>
          <w:sz w:val="24"/>
          <w:highlight w:val="none"/>
        </w:rPr>
      </w:pPr>
      <w:r>
        <w:rPr>
          <w:rFonts w:hint="eastAsia" w:ascii="宋体" w:hAnsi="宋体" w:cs="宋体"/>
          <w:bCs/>
          <w:color w:val="auto"/>
          <w:szCs w:val="21"/>
          <w:highlight w:val="none"/>
        </w:rPr>
        <w:t>由磋商小组根据综合评分情况，按照评审得分由高到低顺序推荐3名以上成交候选供应商</w:t>
      </w:r>
      <w:r>
        <w:rPr>
          <w:rFonts w:hint="eastAsia" w:ascii="宋体" w:hAnsi="宋体" w:cs="宋体"/>
          <w:color w:val="auto"/>
          <w:highlight w:val="none"/>
        </w:rPr>
        <w:t>,并在线编写电子评审报告</w:t>
      </w:r>
      <w:r>
        <w:rPr>
          <w:rFonts w:hint="eastAsia" w:ascii="宋体" w:hAnsi="宋体" w:cs="宋体"/>
          <w:bCs/>
          <w:color w:val="auto"/>
          <w:szCs w:val="21"/>
          <w:highlight w:val="none"/>
        </w:rPr>
        <w:t>。符合本章第一节第5.3条情形的，可以推荐2家成交候选供应商。评审得分相同的，按照最后报价（不计算价格折扣）由低到高的顺序推荐。评审得分且最后报价（不计算价格折扣）相同的，按照技术指标优劣顺序推荐（按技术得分由高到低排序，技术得分相同的按照服务需求偏离分由高到低排序）。评审得分、最后报价（不计算价格折扣）、技术得分、服务需求偏离分均相同的，由磋商小组随机抽取推荐。</w:t>
      </w:r>
    </w:p>
    <w:p w14:paraId="676E47EF">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2.评标争议事项处理</w:t>
      </w:r>
    </w:p>
    <w:p w14:paraId="042A3CA7">
      <w:pPr>
        <w:pStyle w:val="36"/>
        <w:spacing w:before="0"/>
        <w:ind w:firstLine="420"/>
        <w:rPr>
          <w:rFonts w:ascii="宋体" w:hAnsi="宋体" w:cs="宋体"/>
          <w:color w:val="auto"/>
          <w:kern w:val="2"/>
          <w:sz w:val="21"/>
          <w:szCs w:val="24"/>
          <w:highlight w:val="none"/>
        </w:rPr>
      </w:pPr>
      <w:r>
        <w:rPr>
          <w:rFonts w:hint="eastAsia" w:ascii="宋体" w:hAnsi="宋体" w:cs="宋体"/>
          <w:color w:val="auto"/>
          <w:kern w:val="2"/>
          <w:sz w:val="21"/>
          <w:szCs w:val="24"/>
          <w:highlight w:val="none"/>
        </w:rPr>
        <w:t>磋商小组成员对需要共同认定的事项存在争议的，应当按照少数服从多数的原则作出结论。持不同意见的磋商小组成员应当在评标报告上签署不同意见及理由，否则视为同意评标报告。</w:t>
      </w:r>
    </w:p>
    <w:p w14:paraId="117914BF">
      <w:pPr>
        <w:pStyle w:val="3"/>
        <w:spacing w:before="0" w:after="0" w:line="360" w:lineRule="auto"/>
        <w:ind w:firstLine="640" w:firstLineChars="200"/>
        <w:jc w:val="center"/>
        <w:rPr>
          <w:rFonts w:ascii="宋体" w:hAnsi="宋体" w:cs="宋体"/>
          <w:b w:val="0"/>
          <w:color w:val="auto"/>
          <w:highlight w:val="none"/>
        </w:rPr>
      </w:pPr>
      <w:bookmarkStart w:id="77" w:name="_Toc80205936"/>
      <w:bookmarkStart w:id="78" w:name="_Toc22191"/>
      <w:r>
        <w:rPr>
          <w:rFonts w:hint="eastAsia" w:ascii="宋体" w:hAnsi="宋体" w:cs="宋体"/>
          <w:b w:val="0"/>
          <w:color w:val="auto"/>
          <w:highlight w:val="none"/>
        </w:rPr>
        <w:t>第三节 评审过程的保密与录像</w:t>
      </w:r>
      <w:bookmarkEnd w:id="77"/>
      <w:bookmarkEnd w:id="78"/>
    </w:p>
    <w:p w14:paraId="2179E5A3">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1.保密。</w:t>
      </w:r>
    </w:p>
    <w:p w14:paraId="03A560C2">
      <w:pPr>
        <w:widowControl/>
        <w:spacing w:line="360" w:lineRule="auto"/>
        <w:ind w:firstLine="420" w:firstLineChars="200"/>
        <w:rPr>
          <w:rFonts w:ascii="宋体" w:hAnsi="宋体" w:cs="宋体"/>
          <w:color w:val="auto"/>
          <w:highlight w:val="none"/>
        </w:rPr>
      </w:pPr>
      <w:r>
        <w:rPr>
          <w:rFonts w:hint="eastAsia" w:ascii="宋体" w:hAnsi="宋体" w:cs="宋体"/>
          <w:color w:val="auto"/>
          <w:highlight w:val="none"/>
        </w:rPr>
        <w:t>评审活动在严格保密的情况下进行。评审过程中凡是与采购响应文件评审和比较、中标成交供应商推荐等评审有关的情况，以及涉及国家秘密和商业秘密等信息，评审委员会成员、采购人和采购机构工作人员、相关监督人员等与评审有关的人员应当予以保密。</w:t>
      </w:r>
    </w:p>
    <w:p w14:paraId="44D53C28">
      <w:pPr>
        <w:widowControl/>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2.录音录像。</w:t>
      </w:r>
    </w:p>
    <w:p w14:paraId="5C3A3E0F">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采购代理机构对评审工作现场及操作屏幕进行全过程录音录像，录音录像资料作为采购项目文件随其他文件一并存档。</w:t>
      </w:r>
      <w:r>
        <w:rPr>
          <w:rFonts w:hint="eastAsia" w:ascii="宋体" w:hAnsi="宋体" w:cs="宋体"/>
          <w:b/>
          <w:bCs/>
          <w:color w:val="auto"/>
          <w:highlight w:val="none"/>
        </w:rPr>
        <w:br w:type="page"/>
      </w:r>
    </w:p>
    <w:p w14:paraId="3F1E0C20">
      <w:pPr>
        <w:pStyle w:val="3"/>
        <w:jc w:val="center"/>
        <w:rPr>
          <w:rFonts w:ascii="宋体" w:hAnsi="宋体" w:cs="宋体"/>
          <w:color w:val="auto"/>
          <w:highlight w:val="none"/>
        </w:rPr>
      </w:pPr>
    </w:p>
    <w:p w14:paraId="3C9A0195">
      <w:pPr>
        <w:pStyle w:val="3"/>
        <w:jc w:val="center"/>
        <w:rPr>
          <w:rFonts w:ascii="宋体" w:hAnsi="宋体" w:cs="宋体"/>
          <w:color w:val="auto"/>
          <w:highlight w:val="none"/>
        </w:rPr>
      </w:pPr>
    </w:p>
    <w:p w14:paraId="365D5E62">
      <w:pPr>
        <w:pStyle w:val="3"/>
        <w:jc w:val="center"/>
        <w:rPr>
          <w:rFonts w:ascii="宋体" w:hAnsi="宋体" w:cs="宋体"/>
          <w:color w:val="auto"/>
          <w:highlight w:val="none"/>
        </w:rPr>
      </w:pPr>
    </w:p>
    <w:p w14:paraId="42D6EAD1">
      <w:pPr>
        <w:pStyle w:val="3"/>
        <w:jc w:val="center"/>
        <w:rPr>
          <w:rFonts w:ascii="宋体" w:hAnsi="宋体" w:cs="宋体"/>
          <w:color w:val="auto"/>
          <w:highlight w:val="none"/>
        </w:rPr>
      </w:pPr>
    </w:p>
    <w:p w14:paraId="3F9A0F98">
      <w:pPr>
        <w:pStyle w:val="3"/>
        <w:rPr>
          <w:rFonts w:ascii="宋体" w:hAnsi="宋体" w:cs="宋体"/>
          <w:color w:val="auto"/>
          <w:highlight w:val="none"/>
        </w:rPr>
      </w:pPr>
    </w:p>
    <w:p w14:paraId="76BDA8A0">
      <w:pPr>
        <w:pStyle w:val="2"/>
        <w:jc w:val="center"/>
        <w:rPr>
          <w:rFonts w:ascii="宋体" w:hAnsi="宋体" w:cs="宋体"/>
          <w:color w:val="auto"/>
          <w:highlight w:val="none"/>
        </w:rPr>
      </w:pPr>
      <w:bookmarkStart w:id="79" w:name="_Toc8800"/>
      <w:r>
        <w:rPr>
          <w:rFonts w:hint="eastAsia" w:ascii="宋体" w:hAnsi="宋体" w:cs="宋体"/>
          <w:color w:val="auto"/>
          <w:highlight w:val="none"/>
        </w:rPr>
        <w:t>第五章 响应文件格式</w:t>
      </w:r>
      <w:bookmarkEnd w:id="79"/>
    </w:p>
    <w:p w14:paraId="777D3D06">
      <w:pPr>
        <w:widowControl/>
        <w:spacing w:line="576" w:lineRule="auto"/>
        <w:jc w:val="left"/>
        <w:rPr>
          <w:rFonts w:ascii="宋体" w:hAnsi="宋体" w:cs="宋体"/>
          <w:b/>
          <w:bCs/>
          <w:color w:val="auto"/>
          <w:kern w:val="44"/>
          <w:sz w:val="44"/>
          <w:szCs w:val="44"/>
          <w:highlight w:val="none"/>
        </w:rPr>
        <w:sectPr>
          <w:pgSz w:w="11910" w:h="16840"/>
          <w:pgMar w:top="1134" w:right="1134" w:bottom="1134" w:left="1134" w:header="720" w:footer="720" w:gutter="0"/>
          <w:cols w:space="0" w:num="1"/>
          <w:rtlGutter w:val="0"/>
        </w:sectPr>
      </w:pPr>
    </w:p>
    <w:p w14:paraId="7E184D44">
      <w:pPr>
        <w:pStyle w:val="3"/>
        <w:jc w:val="center"/>
        <w:rPr>
          <w:rFonts w:ascii="宋体" w:hAnsi="宋体" w:cs="宋体"/>
          <w:b w:val="0"/>
          <w:color w:val="auto"/>
          <w:highlight w:val="none"/>
        </w:rPr>
      </w:pPr>
      <w:bookmarkStart w:id="80" w:name="_Toc80205938"/>
      <w:bookmarkStart w:id="81" w:name="_Toc24446"/>
      <w:r>
        <w:rPr>
          <w:rFonts w:hint="eastAsia" w:ascii="宋体" w:hAnsi="宋体" w:cs="宋体"/>
          <w:b w:val="0"/>
          <w:color w:val="auto"/>
          <w:highlight w:val="none"/>
        </w:rPr>
        <w:t>第一节 封面格式</w:t>
      </w:r>
      <w:bookmarkEnd w:id="80"/>
      <w:bookmarkEnd w:id="81"/>
    </w:p>
    <w:p w14:paraId="693631F5">
      <w:pPr>
        <w:snapToGrid w:val="0"/>
        <w:spacing w:before="120" w:beforeLines="50" w:after="50"/>
        <w:rPr>
          <w:rFonts w:ascii="宋体" w:hAnsi="宋体" w:cs="宋体"/>
          <w:color w:val="auto"/>
          <w:sz w:val="24"/>
          <w:szCs w:val="20"/>
          <w:highlight w:val="none"/>
        </w:rPr>
      </w:pPr>
    </w:p>
    <w:p w14:paraId="51567958">
      <w:pPr>
        <w:snapToGrid w:val="0"/>
        <w:spacing w:before="120" w:beforeLines="50" w:after="50"/>
        <w:jc w:val="center"/>
        <w:rPr>
          <w:rFonts w:ascii="宋体" w:hAnsi="宋体" w:cs="宋体"/>
          <w:bCs/>
          <w:color w:val="auto"/>
          <w:sz w:val="24"/>
          <w:szCs w:val="20"/>
          <w:highlight w:val="none"/>
        </w:rPr>
      </w:pPr>
    </w:p>
    <w:p w14:paraId="0B913C5D">
      <w:pPr>
        <w:snapToGrid w:val="0"/>
        <w:spacing w:before="120" w:beforeLines="50" w:after="50"/>
        <w:jc w:val="center"/>
        <w:rPr>
          <w:rFonts w:ascii="宋体" w:hAnsi="宋体" w:cs="宋体"/>
          <w:bCs/>
          <w:color w:val="auto"/>
          <w:sz w:val="44"/>
          <w:szCs w:val="44"/>
          <w:highlight w:val="none"/>
        </w:rPr>
      </w:pPr>
      <w:r>
        <w:rPr>
          <w:rFonts w:hint="eastAsia" w:ascii="宋体" w:hAnsi="宋体" w:cs="宋体"/>
          <w:bCs/>
          <w:color w:val="auto"/>
          <w:sz w:val="44"/>
          <w:szCs w:val="44"/>
          <w:highlight w:val="none"/>
        </w:rPr>
        <w:t>响  应  文  件</w:t>
      </w:r>
    </w:p>
    <w:p w14:paraId="4B5A150D">
      <w:pPr>
        <w:snapToGrid w:val="0"/>
        <w:spacing w:before="120" w:beforeLines="50" w:after="50"/>
        <w:rPr>
          <w:rFonts w:ascii="宋体" w:hAnsi="宋体" w:cs="宋体"/>
          <w:bCs/>
          <w:color w:val="auto"/>
          <w:sz w:val="24"/>
          <w:szCs w:val="20"/>
          <w:highlight w:val="none"/>
        </w:rPr>
      </w:pPr>
    </w:p>
    <w:p w14:paraId="56EA65C3">
      <w:pPr>
        <w:snapToGrid w:val="0"/>
        <w:spacing w:before="120" w:beforeLines="50" w:after="50"/>
        <w:rPr>
          <w:rFonts w:ascii="宋体" w:hAnsi="宋体" w:cs="宋体"/>
          <w:bCs/>
          <w:color w:val="auto"/>
          <w:sz w:val="24"/>
          <w:szCs w:val="20"/>
          <w:highlight w:val="none"/>
        </w:rPr>
      </w:pPr>
    </w:p>
    <w:p w14:paraId="463C8B6D">
      <w:pPr>
        <w:snapToGrid w:val="0"/>
        <w:spacing w:before="120" w:beforeLines="50" w:after="50"/>
        <w:rPr>
          <w:rFonts w:ascii="宋体" w:hAnsi="宋体" w:cs="宋体"/>
          <w:bCs/>
          <w:color w:val="auto"/>
          <w:sz w:val="32"/>
          <w:szCs w:val="32"/>
          <w:highlight w:val="none"/>
        </w:rPr>
      </w:pPr>
    </w:p>
    <w:p w14:paraId="584D7E0D">
      <w:pPr>
        <w:snapToGrid w:val="0"/>
        <w:spacing w:before="120" w:beforeLines="50" w:after="50"/>
        <w:ind w:firstLine="640" w:firstLineChars="200"/>
        <w:rPr>
          <w:rFonts w:ascii="宋体" w:hAnsi="宋体" w:cs="宋体"/>
          <w:bCs/>
          <w:color w:val="auto"/>
          <w:sz w:val="32"/>
          <w:szCs w:val="32"/>
          <w:highlight w:val="none"/>
        </w:rPr>
      </w:pPr>
      <w:r>
        <w:rPr>
          <w:rFonts w:hint="eastAsia" w:ascii="宋体" w:hAnsi="宋体" w:cs="宋体"/>
          <w:bCs/>
          <w:color w:val="auto"/>
          <w:sz w:val="32"/>
          <w:szCs w:val="32"/>
          <w:highlight w:val="none"/>
        </w:rPr>
        <w:t>项目名称：</w:t>
      </w:r>
      <w:bookmarkStart w:id="82" w:name="PO_3000001868_PM002_2"/>
      <w:r>
        <w:rPr>
          <w:rFonts w:hint="eastAsia" w:ascii="宋体" w:hAnsi="宋体" w:cs="宋体"/>
          <w:bCs/>
          <w:color w:val="auto"/>
          <w:sz w:val="32"/>
          <w:szCs w:val="32"/>
          <w:highlight w:val="none"/>
        </w:rPr>
        <w:t>[项目名称]</w:t>
      </w:r>
      <w:bookmarkEnd w:id="82"/>
    </w:p>
    <w:p w14:paraId="0B376345">
      <w:pPr>
        <w:snapToGrid w:val="0"/>
        <w:spacing w:before="120" w:beforeLines="50" w:after="50"/>
        <w:ind w:firstLine="480" w:firstLineChars="150"/>
        <w:rPr>
          <w:rFonts w:ascii="宋体" w:hAnsi="宋体" w:cs="宋体"/>
          <w:bCs/>
          <w:color w:val="auto"/>
          <w:sz w:val="32"/>
          <w:szCs w:val="32"/>
          <w:highlight w:val="none"/>
        </w:rPr>
      </w:pPr>
    </w:p>
    <w:p w14:paraId="127F3CD3">
      <w:pPr>
        <w:snapToGrid w:val="0"/>
        <w:spacing w:before="120" w:beforeLines="50" w:after="50"/>
        <w:ind w:firstLine="640" w:firstLineChars="200"/>
        <w:rPr>
          <w:rFonts w:ascii="宋体" w:hAnsi="宋体" w:cs="宋体"/>
          <w:bCs/>
          <w:color w:val="auto"/>
          <w:sz w:val="32"/>
          <w:szCs w:val="32"/>
          <w:highlight w:val="none"/>
        </w:rPr>
      </w:pPr>
      <w:r>
        <w:rPr>
          <w:rFonts w:hint="eastAsia" w:ascii="宋体" w:hAnsi="宋体" w:cs="宋体"/>
          <w:bCs/>
          <w:color w:val="auto"/>
          <w:sz w:val="32"/>
          <w:szCs w:val="32"/>
          <w:highlight w:val="none"/>
        </w:rPr>
        <w:t>项目编号：</w:t>
      </w:r>
      <w:bookmarkStart w:id="83" w:name="PO_3000001868_PM001_4"/>
      <w:r>
        <w:rPr>
          <w:rFonts w:hint="eastAsia" w:ascii="宋体" w:hAnsi="宋体" w:cs="宋体"/>
          <w:bCs/>
          <w:color w:val="auto"/>
          <w:sz w:val="32"/>
          <w:szCs w:val="32"/>
          <w:highlight w:val="none"/>
        </w:rPr>
        <w:t>[项目编号]</w:t>
      </w:r>
      <w:bookmarkEnd w:id="83"/>
    </w:p>
    <w:p w14:paraId="01D8152E">
      <w:pPr>
        <w:snapToGrid w:val="0"/>
        <w:spacing w:before="120" w:beforeLines="50" w:after="50"/>
        <w:ind w:firstLine="480" w:firstLineChars="150"/>
        <w:rPr>
          <w:rFonts w:ascii="宋体" w:hAnsi="宋体" w:cs="宋体"/>
          <w:bCs/>
          <w:color w:val="auto"/>
          <w:sz w:val="32"/>
          <w:szCs w:val="32"/>
          <w:highlight w:val="none"/>
        </w:rPr>
      </w:pPr>
    </w:p>
    <w:p w14:paraId="5FC13C06">
      <w:pPr>
        <w:snapToGrid w:val="0"/>
        <w:spacing w:before="120" w:beforeLines="50" w:after="50"/>
        <w:ind w:firstLine="640" w:firstLineChars="200"/>
        <w:rPr>
          <w:rFonts w:ascii="宋体" w:hAnsi="宋体" w:cs="宋体"/>
          <w:bCs/>
          <w:color w:val="auto"/>
          <w:sz w:val="32"/>
          <w:szCs w:val="32"/>
          <w:highlight w:val="none"/>
        </w:rPr>
      </w:pPr>
      <w:r>
        <w:rPr>
          <w:rFonts w:hint="eastAsia" w:ascii="宋体" w:hAnsi="宋体" w:cs="宋体"/>
          <w:bCs/>
          <w:color w:val="auto"/>
          <w:sz w:val="32"/>
          <w:szCs w:val="32"/>
          <w:highlight w:val="none"/>
        </w:rPr>
        <w:t>所竞分标（如有则填写，无分标时填写“无”或者留空）：</w:t>
      </w:r>
    </w:p>
    <w:p w14:paraId="23ABFB8A">
      <w:pPr>
        <w:snapToGrid w:val="0"/>
        <w:spacing w:before="120" w:beforeLines="50" w:after="50"/>
        <w:rPr>
          <w:rFonts w:ascii="宋体" w:hAnsi="宋体" w:cs="宋体"/>
          <w:bCs/>
          <w:color w:val="auto"/>
          <w:sz w:val="32"/>
          <w:szCs w:val="32"/>
          <w:highlight w:val="none"/>
        </w:rPr>
      </w:pPr>
    </w:p>
    <w:p w14:paraId="0841CCD4">
      <w:pPr>
        <w:snapToGrid w:val="0"/>
        <w:spacing w:before="120" w:beforeLines="50" w:after="50"/>
        <w:ind w:firstLine="640" w:firstLineChars="200"/>
        <w:rPr>
          <w:rFonts w:ascii="宋体" w:hAnsi="宋体" w:cs="宋体"/>
          <w:bCs/>
          <w:color w:val="auto"/>
          <w:sz w:val="32"/>
          <w:szCs w:val="32"/>
          <w:highlight w:val="none"/>
        </w:rPr>
      </w:pPr>
      <w:r>
        <w:rPr>
          <w:rFonts w:hint="eastAsia" w:ascii="宋体" w:hAnsi="宋体" w:cs="宋体"/>
          <w:bCs/>
          <w:color w:val="auto"/>
          <w:sz w:val="32"/>
          <w:szCs w:val="32"/>
          <w:highlight w:val="none"/>
        </w:rPr>
        <w:t>供应商名称：</w:t>
      </w:r>
    </w:p>
    <w:p w14:paraId="33568253">
      <w:pPr>
        <w:snapToGrid w:val="0"/>
        <w:spacing w:before="120" w:beforeLines="50" w:after="50"/>
        <w:rPr>
          <w:rFonts w:ascii="宋体" w:hAnsi="宋体" w:cs="宋体"/>
          <w:bCs/>
          <w:color w:val="auto"/>
          <w:sz w:val="32"/>
          <w:szCs w:val="32"/>
          <w:highlight w:val="none"/>
        </w:rPr>
      </w:pPr>
    </w:p>
    <w:p w14:paraId="6472E301">
      <w:pPr>
        <w:snapToGrid w:val="0"/>
        <w:spacing w:before="120" w:beforeLines="50" w:after="50"/>
        <w:ind w:firstLine="480" w:firstLineChars="150"/>
        <w:jc w:val="center"/>
        <w:rPr>
          <w:rFonts w:ascii="宋体" w:hAnsi="宋体" w:cs="宋体"/>
          <w:bCs/>
          <w:color w:val="auto"/>
          <w:sz w:val="32"/>
          <w:szCs w:val="32"/>
          <w:highlight w:val="none"/>
        </w:rPr>
      </w:pPr>
      <w:r>
        <w:rPr>
          <w:rFonts w:hint="eastAsia" w:ascii="宋体" w:hAnsi="宋体" w:cs="宋体"/>
          <w:bCs/>
          <w:color w:val="auto"/>
          <w:sz w:val="32"/>
          <w:szCs w:val="32"/>
          <w:highlight w:val="none"/>
        </w:rPr>
        <w:t>首次响应文件提交截止时间前不得解密</w:t>
      </w:r>
    </w:p>
    <w:p w14:paraId="14C20249">
      <w:pPr>
        <w:snapToGrid w:val="0"/>
        <w:spacing w:before="120" w:beforeLines="50" w:after="50"/>
        <w:ind w:firstLine="5440" w:firstLineChars="1700"/>
        <w:jc w:val="center"/>
        <w:rPr>
          <w:rFonts w:ascii="宋体" w:hAnsi="宋体" w:cs="宋体"/>
          <w:bCs/>
          <w:color w:val="auto"/>
          <w:sz w:val="32"/>
          <w:szCs w:val="32"/>
          <w:highlight w:val="none"/>
        </w:rPr>
      </w:pPr>
    </w:p>
    <w:p w14:paraId="6F3F9863">
      <w:pPr>
        <w:snapToGrid w:val="0"/>
        <w:spacing w:before="120" w:beforeLines="50" w:after="50"/>
        <w:ind w:firstLine="645"/>
        <w:jc w:val="center"/>
        <w:rPr>
          <w:rFonts w:ascii="宋体" w:hAnsi="宋体" w:cs="宋体"/>
          <w:bCs/>
          <w:color w:val="auto"/>
          <w:sz w:val="32"/>
          <w:szCs w:val="32"/>
          <w:highlight w:val="none"/>
        </w:rPr>
      </w:pPr>
      <w:r>
        <w:rPr>
          <w:rFonts w:hint="eastAsia" w:ascii="宋体" w:hAnsi="宋体" w:cs="宋体"/>
          <w:bCs/>
          <w:color w:val="auto"/>
          <w:sz w:val="32"/>
          <w:szCs w:val="32"/>
          <w:highlight w:val="none"/>
        </w:rPr>
        <w:t>年    月    日</w:t>
      </w:r>
    </w:p>
    <w:p w14:paraId="4BA4FB8D">
      <w:pPr>
        <w:widowControl/>
        <w:jc w:val="left"/>
        <w:rPr>
          <w:rFonts w:ascii="宋体" w:hAnsi="宋体" w:cs="宋体"/>
          <w:color w:val="auto"/>
          <w:highlight w:val="none"/>
        </w:rPr>
        <w:sectPr>
          <w:pgSz w:w="11910" w:h="16840"/>
          <w:pgMar w:top="1134" w:right="1134" w:bottom="1134" w:left="1134" w:header="720" w:footer="720" w:gutter="0"/>
          <w:cols w:space="0" w:num="1"/>
          <w:rtlGutter w:val="0"/>
        </w:sectPr>
      </w:pPr>
    </w:p>
    <w:p w14:paraId="4DEE7199">
      <w:pPr>
        <w:pStyle w:val="3"/>
        <w:jc w:val="center"/>
        <w:rPr>
          <w:rFonts w:ascii="宋体" w:hAnsi="宋体" w:cs="宋体"/>
          <w:bCs w:val="0"/>
          <w:color w:val="auto"/>
          <w:highlight w:val="none"/>
        </w:rPr>
      </w:pPr>
      <w:bookmarkStart w:id="84" w:name="_Toc17988"/>
      <w:bookmarkStart w:id="85" w:name="_Toc80205939"/>
      <w:r>
        <w:rPr>
          <w:rFonts w:hint="eastAsia" w:ascii="宋体" w:hAnsi="宋体" w:cs="宋体"/>
          <w:bCs w:val="0"/>
          <w:color w:val="auto"/>
          <w:highlight w:val="none"/>
        </w:rPr>
        <w:t>第二节 资格证明文件格式</w:t>
      </w:r>
      <w:bookmarkEnd w:id="84"/>
      <w:bookmarkEnd w:id="85"/>
    </w:p>
    <w:p w14:paraId="48077752">
      <w:pPr>
        <w:snapToGrid w:val="0"/>
        <w:spacing w:before="120" w:beforeLines="50" w:after="50"/>
        <w:rPr>
          <w:rFonts w:ascii="宋体" w:hAnsi="宋体" w:cs="宋体"/>
          <w:bCs/>
          <w:color w:val="auto"/>
          <w:sz w:val="32"/>
          <w:szCs w:val="20"/>
          <w:highlight w:val="none"/>
        </w:rPr>
      </w:pPr>
      <w:r>
        <w:rPr>
          <w:rFonts w:hint="eastAsia" w:ascii="宋体" w:hAnsi="宋体" w:cs="宋体"/>
          <w:color w:val="auto"/>
          <w:sz w:val="24"/>
          <w:highlight w:val="none"/>
        </w:rPr>
        <w:t xml:space="preserve">                                                    </w:t>
      </w:r>
      <w:r>
        <w:rPr>
          <w:rFonts w:hint="eastAsia" w:ascii="宋体" w:hAnsi="宋体" w:cs="宋体"/>
          <w:bCs/>
          <w:color w:val="auto"/>
          <w:highlight w:val="none"/>
        </w:rPr>
        <w:t>全流程电子文件</w:t>
      </w:r>
    </w:p>
    <w:p w14:paraId="033E08D7">
      <w:pPr>
        <w:snapToGrid w:val="0"/>
        <w:spacing w:before="120" w:beforeLines="50" w:after="50"/>
        <w:rPr>
          <w:rFonts w:ascii="宋体" w:hAnsi="宋体" w:cs="宋体"/>
          <w:color w:val="auto"/>
          <w:sz w:val="24"/>
          <w:szCs w:val="20"/>
          <w:highlight w:val="none"/>
        </w:rPr>
      </w:pPr>
    </w:p>
    <w:p w14:paraId="6387CC65">
      <w:pPr>
        <w:snapToGrid w:val="0"/>
        <w:spacing w:before="120" w:beforeLines="50" w:after="50"/>
        <w:rPr>
          <w:rFonts w:ascii="宋体" w:hAnsi="宋体" w:cs="宋体"/>
          <w:color w:val="auto"/>
          <w:sz w:val="24"/>
          <w:szCs w:val="20"/>
          <w:highlight w:val="none"/>
        </w:rPr>
      </w:pPr>
    </w:p>
    <w:p w14:paraId="7981905B">
      <w:pPr>
        <w:snapToGrid w:val="0"/>
        <w:spacing w:before="120" w:beforeLines="50" w:after="50"/>
        <w:jc w:val="center"/>
        <w:rPr>
          <w:rFonts w:ascii="宋体" w:hAnsi="宋体" w:cs="宋体"/>
          <w:bCs/>
          <w:color w:val="auto"/>
          <w:sz w:val="44"/>
          <w:szCs w:val="44"/>
          <w:highlight w:val="none"/>
        </w:rPr>
      </w:pPr>
      <w:r>
        <w:rPr>
          <w:rFonts w:hint="eastAsia" w:ascii="宋体" w:hAnsi="宋体" w:cs="宋体"/>
          <w:bCs/>
          <w:color w:val="auto"/>
          <w:sz w:val="44"/>
          <w:szCs w:val="44"/>
          <w:highlight w:val="none"/>
        </w:rPr>
        <w:t>资  格  证  明  文  件（封面）</w:t>
      </w:r>
    </w:p>
    <w:p w14:paraId="7EC15058">
      <w:pPr>
        <w:snapToGrid w:val="0"/>
        <w:spacing w:before="120" w:beforeLines="50" w:after="50"/>
        <w:rPr>
          <w:rFonts w:ascii="宋体" w:hAnsi="宋体" w:cs="宋体"/>
          <w:bCs/>
          <w:color w:val="auto"/>
          <w:sz w:val="24"/>
          <w:szCs w:val="20"/>
          <w:highlight w:val="none"/>
        </w:rPr>
      </w:pPr>
    </w:p>
    <w:p w14:paraId="429C0E72">
      <w:pPr>
        <w:snapToGrid w:val="0"/>
        <w:spacing w:before="120" w:beforeLines="50" w:after="50"/>
        <w:rPr>
          <w:rFonts w:ascii="宋体" w:hAnsi="宋体" w:cs="宋体"/>
          <w:bCs/>
          <w:color w:val="auto"/>
          <w:sz w:val="24"/>
          <w:szCs w:val="20"/>
          <w:highlight w:val="none"/>
        </w:rPr>
      </w:pPr>
    </w:p>
    <w:p w14:paraId="5C0EE3A9">
      <w:pPr>
        <w:snapToGrid w:val="0"/>
        <w:spacing w:before="120" w:beforeLines="50" w:after="50"/>
        <w:rPr>
          <w:rFonts w:ascii="宋体" w:hAnsi="宋体" w:cs="宋体"/>
          <w:bCs/>
          <w:color w:val="auto"/>
          <w:sz w:val="24"/>
          <w:szCs w:val="20"/>
          <w:highlight w:val="none"/>
        </w:rPr>
      </w:pPr>
    </w:p>
    <w:p w14:paraId="7FBB11A7">
      <w:pPr>
        <w:snapToGrid w:val="0"/>
        <w:spacing w:before="120" w:beforeLines="50" w:after="50"/>
        <w:rPr>
          <w:rFonts w:ascii="宋体" w:hAnsi="宋体" w:cs="宋体"/>
          <w:bCs/>
          <w:color w:val="auto"/>
          <w:sz w:val="24"/>
          <w:szCs w:val="20"/>
          <w:highlight w:val="none"/>
        </w:rPr>
      </w:pPr>
    </w:p>
    <w:p w14:paraId="328C5CD1">
      <w:pPr>
        <w:snapToGrid w:val="0"/>
        <w:spacing w:before="120" w:beforeLines="50" w:after="50"/>
        <w:rPr>
          <w:rFonts w:ascii="宋体" w:hAnsi="宋体" w:cs="宋体"/>
          <w:bCs/>
          <w:color w:val="auto"/>
          <w:sz w:val="24"/>
          <w:szCs w:val="20"/>
          <w:highlight w:val="none"/>
        </w:rPr>
      </w:pPr>
    </w:p>
    <w:p w14:paraId="4EFEC305">
      <w:pPr>
        <w:snapToGrid w:val="0"/>
        <w:spacing w:before="120" w:beforeLines="50" w:after="50"/>
        <w:ind w:firstLine="640" w:firstLineChars="200"/>
        <w:rPr>
          <w:rFonts w:ascii="宋体" w:hAnsi="宋体" w:cs="宋体"/>
          <w:bCs/>
          <w:color w:val="auto"/>
          <w:sz w:val="32"/>
          <w:szCs w:val="32"/>
          <w:highlight w:val="none"/>
        </w:rPr>
      </w:pPr>
      <w:r>
        <w:rPr>
          <w:rFonts w:hint="eastAsia" w:ascii="宋体" w:hAnsi="宋体" w:cs="宋体"/>
          <w:bCs/>
          <w:color w:val="auto"/>
          <w:sz w:val="32"/>
          <w:szCs w:val="32"/>
          <w:highlight w:val="none"/>
        </w:rPr>
        <w:t>项目名称：</w:t>
      </w:r>
      <w:bookmarkStart w:id="86" w:name="PO_3000001868_PM002_3"/>
      <w:r>
        <w:rPr>
          <w:rFonts w:hint="eastAsia" w:ascii="宋体" w:hAnsi="宋体" w:cs="宋体"/>
          <w:bCs/>
          <w:color w:val="auto"/>
          <w:sz w:val="32"/>
          <w:szCs w:val="32"/>
          <w:highlight w:val="none"/>
        </w:rPr>
        <w:t>[项目名称]</w:t>
      </w:r>
      <w:bookmarkEnd w:id="86"/>
    </w:p>
    <w:p w14:paraId="6F169B30">
      <w:pPr>
        <w:snapToGrid w:val="0"/>
        <w:spacing w:before="120" w:beforeLines="50" w:after="50"/>
        <w:ind w:firstLine="720" w:firstLineChars="225"/>
        <w:rPr>
          <w:rFonts w:ascii="宋体" w:hAnsi="宋体" w:cs="宋体"/>
          <w:bCs/>
          <w:color w:val="auto"/>
          <w:sz w:val="32"/>
          <w:szCs w:val="32"/>
          <w:highlight w:val="none"/>
        </w:rPr>
      </w:pPr>
    </w:p>
    <w:p w14:paraId="5B46C94B">
      <w:pPr>
        <w:snapToGrid w:val="0"/>
        <w:spacing w:before="120" w:beforeLines="50" w:after="50"/>
        <w:ind w:firstLine="720" w:firstLineChars="225"/>
        <w:rPr>
          <w:rFonts w:ascii="宋体" w:hAnsi="宋体" w:cs="宋体"/>
          <w:bCs/>
          <w:color w:val="auto"/>
          <w:sz w:val="32"/>
          <w:szCs w:val="32"/>
          <w:highlight w:val="none"/>
        </w:rPr>
      </w:pPr>
      <w:r>
        <w:rPr>
          <w:rFonts w:hint="eastAsia" w:ascii="宋体" w:hAnsi="宋体" w:cs="宋体"/>
          <w:bCs/>
          <w:color w:val="auto"/>
          <w:sz w:val="32"/>
          <w:szCs w:val="32"/>
          <w:highlight w:val="none"/>
        </w:rPr>
        <w:t>项目编号：</w:t>
      </w:r>
      <w:bookmarkStart w:id="87" w:name="PO_3000001868_PM001_5"/>
      <w:r>
        <w:rPr>
          <w:rFonts w:hint="eastAsia" w:ascii="宋体" w:hAnsi="宋体" w:cs="宋体"/>
          <w:bCs/>
          <w:color w:val="auto"/>
          <w:sz w:val="32"/>
          <w:szCs w:val="32"/>
          <w:highlight w:val="none"/>
        </w:rPr>
        <w:t>[项目编号]</w:t>
      </w:r>
      <w:bookmarkEnd w:id="87"/>
    </w:p>
    <w:p w14:paraId="712C4994">
      <w:pPr>
        <w:snapToGrid w:val="0"/>
        <w:spacing w:before="120" w:beforeLines="50" w:after="50"/>
        <w:ind w:firstLine="720" w:firstLineChars="225"/>
        <w:rPr>
          <w:rFonts w:ascii="宋体" w:hAnsi="宋体" w:cs="宋体"/>
          <w:bCs/>
          <w:color w:val="auto"/>
          <w:sz w:val="32"/>
          <w:szCs w:val="32"/>
          <w:highlight w:val="none"/>
        </w:rPr>
      </w:pPr>
      <w:r>
        <w:rPr>
          <w:rFonts w:hint="eastAsia" w:ascii="宋体" w:hAnsi="宋体" w:cs="宋体"/>
          <w:bCs/>
          <w:color w:val="auto"/>
          <w:sz w:val="32"/>
          <w:szCs w:val="32"/>
          <w:highlight w:val="none"/>
        </w:rPr>
        <w:t xml:space="preserve"> </w:t>
      </w:r>
    </w:p>
    <w:p w14:paraId="5DB8444A">
      <w:pPr>
        <w:snapToGrid w:val="0"/>
        <w:spacing w:before="120" w:beforeLines="50" w:after="50"/>
        <w:ind w:firstLine="720" w:firstLineChars="225"/>
        <w:rPr>
          <w:rFonts w:ascii="宋体" w:hAnsi="宋体" w:cs="宋体"/>
          <w:bCs/>
          <w:color w:val="auto"/>
          <w:sz w:val="32"/>
          <w:szCs w:val="32"/>
          <w:highlight w:val="none"/>
        </w:rPr>
      </w:pPr>
      <w:r>
        <w:rPr>
          <w:rFonts w:hint="eastAsia" w:ascii="宋体" w:hAnsi="宋体" w:cs="宋体"/>
          <w:bCs/>
          <w:color w:val="auto"/>
          <w:sz w:val="32"/>
          <w:szCs w:val="32"/>
          <w:highlight w:val="none"/>
        </w:rPr>
        <w:t>所竞分标（如有则填写，无分标时填写“无”或者留空）：</w:t>
      </w:r>
    </w:p>
    <w:p w14:paraId="0F375C07">
      <w:pPr>
        <w:snapToGrid w:val="0"/>
        <w:spacing w:before="120" w:beforeLines="50" w:after="50"/>
        <w:ind w:firstLine="720" w:firstLineChars="225"/>
        <w:rPr>
          <w:rFonts w:ascii="宋体" w:hAnsi="宋体" w:cs="宋体"/>
          <w:bCs/>
          <w:color w:val="auto"/>
          <w:sz w:val="32"/>
          <w:szCs w:val="32"/>
          <w:highlight w:val="none"/>
        </w:rPr>
      </w:pPr>
    </w:p>
    <w:p w14:paraId="6C76FA6B">
      <w:pPr>
        <w:pStyle w:val="8"/>
        <w:snapToGrid w:val="0"/>
        <w:spacing w:before="50" w:after="50"/>
        <w:ind w:firstLine="720" w:firstLineChars="225"/>
        <w:rPr>
          <w:rFonts w:ascii="宋体" w:hAnsi="宋体" w:cs="宋体"/>
          <w:bCs/>
          <w:color w:val="auto"/>
          <w:sz w:val="32"/>
          <w:szCs w:val="32"/>
          <w:highlight w:val="none"/>
        </w:rPr>
      </w:pPr>
      <w:r>
        <w:rPr>
          <w:rFonts w:hint="eastAsia" w:ascii="宋体" w:hAnsi="宋体" w:cs="宋体"/>
          <w:bCs/>
          <w:color w:val="auto"/>
          <w:sz w:val="32"/>
          <w:szCs w:val="32"/>
          <w:highlight w:val="none"/>
        </w:rPr>
        <w:t>供应商名称：</w:t>
      </w:r>
    </w:p>
    <w:p w14:paraId="7874A5C2">
      <w:pPr>
        <w:pStyle w:val="8"/>
        <w:snapToGrid w:val="0"/>
        <w:spacing w:before="50" w:after="50"/>
        <w:ind w:firstLine="720" w:firstLineChars="225"/>
        <w:rPr>
          <w:rFonts w:ascii="宋体" w:hAnsi="宋体" w:cs="宋体"/>
          <w:bCs/>
          <w:color w:val="auto"/>
          <w:sz w:val="32"/>
          <w:szCs w:val="32"/>
          <w:highlight w:val="none"/>
        </w:rPr>
      </w:pPr>
    </w:p>
    <w:p w14:paraId="50483754">
      <w:pPr>
        <w:pStyle w:val="8"/>
        <w:snapToGrid w:val="0"/>
        <w:spacing w:before="50" w:after="50"/>
        <w:ind w:firstLine="720" w:firstLineChars="225"/>
        <w:rPr>
          <w:rFonts w:ascii="宋体" w:hAnsi="宋体" w:cs="宋体"/>
          <w:bCs/>
          <w:color w:val="auto"/>
          <w:sz w:val="32"/>
          <w:szCs w:val="32"/>
          <w:highlight w:val="none"/>
        </w:rPr>
      </w:pPr>
    </w:p>
    <w:p w14:paraId="3BA8B438">
      <w:pPr>
        <w:pStyle w:val="8"/>
        <w:snapToGrid w:val="0"/>
        <w:spacing w:before="50" w:after="50"/>
        <w:ind w:firstLine="720" w:firstLineChars="225"/>
        <w:rPr>
          <w:rFonts w:ascii="宋体" w:hAnsi="宋体" w:cs="宋体"/>
          <w:bCs/>
          <w:color w:val="auto"/>
          <w:sz w:val="32"/>
          <w:szCs w:val="32"/>
          <w:highlight w:val="none"/>
        </w:rPr>
      </w:pPr>
    </w:p>
    <w:p w14:paraId="053AC87E">
      <w:pPr>
        <w:pStyle w:val="8"/>
        <w:snapToGrid w:val="0"/>
        <w:spacing w:before="50" w:after="50"/>
        <w:ind w:firstLine="1280" w:firstLineChars="400"/>
        <w:rPr>
          <w:rFonts w:ascii="宋体" w:hAnsi="宋体" w:cs="宋体"/>
          <w:bCs/>
          <w:color w:val="auto"/>
          <w:sz w:val="32"/>
          <w:szCs w:val="32"/>
          <w:highlight w:val="none"/>
        </w:rPr>
      </w:pPr>
    </w:p>
    <w:p w14:paraId="030F9EE9">
      <w:pPr>
        <w:snapToGrid w:val="0"/>
        <w:spacing w:before="120" w:beforeLines="50" w:after="50"/>
        <w:jc w:val="center"/>
        <w:rPr>
          <w:rFonts w:ascii="宋体" w:hAnsi="宋体" w:cs="宋体"/>
          <w:color w:val="auto"/>
          <w:sz w:val="32"/>
          <w:szCs w:val="32"/>
          <w:highlight w:val="none"/>
        </w:rPr>
      </w:pPr>
      <w:r>
        <w:rPr>
          <w:rFonts w:hint="eastAsia" w:ascii="宋体" w:hAnsi="宋体" w:cs="宋体"/>
          <w:color w:val="auto"/>
          <w:sz w:val="32"/>
          <w:szCs w:val="32"/>
          <w:highlight w:val="none"/>
        </w:rPr>
        <w:t>年    月    日</w:t>
      </w:r>
    </w:p>
    <w:p w14:paraId="1D2407F0">
      <w:pPr>
        <w:snapToGrid w:val="0"/>
        <w:spacing w:before="120" w:beforeLines="50" w:after="50" w:line="360" w:lineRule="auto"/>
        <w:jc w:val="left"/>
        <w:rPr>
          <w:rFonts w:ascii="宋体" w:hAnsi="宋体" w:cs="宋体"/>
          <w:b/>
          <w:bCs/>
          <w:color w:val="auto"/>
          <w:sz w:val="32"/>
          <w:szCs w:val="32"/>
          <w:highlight w:val="none"/>
        </w:rPr>
      </w:pPr>
      <w:r>
        <w:rPr>
          <w:rFonts w:hint="eastAsia" w:ascii="宋体" w:hAnsi="宋体" w:cs="宋体"/>
          <w:color w:val="auto"/>
          <w:sz w:val="24"/>
          <w:highlight w:val="none"/>
        </w:rPr>
        <w:br w:type="page"/>
      </w:r>
      <w:r>
        <w:rPr>
          <w:rFonts w:hint="eastAsia" w:ascii="宋体" w:hAnsi="宋体" w:cs="宋体"/>
          <w:b/>
          <w:bCs/>
          <w:color w:val="auto"/>
          <w:sz w:val="32"/>
          <w:szCs w:val="32"/>
          <w:highlight w:val="none"/>
        </w:rPr>
        <w:t xml:space="preserve"> </w:t>
      </w:r>
    </w:p>
    <w:p w14:paraId="1A8EF9C0">
      <w:pPr>
        <w:jc w:val="cente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资格证明文件目录</w:t>
      </w:r>
    </w:p>
    <w:p w14:paraId="3B38F007">
      <w:pPr>
        <w:snapToGrid w:val="0"/>
        <w:spacing w:line="360" w:lineRule="auto"/>
        <w:rPr>
          <w:rFonts w:ascii="宋体" w:hAnsi="宋体" w:cs="宋体"/>
          <w:color w:val="auto"/>
          <w:kern w:val="0"/>
          <w:sz w:val="24"/>
          <w:highlight w:val="none"/>
        </w:rPr>
      </w:pPr>
    </w:p>
    <w:p w14:paraId="16CB0A4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一、</w:t>
      </w:r>
      <w:r>
        <w:rPr>
          <w:rFonts w:hint="eastAsia" w:ascii="宋体" w:hAnsi="宋体" w:cs="宋体"/>
          <w:color w:val="auto"/>
          <w:sz w:val="24"/>
          <w:highlight w:val="none"/>
        </w:rPr>
        <w:t>营业执照(或事业法人登记证或其他工商等登记证明材料)复印件（供应商为自然人的，须提供</w:t>
      </w:r>
      <w:r>
        <w:rPr>
          <w:rFonts w:hint="eastAsia" w:ascii="宋体" w:hAnsi="宋体" w:cs="宋体"/>
          <w:color w:val="auto"/>
          <w:kern w:val="0"/>
          <w:sz w:val="24"/>
          <w:highlight w:val="none"/>
        </w:rPr>
        <w:t>自然人的身份证明</w:t>
      </w:r>
      <w:r>
        <w:rPr>
          <w:rFonts w:hint="eastAsia" w:ascii="宋体" w:hAnsi="宋体" w:cs="宋体"/>
          <w:color w:val="auto"/>
          <w:sz w:val="24"/>
          <w:highlight w:val="none"/>
        </w:rPr>
        <w:t>）</w:t>
      </w:r>
      <w:r>
        <w:rPr>
          <w:rFonts w:hint="eastAsia" w:ascii="宋体" w:hAnsi="宋体" w:cs="宋体"/>
          <w:color w:val="auto"/>
          <w:kern w:val="0"/>
          <w:sz w:val="24"/>
          <w:highlight w:val="none"/>
        </w:rPr>
        <w:t>…………………………………………………………（页码）</w:t>
      </w:r>
    </w:p>
    <w:p w14:paraId="0656CAC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二、符合参与政府采购活动的资格条件依法缴纳税收、社会保障资金等方面的材料………………………………………………………………………………………（页码）</w:t>
      </w:r>
    </w:p>
    <w:p w14:paraId="4AADB42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三、财务状况报告方面的材料………………………………………………………（页码）</w:t>
      </w:r>
    </w:p>
    <w:p w14:paraId="04E4BB59">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四、供应商直接控股股东信息</w:t>
      </w:r>
      <w:r>
        <w:rPr>
          <w:rFonts w:hint="eastAsia" w:ascii="宋体" w:hAnsi="宋体" w:cs="宋体"/>
          <w:color w:val="auto"/>
          <w:kern w:val="0"/>
          <w:sz w:val="24"/>
          <w:highlight w:val="none"/>
        </w:rPr>
        <w:t>………………………………………………………（页码）</w:t>
      </w:r>
    </w:p>
    <w:p w14:paraId="55F3F8E2">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五、供应商直接关联关系信息表</w:t>
      </w:r>
      <w:r>
        <w:rPr>
          <w:rFonts w:hint="eastAsia" w:ascii="宋体" w:hAnsi="宋体" w:cs="宋体"/>
          <w:color w:val="auto"/>
          <w:kern w:val="0"/>
          <w:sz w:val="24"/>
          <w:highlight w:val="none"/>
        </w:rPr>
        <w:t>……………………………………………………（页码）</w:t>
      </w:r>
    </w:p>
    <w:p w14:paraId="0B9FCEBF">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六、资格声明函………………………………………………………………………（页码）</w:t>
      </w:r>
    </w:p>
    <w:p w14:paraId="0CCB244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七、联合体协议书（</w:t>
      </w:r>
      <w:r>
        <w:rPr>
          <w:rFonts w:hint="eastAsia" w:ascii="宋体" w:hAnsi="宋体" w:cs="宋体"/>
          <w:color w:val="auto"/>
          <w:sz w:val="24"/>
          <w:highlight w:val="none"/>
          <w:lang w:val="en-US" w:eastAsia="zh-CN"/>
        </w:rPr>
        <w:t>以联合体形式投标的，提供联合体协议</w:t>
      </w:r>
      <w:r>
        <w:rPr>
          <w:rFonts w:hint="eastAsia" w:ascii="宋体" w:hAnsi="宋体" w:cs="宋体"/>
          <w:color w:val="auto"/>
          <w:kern w:val="0"/>
          <w:sz w:val="24"/>
          <w:highlight w:val="none"/>
        </w:rPr>
        <w:t>）…………………（页码）</w:t>
      </w:r>
    </w:p>
    <w:p w14:paraId="683C1FD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八、中小企业声明函或残疾人福利性单位声明函或属于监狱企业的证明文件</w:t>
      </w:r>
      <w:r>
        <w:rPr>
          <w:rFonts w:hint="eastAsia" w:ascii="宋体" w:hAnsi="宋体" w:cs="宋体"/>
          <w:color w:val="auto"/>
          <w:kern w:val="0"/>
          <w:sz w:val="24"/>
          <w:highlight w:val="none"/>
        </w:rPr>
        <w:t>…（页码）</w:t>
      </w:r>
    </w:p>
    <w:p w14:paraId="659E9010">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九、资格证书：</w:t>
      </w:r>
      <w:r>
        <w:rPr>
          <w:rFonts w:hint="eastAsia" w:ascii="宋体" w:hAnsi="宋体" w:cs="宋体"/>
          <w:color w:val="auto"/>
          <w:kern w:val="0"/>
          <w:sz w:val="24"/>
          <w:highlight w:val="none"/>
        </w:rPr>
        <w:t>………………………………………………………………………（页码）</w:t>
      </w:r>
    </w:p>
    <w:p w14:paraId="2393AB84">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十、建设工程项目管理承诺书</w:t>
      </w:r>
      <w:r>
        <w:rPr>
          <w:rFonts w:hint="eastAsia" w:ascii="宋体" w:hAnsi="宋体" w:cs="宋体"/>
          <w:color w:val="auto"/>
          <w:kern w:val="0"/>
          <w:sz w:val="24"/>
          <w:highlight w:val="none"/>
        </w:rPr>
        <w:t>………………………………………………………（页码）</w:t>
      </w:r>
    </w:p>
    <w:p w14:paraId="2766AD4A">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注：以上目录是编制供应商响应文件的基本格式要求，各供应商可根据自身情况进一步细化。</w:t>
      </w:r>
    </w:p>
    <w:p w14:paraId="7E6A2D99">
      <w:pPr>
        <w:snapToGrid w:val="0"/>
        <w:spacing w:before="120" w:beforeLines="50" w:after="50" w:line="360" w:lineRule="auto"/>
        <w:ind w:left="142" w:firstLine="420" w:firstLineChars="200"/>
        <w:jc w:val="left"/>
        <w:rPr>
          <w:rFonts w:ascii="宋体" w:hAnsi="宋体" w:cs="宋体"/>
          <w:color w:val="auto"/>
          <w:szCs w:val="21"/>
          <w:highlight w:val="none"/>
        </w:rPr>
      </w:pPr>
    </w:p>
    <w:p w14:paraId="4BB7F786">
      <w:pPr>
        <w:spacing w:line="300" w:lineRule="auto"/>
        <w:rPr>
          <w:rFonts w:ascii="宋体" w:hAnsi="宋体" w:cs="宋体"/>
          <w:color w:val="auto"/>
          <w:szCs w:val="21"/>
          <w:highlight w:val="none"/>
        </w:rPr>
      </w:pPr>
    </w:p>
    <w:p w14:paraId="55581056">
      <w:pPr>
        <w:spacing w:line="300" w:lineRule="auto"/>
        <w:rPr>
          <w:rFonts w:ascii="宋体" w:hAnsi="宋体" w:cs="宋体"/>
          <w:color w:val="auto"/>
          <w:szCs w:val="21"/>
          <w:highlight w:val="none"/>
        </w:rPr>
      </w:pPr>
    </w:p>
    <w:p w14:paraId="229C01FB">
      <w:pPr>
        <w:spacing w:line="300" w:lineRule="auto"/>
        <w:rPr>
          <w:rFonts w:ascii="宋体" w:hAnsi="宋体" w:cs="宋体"/>
          <w:color w:val="auto"/>
          <w:szCs w:val="21"/>
          <w:highlight w:val="none"/>
        </w:rPr>
      </w:pPr>
    </w:p>
    <w:p w14:paraId="2722F4B0">
      <w:pPr>
        <w:spacing w:line="300" w:lineRule="auto"/>
        <w:rPr>
          <w:rFonts w:ascii="宋体" w:hAnsi="宋体" w:cs="宋体"/>
          <w:color w:val="auto"/>
          <w:szCs w:val="21"/>
          <w:highlight w:val="none"/>
        </w:rPr>
      </w:pPr>
    </w:p>
    <w:p w14:paraId="2E8B43C3">
      <w:pPr>
        <w:spacing w:line="300" w:lineRule="auto"/>
        <w:rPr>
          <w:rFonts w:ascii="宋体" w:hAnsi="宋体" w:cs="宋体"/>
          <w:color w:val="auto"/>
          <w:szCs w:val="21"/>
          <w:highlight w:val="none"/>
        </w:rPr>
      </w:pPr>
    </w:p>
    <w:p w14:paraId="7C1D644C">
      <w:pPr>
        <w:spacing w:line="300" w:lineRule="auto"/>
        <w:rPr>
          <w:rFonts w:ascii="宋体" w:hAnsi="宋体" w:cs="宋体"/>
          <w:color w:val="auto"/>
          <w:szCs w:val="21"/>
          <w:highlight w:val="none"/>
        </w:rPr>
      </w:pPr>
    </w:p>
    <w:p w14:paraId="47014B6D">
      <w:pPr>
        <w:spacing w:line="300" w:lineRule="auto"/>
        <w:rPr>
          <w:rFonts w:ascii="宋体" w:hAnsi="宋体" w:cs="宋体"/>
          <w:color w:val="auto"/>
          <w:szCs w:val="21"/>
          <w:highlight w:val="none"/>
        </w:rPr>
      </w:pPr>
    </w:p>
    <w:p w14:paraId="3134E4FD">
      <w:pPr>
        <w:spacing w:line="300" w:lineRule="auto"/>
        <w:rPr>
          <w:rFonts w:ascii="宋体" w:hAnsi="宋体" w:cs="宋体"/>
          <w:color w:val="auto"/>
          <w:szCs w:val="21"/>
          <w:highlight w:val="none"/>
        </w:rPr>
      </w:pPr>
    </w:p>
    <w:p w14:paraId="50CD81D5">
      <w:pPr>
        <w:spacing w:line="300" w:lineRule="auto"/>
        <w:rPr>
          <w:rFonts w:ascii="宋体" w:hAnsi="宋体" w:cs="宋体"/>
          <w:color w:val="auto"/>
          <w:szCs w:val="21"/>
          <w:highlight w:val="none"/>
        </w:rPr>
      </w:pPr>
    </w:p>
    <w:p w14:paraId="69C94829">
      <w:pPr>
        <w:spacing w:line="300" w:lineRule="auto"/>
        <w:rPr>
          <w:rFonts w:ascii="宋体" w:hAnsi="宋体" w:cs="宋体"/>
          <w:color w:val="auto"/>
          <w:szCs w:val="21"/>
          <w:highlight w:val="none"/>
        </w:rPr>
      </w:pPr>
    </w:p>
    <w:p w14:paraId="6931BC18">
      <w:pPr>
        <w:spacing w:line="300" w:lineRule="auto"/>
        <w:rPr>
          <w:rFonts w:ascii="宋体" w:hAnsi="宋体" w:cs="宋体"/>
          <w:color w:val="auto"/>
          <w:szCs w:val="21"/>
          <w:highlight w:val="none"/>
        </w:rPr>
      </w:pPr>
    </w:p>
    <w:p w14:paraId="7F66D069">
      <w:pPr>
        <w:spacing w:line="300" w:lineRule="auto"/>
        <w:rPr>
          <w:rFonts w:ascii="宋体" w:hAnsi="宋体" w:cs="宋体"/>
          <w:color w:val="auto"/>
          <w:szCs w:val="21"/>
          <w:highlight w:val="none"/>
        </w:rPr>
      </w:pPr>
    </w:p>
    <w:p w14:paraId="3437E63C">
      <w:pPr>
        <w:pStyle w:val="32"/>
        <w:rPr>
          <w:rFonts w:ascii="宋体" w:hAnsi="宋体" w:cs="宋体"/>
          <w:color w:val="auto"/>
          <w:szCs w:val="21"/>
          <w:highlight w:val="none"/>
        </w:rPr>
      </w:pPr>
    </w:p>
    <w:p w14:paraId="76005982">
      <w:pPr>
        <w:rPr>
          <w:color w:val="auto"/>
          <w:highlight w:val="none"/>
        </w:rPr>
      </w:pPr>
    </w:p>
    <w:p w14:paraId="544A2D94">
      <w:pPr>
        <w:spacing w:line="300" w:lineRule="auto"/>
        <w:rPr>
          <w:rFonts w:ascii="宋体" w:hAnsi="宋体" w:cs="宋体"/>
          <w:color w:val="auto"/>
          <w:szCs w:val="21"/>
          <w:highlight w:val="none"/>
        </w:rPr>
      </w:pPr>
    </w:p>
    <w:p w14:paraId="5850D41D">
      <w:pPr>
        <w:spacing w:line="300" w:lineRule="auto"/>
        <w:rPr>
          <w:rFonts w:ascii="宋体" w:hAnsi="宋体" w:cs="宋体"/>
          <w:color w:val="auto"/>
          <w:szCs w:val="21"/>
          <w:highlight w:val="none"/>
        </w:rPr>
      </w:pPr>
    </w:p>
    <w:p w14:paraId="2965245C">
      <w:pPr>
        <w:spacing w:line="300" w:lineRule="auto"/>
        <w:rPr>
          <w:rFonts w:ascii="宋体" w:hAnsi="宋体" w:cs="宋体"/>
          <w:color w:val="auto"/>
          <w:szCs w:val="21"/>
          <w:highlight w:val="none"/>
        </w:rPr>
      </w:pPr>
    </w:p>
    <w:p w14:paraId="1307E36E">
      <w:pPr>
        <w:spacing w:line="300" w:lineRule="auto"/>
        <w:rPr>
          <w:rFonts w:ascii="宋体" w:hAnsi="宋体" w:cs="宋体"/>
          <w:color w:val="auto"/>
          <w:szCs w:val="21"/>
          <w:highlight w:val="none"/>
        </w:rPr>
      </w:pPr>
    </w:p>
    <w:p w14:paraId="21163EAC">
      <w:pPr>
        <w:pStyle w:val="15"/>
        <w:spacing w:line="360" w:lineRule="auto"/>
        <w:ind w:firstLine="400" w:firstLineChars="200"/>
        <w:rPr>
          <w:rFonts w:hAnsi="宋体" w:cs="宋体"/>
          <w:b/>
          <w:color w:val="auto"/>
          <w:sz w:val="30"/>
          <w:szCs w:val="30"/>
          <w:highlight w:val="none"/>
        </w:rPr>
      </w:pPr>
      <w:r>
        <w:rPr>
          <w:rFonts w:hint="eastAsia" w:hAnsi="宋体" w:cs="宋体"/>
          <w:color w:val="auto"/>
          <w:highlight w:val="none"/>
        </w:rPr>
        <w:t xml:space="preserve">   </w:t>
      </w:r>
      <w:r>
        <w:rPr>
          <w:rFonts w:hint="eastAsia" w:hAnsi="宋体" w:cs="宋体"/>
          <w:b/>
          <w:color w:val="auto"/>
          <w:sz w:val="30"/>
          <w:szCs w:val="30"/>
          <w:highlight w:val="none"/>
        </w:rPr>
        <w:t>一、营业执照</w:t>
      </w:r>
      <w:r>
        <w:rPr>
          <w:rFonts w:hint="eastAsia" w:hAnsi="宋体" w:cs="宋体"/>
          <w:b/>
          <w:color w:val="auto"/>
          <w:sz w:val="30"/>
          <w:szCs w:val="30"/>
          <w:highlight w:val="none"/>
          <w:lang w:eastAsia="zh-CN"/>
        </w:rPr>
        <w:t>（</w:t>
      </w:r>
      <w:r>
        <w:rPr>
          <w:rFonts w:hint="eastAsia" w:hAnsi="宋体" w:cs="宋体"/>
          <w:b/>
          <w:color w:val="auto"/>
          <w:sz w:val="30"/>
          <w:szCs w:val="30"/>
          <w:highlight w:val="none"/>
        </w:rPr>
        <w:t>或事业法人登记证或其他工商等登记证明材料</w:t>
      </w:r>
      <w:r>
        <w:rPr>
          <w:rFonts w:hint="eastAsia" w:hAnsi="宋体" w:cs="宋体"/>
          <w:b/>
          <w:color w:val="auto"/>
          <w:sz w:val="30"/>
          <w:szCs w:val="30"/>
          <w:highlight w:val="none"/>
          <w:lang w:eastAsia="zh-CN"/>
        </w:rPr>
        <w:t>）</w:t>
      </w:r>
      <w:r>
        <w:rPr>
          <w:rFonts w:hint="eastAsia" w:hAnsi="宋体" w:cs="宋体"/>
          <w:b/>
          <w:color w:val="auto"/>
          <w:sz w:val="30"/>
          <w:szCs w:val="30"/>
          <w:highlight w:val="none"/>
        </w:rPr>
        <w:t>复印件（供应商为自然人的，提供自然人的身份证明）</w:t>
      </w:r>
    </w:p>
    <w:p w14:paraId="5351956E">
      <w:pPr>
        <w:pStyle w:val="15"/>
        <w:spacing w:line="360" w:lineRule="auto"/>
        <w:ind w:firstLine="602" w:firstLineChars="200"/>
        <w:rPr>
          <w:rFonts w:hAnsi="宋体" w:cs="宋体"/>
          <w:b/>
          <w:color w:val="auto"/>
          <w:sz w:val="30"/>
          <w:szCs w:val="30"/>
          <w:highlight w:val="none"/>
        </w:rPr>
      </w:pPr>
    </w:p>
    <w:p w14:paraId="70C08525">
      <w:pPr>
        <w:autoSpaceDE w:val="0"/>
        <w:autoSpaceDN w:val="0"/>
        <w:spacing w:line="360" w:lineRule="auto"/>
        <w:ind w:left="4365" w:leftChars="1850" w:hanging="480" w:hangingChars="200"/>
        <w:rPr>
          <w:rFonts w:ascii="宋体" w:hAnsi="宋体" w:cs="宋体"/>
          <w:color w:val="auto"/>
          <w:kern w:val="0"/>
          <w:sz w:val="24"/>
          <w:highlight w:val="none"/>
        </w:rPr>
      </w:pPr>
      <w:r>
        <w:rPr>
          <w:rFonts w:hint="eastAsia" w:ascii="宋体" w:hAnsi="宋体" w:cs="宋体"/>
          <w:color w:val="auto"/>
          <w:kern w:val="0"/>
          <w:sz w:val="24"/>
          <w:highlight w:val="none"/>
        </w:rPr>
        <w:t>供应商名称（电子签章）：</w:t>
      </w:r>
    </w:p>
    <w:p w14:paraId="3D35865F">
      <w:pPr>
        <w:autoSpaceDE w:val="0"/>
        <w:autoSpaceDN w:val="0"/>
        <w:spacing w:line="360" w:lineRule="auto"/>
        <w:ind w:firstLine="6120" w:firstLineChars="2550"/>
        <w:rPr>
          <w:rFonts w:ascii="宋体" w:hAnsi="宋体" w:cs="宋体"/>
          <w:b/>
          <w:bCs/>
          <w:color w:val="auto"/>
          <w:sz w:val="24"/>
          <w:highlight w:val="none"/>
        </w:rPr>
      </w:pPr>
      <w:r>
        <w:rPr>
          <w:rFonts w:hint="eastAsia" w:ascii="宋体" w:hAnsi="宋体" w:cs="宋体"/>
          <w:color w:val="auto"/>
          <w:kern w:val="0"/>
          <w:sz w:val="24"/>
          <w:highlight w:val="none"/>
          <w:lang w:val="zh-CN"/>
        </w:rPr>
        <w:t>日期：  年  月   日</w:t>
      </w:r>
    </w:p>
    <w:p w14:paraId="5B60613B">
      <w:pPr>
        <w:snapToGrid w:val="0"/>
        <w:spacing w:before="120" w:beforeLines="50" w:after="50"/>
        <w:rPr>
          <w:rFonts w:ascii="宋体" w:hAnsi="宋体" w:cs="宋体"/>
          <w:color w:val="auto"/>
          <w:sz w:val="24"/>
          <w:szCs w:val="20"/>
          <w:highlight w:val="none"/>
        </w:rPr>
      </w:pPr>
    </w:p>
    <w:p w14:paraId="554D84B5">
      <w:pPr>
        <w:pStyle w:val="15"/>
        <w:spacing w:line="360" w:lineRule="auto"/>
        <w:ind w:firstLine="602" w:firstLineChars="200"/>
        <w:rPr>
          <w:rFonts w:hAnsi="宋体" w:cs="宋体"/>
          <w:b/>
          <w:color w:val="auto"/>
          <w:sz w:val="30"/>
          <w:szCs w:val="30"/>
          <w:highlight w:val="none"/>
        </w:rPr>
      </w:pPr>
      <w:r>
        <w:rPr>
          <w:rFonts w:hint="eastAsia" w:hAnsi="宋体" w:cs="宋体"/>
          <w:b/>
          <w:color w:val="auto"/>
          <w:sz w:val="30"/>
          <w:szCs w:val="30"/>
          <w:highlight w:val="none"/>
        </w:rPr>
        <w:t>二、符合参与政府采购活动的资格条件依法缴纳税收、社会保障资金等方面的材料</w:t>
      </w:r>
    </w:p>
    <w:p w14:paraId="724A6E5F">
      <w:pPr>
        <w:spacing w:line="300" w:lineRule="auto"/>
        <w:rPr>
          <w:rFonts w:ascii="宋体" w:hAnsi="宋体" w:cs="宋体"/>
          <w:color w:val="auto"/>
          <w:szCs w:val="21"/>
          <w:highlight w:val="none"/>
        </w:rPr>
      </w:pPr>
    </w:p>
    <w:p w14:paraId="31343D42">
      <w:pPr>
        <w:autoSpaceDE w:val="0"/>
        <w:autoSpaceDN w:val="0"/>
        <w:spacing w:line="360" w:lineRule="auto"/>
        <w:ind w:left="4365" w:leftChars="1850" w:hanging="480" w:hangingChars="200"/>
        <w:rPr>
          <w:rFonts w:ascii="宋体" w:hAnsi="宋体" w:cs="宋体"/>
          <w:color w:val="auto"/>
          <w:kern w:val="0"/>
          <w:sz w:val="24"/>
          <w:highlight w:val="none"/>
        </w:rPr>
      </w:pPr>
      <w:r>
        <w:rPr>
          <w:rFonts w:hint="eastAsia" w:ascii="宋体" w:hAnsi="宋体" w:cs="宋体"/>
          <w:color w:val="auto"/>
          <w:kern w:val="0"/>
          <w:sz w:val="24"/>
          <w:highlight w:val="none"/>
        </w:rPr>
        <w:t>供应商名称（电子签章）：</w:t>
      </w:r>
    </w:p>
    <w:p w14:paraId="1A0A1A4B">
      <w:pPr>
        <w:autoSpaceDE w:val="0"/>
        <w:autoSpaceDN w:val="0"/>
        <w:spacing w:line="360" w:lineRule="auto"/>
        <w:ind w:firstLine="6120" w:firstLineChars="2550"/>
        <w:rPr>
          <w:rFonts w:ascii="宋体" w:hAnsi="宋体" w:cs="宋体"/>
          <w:b/>
          <w:bCs/>
          <w:color w:val="auto"/>
          <w:sz w:val="24"/>
          <w:highlight w:val="none"/>
        </w:rPr>
      </w:pPr>
      <w:r>
        <w:rPr>
          <w:rFonts w:hint="eastAsia" w:ascii="宋体" w:hAnsi="宋体" w:cs="宋体"/>
          <w:color w:val="auto"/>
          <w:kern w:val="0"/>
          <w:sz w:val="24"/>
          <w:highlight w:val="none"/>
          <w:lang w:val="zh-CN"/>
        </w:rPr>
        <w:t>日期：  年  月   日</w:t>
      </w:r>
    </w:p>
    <w:p w14:paraId="0DB00348">
      <w:pPr>
        <w:spacing w:line="300" w:lineRule="auto"/>
        <w:rPr>
          <w:rFonts w:ascii="宋体" w:hAnsi="宋体" w:cs="宋体"/>
          <w:color w:val="auto"/>
          <w:szCs w:val="21"/>
          <w:highlight w:val="none"/>
        </w:rPr>
      </w:pPr>
    </w:p>
    <w:p w14:paraId="45EFD525">
      <w:pPr>
        <w:spacing w:line="300" w:lineRule="auto"/>
        <w:ind w:firstLine="596" w:firstLineChars="198"/>
        <w:rPr>
          <w:rFonts w:ascii="宋体" w:hAnsi="宋体" w:cs="宋体"/>
          <w:b/>
          <w:color w:val="auto"/>
          <w:kern w:val="0"/>
          <w:sz w:val="30"/>
          <w:szCs w:val="30"/>
          <w:highlight w:val="none"/>
        </w:rPr>
      </w:pPr>
      <w:r>
        <w:rPr>
          <w:rFonts w:hint="eastAsia" w:ascii="宋体" w:hAnsi="宋体" w:cs="宋体"/>
          <w:b/>
          <w:color w:val="auto"/>
          <w:kern w:val="0"/>
          <w:sz w:val="30"/>
          <w:szCs w:val="30"/>
          <w:highlight w:val="none"/>
        </w:rPr>
        <w:t>三、财务状况报告方面的材料</w:t>
      </w:r>
    </w:p>
    <w:p w14:paraId="122C6B25">
      <w:pPr>
        <w:spacing w:line="300" w:lineRule="auto"/>
        <w:rPr>
          <w:rFonts w:ascii="宋体" w:hAnsi="宋体" w:cs="宋体"/>
          <w:color w:val="auto"/>
          <w:szCs w:val="21"/>
          <w:highlight w:val="none"/>
        </w:rPr>
      </w:pPr>
    </w:p>
    <w:p w14:paraId="7B0D62B3">
      <w:pPr>
        <w:autoSpaceDE w:val="0"/>
        <w:autoSpaceDN w:val="0"/>
        <w:spacing w:line="360" w:lineRule="auto"/>
        <w:ind w:left="4365" w:leftChars="1850" w:hanging="480" w:hangingChars="200"/>
        <w:rPr>
          <w:rFonts w:ascii="宋体" w:hAnsi="宋体" w:cs="宋体"/>
          <w:color w:val="auto"/>
          <w:kern w:val="0"/>
          <w:sz w:val="24"/>
          <w:highlight w:val="none"/>
        </w:rPr>
      </w:pPr>
      <w:r>
        <w:rPr>
          <w:rFonts w:hint="eastAsia" w:ascii="宋体" w:hAnsi="宋体" w:cs="宋体"/>
          <w:color w:val="auto"/>
          <w:kern w:val="0"/>
          <w:sz w:val="24"/>
          <w:highlight w:val="none"/>
        </w:rPr>
        <w:t>供应商名称（电子签章）：</w:t>
      </w:r>
    </w:p>
    <w:p w14:paraId="644FA12F">
      <w:pPr>
        <w:autoSpaceDE w:val="0"/>
        <w:autoSpaceDN w:val="0"/>
        <w:spacing w:line="360" w:lineRule="auto"/>
        <w:ind w:firstLine="6120" w:firstLineChars="2550"/>
        <w:rPr>
          <w:rFonts w:ascii="宋体" w:hAnsi="宋体" w:cs="宋体"/>
          <w:b/>
          <w:bCs/>
          <w:color w:val="auto"/>
          <w:sz w:val="24"/>
          <w:highlight w:val="none"/>
        </w:rPr>
      </w:pPr>
      <w:r>
        <w:rPr>
          <w:rFonts w:hint="eastAsia" w:ascii="宋体" w:hAnsi="宋体" w:cs="宋体"/>
          <w:color w:val="auto"/>
          <w:kern w:val="0"/>
          <w:sz w:val="24"/>
          <w:highlight w:val="none"/>
          <w:lang w:val="zh-CN"/>
        </w:rPr>
        <w:t>日期：  年  月   日</w:t>
      </w:r>
    </w:p>
    <w:p w14:paraId="2EF72C27">
      <w:pPr>
        <w:spacing w:line="320" w:lineRule="exact"/>
        <w:jc w:val="left"/>
        <w:rPr>
          <w:rFonts w:ascii="宋体" w:hAnsi="宋体" w:cs="宋体"/>
          <w:color w:val="auto"/>
          <w:szCs w:val="21"/>
          <w:highlight w:val="none"/>
        </w:rPr>
      </w:pPr>
      <w:r>
        <w:rPr>
          <w:rFonts w:hint="eastAsia" w:ascii="宋体" w:hAnsi="宋体" w:cs="宋体"/>
          <w:color w:val="auto"/>
          <w:szCs w:val="21"/>
          <w:highlight w:val="none"/>
        </w:rPr>
        <w:t xml:space="preserve"> </w:t>
      </w:r>
    </w:p>
    <w:p w14:paraId="1B865B72">
      <w:pPr>
        <w:snapToGrid w:val="0"/>
        <w:spacing w:before="120" w:beforeLines="50" w:after="50" w:line="360" w:lineRule="auto"/>
        <w:jc w:val="center"/>
        <w:rPr>
          <w:rFonts w:ascii="宋体" w:hAnsi="宋体" w:cs="宋体"/>
          <w:b/>
          <w:color w:val="auto"/>
          <w:sz w:val="24"/>
          <w:highlight w:val="none"/>
        </w:rPr>
      </w:pPr>
    </w:p>
    <w:p w14:paraId="2869BCE1">
      <w:pPr>
        <w:spacing w:line="360" w:lineRule="auto"/>
        <w:ind w:firstLine="596" w:firstLineChars="198"/>
        <w:rPr>
          <w:rFonts w:ascii="宋体" w:hAnsi="宋体" w:cs="宋体"/>
          <w:b/>
          <w:color w:val="auto"/>
          <w:kern w:val="0"/>
          <w:sz w:val="30"/>
          <w:szCs w:val="30"/>
          <w:highlight w:val="none"/>
        </w:rPr>
      </w:pPr>
      <w:r>
        <w:rPr>
          <w:rFonts w:hint="eastAsia" w:ascii="宋体" w:hAnsi="宋体" w:cs="宋体"/>
          <w:b/>
          <w:color w:val="auto"/>
          <w:kern w:val="0"/>
          <w:sz w:val="30"/>
          <w:szCs w:val="30"/>
          <w:highlight w:val="none"/>
        </w:rPr>
        <w:t>四、供应商直接控股股东信息</w:t>
      </w:r>
    </w:p>
    <w:p w14:paraId="706C79C1">
      <w:pPr>
        <w:spacing w:line="360" w:lineRule="auto"/>
        <w:jc w:val="center"/>
        <w:rPr>
          <w:rFonts w:ascii="宋体" w:hAnsi="宋体" w:cs="宋体"/>
          <w:b/>
          <w:color w:val="auto"/>
          <w:sz w:val="24"/>
          <w:highlight w:val="none"/>
        </w:rPr>
      </w:pPr>
    </w:p>
    <w:tbl>
      <w:tblPr>
        <w:tblStyle w:val="26"/>
        <w:tblW w:w="10147" w:type="dxa"/>
        <w:jc w:val="center"/>
        <w:shd w:val="clear" w:color="auto" w:fill="FBFBFB"/>
        <w:tblLayout w:type="fixed"/>
        <w:tblCellMar>
          <w:top w:w="0" w:type="dxa"/>
          <w:left w:w="0" w:type="dxa"/>
          <w:bottom w:w="0" w:type="dxa"/>
          <w:right w:w="0" w:type="dxa"/>
        </w:tblCellMar>
      </w:tblPr>
      <w:tblGrid>
        <w:gridCol w:w="880"/>
        <w:gridCol w:w="2655"/>
        <w:gridCol w:w="1455"/>
        <w:gridCol w:w="4287"/>
        <w:gridCol w:w="870"/>
      </w:tblGrid>
      <w:tr w14:paraId="022594D9">
        <w:tblPrEx>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722A2B0">
            <w:pPr>
              <w:widowControl/>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68D6C8C">
            <w:pPr>
              <w:widowControl/>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3913E7A">
            <w:pPr>
              <w:widowControl/>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86EC1D9">
            <w:pPr>
              <w:widowControl/>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6967488">
            <w:pPr>
              <w:widowControl/>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1057CE71">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8AA7187">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9048934">
            <w:pPr>
              <w:widowControl/>
              <w:spacing w:line="360" w:lineRule="auto"/>
              <w:jc w:val="center"/>
              <w:rPr>
                <w:rFonts w:ascii="宋体" w:hAns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630DDF6">
            <w:pPr>
              <w:widowControl/>
              <w:spacing w:line="360" w:lineRule="auto"/>
              <w:jc w:val="center"/>
              <w:rPr>
                <w:rFonts w:ascii="宋体" w:hAns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3AA1F85">
            <w:pPr>
              <w:widowControl/>
              <w:spacing w:line="360" w:lineRule="auto"/>
              <w:jc w:val="center"/>
              <w:rPr>
                <w:rFonts w:ascii="宋体" w:hAns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35BBEFF">
            <w:pPr>
              <w:widowControl/>
              <w:spacing w:line="360" w:lineRule="auto"/>
              <w:jc w:val="center"/>
              <w:rPr>
                <w:rFonts w:ascii="宋体" w:hAnsi="宋体" w:cs="宋体"/>
                <w:color w:val="auto"/>
                <w:kern w:val="0"/>
                <w:sz w:val="24"/>
                <w:highlight w:val="none"/>
              </w:rPr>
            </w:pPr>
          </w:p>
        </w:tc>
      </w:tr>
      <w:tr w14:paraId="2F99150E">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2904094">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B759350">
            <w:pPr>
              <w:widowControl/>
              <w:spacing w:line="360" w:lineRule="auto"/>
              <w:jc w:val="center"/>
              <w:rPr>
                <w:rFonts w:ascii="宋体" w:hAns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8DACD3F">
            <w:pPr>
              <w:widowControl/>
              <w:spacing w:line="360" w:lineRule="auto"/>
              <w:jc w:val="center"/>
              <w:rPr>
                <w:rFonts w:ascii="宋体" w:hAns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E519FAB">
            <w:pPr>
              <w:widowControl/>
              <w:spacing w:line="360" w:lineRule="auto"/>
              <w:jc w:val="center"/>
              <w:rPr>
                <w:rFonts w:ascii="宋体" w:hAns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1AE531D">
            <w:pPr>
              <w:widowControl/>
              <w:spacing w:line="360" w:lineRule="auto"/>
              <w:jc w:val="center"/>
              <w:rPr>
                <w:rFonts w:ascii="宋体" w:hAnsi="宋体" w:cs="宋体"/>
                <w:color w:val="auto"/>
                <w:kern w:val="0"/>
                <w:sz w:val="24"/>
                <w:highlight w:val="none"/>
              </w:rPr>
            </w:pPr>
          </w:p>
        </w:tc>
      </w:tr>
      <w:tr w14:paraId="02F5048C">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AB6D198">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8C74617">
            <w:pPr>
              <w:widowControl/>
              <w:spacing w:line="360" w:lineRule="auto"/>
              <w:jc w:val="center"/>
              <w:rPr>
                <w:rFonts w:ascii="宋体" w:hAns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F3D172F">
            <w:pPr>
              <w:widowControl/>
              <w:spacing w:line="360" w:lineRule="auto"/>
              <w:jc w:val="center"/>
              <w:rPr>
                <w:rFonts w:ascii="宋体" w:hAns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7402F93">
            <w:pPr>
              <w:widowControl/>
              <w:spacing w:line="360" w:lineRule="auto"/>
              <w:jc w:val="center"/>
              <w:rPr>
                <w:rFonts w:ascii="宋体" w:hAns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4302127">
            <w:pPr>
              <w:widowControl/>
              <w:spacing w:line="360" w:lineRule="auto"/>
              <w:jc w:val="center"/>
              <w:rPr>
                <w:rFonts w:ascii="宋体" w:hAnsi="宋体" w:cs="宋体"/>
                <w:color w:val="auto"/>
                <w:kern w:val="0"/>
                <w:sz w:val="24"/>
                <w:highlight w:val="none"/>
              </w:rPr>
            </w:pPr>
          </w:p>
        </w:tc>
      </w:tr>
      <w:tr w14:paraId="6AAD0A75">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97930FA">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C6A4AF3">
            <w:pPr>
              <w:widowControl/>
              <w:spacing w:line="360" w:lineRule="auto"/>
              <w:jc w:val="center"/>
              <w:rPr>
                <w:rFonts w:ascii="宋体" w:hAns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8B8E6D9">
            <w:pPr>
              <w:widowControl/>
              <w:spacing w:line="360" w:lineRule="auto"/>
              <w:jc w:val="center"/>
              <w:rPr>
                <w:rFonts w:ascii="宋体" w:hAns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89E31E9">
            <w:pPr>
              <w:widowControl/>
              <w:spacing w:line="360" w:lineRule="auto"/>
              <w:jc w:val="center"/>
              <w:rPr>
                <w:rFonts w:ascii="宋体" w:hAns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894EA41">
            <w:pPr>
              <w:widowControl/>
              <w:spacing w:line="360" w:lineRule="auto"/>
              <w:jc w:val="center"/>
              <w:rPr>
                <w:rFonts w:ascii="宋体" w:hAnsi="宋体" w:cs="宋体"/>
                <w:color w:val="auto"/>
                <w:kern w:val="0"/>
                <w:sz w:val="24"/>
                <w:highlight w:val="none"/>
              </w:rPr>
            </w:pPr>
          </w:p>
        </w:tc>
      </w:tr>
    </w:tbl>
    <w:p w14:paraId="71160155">
      <w:pPr>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注：</w:t>
      </w:r>
    </w:p>
    <w:p w14:paraId="3E8DEF22">
      <w:pPr>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1CFC019B">
      <w:pPr>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2.本表所指的控股关系仅限于直接控股关系，不包括间接的控股关系。公司实际控制人与公司之间的关系不属于本表所指的直接控股关系。</w:t>
      </w:r>
    </w:p>
    <w:p w14:paraId="56C5888C">
      <w:pPr>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3.供应商不存在直接控股股东的，则填“无”。</w:t>
      </w:r>
    </w:p>
    <w:p w14:paraId="6167FDE7">
      <w:pPr>
        <w:snapToGrid w:val="0"/>
        <w:spacing w:line="360" w:lineRule="auto"/>
        <w:jc w:val="left"/>
        <w:rPr>
          <w:rFonts w:ascii="宋体" w:hAnsi="宋体" w:cs="宋体"/>
          <w:color w:val="auto"/>
          <w:sz w:val="24"/>
          <w:highlight w:val="none"/>
        </w:rPr>
      </w:pPr>
    </w:p>
    <w:p w14:paraId="1A00A8AA">
      <w:pPr>
        <w:snapToGrid w:val="0"/>
        <w:spacing w:line="360" w:lineRule="auto"/>
        <w:jc w:val="left"/>
        <w:rPr>
          <w:rFonts w:ascii="宋体" w:hAnsi="宋体" w:cs="宋体"/>
          <w:color w:val="auto"/>
          <w:sz w:val="24"/>
          <w:highlight w:val="none"/>
        </w:rPr>
      </w:pPr>
    </w:p>
    <w:p w14:paraId="6EBD6B0D">
      <w:pPr>
        <w:snapToGrid w:val="0"/>
        <w:spacing w:line="360" w:lineRule="auto"/>
        <w:jc w:val="left"/>
        <w:rPr>
          <w:rFonts w:ascii="宋体" w:hAnsi="宋体" w:cs="宋体"/>
          <w:color w:val="auto"/>
          <w:sz w:val="24"/>
          <w:highlight w:val="none"/>
        </w:rPr>
      </w:pPr>
    </w:p>
    <w:p w14:paraId="2EE55DE4">
      <w:pPr>
        <w:autoSpaceDE w:val="0"/>
        <w:autoSpaceDN w:val="0"/>
        <w:spacing w:line="360" w:lineRule="auto"/>
        <w:ind w:left="4365" w:leftChars="1850" w:hanging="480" w:hangingChars="200"/>
        <w:rPr>
          <w:rFonts w:ascii="宋体" w:hAnsi="宋体" w:cs="宋体"/>
          <w:color w:val="auto"/>
          <w:kern w:val="0"/>
          <w:sz w:val="24"/>
          <w:highlight w:val="none"/>
        </w:rPr>
      </w:pPr>
      <w:r>
        <w:rPr>
          <w:rFonts w:hint="eastAsia" w:ascii="宋体" w:hAnsi="宋体" w:cs="宋体"/>
          <w:color w:val="auto"/>
          <w:kern w:val="0"/>
          <w:sz w:val="24"/>
          <w:highlight w:val="none"/>
        </w:rPr>
        <w:t>供应商名称（电子签章）：</w:t>
      </w:r>
    </w:p>
    <w:p w14:paraId="0F3AED6C">
      <w:pPr>
        <w:autoSpaceDE w:val="0"/>
        <w:autoSpaceDN w:val="0"/>
        <w:spacing w:line="360" w:lineRule="auto"/>
        <w:ind w:firstLine="6120" w:firstLineChars="2550"/>
        <w:rPr>
          <w:rFonts w:ascii="宋体" w:hAnsi="宋体" w:cs="宋体"/>
          <w:b/>
          <w:bCs/>
          <w:color w:val="auto"/>
          <w:sz w:val="24"/>
          <w:highlight w:val="none"/>
        </w:rPr>
      </w:pPr>
      <w:r>
        <w:rPr>
          <w:rFonts w:hint="eastAsia" w:ascii="宋体" w:hAnsi="宋体" w:cs="宋体"/>
          <w:color w:val="auto"/>
          <w:kern w:val="0"/>
          <w:sz w:val="24"/>
          <w:highlight w:val="none"/>
          <w:lang w:val="zh-CN"/>
        </w:rPr>
        <w:t>日期：  年  月   日</w:t>
      </w:r>
    </w:p>
    <w:p w14:paraId="2A78A967">
      <w:pPr>
        <w:snapToGrid w:val="0"/>
        <w:rPr>
          <w:rFonts w:ascii="宋体" w:hAnsi="宋体" w:cs="宋体"/>
          <w:b/>
          <w:color w:val="auto"/>
          <w:kern w:val="0"/>
          <w:sz w:val="30"/>
          <w:szCs w:val="30"/>
          <w:highlight w:val="none"/>
        </w:rPr>
      </w:pPr>
    </w:p>
    <w:p w14:paraId="3CBBF616">
      <w:pPr>
        <w:snapToGrid w:val="0"/>
        <w:ind w:firstLine="596" w:firstLineChars="198"/>
        <w:rPr>
          <w:rFonts w:ascii="宋体" w:hAnsi="宋体" w:cs="宋体"/>
          <w:b/>
          <w:color w:val="auto"/>
          <w:kern w:val="0"/>
          <w:sz w:val="30"/>
          <w:szCs w:val="30"/>
          <w:highlight w:val="none"/>
        </w:rPr>
      </w:pPr>
      <w:r>
        <w:rPr>
          <w:rFonts w:hint="eastAsia" w:ascii="宋体" w:hAnsi="宋体" w:cs="宋体"/>
          <w:b/>
          <w:color w:val="auto"/>
          <w:kern w:val="0"/>
          <w:sz w:val="30"/>
          <w:szCs w:val="30"/>
          <w:highlight w:val="none"/>
        </w:rPr>
        <w:t>五、供应商直接管理关系信息表</w:t>
      </w:r>
    </w:p>
    <w:p w14:paraId="6BBCF1A1">
      <w:pPr>
        <w:snapToGrid w:val="0"/>
        <w:spacing w:line="360" w:lineRule="auto"/>
        <w:jc w:val="center"/>
        <w:rPr>
          <w:rFonts w:ascii="宋体" w:hAnsi="宋体" w:cs="宋体"/>
          <w:b/>
          <w:color w:val="auto"/>
          <w:sz w:val="24"/>
          <w:highlight w:val="none"/>
        </w:rPr>
      </w:pPr>
    </w:p>
    <w:tbl>
      <w:tblPr>
        <w:tblStyle w:val="26"/>
        <w:tblW w:w="9652" w:type="dxa"/>
        <w:jc w:val="center"/>
        <w:shd w:val="clear" w:color="auto" w:fill="FBFBFB"/>
        <w:tblLayout w:type="fixed"/>
        <w:tblCellMar>
          <w:top w:w="0" w:type="dxa"/>
          <w:left w:w="0" w:type="dxa"/>
          <w:bottom w:w="0" w:type="dxa"/>
          <w:right w:w="0" w:type="dxa"/>
        </w:tblCellMar>
      </w:tblPr>
      <w:tblGrid>
        <w:gridCol w:w="808"/>
        <w:gridCol w:w="3600"/>
        <w:gridCol w:w="3555"/>
        <w:gridCol w:w="1689"/>
      </w:tblGrid>
      <w:tr w14:paraId="6F29346B">
        <w:tblPrEx>
          <w:shd w:val="clear" w:color="auto" w:fill="FBFBFB"/>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6CBB481">
            <w:pPr>
              <w:widowControl/>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64688B7">
            <w:pPr>
              <w:widowControl/>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A978848">
            <w:pPr>
              <w:widowControl/>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B05870C">
            <w:pPr>
              <w:widowControl/>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611855D8">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505D576">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72450CE">
            <w:pPr>
              <w:widowControl/>
              <w:spacing w:line="360" w:lineRule="auto"/>
              <w:jc w:val="center"/>
              <w:rPr>
                <w:rFonts w:ascii="宋体" w:hAns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4E3630F">
            <w:pPr>
              <w:widowControl/>
              <w:spacing w:line="360" w:lineRule="auto"/>
              <w:jc w:val="center"/>
              <w:rPr>
                <w:rFonts w:ascii="宋体" w:hAns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13E30D1">
            <w:pPr>
              <w:widowControl/>
              <w:spacing w:line="360" w:lineRule="auto"/>
              <w:jc w:val="center"/>
              <w:rPr>
                <w:rFonts w:ascii="宋体" w:hAnsi="宋体" w:cs="宋体"/>
                <w:color w:val="auto"/>
                <w:kern w:val="0"/>
                <w:sz w:val="24"/>
                <w:highlight w:val="none"/>
              </w:rPr>
            </w:pPr>
          </w:p>
        </w:tc>
      </w:tr>
      <w:tr w14:paraId="30F5E73F">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9361527">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C9C5801">
            <w:pPr>
              <w:widowControl/>
              <w:spacing w:line="360" w:lineRule="auto"/>
              <w:jc w:val="center"/>
              <w:rPr>
                <w:rFonts w:ascii="宋体" w:hAns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B2FAED1">
            <w:pPr>
              <w:widowControl/>
              <w:spacing w:line="360" w:lineRule="auto"/>
              <w:jc w:val="center"/>
              <w:rPr>
                <w:rFonts w:ascii="宋体" w:hAns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39DBBFA">
            <w:pPr>
              <w:widowControl/>
              <w:spacing w:line="360" w:lineRule="auto"/>
              <w:jc w:val="center"/>
              <w:rPr>
                <w:rFonts w:ascii="宋体" w:hAnsi="宋体" w:cs="宋体"/>
                <w:color w:val="auto"/>
                <w:kern w:val="0"/>
                <w:sz w:val="24"/>
                <w:highlight w:val="none"/>
              </w:rPr>
            </w:pPr>
          </w:p>
        </w:tc>
      </w:tr>
      <w:tr w14:paraId="7B5710E4">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2140E29">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100A419">
            <w:pPr>
              <w:widowControl/>
              <w:spacing w:line="360" w:lineRule="auto"/>
              <w:jc w:val="center"/>
              <w:rPr>
                <w:rFonts w:ascii="宋体" w:hAns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B0EEFB7">
            <w:pPr>
              <w:widowControl/>
              <w:spacing w:line="360" w:lineRule="auto"/>
              <w:jc w:val="center"/>
              <w:rPr>
                <w:rFonts w:ascii="宋体" w:hAns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030B5AE">
            <w:pPr>
              <w:widowControl/>
              <w:spacing w:line="360" w:lineRule="auto"/>
              <w:jc w:val="center"/>
              <w:rPr>
                <w:rFonts w:ascii="宋体" w:hAnsi="宋体" w:cs="宋体"/>
                <w:color w:val="auto"/>
                <w:kern w:val="0"/>
                <w:sz w:val="24"/>
                <w:highlight w:val="none"/>
              </w:rPr>
            </w:pPr>
          </w:p>
        </w:tc>
      </w:tr>
      <w:tr w14:paraId="5BE1BF04">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21250DA">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98D4189">
            <w:pPr>
              <w:widowControl/>
              <w:spacing w:line="360" w:lineRule="auto"/>
              <w:jc w:val="center"/>
              <w:rPr>
                <w:rFonts w:ascii="宋体" w:hAns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024CB68">
            <w:pPr>
              <w:widowControl/>
              <w:spacing w:line="360" w:lineRule="auto"/>
              <w:jc w:val="center"/>
              <w:rPr>
                <w:rFonts w:ascii="宋体" w:hAns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4CE35F7">
            <w:pPr>
              <w:widowControl/>
              <w:spacing w:line="360" w:lineRule="auto"/>
              <w:jc w:val="center"/>
              <w:rPr>
                <w:rFonts w:ascii="宋体" w:hAnsi="宋体" w:cs="宋体"/>
                <w:color w:val="auto"/>
                <w:kern w:val="0"/>
                <w:sz w:val="24"/>
                <w:highlight w:val="none"/>
              </w:rPr>
            </w:pPr>
          </w:p>
        </w:tc>
      </w:tr>
    </w:tbl>
    <w:p w14:paraId="1551014B">
      <w:pPr>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注：</w:t>
      </w:r>
    </w:p>
    <w:p w14:paraId="4B75B984">
      <w:pPr>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1.管理关系：是指不具有出资持股关系的其他单位之间存在的管理与被管理关系，如一些上下级关系的事业单位和团体组织。</w:t>
      </w:r>
    </w:p>
    <w:p w14:paraId="67BD606D">
      <w:pPr>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2.本表所指的管理关系仅限于直接管理关系，不包括间接的管理关系。</w:t>
      </w:r>
    </w:p>
    <w:p w14:paraId="5A1363DB">
      <w:pPr>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3.供应商不存在直接管理关系的，则填“无”。</w:t>
      </w:r>
    </w:p>
    <w:p w14:paraId="3219CEE8">
      <w:pPr>
        <w:spacing w:line="360" w:lineRule="auto"/>
        <w:jc w:val="left"/>
        <w:rPr>
          <w:rFonts w:ascii="宋体" w:hAnsi="宋体" w:cs="宋体"/>
          <w:color w:val="auto"/>
          <w:sz w:val="24"/>
          <w:highlight w:val="none"/>
        </w:rPr>
      </w:pPr>
    </w:p>
    <w:p w14:paraId="4B1FEDE1">
      <w:pPr>
        <w:autoSpaceDE w:val="0"/>
        <w:autoSpaceDN w:val="0"/>
        <w:spacing w:line="360" w:lineRule="auto"/>
        <w:ind w:left="4365" w:leftChars="1850" w:hanging="480" w:hangingChars="200"/>
        <w:rPr>
          <w:rFonts w:ascii="宋体" w:hAnsi="宋体" w:cs="宋体"/>
          <w:color w:val="auto"/>
          <w:kern w:val="0"/>
          <w:sz w:val="24"/>
          <w:highlight w:val="none"/>
        </w:rPr>
      </w:pPr>
      <w:r>
        <w:rPr>
          <w:rFonts w:hint="eastAsia" w:ascii="宋体" w:hAnsi="宋体" w:cs="宋体"/>
          <w:color w:val="auto"/>
          <w:kern w:val="0"/>
          <w:sz w:val="24"/>
          <w:highlight w:val="none"/>
        </w:rPr>
        <w:t>供应商名称（电子签章）：</w:t>
      </w:r>
    </w:p>
    <w:p w14:paraId="0C69A13C">
      <w:pPr>
        <w:autoSpaceDE w:val="0"/>
        <w:autoSpaceDN w:val="0"/>
        <w:spacing w:line="360" w:lineRule="auto"/>
        <w:ind w:firstLine="6120" w:firstLineChars="2550"/>
        <w:rPr>
          <w:rFonts w:ascii="宋体" w:hAnsi="宋体" w:cs="宋体"/>
          <w:b/>
          <w:bCs/>
          <w:color w:val="auto"/>
          <w:sz w:val="24"/>
          <w:highlight w:val="none"/>
        </w:rPr>
      </w:pPr>
      <w:r>
        <w:rPr>
          <w:rFonts w:hint="eastAsia" w:ascii="宋体" w:hAnsi="宋体" w:cs="宋体"/>
          <w:color w:val="auto"/>
          <w:kern w:val="0"/>
          <w:sz w:val="24"/>
          <w:highlight w:val="none"/>
          <w:lang w:val="zh-CN"/>
        </w:rPr>
        <w:t>日期：  年  月   日</w:t>
      </w:r>
    </w:p>
    <w:p w14:paraId="6EFE0AC1">
      <w:pPr>
        <w:spacing w:line="360" w:lineRule="auto"/>
        <w:ind w:right="480" w:firstLine="240" w:firstLineChars="100"/>
        <w:contextualSpacing/>
        <w:jc w:val="center"/>
        <w:rPr>
          <w:rFonts w:ascii="宋体" w:hAnsi="宋体" w:cs="宋体"/>
          <w:color w:val="auto"/>
          <w:sz w:val="28"/>
          <w:szCs w:val="28"/>
          <w:highlight w:val="none"/>
        </w:rPr>
      </w:pPr>
      <w:r>
        <w:rPr>
          <w:rFonts w:hint="eastAsia" w:ascii="宋体" w:hAnsi="宋体" w:cs="宋体"/>
          <w:color w:val="auto"/>
          <w:sz w:val="24"/>
          <w:highlight w:val="none"/>
        </w:rPr>
        <w:t xml:space="preserve">                                  </w:t>
      </w:r>
    </w:p>
    <w:p w14:paraId="24E9485E">
      <w:pPr>
        <w:spacing w:line="320" w:lineRule="exact"/>
        <w:ind w:firstLine="602" w:firstLineChars="200"/>
        <w:jc w:val="left"/>
        <w:rPr>
          <w:rFonts w:hint="eastAsia" w:ascii="宋体" w:hAnsi="宋体" w:cs="宋体"/>
          <w:b/>
          <w:color w:val="auto"/>
          <w:kern w:val="0"/>
          <w:sz w:val="30"/>
          <w:szCs w:val="30"/>
          <w:highlight w:val="none"/>
        </w:rPr>
      </w:pPr>
    </w:p>
    <w:p w14:paraId="53D5073D">
      <w:pPr>
        <w:spacing w:line="320" w:lineRule="exact"/>
        <w:ind w:firstLine="602" w:firstLineChars="200"/>
        <w:jc w:val="left"/>
        <w:rPr>
          <w:rFonts w:hint="eastAsia" w:ascii="宋体" w:hAnsi="宋体" w:cs="宋体"/>
          <w:b/>
          <w:color w:val="auto"/>
          <w:kern w:val="0"/>
          <w:sz w:val="30"/>
          <w:szCs w:val="30"/>
          <w:highlight w:val="none"/>
        </w:rPr>
      </w:pPr>
    </w:p>
    <w:p w14:paraId="6B387705">
      <w:pPr>
        <w:spacing w:line="320" w:lineRule="exact"/>
        <w:ind w:firstLine="602" w:firstLineChars="200"/>
        <w:jc w:val="left"/>
        <w:rPr>
          <w:rFonts w:ascii="宋体" w:hAnsi="宋体" w:cs="宋体"/>
          <w:color w:val="auto"/>
          <w:sz w:val="28"/>
          <w:szCs w:val="28"/>
          <w:highlight w:val="none"/>
        </w:rPr>
      </w:pPr>
      <w:r>
        <w:rPr>
          <w:rFonts w:hint="eastAsia" w:ascii="宋体" w:hAnsi="宋体" w:cs="宋体"/>
          <w:b/>
          <w:color w:val="auto"/>
          <w:kern w:val="0"/>
          <w:sz w:val="30"/>
          <w:szCs w:val="30"/>
          <w:highlight w:val="none"/>
        </w:rPr>
        <w:t>六、资格声明函</w:t>
      </w:r>
    </w:p>
    <w:p w14:paraId="17407ED7">
      <w:pPr>
        <w:spacing w:line="320" w:lineRule="exact"/>
        <w:jc w:val="center"/>
        <w:rPr>
          <w:rFonts w:ascii="宋体" w:hAnsi="宋体" w:cs="宋体"/>
          <w:b/>
          <w:color w:val="auto"/>
          <w:sz w:val="32"/>
          <w:szCs w:val="32"/>
          <w:highlight w:val="none"/>
        </w:rPr>
      </w:pPr>
    </w:p>
    <w:p w14:paraId="17B6A429">
      <w:pPr>
        <w:spacing w:line="320" w:lineRule="exact"/>
        <w:jc w:val="center"/>
        <w:rPr>
          <w:rFonts w:ascii="宋体" w:hAnsi="宋体" w:cs="宋体"/>
          <w:b/>
          <w:color w:val="auto"/>
          <w:sz w:val="32"/>
          <w:szCs w:val="32"/>
          <w:highlight w:val="none"/>
        </w:rPr>
      </w:pPr>
      <w:r>
        <w:rPr>
          <w:rFonts w:hint="eastAsia" w:ascii="宋体" w:hAnsi="宋体" w:cs="宋体"/>
          <w:b/>
          <w:color w:val="auto"/>
          <w:sz w:val="32"/>
          <w:szCs w:val="32"/>
          <w:highlight w:val="none"/>
        </w:rPr>
        <w:t>资格声明函</w:t>
      </w:r>
    </w:p>
    <w:p w14:paraId="4E6EACC9">
      <w:pPr>
        <w:spacing w:line="320" w:lineRule="exact"/>
        <w:jc w:val="center"/>
        <w:rPr>
          <w:rFonts w:ascii="宋体" w:hAnsi="宋体" w:cs="宋体"/>
          <w:color w:val="auto"/>
          <w:sz w:val="24"/>
          <w:szCs w:val="20"/>
          <w:highlight w:val="none"/>
        </w:rPr>
      </w:pPr>
    </w:p>
    <w:p w14:paraId="2FE1000C">
      <w:pPr>
        <w:spacing w:line="360" w:lineRule="auto"/>
        <w:rPr>
          <w:rFonts w:ascii="宋体" w:hAnsi="宋体" w:cs="宋体"/>
          <w:color w:val="auto"/>
          <w:sz w:val="24"/>
          <w:highlight w:val="none"/>
        </w:rPr>
      </w:pPr>
      <w:r>
        <w:rPr>
          <w:rFonts w:hint="eastAsia" w:ascii="宋体" w:hAnsi="宋体" w:cs="宋体"/>
          <w:color w:val="auto"/>
          <w:sz w:val="24"/>
          <w:highlight w:val="none"/>
        </w:rPr>
        <w:t>致：</w:t>
      </w:r>
      <w:bookmarkStart w:id="88" w:name="PO_3000001868_PM031_6"/>
      <w:r>
        <w:rPr>
          <w:rFonts w:hint="eastAsia" w:ascii="宋体" w:hAnsi="宋体" w:cs="宋体"/>
          <w:color w:val="auto"/>
          <w:sz w:val="24"/>
          <w:highlight w:val="none"/>
          <w:u w:val="single"/>
        </w:rPr>
        <w:t>[采购组织机构]</w:t>
      </w:r>
      <w:bookmarkEnd w:id="88"/>
      <w:r>
        <w:rPr>
          <w:rFonts w:hint="eastAsia" w:ascii="宋体" w:hAnsi="宋体" w:cs="宋体"/>
          <w:color w:val="auto"/>
          <w:sz w:val="24"/>
          <w:highlight w:val="none"/>
        </w:rPr>
        <w:t>：</w:t>
      </w:r>
    </w:p>
    <w:p w14:paraId="4DEF108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u w:val="single"/>
        </w:rPr>
        <w:t>（供应商名称）</w:t>
      </w:r>
      <w:r>
        <w:rPr>
          <w:rFonts w:hint="eastAsia" w:ascii="宋体" w:hAnsi="宋体" w:cs="宋体"/>
          <w:color w:val="auto"/>
          <w:sz w:val="24"/>
          <w:highlight w:val="none"/>
        </w:rPr>
        <w:t>系中华人民共和国合法供应商，经营地址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30AAFC8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我方愿意参加贵方组织的</w:t>
      </w:r>
      <w:bookmarkStart w:id="89" w:name="PO_3000001868_PM002_4"/>
      <w:r>
        <w:rPr>
          <w:rFonts w:hint="eastAsia" w:ascii="宋体" w:hAnsi="宋体" w:cs="宋体"/>
          <w:color w:val="auto"/>
          <w:sz w:val="24"/>
          <w:highlight w:val="none"/>
          <w:u w:val="single"/>
        </w:rPr>
        <w:t>[项目名称]</w:t>
      </w:r>
      <w:bookmarkEnd w:id="89"/>
      <w:r>
        <w:rPr>
          <w:rFonts w:hint="eastAsia" w:ascii="宋体" w:hAnsi="宋体" w:cs="宋体"/>
          <w:color w:val="auto"/>
          <w:sz w:val="24"/>
          <w:highlight w:val="none"/>
          <w:u w:val="single"/>
        </w:rPr>
        <w:t>）</w:t>
      </w:r>
      <w:r>
        <w:rPr>
          <w:rFonts w:hint="eastAsia" w:ascii="宋体" w:hAnsi="宋体" w:cs="宋体"/>
          <w:color w:val="auto"/>
          <w:sz w:val="24"/>
          <w:highlight w:val="none"/>
        </w:rPr>
        <w:t>项目的竞标，为便于贵方公正、择优地确定成交供应商及其竞标产品和服务，我方就本次竞标有关事项郑重声明如下：</w:t>
      </w:r>
    </w:p>
    <w:p w14:paraId="31B4328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1.我方向贵方提交的所有响应文件、资料都是准确的和真实的。</w:t>
      </w:r>
    </w:p>
    <w:p w14:paraId="46F3AB6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74D1561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3.在此，我方宣布同意如下：</w:t>
      </w:r>
    </w:p>
    <w:p w14:paraId="3B97C02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（1）将按磋商文件的约定履行合同责任和义务；</w:t>
      </w:r>
    </w:p>
    <w:p w14:paraId="500B258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（2）已详细审查全部磋商文件，包括澄清或者更正公告（如有）；</w:t>
      </w:r>
    </w:p>
    <w:p w14:paraId="7B63D3A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（3）同意提供按照贵方可能要求的与谈判有关的一切数据或者资料；</w:t>
      </w:r>
    </w:p>
    <w:p w14:paraId="56F8045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（4）响应磋商文件规定的竞标有效期。</w:t>
      </w:r>
    </w:p>
    <w:p w14:paraId="6EA7220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我方承诺已经具备《中华人民共和国政府采购法》第二十二条中规定的参加政府采购活动的供应商应当具备的条件并按本项目响应文件“第三章”“第二节供应商须知前附表”中“资格证明文件组成”完整提供证明材料。</w:t>
      </w:r>
    </w:p>
    <w:p w14:paraId="3D2ACA2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w:t>
      </w:r>
      <w:r>
        <w:rPr>
          <w:rFonts w:hint="eastAsia" w:ascii="宋体" w:hAnsi="宋体" w:cs="宋体"/>
          <w:color w:val="auto"/>
          <w:sz w:val="24"/>
          <w:highlight w:val="none"/>
          <w:lang w:eastAsia="zh-CN"/>
        </w:rPr>
        <w:t>重大税收违法失信主体</w:t>
      </w:r>
      <w:r>
        <w:rPr>
          <w:rFonts w:hint="eastAsia" w:ascii="宋体" w:hAnsi="宋体" w:cs="宋体"/>
          <w:color w:val="auto"/>
          <w:sz w:val="24"/>
          <w:highlight w:val="none"/>
        </w:rPr>
        <w:t>、政府采购严重违法失信行为记录名单，完全符合《中华人民共和国政府采购法》第二十二条规定的供应商资格条件，我方对此声明负全部法律责任。</w:t>
      </w:r>
    </w:p>
    <w:p w14:paraId="62625F4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10C6072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□我方本次响应文件</w:t>
      </w:r>
      <w:r>
        <w:rPr>
          <w:rFonts w:hint="eastAsia" w:ascii="宋体" w:hAnsi="宋体" w:cs="宋体"/>
          <w:color w:val="auto"/>
          <w:kern w:val="0"/>
          <w:sz w:val="24"/>
          <w:highlight w:val="none"/>
        </w:rPr>
        <w:t>内容中</w:t>
      </w:r>
      <w:r>
        <w:rPr>
          <w:rFonts w:hint="eastAsia" w:ascii="宋体" w:hAnsi="宋体" w:cs="宋体"/>
          <w:color w:val="auto"/>
          <w:sz w:val="24"/>
          <w:highlight w:val="none"/>
        </w:rPr>
        <w:t>未</w:t>
      </w:r>
      <w:r>
        <w:rPr>
          <w:rFonts w:hint="eastAsia" w:ascii="宋体" w:hAnsi="宋体" w:cs="宋体"/>
          <w:color w:val="auto"/>
          <w:kern w:val="0"/>
          <w:sz w:val="24"/>
          <w:highlight w:val="none"/>
        </w:rPr>
        <w:t>涉及商业秘密；</w:t>
      </w:r>
    </w:p>
    <w:p w14:paraId="4272A6D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□我方本次响应文件</w:t>
      </w:r>
      <w:r>
        <w:rPr>
          <w:rFonts w:hint="eastAsia" w:ascii="宋体" w:hAnsi="宋体" w:cs="宋体"/>
          <w:color w:val="auto"/>
          <w:kern w:val="0"/>
          <w:sz w:val="24"/>
          <w:highlight w:val="none"/>
        </w:rPr>
        <w:t>涉及商业秘密的内容有：</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27D4DD42">
      <w:pPr>
        <w:pStyle w:val="15"/>
        <w:spacing w:line="360" w:lineRule="auto"/>
        <w:ind w:firstLine="480" w:firstLineChars="200"/>
        <w:rPr>
          <w:rFonts w:hAnsi="宋体" w:cs="宋体"/>
          <w:color w:val="auto"/>
          <w:sz w:val="24"/>
          <w:szCs w:val="24"/>
          <w:highlight w:val="none"/>
          <w:u w:val="single"/>
        </w:rPr>
      </w:pPr>
      <w:r>
        <w:rPr>
          <w:rFonts w:hint="eastAsia" w:hAnsi="宋体" w:cs="宋体"/>
          <w:color w:val="auto"/>
          <w:sz w:val="24"/>
          <w:szCs w:val="24"/>
          <w:highlight w:val="none"/>
        </w:rPr>
        <w:t>7.与本磋商有关的一切正式往来信函请寄：</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邮政编号：</w:t>
      </w:r>
      <w:r>
        <w:rPr>
          <w:rFonts w:hint="eastAsia" w:hAnsi="宋体" w:cs="宋体"/>
          <w:color w:val="auto"/>
          <w:sz w:val="24"/>
          <w:szCs w:val="24"/>
          <w:highlight w:val="none"/>
          <w:u w:val="single"/>
        </w:rPr>
        <w:t xml:space="preserve">        </w:t>
      </w:r>
    </w:p>
    <w:p w14:paraId="276B3BF4">
      <w:pPr>
        <w:pStyle w:val="15"/>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电话/传真：</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 xml:space="preserve"> 电子函件：</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 xml:space="preserve">    </w:t>
      </w:r>
    </w:p>
    <w:p w14:paraId="6BBA996C">
      <w:pPr>
        <w:pStyle w:val="13"/>
        <w:tabs>
          <w:tab w:val="left" w:pos="939"/>
        </w:tabs>
        <w:spacing w:line="360" w:lineRule="auto"/>
        <w:ind w:left="141" w:leftChars="67" w:firstLine="360" w:firstLineChars="150"/>
        <w:rPr>
          <w:rFonts w:ascii="宋体" w:hAnsi="宋体" w:cs="宋体"/>
          <w:color w:val="auto"/>
          <w:sz w:val="24"/>
          <w:highlight w:val="none"/>
        </w:rPr>
      </w:pPr>
      <w:r>
        <w:rPr>
          <w:rFonts w:hint="eastAsia" w:ascii="宋体" w:hAnsi="宋体" w:cs="宋体"/>
          <w:color w:val="auto"/>
          <w:sz w:val="24"/>
          <w:highlight w:val="none"/>
        </w:rPr>
        <w:t>开户银行：</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帐号：</w:t>
      </w:r>
      <w:r>
        <w:rPr>
          <w:rFonts w:hint="eastAsia" w:ascii="宋体" w:hAnsi="宋体" w:cs="宋体"/>
          <w:color w:val="auto"/>
          <w:sz w:val="24"/>
          <w:highlight w:val="none"/>
          <w:u w:val="single"/>
        </w:rPr>
        <w:t xml:space="preserve">                               </w:t>
      </w:r>
    </w:p>
    <w:p w14:paraId="7BC821EC">
      <w:pPr>
        <w:pStyle w:val="13"/>
        <w:tabs>
          <w:tab w:val="left" w:pos="939"/>
        </w:tabs>
        <w:spacing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8.以上事项如有虚假或者隐瞒，我方愿意承担一切后果，并不再寻求任何旨在减轻或者免除法律责任的辩解。</w:t>
      </w:r>
    </w:p>
    <w:p w14:paraId="5D8EBB78">
      <w:pPr>
        <w:pStyle w:val="13"/>
        <w:tabs>
          <w:tab w:val="left" w:pos="939"/>
        </w:tabs>
        <w:spacing w:line="360" w:lineRule="auto"/>
        <w:ind w:left="141" w:leftChars="67" w:firstLine="360" w:firstLineChars="150"/>
        <w:rPr>
          <w:rFonts w:ascii="宋体" w:hAnsi="宋体" w:cs="宋体"/>
          <w:color w:val="auto"/>
          <w:sz w:val="24"/>
          <w:highlight w:val="none"/>
        </w:rPr>
      </w:pPr>
      <w:r>
        <w:rPr>
          <w:rFonts w:hint="eastAsia" w:ascii="宋体" w:hAnsi="宋体" w:cs="宋体"/>
          <w:color w:val="auto"/>
          <w:sz w:val="24"/>
          <w:highlight w:val="none"/>
        </w:rPr>
        <w:t>特此承诺。</w:t>
      </w:r>
    </w:p>
    <w:p w14:paraId="2F5C75CF">
      <w:pPr>
        <w:pStyle w:val="13"/>
        <w:tabs>
          <w:tab w:val="left" w:pos="939"/>
        </w:tabs>
        <w:spacing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注：如为联合体竞标，盖章处须加盖联合体各方公章并由联合体各方法定代表人签署，否则其响应文件按无效响应处理。</w:t>
      </w:r>
    </w:p>
    <w:p w14:paraId="7E88BFF9">
      <w:pPr>
        <w:pStyle w:val="13"/>
        <w:tabs>
          <w:tab w:val="left" w:pos="939"/>
        </w:tabs>
        <w:spacing w:line="360" w:lineRule="auto"/>
        <w:ind w:left="0" w:leftChars="0" w:firstLine="480" w:firstLineChars="200"/>
        <w:rPr>
          <w:rFonts w:ascii="宋体" w:hAnsi="宋体" w:cs="宋体"/>
          <w:color w:val="auto"/>
          <w:sz w:val="24"/>
          <w:highlight w:val="none"/>
        </w:rPr>
      </w:pPr>
    </w:p>
    <w:p w14:paraId="32DEDB1A">
      <w:pPr>
        <w:autoSpaceDE w:val="0"/>
        <w:autoSpaceDN w:val="0"/>
        <w:spacing w:line="360" w:lineRule="auto"/>
        <w:ind w:left="4365" w:leftChars="1850" w:hanging="480" w:hangingChars="200"/>
        <w:rPr>
          <w:rFonts w:ascii="宋体" w:hAnsi="宋体" w:cs="宋体"/>
          <w:color w:val="auto"/>
          <w:kern w:val="0"/>
          <w:sz w:val="24"/>
          <w:highlight w:val="none"/>
        </w:rPr>
      </w:pPr>
      <w:r>
        <w:rPr>
          <w:rFonts w:hint="eastAsia" w:ascii="宋体" w:hAnsi="宋体" w:cs="宋体"/>
          <w:color w:val="auto"/>
          <w:kern w:val="0"/>
          <w:sz w:val="24"/>
          <w:highlight w:val="none"/>
        </w:rPr>
        <w:t>供应商名称（电子签章）：</w:t>
      </w:r>
    </w:p>
    <w:p w14:paraId="489BC0BE">
      <w:pPr>
        <w:autoSpaceDE w:val="0"/>
        <w:autoSpaceDN w:val="0"/>
        <w:spacing w:line="360" w:lineRule="auto"/>
        <w:ind w:firstLine="6120" w:firstLineChars="25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77761EDB">
      <w:pPr>
        <w:widowControl/>
        <w:spacing w:line="360" w:lineRule="auto"/>
        <w:jc w:val="left"/>
        <w:rPr>
          <w:rFonts w:ascii="宋体" w:hAnsi="宋体" w:cs="宋体"/>
          <w:color w:val="auto"/>
          <w:kern w:val="0"/>
          <w:sz w:val="24"/>
          <w:highlight w:val="none"/>
          <w:lang w:val="zh-CN"/>
        </w:rPr>
        <w:sectPr>
          <w:pgSz w:w="11910" w:h="16840"/>
          <w:pgMar w:top="1134" w:right="1134" w:bottom="1134" w:left="1134" w:header="720" w:footer="720" w:gutter="0"/>
          <w:cols w:space="0" w:num="1"/>
          <w:rtlGutter w:val="0"/>
        </w:sectPr>
      </w:pPr>
    </w:p>
    <w:p w14:paraId="6B63CECC">
      <w:pPr>
        <w:pStyle w:val="8"/>
        <w:overflowPunct w:val="0"/>
        <w:spacing w:line="520" w:lineRule="exact"/>
        <w:ind w:firstLine="0"/>
        <w:rPr>
          <w:rFonts w:ascii="宋体" w:hAnsi="宋体" w:cs="宋体"/>
          <w:b/>
          <w:bCs/>
          <w:color w:val="auto"/>
          <w:sz w:val="32"/>
          <w:szCs w:val="32"/>
          <w:highlight w:val="none"/>
        </w:rPr>
      </w:pPr>
      <w:r>
        <w:rPr>
          <w:rFonts w:hint="eastAsia" w:ascii="宋体" w:hAnsi="宋体" w:cs="宋体"/>
          <w:b/>
          <w:color w:val="auto"/>
          <w:kern w:val="0"/>
          <w:sz w:val="30"/>
          <w:szCs w:val="30"/>
          <w:highlight w:val="none"/>
        </w:rPr>
        <w:t>七、联合体协议书（如有）</w:t>
      </w:r>
    </w:p>
    <w:p w14:paraId="37E132C6">
      <w:pPr>
        <w:pStyle w:val="15"/>
        <w:spacing w:line="600" w:lineRule="exact"/>
        <w:jc w:val="center"/>
        <w:rPr>
          <w:rFonts w:hAnsi="宋体" w:cs="宋体"/>
          <w:color w:val="auto"/>
          <w:kern w:val="2"/>
          <w:sz w:val="44"/>
          <w:szCs w:val="44"/>
          <w:highlight w:val="none"/>
        </w:rPr>
      </w:pPr>
    </w:p>
    <w:p w14:paraId="024D02AF">
      <w:pPr>
        <w:pStyle w:val="15"/>
        <w:spacing w:line="600" w:lineRule="exact"/>
        <w:jc w:val="center"/>
        <w:rPr>
          <w:rFonts w:hAnsi="宋体" w:cs="宋体"/>
          <w:color w:val="auto"/>
          <w:kern w:val="2"/>
          <w:sz w:val="44"/>
          <w:szCs w:val="44"/>
          <w:highlight w:val="none"/>
        </w:rPr>
      </w:pPr>
      <w:r>
        <w:rPr>
          <w:rFonts w:hint="eastAsia" w:hAnsi="宋体" w:cs="宋体"/>
          <w:color w:val="auto"/>
          <w:kern w:val="2"/>
          <w:sz w:val="44"/>
          <w:szCs w:val="44"/>
          <w:highlight w:val="none"/>
        </w:rPr>
        <w:t>联合体竞标协议书（格式）</w:t>
      </w:r>
    </w:p>
    <w:p w14:paraId="74F36D34">
      <w:pPr>
        <w:autoSpaceDE w:val="0"/>
        <w:autoSpaceDN w:val="0"/>
        <w:adjustRightInd w:val="0"/>
        <w:spacing w:line="360" w:lineRule="auto"/>
        <w:jc w:val="left"/>
        <w:rPr>
          <w:rFonts w:ascii="宋体" w:hAnsi="宋体" w:cs="宋体"/>
          <w:color w:val="auto"/>
          <w:kern w:val="0"/>
          <w:szCs w:val="21"/>
          <w:highlight w:val="none"/>
          <w:u w:val="single"/>
        </w:rPr>
      </w:pPr>
    </w:p>
    <w:p w14:paraId="2A08E37E">
      <w:pPr>
        <w:autoSpaceDE w:val="0"/>
        <w:autoSpaceDN w:val="0"/>
        <w:adjustRightInd w:val="0"/>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（所有成员单位名称）自愿组成联合体，共同参加</w:t>
      </w:r>
      <w:r>
        <w:rPr>
          <w:rFonts w:hint="eastAsia" w:ascii="宋体" w:hAnsi="宋体" w:cs="宋体"/>
          <w:color w:val="auto"/>
          <w:kern w:val="0"/>
          <w:sz w:val="24"/>
          <w:highlight w:val="none"/>
          <w:u w:val="single"/>
        </w:rPr>
        <w:t xml:space="preserve">    </w:t>
      </w:r>
      <w:bookmarkStart w:id="90" w:name="PO_3000001868_PM031"/>
      <w:r>
        <w:rPr>
          <w:rFonts w:hint="eastAsia" w:ascii="宋体" w:hAnsi="宋体" w:cs="宋体"/>
          <w:color w:val="auto"/>
          <w:kern w:val="0"/>
          <w:sz w:val="24"/>
          <w:highlight w:val="none"/>
          <w:u w:val="single"/>
        </w:rPr>
        <w:t>[采购组织机构]</w:t>
      </w:r>
      <w:bookmarkEnd w:id="90"/>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组织的</w:t>
      </w:r>
      <w:r>
        <w:rPr>
          <w:rFonts w:hint="eastAsia" w:ascii="宋体" w:hAnsi="宋体" w:cs="宋体"/>
          <w:color w:val="auto"/>
          <w:kern w:val="0"/>
          <w:sz w:val="24"/>
          <w:highlight w:val="none"/>
          <w:u w:val="single"/>
        </w:rPr>
        <w:t xml:space="preserve">       </w:t>
      </w:r>
      <w:bookmarkStart w:id="91" w:name="PO_3000001868_PM002_5"/>
      <w:r>
        <w:rPr>
          <w:rFonts w:hint="eastAsia" w:ascii="宋体" w:hAnsi="宋体" w:cs="宋体"/>
          <w:color w:val="auto"/>
          <w:kern w:val="0"/>
          <w:sz w:val="24"/>
          <w:highlight w:val="none"/>
          <w:u w:val="single"/>
        </w:rPr>
        <w:t>[项目名称]</w:t>
      </w:r>
      <w:bookmarkEnd w:id="91"/>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（项目编号：</w:t>
      </w:r>
      <w:r>
        <w:rPr>
          <w:rFonts w:hint="eastAsia" w:ascii="宋体" w:hAnsi="宋体" w:cs="宋体"/>
          <w:color w:val="auto"/>
          <w:kern w:val="0"/>
          <w:sz w:val="24"/>
          <w:highlight w:val="none"/>
          <w:u w:val="single"/>
        </w:rPr>
        <w:t xml:space="preserve">  </w:t>
      </w:r>
      <w:bookmarkStart w:id="92" w:name="PO_3000001868_PM001_6"/>
      <w:r>
        <w:rPr>
          <w:rFonts w:hint="eastAsia" w:ascii="宋体" w:hAnsi="宋体" w:cs="宋体"/>
          <w:color w:val="auto"/>
          <w:kern w:val="0"/>
          <w:sz w:val="24"/>
          <w:highlight w:val="none"/>
          <w:u w:val="single"/>
        </w:rPr>
        <w:t>[项目编号]</w:t>
      </w:r>
      <w:bookmarkEnd w:id="92"/>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）竞争性磋商采购。现就联合体竞标事宜订立如下协议：</w:t>
      </w:r>
    </w:p>
    <w:p w14:paraId="45006583">
      <w:pPr>
        <w:autoSpaceDE w:val="0"/>
        <w:autoSpaceDN w:val="0"/>
        <w:adjustRightInd w:val="0"/>
        <w:spacing w:line="360" w:lineRule="auto"/>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color w:val="auto"/>
          <w:sz w:val="24"/>
          <w:highlight w:val="none"/>
        </w:rPr>
        <w:t>________________________</w:t>
      </w:r>
      <w:r>
        <w:rPr>
          <w:rFonts w:hint="eastAsia" w:ascii="宋体" w:hAnsi="宋体" w:cs="宋体"/>
          <w:color w:val="auto"/>
          <w:kern w:val="0"/>
          <w:sz w:val="24"/>
          <w:highlight w:val="none"/>
        </w:rPr>
        <w:t>（某成员单位名称）为联合体名称牵头人。</w:t>
      </w:r>
    </w:p>
    <w:p w14:paraId="6C47F1AF">
      <w:pPr>
        <w:autoSpaceDE w:val="0"/>
        <w:autoSpaceDN w:val="0"/>
        <w:adjustRightInd w:val="0"/>
        <w:spacing w:line="360" w:lineRule="auto"/>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2、联合体牵头人合法代表联合体各成员负责本磋商项目响应文件编制和合同谈判活动，并代表联合体提交和接收相关的资料、信息及指示，并处理与之有关的一切事务，负责合同实施阶段的主办、组织和协调工作。</w:t>
      </w:r>
    </w:p>
    <w:p w14:paraId="5CF5E2DB">
      <w:pPr>
        <w:autoSpaceDE w:val="0"/>
        <w:autoSpaceDN w:val="0"/>
        <w:adjustRightInd w:val="0"/>
        <w:spacing w:line="360" w:lineRule="auto"/>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3、联合体牵头人在本项目中签署和盖章的一切文件和处理的一切事宜，联合体各成员均予以承认。 联合体各成员将严格按照磋商文件、响应文件和合同的要求全面履行义务，并向采购人承担连带责任。</w:t>
      </w:r>
    </w:p>
    <w:p w14:paraId="7598B46D">
      <w:pPr>
        <w:autoSpaceDE w:val="0"/>
        <w:autoSpaceDN w:val="0"/>
        <w:adjustRightInd w:val="0"/>
        <w:spacing w:line="360" w:lineRule="auto"/>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4、联合体各成员单位内部的职责分工如下</w:t>
      </w:r>
      <w:r>
        <w:rPr>
          <w:rFonts w:hint="eastAsia" w:ascii="宋体" w:hAnsi="宋体" w:cs="宋体"/>
          <w:color w:val="auto"/>
          <w:kern w:val="0"/>
          <w:sz w:val="24"/>
          <w:highlight w:val="none"/>
          <w:u w:val="single"/>
        </w:rPr>
        <w:t>：</w:t>
      </w:r>
      <w:r>
        <w:rPr>
          <w:rFonts w:hint="eastAsia" w:ascii="宋体" w:hAnsi="宋体" w:cs="宋体"/>
          <w:color w:val="auto"/>
          <w:sz w:val="24"/>
          <w:highlight w:val="none"/>
          <w:u w:val="single"/>
        </w:rPr>
        <w:t>________________________________________________</w:t>
      </w:r>
      <w:r>
        <w:rPr>
          <w:rFonts w:hint="eastAsia" w:ascii="宋体" w:hAnsi="宋体" w:cs="宋体"/>
          <w:color w:val="auto"/>
          <w:kern w:val="0"/>
          <w:sz w:val="24"/>
          <w:highlight w:val="none"/>
        </w:rPr>
        <w:t>。</w:t>
      </w:r>
    </w:p>
    <w:p w14:paraId="452EDE87">
      <w:pPr>
        <w:pStyle w:val="15"/>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5、本联合体中</w:t>
      </w:r>
      <w:r>
        <w:rPr>
          <w:rFonts w:hint="eastAsia" w:hAnsi="宋体" w:cs="宋体"/>
          <w:color w:val="auto"/>
          <w:sz w:val="24"/>
          <w:szCs w:val="24"/>
          <w:highlight w:val="none"/>
          <w:u w:val="single"/>
        </w:rPr>
        <w:t>，________________________（某成员单位名称）为______</w:t>
      </w:r>
      <w:r>
        <w:rPr>
          <w:rFonts w:hint="eastAsia" w:hAnsi="宋体" w:cs="宋体"/>
          <w:color w:val="auto"/>
          <w:sz w:val="24"/>
          <w:szCs w:val="24"/>
          <w:highlight w:val="none"/>
        </w:rPr>
        <w:t>（请填写：中型、小型、微型）企业，其协议合同金额占联合体协议合同总金额的</w:t>
      </w:r>
      <w:r>
        <w:rPr>
          <w:rFonts w:hint="eastAsia" w:hAnsi="宋体" w:cs="宋体"/>
          <w:color w:val="auto"/>
          <w:sz w:val="24"/>
          <w:szCs w:val="24"/>
          <w:highlight w:val="none"/>
          <w:u w:val="single"/>
        </w:rPr>
        <w:t>______</w:t>
      </w:r>
      <w:r>
        <w:rPr>
          <w:rFonts w:hint="eastAsia" w:hAnsi="宋体" w:cs="宋体"/>
          <w:color w:val="auto"/>
          <w:sz w:val="24"/>
          <w:szCs w:val="24"/>
          <w:highlight w:val="none"/>
        </w:rPr>
        <w:t>%。【如联合体成员中有小型、微型企业的，请填写此条，否则无需填写；如联合体成员中有多个小型、微型企业的，请逐一列出。】</w:t>
      </w:r>
    </w:p>
    <w:p w14:paraId="1B1107D7">
      <w:pPr>
        <w:autoSpaceDE w:val="0"/>
        <w:autoSpaceDN w:val="0"/>
        <w:adjustRightInd w:val="0"/>
        <w:spacing w:line="360" w:lineRule="auto"/>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6、本协议书自签署之日起生效，合同履行完毕后自动失效。</w:t>
      </w:r>
    </w:p>
    <w:p w14:paraId="3EF49755">
      <w:pPr>
        <w:autoSpaceDE w:val="0"/>
        <w:autoSpaceDN w:val="0"/>
        <w:adjustRightInd w:val="0"/>
        <w:spacing w:line="360" w:lineRule="auto"/>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7、本协议书一式</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份，联合体成员和采购代理机构各执一份。</w:t>
      </w:r>
    </w:p>
    <w:p w14:paraId="6A754B87">
      <w:pPr>
        <w:autoSpaceDE w:val="0"/>
        <w:autoSpaceDN w:val="0"/>
        <w:adjustRightInd w:val="0"/>
        <w:spacing w:line="360" w:lineRule="auto"/>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注：本协议书由法定代表人签字的，应附法定代表人身份证明；本协议书由委托代理人签字的，应附法定代表人授权委托书。</w:t>
      </w:r>
    </w:p>
    <w:p w14:paraId="0FA0F3A8">
      <w:pPr>
        <w:autoSpaceDE w:val="0"/>
        <w:autoSpaceDN w:val="0"/>
        <w:adjustRightInd w:val="0"/>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牵头人名称：</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（盖单位公章）</w:t>
      </w:r>
    </w:p>
    <w:p w14:paraId="36933241">
      <w:pPr>
        <w:autoSpaceDE w:val="0"/>
        <w:autoSpaceDN w:val="0"/>
        <w:adjustRightInd w:val="0"/>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法定代表人或其委托代理人：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（签字或盖章）</w:t>
      </w:r>
    </w:p>
    <w:p w14:paraId="638EFB0A">
      <w:pPr>
        <w:autoSpaceDE w:val="0"/>
        <w:autoSpaceDN w:val="0"/>
        <w:adjustRightInd w:val="0"/>
        <w:spacing w:line="360" w:lineRule="auto"/>
        <w:jc w:val="left"/>
        <w:rPr>
          <w:rFonts w:ascii="宋体" w:hAnsi="宋体" w:cs="宋体"/>
          <w:color w:val="auto"/>
          <w:kern w:val="0"/>
          <w:sz w:val="24"/>
          <w:highlight w:val="none"/>
        </w:rPr>
      </w:pPr>
    </w:p>
    <w:p w14:paraId="761682CA">
      <w:pPr>
        <w:autoSpaceDE w:val="0"/>
        <w:autoSpaceDN w:val="0"/>
        <w:adjustRightInd w:val="0"/>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成员一名称：</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（盖单位公章）</w:t>
      </w:r>
    </w:p>
    <w:p w14:paraId="1221DF43">
      <w:pPr>
        <w:autoSpaceDE w:val="0"/>
        <w:autoSpaceDN w:val="0"/>
        <w:adjustRightInd w:val="0"/>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法定代表人或其委托代理人：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（签字或盖章）</w:t>
      </w:r>
    </w:p>
    <w:p w14:paraId="7AF88D2C">
      <w:pPr>
        <w:autoSpaceDE w:val="0"/>
        <w:autoSpaceDN w:val="0"/>
        <w:adjustRightInd w:val="0"/>
        <w:spacing w:line="360" w:lineRule="auto"/>
        <w:jc w:val="left"/>
        <w:rPr>
          <w:rFonts w:ascii="宋体" w:hAnsi="宋体" w:cs="宋体"/>
          <w:color w:val="auto"/>
          <w:kern w:val="0"/>
          <w:szCs w:val="21"/>
          <w:highlight w:val="none"/>
        </w:rPr>
      </w:pPr>
    </w:p>
    <w:p w14:paraId="2B80EFFA">
      <w:pPr>
        <w:autoSpaceDE w:val="0"/>
        <w:autoSpaceDN w:val="0"/>
        <w:adjustRightInd w:val="0"/>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成员二名称：</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（盖单位公章）</w:t>
      </w:r>
    </w:p>
    <w:p w14:paraId="6DAB04A4">
      <w:pPr>
        <w:autoSpaceDE w:val="0"/>
        <w:autoSpaceDN w:val="0"/>
        <w:adjustRightInd w:val="0"/>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法定代表人或其委托代理人：                         （签字或盖章）</w:t>
      </w:r>
    </w:p>
    <w:p w14:paraId="6DE8375D">
      <w:pPr>
        <w:autoSpaceDE w:val="0"/>
        <w:autoSpaceDN w:val="0"/>
        <w:adjustRightInd w:val="0"/>
        <w:spacing w:line="360" w:lineRule="auto"/>
        <w:jc w:val="left"/>
        <w:rPr>
          <w:rFonts w:ascii="宋体" w:hAnsi="宋体" w:cs="宋体"/>
          <w:color w:val="auto"/>
          <w:kern w:val="0"/>
          <w:sz w:val="24"/>
          <w:highlight w:val="none"/>
        </w:rPr>
      </w:pPr>
    </w:p>
    <w:p w14:paraId="4E5931E3">
      <w:pPr>
        <w:autoSpaceDE w:val="0"/>
        <w:autoSpaceDN w:val="0"/>
        <w:adjustRightInd w:val="0"/>
        <w:spacing w:line="360" w:lineRule="auto"/>
        <w:jc w:val="left"/>
        <w:rPr>
          <w:rFonts w:ascii="宋体" w:hAnsi="宋体" w:cs="宋体"/>
          <w:color w:val="auto"/>
          <w:kern w:val="0"/>
          <w:sz w:val="24"/>
          <w:highlight w:val="none"/>
        </w:rPr>
      </w:pPr>
    </w:p>
    <w:p w14:paraId="7D33F861">
      <w:pPr>
        <w:autoSpaceDE w:val="0"/>
        <w:autoSpaceDN w:val="0"/>
        <w:spacing w:line="360" w:lineRule="auto"/>
        <w:ind w:left="4365" w:leftChars="1850" w:hanging="480" w:hangingChars="200"/>
        <w:rPr>
          <w:rFonts w:ascii="宋体" w:hAnsi="宋体" w:cs="宋体"/>
          <w:color w:val="auto"/>
          <w:kern w:val="0"/>
          <w:sz w:val="24"/>
          <w:highlight w:val="none"/>
        </w:rPr>
      </w:pPr>
      <w:r>
        <w:rPr>
          <w:rFonts w:hint="eastAsia" w:ascii="宋体" w:hAnsi="宋体" w:cs="宋体"/>
          <w:color w:val="auto"/>
          <w:kern w:val="0"/>
          <w:sz w:val="24"/>
          <w:highlight w:val="none"/>
        </w:rPr>
        <w:t>供应商名称（电子签章）：</w:t>
      </w:r>
    </w:p>
    <w:p w14:paraId="360465DB">
      <w:pPr>
        <w:autoSpaceDE w:val="0"/>
        <w:autoSpaceDN w:val="0"/>
        <w:spacing w:line="360" w:lineRule="auto"/>
        <w:ind w:firstLine="6120" w:firstLineChars="25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4A8ECC2A">
      <w:pPr>
        <w:autoSpaceDE w:val="0"/>
        <w:autoSpaceDN w:val="0"/>
        <w:spacing w:line="360" w:lineRule="auto"/>
        <w:ind w:firstLine="6120" w:firstLineChars="2550"/>
        <w:rPr>
          <w:rFonts w:ascii="宋体" w:hAnsi="宋体" w:cs="宋体"/>
          <w:color w:val="auto"/>
          <w:kern w:val="0"/>
          <w:sz w:val="24"/>
          <w:highlight w:val="none"/>
          <w:lang w:val="zh-CN"/>
        </w:rPr>
      </w:pPr>
    </w:p>
    <w:p w14:paraId="6B18452A">
      <w:pPr>
        <w:autoSpaceDE w:val="0"/>
        <w:autoSpaceDN w:val="0"/>
        <w:spacing w:line="360" w:lineRule="auto"/>
        <w:ind w:firstLine="6120" w:firstLineChars="2550"/>
        <w:rPr>
          <w:rFonts w:ascii="宋体" w:hAnsi="宋体" w:cs="宋体"/>
          <w:color w:val="auto"/>
          <w:kern w:val="0"/>
          <w:sz w:val="24"/>
          <w:highlight w:val="none"/>
          <w:lang w:val="zh-CN"/>
        </w:rPr>
      </w:pPr>
    </w:p>
    <w:p w14:paraId="26C9D55E">
      <w:pPr>
        <w:autoSpaceDE w:val="0"/>
        <w:autoSpaceDN w:val="0"/>
        <w:spacing w:line="360" w:lineRule="auto"/>
        <w:ind w:firstLine="6120" w:firstLineChars="2550"/>
        <w:rPr>
          <w:rFonts w:ascii="宋体" w:hAnsi="宋体" w:cs="宋体"/>
          <w:color w:val="auto"/>
          <w:kern w:val="0"/>
          <w:sz w:val="24"/>
          <w:highlight w:val="none"/>
          <w:lang w:val="zh-CN"/>
        </w:rPr>
      </w:pPr>
    </w:p>
    <w:p w14:paraId="291381E5">
      <w:pPr>
        <w:snapToGrid w:val="0"/>
        <w:spacing w:line="360" w:lineRule="auto"/>
        <w:ind w:firstLine="602" w:firstLineChars="200"/>
        <w:rPr>
          <w:rFonts w:ascii="宋体" w:hAnsi="宋体" w:cs="宋体"/>
          <w:b/>
          <w:color w:val="auto"/>
          <w:sz w:val="30"/>
          <w:szCs w:val="30"/>
          <w:highlight w:val="none"/>
        </w:rPr>
      </w:pPr>
    </w:p>
    <w:p w14:paraId="6105B6E0">
      <w:pPr>
        <w:snapToGrid w:val="0"/>
        <w:spacing w:line="360" w:lineRule="auto"/>
        <w:ind w:firstLine="602" w:firstLineChars="200"/>
        <w:rPr>
          <w:rFonts w:ascii="宋体" w:hAnsi="宋体" w:cs="宋体"/>
          <w:b/>
          <w:color w:val="auto"/>
          <w:sz w:val="30"/>
          <w:szCs w:val="30"/>
          <w:highlight w:val="none"/>
        </w:rPr>
      </w:pPr>
    </w:p>
    <w:p w14:paraId="715CEC78">
      <w:pPr>
        <w:snapToGrid w:val="0"/>
        <w:spacing w:line="360" w:lineRule="auto"/>
        <w:ind w:firstLine="602" w:firstLineChars="200"/>
        <w:rPr>
          <w:rFonts w:ascii="宋体" w:hAnsi="宋体" w:cs="宋体"/>
          <w:b/>
          <w:color w:val="auto"/>
          <w:sz w:val="30"/>
          <w:szCs w:val="30"/>
          <w:highlight w:val="none"/>
        </w:rPr>
      </w:pPr>
    </w:p>
    <w:p w14:paraId="2ADF32A5">
      <w:pPr>
        <w:snapToGrid w:val="0"/>
        <w:spacing w:line="360" w:lineRule="auto"/>
        <w:ind w:firstLine="602" w:firstLineChars="200"/>
        <w:rPr>
          <w:rFonts w:ascii="宋体" w:hAnsi="宋体" w:cs="宋体"/>
          <w:b/>
          <w:color w:val="auto"/>
          <w:sz w:val="30"/>
          <w:szCs w:val="30"/>
          <w:highlight w:val="none"/>
        </w:rPr>
      </w:pPr>
    </w:p>
    <w:p w14:paraId="4150DE5E">
      <w:pPr>
        <w:snapToGrid w:val="0"/>
        <w:spacing w:line="360" w:lineRule="auto"/>
        <w:ind w:firstLine="602" w:firstLineChars="200"/>
        <w:rPr>
          <w:rFonts w:ascii="宋体" w:hAnsi="宋体" w:cs="宋体"/>
          <w:b/>
          <w:color w:val="auto"/>
          <w:sz w:val="30"/>
          <w:szCs w:val="30"/>
          <w:highlight w:val="none"/>
        </w:rPr>
      </w:pPr>
    </w:p>
    <w:p w14:paraId="6E028078">
      <w:pPr>
        <w:snapToGrid w:val="0"/>
        <w:spacing w:line="360" w:lineRule="auto"/>
        <w:ind w:firstLine="602" w:firstLineChars="200"/>
        <w:rPr>
          <w:rFonts w:ascii="宋体" w:hAnsi="宋体" w:cs="宋体"/>
          <w:b/>
          <w:color w:val="auto"/>
          <w:sz w:val="30"/>
          <w:szCs w:val="30"/>
          <w:highlight w:val="none"/>
        </w:rPr>
      </w:pPr>
    </w:p>
    <w:p w14:paraId="1B98C070">
      <w:pPr>
        <w:snapToGrid w:val="0"/>
        <w:spacing w:line="360" w:lineRule="auto"/>
        <w:ind w:firstLine="602" w:firstLineChars="200"/>
        <w:rPr>
          <w:rFonts w:ascii="宋体" w:hAnsi="宋体" w:cs="宋体"/>
          <w:b/>
          <w:color w:val="auto"/>
          <w:sz w:val="30"/>
          <w:szCs w:val="30"/>
          <w:highlight w:val="none"/>
        </w:rPr>
      </w:pPr>
    </w:p>
    <w:p w14:paraId="483A0E5F">
      <w:pPr>
        <w:snapToGrid w:val="0"/>
        <w:spacing w:line="360" w:lineRule="auto"/>
        <w:ind w:firstLine="602" w:firstLineChars="200"/>
        <w:rPr>
          <w:rFonts w:ascii="宋体" w:hAnsi="宋体" w:cs="宋体"/>
          <w:b/>
          <w:color w:val="auto"/>
          <w:sz w:val="30"/>
          <w:szCs w:val="30"/>
          <w:highlight w:val="none"/>
        </w:rPr>
      </w:pPr>
    </w:p>
    <w:p w14:paraId="489F282A">
      <w:pPr>
        <w:snapToGrid w:val="0"/>
        <w:spacing w:line="360" w:lineRule="auto"/>
        <w:ind w:firstLine="602" w:firstLineChars="200"/>
        <w:rPr>
          <w:rFonts w:ascii="宋体" w:hAnsi="宋体" w:cs="宋体"/>
          <w:b/>
          <w:color w:val="auto"/>
          <w:sz w:val="30"/>
          <w:szCs w:val="30"/>
          <w:highlight w:val="none"/>
        </w:rPr>
      </w:pPr>
    </w:p>
    <w:p w14:paraId="490D5D4A">
      <w:pPr>
        <w:snapToGrid w:val="0"/>
        <w:spacing w:line="360" w:lineRule="auto"/>
        <w:ind w:firstLine="602" w:firstLineChars="200"/>
        <w:rPr>
          <w:rFonts w:ascii="宋体" w:hAnsi="宋体" w:cs="宋体"/>
          <w:b/>
          <w:color w:val="auto"/>
          <w:sz w:val="30"/>
          <w:szCs w:val="30"/>
          <w:highlight w:val="none"/>
        </w:rPr>
      </w:pPr>
    </w:p>
    <w:p w14:paraId="091E5E8B">
      <w:pPr>
        <w:snapToGrid w:val="0"/>
        <w:spacing w:line="360" w:lineRule="auto"/>
        <w:ind w:firstLine="602" w:firstLineChars="200"/>
        <w:rPr>
          <w:rFonts w:ascii="宋体" w:hAnsi="宋体" w:cs="宋体"/>
          <w:b/>
          <w:color w:val="auto"/>
          <w:sz w:val="30"/>
          <w:szCs w:val="30"/>
          <w:highlight w:val="none"/>
        </w:rPr>
      </w:pPr>
    </w:p>
    <w:p w14:paraId="72260F79">
      <w:pPr>
        <w:snapToGrid w:val="0"/>
        <w:spacing w:line="360" w:lineRule="auto"/>
        <w:ind w:firstLine="602" w:firstLineChars="200"/>
        <w:rPr>
          <w:rFonts w:ascii="宋体" w:hAnsi="宋体" w:cs="宋体"/>
          <w:b/>
          <w:color w:val="auto"/>
          <w:sz w:val="30"/>
          <w:szCs w:val="30"/>
          <w:highlight w:val="none"/>
        </w:rPr>
      </w:pPr>
    </w:p>
    <w:p w14:paraId="38F0963A">
      <w:pPr>
        <w:snapToGrid w:val="0"/>
        <w:spacing w:line="360" w:lineRule="auto"/>
        <w:ind w:firstLine="602" w:firstLineChars="200"/>
        <w:rPr>
          <w:rFonts w:ascii="宋体" w:hAnsi="宋体" w:cs="宋体"/>
          <w:b/>
          <w:color w:val="auto"/>
          <w:sz w:val="30"/>
          <w:szCs w:val="30"/>
          <w:highlight w:val="none"/>
        </w:rPr>
      </w:pPr>
    </w:p>
    <w:p w14:paraId="78545BB3">
      <w:pPr>
        <w:snapToGrid w:val="0"/>
        <w:spacing w:line="360" w:lineRule="auto"/>
        <w:ind w:firstLine="602" w:firstLineChars="200"/>
        <w:rPr>
          <w:rFonts w:ascii="宋体" w:hAnsi="宋体" w:cs="宋体"/>
          <w:b/>
          <w:color w:val="auto"/>
          <w:sz w:val="30"/>
          <w:szCs w:val="30"/>
          <w:highlight w:val="none"/>
        </w:rPr>
      </w:pPr>
    </w:p>
    <w:p w14:paraId="4B3A1DA8">
      <w:pPr>
        <w:snapToGrid w:val="0"/>
        <w:spacing w:line="360" w:lineRule="auto"/>
        <w:ind w:firstLine="602" w:firstLineChars="200"/>
        <w:rPr>
          <w:rFonts w:ascii="宋体" w:hAnsi="宋体" w:cs="宋体"/>
          <w:b/>
          <w:color w:val="auto"/>
          <w:sz w:val="30"/>
          <w:szCs w:val="30"/>
          <w:highlight w:val="none"/>
        </w:rPr>
      </w:pPr>
    </w:p>
    <w:p w14:paraId="1E81CCB8">
      <w:pPr>
        <w:pStyle w:val="32"/>
        <w:rPr>
          <w:color w:val="auto"/>
          <w:highlight w:val="none"/>
        </w:rPr>
      </w:pPr>
    </w:p>
    <w:p w14:paraId="4069099C">
      <w:pPr>
        <w:snapToGrid w:val="0"/>
        <w:spacing w:line="360" w:lineRule="auto"/>
        <w:ind w:firstLine="602" w:firstLineChars="200"/>
        <w:rPr>
          <w:rFonts w:hint="eastAsia" w:ascii="宋体" w:hAnsi="宋体" w:cs="宋体"/>
          <w:b/>
          <w:color w:val="auto"/>
          <w:sz w:val="30"/>
          <w:szCs w:val="30"/>
          <w:highlight w:val="none"/>
        </w:rPr>
      </w:pPr>
    </w:p>
    <w:p w14:paraId="08F2D904">
      <w:pPr>
        <w:snapToGrid w:val="0"/>
        <w:spacing w:line="360" w:lineRule="auto"/>
        <w:ind w:firstLine="602" w:firstLineChars="200"/>
        <w:rPr>
          <w:rFonts w:hint="eastAsia" w:ascii="宋体" w:hAnsi="宋体" w:cs="宋体"/>
          <w:b/>
          <w:color w:val="auto"/>
          <w:sz w:val="30"/>
          <w:szCs w:val="30"/>
          <w:highlight w:val="none"/>
        </w:rPr>
      </w:pPr>
    </w:p>
    <w:p w14:paraId="42F24C73">
      <w:pPr>
        <w:snapToGrid w:val="0"/>
        <w:spacing w:line="360" w:lineRule="auto"/>
        <w:ind w:firstLine="602" w:firstLineChars="200"/>
        <w:rPr>
          <w:rFonts w:hint="eastAsia" w:ascii="宋体" w:hAnsi="宋体" w:cs="宋体"/>
          <w:b/>
          <w:color w:val="auto"/>
          <w:sz w:val="30"/>
          <w:szCs w:val="30"/>
          <w:highlight w:val="none"/>
        </w:rPr>
      </w:pPr>
    </w:p>
    <w:p w14:paraId="0F373BE7">
      <w:pPr>
        <w:snapToGrid w:val="0"/>
        <w:spacing w:line="360" w:lineRule="auto"/>
        <w:ind w:firstLine="602" w:firstLineChars="200"/>
        <w:rPr>
          <w:rFonts w:ascii="宋体" w:hAnsi="宋体" w:cs="宋体"/>
          <w:b/>
          <w:color w:val="auto"/>
          <w:sz w:val="30"/>
          <w:szCs w:val="30"/>
          <w:highlight w:val="none"/>
        </w:rPr>
      </w:pPr>
      <w:r>
        <w:rPr>
          <w:rFonts w:hint="eastAsia" w:ascii="宋体" w:hAnsi="宋体" w:cs="宋体"/>
          <w:b/>
          <w:color w:val="auto"/>
          <w:sz w:val="30"/>
          <w:szCs w:val="30"/>
          <w:highlight w:val="none"/>
        </w:rPr>
        <w:t>八、中小企业声明函或残疾人福利性单位声明函或属于监狱企业的证明文件</w:t>
      </w:r>
    </w:p>
    <w:p w14:paraId="00AA3A69">
      <w:pPr>
        <w:spacing w:line="300" w:lineRule="auto"/>
        <w:jc w:val="center"/>
        <w:rPr>
          <w:rFonts w:ascii="宋体" w:hAnsi="宋体" w:cs="宋体"/>
          <w:color w:val="auto"/>
          <w:sz w:val="44"/>
          <w:szCs w:val="44"/>
          <w:highlight w:val="none"/>
        </w:rPr>
      </w:pPr>
      <w:r>
        <w:rPr>
          <w:rFonts w:hint="eastAsia" w:ascii="宋体" w:hAnsi="宋体" w:cs="宋体"/>
          <w:color w:val="auto"/>
          <w:sz w:val="44"/>
          <w:szCs w:val="44"/>
          <w:highlight w:val="none"/>
        </w:rPr>
        <w:t>中小企业声明函（工程、服务）</w:t>
      </w:r>
    </w:p>
    <w:p w14:paraId="2FDC6703">
      <w:pPr>
        <w:spacing w:line="360" w:lineRule="auto"/>
        <w:ind w:firstLine="550"/>
        <w:rPr>
          <w:rFonts w:ascii="宋体" w:hAnsi="宋体" w:cs="宋体"/>
          <w:color w:val="auto"/>
          <w:kern w:val="0"/>
          <w:sz w:val="24"/>
          <w:highlight w:val="none"/>
        </w:rPr>
      </w:pPr>
    </w:p>
    <w:p w14:paraId="4F1528CE">
      <w:pPr>
        <w:spacing w:line="360" w:lineRule="auto"/>
        <w:ind w:firstLine="550"/>
        <w:rPr>
          <w:rFonts w:ascii="宋体" w:hAnsi="宋体" w:cs="宋体"/>
          <w:color w:val="auto"/>
          <w:kern w:val="0"/>
          <w:sz w:val="24"/>
          <w:highlight w:val="none"/>
        </w:rPr>
      </w:pPr>
      <w:r>
        <w:rPr>
          <w:rFonts w:hint="eastAsia" w:ascii="宋体" w:hAnsi="宋体" w:cs="宋体"/>
          <w:color w:val="auto"/>
          <w:kern w:val="0"/>
          <w:sz w:val="24"/>
          <w:highlight w:val="none"/>
        </w:rPr>
        <w:t>本公司（联合体）郑重声明，根据《政府采购促进中小企业发展管理办法》（财库﹝2020﹞46 号）的规定，本公司（联合体）参加</w:t>
      </w:r>
      <w:r>
        <w:rPr>
          <w:rFonts w:hint="eastAsia" w:ascii="宋体" w:hAnsi="宋体" w:cs="宋体"/>
          <w:color w:val="auto"/>
          <w:sz w:val="24"/>
          <w:highlight w:val="none"/>
          <w:u w:val="single"/>
        </w:rPr>
        <w:t>[采购人]</w:t>
      </w:r>
      <w:r>
        <w:rPr>
          <w:rFonts w:hint="eastAsia" w:ascii="宋体" w:hAnsi="宋体" w:cs="宋体"/>
          <w:color w:val="auto"/>
          <w:sz w:val="24"/>
          <w:highlight w:val="none"/>
        </w:rPr>
        <w:t>的</w:t>
      </w:r>
      <w:r>
        <w:rPr>
          <w:rFonts w:hint="eastAsia" w:ascii="宋体" w:hAnsi="宋体" w:cs="宋体"/>
          <w:color w:val="auto"/>
          <w:sz w:val="24"/>
          <w:highlight w:val="none"/>
          <w:u w:val="single"/>
        </w:rPr>
        <w:t>[项目名称]</w:t>
      </w:r>
      <w:r>
        <w:rPr>
          <w:rFonts w:hint="eastAsia" w:ascii="宋体" w:hAnsi="宋体" w:cs="宋体"/>
          <w:color w:val="auto"/>
          <w:kern w:val="0"/>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67A64E50">
      <w:pPr>
        <w:spacing w:line="360" w:lineRule="auto"/>
        <w:ind w:firstLine="550"/>
        <w:rPr>
          <w:rFonts w:ascii="宋体" w:hAnsi="宋体" w:cs="宋体"/>
          <w:color w:val="auto"/>
          <w:kern w:val="0"/>
          <w:sz w:val="24"/>
          <w:highlight w:val="none"/>
        </w:rPr>
      </w:pPr>
      <w:r>
        <w:rPr>
          <w:rFonts w:hint="eastAsia" w:ascii="宋体" w:hAnsi="宋体" w:cs="宋体"/>
          <w:color w:val="auto"/>
          <w:kern w:val="0"/>
          <w:sz w:val="24"/>
          <w:highlight w:val="none"/>
        </w:rPr>
        <w:t xml:space="preserve">1. </w:t>
      </w:r>
      <w:r>
        <w:rPr>
          <w:rFonts w:hint="eastAsia" w:ascii="宋体" w:hAnsi="宋体" w:cs="宋体"/>
          <w:color w:val="auto"/>
          <w:kern w:val="0"/>
          <w:sz w:val="24"/>
          <w:highlight w:val="none"/>
          <w:u w:val="single"/>
        </w:rPr>
        <w:t>（标的名称）</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（采购文件中明确的所属行业：见服务需求一览表）</w:t>
      </w:r>
      <w:r>
        <w:rPr>
          <w:rFonts w:hint="eastAsia" w:ascii="宋体" w:hAnsi="宋体" w:cs="宋体"/>
          <w:color w:val="auto"/>
          <w:kern w:val="0"/>
          <w:sz w:val="24"/>
          <w:highlight w:val="none"/>
        </w:rPr>
        <w:t>行业；承建（承接）企业为</w:t>
      </w:r>
      <w:r>
        <w:rPr>
          <w:rFonts w:hint="eastAsia" w:ascii="宋体" w:hAnsi="宋体" w:cs="宋体"/>
          <w:color w:val="auto"/>
          <w:kern w:val="0"/>
          <w:sz w:val="24"/>
          <w:highlight w:val="none"/>
          <w:u w:val="single"/>
        </w:rPr>
        <w:t>（企业名称）</w:t>
      </w:r>
      <w:r>
        <w:rPr>
          <w:rFonts w:hint="eastAsia" w:ascii="宋体" w:hAnsi="宋体" w:cs="宋体"/>
          <w:color w:val="auto"/>
          <w:kern w:val="0"/>
          <w:sz w:val="24"/>
          <w:highlight w:val="none"/>
        </w:rPr>
        <w:t>，从业人员</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人，营业收入为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万元，资产总额为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万元</w:t>
      </w:r>
      <w:r>
        <w:rPr>
          <w:rFonts w:hint="eastAsia" w:ascii="宋体" w:hAnsi="宋体" w:cs="宋体"/>
          <w:color w:val="auto"/>
          <w:sz w:val="24"/>
          <w:highlight w:val="none"/>
          <w:vertAlign w:val="superscript"/>
        </w:rPr>
        <w:t>1</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（中型企业、小型企业、微型企业）</w:t>
      </w:r>
      <w:r>
        <w:rPr>
          <w:rFonts w:hint="eastAsia" w:ascii="宋体" w:hAnsi="宋体" w:cs="宋体"/>
          <w:color w:val="auto"/>
          <w:kern w:val="0"/>
          <w:sz w:val="24"/>
          <w:highlight w:val="none"/>
        </w:rPr>
        <w:t>；</w:t>
      </w:r>
    </w:p>
    <w:p w14:paraId="58255682">
      <w:pPr>
        <w:spacing w:line="360" w:lineRule="auto"/>
        <w:ind w:firstLine="550"/>
        <w:rPr>
          <w:rFonts w:ascii="宋体" w:hAnsi="宋体" w:cs="宋体"/>
          <w:color w:val="auto"/>
          <w:kern w:val="0"/>
          <w:sz w:val="24"/>
          <w:highlight w:val="none"/>
        </w:rPr>
      </w:pPr>
      <w:r>
        <w:rPr>
          <w:rFonts w:hint="eastAsia" w:ascii="宋体" w:hAnsi="宋体" w:cs="宋体"/>
          <w:color w:val="auto"/>
          <w:kern w:val="0"/>
          <w:sz w:val="24"/>
          <w:highlight w:val="none"/>
        </w:rPr>
        <w:t xml:space="preserve"> 2. </w:t>
      </w:r>
      <w:r>
        <w:rPr>
          <w:rFonts w:hint="eastAsia" w:ascii="宋体" w:hAnsi="宋体" w:cs="宋体"/>
          <w:color w:val="auto"/>
          <w:kern w:val="0"/>
          <w:sz w:val="24"/>
          <w:highlight w:val="none"/>
          <w:u w:val="single"/>
        </w:rPr>
        <w:t>（标的名称）</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（采购文件中明确的所属行业：见服务需求一览表）</w:t>
      </w:r>
      <w:r>
        <w:rPr>
          <w:rFonts w:hint="eastAsia" w:ascii="宋体" w:hAnsi="宋体" w:cs="宋体"/>
          <w:color w:val="auto"/>
          <w:kern w:val="0"/>
          <w:sz w:val="24"/>
          <w:highlight w:val="none"/>
        </w:rPr>
        <w:t>行业；承建（承接）企业为</w:t>
      </w:r>
      <w:r>
        <w:rPr>
          <w:rFonts w:hint="eastAsia" w:ascii="宋体" w:hAnsi="宋体" w:cs="宋体"/>
          <w:color w:val="auto"/>
          <w:kern w:val="0"/>
          <w:sz w:val="24"/>
          <w:highlight w:val="none"/>
          <w:u w:val="single"/>
        </w:rPr>
        <w:t>（企业名称）</w:t>
      </w:r>
      <w:r>
        <w:rPr>
          <w:rFonts w:hint="eastAsia" w:ascii="宋体" w:hAnsi="宋体" w:cs="宋体"/>
          <w:color w:val="auto"/>
          <w:kern w:val="0"/>
          <w:sz w:val="24"/>
          <w:highlight w:val="none"/>
        </w:rPr>
        <w:t>，从业人员</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人，营业收入为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万元，资产总额为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万元，属于</w:t>
      </w:r>
      <w:r>
        <w:rPr>
          <w:rFonts w:hint="eastAsia" w:ascii="宋体" w:hAnsi="宋体" w:cs="宋体"/>
          <w:color w:val="auto"/>
          <w:kern w:val="0"/>
          <w:sz w:val="24"/>
          <w:highlight w:val="none"/>
          <w:u w:val="single"/>
        </w:rPr>
        <w:t>（中型企业、小型企业、微型企业）</w:t>
      </w:r>
      <w:r>
        <w:rPr>
          <w:rFonts w:hint="eastAsia" w:ascii="宋体" w:hAnsi="宋体" w:cs="宋体"/>
          <w:color w:val="auto"/>
          <w:kern w:val="0"/>
          <w:sz w:val="24"/>
          <w:highlight w:val="none"/>
        </w:rPr>
        <w:t>；</w:t>
      </w:r>
    </w:p>
    <w:p w14:paraId="51213C47">
      <w:pPr>
        <w:spacing w:line="360" w:lineRule="auto"/>
        <w:ind w:firstLine="550"/>
        <w:rPr>
          <w:rFonts w:ascii="宋体" w:hAnsi="宋体" w:cs="宋体"/>
          <w:color w:val="auto"/>
          <w:kern w:val="0"/>
          <w:sz w:val="24"/>
          <w:highlight w:val="none"/>
        </w:rPr>
      </w:pPr>
      <w:r>
        <w:rPr>
          <w:rFonts w:hint="eastAsia" w:ascii="宋体" w:hAnsi="宋体" w:cs="宋体"/>
          <w:color w:val="auto"/>
          <w:kern w:val="0"/>
          <w:sz w:val="24"/>
          <w:highlight w:val="none"/>
        </w:rPr>
        <w:t xml:space="preserve"> …… </w:t>
      </w:r>
    </w:p>
    <w:p w14:paraId="2C79FA49">
      <w:pPr>
        <w:spacing w:line="360" w:lineRule="auto"/>
        <w:ind w:firstLine="550"/>
        <w:rPr>
          <w:rFonts w:ascii="宋体" w:hAnsi="宋体" w:cs="宋体"/>
          <w:color w:val="auto"/>
          <w:kern w:val="0"/>
          <w:sz w:val="24"/>
          <w:highlight w:val="none"/>
        </w:rPr>
      </w:pPr>
      <w:r>
        <w:rPr>
          <w:rFonts w:hint="eastAsia" w:ascii="宋体" w:hAnsi="宋体" w:cs="宋体"/>
          <w:color w:val="auto"/>
          <w:kern w:val="0"/>
          <w:sz w:val="24"/>
          <w:highlight w:val="none"/>
        </w:rPr>
        <w:t>以上企业，不属于大企业的分支机构，不存在控股股东为大企业的情形，也不存在与大企业的负责人为同一人的情形。</w:t>
      </w:r>
    </w:p>
    <w:p w14:paraId="1912BBED">
      <w:pPr>
        <w:spacing w:line="360" w:lineRule="auto"/>
        <w:ind w:firstLine="550"/>
        <w:rPr>
          <w:rFonts w:ascii="宋体" w:hAnsi="宋体" w:cs="宋体"/>
          <w:color w:val="auto"/>
          <w:kern w:val="0"/>
          <w:sz w:val="24"/>
          <w:highlight w:val="none"/>
        </w:rPr>
      </w:pPr>
      <w:r>
        <w:rPr>
          <w:rFonts w:hint="eastAsia" w:ascii="宋体" w:hAnsi="宋体" w:cs="宋体"/>
          <w:color w:val="auto"/>
          <w:kern w:val="0"/>
          <w:sz w:val="24"/>
          <w:highlight w:val="none"/>
        </w:rPr>
        <w:t>本企业对上述声明内容的真实性负责。如有虚假，将依法承担相应责任。</w:t>
      </w:r>
    </w:p>
    <w:p w14:paraId="42D973DF">
      <w:pPr>
        <w:ind w:firstLine="552"/>
        <w:rPr>
          <w:rFonts w:ascii="宋体" w:hAnsi="宋体" w:cs="宋体"/>
          <w:color w:val="auto"/>
          <w:kern w:val="0"/>
          <w:szCs w:val="21"/>
          <w:highlight w:val="none"/>
        </w:rPr>
      </w:pPr>
    </w:p>
    <w:p w14:paraId="2D609BC2">
      <w:pPr>
        <w:pStyle w:val="11"/>
        <w:spacing w:after="0" w:line="360" w:lineRule="auto"/>
        <w:contextualSpacing/>
        <w:rPr>
          <w:rFonts w:ascii="宋体" w:hAnsi="宋体" w:cs="宋体"/>
          <w:color w:val="auto"/>
          <w:kern w:val="0"/>
          <w:sz w:val="24"/>
          <w:szCs w:val="22"/>
          <w:highlight w:val="none"/>
        </w:rPr>
      </w:pPr>
      <w:r>
        <w:rPr>
          <w:rFonts w:hint="eastAsia" w:ascii="宋体" w:hAnsi="宋体" w:cs="宋体"/>
          <w:color w:val="auto"/>
          <w:kern w:val="0"/>
          <w:sz w:val="24"/>
          <w:szCs w:val="22"/>
          <w:highlight w:val="none"/>
        </w:rPr>
        <w:t>1从业人员、营业收入、资产总额填报上一年度数据，无上一年度数据的新成立企业可不填报。</w:t>
      </w:r>
    </w:p>
    <w:p w14:paraId="62B6C88D">
      <w:pPr>
        <w:autoSpaceDE w:val="0"/>
        <w:autoSpaceDN w:val="0"/>
        <w:spacing w:line="360" w:lineRule="auto"/>
        <w:ind w:left="4335" w:leftChars="1950" w:hanging="240" w:hangingChars="100"/>
        <w:rPr>
          <w:rFonts w:ascii="宋体" w:hAnsi="宋体" w:cs="宋体"/>
          <w:color w:val="auto"/>
          <w:kern w:val="0"/>
          <w:sz w:val="24"/>
          <w:highlight w:val="none"/>
        </w:rPr>
      </w:pPr>
      <w:r>
        <w:rPr>
          <w:rFonts w:hint="eastAsia" w:ascii="宋体" w:hAnsi="宋体" w:cs="宋体"/>
          <w:color w:val="auto"/>
          <w:kern w:val="0"/>
          <w:sz w:val="24"/>
          <w:highlight w:val="none"/>
        </w:rPr>
        <w:t>供应商名称（电子签章）：</w:t>
      </w:r>
    </w:p>
    <w:p w14:paraId="1F2BFC57">
      <w:pPr>
        <w:autoSpaceDE w:val="0"/>
        <w:autoSpaceDN w:val="0"/>
        <w:spacing w:line="360" w:lineRule="auto"/>
        <w:ind w:firstLine="6480" w:firstLineChars="27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47FCC911">
      <w:pPr>
        <w:pStyle w:val="11"/>
        <w:spacing w:after="0" w:line="360" w:lineRule="auto"/>
        <w:ind w:left="3960" w:right="1808"/>
        <w:contextualSpacing/>
        <w:rPr>
          <w:rFonts w:ascii="宋体" w:hAnsi="宋体" w:cs="宋体"/>
          <w:color w:val="auto"/>
          <w:highlight w:val="none"/>
        </w:rPr>
      </w:pPr>
    </w:p>
    <w:p w14:paraId="6B2B642B">
      <w:pPr>
        <w:tabs>
          <w:tab w:val="left" w:pos="7980"/>
        </w:tabs>
        <w:spacing w:line="360" w:lineRule="auto"/>
        <w:contextualSpacing/>
        <w:jc w:val="left"/>
        <w:rPr>
          <w:rFonts w:ascii="宋体" w:hAnsi="宋体" w:cs="宋体"/>
          <w:color w:val="auto"/>
          <w:kern w:val="0"/>
          <w:sz w:val="24"/>
          <w:highlight w:val="none"/>
        </w:rPr>
      </w:pPr>
      <w:r>
        <w:rPr>
          <w:rFonts w:hint="eastAsia" w:ascii="宋体" w:hAnsi="宋体" w:cs="宋体"/>
          <w:color w:val="auto"/>
          <w:sz w:val="24"/>
          <w:highlight w:val="none"/>
        </w:rPr>
        <w:t>注：享受《政府采购促进中小企业发展管理办法》（财库〔2020〕46号）规定的小微企业扶持政策的，采购人、采购代理机构应当随成交结果公开成交供应商的《</w:t>
      </w:r>
      <w:r>
        <w:rPr>
          <w:rFonts w:hint="eastAsia" w:ascii="宋体" w:hAnsi="宋体" w:cs="宋体"/>
          <w:color w:val="auto"/>
          <w:sz w:val="24"/>
          <w:highlight w:val="none"/>
          <w:lang w:val="en-US" w:eastAsia="zh-CN"/>
        </w:rPr>
        <w:t>中小</w:t>
      </w:r>
      <w:r>
        <w:rPr>
          <w:rFonts w:hint="eastAsia" w:ascii="宋体" w:hAnsi="宋体" w:cs="宋体"/>
          <w:color w:val="auto"/>
          <w:sz w:val="24"/>
          <w:highlight w:val="none"/>
        </w:rPr>
        <w:t>企业声明函》。从业人员、营业收入、资产总额填报上一年度数据，无上一年度数据的新成立企业可不填报。</w:t>
      </w:r>
    </w:p>
    <w:p w14:paraId="1D68D697">
      <w:pPr>
        <w:snapToGrid w:val="0"/>
        <w:spacing w:before="120" w:beforeLines="50" w:after="50" w:line="360" w:lineRule="auto"/>
        <w:outlineLvl w:val="1"/>
        <w:rPr>
          <w:rFonts w:ascii="宋体" w:hAnsi="宋体" w:cs="宋体"/>
          <w:b/>
          <w:bCs/>
          <w:color w:val="auto"/>
          <w:sz w:val="32"/>
          <w:szCs w:val="32"/>
          <w:highlight w:val="none"/>
        </w:rPr>
        <w:sectPr>
          <w:pgSz w:w="11910" w:h="16840"/>
          <w:pgMar w:top="1134" w:right="1134" w:bottom="1134" w:left="1134" w:header="720" w:footer="720" w:gutter="0"/>
          <w:cols w:space="0" w:num="1"/>
          <w:rtlGutter w:val="0"/>
        </w:sectPr>
      </w:pPr>
    </w:p>
    <w:p w14:paraId="0DF9ADCA">
      <w:pPr>
        <w:spacing w:line="520" w:lineRule="exact"/>
        <w:jc w:val="center"/>
        <w:rPr>
          <w:rFonts w:ascii="宋体" w:hAnsi="宋体" w:cs="宋体"/>
          <w:color w:val="auto"/>
          <w:sz w:val="32"/>
          <w:szCs w:val="32"/>
          <w:highlight w:val="none"/>
        </w:rPr>
      </w:pPr>
      <w:r>
        <w:rPr>
          <w:rFonts w:hint="eastAsia" w:ascii="宋体" w:hAnsi="宋体" w:cs="宋体"/>
          <w:color w:val="auto"/>
          <w:sz w:val="44"/>
          <w:szCs w:val="44"/>
          <w:highlight w:val="none"/>
        </w:rPr>
        <w:t>残疾人福利性单位声明函</w:t>
      </w:r>
    </w:p>
    <w:p w14:paraId="328CF1A6">
      <w:pPr>
        <w:spacing w:line="520" w:lineRule="exact"/>
        <w:rPr>
          <w:rFonts w:ascii="宋体" w:hAnsi="宋体" w:cs="宋体"/>
          <w:color w:val="auto"/>
          <w:sz w:val="32"/>
          <w:szCs w:val="32"/>
          <w:highlight w:val="none"/>
        </w:rPr>
      </w:pPr>
    </w:p>
    <w:p w14:paraId="31CC3253">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单位的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项目采购活动由本单位提供服务。</w:t>
      </w:r>
    </w:p>
    <w:p w14:paraId="7C6838CE">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4375C378">
      <w:pPr>
        <w:spacing w:line="360" w:lineRule="auto"/>
        <w:contextualSpacing/>
        <w:rPr>
          <w:rFonts w:ascii="宋体" w:hAnsi="宋体" w:cs="宋体"/>
          <w:color w:val="auto"/>
          <w:sz w:val="24"/>
          <w:highlight w:val="none"/>
        </w:rPr>
      </w:pPr>
    </w:p>
    <w:p w14:paraId="5B0DD5B8">
      <w:pPr>
        <w:spacing w:line="360" w:lineRule="auto"/>
        <w:contextualSpacing/>
        <w:rPr>
          <w:rFonts w:ascii="宋体" w:hAnsi="宋体" w:cs="宋体"/>
          <w:color w:val="auto"/>
          <w:sz w:val="24"/>
          <w:highlight w:val="none"/>
        </w:rPr>
      </w:pPr>
    </w:p>
    <w:p w14:paraId="3DF27472">
      <w:pPr>
        <w:spacing w:line="360" w:lineRule="auto"/>
        <w:contextualSpacing/>
        <w:rPr>
          <w:rFonts w:ascii="宋体" w:hAnsi="宋体" w:cs="宋体"/>
          <w:color w:val="auto"/>
          <w:sz w:val="24"/>
          <w:highlight w:val="none"/>
        </w:rPr>
      </w:pPr>
    </w:p>
    <w:p w14:paraId="31064C3E">
      <w:pPr>
        <w:spacing w:line="360" w:lineRule="auto"/>
        <w:ind w:firstLine="2400" w:firstLineChars="1000"/>
        <w:contextualSpacing/>
        <w:rPr>
          <w:rFonts w:ascii="宋体" w:hAnsi="宋体" w:cs="宋体"/>
          <w:color w:val="auto"/>
          <w:sz w:val="24"/>
          <w:highlight w:val="none"/>
        </w:rPr>
      </w:pPr>
      <w:r>
        <w:rPr>
          <w:rFonts w:hint="eastAsia" w:ascii="宋体" w:hAnsi="宋体" w:cs="宋体"/>
          <w:color w:val="auto"/>
          <w:sz w:val="24"/>
          <w:highlight w:val="none"/>
        </w:rPr>
        <w:t>供应商名称（电子签章）：</w:t>
      </w:r>
    </w:p>
    <w:p w14:paraId="3599D0E6">
      <w:pPr>
        <w:spacing w:line="360" w:lineRule="auto"/>
        <w:ind w:firstLine="4320" w:firstLineChars="1800"/>
        <w:contextualSpacing/>
        <w:rPr>
          <w:rFonts w:ascii="宋体" w:hAnsi="宋体" w:cs="宋体"/>
          <w:color w:val="auto"/>
          <w:sz w:val="24"/>
          <w:highlight w:val="none"/>
        </w:rPr>
      </w:pPr>
      <w:r>
        <w:rPr>
          <w:rFonts w:hint="eastAsia" w:ascii="宋体" w:hAnsi="宋体" w:cs="宋体"/>
          <w:color w:val="auto"/>
          <w:sz w:val="24"/>
          <w:highlight w:val="none"/>
        </w:rPr>
        <w:t>日  期：     年   月   日</w:t>
      </w:r>
    </w:p>
    <w:p w14:paraId="6B489C12">
      <w:pPr>
        <w:spacing w:line="360" w:lineRule="auto"/>
        <w:contextualSpacing/>
        <w:rPr>
          <w:rFonts w:ascii="宋体" w:hAnsi="宋体" w:cs="宋体"/>
          <w:color w:val="auto"/>
          <w:sz w:val="24"/>
          <w:highlight w:val="none"/>
        </w:rPr>
      </w:pPr>
    </w:p>
    <w:p w14:paraId="20BB4F36">
      <w:pPr>
        <w:spacing w:line="360" w:lineRule="auto"/>
        <w:contextualSpacing/>
        <w:rPr>
          <w:rFonts w:ascii="宋体" w:hAnsi="宋体" w:cs="宋体"/>
          <w:color w:val="auto"/>
          <w:sz w:val="24"/>
          <w:highlight w:val="none"/>
        </w:rPr>
      </w:pPr>
    </w:p>
    <w:p w14:paraId="5CCB1E74">
      <w:pPr>
        <w:spacing w:line="360" w:lineRule="auto"/>
        <w:contextualSpacing/>
        <w:rPr>
          <w:rFonts w:ascii="宋体" w:hAnsi="宋体" w:cs="宋体"/>
          <w:color w:val="auto"/>
          <w:sz w:val="24"/>
          <w:highlight w:val="none"/>
        </w:rPr>
      </w:pPr>
    </w:p>
    <w:p w14:paraId="7D1B3BFE">
      <w:pPr>
        <w:spacing w:line="360" w:lineRule="auto"/>
        <w:contextualSpacing/>
        <w:rPr>
          <w:rFonts w:ascii="宋体" w:hAnsi="宋体" w:cs="宋体"/>
          <w:color w:val="auto"/>
          <w:sz w:val="24"/>
          <w:highlight w:val="none"/>
        </w:rPr>
      </w:pPr>
      <w:r>
        <w:rPr>
          <w:rFonts w:hint="eastAsia" w:ascii="宋体" w:hAnsi="宋体" w:cs="宋体"/>
          <w:color w:val="auto"/>
          <w:sz w:val="24"/>
          <w:highlight w:val="none"/>
        </w:rPr>
        <w:t>注：请根据自己的真实情况出具《残疾人福利性单位声明函》。依法享受小微企业优惠政策的，采购人或者采购代理机构在公告中标结果时，同时公告其《残疾人福利性单位声明函》，接受社会监督。</w:t>
      </w:r>
    </w:p>
    <w:p w14:paraId="3B477506">
      <w:pPr>
        <w:autoSpaceDE w:val="0"/>
        <w:autoSpaceDN w:val="0"/>
        <w:spacing w:line="360" w:lineRule="auto"/>
        <w:ind w:firstLine="6120" w:firstLineChars="2550"/>
        <w:rPr>
          <w:rFonts w:ascii="宋体" w:hAnsi="宋体" w:cs="宋体"/>
          <w:color w:val="auto"/>
          <w:kern w:val="0"/>
          <w:sz w:val="24"/>
          <w:highlight w:val="none"/>
          <w:lang w:val="zh-CN"/>
        </w:rPr>
      </w:pPr>
    </w:p>
    <w:p w14:paraId="0F85A5C2">
      <w:pPr>
        <w:snapToGrid w:val="0"/>
        <w:spacing w:line="360" w:lineRule="auto"/>
        <w:ind w:firstLine="600" w:firstLineChars="200"/>
        <w:rPr>
          <w:rFonts w:ascii="宋体" w:hAnsi="宋体" w:cs="宋体"/>
          <w:bCs/>
          <w:color w:val="auto"/>
          <w:sz w:val="30"/>
          <w:szCs w:val="30"/>
          <w:highlight w:val="none"/>
        </w:rPr>
      </w:pPr>
    </w:p>
    <w:p w14:paraId="0CFCAE28">
      <w:pPr>
        <w:snapToGrid w:val="0"/>
        <w:spacing w:line="360" w:lineRule="auto"/>
        <w:ind w:firstLine="602" w:firstLineChars="200"/>
        <w:rPr>
          <w:rFonts w:hint="eastAsia" w:ascii="宋体" w:hAnsi="宋体" w:cs="宋体"/>
          <w:b/>
          <w:color w:val="auto"/>
          <w:sz w:val="30"/>
          <w:szCs w:val="30"/>
          <w:highlight w:val="none"/>
        </w:rPr>
      </w:pPr>
    </w:p>
    <w:p w14:paraId="6FF14C12">
      <w:pPr>
        <w:snapToGrid w:val="0"/>
        <w:spacing w:line="360" w:lineRule="auto"/>
        <w:ind w:firstLine="602" w:firstLineChars="200"/>
        <w:rPr>
          <w:rFonts w:hint="eastAsia" w:ascii="宋体" w:hAnsi="宋体" w:cs="宋体"/>
          <w:b/>
          <w:color w:val="auto"/>
          <w:sz w:val="30"/>
          <w:szCs w:val="30"/>
          <w:highlight w:val="none"/>
        </w:rPr>
      </w:pPr>
    </w:p>
    <w:p w14:paraId="53A536D4">
      <w:pPr>
        <w:snapToGrid w:val="0"/>
        <w:spacing w:line="360" w:lineRule="auto"/>
        <w:ind w:firstLine="602" w:firstLineChars="200"/>
        <w:rPr>
          <w:rFonts w:ascii="宋体" w:hAnsi="宋体" w:cs="宋体"/>
          <w:b/>
          <w:color w:val="auto"/>
          <w:sz w:val="30"/>
          <w:szCs w:val="30"/>
          <w:highlight w:val="none"/>
        </w:rPr>
      </w:pPr>
      <w:r>
        <w:rPr>
          <w:rFonts w:hint="eastAsia" w:ascii="宋体" w:hAnsi="宋体" w:cs="宋体"/>
          <w:b/>
          <w:color w:val="auto"/>
          <w:sz w:val="30"/>
          <w:szCs w:val="30"/>
          <w:highlight w:val="none"/>
        </w:rPr>
        <w:t>九、</w:t>
      </w:r>
      <w:r>
        <w:rPr>
          <w:rFonts w:hint="eastAsia" w:ascii="宋体" w:hAnsi="宋体" w:cs="宋体"/>
          <w:b/>
          <w:color w:val="auto"/>
          <w:sz w:val="30"/>
          <w:szCs w:val="30"/>
          <w:highlight w:val="none"/>
          <w:lang w:val="en-US" w:eastAsia="zh-CN"/>
        </w:rPr>
        <w:t>资格条件证明材料</w:t>
      </w:r>
    </w:p>
    <w:p w14:paraId="3E2A8F6A">
      <w:pPr>
        <w:snapToGrid w:val="0"/>
        <w:spacing w:line="360" w:lineRule="auto"/>
        <w:ind w:firstLine="602" w:firstLineChars="200"/>
        <w:rPr>
          <w:rFonts w:ascii="宋体" w:hAnsi="宋体" w:cs="宋体"/>
          <w:b/>
          <w:color w:val="auto"/>
          <w:sz w:val="30"/>
          <w:szCs w:val="30"/>
          <w:highlight w:val="none"/>
        </w:rPr>
      </w:pPr>
    </w:p>
    <w:p w14:paraId="7FD998A8">
      <w:pPr>
        <w:autoSpaceDE w:val="0"/>
        <w:autoSpaceDN w:val="0"/>
        <w:spacing w:line="360" w:lineRule="auto"/>
        <w:ind w:left="4335" w:leftChars="1950" w:hanging="240" w:hangingChars="100"/>
        <w:rPr>
          <w:rFonts w:ascii="宋体" w:hAnsi="宋体" w:cs="宋体"/>
          <w:color w:val="auto"/>
          <w:kern w:val="0"/>
          <w:sz w:val="24"/>
          <w:highlight w:val="none"/>
        </w:rPr>
      </w:pPr>
      <w:r>
        <w:rPr>
          <w:rFonts w:hint="eastAsia" w:ascii="宋体" w:hAnsi="宋体" w:cs="宋体"/>
          <w:color w:val="auto"/>
          <w:kern w:val="0"/>
          <w:sz w:val="24"/>
          <w:highlight w:val="none"/>
        </w:rPr>
        <w:t>供应商名称（电子签章）：</w:t>
      </w:r>
    </w:p>
    <w:p w14:paraId="5E635147">
      <w:pPr>
        <w:autoSpaceDE w:val="0"/>
        <w:autoSpaceDN w:val="0"/>
        <w:spacing w:line="360" w:lineRule="auto"/>
        <w:ind w:firstLine="6480" w:firstLineChars="27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28078AC0">
      <w:pPr>
        <w:widowControl/>
        <w:spacing w:line="360" w:lineRule="auto"/>
        <w:jc w:val="left"/>
        <w:rPr>
          <w:rFonts w:ascii="宋体" w:hAnsi="宋体" w:cs="宋体"/>
          <w:color w:val="auto"/>
          <w:kern w:val="0"/>
          <w:sz w:val="24"/>
          <w:highlight w:val="none"/>
          <w:lang w:val="zh-CN"/>
        </w:rPr>
      </w:pPr>
    </w:p>
    <w:p w14:paraId="5682D499">
      <w:pPr>
        <w:numPr>
          <w:ilvl w:val="0"/>
          <w:numId w:val="0"/>
        </w:numPr>
        <w:snapToGrid w:val="0"/>
        <w:spacing w:line="360" w:lineRule="auto"/>
        <w:ind w:firstLine="602" w:firstLineChars="200"/>
        <w:rPr>
          <w:rFonts w:hint="eastAsia" w:ascii="宋体" w:hAnsi="宋体" w:cs="宋体"/>
          <w:b/>
          <w:color w:val="auto"/>
          <w:sz w:val="30"/>
          <w:szCs w:val="30"/>
          <w:highlight w:val="none"/>
          <w:lang w:val="en-US" w:eastAsia="zh-CN"/>
        </w:rPr>
      </w:pPr>
    </w:p>
    <w:p w14:paraId="64636BFE">
      <w:pPr>
        <w:numPr>
          <w:ilvl w:val="0"/>
          <w:numId w:val="0"/>
        </w:numPr>
        <w:snapToGrid w:val="0"/>
        <w:spacing w:line="360" w:lineRule="auto"/>
        <w:ind w:firstLine="602" w:firstLineChars="200"/>
        <w:rPr>
          <w:rFonts w:hint="eastAsia" w:ascii="宋体" w:hAnsi="宋体" w:cs="宋体"/>
          <w:b/>
          <w:color w:val="auto"/>
          <w:sz w:val="30"/>
          <w:szCs w:val="30"/>
          <w:highlight w:val="none"/>
          <w:lang w:val="en-US" w:eastAsia="zh-CN"/>
        </w:rPr>
      </w:pPr>
    </w:p>
    <w:p w14:paraId="06D4EEEF">
      <w:pPr>
        <w:numPr>
          <w:ilvl w:val="0"/>
          <w:numId w:val="0"/>
        </w:numPr>
        <w:snapToGrid w:val="0"/>
        <w:spacing w:line="360" w:lineRule="auto"/>
        <w:ind w:firstLine="602" w:firstLineChars="200"/>
        <w:rPr>
          <w:rFonts w:hint="eastAsia" w:ascii="宋体" w:hAnsi="宋体" w:cs="宋体"/>
          <w:b/>
          <w:color w:val="auto"/>
          <w:sz w:val="30"/>
          <w:szCs w:val="30"/>
          <w:highlight w:val="none"/>
          <w:lang w:val="en-US" w:eastAsia="zh-CN"/>
        </w:rPr>
      </w:pPr>
    </w:p>
    <w:p w14:paraId="15695697">
      <w:pPr>
        <w:numPr>
          <w:ilvl w:val="0"/>
          <w:numId w:val="0"/>
        </w:numPr>
        <w:snapToGrid w:val="0"/>
        <w:spacing w:line="360" w:lineRule="auto"/>
        <w:ind w:firstLine="602" w:firstLineChars="200"/>
        <w:rPr>
          <w:rFonts w:hint="eastAsia" w:ascii="宋体" w:hAnsi="宋体" w:eastAsia="宋体" w:cs="宋体"/>
          <w:b/>
          <w:color w:val="auto"/>
          <w:sz w:val="30"/>
          <w:szCs w:val="30"/>
          <w:highlight w:val="none"/>
          <w:lang w:val="en-US" w:eastAsia="zh-CN"/>
        </w:rPr>
      </w:pPr>
      <w:r>
        <w:rPr>
          <w:rFonts w:hint="eastAsia" w:ascii="宋体" w:hAnsi="宋体" w:cs="宋体"/>
          <w:b/>
          <w:color w:val="auto"/>
          <w:sz w:val="30"/>
          <w:szCs w:val="30"/>
          <w:highlight w:val="none"/>
          <w:lang w:val="en-US" w:eastAsia="zh-CN"/>
        </w:rPr>
        <w:t>十、</w:t>
      </w:r>
      <w:r>
        <w:rPr>
          <w:rFonts w:hint="eastAsia" w:ascii="宋体" w:hAnsi="宋体" w:eastAsia="宋体" w:cs="宋体"/>
          <w:b/>
          <w:color w:val="auto"/>
          <w:sz w:val="30"/>
          <w:szCs w:val="30"/>
          <w:highlight w:val="none"/>
          <w:lang w:val="en-US" w:eastAsia="zh-CN"/>
        </w:rPr>
        <w:t>建设工程项目管理承诺书</w:t>
      </w:r>
    </w:p>
    <w:p w14:paraId="7D7948DB">
      <w:pPr>
        <w:spacing w:line="520" w:lineRule="exact"/>
        <w:jc w:val="center"/>
        <w:rPr>
          <w:rFonts w:hint="eastAsia" w:ascii="宋体" w:hAnsi="宋体" w:eastAsia="宋体" w:cs="宋体"/>
          <w:color w:val="auto"/>
          <w:sz w:val="44"/>
          <w:szCs w:val="44"/>
          <w:highlight w:val="none"/>
        </w:rPr>
      </w:pPr>
    </w:p>
    <w:p w14:paraId="481A3662">
      <w:pPr>
        <w:spacing w:line="520" w:lineRule="exact"/>
        <w:jc w:val="center"/>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建设工程项目管理承诺书</w:t>
      </w:r>
    </w:p>
    <w:p w14:paraId="7D9455E1">
      <w:pPr>
        <w:pStyle w:val="47"/>
        <w:spacing w:line="480" w:lineRule="auto"/>
        <w:jc w:val="left"/>
        <w:rPr>
          <w:rStyle w:val="28"/>
          <w:rFonts w:hint="eastAsia" w:asciiTheme="minorEastAsia" w:hAnsiTheme="minorEastAsia" w:eastAsiaTheme="minorEastAsia" w:cstheme="minorEastAsia"/>
          <w:color w:val="auto"/>
          <w:sz w:val="24"/>
          <w:szCs w:val="24"/>
          <w:highlight w:val="none"/>
        </w:rPr>
      </w:pPr>
    </w:p>
    <w:p w14:paraId="16E7DCE1">
      <w:pPr>
        <w:pStyle w:val="47"/>
        <w:spacing w:line="480" w:lineRule="auto"/>
        <w:jc w:val="left"/>
        <w:rPr>
          <w:rStyle w:val="28"/>
          <w:rFonts w:hint="eastAsia" w:asciiTheme="minorEastAsia" w:hAnsiTheme="minorEastAsia" w:eastAsiaTheme="minorEastAsia" w:cstheme="minorEastAsia"/>
          <w:color w:val="auto"/>
          <w:sz w:val="24"/>
          <w:szCs w:val="24"/>
          <w:highlight w:val="none"/>
        </w:rPr>
      </w:pPr>
      <w:r>
        <w:rPr>
          <w:rStyle w:val="28"/>
          <w:rFonts w:hint="eastAsia" w:asciiTheme="minorEastAsia" w:hAnsiTheme="minorEastAsia" w:eastAsiaTheme="minorEastAsia" w:cstheme="minorEastAsia"/>
          <w:color w:val="auto"/>
          <w:sz w:val="24"/>
          <w:szCs w:val="24"/>
          <w:highlight w:val="none"/>
        </w:rPr>
        <w:t>致</w:t>
      </w:r>
      <w:r>
        <w:rPr>
          <w:rStyle w:val="28"/>
          <w:rFonts w:hint="eastAsia" w:asciiTheme="minorEastAsia" w:hAnsiTheme="minorEastAsia" w:eastAsiaTheme="minorEastAsia" w:cstheme="minorEastAsia"/>
          <w:color w:val="auto"/>
          <w:sz w:val="24"/>
          <w:szCs w:val="24"/>
          <w:highlight w:val="none"/>
          <w:u w:val="single"/>
        </w:rPr>
        <w:t xml:space="preserve">                        </w:t>
      </w:r>
      <w:r>
        <w:rPr>
          <w:rStyle w:val="28"/>
          <w:rFonts w:hint="eastAsia" w:asciiTheme="minorEastAsia" w:hAnsiTheme="minorEastAsia" w:eastAsiaTheme="minorEastAsia" w:cstheme="minorEastAsia"/>
          <w:color w:val="auto"/>
          <w:sz w:val="24"/>
          <w:szCs w:val="24"/>
          <w:highlight w:val="none"/>
        </w:rPr>
        <w:t>（招标人名称）：</w:t>
      </w:r>
    </w:p>
    <w:p w14:paraId="37CD4D45">
      <w:pPr>
        <w:pStyle w:val="47"/>
        <w:spacing w:line="520" w:lineRule="exact"/>
        <w:ind w:left="-10" w:firstLine="520" w:firstLineChars="217"/>
        <w:jc w:val="left"/>
        <w:rPr>
          <w:rStyle w:val="28"/>
          <w:rFonts w:hint="eastAsia" w:asciiTheme="minorEastAsia" w:hAnsiTheme="minorEastAsia" w:eastAsiaTheme="minorEastAsia" w:cstheme="minorEastAsia"/>
          <w:color w:val="auto"/>
          <w:sz w:val="24"/>
          <w:szCs w:val="24"/>
          <w:highlight w:val="none"/>
        </w:rPr>
      </w:pPr>
      <w:r>
        <w:rPr>
          <w:rStyle w:val="28"/>
          <w:rFonts w:hint="eastAsia" w:asciiTheme="minorEastAsia" w:hAnsiTheme="minorEastAsia" w:eastAsiaTheme="minorEastAsia" w:cstheme="minorEastAsia"/>
          <w:color w:val="auto"/>
          <w:sz w:val="24"/>
          <w:szCs w:val="24"/>
          <w:highlight w:val="none"/>
        </w:rPr>
        <w:t>作为参与</w:t>
      </w:r>
      <w:r>
        <w:rPr>
          <w:rStyle w:val="28"/>
          <w:rFonts w:hint="eastAsia" w:asciiTheme="minorEastAsia" w:hAnsiTheme="minorEastAsia" w:eastAsiaTheme="minorEastAsia" w:cstheme="minorEastAsia"/>
          <w:color w:val="auto"/>
          <w:sz w:val="24"/>
          <w:szCs w:val="24"/>
          <w:highlight w:val="none"/>
          <w:u w:val="single"/>
        </w:rPr>
        <w:t xml:space="preserve">                  </w:t>
      </w:r>
      <w:r>
        <w:rPr>
          <w:rStyle w:val="28"/>
          <w:rFonts w:hint="eastAsia" w:asciiTheme="minorEastAsia" w:hAnsiTheme="minorEastAsia" w:eastAsiaTheme="minorEastAsia" w:cstheme="minorEastAsia"/>
          <w:color w:val="auto"/>
          <w:sz w:val="24"/>
          <w:szCs w:val="24"/>
          <w:highlight w:val="none"/>
        </w:rPr>
        <w:t>（工程名称）项目的投标方，根据国家、自治区相关文件规定，我方在此向招标人承诺：</w:t>
      </w:r>
    </w:p>
    <w:p w14:paraId="7985DEC6">
      <w:pPr>
        <w:pStyle w:val="47"/>
        <w:spacing w:line="520" w:lineRule="exact"/>
        <w:ind w:left="-10" w:firstLine="520" w:firstLineChars="217"/>
        <w:jc w:val="left"/>
        <w:rPr>
          <w:rStyle w:val="28"/>
          <w:rFonts w:hint="eastAsia" w:asciiTheme="minorEastAsia" w:hAnsiTheme="minorEastAsia" w:eastAsiaTheme="minorEastAsia" w:cstheme="minorEastAsia"/>
          <w:color w:val="auto"/>
          <w:sz w:val="24"/>
          <w:szCs w:val="24"/>
          <w:highlight w:val="none"/>
        </w:rPr>
      </w:pPr>
      <w:r>
        <w:rPr>
          <w:rStyle w:val="28"/>
          <w:rFonts w:hint="eastAsia" w:asciiTheme="minorEastAsia" w:hAnsiTheme="minorEastAsia" w:eastAsiaTheme="minorEastAsia" w:cstheme="minorEastAsia"/>
          <w:color w:val="auto"/>
          <w:sz w:val="24"/>
          <w:szCs w:val="24"/>
          <w:highlight w:val="none"/>
        </w:rPr>
        <w:t>1、一旦中标，我方保证按照政府相关部门的规定，在中标后7个工作日内，按照《保障农民工工资支付条例》规定及广西壮族自治区有关规定开设农民工工资专用账户，并按</w:t>
      </w:r>
      <w:r>
        <w:rPr>
          <w:rStyle w:val="28"/>
          <w:rFonts w:hint="eastAsia" w:asciiTheme="minorEastAsia" w:hAnsiTheme="minorEastAsia" w:eastAsiaTheme="minorEastAsia" w:cstheme="minorEastAsia"/>
          <w:color w:val="auto"/>
          <w:sz w:val="24"/>
          <w:szCs w:val="24"/>
          <w:highlight w:val="none"/>
          <w:u w:val="single"/>
        </w:rPr>
        <w:t>要求</w:t>
      </w:r>
      <w:r>
        <w:rPr>
          <w:rStyle w:val="28"/>
          <w:rFonts w:hint="eastAsia" w:asciiTheme="minorEastAsia" w:hAnsiTheme="minorEastAsia" w:eastAsiaTheme="minorEastAsia" w:cstheme="minorEastAsia"/>
          <w:color w:val="auto"/>
          <w:sz w:val="24"/>
          <w:szCs w:val="24"/>
          <w:highlight w:val="none"/>
        </w:rPr>
        <w:t>比例将农民工工资保证金存入帐户，专项用于支付本工程提供劳动的农民工被拖欠的工资。按照与农民工依法约定的工资支付周期和具体支付日期支付工资，保证每月至少向农民工足额支付一次工资。</w:t>
      </w:r>
    </w:p>
    <w:p w14:paraId="15CC52C2">
      <w:pPr>
        <w:pStyle w:val="47"/>
        <w:spacing w:line="520" w:lineRule="exact"/>
        <w:ind w:left="-10" w:firstLine="520" w:firstLineChars="217"/>
        <w:jc w:val="left"/>
        <w:rPr>
          <w:rStyle w:val="28"/>
          <w:rFonts w:hint="eastAsia" w:asciiTheme="minorEastAsia" w:hAnsiTheme="minorEastAsia" w:eastAsiaTheme="minorEastAsia" w:cstheme="minorEastAsia"/>
          <w:color w:val="auto"/>
          <w:sz w:val="24"/>
          <w:szCs w:val="24"/>
          <w:highlight w:val="none"/>
        </w:rPr>
      </w:pPr>
      <w:r>
        <w:rPr>
          <w:rStyle w:val="28"/>
          <w:rFonts w:hint="eastAsia" w:asciiTheme="minorEastAsia" w:hAnsiTheme="minorEastAsia" w:eastAsiaTheme="minorEastAsia" w:cstheme="minorEastAsia"/>
          <w:color w:val="auto"/>
          <w:sz w:val="24"/>
          <w:szCs w:val="24"/>
          <w:highlight w:val="none"/>
        </w:rPr>
        <w:t>2、一旦中标，我方保证在施工过程中，严格执行《广西壮族自治区建筑工程安全文明施工费使用管理细则》（桂建质〔2015〕16号）的有关规定，确保建设工程各项安全防护、文明施工措施落实到位。如我方在该项目的承包中出现未按桂建质〔2015〕16号文附件一规定执行的情形，我方愿意按照相关规定接受建设单位及有关主管部门的处罚。</w:t>
      </w:r>
    </w:p>
    <w:p w14:paraId="54FC5921">
      <w:pPr>
        <w:pStyle w:val="47"/>
        <w:spacing w:line="520" w:lineRule="exact"/>
        <w:ind w:left="-2" w:leftChars="-1" w:firstLine="513" w:firstLineChars="214"/>
        <w:jc w:val="left"/>
        <w:rPr>
          <w:rStyle w:val="28"/>
          <w:rFonts w:hint="eastAsia" w:asciiTheme="minorEastAsia" w:hAnsiTheme="minorEastAsia" w:eastAsiaTheme="minorEastAsia" w:cstheme="minorEastAsia"/>
          <w:color w:val="auto"/>
          <w:sz w:val="24"/>
          <w:szCs w:val="24"/>
          <w:highlight w:val="none"/>
        </w:rPr>
      </w:pPr>
      <w:r>
        <w:rPr>
          <w:rStyle w:val="28"/>
          <w:rFonts w:hint="eastAsia" w:asciiTheme="minorEastAsia" w:hAnsiTheme="minorEastAsia" w:eastAsiaTheme="minorEastAsia" w:cstheme="minorEastAsia"/>
          <w:color w:val="auto"/>
          <w:sz w:val="24"/>
          <w:szCs w:val="24"/>
          <w:highlight w:val="none"/>
        </w:rPr>
        <w:t>3、一旦中标，我方保证在施工过程中，严格执行散装水泥和预拌混凝土管理的有关规定，确保建设工程按规定使用散装水泥和预拌混凝土。如我方在该项目的承包中出现未按规定执行的情形，我方愿意按照相关规定接受建设单位及有关主管部门的处罚。</w:t>
      </w:r>
    </w:p>
    <w:p w14:paraId="6D3D49C1">
      <w:pPr>
        <w:pStyle w:val="47"/>
        <w:spacing w:line="520" w:lineRule="exact"/>
        <w:ind w:left="-10" w:firstLine="520" w:firstLineChars="217"/>
        <w:jc w:val="left"/>
        <w:rPr>
          <w:rStyle w:val="28"/>
          <w:rFonts w:hint="eastAsia" w:asciiTheme="minorEastAsia" w:hAnsiTheme="minorEastAsia" w:eastAsiaTheme="minorEastAsia" w:cstheme="minorEastAsia"/>
          <w:color w:val="auto"/>
          <w:sz w:val="24"/>
          <w:szCs w:val="24"/>
          <w:highlight w:val="none"/>
        </w:rPr>
      </w:pPr>
      <w:r>
        <w:rPr>
          <w:rStyle w:val="28"/>
          <w:rFonts w:hint="eastAsia" w:asciiTheme="minorEastAsia" w:hAnsiTheme="minorEastAsia" w:eastAsiaTheme="minorEastAsia" w:cstheme="minorEastAsia"/>
          <w:color w:val="auto"/>
          <w:sz w:val="24"/>
          <w:szCs w:val="24"/>
          <w:highlight w:val="none"/>
        </w:rPr>
        <w:t>4、一旦中标，我方保证在施工过程中，严格执行《关于禁止使用不符合规范要求的竹脚手架的通知》（桂建管字〔2003〕40号）的有关规定，不使用竹脚手架。如我方在该项目的承包中出现未按规定执行的情形，我方愿意按照相关规定接受建设单位及有关主管部门的处罚。</w:t>
      </w:r>
    </w:p>
    <w:p w14:paraId="253066A7">
      <w:pPr>
        <w:pStyle w:val="47"/>
        <w:spacing w:line="520" w:lineRule="exact"/>
        <w:ind w:left="-10" w:firstLine="520" w:firstLineChars="217"/>
        <w:jc w:val="left"/>
        <w:rPr>
          <w:rStyle w:val="28"/>
          <w:rFonts w:hint="eastAsia" w:asciiTheme="minorEastAsia" w:hAnsiTheme="minorEastAsia" w:eastAsiaTheme="minorEastAsia" w:cstheme="minorEastAsia"/>
          <w:color w:val="auto"/>
          <w:sz w:val="24"/>
          <w:szCs w:val="24"/>
          <w:highlight w:val="none"/>
        </w:rPr>
      </w:pPr>
      <w:r>
        <w:rPr>
          <w:rStyle w:val="28"/>
          <w:rFonts w:hint="eastAsia" w:asciiTheme="minorEastAsia" w:hAnsiTheme="minorEastAsia" w:eastAsiaTheme="minorEastAsia" w:cstheme="minorEastAsia"/>
          <w:color w:val="auto"/>
          <w:sz w:val="24"/>
          <w:szCs w:val="24"/>
          <w:highlight w:val="none"/>
        </w:rPr>
        <w:t>5、一旦中标，我方保证严格执行《危险性较大的分部分项工程安全管理规定》（建办质〔2018〕31号）的规定，强化对深基坑、高切坡、高大模板、人工挖孔桩、起重吊装、临时活动板房等重大危险源的专项施工方案的编制、论证、审批、实施、检测的风险管理。</w:t>
      </w:r>
    </w:p>
    <w:p w14:paraId="7DB29795">
      <w:pPr>
        <w:pStyle w:val="47"/>
        <w:spacing w:line="520" w:lineRule="exact"/>
        <w:jc w:val="left"/>
        <w:rPr>
          <w:rStyle w:val="28"/>
          <w:rFonts w:hint="eastAsia" w:asciiTheme="minorEastAsia" w:hAnsiTheme="minorEastAsia" w:eastAsiaTheme="minorEastAsia" w:cstheme="minorEastAsia"/>
          <w:color w:val="auto"/>
          <w:sz w:val="24"/>
          <w:szCs w:val="24"/>
          <w:highlight w:val="none"/>
        </w:rPr>
      </w:pPr>
    </w:p>
    <w:p w14:paraId="61B920F4">
      <w:pPr>
        <w:autoSpaceDE w:val="0"/>
        <w:autoSpaceDN w:val="0"/>
        <w:spacing w:line="360" w:lineRule="auto"/>
        <w:ind w:left="4335" w:leftChars="1950" w:hanging="240" w:hangingChars="100"/>
        <w:rPr>
          <w:rFonts w:ascii="宋体" w:hAnsi="宋体" w:cs="宋体"/>
          <w:color w:val="auto"/>
          <w:kern w:val="0"/>
          <w:sz w:val="24"/>
          <w:highlight w:val="none"/>
        </w:rPr>
      </w:pPr>
      <w:r>
        <w:rPr>
          <w:rFonts w:hint="eastAsia" w:ascii="宋体" w:hAnsi="宋体" w:cs="宋体"/>
          <w:color w:val="auto"/>
          <w:kern w:val="0"/>
          <w:sz w:val="24"/>
          <w:highlight w:val="none"/>
        </w:rPr>
        <w:t>供应商名称（电子签章）：</w:t>
      </w:r>
    </w:p>
    <w:p w14:paraId="315FCD41">
      <w:pPr>
        <w:autoSpaceDE w:val="0"/>
        <w:autoSpaceDN w:val="0"/>
        <w:spacing w:line="360" w:lineRule="auto"/>
        <w:ind w:firstLine="6480" w:firstLineChars="27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2105D1E5">
      <w:pPr>
        <w:widowControl/>
        <w:spacing w:line="360" w:lineRule="auto"/>
        <w:jc w:val="left"/>
        <w:rPr>
          <w:rFonts w:ascii="宋体" w:hAnsi="宋体" w:cs="宋体"/>
          <w:color w:val="auto"/>
          <w:kern w:val="0"/>
          <w:sz w:val="24"/>
          <w:highlight w:val="none"/>
          <w:lang w:val="zh-CN"/>
        </w:rPr>
      </w:pPr>
    </w:p>
    <w:p w14:paraId="43883096">
      <w:pPr>
        <w:pStyle w:val="47"/>
        <w:spacing w:line="360" w:lineRule="auto"/>
        <w:jc w:val="center"/>
        <w:rPr>
          <w:rStyle w:val="28"/>
          <w:rFonts w:ascii="Times New Roman" w:hAnsi="Times New Roman" w:eastAsia="宋体" w:cs="Times New Roman"/>
          <w:color w:val="auto"/>
          <w:szCs w:val="21"/>
          <w:highlight w:val="none"/>
        </w:rPr>
      </w:pPr>
      <w:r>
        <w:rPr>
          <w:rStyle w:val="28"/>
          <w:rFonts w:hint="eastAsia" w:asciiTheme="minorEastAsia" w:hAnsiTheme="minorEastAsia" w:eastAsiaTheme="minorEastAsia" w:cstheme="minorEastAsia"/>
          <w:color w:val="auto"/>
          <w:sz w:val="24"/>
          <w:szCs w:val="24"/>
          <w:highlight w:val="none"/>
        </w:rPr>
        <w:br w:type="page"/>
      </w:r>
      <w:r>
        <w:rPr>
          <w:rStyle w:val="28"/>
          <w:rFonts w:hint="eastAsia" w:ascii="Times New Roman" w:hAnsi="Times New Roman" w:eastAsia="宋体" w:cs="宋体"/>
          <w:b/>
          <w:bCs/>
          <w:color w:val="auto"/>
          <w:sz w:val="28"/>
          <w:szCs w:val="28"/>
          <w:highlight w:val="none"/>
        </w:rPr>
        <w:t>广西壮族自治区建筑工程安全文明施工措施项目清单内容</w:t>
      </w:r>
    </w:p>
    <w:p w14:paraId="5B5512AB">
      <w:pPr>
        <w:pStyle w:val="47"/>
        <w:spacing w:line="360" w:lineRule="auto"/>
        <w:ind w:firstLine="600" w:firstLineChars="250"/>
        <w:jc w:val="center"/>
        <w:rPr>
          <w:rStyle w:val="28"/>
          <w:rFonts w:ascii="Times New Roman" w:hAnsi="Times New Roman" w:eastAsia="宋体" w:cs="Times New Roman"/>
          <w:color w:val="auto"/>
          <w:sz w:val="24"/>
          <w:szCs w:val="24"/>
          <w:highlight w:val="none"/>
        </w:rPr>
      </w:pPr>
      <w:r>
        <w:rPr>
          <w:rStyle w:val="28"/>
          <w:rFonts w:hint="eastAsia" w:ascii="Times New Roman" w:hAnsi="Times New Roman" w:eastAsia="宋体" w:cs="宋体"/>
          <w:color w:val="auto"/>
          <w:sz w:val="24"/>
          <w:szCs w:val="24"/>
          <w:highlight w:val="none"/>
        </w:rPr>
        <w:t>（桂建质〔</w:t>
      </w:r>
      <w:r>
        <w:rPr>
          <w:rStyle w:val="28"/>
          <w:rFonts w:ascii="Times New Roman" w:hAnsi="Times New Roman" w:eastAsia="宋体" w:cs="Times New Roman"/>
          <w:color w:val="auto"/>
          <w:sz w:val="24"/>
          <w:szCs w:val="24"/>
          <w:highlight w:val="none"/>
        </w:rPr>
        <w:t>2015</w:t>
      </w:r>
      <w:r>
        <w:rPr>
          <w:rStyle w:val="28"/>
          <w:rFonts w:hint="eastAsia" w:ascii="Times New Roman" w:hAnsi="Times New Roman" w:eastAsia="宋体" w:cs="宋体"/>
          <w:color w:val="auto"/>
          <w:sz w:val="24"/>
          <w:szCs w:val="24"/>
          <w:highlight w:val="none"/>
        </w:rPr>
        <w:t>〕</w:t>
      </w:r>
      <w:r>
        <w:rPr>
          <w:rStyle w:val="28"/>
          <w:rFonts w:ascii="Times New Roman" w:hAnsi="Times New Roman" w:eastAsia="宋体" w:cs="Times New Roman"/>
          <w:color w:val="auto"/>
          <w:sz w:val="24"/>
          <w:szCs w:val="24"/>
          <w:highlight w:val="none"/>
        </w:rPr>
        <w:t>16</w:t>
      </w:r>
      <w:r>
        <w:rPr>
          <w:rStyle w:val="28"/>
          <w:rFonts w:hint="eastAsia" w:ascii="Times New Roman" w:hAnsi="Times New Roman" w:eastAsia="宋体" w:cs="宋体"/>
          <w:color w:val="auto"/>
          <w:sz w:val="24"/>
          <w:szCs w:val="24"/>
          <w:highlight w:val="none"/>
        </w:rPr>
        <w:t>号文附件一）</w:t>
      </w:r>
    </w:p>
    <w:p w14:paraId="0208FD2C">
      <w:pPr>
        <w:pStyle w:val="47"/>
        <w:spacing w:line="240" w:lineRule="atLeast"/>
        <w:jc w:val="center"/>
        <w:rPr>
          <w:rStyle w:val="28"/>
          <w:rFonts w:ascii="Times New Roman" w:hAnsi="Times New Roman" w:eastAsia="宋体" w:cs="Times New Roman"/>
          <w:b/>
          <w:bCs/>
          <w:color w:val="auto"/>
          <w:w w:val="90"/>
          <w:sz w:val="24"/>
          <w:szCs w:val="24"/>
          <w:highlight w:val="none"/>
        </w:rPr>
      </w:pPr>
      <w:r>
        <w:rPr>
          <w:rStyle w:val="28"/>
          <w:rFonts w:hint="eastAsia" w:ascii="宋体" w:hAnsi="宋体" w:eastAsia="宋体" w:cs="宋体"/>
          <w:b/>
          <w:bCs/>
          <w:color w:val="auto"/>
          <w:sz w:val="24"/>
          <w:szCs w:val="24"/>
          <w:highlight w:val="none"/>
        </w:rPr>
        <w:t>广西壮族自治区</w:t>
      </w:r>
      <w:r>
        <w:rPr>
          <w:rStyle w:val="28"/>
          <w:rFonts w:hint="eastAsia" w:ascii="Times New Roman" w:hAnsi="Times New Roman" w:eastAsia="宋体" w:cs="宋体"/>
          <w:b/>
          <w:bCs/>
          <w:color w:val="auto"/>
          <w:w w:val="90"/>
          <w:sz w:val="24"/>
          <w:szCs w:val="24"/>
          <w:highlight w:val="none"/>
        </w:rPr>
        <w:t>建设工程安全文明施工措施项目清单内容</w:t>
      </w:r>
    </w:p>
    <w:p w14:paraId="7E0D41BE">
      <w:pPr>
        <w:pStyle w:val="47"/>
        <w:spacing w:line="240" w:lineRule="atLeast"/>
        <w:ind w:firstLine="546"/>
        <w:jc w:val="center"/>
        <w:rPr>
          <w:rStyle w:val="28"/>
          <w:rFonts w:ascii="Times New Roman" w:hAnsi="Times New Roman" w:eastAsia="宋体" w:cs="Times New Roman"/>
          <w:b/>
          <w:bCs/>
          <w:color w:val="auto"/>
          <w:w w:val="90"/>
          <w:sz w:val="24"/>
          <w:szCs w:val="24"/>
          <w:highlight w:val="none"/>
        </w:rPr>
      </w:pPr>
    </w:p>
    <w:tbl>
      <w:tblPr>
        <w:tblStyle w:val="26"/>
        <w:tblW w:w="9453"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38"/>
        <w:gridCol w:w="525"/>
        <w:gridCol w:w="1545"/>
        <w:gridCol w:w="6645"/>
      </w:tblGrid>
      <w:tr w14:paraId="5D8E6A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01" w:hRule="exact"/>
          <w:jc w:val="center"/>
        </w:trPr>
        <w:tc>
          <w:tcPr>
            <w:tcW w:w="738" w:type="dxa"/>
            <w:tcBorders>
              <w:top w:val="single" w:color="auto" w:sz="12" w:space="0"/>
            </w:tcBorders>
            <w:noWrap w:val="0"/>
            <w:vAlign w:val="center"/>
          </w:tcPr>
          <w:p w14:paraId="11D78049">
            <w:pPr>
              <w:pStyle w:val="47"/>
              <w:widowControl w:val="0"/>
              <w:spacing w:line="300" w:lineRule="exact"/>
              <w:jc w:val="center"/>
              <w:rPr>
                <w:rStyle w:val="28"/>
                <w:rFonts w:ascii="方正仿宋_GBK" w:hAnsi="Times New Roman" w:eastAsia="方正仿宋_GBK" w:cs="Times New Roman"/>
                <w:b/>
                <w:bCs/>
                <w:color w:val="auto"/>
                <w:kern w:val="2"/>
                <w:sz w:val="21"/>
                <w:szCs w:val="21"/>
                <w:highlight w:val="none"/>
                <w:lang w:val="en-US" w:eastAsia="zh-CN" w:bidi="ar-SA"/>
              </w:rPr>
            </w:pPr>
            <w:r>
              <w:rPr>
                <w:rStyle w:val="28"/>
                <w:rFonts w:hint="eastAsia" w:ascii="方正仿宋_GBK" w:hAnsi="Times New Roman" w:eastAsia="方正仿宋_GBK" w:cs="方正仿宋_GBK"/>
                <w:b/>
                <w:bCs/>
                <w:color w:val="auto"/>
                <w:kern w:val="2"/>
                <w:sz w:val="21"/>
                <w:szCs w:val="21"/>
                <w:highlight w:val="none"/>
                <w:lang w:val="en-US" w:eastAsia="zh-CN" w:bidi="ar-SA"/>
              </w:rPr>
              <w:t>类别</w:t>
            </w:r>
          </w:p>
        </w:tc>
        <w:tc>
          <w:tcPr>
            <w:tcW w:w="2070" w:type="dxa"/>
            <w:gridSpan w:val="2"/>
            <w:tcBorders>
              <w:top w:val="single" w:color="auto" w:sz="12" w:space="0"/>
            </w:tcBorders>
            <w:noWrap w:val="0"/>
            <w:vAlign w:val="center"/>
          </w:tcPr>
          <w:p w14:paraId="4D4EC82D">
            <w:pPr>
              <w:pStyle w:val="47"/>
              <w:widowControl w:val="0"/>
              <w:spacing w:line="300" w:lineRule="exact"/>
              <w:jc w:val="center"/>
              <w:rPr>
                <w:rStyle w:val="28"/>
                <w:rFonts w:ascii="方正仿宋_GBK" w:hAnsi="Times New Roman" w:eastAsia="方正仿宋_GBK" w:cs="Times New Roman"/>
                <w:b/>
                <w:bCs/>
                <w:color w:val="auto"/>
                <w:kern w:val="2"/>
                <w:sz w:val="21"/>
                <w:szCs w:val="21"/>
                <w:highlight w:val="none"/>
                <w:lang w:val="en-US" w:eastAsia="zh-CN" w:bidi="ar-SA"/>
              </w:rPr>
            </w:pPr>
            <w:r>
              <w:rPr>
                <w:rStyle w:val="28"/>
                <w:rFonts w:hint="eastAsia" w:ascii="方正仿宋_GBK" w:hAnsi="Times New Roman" w:eastAsia="方正仿宋_GBK" w:cs="方正仿宋_GBK"/>
                <w:b/>
                <w:bCs/>
                <w:color w:val="auto"/>
                <w:kern w:val="2"/>
                <w:sz w:val="21"/>
                <w:szCs w:val="21"/>
                <w:highlight w:val="none"/>
                <w:lang w:val="en-US" w:eastAsia="zh-CN" w:bidi="ar-SA"/>
              </w:rPr>
              <w:t>项目名称</w:t>
            </w:r>
          </w:p>
        </w:tc>
        <w:tc>
          <w:tcPr>
            <w:tcW w:w="6645" w:type="dxa"/>
            <w:tcBorders>
              <w:top w:val="single" w:color="auto" w:sz="12" w:space="0"/>
            </w:tcBorders>
            <w:noWrap w:val="0"/>
            <w:vAlign w:val="center"/>
          </w:tcPr>
          <w:p w14:paraId="7DB6B529">
            <w:pPr>
              <w:pStyle w:val="47"/>
              <w:widowControl w:val="0"/>
              <w:spacing w:line="300" w:lineRule="exact"/>
              <w:jc w:val="center"/>
              <w:rPr>
                <w:rStyle w:val="28"/>
                <w:rFonts w:ascii="方正仿宋_GBK" w:hAnsi="Times New Roman" w:eastAsia="方正仿宋_GBK" w:cs="Times New Roman"/>
                <w:b/>
                <w:bCs/>
                <w:color w:val="auto"/>
                <w:kern w:val="2"/>
                <w:sz w:val="21"/>
                <w:szCs w:val="21"/>
                <w:highlight w:val="none"/>
                <w:lang w:val="en-US" w:eastAsia="zh-CN" w:bidi="ar-SA"/>
              </w:rPr>
            </w:pPr>
            <w:r>
              <w:rPr>
                <w:rStyle w:val="28"/>
                <w:rFonts w:hint="eastAsia" w:ascii="方正仿宋_GBK" w:hAnsi="Times New Roman" w:eastAsia="方正仿宋_GBK" w:cs="方正仿宋_GBK"/>
                <w:b/>
                <w:bCs/>
                <w:color w:val="auto"/>
                <w:kern w:val="2"/>
                <w:sz w:val="21"/>
                <w:szCs w:val="21"/>
                <w:highlight w:val="none"/>
                <w:lang w:val="en-US" w:eastAsia="zh-CN" w:bidi="ar-SA"/>
              </w:rPr>
              <w:t>主要内容和要求</w:t>
            </w:r>
          </w:p>
        </w:tc>
      </w:tr>
      <w:tr w14:paraId="6CC94C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restart"/>
            <w:noWrap w:val="0"/>
            <w:vAlign w:val="center"/>
          </w:tcPr>
          <w:p w14:paraId="71927F8E">
            <w:pPr>
              <w:pStyle w:val="47"/>
              <w:widowControl w:val="0"/>
              <w:spacing w:line="300" w:lineRule="exact"/>
              <w:jc w:val="center"/>
              <w:rPr>
                <w:rStyle w:val="28"/>
                <w:rFonts w:ascii="方正仿宋_GBK" w:hAnsi="Times New Roman" w:eastAsia="方正仿宋_GBK" w:cs="Times New Roman"/>
                <w:color w:val="auto"/>
                <w:kern w:val="2"/>
                <w:sz w:val="21"/>
                <w:szCs w:val="21"/>
                <w:highlight w:val="none"/>
                <w:lang w:val="en-US" w:eastAsia="zh-CN" w:bidi="ar-SA"/>
              </w:rPr>
            </w:pPr>
            <w:r>
              <w:rPr>
                <w:rStyle w:val="28"/>
                <w:rFonts w:hint="eastAsia" w:ascii="方正仿宋_GBK" w:hAnsi="Times New Roman" w:eastAsia="方正仿宋_GBK" w:cs="方正仿宋_GBK"/>
                <w:color w:val="auto"/>
                <w:kern w:val="2"/>
                <w:sz w:val="21"/>
                <w:szCs w:val="21"/>
                <w:highlight w:val="none"/>
                <w:lang w:val="en-US" w:eastAsia="zh-CN" w:bidi="ar-SA"/>
              </w:rPr>
              <w:t>文明</w:t>
            </w:r>
          </w:p>
          <w:p w14:paraId="574C422F">
            <w:pPr>
              <w:pStyle w:val="47"/>
              <w:widowControl w:val="0"/>
              <w:spacing w:line="300" w:lineRule="exact"/>
              <w:jc w:val="center"/>
              <w:rPr>
                <w:rStyle w:val="28"/>
                <w:rFonts w:ascii="方正仿宋_GBK" w:hAnsi="Times New Roman" w:eastAsia="方正仿宋_GBK" w:cs="Times New Roman"/>
                <w:color w:val="auto"/>
                <w:kern w:val="2"/>
                <w:sz w:val="21"/>
                <w:szCs w:val="21"/>
                <w:highlight w:val="none"/>
                <w:lang w:val="en-US" w:eastAsia="zh-CN" w:bidi="ar-SA"/>
              </w:rPr>
            </w:pPr>
            <w:r>
              <w:rPr>
                <w:rStyle w:val="28"/>
                <w:rFonts w:hint="eastAsia" w:ascii="方正仿宋_GBK" w:hAnsi="Times New Roman" w:eastAsia="方正仿宋_GBK" w:cs="方正仿宋_GBK"/>
                <w:color w:val="auto"/>
                <w:kern w:val="2"/>
                <w:sz w:val="21"/>
                <w:szCs w:val="21"/>
                <w:highlight w:val="none"/>
                <w:lang w:val="en-US" w:eastAsia="zh-CN" w:bidi="ar-SA"/>
              </w:rPr>
              <w:t>施工</w:t>
            </w:r>
          </w:p>
          <w:p w14:paraId="28154574">
            <w:pPr>
              <w:pStyle w:val="47"/>
              <w:widowControl w:val="0"/>
              <w:spacing w:line="300" w:lineRule="exact"/>
              <w:jc w:val="center"/>
              <w:rPr>
                <w:rStyle w:val="28"/>
                <w:rFonts w:ascii="方正仿宋_GBK" w:hAnsi="Times New Roman" w:eastAsia="方正仿宋_GBK" w:cs="Times New Roman"/>
                <w:color w:val="auto"/>
                <w:kern w:val="2"/>
                <w:sz w:val="21"/>
                <w:szCs w:val="21"/>
                <w:highlight w:val="none"/>
                <w:lang w:val="en-US" w:eastAsia="zh-CN" w:bidi="ar-SA"/>
              </w:rPr>
            </w:pPr>
            <w:r>
              <w:rPr>
                <w:rStyle w:val="28"/>
                <w:rFonts w:hint="eastAsia" w:ascii="方正仿宋_GBK" w:hAnsi="Times New Roman" w:eastAsia="方正仿宋_GBK" w:cs="方正仿宋_GBK"/>
                <w:color w:val="auto"/>
                <w:kern w:val="2"/>
                <w:sz w:val="21"/>
                <w:szCs w:val="21"/>
                <w:highlight w:val="none"/>
                <w:lang w:val="en-US" w:eastAsia="zh-CN" w:bidi="ar-SA"/>
              </w:rPr>
              <w:t>与</w:t>
            </w:r>
          </w:p>
          <w:p w14:paraId="27DD9034">
            <w:pPr>
              <w:pStyle w:val="47"/>
              <w:widowControl w:val="0"/>
              <w:spacing w:line="300" w:lineRule="exact"/>
              <w:jc w:val="center"/>
              <w:rPr>
                <w:rStyle w:val="28"/>
                <w:rFonts w:ascii="方正仿宋_GBK" w:hAnsi="Times New Roman" w:eastAsia="方正仿宋_GBK" w:cs="Times New Roman"/>
                <w:color w:val="auto"/>
                <w:kern w:val="2"/>
                <w:sz w:val="21"/>
                <w:szCs w:val="21"/>
                <w:highlight w:val="none"/>
                <w:lang w:val="en-US" w:eastAsia="zh-CN" w:bidi="ar-SA"/>
              </w:rPr>
            </w:pPr>
            <w:r>
              <w:rPr>
                <w:rStyle w:val="28"/>
                <w:rFonts w:hint="eastAsia" w:ascii="方正仿宋_GBK" w:hAnsi="Times New Roman" w:eastAsia="方正仿宋_GBK" w:cs="方正仿宋_GBK"/>
                <w:color w:val="auto"/>
                <w:kern w:val="2"/>
                <w:sz w:val="21"/>
                <w:szCs w:val="21"/>
                <w:highlight w:val="none"/>
                <w:lang w:val="en-US" w:eastAsia="zh-CN" w:bidi="ar-SA"/>
              </w:rPr>
              <w:t>环境</w:t>
            </w:r>
          </w:p>
          <w:p w14:paraId="2700086C">
            <w:pPr>
              <w:pStyle w:val="47"/>
              <w:widowControl w:val="0"/>
              <w:spacing w:line="300" w:lineRule="exact"/>
              <w:jc w:val="center"/>
              <w:rPr>
                <w:rStyle w:val="28"/>
                <w:rFonts w:ascii="方正仿宋_GBK" w:hAnsi="Times New Roman" w:eastAsia="方正仿宋_GBK" w:cs="Times New Roman"/>
                <w:color w:val="auto"/>
                <w:kern w:val="2"/>
                <w:sz w:val="21"/>
                <w:szCs w:val="21"/>
                <w:highlight w:val="none"/>
                <w:lang w:val="en-US" w:eastAsia="zh-CN" w:bidi="ar-SA"/>
              </w:rPr>
            </w:pPr>
            <w:r>
              <w:rPr>
                <w:rStyle w:val="28"/>
                <w:rFonts w:hint="eastAsia" w:ascii="方正仿宋_GBK" w:hAnsi="Times New Roman" w:eastAsia="方正仿宋_GBK" w:cs="方正仿宋_GBK"/>
                <w:color w:val="auto"/>
                <w:kern w:val="2"/>
                <w:sz w:val="21"/>
                <w:szCs w:val="21"/>
                <w:highlight w:val="none"/>
                <w:lang w:val="en-US" w:eastAsia="zh-CN" w:bidi="ar-SA"/>
              </w:rPr>
              <w:t>保护</w:t>
            </w:r>
          </w:p>
        </w:tc>
        <w:tc>
          <w:tcPr>
            <w:tcW w:w="2070" w:type="dxa"/>
            <w:gridSpan w:val="2"/>
            <w:noWrap w:val="0"/>
            <w:vAlign w:val="center"/>
          </w:tcPr>
          <w:p w14:paraId="2C19E822">
            <w:pPr>
              <w:pStyle w:val="47"/>
              <w:widowControl w:val="0"/>
              <w:spacing w:line="300" w:lineRule="exact"/>
              <w:jc w:val="center"/>
              <w:rPr>
                <w:rStyle w:val="28"/>
                <w:rFonts w:ascii="方正仿宋_GBK" w:hAnsi="Times New Roman" w:eastAsia="方正仿宋_GBK" w:cs="Times New Roman"/>
                <w:color w:val="auto"/>
                <w:kern w:val="2"/>
                <w:sz w:val="21"/>
                <w:szCs w:val="21"/>
                <w:highlight w:val="none"/>
                <w:lang w:val="en-US" w:eastAsia="zh-CN" w:bidi="ar-SA"/>
              </w:rPr>
            </w:pPr>
            <w:r>
              <w:rPr>
                <w:rStyle w:val="28"/>
                <w:rFonts w:hint="eastAsia" w:ascii="方正仿宋_GBK" w:hAnsi="Times New Roman" w:eastAsia="方正仿宋_GBK" w:cs="方正仿宋_GBK"/>
                <w:color w:val="auto"/>
                <w:kern w:val="2"/>
                <w:sz w:val="21"/>
                <w:szCs w:val="21"/>
                <w:highlight w:val="none"/>
                <w:lang w:val="en-US" w:eastAsia="zh-CN" w:bidi="ar-SA"/>
              </w:rPr>
              <w:t>安全警示</w:t>
            </w:r>
          </w:p>
          <w:p w14:paraId="293F1DBD">
            <w:pPr>
              <w:pStyle w:val="47"/>
              <w:widowControl w:val="0"/>
              <w:spacing w:line="300" w:lineRule="exact"/>
              <w:jc w:val="center"/>
              <w:rPr>
                <w:rStyle w:val="28"/>
                <w:rFonts w:ascii="方正仿宋_GBK" w:hAnsi="Times New Roman" w:eastAsia="方正仿宋_GBK" w:cs="Times New Roman"/>
                <w:color w:val="auto"/>
                <w:kern w:val="2"/>
                <w:sz w:val="21"/>
                <w:szCs w:val="21"/>
                <w:highlight w:val="none"/>
                <w:lang w:val="en-US" w:eastAsia="zh-CN" w:bidi="ar-SA"/>
              </w:rPr>
            </w:pPr>
            <w:r>
              <w:rPr>
                <w:rStyle w:val="28"/>
                <w:rFonts w:hint="eastAsia" w:ascii="方正仿宋_GBK" w:hAnsi="Times New Roman" w:eastAsia="方正仿宋_GBK" w:cs="方正仿宋_GBK"/>
                <w:color w:val="auto"/>
                <w:kern w:val="2"/>
                <w:sz w:val="21"/>
                <w:szCs w:val="21"/>
                <w:highlight w:val="none"/>
                <w:lang w:val="en-US" w:eastAsia="zh-CN" w:bidi="ar-SA"/>
              </w:rPr>
              <w:t>标志牌</w:t>
            </w:r>
          </w:p>
        </w:tc>
        <w:tc>
          <w:tcPr>
            <w:tcW w:w="6645" w:type="dxa"/>
            <w:noWrap w:val="0"/>
            <w:vAlign w:val="center"/>
          </w:tcPr>
          <w:p w14:paraId="6CC614BA">
            <w:pPr>
              <w:pStyle w:val="47"/>
              <w:widowControl w:val="0"/>
              <w:spacing w:line="300" w:lineRule="exact"/>
              <w:jc w:val="both"/>
              <w:rPr>
                <w:rStyle w:val="28"/>
                <w:rFonts w:ascii="方正仿宋_GBK" w:hAnsi="Times New Roman" w:eastAsia="方正仿宋_GBK" w:cs="Times New Roman"/>
                <w:color w:val="auto"/>
                <w:kern w:val="2"/>
                <w:sz w:val="21"/>
                <w:szCs w:val="21"/>
                <w:highlight w:val="none"/>
                <w:lang w:val="en-US" w:eastAsia="zh-CN" w:bidi="ar-SA"/>
              </w:rPr>
            </w:pPr>
            <w:r>
              <w:rPr>
                <w:rStyle w:val="28"/>
                <w:rFonts w:hint="eastAsia" w:ascii="方正仿宋_GBK" w:hAnsi="Times New Roman" w:eastAsia="方正仿宋_GBK" w:cs="方正仿宋_GBK"/>
                <w:color w:val="auto"/>
                <w:kern w:val="2"/>
                <w:sz w:val="21"/>
                <w:szCs w:val="21"/>
                <w:highlight w:val="none"/>
                <w:lang w:val="en-US" w:eastAsia="zh-CN" w:bidi="ar-SA"/>
              </w:rPr>
              <w:t>在易发伤亡事故（或危险）处设置明显的、符合国家标准要求的安全警示标志牌。</w:t>
            </w:r>
          </w:p>
        </w:tc>
      </w:tr>
      <w:tr w14:paraId="449AB2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noWrap w:val="0"/>
            <w:vAlign w:val="center"/>
          </w:tcPr>
          <w:p w14:paraId="2A1A6899">
            <w:pPr>
              <w:pStyle w:val="47"/>
              <w:widowControl w:val="0"/>
              <w:spacing w:line="300" w:lineRule="exact"/>
              <w:jc w:val="center"/>
              <w:rPr>
                <w:rStyle w:val="28"/>
                <w:rFonts w:ascii="方正仿宋_GBK" w:hAnsi="Times New Roman" w:eastAsia="方正仿宋_GBK" w:cs="Times New Roman"/>
                <w:color w:val="auto"/>
                <w:kern w:val="2"/>
                <w:sz w:val="21"/>
                <w:szCs w:val="21"/>
                <w:highlight w:val="none"/>
                <w:lang w:val="en-US" w:eastAsia="zh-CN" w:bidi="ar-SA"/>
              </w:rPr>
            </w:pPr>
          </w:p>
        </w:tc>
        <w:tc>
          <w:tcPr>
            <w:tcW w:w="2070" w:type="dxa"/>
            <w:gridSpan w:val="2"/>
            <w:noWrap w:val="0"/>
            <w:vAlign w:val="center"/>
          </w:tcPr>
          <w:p w14:paraId="405D80A0">
            <w:pPr>
              <w:pStyle w:val="47"/>
              <w:widowControl w:val="0"/>
              <w:spacing w:line="300" w:lineRule="exact"/>
              <w:jc w:val="center"/>
              <w:rPr>
                <w:rStyle w:val="28"/>
                <w:rFonts w:ascii="方正仿宋_GBK" w:hAnsi="Times New Roman" w:eastAsia="方正仿宋_GBK" w:cs="Times New Roman"/>
                <w:color w:val="auto"/>
                <w:kern w:val="2"/>
                <w:sz w:val="21"/>
                <w:szCs w:val="21"/>
                <w:highlight w:val="none"/>
                <w:lang w:val="en-US" w:eastAsia="zh-CN" w:bidi="ar-SA"/>
              </w:rPr>
            </w:pPr>
            <w:r>
              <w:rPr>
                <w:rStyle w:val="28"/>
                <w:rFonts w:hint="eastAsia" w:ascii="方正仿宋_GBK" w:hAnsi="Times New Roman" w:eastAsia="方正仿宋_GBK" w:cs="方正仿宋_GBK"/>
                <w:color w:val="auto"/>
                <w:kern w:val="2"/>
                <w:sz w:val="21"/>
                <w:szCs w:val="21"/>
                <w:highlight w:val="none"/>
                <w:lang w:val="en-US" w:eastAsia="zh-CN" w:bidi="ar-SA"/>
              </w:rPr>
              <w:t>现场围挡</w:t>
            </w:r>
          </w:p>
        </w:tc>
        <w:tc>
          <w:tcPr>
            <w:tcW w:w="6645" w:type="dxa"/>
            <w:noWrap w:val="0"/>
            <w:vAlign w:val="center"/>
          </w:tcPr>
          <w:p w14:paraId="7F7A1969">
            <w:pPr>
              <w:pStyle w:val="47"/>
              <w:widowControl w:val="0"/>
              <w:spacing w:line="300" w:lineRule="exact"/>
              <w:jc w:val="both"/>
              <w:rPr>
                <w:rStyle w:val="28"/>
                <w:rFonts w:ascii="方正仿宋_GBK" w:hAnsi="Times New Roman" w:eastAsia="方正仿宋_GBK" w:cs="Times New Roman"/>
                <w:color w:val="auto"/>
                <w:kern w:val="2"/>
                <w:sz w:val="21"/>
                <w:szCs w:val="21"/>
                <w:highlight w:val="none"/>
                <w:lang w:val="en-US" w:eastAsia="zh-CN" w:bidi="ar-SA"/>
              </w:rPr>
            </w:pPr>
            <w:r>
              <w:rPr>
                <w:rStyle w:val="28"/>
                <w:rFonts w:ascii="方正仿宋_GBK" w:hAnsi="Times New Roman" w:eastAsia="方正仿宋_GBK" w:cs="方正仿宋_GBK"/>
                <w:color w:val="auto"/>
                <w:kern w:val="2"/>
                <w:sz w:val="21"/>
                <w:szCs w:val="21"/>
                <w:highlight w:val="none"/>
                <w:lang w:val="en-US" w:eastAsia="zh-CN" w:bidi="ar-SA"/>
              </w:rPr>
              <w:t xml:space="preserve">1. </w:t>
            </w:r>
            <w:r>
              <w:rPr>
                <w:rStyle w:val="28"/>
                <w:rFonts w:hint="eastAsia" w:ascii="方正仿宋_GBK" w:hAnsi="Times New Roman" w:eastAsia="方正仿宋_GBK" w:cs="方正仿宋_GBK"/>
                <w:color w:val="auto"/>
                <w:kern w:val="2"/>
                <w:sz w:val="21"/>
                <w:szCs w:val="21"/>
                <w:highlight w:val="none"/>
                <w:lang w:val="en-US" w:eastAsia="zh-CN" w:bidi="ar-SA"/>
              </w:rPr>
              <w:t>现场采用封闭围挡，高度不小于</w:t>
            </w:r>
            <w:r>
              <w:rPr>
                <w:rStyle w:val="28"/>
                <w:rFonts w:ascii="方正仿宋_GBK" w:hAnsi="Times New Roman" w:eastAsia="方正仿宋_GBK" w:cs="方正仿宋_GBK"/>
                <w:color w:val="auto"/>
                <w:kern w:val="2"/>
                <w:sz w:val="21"/>
                <w:szCs w:val="21"/>
                <w:highlight w:val="none"/>
                <w:lang w:val="en-US" w:eastAsia="zh-CN" w:bidi="ar-SA"/>
              </w:rPr>
              <w:t>1.8m</w:t>
            </w:r>
            <w:r>
              <w:rPr>
                <w:rStyle w:val="28"/>
                <w:rFonts w:hint="eastAsia" w:ascii="方正仿宋_GBK" w:hAnsi="Times New Roman" w:eastAsia="方正仿宋_GBK" w:cs="方正仿宋_GBK"/>
                <w:color w:val="auto"/>
                <w:kern w:val="2"/>
                <w:sz w:val="21"/>
                <w:szCs w:val="21"/>
                <w:highlight w:val="none"/>
                <w:lang w:val="en-US" w:eastAsia="zh-CN" w:bidi="ar-SA"/>
              </w:rPr>
              <w:t>。</w:t>
            </w:r>
          </w:p>
          <w:p w14:paraId="0DD8026B">
            <w:pPr>
              <w:pStyle w:val="47"/>
              <w:widowControl w:val="0"/>
              <w:spacing w:line="300" w:lineRule="exact"/>
              <w:jc w:val="both"/>
              <w:rPr>
                <w:rStyle w:val="28"/>
                <w:rFonts w:ascii="方正仿宋_GBK" w:hAnsi="Times New Roman" w:eastAsia="方正仿宋_GBK" w:cs="Times New Roman"/>
                <w:color w:val="auto"/>
                <w:kern w:val="2"/>
                <w:sz w:val="21"/>
                <w:szCs w:val="21"/>
                <w:highlight w:val="none"/>
                <w:lang w:val="en-US" w:eastAsia="zh-CN" w:bidi="ar-SA"/>
              </w:rPr>
            </w:pPr>
            <w:r>
              <w:rPr>
                <w:rStyle w:val="28"/>
                <w:rFonts w:ascii="方正仿宋_GBK" w:hAnsi="Times New Roman" w:eastAsia="方正仿宋_GBK" w:cs="方正仿宋_GBK"/>
                <w:color w:val="auto"/>
                <w:kern w:val="2"/>
                <w:sz w:val="21"/>
                <w:szCs w:val="21"/>
                <w:highlight w:val="none"/>
                <w:lang w:val="en-US" w:eastAsia="zh-CN" w:bidi="ar-SA"/>
              </w:rPr>
              <w:t xml:space="preserve">2. </w:t>
            </w:r>
            <w:r>
              <w:rPr>
                <w:rStyle w:val="28"/>
                <w:rFonts w:hint="eastAsia" w:ascii="方正仿宋_GBK" w:hAnsi="Times New Roman" w:eastAsia="方正仿宋_GBK" w:cs="方正仿宋_GBK"/>
                <w:color w:val="auto"/>
                <w:kern w:val="2"/>
                <w:sz w:val="21"/>
                <w:szCs w:val="21"/>
                <w:highlight w:val="none"/>
                <w:lang w:val="en-US" w:eastAsia="zh-CN" w:bidi="ar-SA"/>
              </w:rPr>
              <w:t>围挡材料可用彩色、定型钢板，砌块等墙体。</w:t>
            </w:r>
          </w:p>
        </w:tc>
      </w:tr>
      <w:tr w14:paraId="62F75F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noWrap w:val="0"/>
            <w:vAlign w:val="center"/>
          </w:tcPr>
          <w:p w14:paraId="6EB286AC">
            <w:pPr>
              <w:pStyle w:val="47"/>
              <w:widowControl w:val="0"/>
              <w:spacing w:line="300" w:lineRule="exact"/>
              <w:jc w:val="center"/>
              <w:rPr>
                <w:rStyle w:val="28"/>
                <w:rFonts w:ascii="方正仿宋_GBK" w:hAnsi="Times New Roman" w:eastAsia="方正仿宋_GBK" w:cs="Times New Roman"/>
                <w:color w:val="auto"/>
                <w:kern w:val="2"/>
                <w:sz w:val="21"/>
                <w:szCs w:val="21"/>
                <w:highlight w:val="none"/>
                <w:lang w:val="en-US" w:eastAsia="zh-CN" w:bidi="ar-SA"/>
              </w:rPr>
            </w:pPr>
          </w:p>
        </w:tc>
        <w:tc>
          <w:tcPr>
            <w:tcW w:w="2070" w:type="dxa"/>
            <w:gridSpan w:val="2"/>
            <w:noWrap w:val="0"/>
            <w:vAlign w:val="center"/>
          </w:tcPr>
          <w:p w14:paraId="3196DB8C">
            <w:pPr>
              <w:pStyle w:val="47"/>
              <w:widowControl w:val="0"/>
              <w:spacing w:line="300" w:lineRule="exact"/>
              <w:jc w:val="center"/>
              <w:rPr>
                <w:rStyle w:val="28"/>
                <w:rFonts w:ascii="方正仿宋_GBK" w:hAnsi="Times New Roman" w:eastAsia="方正仿宋_GBK" w:cs="Times New Roman"/>
                <w:color w:val="auto"/>
                <w:kern w:val="2"/>
                <w:sz w:val="21"/>
                <w:szCs w:val="21"/>
                <w:highlight w:val="none"/>
                <w:lang w:val="en-US" w:eastAsia="zh-CN" w:bidi="ar-SA"/>
              </w:rPr>
            </w:pPr>
            <w:r>
              <w:rPr>
                <w:rStyle w:val="28"/>
                <w:rFonts w:hint="eastAsia" w:ascii="方正仿宋_GBK" w:hAnsi="Times New Roman" w:eastAsia="方正仿宋_GBK" w:cs="方正仿宋_GBK"/>
                <w:color w:val="auto"/>
                <w:kern w:val="2"/>
                <w:sz w:val="21"/>
                <w:szCs w:val="21"/>
                <w:highlight w:val="none"/>
                <w:lang w:val="en-US" w:eastAsia="zh-CN" w:bidi="ar-SA"/>
              </w:rPr>
              <w:t>七牌二图</w:t>
            </w:r>
          </w:p>
        </w:tc>
        <w:tc>
          <w:tcPr>
            <w:tcW w:w="6645" w:type="dxa"/>
            <w:noWrap w:val="0"/>
            <w:vAlign w:val="center"/>
          </w:tcPr>
          <w:p w14:paraId="1FC0BAC2">
            <w:pPr>
              <w:pStyle w:val="47"/>
              <w:widowControl w:val="0"/>
              <w:spacing w:line="300" w:lineRule="exact"/>
              <w:jc w:val="both"/>
              <w:rPr>
                <w:rStyle w:val="28"/>
                <w:rFonts w:ascii="方正仿宋_GBK" w:hAnsi="Times New Roman" w:eastAsia="方正仿宋_GBK" w:cs="Times New Roman"/>
                <w:color w:val="auto"/>
                <w:kern w:val="2"/>
                <w:sz w:val="21"/>
                <w:szCs w:val="21"/>
                <w:highlight w:val="none"/>
                <w:lang w:val="en-US" w:eastAsia="zh-CN" w:bidi="ar-SA"/>
              </w:rPr>
            </w:pPr>
            <w:r>
              <w:rPr>
                <w:rStyle w:val="28"/>
                <w:rFonts w:hint="eastAsia" w:ascii="方正仿宋_GBK" w:hAnsi="Times New Roman" w:eastAsia="方正仿宋_GBK" w:cs="方正仿宋_GBK"/>
                <w:color w:val="auto"/>
                <w:kern w:val="2"/>
                <w:sz w:val="21"/>
                <w:szCs w:val="21"/>
                <w:highlight w:val="none"/>
                <w:lang w:val="en-US" w:eastAsia="zh-CN" w:bidi="ar-SA"/>
              </w:rPr>
              <w:t>在进门处悬挂工程概况、现场出入制度、管理人员名单及监督电话、安全生产规定、文明施工、消防保卫、节能公示等七牌以及施工现场总平面图、工程效果图。</w:t>
            </w:r>
          </w:p>
        </w:tc>
      </w:tr>
      <w:tr w14:paraId="4448E5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38" w:type="dxa"/>
            <w:vMerge w:val="continue"/>
            <w:noWrap w:val="0"/>
            <w:vAlign w:val="center"/>
          </w:tcPr>
          <w:p w14:paraId="4E5553A0">
            <w:pPr>
              <w:pStyle w:val="47"/>
              <w:widowControl w:val="0"/>
              <w:spacing w:line="300" w:lineRule="exact"/>
              <w:jc w:val="center"/>
              <w:rPr>
                <w:rStyle w:val="28"/>
                <w:rFonts w:ascii="方正仿宋_GBK" w:hAnsi="Times New Roman" w:eastAsia="方正仿宋_GBK" w:cs="Times New Roman"/>
                <w:color w:val="auto"/>
                <w:kern w:val="2"/>
                <w:sz w:val="21"/>
                <w:szCs w:val="21"/>
                <w:highlight w:val="none"/>
                <w:lang w:val="en-US" w:eastAsia="zh-CN" w:bidi="ar-SA"/>
              </w:rPr>
            </w:pPr>
          </w:p>
        </w:tc>
        <w:tc>
          <w:tcPr>
            <w:tcW w:w="2070" w:type="dxa"/>
            <w:gridSpan w:val="2"/>
            <w:noWrap w:val="0"/>
            <w:vAlign w:val="center"/>
          </w:tcPr>
          <w:p w14:paraId="4163D63A">
            <w:pPr>
              <w:pStyle w:val="47"/>
              <w:widowControl w:val="0"/>
              <w:spacing w:line="300" w:lineRule="exact"/>
              <w:jc w:val="center"/>
              <w:rPr>
                <w:rStyle w:val="28"/>
                <w:rFonts w:ascii="方正仿宋_GBK" w:hAnsi="Times New Roman" w:eastAsia="方正仿宋_GBK" w:cs="Times New Roman"/>
                <w:color w:val="auto"/>
                <w:kern w:val="2"/>
                <w:sz w:val="21"/>
                <w:szCs w:val="21"/>
                <w:highlight w:val="none"/>
                <w:lang w:val="en-US" w:eastAsia="zh-CN" w:bidi="ar-SA"/>
              </w:rPr>
            </w:pPr>
            <w:r>
              <w:rPr>
                <w:rStyle w:val="28"/>
                <w:rFonts w:hint="eastAsia" w:ascii="方正仿宋_GBK" w:hAnsi="Times New Roman" w:eastAsia="方正仿宋_GBK" w:cs="方正仿宋_GBK"/>
                <w:color w:val="auto"/>
                <w:kern w:val="2"/>
                <w:sz w:val="21"/>
                <w:szCs w:val="21"/>
                <w:highlight w:val="none"/>
                <w:lang w:val="en-US" w:eastAsia="zh-CN" w:bidi="ar-SA"/>
              </w:rPr>
              <w:t>企业标志</w:t>
            </w:r>
          </w:p>
        </w:tc>
        <w:tc>
          <w:tcPr>
            <w:tcW w:w="6645" w:type="dxa"/>
            <w:noWrap w:val="0"/>
            <w:vAlign w:val="center"/>
          </w:tcPr>
          <w:p w14:paraId="3739C26F">
            <w:pPr>
              <w:pStyle w:val="47"/>
              <w:widowControl w:val="0"/>
              <w:spacing w:line="300" w:lineRule="exact"/>
              <w:jc w:val="both"/>
              <w:rPr>
                <w:rStyle w:val="28"/>
                <w:rFonts w:ascii="方正仿宋_GBK" w:hAnsi="Times New Roman" w:eastAsia="方正仿宋_GBK" w:cs="Times New Roman"/>
                <w:color w:val="auto"/>
                <w:kern w:val="2"/>
                <w:sz w:val="21"/>
                <w:szCs w:val="21"/>
                <w:highlight w:val="none"/>
                <w:lang w:val="en-US" w:eastAsia="zh-CN" w:bidi="ar-SA"/>
              </w:rPr>
            </w:pPr>
            <w:r>
              <w:rPr>
                <w:rStyle w:val="28"/>
                <w:rFonts w:hint="eastAsia" w:ascii="方正仿宋_GBK" w:hAnsi="Times New Roman" w:eastAsia="方正仿宋_GBK" w:cs="方正仿宋_GBK"/>
                <w:color w:val="auto"/>
                <w:kern w:val="2"/>
                <w:sz w:val="21"/>
                <w:szCs w:val="21"/>
                <w:highlight w:val="none"/>
                <w:lang w:val="en-US" w:eastAsia="zh-CN" w:bidi="ar-SA"/>
              </w:rPr>
              <w:t>现场出入的大门应设有本企业标志或企业标识。</w:t>
            </w:r>
          </w:p>
        </w:tc>
      </w:tr>
      <w:tr w14:paraId="5B1BC8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noWrap w:val="0"/>
            <w:vAlign w:val="center"/>
          </w:tcPr>
          <w:p w14:paraId="670C6924">
            <w:pPr>
              <w:pStyle w:val="47"/>
              <w:widowControl w:val="0"/>
              <w:spacing w:line="300" w:lineRule="exact"/>
              <w:jc w:val="center"/>
              <w:rPr>
                <w:rStyle w:val="28"/>
                <w:rFonts w:ascii="方正仿宋_GBK" w:hAnsi="Times New Roman" w:eastAsia="方正仿宋_GBK" w:cs="Times New Roman"/>
                <w:color w:val="auto"/>
                <w:kern w:val="2"/>
                <w:sz w:val="21"/>
                <w:szCs w:val="21"/>
                <w:highlight w:val="none"/>
                <w:lang w:val="en-US" w:eastAsia="zh-CN" w:bidi="ar-SA"/>
              </w:rPr>
            </w:pPr>
          </w:p>
        </w:tc>
        <w:tc>
          <w:tcPr>
            <w:tcW w:w="2070" w:type="dxa"/>
            <w:gridSpan w:val="2"/>
            <w:noWrap w:val="0"/>
            <w:vAlign w:val="center"/>
          </w:tcPr>
          <w:p w14:paraId="4CF30ECB">
            <w:pPr>
              <w:pStyle w:val="47"/>
              <w:widowControl w:val="0"/>
              <w:spacing w:line="300" w:lineRule="exact"/>
              <w:jc w:val="center"/>
              <w:rPr>
                <w:rStyle w:val="28"/>
                <w:rFonts w:ascii="方正仿宋_GBK" w:hAnsi="Times New Roman" w:eastAsia="方正仿宋_GBK" w:cs="Times New Roman"/>
                <w:color w:val="auto"/>
                <w:kern w:val="2"/>
                <w:sz w:val="21"/>
                <w:szCs w:val="21"/>
                <w:highlight w:val="none"/>
                <w:lang w:val="en-US" w:eastAsia="zh-CN" w:bidi="ar-SA"/>
              </w:rPr>
            </w:pPr>
            <w:r>
              <w:rPr>
                <w:rStyle w:val="28"/>
                <w:rFonts w:hint="eastAsia" w:ascii="方正仿宋_GBK" w:hAnsi="Times New Roman" w:eastAsia="方正仿宋_GBK" w:cs="方正仿宋_GBK"/>
                <w:color w:val="auto"/>
                <w:kern w:val="2"/>
                <w:sz w:val="21"/>
                <w:szCs w:val="21"/>
                <w:highlight w:val="none"/>
                <w:lang w:val="en-US" w:eastAsia="zh-CN" w:bidi="ar-SA"/>
              </w:rPr>
              <w:t>场容场貌</w:t>
            </w:r>
          </w:p>
        </w:tc>
        <w:tc>
          <w:tcPr>
            <w:tcW w:w="6645" w:type="dxa"/>
            <w:noWrap w:val="0"/>
            <w:vAlign w:val="center"/>
          </w:tcPr>
          <w:p w14:paraId="0548324F">
            <w:pPr>
              <w:pStyle w:val="47"/>
              <w:widowControl w:val="0"/>
              <w:spacing w:line="300" w:lineRule="exact"/>
              <w:jc w:val="both"/>
              <w:rPr>
                <w:rStyle w:val="28"/>
                <w:rFonts w:ascii="方正仿宋_GBK" w:hAnsi="Times New Roman" w:eastAsia="方正仿宋_GBK" w:cs="Times New Roman"/>
                <w:color w:val="auto"/>
                <w:kern w:val="2"/>
                <w:sz w:val="21"/>
                <w:szCs w:val="21"/>
                <w:highlight w:val="none"/>
                <w:lang w:val="en-US" w:eastAsia="zh-CN" w:bidi="ar-SA"/>
              </w:rPr>
            </w:pPr>
            <w:r>
              <w:rPr>
                <w:rStyle w:val="28"/>
                <w:rFonts w:ascii="方正仿宋_GBK" w:hAnsi="Times New Roman" w:eastAsia="方正仿宋_GBK" w:cs="方正仿宋_GBK"/>
                <w:color w:val="auto"/>
                <w:kern w:val="2"/>
                <w:sz w:val="21"/>
                <w:szCs w:val="21"/>
                <w:highlight w:val="none"/>
                <w:lang w:val="en-US" w:eastAsia="zh-CN" w:bidi="ar-SA"/>
              </w:rPr>
              <w:t xml:space="preserve">1. </w:t>
            </w:r>
            <w:r>
              <w:rPr>
                <w:rStyle w:val="28"/>
                <w:rFonts w:hint="eastAsia" w:ascii="方正仿宋_GBK" w:hAnsi="Times New Roman" w:eastAsia="方正仿宋_GBK" w:cs="方正仿宋_GBK"/>
                <w:color w:val="auto"/>
                <w:kern w:val="2"/>
                <w:sz w:val="21"/>
                <w:szCs w:val="21"/>
                <w:highlight w:val="none"/>
                <w:lang w:val="en-US" w:eastAsia="zh-CN" w:bidi="ar-SA"/>
              </w:rPr>
              <w:t>道路畅通。</w:t>
            </w:r>
          </w:p>
          <w:p w14:paraId="7EF84BB0">
            <w:pPr>
              <w:pStyle w:val="47"/>
              <w:widowControl w:val="0"/>
              <w:spacing w:line="300" w:lineRule="exact"/>
              <w:jc w:val="both"/>
              <w:rPr>
                <w:rStyle w:val="28"/>
                <w:rFonts w:ascii="方正仿宋_GBK" w:hAnsi="Times New Roman" w:eastAsia="方正仿宋_GBK" w:cs="Times New Roman"/>
                <w:color w:val="auto"/>
                <w:kern w:val="2"/>
                <w:sz w:val="21"/>
                <w:szCs w:val="21"/>
                <w:highlight w:val="none"/>
                <w:lang w:val="en-US" w:eastAsia="zh-CN" w:bidi="ar-SA"/>
              </w:rPr>
            </w:pPr>
            <w:r>
              <w:rPr>
                <w:rStyle w:val="28"/>
                <w:rFonts w:ascii="方正仿宋_GBK" w:hAnsi="Times New Roman" w:eastAsia="方正仿宋_GBK" w:cs="方正仿宋_GBK"/>
                <w:color w:val="auto"/>
                <w:kern w:val="2"/>
                <w:sz w:val="21"/>
                <w:szCs w:val="21"/>
                <w:highlight w:val="none"/>
                <w:lang w:val="en-US" w:eastAsia="zh-CN" w:bidi="ar-SA"/>
              </w:rPr>
              <w:t xml:space="preserve">2. </w:t>
            </w:r>
            <w:r>
              <w:rPr>
                <w:rStyle w:val="28"/>
                <w:rFonts w:hint="eastAsia" w:ascii="方正仿宋_GBK" w:hAnsi="Times New Roman" w:eastAsia="方正仿宋_GBK" w:cs="方正仿宋_GBK"/>
                <w:color w:val="auto"/>
                <w:kern w:val="2"/>
                <w:sz w:val="21"/>
                <w:szCs w:val="21"/>
                <w:highlight w:val="none"/>
                <w:lang w:val="en-US" w:eastAsia="zh-CN" w:bidi="ar-SA"/>
              </w:rPr>
              <w:t>排水设施齐全畅通。</w:t>
            </w:r>
          </w:p>
          <w:p w14:paraId="307EE81C">
            <w:pPr>
              <w:pStyle w:val="47"/>
              <w:widowControl w:val="0"/>
              <w:spacing w:line="300" w:lineRule="exact"/>
              <w:jc w:val="both"/>
              <w:rPr>
                <w:rStyle w:val="28"/>
                <w:rFonts w:ascii="方正仿宋_GBK" w:hAnsi="Times New Roman" w:eastAsia="方正仿宋_GBK" w:cs="Times New Roman"/>
                <w:color w:val="auto"/>
                <w:kern w:val="2"/>
                <w:sz w:val="21"/>
                <w:szCs w:val="21"/>
                <w:highlight w:val="none"/>
                <w:lang w:val="en-US" w:eastAsia="zh-CN" w:bidi="ar-SA"/>
              </w:rPr>
            </w:pPr>
            <w:r>
              <w:rPr>
                <w:rStyle w:val="28"/>
                <w:rFonts w:ascii="方正仿宋_GBK" w:hAnsi="Times New Roman" w:eastAsia="方正仿宋_GBK" w:cs="方正仿宋_GBK"/>
                <w:color w:val="auto"/>
                <w:kern w:val="2"/>
                <w:sz w:val="21"/>
                <w:szCs w:val="21"/>
                <w:highlight w:val="none"/>
                <w:lang w:val="en-US" w:eastAsia="zh-CN" w:bidi="ar-SA"/>
              </w:rPr>
              <w:t xml:space="preserve">3. </w:t>
            </w:r>
            <w:r>
              <w:rPr>
                <w:rStyle w:val="28"/>
                <w:rFonts w:hint="eastAsia" w:ascii="方正仿宋_GBK" w:hAnsi="Times New Roman" w:eastAsia="方正仿宋_GBK" w:cs="方正仿宋_GBK"/>
                <w:color w:val="auto"/>
                <w:kern w:val="2"/>
                <w:sz w:val="21"/>
                <w:szCs w:val="21"/>
                <w:highlight w:val="none"/>
                <w:lang w:val="en-US" w:eastAsia="zh-CN" w:bidi="ar-SA"/>
              </w:rPr>
              <w:t>工地地面硬化处理（办公区、生活区、现场道路、材料堆放、混凝土搅拌、砂浆搅拌、钢筋加工等场地和外脚手架基础等）。</w:t>
            </w:r>
          </w:p>
        </w:tc>
      </w:tr>
      <w:tr w14:paraId="0ECCBE1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noWrap w:val="0"/>
            <w:vAlign w:val="center"/>
          </w:tcPr>
          <w:p w14:paraId="4D27E568">
            <w:pPr>
              <w:pStyle w:val="47"/>
              <w:widowControl w:val="0"/>
              <w:spacing w:line="300" w:lineRule="exact"/>
              <w:jc w:val="center"/>
              <w:rPr>
                <w:rStyle w:val="28"/>
                <w:rFonts w:ascii="方正仿宋_GBK" w:hAnsi="Times New Roman" w:eastAsia="方正仿宋_GBK" w:cs="Times New Roman"/>
                <w:color w:val="auto"/>
                <w:kern w:val="2"/>
                <w:sz w:val="21"/>
                <w:szCs w:val="21"/>
                <w:highlight w:val="none"/>
                <w:lang w:val="en-US" w:eastAsia="zh-CN" w:bidi="ar-SA"/>
              </w:rPr>
            </w:pPr>
          </w:p>
        </w:tc>
        <w:tc>
          <w:tcPr>
            <w:tcW w:w="2070" w:type="dxa"/>
            <w:gridSpan w:val="2"/>
            <w:noWrap w:val="0"/>
            <w:vAlign w:val="center"/>
          </w:tcPr>
          <w:p w14:paraId="43923BA5">
            <w:pPr>
              <w:pStyle w:val="47"/>
              <w:widowControl w:val="0"/>
              <w:spacing w:line="300" w:lineRule="exact"/>
              <w:jc w:val="center"/>
              <w:rPr>
                <w:rStyle w:val="28"/>
                <w:rFonts w:ascii="方正仿宋_GBK" w:hAnsi="Times New Roman" w:eastAsia="方正仿宋_GBK" w:cs="Times New Roman"/>
                <w:color w:val="auto"/>
                <w:kern w:val="2"/>
                <w:sz w:val="21"/>
                <w:szCs w:val="21"/>
                <w:highlight w:val="none"/>
                <w:lang w:val="en-US" w:eastAsia="zh-CN" w:bidi="ar-SA"/>
              </w:rPr>
            </w:pPr>
            <w:r>
              <w:rPr>
                <w:rStyle w:val="28"/>
                <w:rFonts w:hint="eastAsia" w:ascii="方正仿宋_GBK" w:hAnsi="Times New Roman" w:eastAsia="方正仿宋_GBK" w:cs="方正仿宋_GBK"/>
                <w:color w:val="auto"/>
                <w:kern w:val="2"/>
                <w:sz w:val="21"/>
                <w:szCs w:val="21"/>
                <w:highlight w:val="none"/>
                <w:lang w:val="en-US" w:eastAsia="zh-CN" w:bidi="ar-SA"/>
              </w:rPr>
              <w:t>材料堆放</w:t>
            </w:r>
          </w:p>
        </w:tc>
        <w:tc>
          <w:tcPr>
            <w:tcW w:w="6645" w:type="dxa"/>
            <w:noWrap w:val="0"/>
            <w:vAlign w:val="center"/>
          </w:tcPr>
          <w:p w14:paraId="0A58D5B6">
            <w:pPr>
              <w:pStyle w:val="47"/>
              <w:widowControl w:val="0"/>
              <w:numPr>
                <w:ilvl w:val="0"/>
                <w:numId w:val="3"/>
              </w:numPr>
              <w:spacing w:line="300" w:lineRule="exact"/>
              <w:jc w:val="both"/>
              <w:rPr>
                <w:rStyle w:val="28"/>
                <w:rFonts w:ascii="方正仿宋_GBK" w:hAnsi="Times New Roman" w:eastAsia="方正仿宋_GBK" w:cs="Times New Roman"/>
                <w:color w:val="auto"/>
                <w:kern w:val="2"/>
                <w:sz w:val="21"/>
                <w:szCs w:val="21"/>
                <w:highlight w:val="none"/>
                <w:lang w:val="en-US" w:eastAsia="zh-CN" w:bidi="ar-SA"/>
              </w:rPr>
            </w:pPr>
            <w:r>
              <w:rPr>
                <w:rStyle w:val="28"/>
                <w:rFonts w:hint="eastAsia" w:ascii="方正仿宋_GBK" w:hAnsi="Times New Roman" w:eastAsia="方正仿宋_GBK" w:cs="方正仿宋_GBK"/>
                <w:color w:val="auto"/>
                <w:kern w:val="2"/>
                <w:sz w:val="21"/>
                <w:szCs w:val="21"/>
                <w:highlight w:val="none"/>
                <w:lang w:val="en-US" w:eastAsia="zh-CN" w:bidi="ar-SA"/>
              </w:rPr>
              <w:t>材料、构件、料具等堆放时，应有名称、品种、规格等标牌。</w:t>
            </w:r>
          </w:p>
          <w:p w14:paraId="42D85983">
            <w:pPr>
              <w:pStyle w:val="47"/>
              <w:widowControl w:val="0"/>
              <w:spacing w:line="300" w:lineRule="exact"/>
              <w:jc w:val="both"/>
              <w:rPr>
                <w:rStyle w:val="28"/>
                <w:rFonts w:ascii="方正仿宋_GBK" w:hAnsi="Times New Roman" w:eastAsia="方正仿宋_GBK" w:cs="Times New Roman"/>
                <w:color w:val="auto"/>
                <w:kern w:val="2"/>
                <w:sz w:val="21"/>
                <w:szCs w:val="21"/>
                <w:highlight w:val="none"/>
                <w:lang w:val="en-US" w:eastAsia="zh-CN" w:bidi="ar-SA"/>
              </w:rPr>
            </w:pPr>
            <w:r>
              <w:rPr>
                <w:rStyle w:val="28"/>
                <w:rFonts w:ascii="方正仿宋_GBK" w:hAnsi="Times New Roman" w:eastAsia="方正仿宋_GBK" w:cs="方正仿宋_GBK"/>
                <w:color w:val="auto"/>
                <w:kern w:val="2"/>
                <w:sz w:val="21"/>
                <w:szCs w:val="21"/>
                <w:highlight w:val="none"/>
                <w:lang w:val="en-US" w:eastAsia="zh-CN" w:bidi="ar-SA"/>
              </w:rPr>
              <w:t xml:space="preserve">2. </w:t>
            </w:r>
            <w:r>
              <w:rPr>
                <w:rStyle w:val="28"/>
                <w:rFonts w:hint="eastAsia" w:ascii="方正仿宋_GBK" w:hAnsi="Times New Roman" w:eastAsia="方正仿宋_GBK" w:cs="方正仿宋_GBK"/>
                <w:color w:val="auto"/>
                <w:kern w:val="2"/>
                <w:sz w:val="21"/>
                <w:szCs w:val="21"/>
                <w:highlight w:val="none"/>
                <w:lang w:val="en-US" w:eastAsia="zh-CN" w:bidi="ar-SA"/>
              </w:rPr>
              <w:t>水泥和其它易飞扬细颗粒建筑材料应封闭存放或采取覆盖等措施。</w:t>
            </w:r>
          </w:p>
          <w:p w14:paraId="08F57ADB">
            <w:pPr>
              <w:pStyle w:val="47"/>
              <w:widowControl w:val="0"/>
              <w:spacing w:line="300" w:lineRule="exact"/>
              <w:jc w:val="both"/>
              <w:rPr>
                <w:rStyle w:val="28"/>
                <w:rFonts w:ascii="方正仿宋_GBK" w:hAnsi="Times New Roman" w:eastAsia="方正仿宋_GBK" w:cs="Times New Roman"/>
                <w:color w:val="auto"/>
                <w:kern w:val="2"/>
                <w:sz w:val="21"/>
                <w:szCs w:val="21"/>
                <w:highlight w:val="none"/>
                <w:lang w:val="en-US" w:eastAsia="zh-CN" w:bidi="ar-SA"/>
              </w:rPr>
            </w:pPr>
            <w:r>
              <w:rPr>
                <w:rStyle w:val="28"/>
                <w:rFonts w:ascii="方正仿宋_GBK" w:hAnsi="Times New Roman" w:eastAsia="方正仿宋_GBK" w:cs="方正仿宋_GBK"/>
                <w:color w:val="auto"/>
                <w:kern w:val="2"/>
                <w:sz w:val="21"/>
                <w:szCs w:val="21"/>
                <w:highlight w:val="none"/>
                <w:lang w:val="en-US" w:eastAsia="zh-CN" w:bidi="ar-SA"/>
              </w:rPr>
              <w:t xml:space="preserve">3. </w:t>
            </w:r>
            <w:r>
              <w:rPr>
                <w:rStyle w:val="28"/>
                <w:rFonts w:hint="eastAsia" w:ascii="方正仿宋_GBK" w:hAnsi="Times New Roman" w:eastAsia="方正仿宋_GBK" w:cs="方正仿宋_GBK"/>
                <w:color w:val="auto"/>
                <w:kern w:val="2"/>
                <w:sz w:val="21"/>
                <w:szCs w:val="21"/>
                <w:highlight w:val="none"/>
                <w:lang w:val="en-US" w:eastAsia="zh-CN" w:bidi="ar-SA"/>
              </w:rPr>
              <w:t>易燃、易爆和有毒有害物品分类存放。</w:t>
            </w:r>
          </w:p>
        </w:tc>
      </w:tr>
      <w:tr w14:paraId="183D80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738" w:type="dxa"/>
            <w:vMerge w:val="continue"/>
            <w:noWrap w:val="0"/>
            <w:vAlign w:val="center"/>
          </w:tcPr>
          <w:p w14:paraId="5A86BBBA">
            <w:pPr>
              <w:pStyle w:val="47"/>
              <w:widowControl w:val="0"/>
              <w:spacing w:line="300" w:lineRule="exact"/>
              <w:jc w:val="center"/>
              <w:rPr>
                <w:rStyle w:val="28"/>
                <w:rFonts w:ascii="方正仿宋_GBK" w:hAnsi="Times New Roman" w:eastAsia="方正仿宋_GBK" w:cs="Times New Roman"/>
                <w:color w:val="auto"/>
                <w:kern w:val="2"/>
                <w:sz w:val="21"/>
                <w:szCs w:val="21"/>
                <w:highlight w:val="none"/>
                <w:lang w:val="en-US" w:eastAsia="zh-CN" w:bidi="ar-SA"/>
              </w:rPr>
            </w:pPr>
          </w:p>
        </w:tc>
        <w:tc>
          <w:tcPr>
            <w:tcW w:w="2070" w:type="dxa"/>
            <w:gridSpan w:val="2"/>
            <w:noWrap w:val="0"/>
            <w:vAlign w:val="center"/>
          </w:tcPr>
          <w:p w14:paraId="61494541">
            <w:pPr>
              <w:pStyle w:val="47"/>
              <w:widowControl w:val="0"/>
              <w:spacing w:line="300" w:lineRule="exact"/>
              <w:jc w:val="center"/>
              <w:rPr>
                <w:rStyle w:val="28"/>
                <w:rFonts w:ascii="方正仿宋_GBK" w:hAnsi="Times New Roman" w:eastAsia="方正仿宋_GBK" w:cs="Times New Roman"/>
                <w:color w:val="auto"/>
                <w:kern w:val="2"/>
                <w:sz w:val="21"/>
                <w:szCs w:val="21"/>
                <w:highlight w:val="none"/>
                <w:lang w:val="en-US" w:eastAsia="zh-CN" w:bidi="ar-SA"/>
              </w:rPr>
            </w:pPr>
            <w:r>
              <w:rPr>
                <w:rStyle w:val="28"/>
                <w:rFonts w:hint="eastAsia" w:ascii="方正仿宋_GBK" w:hAnsi="Times New Roman" w:eastAsia="方正仿宋_GBK" w:cs="方正仿宋_GBK"/>
                <w:color w:val="auto"/>
                <w:kern w:val="2"/>
                <w:sz w:val="21"/>
                <w:szCs w:val="21"/>
                <w:highlight w:val="none"/>
                <w:lang w:val="en-US" w:eastAsia="zh-CN" w:bidi="ar-SA"/>
              </w:rPr>
              <w:t>现场防火</w:t>
            </w:r>
          </w:p>
        </w:tc>
        <w:tc>
          <w:tcPr>
            <w:tcW w:w="6645" w:type="dxa"/>
            <w:noWrap w:val="0"/>
            <w:vAlign w:val="center"/>
          </w:tcPr>
          <w:p w14:paraId="41E49CC2">
            <w:pPr>
              <w:pStyle w:val="47"/>
              <w:widowControl w:val="0"/>
              <w:spacing w:line="300" w:lineRule="exact"/>
              <w:jc w:val="both"/>
              <w:rPr>
                <w:rStyle w:val="28"/>
                <w:rFonts w:ascii="方正仿宋_GBK" w:hAnsi="Times New Roman" w:eastAsia="方正仿宋_GBK" w:cs="Times New Roman"/>
                <w:color w:val="auto"/>
                <w:kern w:val="2"/>
                <w:sz w:val="21"/>
                <w:szCs w:val="21"/>
                <w:highlight w:val="none"/>
                <w:lang w:val="en-US" w:eastAsia="zh-CN" w:bidi="ar-SA"/>
              </w:rPr>
            </w:pPr>
            <w:r>
              <w:rPr>
                <w:rStyle w:val="28"/>
                <w:rFonts w:hint="eastAsia" w:ascii="方正仿宋_GBK" w:hAnsi="Times New Roman" w:eastAsia="方正仿宋_GBK" w:cs="方正仿宋_GBK"/>
                <w:color w:val="auto"/>
                <w:kern w:val="2"/>
                <w:sz w:val="21"/>
                <w:szCs w:val="21"/>
                <w:highlight w:val="none"/>
                <w:lang w:val="en-US" w:eastAsia="zh-CN" w:bidi="ar-SA"/>
              </w:rPr>
              <w:t>消防器材配置合理，符合消防要求。</w:t>
            </w:r>
          </w:p>
        </w:tc>
      </w:tr>
      <w:tr w14:paraId="15B837F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noWrap w:val="0"/>
            <w:vAlign w:val="center"/>
          </w:tcPr>
          <w:p w14:paraId="1347FB85">
            <w:pPr>
              <w:pStyle w:val="47"/>
              <w:widowControl w:val="0"/>
              <w:spacing w:line="300" w:lineRule="exact"/>
              <w:jc w:val="center"/>
              <w:rPr>
                <w:rStyle w:val="28"/>
                <w:rFonts w:ascii="方正仿宋_GBK" w:hAnsi="Times New Roman" w:eastAsia="方正仿宋_GBK" w:cs="Times New Roman"/>
                <w:color w:val="auto"/>
                <w:kern w:val="2"/>
                <w:sz w:val="21"/>
                <w:szCs w:val="21"/>
                <w:highlight w:val="none"/>
                <w:lang w:val="en-US" w:eastAsia="zh-CN" w:bidi="ar-SA"/>
              </w:rPr>
            </w:pPr>
          </w:p>
        </w:tc>
        <w:tc>
          <w:tcPr>
            <w:tcW w:w="2070" w:type="dxa"/>
            <w:gridSpan w:val="2"/>
            <w:noWrap w:val="0"/>
            <w:vAlign w:val="center"/>
          </w:tcPr>
          <w:p w14:paraId="6501F65D">
            <w:pPr>
              <w:pStyle w:val="47"/>
              <w:widowControl w:val="0"/>
              <w:spacing w:line="300" w:lineRule="exact"/>
              <w:jc w:val="center"/>
              <w:rPr>
                <w:rStyle w:val="28"/>
                <w:rFonts w:ascii="方正仿宋_GBK" w:hAnsi="Times New Roman" w:eastAsia="方正仿宋_GBK" w:cs="Times New Roman"/>
                <w:color w:val="auto"/>
                <w:kern w:val="2"/>
                <w:sz w:val="21"/>
                <w:szCs w:val="21"/>
                <w:highlight w:val="none"/>
                <w:lang w:val="en-US" w:eastAsia="zh-CN" w:bidi="ar-SA"/>
              </w:rPr>
            </w:pPr>
            <w:r>
              <w:rPr>
                <w:rStyle w:val="28"/>
                <w:rFonts w:hint="eastAsia" w:ascii="方正仿宋_GBK" w:hAnsi="Times New Roman" w:eastAsia="方正仿宋_GBK" w:cs="方正仿宋_GBK"/>
                <w:color w:val="auto"/>
                <w:kern w:val="2"/>
                <w:sz w:val="21"/>
                <w:szCs w:val="21"/>
                <w:highlight w:val="none"/>
                <w:lang w:val="en-US" w:eastAsia="zh-CN" w:bidi="ar-SA"/>
              </w:rPr>
              <w:t>垃圾清运</w:t>
            </w:r>
          </w:p>
        </w:tc>
        <w:tc>
          <w:tcPr>
            <w:tcW w:w="6645" w:type="dxa"/>
            <w:noWrap w:val="0"/>
            <w:vAlign w:val="center"/>
          </w:tcPr>
          <w:p w14:paraId="1CD0E8D6">
            <w:pPr>
              <w:pStyle w:val="47"/>
              <w:widowControl w:val="0"/>
              <w:spacing w:line="300" w:lineRule="exact"/>
              <w:jc w:val="both"/>
              <w:rPr>
                <w:rStyle w:val="28"/>
                <w:rFonts w:ascii="方正仿宋_GBK" w:hAnsi="Times New Roman" w:eastAsia="方正仿宋_GBK" w:cs="Times New Roman"/>
                <w:color w:val="auto"/>
                <w:kern w:val="2"/>
                <w:sz w:val="21"/>
                <w:szCs w:val="21"/>
                <w:highlight w:val="none"/>
                <w:lang w:val="en-US" w:eastAsia="zh-CN" w:bidi="ar-SA"/>
              </w:rPr>
            </w:pPr>
            <w:r>
              <w:rPr>
                <w:rStyle w:val="28"/>
                <w:rFonts w:ascii="方正仿宋_GBK" w:hAnsi="Times New Roman" w:eastAsia="方正仿宋_GBK" w:cs="方正仿宋_GBK"/>
                <w:color w:val="auto"/>
                <w:kern w:val="2"/>
                <w:sz w:val="21"/>
                <w:szCs w:val="21"/>
                <w:highlight w:val="none"/>
                <w:lang w:val="en-US" w:eastAsia="zh-CN" w:bidi="ar-SA"/>
              </w:rPr>
              <w:t xml:space="preserve">1. </w:t>
            </w:r>
            <w:r>
              <w:rPr>
                <w:rStyle w:val="28"/>
                <w:rFonts w:hint="eastAsia" w:ascii="方正仿宋_GBK" w:hAnsi="Times New Roman" w:eastAsia="方正仿宋_GBK" w:cs="方正仿宋_GBK"/>
                <w:color w:val="auto"/>
                <w:kern w:val="2"/>
                <w:sz w:val="21"/>
                <w:szCs w:val="21"/>
                <w:highlight w:val="none"/>
                <w:lang w:val="en-US" w:eastAsia="zh-CN" w:bidi="ar-SA"/>
              </w:rPr>
              <w:t>施工现场应设置密闭式垃圾站，施工垃圾、生活垃圾应分类存放。</w:t>
            </w:r>
          </w:p>
          <w:p w14:paraId="378D0700">
            <w:pPr>
              <w:pStyle w:val="47"/>
              <w:widowControl w:val="0"/>
              <w:spacing w:line="300" w:lineRule="exact"/>
              <w:jc w:val="both"/>
              <w:rPr>
                <w:rStyle w:val="28"/>
                <w:rFonts w:ascii="方正仿宋_GBK" w:hAnsi="Times New Roman" w:eastAsia="方正仿宋_GBK" w:cs="Times New Roman"/>
                <w:color w:val="auto"/>
                <w:kern w:val="2"/>
                <w:sz w:val="21"/>
                <w:szCs w:val="21"/>
                <w:highlight w:val="none"/>
                <w:lang w:val="en-US" w:eastAsia="zh-CN" w:bidi="ar-SA"/>
              </w:rPr>
            </w:pPr>
            <w:r>
              <w:rPr>
                <w:rStyle w:val="28"/>
                <w:rFonts w:ascii="方正仿宋_GBK" w:hAnsi="Times New Roman" w:eastAsia="方正仿宋_GBK" w:cs="方正仿宋_GBK"/>
                <w:color w:val="auto"/>
                <w:kern w:val="2"/>
                <w:sz w:val="21"/>
                <w:szCs w:val="21"/>
                <w:highlight w:val="none"/>
                <w:lang w:val="en-US" w:eastAsia="zh-CN" w:bidi="ar-SA"/>
              </w:rPr>
              <w:t xml:space="preserve">2. </w:t>
            </w:r>
            <w:r>
              <w:rPr>
                <w:rStyle w:val="28"/>
                <w:rFonts w:hint="eastAsia" w:ascii="方正仿宋_GBK" w:hAnsi="Times New Roman" w:eastAsia="方正仿宋_GBK" w:cs="方正仿宋_GBK"/>
                <w:color w:val="auto"/>
                <w:kern w:val="2"/>
                <w:sz w:val="21"/>
                <w:szCs w:val="21"/>
                <w:highlight w:val="none"/>
                <w:lang w:val="en-US" w:eastAsia="zh-CN" w:bidi="ar-SA"/>
              </w:rPr>
              <w:t>施工垃圾必须采用相应容器或管道运输。</w:t>
            </w:r>
          </w:p>
        </w:tc>
      </w:tr>
      <w:tr w14:paraId="1BD0C44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noWrap w:val="0"/>
            <w:vAlign w:val="center"/>
          </w:tcPr>
          <w:p w14:paraId="1ED93752">
            <w:pPr>
              <w:pStyle w:val="47"/>
              <w:widowControl w:val="0"/>
              <w:spacing w:line="300" w:lineRule="exact"/>
              <w:jc w:val="center"/>
              <w:rPr>
                <w:rStyle w:val="28"/>
                <w:rFonts w:ascii="方正仿宋_GBK" w:hAnsi="Times New Roman" w:eastAsia="方正仿宋_GBK" w:cs="Times New Roman"/>
                <w:color w:val="auto"/>
                <w:kern w:val="2"/>
                <w:sz w:val="21"/>
                <w:szCs w:val="21"/>
                <w:highlight w:val="none"/>
                <w:lang w:val="en-US" w:eastAsia="zh-CN" w:bidi="ar-SA"/>
              </w:rPr>
            </w:pPr>
          </w:p>
        </w:tc>
        <w:tc>
          <w:tcPr>
            <w:tcW w:w="2070" w:type="dxa"/>
            <w:gridSpan w:val="2"/>
            <w:noWrap w:val="0"/>
            <w:vAlign w:val="center"/>
          </w:tcPr>
          <w:p w14:paraId="3138C4C2">
            <w:pPr>
              <w:pStyle w:val="47"/>
              <w:widowControl w:val="0"/>
              <w:spacing w:line="300" w:lineRule="exact"/>
              <w:jc w:val="both"/>
              <w:rPr>
                <w:rStyle w:val="28"/>
                <w:rFonts w:ascii="方正仿宋_GBK" w:hAnsi="Times New Roman" w:eastAsia="方正仿宋_GBK" w:cs="Times New Roman"/>
                <w:color w:val="auto"/>
                <w:kern w:val="2"/>
                <w:sz w:val="21"/>
                <w:szCs w:val="21"/>
                <w:highlight w:val="none"/>
                <w:lang w:val="en-US" w:eastAsia="zh-CN" w:bidi="ar-SA"/>
              </w:rPr>
            </w:pPr>
            <w:r>
              <w:rPr>
                <w:rStyle w:val="28"/>
                <w:rFonts w:hint="eastAsia" w:ascii="方正仿宋_GBK" w:hAnsi="Times New Roman" w:eastAsia="方正仿宋_GBK" w:cs="方正仿宋_GBK"/>
                <w:color w:val="auto"/>
                <w:kern w:val="2"/>
                <w:sz w:val="21"/>
                <w:szCs w:val="21"/>
                <w:highlight w:val="none"/>
                <w:lang w:val="en-US" w:eastAsia="zh-CN" w:bidi="ar-SA"/>
              </w:rPr>
              <w:t>宣传栏、环保及不扰民措施</w:t>
            </w:r>
          </w:p>
        </w:tc>
        <w:tc>
          <w:tcPr>
            <w:tcW w:w="6645" w:type="dxa"/>
            <w:noWrap w:val="0"/>
            <w:vAlign w:val="center"/>
          </w:tcPr>
          <w:p w14:paraId="7C3C26FF">
            <w:pPr>
              <w:pStyle w:val="47"/>
              <w:widowControl w:val="0"/>
              <w:spacing w:line="300" w:lineRule="exact"/>
              <w:jc w:val="both"/>
              <w:rPr>
                <w:rStyle w:val="28"/>
                <w:rFonts w:ascii="方正仿宋_GBK" w:hAnsi="Times New Roman" w:eastAsia="方正仿宋_GBK" w:cs="Times New Roman"/>
                <w:color w:val="auto"/>
                <w:kern w:val="2"/>
                <w:sz w:val="21"/>
                <w:szCs w:val="21"/>
                <w:highlight w:val="none"/>
                <w:lang w:val="en-US" w:eastAsia="zh-CN" w:bidi="ar-SA"/>
              </w:rPr>
            </w:pPr>
            <w:r>
              <w:rPr>
                <w:rStyle w:val="28"/>
                <w:rFonts w:hint="eastAsia" w:ascii="方正仿宋_GBK" w:hAnsi="Times New Roman" w:eastAsia="方正仿宋_GBK" w:cs="方正仿宋_GBK"/>
                <w:color w:val="auto"/>
                <w:kern w:val="2"/>
                <w:sz w:val="21"/>
                <w:szCs w:val="21"/>
                <w:highlight w:val="none"/>
                <w:lang w:val="en-US" w:eastAsia="zh-CN" w:bidi="ar-SA"/>
              </w:rPr>
              <w:t>宣传栏、安全宣传标语等，洗车（防止污染市区道路）、粉尘、噪声控制和排污（污水、废气）措施等。</w:t>
            </w:r>
          </w:p>
        </w:tc>
      </w:tr>
      <w:tr w14:paraId="55EDAF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restart"/>
            <w:noWrap w:val="0"/>
            <w:vAlign w:val="center"/>
          </w:tcPr>
          <w:p w14:paraId="7E930AC3">
            <w:pPr>
              <w:pStyle w:val="47"/>
              <w:widowControl w:val="0"/>
              <w:spacing w:line="300" w:lineRule="exact"/>
              <w:jc w:val="center"/>
              <w:rPr>
                <w:rStyle w:val="28"/>
                <w:rFonts w:ascii="方正仿宋_GBK" w:hAnsi="Times New Roman" w:eastAsia="方正仿宋_GBK" w:cs="Times New Roman"/>
                <w:color w:val="auto"/>
                <w:kern w:val="2"/>
                <w:sz w:val="21"/>
                <w:szCs w:val="21"/>
                <w:highlight w:val="none"/>
                <w:lang w:val="en-US" w:eastAsia="zh-CN" w:bidi="ar-SA"/>
              </w:rPr>
            </w:pPr>
            <w:r>
              <w:rPr>
                <w:rStyle w:val="28"/>
                <w:rFonts w:hint="eastAsia" w:ascii="方正仿宋_GBK" w:hAnsi="Times New Roman" w:eastAsia="方正仿宋_GBK" w:cs="方正仿宋_GBK"/>
                <w:color w:val="auto"/>
                <w:kern w:val="2"/>
                <w:sz w:val="21"/>
                <w:szCs w:val="21"/>
                <w:highlight w:val="none"/>
                <w:lang w:val="en-US" w:eastAsia="zh-CN" w:bidi="ar-SA"/>
              </w:rPr>
              <w:t>临时设施</w:t>
            </w:r>
          </w:p>
        </w:tc>
        <w:tc>
          <w:tcPr>
            <w:tcW w:w="2070" w:type="dxa"/>
            <w:gridSpan w:val="2"/>
            <w:noWrap w:val="0"/>
            <w:vAlign w:val="center"/>
          </w:tcPr>
          <w:p w14:paraId="24D397DA">
            <w:pPr>
              <w:pStyle w:val="47"/>
              <w:widowControl w:val="0"/>
              <w:spacing w:line="300" w:lineRule="exact"/>
              <w:jc w:val="center"/>
              <w:rPr>
                <w:rStyle w:val="28"/>
                <w:rFonts w:ascii="方正仿宋_GBK" w:hAnsi="Times New Roman" w:eastAsia="方正仿宋_GBK" w:cs="Times New Roman"/>
                <w:color w:val="auto"/>
                <w:kern w:val="2"/>
                <w:sz w:val="21"/>
                <w:szCs w:val="21"/>
                <w:highlight w:val="none"/>
                <w:lang w:val="en-US" w:eastAsia="zh-CN" w:bidi="ar-SA"/>
              </w:rPr>
            </w:pPr>
            <w:r>
              <w:rPr>
                <w:rStyle w:val="28"/>
                <w:rFonts w:hint="eastAsia" w:ascii="方正仿宋_GBK" w:hAnsi="Times New Roman" w:eastAsia="方正仿宋_GBK" w:cs="方正仿宋_GBK"/>
                <w:color w:val="auto"/>
                <w:kern w:val="2"/>
                <w:sz w:val="21"/>
                <w:szCs w:val="21"/>
                <w:highlight w:val="none"/>
                <w:lang w:val="en-US" w:eastAsia="zh-CN" w:bidi="ar-SA"/>
              </w:rPr>
              <w:t>现场办公</w:t>
            </w:r>
          </w:p>
          <w:p w14:paraId="45ACB714">
            <w:pPr>
              <w:pStyle w:val="47"/>
              <w:widowControl w:val="0"/>
              <w:spacing w:line="300" w:lineRule="exact"/>
              <w:jc w:val="center"/>
              <w:rPr>
                <w:rStyle w:val="28"/>
                <w:rFonts w:ascii="方正仿宋_GBK" w:hAnsi="Times New Roman" w:eastAsia="方正仿宋_GBK" w:cs="Times New Roman"/>
                <w:color w:val="auto"/>
                <w:kern w:val="2"/>
                <w:sz w:val="21"/>
                <w:szCs w:val="21"/>
                <w:highlight w:val="none"/>
                <w:lang w:val="en-US" w:eastAsia="zh-CN" w:bidi="ar-SA"/>
              </w:rPr>
            </w:pPr>
            <w:r>
              <w:rPr>
                <w:rStyle w:val="28"/>
                <w:rFonts w:hint="eastAsia" w:ascii="方正仿宋_GBK" w:hAnsi="Times New Roman" w:eastAsia="方正仿宋_GBK" w:cs="方正仿宋_GBK"/>
                <w:color w:val="auto"/>
                <w:kern w:val="2"/>
                <w:sz w:val="21"/>
                <w:szCs w:val="21"/>
                <w:highlight w:val="none"/>
                <w:lang w:val="en-US" w:eastAsia="zh-CN" w:bidi="ar-SA"/>
              </w:rPr>
              <w:t>生活设施</w:t>
            </w:r>
          </w:p>
        </w:tc>
        <w:tc>
          <w:tcPr>
            <w:tcW w:w="6645" w:type="dxa"/>
            <w:noWrap w:val="0"/>
            <w:vAlign w:val="center"/>
          </w:tcPr>
          <w:p w14:paraId="536FEAD9">
            <w:pPr>
              <w:pStyle w:val="47"/>
              <w:widowControl w:val="0"/>
              <w:spacing w:line="300" w:lineRule="exact"/>
              <w:jc w:val="both"/>
              <w:rPr>
                <w:rStyle w:val="28"/>
                <w:rFonts w:ascii="方正仿宋_GBK" w:hAnsi="Times New Roman" w:eastAsia="方正仿宋_GBK" w:cs="Times New Roman"/>
                <w:color w:val="auto"/>
                <w:kern w:val="2"/>
                <w:sz w:val="21"/>
                <w:szCs w:val="21"/>
                <w:highlight w:val="none"/>
                <w:lang w:val="en-US" w:eastAsia="zh-CN" w:bidi="ar-SA"/>
              </w:rPr>
            </w:pPr>
            <w:r>
              <w:rPr>
                <w:rStyle w:val="28"/>
                <w:rFonts w:ascii="方正仿宋_GBK" w:hAnsi="Times New Roman" w:eastAsia="方正仿宋_GBK" w:cs="方正仿宋_GBK"/>
                <w:color w:val="auto"/>
                <w:kern w:val="2"/>
                <w:sz w:val="21"/>
                <w:szCs w:val="21"/>
                <w:highlight w:val="none"/>
                <w:lang w:val="en-US" w:eastAsia="zh-CN" w:bidi="ar-SA"/>
              </w:rPr>
              <w:t xml:space="preserve">1. </w:t>
            </w:r>
            <w:r>
              <w:rPr>
                <w:rStyle w:val="28"/>
                <w:rFonts w:hint="eastAsia" w:ascii="方正仿宋_GBK" w:hAnsi="Times New Roman" w:eastAsia="方正仿宋_GBK" w:cs="方正仿宋_GBK"/>
                <w:color w:val="auto"/>
                <w:kern w:val="2"/>
                <w:sz w:val="21"/>
                <w:szCs w:val="21"/>
                <w:highlight w:val="none"/>
                <w:lang w:val="en-US" w:eastAsia="zh-CN" w:bidi="ar-SA"/>
              </w:rPr>
              <w:t>施工现场办公、生活区与作业区分开设置，保持安全距离。</w:t>
            </w:r>
          </w:p>
          <w:p w14:paraId="027CB87F">
            <w:pPr>
              <w:pStyle w:val="47"/>
              <w:widowControl w:val="0"/>
              <w:spacing w:line="300" w:lineRule="exact"/>
              <w:jc w:val="both"/>
              <w:rPr>
                <w:rStyle w:val="28"/>
                <w:rFonts w:ascii="方正仿宋_GBK" w:hAnsi="Times New Roman" w:eastAsia="方正仿宋_GBK" w:cs="Times New Roman"/>
                <w:color w:val="auto"/>
                <w:kern w:val="2"/>
                <w:sz w:val="21"/>
                <w:szCs w:val="21"/>
                <w:highlight w:val="none"/>
                <w:lang w:val="en-US" w:eastAsia="zh-CN" w:bidi="ar-SA"/>
              </w:rPr>
            </w:pPr>
            <w:r>
              <w:rPr>
                <w:rStyle w:val="28"/>
                <w:rFonts w:ascii="方正仿宋_GBK" w:hAnsi="Times New Roman" w:eastAsia="方正仿宋_GBK" w:cs="方正仿宋_GBK"/>
                <w:color w:val="auto"/>
                <w:kern w:val="2"/>
                <w:sz w:val="21"/>
                <w:szCs w:val="21"/>
                <w:highlight w:val="none"/>
                <w:lang w:val="en-US" w:eastAsia="zh-CN" w:bidi="ar-SA"/>
              </w:rPr>
              <w:t xml:space="preserve">2. </w:t>
            </w:r>
            <w:r>
              <w:rPr>
                <w:rStyle w:val="28"/>
                <w:rFonts w:hint="eastAsia" w:ascii="方正仿宋_GBK" w:hAnsi="Times New Roman" w:eastAsia="方正仿宋_GBK" w:cs="方正仿宋_GBK"/>
                <w:color w:val="auto"/>
                <w:kern w:val="2"/>
                <w:sz w:val="21"/>
                <w:szCs w:val="21"/>
                <w:highlight w:val="none"/>
                <w:lang w:val="en-US" w:eastAsia="zh-CN" w:bidi="ar-SA"/>
              </w:rPr>
              <w:t>工地办公室、现场宿舍、食堂、厕所、饮水、沐浴、休息场所等符合卫生、消防安全要求。</w:t>
            </w:r>
          </w:p>
        </w:tc>
      </w:tr>
      <w:tr w14:paraId="6E0D58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noWrap w:val="0"/>
            <w:vAlign w:val="center"/>
          </w:tcPr>
          <w:p w14:paraId="329EC3E1">
            <w:pPr>
              <w:pStyle w:val="47"/>
              <w:widowControl w:val="0"/>
              <w:spacing w:line="300" w:lineRule="exact"/>
              <w:jc w:val="center"/>
              <w:rPr>
                <w:rStyle w:val="28"/>
                <w:rFonts w:ascii="方正仿宋_GBK" w:hAnsi="Times New Roman" w:eastAsia="方正仿宋_GBK" w:cs="Times New Roman"/>
                <w:color w:val="auto"/>
                <w:kern w:val="2"/>
                <w:sz w:val="21"/>
                <w:szCs w:val="21"/>
                <w:highlight w:val="none"/>
                <w:lang w:val="en-US" w:eastAsia="zh-CN" w:bidi="ar-SA"/>
              </w:rPr>
            </w:pPr>
          </w:p>
        </w:tc>
        <w:tc>
          <w:tcPr>
            <w:tcW w:w="525" w:type="dxa"/>
            <w:vMerge w:val="restart"/>
            <w:noWrap w:val="0"/>
            <w:vAlign w:val="center"/>
          </w:tcPr>
          <w:p w14:paraId="42A80CD6">
            <w:pPr>
              <w:pStyle w:val="47"/>
              <w:widowControl w:val="0"/>
              <w:spacing w:line="300" w:lineRule="exact"/>
              <w:jc w:val="center"/>
              <w:rPr>
                <w:rStyle w:val="28"/>
                <w:rFonts w:ascii="方正仿宋_GBK" w:hAnsi="Times New Roman" w:eastAsia="方正仿宋_GBK" w:cs="Times New Roman"/>
                <w:color w:val="auto"/>
                <w:kern w:val="2"/>
                <w:sz w:val="21"/>
                <w:szCs w:val="21"/>
                <w:highlight w:val="none"/>
                <w:lang w:val="en-US" w:eastAsia="zh-CN" w:bidi="ar-SA"/>
              </w:rPr>
            </w:pPr>
            <w:r>
              <w:rPr>
                <w:rStyle w:val="28"/>
                <w:rFonts w:hint="eastAsia" w:ascii="方正仿宋_GBK" w:hAnsi="Times New Roman" w:eastAsia="方正仿宋_GBK" w:cs="方正仿宋_GBK"/>
                <w:color w:val="auto"/>
                <w:kern w:val="2"/>
                <w:sz w:val="21"/>
                <w:szCs w:val="21"/>
                <w:highlight w:val="none"/>
                <w:lang w:val="en-US" w:eastAsia="zh-CN" w:bidi="ar-SA"/>
              </w:rPr>
              <w:t>施工现场</w:t>
            </w:r>
          </w:p>
          <w:p w14:paraId="2E8216E3">
            <w:pPr>
              <w:pStyle w:val="47"/>
              <w:widowControl w:val="0"/>
              <w:spacing w:line="300" w:lineRule="exact"/>
              <w:jc w:val="center"/>
              <w:rPr>
                <w:rStyle w:val="28"/>
                <w:rFonts w:ascii="方正仿宋_GBK" w:hAnsi="Times New Roman" w:eastAsia="方正仿宋_GBK" w:cs="Times New Roman"/>
                <w:color w:val="auto"/>
                <w:kern w:val="2"/>
                <w:sz w:val="21"/>
                <w:szCs w:val="21"/>
                <w:highlight w:val="none"/>
                <w:lang w:val="en-US" w:eastAsia="zh-CN" w:bidi="ar-SA"/>
              </w:rPr>
            </w:pPr>
            <w:r>
              <w:rPr>
                <w:rStyle w:val="28"/>
                <w:rFonts w:hint="eastAsia" w:ascii="方正仿宋_GBK" w:hAnsi="Times New Roman" w:eastAsia="方正仿宋_GBK" w:cs="方正仿宋_GBK"/>
                <w:color w:val="auto"/>
                <w:kern w:val="2"/>
                <w:sz w:val="21"/>
                <w:szCs w:val="21"/>
                <w:highlight w:val="none"/>
                <w:lang w:val="en-US" w:eastAsia="zh-CN" w:bidi="ar-SA"/>
              </w:rPr>
              <w:t>临时用电</w:t>
            </w:r>
          </w:p>
        </w:tc>
        <w:tc>
          <w:tcPr>
            <w:tcW w:w="1545" w:type="dxa"/>
            <w:noWrap w:val="0"/>
            <w:vAlign w:val="center"/>
          </w:tcPr>
          <w:p w14:paraId="58D1BAA9">
            <w:pPr>
              <w:pStyle w:val="47"/>
              <w:widowControl w:val="0"/>
              <w:spacing w:line="300" w:lineRule="exact"/>
              <w:jc w:val="center"/>
              <w:rPr>
                <w:rStyle w:val="28"/>
                <w:rFonts w:ascii="方正仿宋_GBK" w:hAnsi="Times New Roman" w:eastAsia="方正仿宋_GBK" w:cs="Times New Roman"/>
                <w:color w:val="auto"/>
                <w:kern w:val="2"/>
                <w:sz w:val="21"/>
                <w:szCs w:val="21"/>
                <w:highlight w:val="none"/>
                <w:lang w:val="en-US" w:eastAsia="zh-CN" w:bidi="ar-SA"/>
              </w:rPr>
            </w:pPr>
            <w:r>
              <w:rPr>
                <w:rStyle w:val="28"/>
                <w:rFonts w:hint="eastAsia" w:ascii="方正仿宋_GBK" w:hAnsi="Times New Roman" w:eastAsia="方正仿宋_GBK" w:cs="方正仿宋_GBK"/>
                <w:color w:val="auto"/>
                <w:kern w:val="2"/>
                <w:sz w:val="21"/>
                <w:szCs w:val="21"/>
                <w:highlight w:val="none"/>
                <w:lang w:val="en-US" w:eastAsia="zh-CN" w:bidi="ar-SA"/>
              </w:rPr>
              <w:t>配电线路</w:t>
            </w:r>
          </w:p>
        </w:tc>
        <w:tc>
          <w:tcPr>
            <w:tcW w:w="6645" w:type="dxa"/>
            <w:noWrap w:val="0"/>
            <w:vAlign w:val="center"/>
          </w:tcPr>
          <w:p w14:paraId="04E22B28">
            <w:pPr>
              <w:pStyle w:val="47"/>
              <w:widowControl w:val="0"/>
              <w:spacing w:line="300" w:lineRule="exact"/>
              <w:jc w:val="both"/>
              <w:rPr>
                <w:rStyle w:val="28"/>
                <w:rFonts w:ascii="方正仿宋_GBK" w:hAnsi="Times New Roman" w:eastAsia="方正仿宋_GBK" w:cs="Times New Roman"/>
                <w:color w:val="auto"/>
                <w:kern w:val="2"/>
                <w:sz w:val="21"/>
                <w:szCs w:val="21"/>
                <w:highlight w:val="none"/>
                <w:lang w:val="en-US" w:eastAsia="zh-CN" w:bidi="ar-SA"/>
              </w:rPr>
            </w:pPr>
            <w:r>
              <w:rPr>
                <w:rStyle w:val="28"/>
                <w:rFonts w:ascii="方正仿宋_GBK" w:hAnsi="Times New Roman" w:eastAsia="方正仿宋_GBK" w:cs="方正仿宋_GBK"/>
                <w:color w:val="auto"/>
                <w:kern w:val="2"/>
                <w:sz w:val="21"/>
                <w:szCs w:val="21"/>
                <w:highlight w:val="none"/>
                <w:lang w:val="en-US" w:eastAsia="zh-CN" w:bidi="ar-SA"/>
              </w:rPr>
              <w:t xml:space="preserve">1. </w:t>
            </w:r>
            <w:r>
              <w:rPr>
                <w:rStyle w:val="28"/>
                <w:rFonts w:hint="eastAsia" w:ascii="方正仿宋_GBK" w:hAnsi="Times New Roman" w:eastAsia="方正仿宋_GBK" w:cs="方正仿宋_GBK"/>
                <w:color w:val="auto"/>
                <w:kern w:val="2"/>
                <w:sz w:val="21"/>
                <w:szCs w:val="21"/>
                <w:highlight w:val="none"/>
                <w:lang w:val="en-US" w:eastAsia="zh-CN" w:bidi="ar-SA"/>
              </w:rPr>
              <w:t>按照</w:t>
            </w:r>
            <w:r>
              <w:rPr>
                <w:rStyle w:val="28"/>
                <w:rFonts w:ascii="方正仿宋_GBK" w:hAnsi="Times New Roman" w:eastAsia="方正仿宋_GBK" w:cs="方正仿宋_GBK"/>
                <w:color w:val="auto"/>
                <w:kern w:val="2"/>
                <w:sz w:val="21"/>
                <w:szCs w:val="21"/>
                <w:highlight w:val="none"/>
                <w:lang w:val="en-US" w:eastAsia="zh-CN" w:bidi="ar-SA"/>
              </w:rPr>
              <w:t>TN-S</w:t>
            </w:r>
            <w:r>
              <w:rPr>
                <w:rStyle w:val="28"/>
                <w:rFonts w:hint="eastAsia" w:ascii="方正仿宋_GBK" w:hAnsi="Times New Roman" w:eastAsia="方正仿宋_GBK" w:cs="方正仿宋_GBK"/>
                <w:color w:val="auto"/>
                <w:kern w:val="2"/>
                <w:sz w:val="21"/>
                <w:szCs w:val="21"/>
                <w:highlight w:val="none"/>
                <w:lang w:val="en-US" w:eastAsia="zh-CN" w:bidi="ar-SA"/>
              </w:rPr>
              <w:t>系统要求配备五芯电缆、四芯电缆和三芯电缆。</w:t>
            </w:r>
          </w:p>
          <w:p w14:paraId="32F4E407">
            <w:pPr>
              <w:pStyle w:val="47"/>
              <w:widowControl w:val="0"/>
              <w:spacing w:line="300" w:lineRule="exact"/>
              <w:jc w:val="both"/>
              <w:rPr>
                <w:rStyle w:val="28"/>
                <w:rFonts w:ascii="方正仿宋_GBK" w:hAnsi="Times New Roman" w:eastAsia="方正仿宋_GBK" w:cs="Times New Roman"/>
                <w:color w:val="auto"/>
                <w:kern w:val="2"/>
                <w:sz w:val="21"/>
                <w:szCs w:val="21"/>
                <w:highlight w:val="none"/>
                <w:lang w:val="en-US" w:eastAsia="zh-CN" w:bidi="ar-SA"/>
              </w:rPr>
            </w:pPr>
            <w:r>
              <w:rPr>
                <w:rStyle w:val="28"/>
                <w:rFonts w:ascii="方正仿宋_GBK" w:hAnsi="Times New Roman" w:eastAsia="方正仿宋_GBK" w:cs="方正仿宋_GBK"/>
                <w:color w:val="auto"/>
                <w:kern w:val="2"/>
                <w:sz w:val="21"/>
                <w:szCs w:val="21"/>
                <w:highlight w:val="none"/>
                <w:lang w:val="en-US" w:eastAsia="zh-CN" w:bidi="ar-SA"/>
              </w:rPr>
              <w:t xml:space="preserve">2. </w:t>
            </w:r>
            <w:r>
              <w:rPr>
                <w:rStyle w:val="28"/>
                <w:rFonts w:hint="eastAsia" w:ascii="方正仿宋_GBK" w:hAnsi="Times New Roman" w:eastAsia="方正仿宋_GBK" w:cs="方正仿宋_GBK"/>
                <w:color w:val="auto"/>
                <w:kern w:val="2"/>
                <w:sz w:val="21"/>
                <w:szCs w:val="21"/>
                <w:highlight w:val="none"/>
                <w:lang w:val="en-US" w:eastAsia="zh-CN" w:bidi="ar-SA"/>
              </w:rPr>
              <w:t>按要求架设临时用电线路的电杆、横担、瓷夹、瓷瓶等，或电缆埋地的地沟。</w:t>
            </w:r>
          </w:p>
          <w:p w14:paraId="41651EE3">
            <w:pPr>
              <w:pStyle w:val="47"/>
              <w:widowControl w:val="0"/>
              <w:spacing w:line="300" w:lineRule="exact"/>
              <w:jc w:val="both"/>
              <w:rPr>
                <w:rStyle w:val="28"/>
                <w:rFonts w:ascii="方正仿宋_GBK" w:hAnsi="Times New Roman" w:eastAsia="方正仿宋_GBK" w:cs="Times New Roman"/>
                <w:color w:val="auto"/>
                <w:kern w:val="2"/>
                <w:sz w:val="21"/>
                <w:szCs w:val="21"/>
                <w:highlight w:val="none"/>
                <w:lang w:val="en-US" w:eastAsia="zh-CN" w:bidi="ar-SA"/>
              </w:rPr>
            </w:pPr>
            <w:r>
              <w:rPr>
                <w:rStyle w:val="28"/>
                <w:rFonts w:ascii="方正仿宋_GBK" w:hAnsi="Times New Roman" w:eastAsia="方正仿宋_GBK" w:cs="方正仿宋_GBK"/>
                <w:color w:val="auto"/>
                <w:kern w:val="2"/>
                <w:sz w:val="21"/>
                <w:szCs w:val="21"/>
                <w:highlight w:val="none"/>
                <w:lang w:val="en-US" w:eastAsia="zh-CN" w:bidi="ar-SA"/>
              </w:rPr>
              <w:t xml:space="preserve">3. </w:t>
            </w:r>
            <w:r>
              <w:rPr>
                <w:rStyle w:val="28"/>
                <w:rFonts w:hint="eastAsia" w:ascii="方正仿宋_GBK" w:hAnsi="Times New Roman" w:eastAsia="方正仿宋_GBK" w:cs="方正仿宋_GBK"/>
                <w:color w:val="auto"/>
                <w:kern w:val="2"/>
                <w:sz w:val="21"/>
                <w:szCs w:val="21"/>
                <w:highlight w:val="none"/>
                <w:lang w:val="en-US" w:eastAsia="zh-CN" w:bidi="ar-SA"/>
              </w:rPr>
              <w:t>对靠近施工现场的外电线路，设置木质、塑料等绝缘体的防护设施。</w:t>
            </w:r>
          </w:p>
        </w:tc>
      </w:tr>
      <w:tr w14:paraId="4E5708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noWrap w:val="0"/>
            <w:vAlign w:val="center"/>
          </w:tcPr>
          <w:p w14:paraId="0D692D9E">
            <w:pPr>
              <w:pStyle w:val="47"/>
              <w:widowControl w:val="0"/>
              <w:spacing w:line="300" w:lineRule="exact"/>
              <w:jc w:val="center"/>
              <w:rPr>
                <w:rStyle w:val="28"/>
                <w:rFonts w:ascii="方正仿宋_GBK" w:hAnsi="Times New Roman" w:eastAsia="方正仿宋_GBK" w:cs="Times New Roman"/>
                <w:color w:val="auto"/>
                <w:kern w:val="2"/>
                <w:sz w:val="21"/>
                <w:szCs w:val="21"/>
                <w:highlight w:val="none"/>
                <w:lang w:val="en-US" w:eastAsia="zh-CN" w:bidi="ar-SA"/>
              </w:rPr>
            </w:pPr>
          </w:p>
        </w:tc>
        <w:tc>
          <w:tcPr>
            <w:tcW w:w="525" w:type="dxa"/>
            <w:vMerge w:val="continue"/>
            <w:noWrap w:val="0"/>
            <w:vAlign w:val="center"/>
          </w:tcPr>
          <w:p w14:paraId="2A683F3C">
            <w:pPr>
              <w:pStyle w:val="47"/>
              <w:widowControl w:val="0"/>
              <w:spacing w:line="300" w:lineRule="exact"/>
              <w:jc w:val="center"/>
              <w:rPr>
                <w:rStyle w:val="28"/>
                <w:rFonts w:ascii="方正仿宋_GBK" w:hAnsi="Times New Roman" w:eastAsia="方正仿宋_GBK" w:cs="Times New Roman"/>
                <w:color w:val="auto"/>
                <w:kern w:val="2"/>
                <w:sz w:val="21"/>
                <w:szCs w:val="21"/>
                <w:highlight w:val="none"/>
                <w:lang w:val="en-US" w:eastAsia="zh-CN" w:bidi="ar-SA"/>
              </w:rPr>
            </w:pPr>
          </w:p>
        </w:tc>
        <w:tc>
          <w:tcPr>
            <w:tcW w:w="1545" w:type="dxa"/>
            <w:noWrap w:val="0"/>
            <w:vAlign w:val="center"/>
          </w:tcPr>
          <w:p w14:paraId="05B19416">
            <w:pPr>
              <w:pStyle w:val="47"/>
              <w:widowControl w:val="0"/>
              <w:spacing w:line="300" w:lineRule="exact"/>
              <w:jc w:val="center"/>
              <w:rPr>
                <w:rStyle w:val="28"/>
                <w:rFonts w:ascii="方正仿宋_GBK" w:hAnsi="Times New Roman" w:eastAsia="方正仿宋_GBK" w:cs="Times New Roman"/>
                <w:color w:val="auto"/>
                <w:kern w:val="2"/>
                <w:sz w:val="21"/>
                <w:szCs w:val="21"/>
                <w:highlight w:val="none"/>
                <w:lang w:val="en-US" w:eastAsia="zh-CN" w:bidi="ar-SA"/>
              </w:rPr>
            </w:pPr>
            <w:r>
              <w:rPr>
                <w:rStyle w:val="28"/>
                <w:rFonts w:hint="eastAsia" w:ascii="方正仿宋_GBK" w:hAnsi="Times New Roman" w:eastAsia="方正仿宋_GBK" w:cs="方正仿宋_GBK"/>
                <w:color w:val="auto"/>
                <w:kern w:val="2"/>
                <w:sz w:val="21"/>
                <w:szCs w:val="21"/>
                <w:highlight w:val="none"/>
                <w:lang w:val="en-US" w:eastAsia="zh-CN" w:bidi="ar-SA"/>
              </w:rPr>
              <w:t>配电箱</w:t>
            </w:r>
          </w:p>
          <w:p w14:paraId="409408D4">
            <w:pPr>
              <w:pStyle w:val="47"/>
              <w:widowControl w:val="0"/>
              <w:spacing w:line="300" w:lineRule="exact"/>
              <w:jc w:val="center"/>
              <w:rPr>
                <w:rStyle w:val="28"/>
                <w:rFonts w:ascii="方正仿宋_GBK" w:hAnsi="Times New Roman" w:eastAsia="方正仿宋_GBK" w:cs="Times New Roman"/>
                <w:color w:val="auto"/>
                <w:kern w:val="2"/>
                <w:sz w:val="21"/>
                <w:szCs w:val="21"/>
                <w:highlight w:val="none"/>
                <w:lang w:val="en-US" w:eastAsia="zh-CN" w:bidi="ar-SA"/>
              </w:rPr>
            </w:pPr>
            <w:r>
              <w:rPr>
                <w:rStyle w:val="28"/>
                <w:rFonts w:hint="eastAsia" w:ascii="方正仿宋_GBK" w:hAnsi="Times New Roman" w:eastAsia="方正仿宋_GBK" w:cs="方正仿宋_GBK"/>
                <w:color w:val="auto"/>
                <w:kern w:val="2"/>
                <w:sz w:val="21"/>
                <w:szCs w:val="21"/>
                <w:highlight w:val="none"/>
                <w:lang w:val="en-US" w:eastAsia="zh-CN" w:bidi="ar-SA"/>
              </w:rPr>
              <w:t>开关箱</w:t>
            </w:r>
          </w:p>
        </w:tc>
        <w:tc>
          <w:tcPr>
            <w:tcW w:w="6645" w:type="dxa"/>
            <w:noWrap w:val="0"/>
            <w:vAlign w:val="center"/>
          </w:tcPr>
          <w:p w14:paraId="009ACC9C">
            <w:pPr>
              <w:pStyle w:val="47"/>
              <w:widowControl w:val="0"/>
              <w:spacing w:line="300" w:lineRule="exact"/>
              <w:jc w:val="both"/>
              <w:rPr>
                <w:rStyle w:val="28"/>
                <w:rFonts w:ascii="方正仿宋_GBK" w:hAnsi="Times New Roman" w:eastAsia="方正仿宋_GBK" w:cs="Times New Roman"/>
                <w:color w:val="auto"/>
                <w:kern w:val="2"/>
                <w:sz w:val="21"/>
                <w:szCs w:val="21"/>
                <w:highlight w:val="none"/>
                <w:lang w:val="en-US" w:eastAsia="zh-CN" w:bidi="ar-SA"/>
              </w:rPr>
            </w:pPr>
            <w:r>
              <w:rPr>
                <w:rStyle w:val="28"/>
                <w:rFonts w:ascii="方正仿宋_GBK" w:hAnsi="Times New Roman" w:eastAsia="方正仿宋_GBK" w:cs="方正仿宋_GBK"/>
                <w:color w:val="auto"/>
                <w:kern w:val="2"/>
                <w:sz w:val="21"/>
                <w:szCs w:val="21"/>
                <w:highlight w:val="none"/>
                <w:lang w:val="en-US" w:eastAsia="zh-CN" w:bidi="ar-SA"/>
              </w:rPr>
              <w:t xml:space="preserve">1. </w:t>
            </w:r>
            <w:r>
              <w:rPr>
                <w:rStyle w:val="28"/>
                <w:rFonts w:hint="eastAsia" w:ascii="方正仿宋_GBK" w:hAnsi="Times New Roman" w:eastAsia="方正仿宋_GBK" w:cs="方正仿宋_GBK"/>
                <w:color w:val="auto"/>
                <w:kern w:val="2"/>
                <w:sz w:val="21"/>
                <w:szCs w:val="21"/>
                <w:highlight w:val="none"/>
                <w:lang w:val="en-US" w:eastAsia="zh-CN" w:bidi="ar-SA"/>
              </w:rPr>
              <w:t>按三级配电要求，配备总配电箱、分配电箱、开关箱三类（铁质）标准电箱，开关箱应符合“一机、一箱、一闸、一漏”，三类电箱中的各类电器应是合格品。</w:t>
            </w:r>
          </w:p>
          <w:p w14:paraId="28CCF278">
            <w:pPr>
              <w:pStyle w:val="47"/>
              <w:widowControl w:val="0"/>
              <w:spacing w:line="300" w:lineRule="exact"/>
              <w:jc w:val="both"/>
              <w:rPr>
                <w:rStyle w:val="28"/>
                <w:rFonts w:ascii="方正仿宋_GBK" w:hAnsi="Times New Roman" w:eastAsia="方正仿宋_GBK" w:cs="Times New Roman"/>
                <w:color w:val="auto"/>
                <w:kern w:val="2"/>
                <w:sz w:val="21"/>
                <w:szCs w:val="21"/>
                <w:highlight w:val="none"/>
                <w:lang w:val="en-US" w:eastAsia="zh-CN" w:bidi="ar-SA"/>
              </w:rPr>
            </w:pPr>
            <w:r>
              <w:rPr>
                <w:rStyle w:val="28"/>
                <w:rFonts w:ascii="方正仿宋_GBK" w:hAnsi="Times New Roman" w:eastAsia="方正仿宋_GBK" w:cs="方正仿宋_GBK"/>
                <w:color w:val="auto"/>
                <w:kern w:val="2"/>
                <w:sz w:val="21"/>
                <w:szCs w:val="21"/>
                <w:highlight w:val="none"/>
                <w:lang w:val="en-US" w:eastAsia="zh-CN" w:bidi="ar-SA"/>
              </w:rPr>
              <w:t xml:space="preserve">2. </w:t>
            </w:r>
            <w:r>
              <w:rPr>
                <w:rStyle w:val="28"/>
                <w:rFonts w:hint="eastAsia" w:ascii="方正仿宋_GBK" w:hAnsi="Times New Roman" w:eastAsia="方正仿宋_GBK" w:cs="方正仿宋_GBK"/>
                <w:color w:val="auto"/>
                <w:kern w:val="2"/>
                <w:sz w:val="21"/>
                <w:szCs w:val="21"/>
                <w:highlight w:val="none"/>
                <w:lang w:val="en-US" w:eastAsia="zh-CN" w:bidi="ar-SA"/>
              </w:rPr>
              <w:t>按两级保护的要求，选取符合容量要求和质量合格的总配电箱和开关箱中的漏电保护器。</w:t>
            </w:r>
          </w:p>
          <w:p w14:paraId="1DD6EB1E">
            <w:pPr>
              <w:pStyle w:val="47"/>
              <w:widowControl w:val="0"/>
              <w:spacing w:line="300" w:lineRule="exact"/>
              <w:jc w:val="both"/>
              <w:rPr>
                <w:rStyle w:val="28"/>
                <w:rFonts w:ascii="方正仿宋_GBK" w:hAnsi="Times New Roman" w:eastAsia="方正仿宋_GBK" w:cs="Times New Roman"/>
                <w:color w:val="auto"/>
                <w:kern w:val="2"/>
                <w:sz w:val="21"/>
                <w:szCs w:val="21"/>
                <w:highlight w:val="none"/>
                <w:lang w:val="en-US" w:eastAsia="zh-CN" w:bidi="ar-SA"/>
              </w:rPr>
            </w:pPr>
            <w:r>
              <w:rPr>
                <w:rStyle w:val="28"/>
                <w:rFonts w:ascii="方正仿宋_GBK" w:hAnsi="Times New Roman" w:eastAsia="方正仿宋_GBK" w:cs="方正仿宋_GBK"/>
                <w:color w:val="auto"/>
                <w:kern w:val="2"/>
                <w:sz w:val="21"/>
                <w:szCs w:val="21"/>
                <w:highlight w:val="none"/>
                <w:lang w:val="en-US" w:eastAsia="zh-CN" w:bidi="ar-SA"/>
              </w:rPr>
              <w:t xml:space="preserve">3. </w:t>
            </w:r>
            <w:r>
              <w:rPr>
                <w:rStyle w:val="28"/>
                <w:rFonts w:hint="eastAsia" w:ascii="方正仿宋_GBK" w:hAnsi="Times New Roman" w:eastAsia="方正仿宋_GBK" w:cs="方正仿宋_GBK"/>
                <w:color w:val="auto"/>
                <w:kern w:val="2"/>
                <w:sz w:val="21"/>
                <w:szCs w:val="21"/>
                <w:highlight w:val="none"/>
                <w:lang w:val="en-US" w:eastAsia="zh-CN" w:bidi="ar-SA"/>
              </w:rPr>
              <w:t>对大型、落地式分配电箱、开关箱设置防护棚和通透式围挡。</w:t>
            </w:r>
          </w:p>
        </w:tc>
      </w:tr>
      <w:tr w14:paraId="7F052A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75" w:hRule="atLeast"/>
          <w:jc w:val="center"/>
        </w:trPr>
        <w:tc>
          <w:tcPr>
            <w:tcW w:w="738" w:type="dxa"/>
            <w:vMerge w:val="continue"/>
            <w:noWrap w:val="0"/>
            <w:vAlign w:val="center"/>
          </w:tcPr>
          <w:p w14:paraId="68746B68">
            <w:pPr>
              <w:pStyle w:val="47"/>
              <w:widowControl w:val="0"/>
              <w:spacing w:line="300" w:lineRule="exact"/>
              <w:jc w:val="center"/>
              <w:rPr>
                <w:rStyle w:val="28"/>
                <w:rFonts w:ascii="方正仿宋_GBK" w:hAnsi="Times New Roman" w:eastAsia="方正仿宋_GBK" w:cs="Times New Roman"/>
                <w:color w:val="auto"/>
                <w:kern w:val="2"/>
                <w:sz w:val="21"/>
                <w:szCs w:val="21"/>
                <w:highlight w:val="none"/>
                <w:lang w:val="en-US" w:eastAsia="zh-CN" w:bidi="ar-SA"/>
              </w:rPr>
            </w:pPr>
          </w:p>
        </w:tc>
        <w:tc>
          <w:tcPr>
            <w:tcW w:w="525" w:type="dxa"/>
            <w:vMerge w:val="continue"/>
            <w:noWrap w:val="0"/>
            <w:vAlign w:val="center"/>
          </w:tcPr>
          <w:p w14:paraId="10D66B14">
            <w:pPr>
              <w:pStyle w:val="47"/>
              <w:widowControl w:val="0"/>
              <w:spacing w:line="300" w:lineRule="exact"/>
              <w:jc w:val="center"/>
              <w:rPr>
                <w:rStyle w:val="28"/>
                <w:rFonts w:ascii="方正仿宋_GBK" w:hAnsi="Times New Roman" w:eastAsia="方正仿宋_GBK" w:cs="Times New Roman"/>
                <w:color w:val="auto"/>
                <w:kern w:val="2"/>
                <w:sz w:val="21"/>
                <w:szCs w:val="21"/>
                <w:highlight w:val="none"/>
                <w:lang w:val="en-US" w:eastAsia="zh-CN" w:bidi="ar-SA"/>
              </w:rPr>
            </w:pPr>
          </w:p>
        </w:tc>
        <w:tc>
          <w:tcPr>
            <w:tcW w:w="1545" w:type="dxa"/>
            <w:noWrap w:val="0"/>
            <w:vAlign w:val="center"/>
          </w:tcPr>
          <w:p w14:paraId="49C85C28">
            <w:pPr>
              <w:pStyle w:val="47"/>
              <w:widowControl w:val="0"/>
              <w:spacing w:line="300" w:lineRule="exact"/>
              <w:jc w:val="center"/>
              <w:rPr>
                <w:rStyle w:val="28"/>
                <w:rFonts w:ascii="方正仿宋_GBK" w:hAnsi="Times New Roman" w:eastAsia="方正仿宋_GBK" w:cs="Times New Roman"/>
                <w:color w:val="auto"/>
                <w:kern w:val="2"/>
                <w:sz w:val="21"/>
                <w:szCs w:val="21"/>
                <w:highlight w:val="none"/>
                <w:lang w:val="en-US" w:eastAsia="zh-CN" w:bidi="ar-SA"/>
              </w:rPr>
            </w:pPr>
            <w:r>
              <w:rPr>
                <w:rStyle w:val="28"/>
                <w:rFonts w:hint="eastAsia" w:ascii="方正仿宋_GBK" w:hAnsi="Times New Roman" w:eastAsia="方正仿宋_GBK" w:cs="方正仿宋_GBK"/>
                <w:color w:val="auto"/>
                <w:kern w:val="2"/>
                <w:sz w:val="21"/>
                <w:szCs w:val="21"/>
                <w:highlight w:val="none"/>
                <w:lang w:val="en-US" w:eastAsia="zh-CN" w:bidi="ar-SA"/>
              </w:rPr>
              <w:t>接地装置</w:t>
            </w:r>
          </w:p>
        </w:tc>
        <w:tc>
          <w:tcPr>
            <w:tcW w:w="6645" w:type="dxa"/>
            <w:noWrap w:val="0"/>
            <w:vAlign w:val="center"/>
          </w:tcPr>
          <w:p w14:paraId="57964070">
            <w:pPr>
              <w:pStyle w:val="47"/>
              <w:widowControl w:val="0"/>
              <w:spacing w:line="300" w:lineRule="exact"/>
              <w:jc w:val="both"/>
              <w:rPr>
                <w:rStyle w:val="28"/>
                <w:rFonts w:ascii="方正仿宋_GBK" w:hAnsi="Times New Roman" w:eastAsia="方正仿宋_GBK" w:cs="Times New Roman"/>
                <w:color w:val="auto"/>
                <w:kern w:val="2"/>
                <w:sz w:val="21"/>
                <w:szCs w:val="21"/>
                <w:highlight w:val="none"/>
                <w:lang w:val="en-US" w:eastAsia="zh-CN" w:bidi="ar-SA"/>
              </w:rPr>
            </w:pPr>
            <w:r>
              <w:rPr>
                <w:rStyle w:val="28"/>
                <w:rFonts w:hint="eastAsia" w:ascii="方正仿宋_GBK" w:hAnsi="Times New Roman" w:eastAsia="方正仿宋_GBK" w:cs="方正仿宋_GBK"/>
                <w:color w:val="auto"/>
                <w:kern w:val="2"/>
                <w:sz w:val="21"/>
                <w:szCs w:val="21"/>
                <w:highlight w:val="none"/>
                <w:lang w:val="en-US" w:eastAsia="zh-CN" w:bidi="ar-SA"/>
              </w:rPr>
              <w:t>施工现场应设置不少于三处的重复接地装置。</w:t>
            </w:r>
          </w:p>
        </w:tc>
      </w:tr>
      <w:tr w14:paraId="688A80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16" w:hRule="atLeast"/>
          <w:jc w:val="center"/>
        </w:trPr>
        <w:tc>
          <w:tcPr>
            <w:tcW w:w="738" w:type="dxa"/>
            <w:vMerge w:val="continue"/>
            <w:noWrap w:val="0"/>
            <w:vAlign w:val="center"/>
          </w:tcPr>
          <w:p w14:paraId="6E8DCB61">
            <w:pPr>
              <w:pStyle w:val="47"/>
              <w:widowControl w:val="0"/>
              <w:spacing w:line="300" w:lineRule="exact"/>
              <w:jc w:val="center"/>
              <w:rPr>
                <w:rStyle w:val="28"/>
                <w:rFonts w:ascii="方正仿宋_GBK" w:hAnsi="Times New Roman" w:eastAsia="方正仿宋_GBK" w:cs="Times New Roman"/>
                <w:color w:val="auto"/>
                <w:kern w:val="2"/>
                <w:sz w:val="21"/>
                <w:szCs w:val="21"/>
                <w:highlight w:val="none"/>
                <w:lang w:val="en-US" w:eastAsia="zh-CN" w:bidi="ar-SA"/>
              </w:rPr>
            </w:pPr>
          </w:p>
        </w:tc>
        <w:tc>
          <w:tcPr>
            <w:tcW w:w="525" w:type="dxa"/>
            <w:vMerge w:val="continue"/>
            <w:noWrap w:val="0"/>
            <w:vAlign w:val="center"/>
          </w:tcPr>
          <w:p w14:paraId="1E5A79A3">
            <w:pPr>
              <w:pStyle w:val="47"/>
              <w:widowControl w:val="0"/>
              <w:spacing w:line="300" w:lineRule="exact"/>
              <w:jc w:val="center"/>
              <w:rPr>
                <w:rStyle w:val="28"/>
                <w:rFonts w:ascii="方正仿宋_GBK" w:hAnsi="Times New Roman" w:eastAsia="方正仿宋_GBK" w:cs="Times New Roman"/>
                <w:color w:val="auto"/>
                <w:kern w:val="2"/>
                <w:sz w:val="21"/>
                <w:szCs w:val="21"/>
                <w:highlight w:val="none"/>
                <w:lang w:val="en-US" w:eastAsia="zh-CN" w:bidi="ar-SA"/>
              </w:rPr>
            </w:pPr>
          </w:p>
        </w:tc>
        <w:tc>
          <w:tcPr>
            <w:tcW w:w="1545" w:type="dxa"/>
            <w:noWrap w:val="0"/>
            <w:vAlign w:val="center"/>
          </w:tcPr>
          <w:p w14:paraId="2806DD4A">
            <w:pPr>
              <w:pStyle w:val="47"/>
              <w:widowControl w:val="0"/>
              <w:spacing w:line="300" w:lineRule="exact"/>
              <w:jc w:val="center"/>
              <w:rPr>
                <w:rStyle w:val="28"/>
                <w:rFonts w:ascii="方正仿宋_GBK" w:hAnsi="Times New Roman" w:eastAsia="方正仿宋_GBK" w:cs="Times New Roman"/>
                <w:color w:val="auto"/>
                <w:kern w:val="2"/>
                <w:sz w:val="21"/>
                <w:szCs w:val="21"/>
                <w:highlight w:val="none"/>
                <w:lang w:val="en-US" w:eastAsia="zh-CN" w:bidi="ar-SA"/>
              </w:rPr>
            </w:pPr>
            <w:r>
              <w:rPr>
                <w:rStyle w:val="28"/>
                <w:rFonts w:hint="eastAsia" w:ascii="方正仿宋_GBK" w:hAnsi="Times New Roman" w:eastAsia="方正仿宋_GBK" w:cs="方正仿宋_GBK"/>
                <w:color w:val="auto"/>
                <w:kern w:val="2"/>
                <w:sz w:val="21"/>
                <w:szCs w:val="21"/>
                <w:highlight w:val="none"/>
                <w:lang w:val="en-US" w:eastAsia="zh-CN" w:bidi="ar-SA"/>
              </w:rPr>
              <w:t>现场变配电装置</w:t>
            </w:r>
          </w:p>
        </w:tc>
        <w:tc>
          <w:tcPr>
            <w:tcW w:w="6645" w:type="dxa"/>
            <w:noWrap w:val="0"/>
            <w:vAlign w:val="center"/>
          </w:tcPr>
          <w:p w14:paraId="1E7A7E6D">
            <w:pPr>
              <w:pStyle w:val="47"/>
              <w:widowControl w:val="0"/>
              <w:spacing w:line="300" w:lineRule="exact"/>
              <w:jc w:val="both"/>
              <w:rPr>
                <w:rStyle w:val="28"/>
                <w:rFonts w:ascii="方正仿宋_GBK" w:hAnsi="Times New Roman" w:eastAsia="方正仿宋_GBK" w:cs="Times New Roman"/>
                <w:color w:val="auto"/>
                <w:kern w:val="2"/>
                <w:sz w:val="21"/>
                <w:szCs w:val="21"/>
                <w:highlight w:val="none"/>
                <w:lang w:val="en-US" w:eastAsia="zh-CN" w:bidi="ar-SA"/>
              </w:rPr>
            </w:pPr>
            <w:r>
              <w:rPr>
                <w:rStyle w:val="28"/>
                <w:rFonts w:hint="eastAsia" w:ascii="方正仿宋_GBK" w:hAnsi="Times New Roman" w:eastAsia="方正仿宋_GBK" w:cs="方正仿宋_GBK"/>
                <w:color w:val="auto"/>
                <w:kern w:val="2"/>
                <w:sz w:val="21"/>
                <w:szCs w:val="21"/>
                <w:highlight w:val="none"/>
                <w:lang w:val="en-US" w:eastAsia="zh-CN" w:bidi="ar-SA"/>
              </w:rPr>
              <w:t>总配电房建筑材料必须达到消防防火要求，室内做硬地坪、电缆沟。</w:t>
            </w:r>
          </w:p>
        </w:tc>
      </w:tr>
      <w:tr w14:paraId="776490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738" w:type="dxa"/>
            <w:noWrap w:val="0"/>
            <w:vAlign w:val="center"/>
          </w:tcPr>
          <w:p w14:paraId="47C70AF3">
            <w:pPr>
              <w:pStyle w:val="47"/>
              <w:widowControl w:val="0"/>
              <w:spacing w:line="300" w:lineRule="exact"/>
              <w:jc w:val="center"/>
              <w:rPr>
                <w:rStyle w:val="28"/>
                <w:rFonts w:ascii="方正仿宋_GBK" w:hAnsi="Times New Roman" w:eastAsia="方正仿宋_GBK" w:cs="Times New Roman"/>
                <w:b/>
                <w:bCs/>
                <w:color w:val="auto"/>
                <w:kern w:val="2"/>
                <w:sz w:val="21"/>
                <w:szCs w:val="21"/>
                <w:highlight w:val="none"/>
                <w:lang w:val="en-US" w:eastAsia="zh-CN" w:bidi="ar-SA"/>
              </w:rPr>
            </w:pPr>
            <w:r>
              <w:rPr>
                <w:rStyle w:val="28"/>
                <w:rFonts w:hint="eastAsia" w:ascii="方正仿宋_GBK" w:hAnsi="Times New Roman" w:eastAsia="方正仿宋_GBK" w:cs="方正仿宋_GBK"/>
                <w:b/>
                <w:bCs/>
                <w:color w:val="auto"/>
                <w:kern w:val="2"/>
                <w:sz w:val="21"/>
                <w:szCs w:val="21"/>
                <w:highlight w:val="none"/>
                <w:lang w:val="en-US" w:eastAsia="zh-CN" w:bidi="ar-SA"/>
              </w:rPr>
              <w:t>类别</w:t>
            </w:r>
          </w:p>
        </w:tc>
        <w:tc>
          <w:tcPr>
            <w:tcW w:w="2070" w:type="dxa"/>
            <w:gridSpan w:val="2"/>
            <w:noWrap w:val="0"/>
            <w:vAlign w:val="center"/>
          </w:tcPr>
          <w:p w14:paraId="3CFCFB90">
            <w:pPr>
              <w:pStyle w:val="47"/>
              <w:widowControl w:val="0"/>
              <w:spacing w:line="300" w:lineRule="exact"/>
              <w:jc w:val="center"/>
              <w:rPr>
                <w:rStyle w:val="28"/>
                <w:rFonts w:ascii="方正仿宋_GBK" w:hAnsi="Times New Roman" w:eastAsia="方正仿宋_GBK" w:cs="Times New Roman"/>
                <w:b/>
                <w:bCs/>
                <w:color w:val="auto"/>
                <w:kern w:val="2"/>
                <w:sz w:val="21"/>
                <w:szCs w:val="21"/>
                <w:highlight w:val="none"/>
                <w:lang w:val="en-US" w:eastAsia="zh-CN" w:bidi="ar-SA"/>
              </w:rPr>
            </w:pPr>
            <w:r>
              <w:rPr>
                <w:rStyle w:val="28"/>
                <w:rFonts w:hint="eastAsia" w:ascii="方正仿宋_GBK" w:hAnsi="Times New Roman" w:eastAsia="方正仿宋_GBK" w:cs="方正仿宋_GBK"/>
                <w:b/>
                <w:bCs/>
                <w:color w:val="auto"/>
                <w:kern w:val="2"/>
                <w:sz w:val="21"/>
                <w:szCs w:val="21"/>
                <w:highlight w:val="none"/>
                <w:lang w:val="en-US" w:eastAsia="zh-CN" w:bidi="ar-SA"/>
              </w:rPr>
              <w:t>项目名称</w:t>
            </w:r>
          </w:p>
        </w:tc>
        <w:tc>
          <w:tcPr>
            <w:tcW w:w="6645" w:type="dxa"/>
            <w:noWrap w:val="0"/>
            <w:vAlign w:val="center"/>
          </w:tcPr>
          <w:p w14:paraId="1816D047">
            <w:pPr>
              <w:pStyle w:val="47"/>
              <w:widowControl w:val="0"/>
              <w:spacing w:line="300" w:lineRule="exact"/>
              <w:jc w:val="center"/>
              <w:rPr>
                <w:rStyle w:val="28"/>
                <w:rFonts w:ascii="方正仿宋_GBK" w:hAnsi="Times New Roman" w:eastAsia="方正仿宋_GBK" w:cs="Times New Roman"/>
                <w:b/>
                <w:bCs/>
                <w:color w:val="auto"/>
                <w:kern w:val="2"/>
                <w:sz w:val="21"/>
                <w:szCs w:val="21"/>
                <w:highlight w:val="none"/>
                <w:lang w:val="en-US" w:eastAsia="zh-CN" w:bidi="ar-SA"/>
              </w:rPr>
            </w:pPr>
            <w:r>
              <w:rPr>
                <w:rStyle w:val="28"/>
                <w:rFonts w:hint="eastAsia" w:ascii="方正仿宋_GBK" w:hAnsi="Times New Roman" w:eastAsia="方正仿宋_GBK" w:cs="方正仿宋_GBK"/>
                <w:b/>
                <w:bCs/>
                <w:color w:val="auto"/>
                <w:kern w:val="2"/>
                <w:sz w:val="21"/>
                <w:szCs w:val="21"/>
                <w:highlight w:val="none"/>
                <w:lang w:val="en-US" w:eastAsia="zh-CN" w:bidi="ar-SA"/>
              </w:rPr>
              <w:t>主要内容和要求</w:t>
            </w:r>
          </w:p>
        </w:tc>
      </w:tr>
      <w:tr w14:paraId="73BB7E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restart"/>
            <w:noWrap w:val="0"/>
            <w:vAlign w:val="center"/>
          </w:tcPr>
          <w:p w14:paraId="0826DDC4">
            <w:pPr>
              <w:pStyle w:val="47"/>
              <w:widowControl w:val="0"/>
              <w:spacing w:line="300" w:lineRule="exact"/>
              <w:jc w:val="center"/>
              <w:rPr>
                <w:rStyle w:val="28"/>
                <w:rFonts w:ascii="方正仿宋_GBK" w:hAnsi="Times New Roman" w:eastAsia="方正仿宋_GBK" w:cs="Times New Roman"/>
                <w:color w:val="auto"/>
                <w:kern w:val="2"/>
                <w:sz w:val="21"/>
                <w:szCs w:val="21"/>
                <w:highlight w:val="none"/>
                <w:lang w:val="en-US" w:eastAsia="zh-CN" w:bidi="ar-SA"/>
              </w:rPr>
            </w:pPr>
            <w:r>
              <w:rPr>
                <w:rStyle w:val="28"/>
                <w:rFonts w:hint="eastAsia" w:ascii="方正仿宋_GBK" w:hAnsi="Times New Roman" w:eastAsia="方正仿宋_GBK" w:cs="方正仿宋_GBK"/>
                <w:color w:val="auto"/>
                <w:kern w:val="2"/>
                <w:sz w:val="21"/>
                <w:szCs w:val="21"/>
                <w:highlight w:val="none"/>
                <w:lang w:val="en-US" w:eastAsia="zh-CN" w:bidi="ar-SA"/>
              </w:rPr>
              <w:t>安全施工</w:t>
            </w:r>
          </w:p>
        </w:tc>
        <w:tc>
          <w:tcPr>
            <w:tcW w:w="525" w:type="dxa"/>
            <w:vMerge w:val="restart"/>
            <w:noWrap w:val="0"/>
            <w:vAlign w:val="center"/>
          </w:tcPr>
          <w:p w14:paraId="0CDC883B">
            <w:pPr>
              <w:pStyle w:val="47"/>
              <w:widowControl w:val="0"/>
              <w:spacing w:line="300" w:lineRule="exact"/>
              <w:jc w:val="center"/>
              <w:rPr>
                <w:rStyle w:val="28"/>
                <w:rFonts w:ascii="方正仿宋_GBK" w:hAnsi="Times New Roman" w:eastAsia="方正仿宋_GBK" w:cs="Times New Roman"/>
                <w:color w:val="auto"/>
                <w:kern w:val="2"/>
                <w:sz w:val="21"/>
                <w:szCs w:val="21"/>
                <w:highlight w:val="none"/>
                <w:lang w:val="en-US" w:eastAsia="zh-CN" w:bidi="ar-SA"/>
              </w:rPr>
            </w:pPr>
            <w:r>
              <w:rPr>
                <w:rStyle w:val="28"/>
                <w:rFonts w:hint="eastAsia" w:ascii="方正仿宋_GBK" w:hAnsi="Times New Roman" w:eastAsia="方正仿宋_GBK" w:cs="方正仿宋_GBK"/>
                <w:color w:val="auto"/>
                <w:kern w:val="2"/>
                <w:sz w:val="21"/>
                <w:szCs w:val="21"/>
                <w:highlight w:val="none"/>
                <w:lang w:val="en-US" w:eastAsia="zh-CN" w:bidi="ar-SA"/>
              </w:rPr>
              <w:t>高处作业防护</w:t>
            </w:r>
          </w:p>
        </w:tc>
        <w:tc>
          <w:tcPr>
            <w:tcW w:w="1545" w:type="dxa"/>
            <w:noWrap w:val="0"/>
            <w:vAlign w:val="center"/>
          </w:tcPr>
          <w:p w14:paraId="1C14DD74">
            <w:pPr>
              <w:pStyle w:val="47"/>
              <w:widowControl w:val="0"/>
              <w:spacing w:line="300" w:lineRule="exact"/>
              <w:jc w:val="both"/>
              <w:rPr>
                <w:rStyle w:val="28"/>
                <w:rFonts w:ascii="方正仿宋_GBK" w:hAnsi="Times New Roman" w:eastAsia="方正仿宋_GBK" w:cs="Times New Roman"/>
                <w:color w:val="auto"/>
                <w:kern w:val="2"/>
                <w:sz w:val="21"/>
                <w:szCs w:val="21"/>
                <w:highlight w:val="none"/>
                <w:lang w:val="en-US" w:eastAsia="zh-CN" w:bidi="ar-SA"/>
              </w:rPr>
            </w:pPr>
            <w:r>
              <w:rPr>
                <w:rStyle w:val="28"/>
                <w:rFonts w:hint="eastAsia" w:ascii="方正仿宋_GBK" w:hAnsi="Times New Roman" w:eastAsia="方正仿宋_GBK" w:cs="方正仿宋_GBK"/>
                <w:color w:val="auto"/>
                <w:kern w:val="2"/>
                <w:sz w:val="21"/>
                <w:szCs w:val="21"/>
                <w:highlight w:val="none"/>
                <w:lang w:val="en-US" w:eastAsia="zh-CN" w:bidi="ar-SA"/>
              </w:rPr>
              <w:t>楼层、屋面、阳台等临边</w:t>
            </w:r>
          </w:p>
        </w:tc>
        <w:tc>
          <w:tcPr>
            <w:tcW w:w="6645" w:type="dxa"/>
            <w:noWrap w:val="0"/>
            <w:vAlign w:val="center"/>
          </w:tcPr>
          <w:p w14:paraId="161F5AF4">
            <w:pPr>
              <w:pStyle w:val="47"/>
              <w:widowControl w:val="0"/>
              <w:spacing w:line="300" w:lineRule="exact"/>
              <w:jc w:val="both"/>
              <w:rPr>
                <w:rStyle w:val="28"/>
                <w:rFonts w:ascii="方正仿宋_GBK" w:hAnsi="Times New Roman" w:eastAsia="方正仿宋_GBK" w:cs="Times New Roman"/>
                <w:color w:val="auto"/>
                <w:kern w:val="2"/>
                <w:sz w:val="21"/>
                <w:szCs w:val="21"/>
                <w:highlight w:val="none"/>
                <w:lang w:val="en-US" w:eastAsia="zh-CN" w:bidi="ar-SA"/>
              </w:rPr>
            </w:pPr>
            <w:r>
              <w:rPr>
                <w:rStyle w:val="28"/>
                <w:rFonts w:hint="eastAsia" w:ascii="方正仿宋_GBK" w:hAnsi="Times New Roman" w:eastAsia="方正仿宋_GBK" w:cs="方正仿宋_GBK"/>
                <w:color w:val="auto"/>
                <w:kern w:val="2"/>
                <w:sz w:val="21"/>
                <w:szCs w:val="21"/>
                <w:highlight w:val="none"/>
                <w:lang w:val="en-US" w:eastAsia="zh-CN" w:bidi="ar-SA"/>
              </w:rPr>
              <w:t>设两道防护栏杆和</w:t>
            </w:r>
            <w:r>
              <w:rPr>
                <w:rStyle w:val="28"/>
                <w:rFonts w:ascii="方正仿宋_GBK" w:hAnsi="Times New Roman" w:eastAsia="方正仿宋_GBK" w:cs="方正仿宋_GBK"/>
                <w:color w:val="auto"/>
                <w:kern w:val="2"/>
                <w:sz w:val="21"/>
                <w:szCs w:val="21"/>
                <w:highlight w:val="none"/>
                <w:lang w:val="en-US" w:eastAsia="zh-CN" w:bidi="ar-SA"/>
              </w:rPr>
              <w:t>18cm</w:t>
            </w:r>
            <w:r>
              <w:rPr>
                <w:rStyle w:val="28"/>
                <w:rFonts w:hint="eastAsia" w:ascii="方正仿宋_GBK" w:hAnsi="Times New Roman" w:eastAsia="方正仿宋_GBK" w:cs="方正仿宋_GBK"/>
                <w:color w:val="auto"/>
                <w:kern w:val="2"/>
                <w:sz w:val="21"/>
                <w:szCs w:val="21"/>
                <w:highlight w:val="none"/>
                <w:lang w:val="en-US" w:eastAsia="zh-CN" w:bidi="ar-SA"/>
              </w:rPr>
              <w:t>高的踢脚板，用密目式安全立网全封闭。</w:t>
            </w:r>
          </w:p>
        </w:tc>
      </w:tr>
      <w:tr w14:paraId="5D5959B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noWrap w:val="0"/>
            <w:vAlign w:val="center"/>
          </w:tcPr>
          <w:p w14:paraId="1BB6B767">
            <w:pPr>
              <w:pStyle w:val="47"/>
              <w:widowControl w:val="0"/>
              <w:spacing w:line="300" w:lineRule="exact"/>
              <w:jc w:val="center"/>
              <w:rPr>
                <w:rStyle w:val="28"/>
                <w:rFonts w:ascii="方正仿宋_GBK" w:hAnsi="Times New Roman" w:eastAsia="方正仿宋_GBK" w:cs="Times New Roman"/>
                <w:color w:val="auto"/>
                <w:kern w:val="2"/>
                <w:sz w:val="21"/>
                <w:szCs w:val="21"/>
                <w:highlight w:val="none"/>
                <w:lang w:val="en-US" w:eastAsia="zh-CN" w:bidi="ar-SA"/>
              </w:rPr>
            </w:pPr>
          </w:p>
        </w:tc>
        <w:tc>
          <w:tcPr>
            <w:tcW w:w="525" w:type="dxa"/>
            <w:vMerge w:val="continue"/>
            <w:noWrap w:val="0"/>
            <w:vAlign w:val="center"/>
          </w:tcPr>
          <w:p w14:paraId="3BD4DEF5">
            <w:pPr>
              <w:pStyle w:val="47"/>
              <w:widowControl w:val="0"/>
              <w:spacing w:line="300" w:lineRule="exact"/>
              <w:jc w:val="center"/>
              <w:rPr>
                <w:rStyle w:val="28"/>
                <w:rFonts w:ascii="方正仿宋_GBK" w:hAnsi="Times New Roman" w:eastAsia="方正仿宋_GBK" w:cs="Times New Roman"/>
                <w:color w:val="auto"/>
                <w:kern w:val="2"/>
                <w:sz w:val="21"/>
                <w:szCs w:val="21"/>
                <w:highlight w:val="none"/>
                <w:lang w:val="en-US" w:eastAsia="zh-CN" w:bidi="ar-SA"/>
              </w:rPr>
            </w:pPr>
          </w:p>
        </w:tc>
        <w:tc>
          <w:tcPr>
            <w:tcW w:w="1545" w:type="dxa"/>
            <w:noWrap w:val="0"/>
            <w:vAlign w:val="center"/>
          </w:tcPr>
          <w:p w14:paraId="437DA4A8">
            <w:pPr>
              <w:pStyle w:val="47"/>
              <w:widowControl w:val="0"/>
              <w:spacing w:line="300" w:lineRule="exact"/>
              <w:jc w:val="both"/>
              <w:rPr>
                <w:rStyle w:val="28"/>
                <w:rFonts w:ascii="方正仿宋_GBK" w:hAnsi="Times New Roman" w:eastAsia="方正仿宋_GBK" w:cs="Times New Roman"/>
                <w:color w:val="auto"/>
                <w:kern w:val="2"/>
                <w:sz w:val="21"/>
                <w:szCs w:val="21"/>
                <w:highlight w:val="none"/>
                <w:lang w:val="en-US" w:eastAsia="zh-CN" w:bidi="ar-SA"/>
              </w:rPr>
            </w:pPr>
            <w:r>
              <w:rPr>
                <w:rStyle w:val="28"/>
                <w:rFonts w:hint="eastAsia" w:ascii="方正仿宋_GBK" w:hAnsi="Times New Roman" w:eastAsia="方正仿宋_GBK" w:cs="方正仿宋_GBK"/>
                <w:color w:val="auto"/>
                <w:kern w:val="2"/>
                <w:sz w:val="21"/>
                <w:szCs w:val="21"/>
                <w:highlight w:val="none"/>
                <w:lang w:val="en-US" w:eastAsia="zh-CN" w:bidi="ar-SA"/>
              </w:rPr>
              <w:t>通道口</w:t>
            </w:r>
          </w:p>
        </w:tc>
        <w:tc>
          <w:tcPr>
            <w:tcW w:w="6645" w:type="dxa"/>
            <w:noWrap w:val="0"/>
            <w:vAlign w:val="center"/>
          </w:tcPr>
          <w:p w14:paraId="4673C3F5">
            <w:pPr>
              <w:pStyle w:val="47"/>
              <w:widowControl w:val="0"/>
              <w:spacing w:line="300" w:lineRule="exact"/>
              <w:jc w:val="both"/>
              <w:rPr>
                <w:rStyle w:val="28"/>
                <w:rFonts w:ascii="方正仿宋_GBK" w:hAnsi="Times New Roman" w:eastAsia="方正仿宋_GBK" w:cs="Times New Roman"/>
                <w:color w:val="auto"/>
                <w:kern w:val="2"/>
                <w:sz w:val="21"/>
                <w:szCs w:val="21"/>
                <w:highlight w:val="none"/>
                <w:lang w:val="en-US" w:eastAsia="zh-CN" w:bidi="ar-SA"/>
              </w:rPr>
            </w:pPr>
            <w:r>
              <w:rPr>
                <w:rStyle w:val="28"/>
                <w:rFonts w:hint="eastAsia" w:ascii="方正仿宋_GBK" w:hAnsi="Times New Roman" w:eastAsia="方正仿宋_GBK" w:cs="方正仿宋_GBK"/>
                <w:color w:val="auto"/>
                <w:kern w:val="2"/>
                <w:sz w:val="21"/>
                <w:szCs w:val="21"/>
                <w:highlight w:val="none"/>
                <w:lang w:val="en-US" w:eastAsia="zh-CN" w:bidi="ar-SA"/>
              </w:rPr>
              <w:t>设防护棚，防护棚应为不小于</w:t>
            </w:r>
            <w:r>
              <w:rPr>
                <w:rStyle w:val="28"/>
                <w:rFonts w:ascii="方正仿宋_GBK" w:hAnsi="Times New Roman" w:eastAsia="方正仿宋_GBK" w:cs="方正仿宋_GBK"/>
                <w:color w:val="auto"/>
                <w:kern w:val="2"/>
                <w:sz w:val="21"/>
                <w:szCs w:val="21"/>
                <w:highlight w:val="none"/>
                <w:lang w:val="en-US" w:eastAsia="zh-CN" w:bidi="ar-SA"/>
              </w:rPr>
              <w:t>5cm</w:t>
            </w:r>
            <w:r>
              <w:rPr>
                <w:rStyle w:val="28"/>
                <w:rFonts w:hint="eastAsia" w:ascii="方正仿宋_GBK" w:hAnsi="Times New Roman" w:eastAsia="方正仿宋_GBK" w:cs="方正仿宋_GBK"/>
                <w:color w:val="auto"/>
                <w:kern w:val="2"/>
                <w:sz w:val="21"/>
                <w:szCs w:val="21"/>
                <w:highlight w:val="none"/>
                <w:lang w:val="en-US" w:eastAsia="zh-CN" w:bidi="ar-SA"/>
              </w:rPr>
              <w:t>厚的木板或两道相距</w:t>
            </w:r>
            <w:r>
              <w:rPr>
                <w:rStyle w:val="28"/>
                <w:rFonts w:ascii="方正仿宋_GBK" w:hAnsi="Times New Roman" w:eastAsia="方正仿宋_GBK" w:cs="方正仿宋_GBK"/>
                <w:color w:val="auto"/>
                <w:kern w:val="2"/>
                <w:sz w:val="21"/>
                <w:szCs w:val="21"/>
                <w:highlight w:val="none"/>
                <w:lang w:val="en-US" w:eastAsia="zh-CN" w:bidi="ar-SA"/>
              </w:rPr>
              <w:t>50cm</w:t>
            </w:r>
            <w:r>
              <w:rPr>
                <w:rStyle w:val="28"/>
                <w:rFonts w:hint="eastAsia" w:ascii="方正仿宋_GBK" w:hAnsi="Times New Roman" w:eastAsia="方正仿宋_GBK" w:cs="方正仿宋_GBK"/>
                <w:color w:val="auto"/>
                <w:kern w:val="2"/>
                <w:sz w:val="21"/>
                <w:szCs w:val="21"/>
                <w:highlight w:val="none"/>
                <w:lang w:val="en-US" w:eastAsia="zh-CN" w:bidi="ar-SA"/>
              </w:rPr>
              <w:t>的竹笆。两侧应沿栏杆架用密目式安全网封闭。</w:t>
            </w:r>
          </w:p>
        </w:tc>
      </w:tr>
      <w:tr w14:paraId="1BF651B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noWrap w:val="0"/>
            <w:vAlign w:val="center"/>
          </w:tcPr>
          <w:p w14:paraId="3AE4A9B6">
            <w:pPr>
              <w:pStyle w:val="47"/>
              <w:widowControl w:val="0"/>
              <w:spacing w:line="300" w:lineRule="exact"/>
              <w:jc w:val="center"/>
              <w:rPr>
                <w:rStyle w:val="28"/>
                <w:rFonts w:ascii="方正仿宋_GBK" w:hAnsi="Times New Roman" w:eastAsia="方正仿宋_GBK" w:cs="Times New Roman"/>
                <w:color w:val="auto"/>
                <w:kern w:val="2"/>
                <w:sz w:val="21"/>
                <w:szCs w:val="21"/>
                <w:highlight w:val="none"/>
                <w:lang w:val="en-US" w:eastAsia="zh-CN" w:bidi="ar-SA"/>
              </w:rPr>
            </w:pPr>
          </w:p>
        </w:tc>
        <w:tc>
          <w:tcPr>
            <w:tcW w:w="525" w:type="dxa"/>
            <w:vMerge w:val="continue"/>
            <w:noWrap w:val="0"/>
            <w:vAlign w:val="center"/>
          </w:tcPr>
          <w:p w14:paraId="05938C45">
            <w:pPr>
              <w:pStyle w:val="47"/>
              <w:widowControl w:val="0"/>
              <w:spacing w:line="300" w:lineRule="exact"/>
              <w:jc w:val="center"/>
              <w:rPr>
                <w:rStyle w:val="28"/>
                <w:rFonts w:ascii="方正仿宋_GBK" w:hAnsi="Times New Roman" w:eastAsia="方正仿宋_GBK" w:cs="Times New Roman"/>
                <w:color w:val="auto"/>
                <w:kern w:val="2"/>
                <w:sz w:val="21"/>
                <w:szCs w:val="21"/>
                <w:highlight w:val="none"/>
                <w:lang w:val="en-US" w:eastAsia="zh-CN" w:bidi="ar-SA"/>
              </w:rPr>
            </w:pPr>
          </w:p>
        </w:tc>
        <w:tc>
          <w:tcPr>
            <w:tcW w:w="1545" w:type="dxa"/>
            <w:noWrap w:val="0"/>
            <w:vAlign w:val="center"/>
          </w:tcPr>
          <w:p w14:paraId="5A07B0B6">
            <w:pPr>
              <w:pStyle w:val="47"/>
              <w:widowControl w:val="0"/>
              <w:spacing w:line="300" w:lineRule="exact"/>
              <w:jc w:val="both"/>
              <w:rPr>
                <w:rStyle w:val="28"/>
                <w:rFonts w:ascii="方正仿宋_GBK" w:hAnsi="Times New Roman" w:eastAsia="方正仿宋_GBK" w:cs="Times New Roman"/>
                <w:color w:val="auto"/>
                <w:kern w:val="2"/>
                <w:sz w:val="21"/>
                <w:szCs w:val="21"/>
                <w:highlight w:val="none"/>
                <w:lang w:val="en-US" w:eastAsia="zh-CN" w:bidi="ar-SA"/>
              </w:rPr>
            </w:pPr>
            <w:r>
              <w:rPr>
                <w:rStyle w:val="28"/>
                <w:rFonts w:hint="eastAsia" w:ascii="方正仿宋_GBK" w:hAnsi="Times New Roman" w:eastAsia="方正仿宋_GBK" w:cs="方正仿宋_GBK"/>
                <w:color w:val="auto"/>
                <w:kern w:val="2"/>
                <w:sz w:val="21"/>
                <w:szCs w:val="21"/>
                <w:highlight w:val="none"/>
                <w:lang w:val="en-US" w:eastAsia="zh-CN" w:bidi="ar-SA"/>
              </w:rPr>
              <w:t>预留洞口</w:t>
            </w:r>
          </w:p>
        </w:tc>
        <w:tc>
          <w:tcPr>
            <w:tcW w:w="6645" w:type="dxa"/>
            <w:noWrap w:val="0"/>
            <w:vAlign w:val="center"/>
          </w:tcPr>
          <w:p w14:paraId="1687DA96">
            <w:pPr>
              <w:pStyle w:val="47"/>
              <w:widowControl w:val="0"/>
              <w:spacing w:line="300" w:lineRule="exact"/>
              <w:jc w:val="both"/>
              <w:rPr>
                <w:rStyle w:val="28"/>
                <w:rFonts w:ascii="方正仿宋_GBK" w:hAnsi="Times New Roman" w:eastAsia="方正仿宋_GBK" w:cs="Times New Roman"/>
                <w:color w:val="auto"/>
                <w:kern w:val="2"/>
                <w:sz w:val="21"/>
                <w:szCs w:val="21"/>
                <w:highlight w:val="none"/>
                <w:lang w:val="en-US" w:eastAsia="zh-CN" w:bidi="ar-SA"/>
              </w:rPr>
            </w:pPr>
            <w:r>
              <w:rPr>
                <w:rStyle w:val="28"/>
                <w:rFonts w:hint="eastAsia" w:ascii="方正仿宋_GBK" w:hAnsi="Times New Roman" w:eastAsia="方正仿宋_GBK" w:cs="方正仿宋_GBK"/>
                <w:color w:val="auto"/>
                <w:kern w:val="2"/>
                <w:sz w:val="21"/>
                <w:szCs w:val="21"/>
                <w:highlight w:val="none"/>
                <w:lang w:val="en-US" w:eastAsia="zh-CN" w:bidi="ar-SA"/>
              </w:rPr>
              <w:t>用硬质材料全封闭，短边超过</w:t>
            </w:r>
            <w:r>
              <w:rPr>
                <w:rStyle w:val="28"/>
                <w:rFonts w:ascii="方正仿宋_GBK" w:hAnsi="Times New Roman" w:eastAsia="方正仿宋_GBK" w:cs="方正仿宋_GBK"/>
                <w:color w:val="auto"/>
                <w:kern w:val="2"/>
                <w:sz w:val="21"/>
                <w:szCs w:val="21"/>
                <w:highlight w:val="none"/>
                <w:lang w:val="en-US" w:eastAsia="zh-CN" w:bidi="ar-SA"/>
              </w:rPr>
              <w:t>1.5m</w:t>
            </w:r>
            <w:r>
              <w:rPr>
                <w:rStyle w:val="28"/>
                <w:rFonts w:hint="eastAsia" w:ascii="方正仿宋_GBK" w:hAnsi="Times New Roman" w:eastAsia="方正仿宋_GBK" w:cs="方正仿宋_GBK"/>
                <w:color w:val="auto"/>
                <w:kern w:val="2"/>
                <w:sz w:val="21"/>
                <w:szCs w:val="21"/>
                <w:highlight w:val="none"/>
                <w:lang w:val="en-US" w:eastAsia="zh-CN" w:bidi="ar-SA"/>
              </w:rPr>
              <w:t>长的洞口，除封闭外四周还应设有防护栏杆。</w:t>
            </w:r>
          </w:p>
        </w:tc>
      </w:tr>
      <w:tr w14:paraId="0BBE7BE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738" w:type="dxa"/>
            <w:vMerge w:val="continue"/>
            <w:noWrap w:val="0"/>
            <w:vAlign w:val="center"/>
          </w:tcPr>
          <w:p w14:paraId="00AE9A88">
            <w:pPr>
              <w:pStyle w:val="47"/>
              <w:widowControl w:val="0"/>
              <w:spacing w:line="300" w:lineRule="exact"/>
              <w:jc w:val="center"/>
              <w:rPr>
                <w:rStyle w:val="28"/>
                <w:rFonts w:ascii="方正仿宋_GBK" w:hAnsi="Times New Roman" w:eastAsia="方正仿宋_GBK" w:cs="Times New Roman"/>
                <w:color w:val="auto"/>
                <w:kern w:val="2"/>
                <w:sz w:val="21"/>
                <w:szCs w:val="21"/>
                <w:highlight w:val="none"/>
                <w:lang w:val="en-US" w:eastAsia="zh-CN" w:bidi="ar-SA"/>
              </w:rPr>
            </w:pPr>
          </w:p>
        </w:tc>
        <w:tc>
          <w:tcPr>
            <w:tcW w:w="525" w:type="dxa"/>
            <w:vMerge w:val="continue"/>
            <w:noWrap w:val="0"/>
            <w:vAlign w:val="center"/>
          </w:tcPr>
          <w:p w14:paraId="4FF4CB63">
            <w:pPr>
              <w:pStyle w:val="47"/>
              <w:widowControl w:val="0"/>
              <w:spacing w:line="300" w:lineRule="exact"/>
              <w:jc w:val="center"/>
              <w:rPr>
                <w:rStyle w:val="28"/>
                <w:rFonts w:ascii="方正仿宋_GBK" w:hAnsi="Times New Roman" w:eastAsia="方正仿宋_GBK" w:cs="Times New Roman"/>
                <w:color w:val="auto"/>
                <w:kern w:val="2"/>
                <w:sz w:val="21"/>
                <w:szCs w:val="21"/>
                <w:highlight w:val="none"/>
                <w:lang w:val="en-US" w:eastAsia="zh-CN" w:bidi="ar-SA"/>
              </w:rPr>
            </w:pPr>
          </w:p>
        </w:tc>
        <w:tc>
          <w:tcPr>
            <w:tcW w:w="1545" w:type="dxa"/>
            <w:noWrap w:val="0"/>
            <w:vAlign w:val="center"/>
          </w:tcPr>
          <w:p w14:paraId="7A052007">
            <w:pPr>
              <w:pStyle w:val="47"/>
              <w:widowControl w:val="0"/>
              <w:spacing w:line="300" w:lineRule="exact"/>
              <w:jc w:val="both"/>
              <w:rPr>
                <w:rStyle w:val="28"/>
                <w:rFonts w:ascii="方正仿宋_GBK" w:hAnsi="Times New Roman" w:eastAsia="方正仿宋_GBK" w:cs="Times New Roman"/>
                <w:color w:val="auto"/>
                <w:kern w:val="2"/>
                <w:sz w:val="21"/>
                <w:szCs w:val="21"/>
                <w:highlight w:val="none"/>
                <w:lang w:val="en-US" w:eastAsia="zh-CN" w:bidi="ar-SA"/>
              </w:rPr>
            </w:pPr>
            <w:r>
              <w:rPr>
                <w:rStyle w:val="28"/>
                <w:rFonts w:hint="eastAsia" w:ascii="方正仿宋_GBK" w:hAnsi="Times New Roman" w:eastAsia="方正仿宋_GBK" w:cs="方正仿宋_GBK"/>
                <w:color w:val="auto"/>
                <w:kern w:val="2"/>
                <w:sz w:val="21"/>
                <w:szCs w:val="21"/>
                <w:highlight w:val="none"/>
                <w:lang w:val="en-US" w:eastAsia="zh-CN" w:bidi="ar-SA"/>
              </w:rPr>
              <w:t>电梯井口</w:t>
            </w:r>
          </w:p>
        </w:tc>
        <w:tc>
          <w:tcPr>
            <w:tcW w:w="6645" w:type="dxa"/>
            <w:noWrap w:val="0"/>
            <w:vAlign w:val="center"/>
          </w:tcPr>
          <w:p w14:paraId="51B8B7BE">
            <w:pPr>
              <w:pStyle w:val="47"/>
              <w:widowControl w:val="0"/>
              <w:spacing w:line="300" w:lineRule="exact"/>
              <w:jc w:val="both"/>
              <w:rPr>
                <w:rStyle w:val="28"/>
                <w:rFonts w:ascii="方正仿宋_GBK" w:hAnsi="Times New Roman" w:eastAsia="方正仿宋_GBK" w:cs="Times New Roman"/>
                <w:color w:val="auto"/>
                <w:kern w:val="2"/>
                <w:sz w:val="21"/>
                <w:szCs w:val="21"/>
                <w:highlight w:val="none"/>
                <w:lang w:val="en-US" w:eastAsia="zh-CN" w:bidi="ar-SA"/>
              </w:rPr>
            </w:pPr>
            <w:r>
              <w:rPr>
                <w:rStyle w:val="28"/>
                <w:rFonts w:hint="eastAsia" w:ascii="方正仿宋_GBK" w:hAnsi="Times New Roman" w:eastAsia="方正仿宋_GBK" w:cs="方正仿宋_GBK"/>
                <w:color w:val="auto"/>
                <w:kern w:val="2"/>
                <w:sz w:val="21"/>
                <w:szCs w:val="21"/>
                <w:highlight w:val="none"/>
                <w:lang w:val="en-US" w:eastAsia="zh-CN" w:bidi="ar-SA"/>
              </w:rPr>
              <w:t>设置定型化、工具化的防护门，在电梯井内每隔</w:t>
            </w:r>
            <w:r>
              <w:rPr>
                <w:rStyle w:val="28"/>
                <w:rFonts w:ascii="方正仿宋_GBK" w:hAnsi="Times New Roman" w:eastAsia="方正仿宋_GBK" w:cs="方正仿宋_GBK"/>
                <w:color w:val="auto"/>
                <w:kern w:val="2"/>
                <w:sz w:val="21"/>
                <w:szCs w:val="21"/>
                <w:highlight w:val="none"/>
                <w:lang w:val="en-US" w:eastAsia="zh-CN" w:bidi="ar-SA"/>
              </w:rPr>
              <w:t>2</w:t>
            </w:r>
            <w:r>
              <w:rPr>
                <w:rStyle w:val="28"/>
                <w:rFonts w:hint="eastAsia" w:ascii="方正仿宋_GBK" w:hAnsi="Times New Roman" w:eastAsia="方正仿宋_GBK" w:cs="方正仿宋_GBK"/>
                <w:color w:val="auto"/>
                <w:kern w:val="2"/>
                <w:sz w:val="21"/>
                <w:szCs w:val="21"/>
                <w:highlight w:val="none"/>
                <w:lang w:val="en-US" w:eastAsia="zh-CN" w:bidi="ar-SA"/>
              </w:rPr>
              <w:t>层（不大于</w:t>
            </w:r>
            <w:r>
              <w:rPr>
                <w:rStyle w:val="28"/>
                <w:rFonts w:ascii="方正仿宋_GBK" w:hAnsi="Times New Roman" w:eastAsia="方正仿宋_GBK" w:cs="方正仿宋_GBK"/>
                <w:color w:val="auto"/>
                <w:kern w:val="2"/>
                <w:sz w:val="21"/>
                <w:szCs w:val="21"/>
                <w:highlight w:val="none"/>
                <w:lang w:val="en-US" w:eastAsia="zh-CN" w:bidi="ar-SA"/>
              </w:rPr>
              <w:t>10m</w:t>
            </w:r>
            <w:r>
              <w:rPr>
                <w:rStyle w:val="28"/>
                <w:rFonts w:hint="eastAsia" w:ascii="方正仿宋_GBK" w:hAnsi="Times New Roman" w:eastAsia="方正仿宋_GBK" w:cs="方正仿宋_GBK"/>
                <w:color w:val="auto"/>
                <w:kern w:val="2"/>
                <w:sz w:val="21"/>
                <w:szCs w:val="21"/>
                <w:highlight w:val="none"/>
                <w:lang w:val="en-US" w:eastAsia="zh-CN" w:bidi="ar-SA"/>
              </w:rPr>
              <w:t>）设置一道水平防护。</w:t>
            </w:r>
          </w:p>
        </w:tc>
      </w:tr>
      <w:tr w14:paraId="4D2D71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noWrap w:val="0"/>
            <w:vAlign w:val="center"/>
          </w:tcPr>
          <w:p w14:paraId="2380E3D1">
            <w:pPr>
              <w:pStyle w:val="47"/>
              <w:widowControl w:val="0"/>
              <w:spacing w:line="300" w:lineRule="exact"/>
              <w:jc w:val="center"/>
              <w:rPr>
                <w:rStyle w:val="28"/>
                <w:rFonts w:ascii="方正仿宋_GBK" w:hAnsi="Times New Roman" w:eastAsia="方正仿宋_GBK" w:cs="Times New Roman"/>
                <w:color w:val="auto"/>
                <w:kern w:val="2"/>
                <w:sz w:val="21"/>
                <w:szCs w:val="21"/>
                <w:highlight w:val="none"/>
                <w:lang w:val="en-US" w:eastAsia="zh-CN" w:bidi="ar-SA"/>
              </w:rPr>
            </w:pPr>
          </w:p>
        </w:tc>
        <w:tc>
          <w:tcPr>
            <w:tcW w:w="525" w:type="dxa"/>
            <w:vMerge w:val="continue"/>
            <w:noWrap w:val="0"/>
            <w:vAlign w:val="center"/>
          </w:tcPr>
          <w:p w14:paraId="4D7E76A6">
            <w:pPr>
              <w:pStyle w:val="47"/>
              <w:widowControl w:val="0"/>
              <w:spacing w:line="300" w:lineRule="exact"/>
              <w:jc w:val="center"/>
              <w:rPr>
                <w:rStyle w:val="28"/>
                <w:rFonts w:ascii="方正仿宋_GBK" w:hAnsi="Times New Roman" w:eastAsia="方正仿宋_GBK" w:cs="Times New Roman"/>
                <w:color w:val="auto"/>
                <w:kern w:val="2"/>
                <w:sz w:val="21"/>
                <w:szCs w:val="21"/>
                <w:highlight w:val="none"/>
                <w:lang w:val="en-US" w:eastAsia="zh-CN" w:bidi="ar-SA"/>
              </w:rPr>
            </w:pPr>
          </w:p>
        </w:tc>
        <w:tc>
          <w:tcPr>
            <w:tcW w:w="1545" w:type="dxa"/>
            <w:noWrap w:val="0"/>
            <w:vAlign w:val="center"/>
          </w:tcPr>
          <w:p w14:paraId="6A56A574">
            <w:pPr>
              <w:pStyle w:val="47"/>
              <w:widowControl w:val="0"/>
              <w:spacing w:line="300" w:lineRule="exact"/>
              <w:jc w:val="both"/>
              <w:rPr>
                <w:rStyle w:val="28"/>
                <w:rFonts w:ascii="方正仿宋_GBK" w:hAnsi="Times New Roman" w:eastAsia="方正仿宋_GBK" w:cs="Times New Roman"/>
                <w:color w:val="auto"/>
                <w:kern w:val="2"/>
                <w:sz w:val="21"/>
                <w:szCs w:val="21"/>
                <w:highlight w:val="none"/>
                <w:lang w:val="en-US" w:eastAsia="zh-CN" w:bidi="ar-SA"/>
              </w:rPr>
            </w:pPr>
            <w:r>
              <w:rPr>
                <w:rStyle w:val="28"/>
                <w:rFonts w:hint="eastAsia" w:ascii="方正仿宋_GBK" w:hAnsi="Times New Roman" w:eastAsia="方正仿宋_GBK" w:cs="方正仿宋_GBK"/>
                <w:color w:val="auto"/>
                <w:kern w:val="2"/>
                <w:sz w:val="21"/>
                <w:szCs w:val="21"/>
                <w:highlight w:val="none"/>
                <w:lang w:val="en-US" w:eastAsia="zh-CN" w:bidi="ar-SA"/>
              </w:rPr>
              <w:t>楼梯边</w:t>
            </w:r>
          </w:p>
        </w:tc>
        <w:tc>
          <w:tcPr>
            <w:tcW w:w="6645" w:type="dxa"/>
            <w:noWrap w:val="0"/>
            <w:vAlign w:val="center"/>
          </w:tcPr>
          <w:p w14:paraId="3B583440">
            <w:pPr>
              <w:pStyle w:val="47"/>
              <w:widowControl w:val="0"/>
              <w:spacing w:line="300" w:lineRule="exact"/>
              <w:jc w:val="both"/>
              <w:rPr>
                <w:rStyle w:val="28"/>
                <w:rFonts w:ascii="方正仿宋_GBK" w:hAnsi="Times New Roman" w:eastAsia="方正仿宋_GBK" w:cs="Times New Roman"/>
                <w:color w:val="auto"/>
                <w:kern w:val="2"/>
                <w:sz w:val="21"/>
                <w:szCs w:val="21"/>
                <w:highlight w:val="none"/>
                <w:lang w:val="en-US" w:eastAsia="zh-CN" w:bidi="ar-SA"/>
              </w:rPr>
            </w:pPr>
            <w:r>
              <w:rPr>
                <w:rStyle w:val="28"/>
                <w:rFonts w:hint="eastAsia" w:ascii="方正仿宋_GBK" w:hAnsi="Times New Roman" w:eastAsia="方正仿宋_GBK" w:cs="方正仿宋_GBK"/>
                <w:color w:val="auto"/>
                <w:kern w:val="2"/>
                <w:sz w:val="21"/>
                <w:szCs w:val="21"/>
                <w:highlight w:val="none"/>
                <w:lang w:val="en-US" w:eastAsia="zh-CN" w:bidi="ar-SA"/>
              </w:rPr>
              <w:t>设</w:t>
            </w:r>
            <w:r>
              <w:rPr>
                <w:rStyle w:val="28"/>
                <w:rFonts w:ascii="方正仿宋_GBK" w:hAnsi="Times New Roman" w:eastAsia="方正仿宋_GBK" w:cs="方正仿宋_GBK"/>
                <w:color w:val="auto"/>
                <w:kern w:val="2"/>
                <w:sz w:val="21"/>
                <w:szCs w:val="21"/>
                <w:highlight w:val="none"/>
                <w:lang w:val="en-US" w:eastAsia="zh-CN" w:bidi="ar-SA"/>
              </w:rPr>
              <w:t>1.2m</w:t>
            </w:r>
            <w:r>
              <w:rPr>
                <w:rStyle w:val="28"/>
                <w:rFonts w:hint="eastAsia" w:ascii="方正仿宋_GBK" w:hAnsi="Times New Roman" w:eastAsia="方正仿宋_GBK" w:cs="方正仿宋_GBK"/>
                <w:color w:val="auto"/>
                <w:kern w:val="2"/>
                <w:sz w:val="21"/>
                <w:szCs w:val="21"/>
                <w:highlight w:val="none"/>
                <w:lang w:val="en-US" w:eastAsia="zh-CN" w:bidi="ar-SA"/>
              </w:rPr>
              <w:t>高的定型化、工具化的防护栏，</w:t>
            </w:r>
            <w:r>
              <w:rPr>
                <w:rStyle w:val="28"/>
                <w:rFonts w:ascii="方正仿宋_GBK" w:hAnsi="Times New Roman" w:eastAsia="方正仿宋_GBK" w:cs="方正仿宋_GBK"/>
                <w:color w:val="auto"/>
                <w:kern w:val="2"/>
                <w:sz w:val="21"/>
                <w:szCs w:val="21"/>
                <w:highlight w:val="none"/>
                <w:lang w:val="en-US" w:eastAsia="zh-CN" w:bidi="ar-SA"/>
              </w:rPr>
              <w:t>18cm</w:t>
            </w:r>
            <w:r>
              <w:rPr>
                <w:rStyle w:val="28"/>
                <w:rFonts w:hint="eastAsia" w:ascii="方正仿宋_GBK" w:hAnsi="Times New Roman" w:eastAsia="方正仿宋_GBK" w:cs="方正仿宋_GBK"/>
                <w:color w:val="auto"/>
                <w:kern w:val="2"/>
                <w:sz w:val="21"/>
                <w:szCs w:val="21"/>
                <w:highlight w:val="none"/>
                <w:lang w:val="en-US" w:eastAsia="zh-CN" w:bidi="ar-SA"/>
              </w:rPr>
              <w:t>高的踢脚板。</w:t>
            </w:r>
          </w:p>
        </w:tc>
      </w:tr>
      <w:tr w14:paraId="336A91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noWrap w:val="0"/>
            <w:vAlign w:val="center"/>
          </w:tcPr>
          <w:p w14:paraId="552E8CA6">
            <w:pPr>
              <w:pStyle w:val="47"/>
              <w:widowControl w:val="0"/>
              <w:spacing w:line="300" w:lineRule="exact"/>
              <w:jc w:val="center"/>
              <w:rPr>
                <w:rStyle w:val="28"/>
                <w:rFonts w:ascii="方正仿宋_GBK" w:hAnsi="Times New Roman" w:eastAsia="方正仿宋_GBK" w:cs="Times New Roman"/>
                <w:color w:val="auto"/>
                <w:kern w:val="2"/>
                <w:sz w:val="21"/>
                <w:szCs w:val="21"/>
                <w:highlight w:val="none"/>
                <w:lang w:val="en-US" w:eastAsia="zh-CN" w:bidi="ar-SA"/>
              </w:rPr>
            </w:pPr>
          </w:p>
        </w:tc>
        <w:tc>
          <w:tcPr>
            <w:tcW w:w="525" w:type="dxa"/>
            <w:vMerge w:val="continue"/>
            <w:noWrap w:val="0"/>
            <w:vAlign w:val="center"/>
          </w:tcPr>
          <w:p w14:paraId="342C08F6">
            <w:pPr>
              <w:pStyle w:val="47"/>
              <w:widowControl w:val="0"/>
              <w:spacing w:line="300" w:lineRule="exact"/>
              <w:jc w:val="center"/>
              <w:rPr>
                <w:rStyle w:val="28"/>
                <w:rFonts w:ascii="方正仿宋_GBK" w:hAnsi="Times New Roman" w:eastAsia="方正仿宋_GBK" w:cs="Times New Roman"/>
                <w:color w:val="auto"/>
                <w:kern w:val="2"/>
                <w:sz w:val="21"/>
                <w:szCs w:val="21"/>
                <w:highlight w:val="none"/>
                <w:lang w:val="en-US" w:eastAsia="zh-CN" w:bidi="ar-SA"/>
              </w:rPr>
            </w:pPr>
          </w:p>
        </w:tc>
        <w:tc>
          <w:tcPr>
            <w:tcW w:w="1545" w:type="dxa"/>
            <w:noWrap w:val="0"/>
            <w:vAlign w:val="center"/>
          </w:tcPr>
          <w:p w14:paraId="4040E084">
            <w:pPr>
              <w:pStyle w:val="47"/>
              <w:widowControl w:val="0"/>
              <w:spacing w:line="300" w:lineRule="exact"/>
              <w:jc w:val="both"/>
              <w:rPr>
                <w:rStyle w:val="28"/>
                <w:rFonts w:ascii="方正仿宋_GBK" w:hAnsi="Times New Roman" w:eastAsia="方正仿宋_GBK" w:cs="Times New Roman"/>
                <w:color w:val="auto"/>
                <w:kern w:val="2"/>
                <w:sz w:val="21"/>
                <w:szCs w:val="21"/>
                <w:highlight w:val="none"/>
                <w:lang w:val="en-US" w:eastAsia="zh-CN" w:bidi="ar-SA"/>
              </w:rPr>
            </w:pPr>
            <w:r>
              <w:rPr>
                <w:rStyle w:val="28"/>
                <w:rFonts w:hint="eastAsia" w:ascii="方正仿宋_GBK" w:hAnsi="Times New Roman" w:eastAsia="方正仿宋_GBK" w:cs="方正仿宋_GBK"/>
                <w:color w:val="auto"/>
                <w:kern w:val="2"/>
                <w:sz w:val="21"/>
                <w:szCs w:val="21"/>
                <w:highlight w:val="none"/>
                <w:lang w:val="en-US" w:eastAsia="zh-CN" w:bidi="ar-SA"/>
              </w:rPr>
              <w:t>垂直方向交叉作业</w:t>
            </w:r>
          </w:p>
        </w:tc>
        <w:tc>
          <w:tcPr>
            <w:tcW w:w="6645" w:type="dxa"/>
            <w:noWrap w:val="0"/>
            <w:vAlign w:val="center"/>
          </w:tcPr>
          <w:p w14:paraId="3285A06E">
            <w:pPr>
              <w:pStyle w:val="47"/>
              <w:widowControl w:val="0"/>
              <w:spacing w:line="300" w:lineRule="exact"/>
              <w:jc w:val="both"/>
              <w:rPr>
                <w:rStyle w:val="28"/>
                <w:rFonts w:ascii="方正仿宋_GBK" w:hAnsi="Times New Roman" w:eastAsia="方正仿宋_GBK" w:cs="Times New Roman"/>
                <w:color w:val="auto"/>
                <w:kern w:val="2"/>
                <w:sz w:val="21"/>
                <w:szCs w:val="21"/>
                <w:highlight w:val="none"/>
                <w:lang w:val="en-US" w:eastAsia="zh-CN" w:bidi="ar-SA"/>
              </w:rPr>
            </w:pPr>
            <w:r>
              <w:rPr>
                <w:rStyle w:val="28"/>
                <w:rFonts w:hint="eastAsia" w:ascii="方正仿宋_GBK" w:hAnsi="Times New Roman" w:eastAsia="方正仿宋_GBK" w:cs="方正仿宋_GBK"/>
                <w:color w:val="auto"/>
                <w:kern w:val="2"/>
                <w:sz w:val="21"/>
                <w:szCs w:val="21"/>
                <w:highlight w:val="none"/>
                <w:lang w:val="en-US" w:eastAsia="zh-CN" w:bidi="ar-SA"/>
              </w:rPr>
              <w:t>设置防护隔离棚或其它设施。</w:t>
            </w:r>
          </w:p>
        </w:tc>
      </w:tr>
      <w:tr w14:paraId="6E32433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noWrap w:val="0"/>
            <w:vAlign w:val="center"/>
          </w:tcPr>
          <w:p w14:paraId="5A65B327">
            <w:pPr>
              <w:pStyle w:val="47"/>
              <w:widowControl w:val="0"/>
              <w:spacing w:line="300" w:lineRule="exact"/>
              <w:jc w:val="center"/>
              <w:rPr>
                <w:rStyle w:val="28"/>
                <w:rFonts w:ascii="方正仿宋_GBK" w:hAnsi="Times New Roman" w:eastAsia="方正仿宋_GBK" w:cs="Times New Roman"/>
                <w:color w:val="auto"/>
                <w:kern w:val="2"/>
                <w:sz w:val="21"/>
                <w:szCs w:val="21"/>
                <w:highlight w:val="none"/>
                <w:lang w:val="en-US" w:eastAsia="zh-CN" w:bidi="ar-SA"/>
              </w:rPr>
            </w:pPr>
          </w:p>
        </w:tc>
        <w:tc>
          <w:tcPr>
            <w:tcW w:w="525" w:type="dxa"/>
            <w:vMerge w:val="continue"/>
            <w:noWrap w:val="0"/>
            <w:vAlign w:val="center"/>
          </w:tcPr>
          <w:p w14:paraId="6ECF2D6A">
            <w:pPr>
              <w:pStyle w:val="47"/>
              <w:widowControl w:val="0"/>
              <w:spacing w:line="300" w:lineRule="exact"/>
              <w:jc w:val="center"/>
              <w:rPr>
                <w:rStyle w:val="28"/>
                <w:rFonts w:ascii="方正仿宋_GBK" w:hAnsi="Times New Roman" w:eastAsia="方正仿宋_GBK" w:cs="Times New Roman"/>
                <w:color w:val="auto"/>
                <w:kern w:val="2"/>
                <w:sz w:val="21"/>
                <w:szCs w:val="21"/>
                <w:highlight w:val="none"/>
                <w:lang w:val="en-US" w:eastAsia="zh-CN" w:bidi="ar-SA"/>
              </w:rPr>
            </w:pPr>
          </w:p>
        </w:tc>
        <w:tc>
          <w:tcPr>
            <w:tcW w:w="1545" w:type="dxa"/>
            <w:noWrap w:val="0"/>
            <w:vAlign w:val="center"/>
          </w:tcPr>
          <w:p w14:paraId="19A0B42B">
            <w:pPr>
              <w:pStyle w:val="47"/>
              <w:widowControl w:val="0"/>
              <w:spacing w:line="300" w:lineRule="exact"/>
              <w:jc w:val="both"/>
              <w:rPr>
                <w:rStyle w:val="28"/>
                <w:rFonts w:ascii="方正仿宋_GBK" w:hAnsi="Times New Roman" w:eastAsia="方正仿宋_GBK" w:cs="Times New Roman"/>
                <w:color w:val="auto"/>
                <w:kern w:val="2"/>
                <w:sz w:val="21"/>
                <w:szCs w:val="21"/>
                <w:highlight w:val="none"/>
                <w:lang w:val="en-US" w:eastAsia="zh-CN" w:bidi="ar-SA"/>
              </w:rPr>
            </w:pPr>
            <w:r>
              <w:rPr>
                <w:rStyle w:val="28"/>
                <w:rFonts w:hint="eastAsia" w:ascii="方正仿宋_GBK" w:hAnsi="Times New Roman" w:eastAsia="方正仿宋_GBK" w:cs="方正仿宋_GBK"/>
                <w:color w:val="auto"/>
                <w:kern w:val="2"/>
                <w:sz w:val="21"/>
                <w:szCs w:val="21"/>
                <w:highlight w:val="none"/>
                <w:lang w:val="en-US" w:eastAsia="zh-CN" w:bidi="ar-SA"/>
              </w:rPr>
              <w:t>高处作业</w:t>
            </w:r>
          </w:p>
        </w:tc>
        <w:tc>
          <w:tcPr>
            <w:tcW w:w="6645" w:type="dxa"/>
            <w:noWrap w:val="0"/>
            <w:vAlign w:val="center"/>
          </w:tcPr>
          <w:p w14:paraId="554ECB56">
            <w:pPr>
              <w:pStyle w:val="47"/>
              <w:widowControl w:val="0"/>
              <w:spacing w:line="300" w:lineRule="exact"/>
              <w:jc w:val="both"/>
              <w:rPr>
                <w:rStyle w:val="28"/>
                <w:rFonts w:ascii="方正仿宋_GBK" w:hAnsi="Times New Roman" w:eastAsia="方正仿宋_GBK" w:cs="Times New Roman"/>
                <w:color w:val="auto"/>
                <w:kern w:val="2"/>
                <w:sz w:val="21"/>
                <w:szCs w:val="21"/>
                <w:highlight w:val="none"/>
                <w:lang w:val="en-US" w:eastAsia="zh-CN" w:bidi="ar-SA"/>
              </w:rPr>
            </w:pPr>
            <w:r>
              <w:rPr>
                <w:rStyle w:val="28"/>
                <w:rFonts w:hint="eastAsia" w:ascii="方正仿宋_GBK" w:hAnsi="Times New Roman" w:eastAsia="方正仿宋_GBK" w:cs="方正仿宋_GBK"/>
                <w:color w:val="auto"/>
                <w:kern w:val="2"/>
                <w:sz w:val="21"/>
                <w:szCs w:val="21"/>
                <w:highlight w:val="none"/>
                <w:lang w:val="en-US" w:eastAsia="zh-CN" w:bidi="ar-SA"/>
              </w:rPr>
              <w:t>有悬挂安全带的悬索或其它设施，有操作平台，有上下的梯子或其它形式的通道。</w:t>
            </w:r>
          </w:p>
        </w:tc>
      </w:tr>
      <w:tr w14:paraId="5DF0EEC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noWrap w:val="0"/>
            <w:vAlign w:val="center"/>
          </w:tcPr>
          <w:p w14:paraId="7E813E28">
            <w:pPr>
              <w:pStyle w:val="47"/>
              <w:widowControl w:val="0"/>
              <w:spacing w:line="300" w:lineRule="exact"/>
              <w:jc w:val="center"/>
              <w:rPr>
                <w:rStyle w:val="28"/>
                <w:rFonts w:ascii="方正仿宋_GBK" w:hAnsi="Times New Roman" w:eastAsia="方正仿宋_GBK" w:cs="Times New Roman"/>
                <w:color w:val="auto"/>
                <w:kern w:val="2"/>
                <w:sz w:val="21"/>
                <w:szCs w:val="21"/>
                <w:highlight w:val="none"/>
                <w:lang w:val="en-US" w:eastAsia="zh-CN" w:bidi="ar-SA"/>
              </w:rPr>
            </w:pPr>
          </w:p>
        </w:tc>
        <w:tc>
          <w:tcPr>
            <w:tcW w:w="525" w:type="dxa"/>
            <w:vMerge w:val="continue"/>
            <w:noWrap w:val="0"/>
            <w:vAlign w:val="center"/>
          </w:tcPr>
          <w:p w14:paraId="5ECACC8C">
            <w:pPr>
              <w:pStyle w:val="47"/>
              <w:widowControl w:val="0"/>
              <w:spacing w:line="300" w:lineRule="exact"/>
              <w:jc w:val="center"/>
              <w:rPr>
                <w:rStyle w:val="28"/>
                <w:rFonts w:ascii="方正仿宋_GBK" w:hAnsi="Times New Roman" w:eastAsia="方正仿宋_GBK" w:cs="Times New Roman"/>
                <w:color w:val="auto"/>
                <w:kern w:val="2"/>
                <w:sz w:val="21"/>
                <w:szCs w:val="21"/>
                <w:highlight w:val="none"/>
                <w:lang w:val="en-US" w:eastAsia="zh-CN" w:bidi="ar-SA"/>
              </w:rPr>
            </w:pPr>
          </w:p>
        </w:tc>
        <w:tc>
          <w:tcPr>
            <w:tcW w:w="1545" w:type="dxa"/>
            <w:noWrap w:val="0"/>
            <w:vAlign w:val="center"/>
          </w:tcPr>
          <w:p w14:paraId="52290A36">
            <w:pPr>
              <w:pStyle w:val="47"/>
              <w:widowControl w:val="0"/>
              <w:spacing w:line="300" w:lineRule="exact"/>
              <w:jc w:val="both"/>
              <w:rPr>
                <w:rStyle w:val="28"/>
                <w:rFonts w:ascii="方正仿宋_GBK" w:hAnsi="Times New Roman" w:eastAsia="方正仿宋_GBK" w:cs="Times New Roman"/>
                <w:color w:val="auto"/>
                <w:kern w:val="2"/>
                <w:sz w:val="21"/>
                <w:szCs w:val="21"/>
                <w:highlight w:val="none"/>
                <w:lang w:val="en-US" w:eastAsia="zh-CN" w:bidi="ar-SA"/>
              </w:rPr>
            </w:pPr>
            <w:r>
              <w:rPr>
                <w:rStyle w:val="28"/>
                <w:rFonts w:hint="eastAsia" w:ascii="方正仿宋_GBK" w:hAnsi="Times New Roman" w:eastAsia="方正仿宋_GBK" w:cs="方正仿宋_GBK"/>
                <w:color w:val="auto"/>
                <w:kern w:val="2"/>
                <w:sz w:val="21"/>
                <w:szCs w:val="21"/>
                <w:highlight w:val="none"/>
                <w:lang w:val="en-US" w:eastAsia="zh-CN" w:bidi="ar-SA"/>
              </w:rPr>
              <w:t>基坑、物料平台</w:t>
            </w:r>
          </w:p>
        </w:tc>
        <w:tc>
          <w:tcPr>
            <w:tcW w:w="6645" w:type="dxa"/>
            <w:noWrap w:val="0"/>
            <w:vAlign w:val="center"/>
          </w:tcPr>
          <w:p w14:paraId="7C733A53">
            <w:pPr>
              <w:pStyle w:val="47"/>
              <w:widowControl w:val="0"/>
              <w:spacing w:line="300" w:lineRule="exact"/>
              <w:jc w:val="both"/>
              <w:rPr>
                <w:rStyle w:val="28"/>
                <w:rFonts w:ascii="方正仿宋_GBK" w:hAnsi="Times New Roman" w:eastAsia="方正仿宋_GBK" w:cs="Times New Roman"/>
                <w:color w:val="auto"/>
                <w:kern w:val="2"/>
                <w:sz w:val="21"/>
                <w:szCs w:val="21"/>
                <w:highlight w:val="none"/>
                <w:lang w:val="en-US" w:eastAsia="zh-CN" w:bidi="ar-SA"/>
              </w:rPr>
            </w:pPr>
            <w:r>
              <w:rPr>
                <w:rStyle w:val="28"/>
                <w:rFonts w:hint="eastAsia" w:ascii="方正仿宋_GBK" w:hAnsi="Times New Roman" w:eastAsia="方正仿宋_GBK" w:cs="方正仿宋_GBK"/>
                <w:color w:val="auto"/>
                <w:kern w:val="2"/>
                <w:sz w:val="21"/>
                <w:szCs w:val="21"/>
                <w:highlight w:val="none"/>
                <w:lang w:val="en-US" w:eastAsia="zh-CN" w:bidi="ar-SA"/>
              </w:rPr>
              <w:t>设</w:t>
            </w:r>
            <w:r>
              <w:rPr>
                <w:rStyle w:val="28"/>
                <w:rFonts w:ascii="方正仿宋_GBK" w:hAnsi="Times New Roman" w:eastAsia="方正仿宋_GBK" w:cs="方正仿宋_GBK"/>
                <w:color w:val="auto"/>
                <w:kern w:val="2"/>
                <w:sz w:val="21"/>
                <w:szCs w:val="21"/>
                <w:highlight w:val="none"/>
                <w:lang w:val="en-US" w:eastAsia="zh-CN" w:bidi="ar-SA"/>
              </w:rPr>
              <w:t>1.2m</w:t>
            </w:r>
            <w:r>
              <w:rPr>
                <w:rStyle w:val="28"/>
                <w:rFonts w:hint="eastAsia" w:ascii="方正仿宋_GBK" w:hAnsi="Times New Roman" w:eastAsia="方正仿宋_GBK" w:cs="方正仿宋_GBK"/>
                <w:color w:val="auto"/>
                <w:kern w:val="2"/>
                <w:sz w:val="21"/>
                <w:szCs w:val="21"/>
                <w:highlight w:val="none"/>
                <w:lang w:val="en-US" w:eastAsia="zh-CN" w:bidi="ar-SA"/>
              </w:rPr>
              <w:t>高标准化的防护栏，用密目式安全立网封闭，悬挂标识。</w:t>
            </w:r>
          </w:p>
        </w:tc>
      </w:tr>
      <w:tr w14:paraId="747EF3D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noWrap w:val="0"/>
            <w:vAlign w:val="center"/>
          </w:tcPr>
          <w:p w14:paraId="6814D3CB">
            <w:pPr>
              <w:pStyle w:val="47"/>
              <w:widowControl w:val="0"/>
              <w:spacing w:line="300" w:lineRule="exact"/>
              <w:jc w:val="center"/>
              <w:rPr>
                <w:rStyle w:val="28"/>
                <w:rFonts w:ascii="方正仿宋_GBK" w:hAnsi="Times New Roman" w:eastAsia="方正仿宋_GBK" w:cs="Times New Roman"/>
                <w:color w:val="auto"/>
                <w:kern w:val="2"/>
                <w:sz w:val="21"/>
                <w:szCs w:val="21"/>
                <w:highlight w:val="none"/>
                <w:lang w:val="en-US" w:eastAsia="zh-CN" w:bidi="ar-SA"/>
              </w:rPr>
            </w:pPr>
          </w:p>
        </w:tc>
        <w:tc>
          <w:tcPr>
            <w:tcW w:w="2070" w:type="dxa"/>
            <w:gridSpan w:val="2"/>
            <w:noWrap w:val="0"/>
            <w:vAlign w:val="center"/>
          </w:tcPr>
          <w:p w14:paraId="114517E6">
            <w:pPr>
              <w:pStyle w:val="47"/>
              <w:widowControl w:val="0"/>
              <w:spacing w:line="300" w:lineRule="exact"/>
              <w:jc w:val="center"/>
              <w:rPr>
                <w:rStyle w:val="28"/>
                <w:rFonts w:ascii="方正仿宋_GBK" w:hAnsi="Times New Roman" w:eastAsia="方正仿宋_GBK" w:cs="Times New Roman"/>
                <w:color w:val="auto"/>
                <w:kern w:val="2"/>
                <w:sz w:val="21"/>
                <w:szCs w:val="21"/>
                <w:highlight w:val="none"/>
                <w:lang w:val="en-US" w:eastAsia="zh-CN" w:bidi="ar-SA"/>
              </w:rPr>
            </w:pPr>
            <w:r>
              <w:rPr>
                <w:rStyle w:val="28"/>
                <w:rFonts w:hint="eastAsia" w:ascii="方正仿宋_GBK" w:hAnsi="Times New Roman" w:eastAsia="方正仿宋_GBK" w:cs="方正仿宋_GBK"/>
                <w:color w:val="auto"/>
                <w:kern w:val="2"/>
                <w:sz w:val="21"/>
                <w:szCs w:val="21"/>
                <w:highlight w:val="none"/>
                <w:lang w:val="en-US" w:eastAsia="zh-CN" w:bidi="ar-SA"/>
              </w:rPr>
              <w:t>安全防护用品</w:t>
            </w:r>
          </w:p>
        </w:tc>
        <w:tc>
          <w:tcPr>
            <w:tcW w:w="6645" w:type="dxa"/>
            <w:noWrap w:val="0"/>
            <w:vAlign w:val="center"/>
          </w:tcPr>
          <w:p w14:paraId="46E0A077">
            <w:pPr>
              <w:pStyle w:val="47"/>
              <w:widowControl w:val="0"/>
              <w:spacing w:line="300" w:lineRule="exact"/>
              <w:jc w:val="both"/>
              <w:rPr>
                <w:rStyle w:val="28"/>
                <w:rFonts w:ascii="方正仿宋_GBK" w:hAnsi="Times New Roman" w:eastAsia="方正仿宋_GBK" w:cs="Times New Roman"/>
                <w:color w:val="auto"/>
                <w:kern w:val="2"/>
                <w:sz w:val="21"/>
                <w:szCs w:val="21"/>
                <w:highlight w:val="none"/>
                <w:lang w:val="en-US" w:eastAsia="zh-CN" w:bidi="ar-SA"/>
              </w:rPr>
            </w:pPr>
            <w:r>
              <w:rPr>
                <w:rStyle w:val="28"/>
                <w:rFonts w:hint="eastAsia" w:ascii="方正仿宋_GBK" w:hAnsi="Times New Roman" w:eastAsia="方正仿宋_GBK" w:cs="方正仿宋_GBK"/>
                <w:color w:val="auto"/>
                <w:kern w:val="2"/>
                <w:sz w:val="21"/>
                <w:szCs w:val="21"/>
                <w:highlight w:val="none"/>
                <w:lang w:val="en-US" w:eastAsia="zh-CN" w:bidi="ar-SA"/>
              </w:rPr>
              <w:t>安全帽、安全带、特种作业人员（电工、焊工、架子工等）防护服装、用品等。</w:t>
            </w:r>
          </w:p>
        </w:tc>
      </w:tr>
      <w:tr w14:paraId="1D30412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55" w:hRule="atLeast"/>
          <w:jc w:val="center"/>
        </w:trPr>
        <w:tc>
          <w:tcPr>
            <w:tcW w:w="738" w:type="dxa"/>
            <w:vMerge w:val="restart"/>
            <w:noWrap w:val="0"/>
            <w:vAlign w:val="center"/>
          </w:tcPr>
          <w:p w14:paraId="4F13330D">
            <w:pPr>
              <w:pStyle w:val="47"/>
              <w:widowControl w:val="0"/>
              <w:spacing w:line="300" w:lineRule="exact"/>
              <w:jc w:val="center"/>
              <w:rPr>
                <w:rStyle w:val="28"/>
                <w:rFonts w:ascii="方正仿宋_GBK" w:hAnsi="Times New Roman" w:eastAsia="方正仿宋_GBK" w:cs="Times New Roman"/>
                <w:color w:val="auto"/>
                <w:kern w:val="2"/>
                <w:sz w:val="21"/>
                <w:szCs w:val="21"/>
                <w:highlight w:val="none"/>
                <w:lang w:val="en-US" w:eastAsia="zh-CN" w:bidi="ar-SA"/>
              </w:rPr>
            </w:pPr>
            <w:r>
              <w:rPr>
                <w:rStyle w:val="28"/>
                <w:rFonts w:hint="eastAsia" w:ascii="方正仿宋_GBK" w:hAnsi="Times New Roman" w:eastAsia="方正仿宋_GBK" w:cs="方正仿宋_GBK"/>
                <w:color w:val="auto"/>
                <w:kern w:val="2"/>
                <w:sz w:val="21"/>
                <w:szCs w:val="21"/>
                <w:highlight w:val="none"/>
                <w:lang w:val="en-US" w:eastAsia="zh-CN" w:bidi="ar-SA"/>
              </w:rPr>
              <w:t>其它</w:t>
            </w:r>
          </w:p>
        </w:tc>
        <w:tc>
          <w:tcPr>
            <w:tcW w:w="525" w:type="dxa"/>
            <w:vMerge w:val="restart"/>
            <w:noWrap w:val="0"/>
            <w:vAlign w:val="center"/>
          </w:tcPr>
          <w:p w14:paraId="6D484661">
            <w:pPr>
              <w:pStyle w:val="47"/>
              <w:widowControl w:val="0"/>
              <w:spacing w:line="300" w:lineRule="exact"/>
              <w:jc w:val="center"/>
              <w:rPr>
                <w:rStyle w:val="28"/>
                <w:rFonts w:ascii="方正仿宋_GBK" w:hAnsi="Times New Roman" w:eastAsia="方正仿宋_GBK" w:cs="Times New Roman"/>
                <w:color w:val="auto"/>
                <w:kern w:val="2"/>
                <w:sz w:val="21"/>
                <w:szCs w:val="21"/>
                <w:highlight w:val="none"/>
                <w:lang w:val="en-US" w:eastAsia="zh-CN" w:bidi="ar-SA"/>
              </w:rPr>
            </w:pPr>
            <w:r>
              <w:rPr>
                <w:rStyle w:val="28"/>
                <w:rFonts w:hint="eastAsia" w:ascii="方正仿宋_GBK" w:hAnsi="Times New Roman" w:eastAsia="方正仿宋_GBK" w:cs="方正仿宋_GBK"/>
                <w:color w:val="auto"/>
                <w:kern w:val="2"/>
                <w:sz w:val="21"/>
                <w:szCs w:val="21"/>
                <w:highlight w:val="none"/>
                <w:lang w:val="en-US" w:eastAsia="zh-CN" w:bidi="ar-SA"/>
              </w:rPr>
              <w:t>机械设备防护</w:t>
            </w:r>
          </w:p>
        </w:tc>
        <w:tc>
          <w:tcPr>
            <w:tcW w:w="1545" w:type="dxa"/>
            <w:noWrap w:val="0"/>
            <w:vAlign w:val="center"/>
          </w:tcPr>
          <w:p w14:paraId="6211C228">
            <w:pPr>
              <w:pStyle w:val="47"/>
              <w:widowControl w:val="0"/>
              <w:spacing w:line="300" w:lineRule="exact"/>
              <w:jc w:val="center"/>
              <w:rPr>
                <w:rStyle w:val="28"/>
                <w:rFonts w:ascii="方正仿宋_GBK" w:hAnsi="Times New Roman" w:eastAsia="方正仿宋_GBK" w:cs="Times New Roman"/>
                <w:color w:val="auto"/>
                <w:kern w:val="2"/>
                <w:sz w:val="21"/>
                <w:szCs w:val="21"/>
                <w:highlight w:val="none"/>
                <w:lang w:val="en-US" w:eastAsia="zh-CN" w:bidi="ar-SA"/>
              </w:rPr>
            </w:pPr>
            <w:r>
              <w:rPr>
                <w:rStyle w:val="28"/>
                <w:rFonts w:hint="eastAsia" w:ascii="方正仿宋_GBK" w:hAnsi="Times New Roman" w:eastAsia="方正仿宋_GBK" w:cs="方正仿宋_GBK"/>
                <w:color w:val="auto"/>
                <w:kern w:val="2"/>
                <w:sz w:val="21"/>
                <w:szCs w:val="21"/>
                <w:highlight w:val="none"/>
                <w:lang w:val="en-US" w:eastAsia="zh-CN" w:bidi="ar-SA"/>
              </w:rPr>
              <w:t>中小型机械</w:t>
            </w:r>
          </w:p>
        </w:tc>
        <w:tc>
          <w:tcPr>
            <w:tcW w:w="6645" w:type="dxa"/>
            <w:noWrap w:val="0"/>
            <w:vAlign w:val="center"/>
          </w:tcPr>
          <w:p w14:paraId="13145FFF">
            <w:pPr>
              <w:pStyle w:val="47"/>
              <w:widowControl w:val="0"/>
              <w:spacing w:line="300" w:lineRule="exact"/>
              <w:jc w:val="both"/>
              <w:rPr>
                <w:rStyle w:val="28"/>
                <w:rFonts w:ascii="方正仿宋_GBK" w:hAnsi="Times New Roman" w:eastAsia="方正仿宋_GBK" w:cs="Times New Roman"/>
                <w:color w:val="auto"/>
                <w:kern w:val="2"/>
                <w:sz w:val="21"/>
                <w:szCs w:val="21"/>
                <w:highlight w:val="none"/>
                <w:lang w:val="en-US" w:eastAsia="zh-CN" w:bidi="ar-SA"/>
              </w:rPr>
            </w:pPr>
            <w:r>
              <w:rPr>
                <w:rStyle w:val="28"/>
                <w:rFonts w:hint="eastAsia" w:ascii="方正仿宋_GBK" w:hAnsi="Times New Roman" w:eastAsia="方正仿宋_GBK" w:cs="方正仿宋_GBK"/>
                <w:color w:val="auto"/>
                <w:kern w:val="2"/>
                <w:sz w:val="21"/>
                <w:szCs w:val="21"/>
                <w:highlight w:val="none"/>
                <w:lang w:val="en-US" w:eastAsia="zh-CN" w:bidi="ar-SA"/>
              </w:rPr>
              <w:t>设防护棚（同通道口防护并有防雨措施）。</w:t>
            </w:r>
          </w:p>
        </w:tc>
      </w:tr>
      <w:tr w14:paraId="45F3BF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noWrap w:val="0"/>
            <w:vAlign w:val="center"/>
          </w:tcPr>
          <w:p w14:paraId="05B3578A">
            <w:pPr>
              <w:pStyle w:val="47"/>
              <w:widowControl w:val="0"/>
              <w:spacing w:line="300" w:lineRule="exact"/>
              <w:jc w:val="center"/>
              <w:rPr>
                <w:rStyle w:val="28"/>
                <w:rFonts w:ascii="方正仿宋_GBK" w:hAnsi="Times New Roman" w:eastAsia="方正仿宋_GBK" w:cs="Times New Roman"/>
                <w:color w:val="auto"/>
                <w:kern w:val="2"/>
                <w:sz w:val="21"/>
                <w:szCs w:val="21"/>
                <w:highlight w:val="none"/>
                <w:lang w:val="en-US" w:eastAsia="zh-CN" w:bidi="ar-SA"/>
              </w:rPr>
            </w:pPr>
          </w:p>
        </w:tc>
        <w:tc>
          <w:tcPr>
            <w:tcW w:w="525" w:type="dxa"/>
            <w:vMerge w:val="continue"/>
            <w:noWrap w:val="0"/>
            <w:vAlign w:val="center"/>
          </w:tcPr>
          <w:p w14:paraId="257730EC">
            <w:pPr>
              <w:pStyle w:val="47"/>
              <w:widowControl w:val="0"/>
              <w:spacing w:line="300" w:lineRule="exact"/>
              <w:jc w:val="center"/>
              <w:rPr>
                <w:rStyle w:val="28"/>
                <w:rFonts w:ascii="方正仿宋_GBK" w:hAnsi="Times New Roman" w:eastAsia="方正仿宋_GBK" w:cs="Times New Roman"/>
                <w:color w:val="auto"/>
                <w:kern w:val="2"/>
                <w:sz w:val="21"/>
                <w:szCs w:val="21"/>
                <w:highlight w:val="none"/>
                <w:lang w:val="en-US" w:eastAsia="zh-CN" w:bidi="ar-SA"/>
              </w:rPr>
            </w:pPr>
          </w:p>
        </w:tc>
        <w:tc>
          <w:tcPr>
            <w:tcW w:w="1545" w:type="dxa"/>
            <w:noWrap w:val="0"/>
            <w:vAlign w:val="center"/>
          </w:tcPr>
          <w:p w14:paraId="2B452DF2">
            <w:pPr>
              <w:pStyle w:val="47"/>
              <w:widowControl w:val="0"/>
              <w:spacing w:line="300" w:lineRule="exact"/>
              <w:jc w:val="center"/>
              <w:rPr>
                <w:rStyle w:val="28"/>
                <w:rFonts w:ascii="方正仿宋_GBK" w:hAnsi="Times New Roman" w:eastAsia="方正仿宋_GBK" w:cs="Times New Roman"/>
                <w:color w:val="auto"/>
                <w:kern w:val="2"/>
                <w:sz w:val="21"/>
                <w:szCs w:val="21"/>
                <w:highlight w:val="none"/>
                <w:lang w:val="en-US" w:eastAsia="zh-CN" w:bidi="ar-SA"/>
              </w:rPr>
            </w:pPr>
            <w:r>
              <w:rPr>
                <w:rStyle w:val="28"/>
                <w:rFonts w:hint="eastAsia" w:ascii="方正仿宋_GBK" w:hAnsi="Times New Roman" w:eastAsia="方正仿宋_GBK" w:cs="方正仿宋_GBK"/>
                <w:color w:val="auto"/>
                <w:kern w:val="2"/>
                <w:sz w:val="21"/>
                <w:szCs w:val="21"/>
                <w:highlight w:val="none"/>
                <w:lang w:val="en-US" w:eastAsia="zh-CN" w:bidi="ar-SA"/>
              </w:rPr>
              <w:t>垂直运输设备</w:t>
            </w:r>
          </w:p>
        </w:tc>
        <w:tc>
          <w:tcPr>
            <w:tcW w:w="6645" w:type="dxa"/>
            <w:noWrap w:val="0"/>
            <w:vAlign w:val="center"/>
          </w:tcPr>
          <w:p w14:paraId="2FA19195">
            <w:pPr>
              <w:pStyle w:val="47"/>
              <w:widowControl w:val="0"/>
              <w:spacing w:line="300" w:lineRule="exact"/>
              <w:jc w:val="both"/>
              <w:rPr>
                <w:rStyle w:val="28"/>
                <w:rFonts w:ascii="方正仿宋_GBK" w:hAnsi="Times New Roman" w:eastAsia="方正仿宋_GBK" w:cs="Times New Roman"/>
                <w:color w:val="auto"/>
                <w:kern w:val="2"/>
                <w:sz w:val="21"/>
                <w:szCs w:val="21"/>
                <w:highlight w:val="none"/>
                <w:lang w:val="en-US" w:eastAsia="zh-CN" w:bidi="ar-SA"/>
              </w:rPr>
            </w:pPr>
            <w:r>
              <w:rPr>
                <w:rStyle w:val="28"/>
                <w:rFonts w:ascii="方正仿宋_GBK" w:hAnsi="Times New Roman" w:eastAsia="方正仿宋_GBK" w:cs="方正仿宋_GBK"/>
                <w:color w:val="auto"/>
                <w:kern w:val="2"/>
                <w:sz w:val="21"/>
                <w:szCs w:val="21"/>
                <w:highlight w:val="none"/>
                <w:lang w:val="en-US" w:eastAsia="zh-CN" w:bidi="ar-SA"/>
              </w:rPr>
              <w:t xml:space="preserve">1. </w:t>
            </w:r>
            <w:r>
              <w:rPr>
                <w:rStyle w:val="28"/>
                <w:rFonts w:hint="eastAsia" w:ascii="方正仿宋_GBK" w:hAnsi="Times New Roman" w:eastAsia="方正仿宋_GBK" w:cs="方正仿宋_GBK"/>
                <w:color w:val="auto"/>
                <w:kern w:val="2"/>
                <w:sz w:val="21"/>
                <w:szCs w:val="21"/>
                <w:highlight w:val="none"/>
                <w:lang w:val="en-US" w:eastAsia="zh-CN" w:bidi="ar-SA"/>
              </w:rPr>
              <w:t>垂直运输设备检测、检验、日常维护、保养等。</w:t>
            </w:r>
          </w:p>
          <w:p w14:paraId="61D2A089">
            <w:pPr>
              <w:pStyle w:val="47"/>
              <w:widowControl w:val="0"/>
              <w:spacing w:line="300" w:lineRule="exact"/>
              <w:jc w:val="both"/>
              <w:rPr>
                <w:rStyle w:val="28"/>
                <w:rFonts w:ascii="方正仿宋_GBK" w:hAnsi="Times New Roman" w:eastAsia="方正仿宋_GBK" w:cs="Times New Roman"/>
                <w:color w:val="auto"/>
                <w:kern w:val="2"/>
                <w:sz w:val="21"/>
                <w:szCs w:val="21"/>
                <w:highlight w:val="none"/>
                <w:lang w:val="en-US" w:eastAsia="zh-CN" w:bidi="ar-SA"/>
              </w:rPr>
            </w:pPr>
            <w:r>
              <w:rPr>
                <w:rStyle w:val="28"/>
                <w:rFonts w:ascii="方正仿宋_GBK" w:hAnsi="Times New Roman" w:eastAsia="方正仿宋_GBK" w:cs="方正仿宋_GBK"/>
                <w:color w:val="auto"/>
                <w:kern w:val="2"/>
                <w:sz w:val="21"/>
                <w:szCs w:val="21"/>
                <w:highlight w:val="none"/>
                <w:lang w:val="en-US" w:eastAsia="zh-CN" w:bidi="ar-SA"/>
              </w:rPr>
              <w:t xml:space="preserve">2. </w:t>
            </w:r>
            <w:r>
              <w:rPr>
                <w:rStyle w:val="28"/>
                <w:rFonts w:hint="eastAsia" w:ascii="方正仿宋_GBK" w:hAnsi="Times New Roman" w:eastAsia="方正仿宋_GBK" w:cs="方正仿宋_GBK"/>
                <w:color w:val="auto"/>
                <w:kern w:val="2"/>
                <w:sz w:val="21"/>
                <w:szCs w:val="21"/>
                <w:highlight w:val="none"/>
                <w:lang w:val="en-US" w:eastAsia="zh-CN" w:bidi="ar-SA"/>
              </w:rPr>
              <w:t>物料提升机、施工电梯等物料平台搭设、外侧用密目式安全立网全封闭，有安全通道、安全防护门、防护棚等。</w:t>
            </w:r>
          </w:p>
        </w:tc>
      </w:tr>
      <w:tr w14:paraId="45AD8EB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738" w:type="dxa"/>
            <w:vMerge w:val="continue"/>
            <w:noWrap w:val="0"/>
            <w:vAlign w:val="center"/>
          </w:tcPr>
          <w:p w14:paraId="48D808A9">
            <w:pPr>
              <w:pStyle w:val="47"/>
              <w:widowControl w:val="0"/>
              <w:spacing w:line="300" w:lineRule="exact"/>
              <w:jc w:val="center"/>
              <w:rPr>
                <w:rStyle w:val="28"/>
                <w:rFonts w:ascii="方正仿宋_GBK" w:hAnsi="Times New Roman" w:eastAsia="方正仿宋_GBK" w:cs="Times New Roman"/>
                <w:color w:val="auto"/>
                <w:kern w:val="2"/>
                <w:sz w:val="21"/>
                <w:szCs w:val="21"/>
                <w:highlight w:val="none"/>
                <w:lang w:val="en-US" w:eastAsia="zh-CN" w:bidi="ar-SA"/>
              </w:rPr>
            </w:pPr>
          </w:p>
        </w:tc>
        <w:tc>
          <w:tcPr>
            <w:tcW w:w="2070" w:type="dxa"/>
            <w:gridSpan w:val="2"/>
            <w:noWrap w:val="0"/>
            <w:vAlign w:val="center"/>
          </w:tcPr>
          <w:p w14:paraId="16805B1F">
            <w:pPr>
              <w:pStyle w:val="47"/>
              <w:widowControl w:val="0"/>
              <w:spacing w:line="300" w:lineRule="exact"/>
              <w:jc w:val="center"/>
              <w:rPr>
                <w:rStyle w:val="28"/>
                <w:rFonts w:ascii="方正仿宋_GBK" w:hAnsi="Times New Roman" w:eastAsia="方正仿宋_GBK" w:cs="Times New Roman"/>
                <w:color w:val="auto"/>
                <w:kern w:val="2"/>
                <w:sz w:val="21"/>
                <w:szCs w:val="21"/>
                <w:highlight w:val="none"/>
                <w:lang w:val="en-US" w:eastAsia="zh-CN" w:bidi="ar-SA"/>
              </w:rPr>
            </w:pPr>
            <w:r>
              <w:rPr>
                <w:rStyle w:val="28"/>
                <w:rFonts w:hint="eastAsia" w:ascii="方正仿宋_GBK" w:hAnsi="Times New Roman" w:eastAsia="方正仿宋_GBK" w:cs="方正仿宋_GBK"/>
                <w:color w:val="auto"/>
                <w:kern w:val="2"/>
                <w:sz w:val="21"/>
                <w:szCs w:val="21"/>
                <w:highlight w:val="none"/>
                <w:lang w:val="en-US" w:eastAsia="zh-CN" w:bidi="ar-SA"/>
              </w:rPr>
              <w:t>专家论证审查</w:t>
            </w:r>
          </w:p>
        </w:tc>
        <w:tc>
          <w:tcPr>
            <w:tcW w:w="6645" w:type="dxa"/>
            <w:noWrap w:val="0"/>
            <w:vAlign w:val="center"/>
          </w:tcPr>
          <w:p w14:paraId="6019B6B6">
            <w:pPr>
              <w:pStyle w:val="47"/>
              <w:widowControl w:val="0"/>
              <w:spacing w:line="300" w:lineRule="exact"/>
              <w:jc w:val="both"/>
              <w:rPr>
                <w:rStyle w:val="28"/>
                <w:rFonts w:ascii="方正仿宋_GBK" w:hAnsi="Times New Roman" w:eastAsia="方正仿宋_GBK" w:cs="Times New Roman"/>
                <w:color w:val="auto"/>
                <w:kern w:val="2"/>
                <w:sz w:val="21"/>
                <w:szCs w:val="21"/>
                <w:highlight w:val="none"/>
                <w:lang w:val="en-US" w:eastAsia="zh-CN" w:bidi="ar-SA"/>
              </w:rPr>
            </w:pPr>
            <w:r>
              <w:rPr>
                <w:rStyle w:val="28"/>
                <w:rFonts w:hint="eastAsia" w:ascii="方正仿宋_GBK" w:hAnsi="Times New Roman" w:eastAsia="方正仿宋_GBK" w:cs="方正仿宋_GBK"/>
                <w:color w:val="auto"/>
                <w:kern w:val="2"/>
                <w:sz w:val="21"/>
                <w:szCs w:val="21"/>
                <w:highlight w:val="none"/>
                <w:lang w:val="en-US" w:eastAsia="zh-CN" w:bidi="ar-SA"/>
              </w:rPr>
              <w:t>超过一定规模的危险性较大分部分项工程专家论证审查。</w:t>
            </w:r>
          </w:p>
        </w:tc>
      </w:tr>
      <w:tr w14:paraId="3D091D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738" w:type="dxa"/>
            <w:vMerge w:val="continue"/>
            <w:noWrap w:val="0"/>
            <w:vAlign w:val="center"/>
          </w:tcPr>
          <w:p w14:paraId="6038C228">
            <w:pPr>
              <w:pStyle w:val="47"/>
              <w:widowControl w:val="0"/>
              <w:spacing w:line="300" w:lineRule="exact"/>
              <w:jc w:val="center"/>
              <w:rPr>
                <w:rStyle w:val="28"/>
                <w:rFonts w:ascii="方正仿宋_GBK" w:hAnsi="Times New Roman" w:eastAsia="方正仿宋_GBK" w:cs="Times New Roman"/>
                <w:color w:val="auto"/>
                <w:kern w:val="2"/>
                <w:sz w:val="21"/>
                <w:szCs w:val="21"/>
                <w:highlight w:val="none"/>
                <w:lang w:val="en-US" w:eastAsia="zh-CN" w:bidi="ar-SA"/>
              </w:rPr>
            </w:pPr>
          </w:p>
        </w:tc>
        <w:tc>
          <w:tcPr>
            <w:tcW w:w="2070" w:type="dxa"/>
            <w:gridSpan w:val="2"/>
            <w:noWrap w:val="0"/>
            <w:vAlign w:val="center"/>
          </w:tcPr>
          <w:p w14:paraId="790FA6D6">
            <w:pPr>
              <w:pStyle w:val="47"/>
              <w:widowControl w:val="0"/>
              <w:spacing w:line="300" w:lineRule="exact"/>
              <w:jc w:val="center"/>
              <w:rPr>
                <w:rStyle w:val="28"/>
                <w:rFonts w:ascii="方正仿宋_GBK" w:hAnsi="Times New Roman" w:eastAsia="方正仿宋_GBK" w:cs="Times New Roman"/>
                <w:color w:val="auto"/>
                <w:kern w:val="2"/>
                <w:sz w:val="21"/>
                <w:szCs w:val="21"/>
                <w:highlight w:val="none"/>
                <w:lang w:val="en-US" w:eastAsia="zh-CN" w:bidi="ar-SA"/>
              </w:rPr>
            </w:pPr>
            <w:r>
              <w:rPr>
                <w:rStyle w:val="28"/>
                <w:rFonts w:hint="eastAsia" w:ascii="方正仿宋_GBK" w:hAnsi="Times New Roman" w:eastAsia="方正仿宋_GBK" w:cs="方正仿宋_GBK"/>
                <w:color w:val="auto"/>
                <w:kern w:val="2"/>
                <w:sz w:val="21"/>
                <w:szCs w:val="21"/>
                <w:highlight w:val="none"/>
                <w:lang w:val="en-US" w:eastAsia="zh-CN" w:bidi="ar-SA"/>
              </w:rPr>
              <w:t>应急救援预案</w:t>
            </w:r>
          </w:p>
        </w:tc>
        <w:tc>
          <w:tcPr>
            <w:tcW w:w="6645" w:type="dxa"/>
            <w:noWrap w:val="0"/>
            <w:vAlign w:val="center"/>
          </w:tcPr>
          <w:p w14:paraId="1BA60266">
            <w:pPr>
              <w:pStyle w:val="47"/>
              <w:widowControl w:val="0"/>
              <w:spacing w:line="300" w:lineRule="exact"/>
              <w:jc w:val="both"/>
              <w:rPr>
                <w:rStyle w:val="28"/>
                <w:rFonts w:ascii="方正仿宋_GBK" w:hAnsi="Times New Roman" w:eastAsia="方正仿宋_GBK" w:cs="Times New Roman"/>
                <w:color w:val="auto"/>
                <w:kern w:val="2"/>
                <w:sz w:val="21"/>
                <w:szCs w:val="21"/>
                <w:highlight w:val="none"/>
                <w:lang w:val="en-US" w:eastAsia="zh-CN" w:bidi="ar-SA"/>
              </w:rPr>
            </w:pPr>
            <w:r>
              <w:rPr>
                <w:rStyle w:val="28"/>
                <w:rFonts w:hint="eastAsia" w:ascii="方正仿宋_GBK" w:hAnsi="Times New Roman" w:eastAsia="方正仿宋_GBK" w:cs="方正仿宋_GBK"/>
                <w:color w:val="auto"/>
                <w:kern w:val="2"/>
                <w:sz w:val="21"/>
                <w:szCs w:val="21"/>
                <w:highlight w:val="none"/>
                <w:lang w:val="en-US" w:eastAsia="zh-CN" w:bidi="ar-SA"/>
              </w:rPr>
              <w:t>救援器材准备及演练等。</w:t>
            </w:r>
          </w:p>
        </w:tc>
      </w:tr>
      <w:tr w14:paraId="6FACA62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tcBorders>
              <w:bottom w:val="single" w:color="auto" w:sz="12" w:space="0"/>
            </w:tcBorders>
            <w:noWrap w:val="0"/>
            <w:vAlign w:val="center"/>
          </w:tcPr>
          <w:p w14:paraId="223C3105">
            <w:pPr>
              <w:pStyle w:val="47"/>
              <w:widowControl w:val="0"/>
              <w:spacing w:line="300" w:lineRule="exact"/>
              <w:jc w:val="center"/>
              <w:rPr>
                <w:rStyle w:val="28"/>
                <w:rFonts w:ascii="方正仿宋_GBK" w:hAnsi="Times New Roman" w:eastAsia="方正仿宋_GBK" w:cs="Times New Roman"/>
                <w:color w:val="auto"/>
                <w:kern w:val="2"/>
                <w:sz w:val="21"/>
                <w:szCs w:val="21"/>
                <w:highlight w:val="none"/>
                <w:lang w:val="en-US" w:eastAsia="zh-CN" w:bidi="ar-SA"/>
              </w:rPr>
            </w:pPr>
          </w:p>
        </w:tc>
        <w:tc>
          <w:tcPr>
            <w:tcW w:w="2070" w:type="dxa"/>
            <w:gridSpan w:val="2"/>
            <w:tcBorders>
              <w:bottom w:val="single" w:color="auto" w:sz="12" w:space="0"/>
            </w:tcBorders>
            <w:noWrap w:val="0"/>
            <w:vAlign w:val="center"/>
          </w:tcPr>
          <w:p w14:paraId="79484212">
            <w:pPr>
              <w:pStyle w:val="47"/>
              <w:widowControl w:val="0"/>
              <w:spacing w:line="300" w:lineRule="exact"/>
              <w:jc w:val="center"/>
              <w:rPr>
                <w:rStyle w:val="28"/>
                <w:rFonts w:ascii="方正仿宋_GBK" w:hAnsi="Times New Roman" w:eastAsia="方正仿宋_GBK" w:cs="Times New Roman"/>
                <w:color w:val="auto"/>
                <w:kern w:val="2"/>
                <w:sz w:val="21"/>
                <w:szCs w:val="21"/>
                <w:highlight w:val="none"/>
                <w:lang w:val="en-US" w:eastAsia="zh-CN" w:bidi="ar-SA"/>
              </w:rPr>
            </w:pPr>
            <w:r>
              <w:rPr>
                <w:rStyle w:val="28"/>
                <w:rFonts w:hint="eastAsia" w:ascii="方正仿宋_GBK" w:hAnsi="Times New Roman" w:eastAsia="方正仿宋_GBK" w:cs="方正仿宋_GBK"/>
                <w:color w:val="auto"/>
                <w:kern w:val="2"/>
                <w:sz w:val="21"/>
                <w:szCs w:val="21"/>
                <w:highlight w:val="none"/>
                <w:lang w:val="en-US" w:eastAsia="zh-CN" w:bidi="ar-SA"/>
              </w:rPr>
              <w:t>非正常情况施工</w:t>
            </w:r>
          </w:p>
        </w:tc>
        <w:tc>
          <w:tcPr>
            <w:tcW w:w="6645" w:type="dxa"/>
            <w:tcBorders>
              <w:bottom w:val="single" w:color="auto" w:sz="12" w:space="0"/>
            </w:tcBorders>
            <w:noWrap w:val="0"/>
            <w:vAlign w:val="center"/>
          </w:tcPr>
          <w:p w14:paraId="048C98C8">
            <w:pPr>
              <w:pStyle w:val="47"/>
              <w:widowControl w:val="0"/>
              <w:spacing w:line="300" w:lineRule="exact"/>
              <w:jc w:val="both"/>
              <w:rPr>
                <w:rStyle w:val="28"/>
                <w:rFonts w:ascii="方正仿宋_GBK" w:hAnsi="Times New Roman" w:eastAsia="方正仿宋_GBK" w:cs="Times New Roman"/>
                <w:color w:val="auto"/>
                <w:kern w:val="2"/>
                <w:sz w:val="21"/>
                <w:szCs w:val="21"/>
                <w:highlight w:val="none"/>
                <w:lang w:val="en-US" w:eastAsia="zh-CN" w:bidi="ar-SA"/>
              </w:rPr>
            </w:pPr>
            <w:r>
              <w:rPr>
                <w:rStyle w:val="28"/>
                <w:rFonts w:hint="eastAsia" w:ascii="方正仿宋_GBK" w:hAnsi="Times New Roman" w:eastAsia="方正仿宋_GBK" w:cs="方正仿宋_GBK"/>
                <w:color w:val="auto"/>
                <w:kern w:val="2"/>
                <w:sz w:val="21"/>
                <w:szCs w:val="21"/>
                <w:highlight w:val="none"/>
                <w:lang w:val="en-US" w:eastAsia="zh-CN" w:bidi="ar-SA"/>
              </w:rPr>
              <w:t>其它特殊情况下的防护费用，如：城市主干道、人流密集、河边等处施工及文物、古建筑、古树保护等。</w:t>
            </w:r>
          </w:p>
        </w:tc>
      </w:tr>
    </w:tbl>
    <w:p w14:paraId="58299300">
      <w:pPr>
        <w:pStyle w:val="47"/>
        <w:spacing w:line="240" w:lineRule="atLeast"/>
        <w:ind w:firstLine="546"/>
        <w:jc w:val="center"/>
        <w:rPr>
          <w:rStyle w:val="28"/>
          <w:rFonts w:ascii="Times New Roman" w:hAnsi="Times New Roman" w:eastAsia="宋体" w:cs="Times New Roman"/>
          <w:b/>
          <w:bCs/>
          <w:color w:val="auto"/>
          <w:w w:val="90"/>
          <w:sz w:val="24"/>
          <w:szCs w:val="24"/>
          <w:highlight w:val="none"/>
        </w:rPr>
      </w:pPr>
    </w:p>
    <w:p w14:paraId="027C3482">
      <w:pPr>
        <w:pStyle w:val="47"/>
        <w:spacing w:before="120" w:beforeLines="50"/>
        <w:ind w:firstLine="420" w:firstLineChars="200"/>
        <w:rPr>
          <w:rStyle w:val="28"/>
          <w:rFonts w:ascii="Times New Roman" w:hAnsi="Times New Roman" w:eastAsia="宋体" w:cs="宋体"/>
          <w:color w:val="auto"/>
          <w:szCs w:val="21"/>
          <w:highlight w:val="none"/>
        </w:rPr>
      </w:pPr>
      <w:r>
        <w:rPr>
          <w:rStyle w:val="28"/>
          <w:rFonts w:hint="eastAsia" w:ascii="Times New Roman" w:hAnsi="Times New Roman" w:eastAsia="宋体" w:cs="宋体"/>
          <w:color w:val="auto"/>
          <w:szCs w:val="21"/>
          <w:highlight w:val="none"/>
        </w:rPr>
        <w:t>注：本表所列建筑工程安全文明施工费，是依据现行法律法规及标准规范确定的。如法律法规和标准规范修订，本表所列项目应按照修订后的法律法规和标准规范进行调整。</w:t>
      </w:r>
    </w:p>
    <w:p w14:paraId="5E9736F0">
      <w:pPr>
        <w:pStyle w:val="47"/>
        <w:spacing w:before="120" w:beforeLines="50"/>
        <w:ind w:firstLine="420" w:firstLineChars="200"/>
        <w:rPr>
          <w:rStyle w:val="28"/>
          <w:rFonts w:ascii="Times New Roman" w:hAnsi="Times New Roman" w:eastAsia="宋体" w:cs="宋体"/>
          <w:color w:val="auto"/>
          <w:szCs w:val="21"/>
          <w:highlight w:val="none"/>
        </w:rPr>
      </w:pPr>
    </w:p>
    <w:p w14:paraId="6AD23C17">
      <w:pPr>
        <w:spacing w:line="500" w:lineRule="exact"/>
        <w:ind w:firstLine="420" w:firstLineChars="200"/>
        <w:rPr>
          <w:rFonts w:ascii="宋体" w:hAnsi="宋体" w:cs="宋体"/>
          <w:color w:val="auto"/>
          <w:szCs w:val="21"/>
          <w:highlight w:val="none"/>
        </w:rPr>
      </w:pPr>
    </w:p>
    <w:p w14:paraId="6CB579C4">
      <w:pPr>
        <w:numPr>
          <w:ilvl w:val="0"/>
          <w:numId w:val="0"/>
        </w:numPr>
        <w:snapToGrid w:val="0"/>
        <w:spacing w:line="360" w:lineRule="auto"/>
        <w:rPr>
          <w:rFonts w:hint="eastAsia" w:ascii="宋体" w:hAnsi="宋体" w:eastAsia="宋体" w:cs="宋体"/>
          <w:b/>
          <w:color w:val="auto"/>
          <w:sz w:val="30"/>
          <w:szCs w:val="30"/>
          <w:highlight w:val="none"/>
          <w:lang w:val="en-US" w:eastAsia="zh-CN"/>
        </w:rPr>
      </w:pPr>
    </w:p>
    <w:p w14:paraId="432BBF9E">
      <w:pPr>
        <w:pStyle w:val="3"/>
        <w:jc w:val="center"/>
        <w:rPr>
          <w:rFonts w:hint="eastAsia" w:ascii="宋体" w:hAnsi="宋体" w:cs="宋体"/>
          <w:b w:val="0"/>
          <w:bCs w:val="0"/>
          <w:color w:val="auto"/>
          <w:highlight w:val="none"/>
        </w:rPr>
      </w:pPr>
      <w:bookmarkStart w:id="93" w:name="_Toc80205940"/>
    </w:p>
    <w:p w14:paraId="0D9CA67E">
      <w:pPr>
        <w:pStyle w:val="3"/>
        <w:jc w:val="both"/>
        <w:rPr>
          <w:rFonts w:hint="eastAsia" w:ascii="宋体" w:hAnsi="宋体" w:cs="宋体"/>
          <w:b w:val="0"/>
          <w:bCs w:val="0"/>
          <w:color w:val="auto"/>
          <w:highlight w:val="none"/>
        </w:rPr>
      </w:pPr>
    </w:p>
    <w:p w14:paraId="6E0E1DA2">
      <w:pPr>
        <w:rPr>
          <w:rFonts w:hint="eastAsia"/>
          <w:color w:val="auto"/>
          <w:highlight w:val="none"/>
        </w:rPr>
      </w:pPr>
    </w:p>
    <w:p w14:paraId="44C31418">
      <w:pPr>
        <w:pStyle w:val="3"/>
        <w:jc w:val="center"/>
        <w:rPr>
          <w:rFonts w:hint="eastAsia" w:ascii="宋体" w:hAnsi="宋体" w:cs="宋体"/>
          <w:b w:val="0"/>
          <w:bCs w:val="0"/>
          <w:color w:val="auto"/>
          <w:highlight w:val="none"/>
        </w:rPr>
      </w:pPr>
    </w:p>
    <w:p w14:paraId="36B6975B">
      <w:pPr>
        <w:pStyle w:val="3"/>
        <w:jc w:val="center"/>
        <w:rPr>
          <w:rFonts w:ascii="宋体" w:hAnsi="宋体" w:cs="宋体"/>
          <w:b w:val="0"/>
          <w:color w:val="auto"/>
          <w:highlight w:val="none"/>
        </w:rPr>
      </w:pPr>
      <w:bookmarkStart w:id="94" w:name="_Toc31618"/>
      <w:r>
        <w:rPr>
          <w:rFonts w:hint="eastAsia" w:ascii="宋体" w:hAnsi="宋体" w:cs="宋体"/>
          <w:b w:val="0"/>
          <w:bCs w:val="0"/>
          <w:color w:val="auto"/>
          <w:highlight w:val="none"/>
        </w:rPr>
        <w:t xml:space="preserve">第三节 </w:t>
      </w:r>
      <w:r>
        <w:rPr>
          <w:rFonts w:hint="eastAsia" w:ascii="宋体" w:hAnsi="宋体" w:cs="宋体"/>
          <w:b w:val="0"/>
          <w:color w:val="auto"/>
          <w:highlight w:val="none"/>
        </w:rPr>
        <w:t>商务技术文件格式</w:t>
      </w:r>
      <w:bookmarkEnd w:id="93"/>
      <w:bookmarkEnd w:id="94"/>
    </w:p>
    <w:p w14:paraId="36E16731">
      <w:pPr>
        <w:snapToGrid w:val="0"/>
        <w:spacing w:before="120" w:beforeLines="50" w:after="50"/>
        <w:rPr>
          <w:rFonts w:ascii="宋体" w:hAnsi="宋体" w:cs="宋体"/>
          <w:bCs/>
          <w:color w:val="auto"/>
          <w:sz w:val="32"/>
          <w:szCs w:val="20"/>
          <w:highlight w:val="none"/>
        </w:rPr>
      </w:pPr>
      <w:r>
        <w:rPr>
          <w:rFonts w:hint="eastAsia" w:ascii="宋体" w:hAnsi="宋体" w:cs="宋体"/>
          <w:color w:val="auto"/>
          <w:sz w:val="24"/>
          <w:highlight w:val="none"/>
        </w:rPr>
        <w:t xml:space="preserve">                                                    </w:t>
      </w:r>
      <w:r>
        <w:rPr>
          <w:rFonts w:hint="eastAsia" w:ascii="宋体" w:hAnsi="宋体" w:cs="宋体"/>
          <w:bCs/>
          <w:color w:val="auto"/>
          <w:highlight w:val="none"/>
        </w:rPr>
        <w:t>全流程电子文件</w:t>
      </w:r>
    </w:p>
    <w:p w14:paraId="54A42DA2">
      <w:pPr>
        <w:snapToGrid w:val="0"/>
        <w:spacing w:before="120" w:beforeLines="50" w:after="50"/>
        <w:rPr>
          <w:rFonts w:ascii="宋体" w:hAnsi="宋体" w:cs="宋体"/>
          <w:color w:val="auto"/>
          <w:sz w:val="24"/>
          <w:szCs w:val="20"/>
          <w:highlight w:val="none"/>
        </w:rPr>
      </w:pPr>
    </w:p>
    <w:p w14:paraId="46A2F2AD">
      <w:pPr>
        <w:snapToGrid w:val="0"/>
        <w:spacing w:before="120" w:beforeLines="50" w:after="50"/>
        <w:rPr>
          <w:rFonts w:ascii="宋体" w:hAnsi="宋体" w:cs="宋体"/>
          <w:color w:val="auto"/>
          <w:sz w:val="24"/>
          <w:szCs w:val="20"/>
          <w:highlight w:val="none"/>
        </w:rPr>
      </w:pPr>
    </w:p>
    <w:p w14:paraId="30311F6B">
      <w:pPr>
        <w:snapToGrid w:val="0"/>
        <w:spacing w:before="120" w:beforeLines="50" w:after="50"/>
        <w:rPr>
          <w:rFonts w:ascii="宋体" w:hAnsi="宋体" w:cs="宋体"/>
          <w:color w:val="auto"/>
          <w:sz w:val="24"/>
          <w:szCs w:val="20"/>
          <w:highlight w:val="none"/>
        </w:rPr>
      </w:pPr>
    </w:p>
    <w:p w14:paraId="287F931A">
      <w:pPr>
        <w:snapToGrid w:val="0"/>
        <w:spacing w:before="120" w:beforeLines="50" w:after="50"/>
        <w:jc w:val="center"/>
        <w:rPr>
          <w:rFonts w:ascii="宋体" w:hAnsi="宋体" w:cs="宋体"/>
          <w:bCs/>
          <w:color w:val="auto"/>
          <w:sz w:val="44"/>
          <w:szCs w:val="44"/>
          <w:highlight w:val="none"/>
        </w:rPr>
      </w:pPr>
      <w:r>
        <w:rPr>
          <w:rFonts w:hint="eastAsia" w:ascii="宋体" w:hAnsi="宋体" w:cs="宋体"/>
          <w:bCs/>
          <w:color w:val="auto"/>
          <w:sz w:val="44"/>
          <w:szCs w:val="44"/>
          <w:highlight w:val="none"/>
        </w:rPr>
        <w:t>商  务  技  术  文  件（封面）</w:t>
      </w:r>
    </w:p>
    <w:p w14:paraId="3DFE4FD2">
      <w:pPr>
        <w:snapToGrid w:val="0"/>
        <w:spacing w:before="120" w:beforeLines="50" w:after="50"/>
        <w:rPr>
          <w:rFonts w:ascii="宋体" w:hAnsi="宋体" w:cs="宋体"/>
          <w:bCs/>
          <w:color w:val="auto"/>
          <w:sz w:val="24"/>
          <w:szCs w:val="20"/>
          <w:highlight w:val="none"/>
        </w:rPr>
      </w:pPr>
    </w:p>
    <w:p w14:paraId="1294536F">
      <w:pPr>
        <w:snapToGrid w:val="0"/>
        <w:spacing w:before="120" w:beforeLines="50" w:after="50"/>
        <w:rPr>
          <w:rFonts w:ascii="宋体" w:hAnsi="宋体" w:cs="宋体"/>
          <w:bCs/>
          <w:color w:val="auto"/>
          <w:sz w:val="24"/>
          <w:szCs w:val="20"/>
          <w:highlight w:val="none"/>
        </w:rPr>
      </w:pPr>
    </w:p>
    <w:p w14:paraId="00749D35">
      <w:pPr>
        <w:snapToGrid w:val="0"/>
        <w:spacing w:before="120" w:beforeLines="50" w:after="50"/>
        <w:rPr>
          <w:rFonts w:ascii="宋体" w:hAnsi="宋体" w:cs="宋体"/>
          <w:bCs/>
          <w:color w:val="auto"/>
          <w:sz w:val="24"/>
          <w:szCs w:val="20"/>
          <w:highlight w:val="none"/>
        </w:rPr>
      </w:pPr>
    </w:p>
    <w:p w14:paraId="788167D3">
      <w:pPr>
        <w:snapToGrid w:val="0"/>
        <w:spacing w:before="120" w:beforeLines="50" w:after="50"/>
        <w:rPr>
          <w:rFonts w:ascii="宋体" w:hAnsi="宋体" w:cs="宋体"/>
          <w:bCs/>
          <w:color w:val="auto"/>
          <w:sz w:val="24"/>
          <w:szCs w:val="20"/>
          <w:highlight w:val="none"/>
        </w:rPr>
      </w:pPr>
    </w:p>
    <w:p w14:paraId="007342A9">
      <w:pPr>
        <w:snapToGrid w:val="0"/>
        <w:spacing w:before="120" w:beforeLines="50" w:after="50"/>
        <w:rPr>
          <w:rFonts w:ascii="宋体" w:hAnsi="宋体" w:cs="宋体"/>
          <w:bCs/>
          <w:color w:val="auto"/>
          <w:sz w:val="24"/>
          <w:szCs w:val="20"/>
          <w:highlight w:val="none"/>
        </w:rPr>
      </w:pPr>
    </w:p>
    <w:p w14:paraId="77BF445D">
      <w:pPr>
        <w:snapToGrid w:val="0"/>
        <w:spacing w:before="120" w:beforeLines="50" w:after="50"/>
        <w:ind w:firstLine="640" w:firstLineChars="200"/>
        <w:rPr>
          <w:rFonts w:ascii="宋体" w:hAnsi="宋体" w:cs="宋体"/>
          <w:bCs/>
          <w:color w:val="auto"/>
          <w:sz w:val="32"/>
          <w:szCs w:val="32"/>
          <w:highlight w:val="none"/>
        </w:rPr>
      </w:pPr>
      <w:r>
        <w:rPr>
          <w:rFonts w:hint="eastAsia" w:ascii="宋体" w:hAnsi="宋体" w:cs="宋体"/>
          <w:bCs/>
          <w:color w:val="auto"/>
          <w:sz w:val="32"/>
          <w:szCs w:val="32"/>
          <w:highlight w:val="none"/>
        </w:rPr>
        <w:t>项目名称：</w:t>
      </w:r>
      <w:bookmarkStart w:id="95" w:name="PO_3000001868_PM002_6"/>
      <w:r>
        <w:rPr>
          <w:rFonts w:hint="eastAsia" w:ascii="宋体" w:hAnsi="宋体" w:cs="宋体"/>
          <w:bCs/>
          <w:color w:val="auto"/>
          <w:sz w:val="32"/>
          <w:szCs w:val="32"/>
          <w:highlight w:val="none"/>
        </w:rPr>
        <w:t>[项目名称]</w:t>
      </w:r>
      <w:bookmarkEnd w:id="95"/>
    </w:p>
    <w:p w14:paraId="1A61197C">
      <w:pPr>
        <w:snapToGrid w:val="0"/>
        <w:spacing w:before="120" w:beforeLines="50" w:after="50"/>
        <w:ind w:firstLine="720" w:firstLineChars="225"/>
        <w:rPr>
          <w:rFonts w:ascii="宋体" w:hAnsi="宋体" w:cs="宋体"/>
          <w:bCs/>
          <w:color w:val="auto"/>
          <w:sz w:val="32"/>
          <w:szCs w:val="32"/>
          <w:highlight w:val="none"/>
        </w:rPr>
      </w:pPr>
    </w:p>
    <w:p w14:paraId="197ED151">
      <w:pPr>
        <w:snapToGrid w:val="0"/>
        <w:spacing w:before="120" w:beforeLines="50" w:after="50"/>
        <w:ind w:firstLine="640" w:firstLineChars="200"/>
        <w:rPr>
          <w:rFonts w:ascii="宋体" w:hAnsi="宋体" w:cs="宋体"/>
          <w:bCs/>
          <w:color w:val="auto"/>
          <w:sz w:val="32"/>
          <w:szCs w:val="32"/>
          <w:highlight w:val="none"/>
        </w:rPr>
      </w:pPr>
      <w:r>
        <w:rPr>
          <w:rFonts w:hint="eastAsia" w:ascii="宋体" w:hAnsi="宋体" w:cs="宋体"/>
          <w:bCs/>
          <w:color w:val="auto"/>
          <w:sz w:val="32"/>
          <w:szCs w:val="32"/>
          <w:highlight w:val="none"/>
        </w:rPr>
        <w:t>项目编号：</w:t>
      </w:r>
      <w:bookmarkStart w:id="96" w:name="PO_3000001868_PM001_7"/>
      <w:r>
        <w:rPr>
          <w:rFonts w:hint="eastAsia" w:ascii="宋体" w:hAnsi="宋体" w:cs="宋体"/>
          <w:bCs/>
          <w:color w:val="auto"/>
          <w:sz w:val="32"/>
          <w:szCs w:val="32"/>
          <w:highlight w:val="none"/>
        </w:rPr>
        <w:t>[项目编号]</w:t>
      </w:r>
      <w:bookmarkEnd w:id="96"/>
    </w:p>
    <w:p w14:paraId="2A2A0000">
      <w:pPr>
        <w:snapToGrid w:val="0"/>
        <w:spacing w:before="120" w:beforeLines="50" w:after="50"/>
        <w:ind w:firstLine="720" w:firstLineChars="225"/>
        <w:rPr>
          <w:rFonts w:ascii="宋体" w:hAnsi="宋体" w:cs="宋体"/>
          <w:bCs/>
          <w:color w:val="auto"/>
          <w:sz w:val="32"/>
          <w:szCs w:val="32"/>
          <w:highlight w:val="none"/>
        </w:rPr>
      </w:pPr>
      <w:r>
        <w:rPr>
          <w:rFonts w:hint="eastAsia" w:ascii="宋体" w:hAnsi="宋体" w:cs="宋体"/>
          <w:bCs/>
          <w:color w:val="auto"/>
          <w:sz w:val="32"/>
          <w:szCs w:val="32"/>
          <w:highlight w:val="none"/>
        </w:rPr>
        <w:t xml:space="preserve"> </w:t>
      </w:r>
    </w:p>
    <w:p w14:paraId="576CE661">
      <w:pPr>
        <w:snapToGrid w:val="0"/>
        <w:spacing w:before="120" w:beforeLines="50" w:after="50"/>
        <w:ind w:firstLine="640" w:firstLineChars="200"/>
        <w:rPr>
          <w:rFonts w:ascii="宋体" w:hAnsi="宋体" w:cs="宋体"/>
          <w:bCs/>
          <w:color w:val="auto"/>
          <w:sz w:val="32"/>
          <w:szCs w:val="32"/>
          <w:highlight w:val="none"/>
        </w:rPr>
      </w:pPr>
      <w:r>
        <w:rPr>
          <w:rFonts w:hint="eastAsia" w:ascii="宋体" w:hAnsi="宋体" w:cs="宋体"/>
          <w:bCs/>
          <w:color w:val="auto"/>
          <w:sz w:val="32"/>
          <w:szCs w:val="32"/>
          <w:highlight w:val="none"/>
        </w:rPr>
        <w:t>所竞分标（如有则填写，无分标时填写“无”或者留空）：</w:t>
      </w:r>
    </w:p>
    <w:p w14:paraId="27E77940">
      <w:pPr>
        <w:snapToGrid w:val="0"/>
        <w:spacing w:before="120" w:beforeLines="50" w:after="50"/>
        <w:ind w:firstLine="720" w:firstLineChars="225"/>
        <w:rPr>
          <w:rFonts w:ascii="宋体" w:hAnsi="宋体" w:cs="宋体"/>
          <w:bCs/>
          <w:color w:val="auto"/>
          <w:sz w:val="32"/>
          <w:szCs w:val="32"/>
          <w:highlight w:val="none"/>
        </w:rPr>
      </w:pPr>
    </w:p>
    <w:p w14:paraId="1646FF5E">
      <w:pPr>
        <w:pStyle w:val="8"/>
        <w:snapToGrid w:val="0"/>
        <w:spacing w:before="50" w:after="50"/>
        <w:ind w:firstLine="640" w:firstLineChars="200"/>
        <w:rPr>
          <w:rFonts w:ascii="宋体" w:hAnsi="宋体" w:cs="宋体"/>
          <w:bCs/>
          <w:color w:val="auto"/>
          <w:sz w:val="32"/>
          <w:szCs w:val="32"/>
          <w:highlight w:val="none"/>
        </w:rPr>
      </w:pPr>
      <w:r>
        <w:rPr>
          <w:rFonts w:hint="eastAsia" w:ascii="宋体" w:hAnsi="宋体" w:cs="宋体"/>
          <w:bCs/>
          <w:color w:val="auto"/>
          <w:sz w:val="32"/>
          <w:szCs w:val="32"/>
          <w:highlight w:val="none"/>
        </w:rPr>
        <w:t>供应商名称：</w:t>
      </w:r>
    </w:p>
    <w:p w14:paraId="357B4653">
      <w:pPr>
        <w:pStyle w:val="8"/>
        <w:snapToGrid w:val="0"/>
        <w:spacing w:before="50" w:after="50"/>
        <w:ind w:firstLine="720" w:firstLineChars="225"/>
        <w:rPr>
          <w:rFonts w:ascii="宋体" w:hAnsi="宋体" w:cs="宋体"/>
          <w:bCs/>
          <w:color w:val="auto"/>
          <w:sz w:val="32"/>
          <w:szCs w:val="32"/>
          <w:highlight w:val="none"/>
        </w:rPr>
      </w:pPr>
    </w:p>
    <w:p w14:paraId="19281762">
      <w:pPr>
        <w:pStyle w:val="8"/>
        <w:snapToGrid w:val="0"/>
        <w:spacing w:before="50" w:after="50"/>
        <w:ind w:firstLine="720" w:firstLineChars="225"/>
        <w:rPr>
          <w:rFonts w:ascii="宋体" w:hAnsi="宋体" w:cs="宋体"/>
          <w:bCs/>
          <w:color w:val="auto"/>
          <w:sz w:val="32"/>
          <w:szCs w:val="32"/>
          <w:highlight w:val="none"/>
        </w:rPr>
      </w:pPr>
    </w:p>
    <w:p w14:paraId="2F3CDAA7">
      <w:pPr>
        <w:pStyle w:val="8"/>
        <w:snapToGrid w:val="0"/>
        <w:spacing w:before="50" w:after="50"/>
        <w:ind w:firstLine="1280" w:firstLineChars="400"/>
        <w:rPr>
          <w:rFonts w:ascii="宋体" w:hAnsi="宋体" w:cs="宋体"/>
          <w:bCs/>
          <w:color w:val="auto"/>
          <w:sz w:val="32"/>
          <w:szCs w:val="32"/>
          <w:highlight w:val="none"/>
        </w:rPr>
      </w:pPr>
    </w:p>
    <w:p w14:paraId="2B70AFDC">
      <w:pPr>
        <w:snapToGrid w:val="0"/>
        <w:spacing w:before="120" w:beforeLines="50" w:after="50"/>
        <w:jc w:val="center"/>
        <w:rPr>
          <w:rFonts w:ascii="宋体" w:hAnsi="宋体" w:cs="宋体"/>
          <w:color w:val="auto"/>
          <w:sz w:val="32"/>
          <w:szCs w:val="32"/>
          <w:highlight w:val="none"/>
        </w:rPr>
      </w:pPr>
      <w:r>
        <w:rPr>
          <w:rFonts w:hint="eastAsia" w:ascii="宋体" w:hAnsi="宋体" w:cs="宋体"/>
          <w:color w:val="auto"/>
          <w:sz w:val="32"/>
          <w:szCs w:val="32"/>
          <w:highlight w:val="none"/>
        </w:rPr>
        <w:t>年    月    日</w:t>
      </w:r>
    </w:p>
    <w:p w14:paraId="6649070E">
      <w:pPr>
        <w:widowControl/>
        <w:spacing w:line="360" w:lineRule="auto"/>
        <w:jc w:val="left"/>
        <w:rPr>
          <w:rFonts w:ascii="宋体" w:hAnsi="宋体" w:cs="宋体"/>
          <w:b/>
          <w:bCs/>
          <w:color w:val="auto"/>
          <w:sz w:val="32"/>
          <w:szCs w:val="32"/>
          <w:highlight w:val="none"/>
        </w:rPr>
        <w:sectPr>
          <w:pgSz w:w="11910" w:h="16840"/>
          <w:pgMar w:top="1134" w:right="1134" w:bottom="1134" w:left="1134" w:header="720" w:footer="720" w:gutter="0"/>
          <w:cols w:space="0" w:num="1"/>
          <w:rtlGutter w:val="0"/>
        </w:sectPr>
      </w:pPr>
    </w:p>
    <w:p w14:paraId="427987A9">
      <w:pPr>
        <w:jc w:val="center"/>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商务技术文件目录</w:t>
      </w:r>
    </w:p>
    <w:p w14:paraId="4483C036">
      <w:pPr>
        <w:jc w:val="center"/>
        <w:rPr>
          <w:rFonts w:ascii="宋体" w:hAnsi="宋体" w:cs="宋体"/>
          <w:b/>
          <w:color w:val="auto"/>
          <w:kern w:val="0"/>
          <w:sz w:val="28"/>
          <w:szCs w:val="28"/>
          <w:highlight w:val="none"/>
        </w:rPr>
      </w:pPr>
    </w:p>
    <w:p w14:paraId="3F825ACC">
      <w:pPr>
        <w:pStyle w:val="37"/>
        <w:spacing w:line="360" w:lineRule="auto"/>
        <w:rPr>
          <w:rFonts w:ascii="宋体" w:hAnsi="宋体" w:eastAsia="宋体" w:cs="宋体"/>
          <w:color w:val="auto"/>
          <w:highlight w:val="none"/>
        </w:rPr>
      </w:pPr>
      <w:r>
        <w:rPr>
          <w:rFonts w:hint="eastAsia" w:ascii="宋体" w:hAnsi="宋体" w:eastAsia="宋体" w:cs="宋体"/>
          <w:color w:val="auto"/>
          <w:highlight w:val="none"/>
        </w:rPr>
        <w:t>一、无串标行为承诺函………………………………………………………（页码）</w:t>
      </w:r>
    </w:p>
    <w:p w14:paraId="06E20FCA">
      <w:pPr>
        <w:pStyle w:val="37"/>
        <w:spacing w:line="360" w:lineRule="auto"/>
        <w:rPr>
          <w:rFonts w:ascii="宋体" w:hAnsi="宋体" w:eastAsia="宋体" w:cs="宋体"/>
          <w:color w:val="auto"/>
          <w:highlight w:val="none"/>
        </w:rPr>
      </w:pPr>
      <w:r>
        <w:rPr>
          <w:rFonts w:hint="eastAsia" w:ascii="宋体" w:hAnsi="宋体" w:eastAsia="宋体" w:cs="宋体"/>
          <w:color w:val="auto"/>
          <w:highlight w:val="none"/>
        </w:rPr>
        <w:t>二、法定代表人身份证明及法定代表人有效身份证正反面复印件………（页码）</w:t>
      </w:r>
    </w:p>
    <w:p w14:paraId="29847D65">
      <w:pPr>
        <w:pStyle w:val="37"/>
        <w:spacing w:line="360" w:lineRule="auto"/>
        <w:rPr>
          <w:rFonts w:ascii="宋体" w:hAnsi="宋体" w:eastAsia="宋体" w:cs="宋体"/>
          <w:color w:val="auto"/>
          <w:highlight w:val="none"/>
        </w:rPr>
      </w:pPr>
      <w:r>
        <w:rPr>
          <w:rFonts w:hint="eastAsia" w:ascii="宋体" w:hAnsi="宋体" w:eastAsia="宋体" w:cs="宋体"/>
          <w:color w:val="auto"/>
          <w:highlight w:val="none"/>
        </w:rPr>
        <w:t>三、法定代表人授权委托书（如有委托时）………………………………（页码）</w:t>
      </w:r>
    </w:p>
    <w:p w14:paraId="5ACB4A55">
      <w:pPr>
        <w:pStyle w:val="37"/>
        <w:spacing w:line="360" w:lineRule="auto"/>
        <w:rPr>
          <w:rFonts w:ascii="宋体" w:hAnsi="宋体" w:eastAsia="宋体" w:cs="宋体"/>
          <w:color w:val="auto"/>
          <w:highlight w:val="none"/>
        </w:rPr>
      </w:pPr>
      <w:r>
        <w:rPr>
          <w:rFonts w:hint="eastAsia" w:ascii="宋体" w:hAnsi="宋体" w:eastAsia="宋体" w:cs="宋体"/>
          <w:color w:val="auto"/>
          <w:highlight w:val="none"/>
        </w:rPr>
        <w:t>四、</w:t>
      </w:r>
      <w:r>
        <w:rPr>
          <w:rFonts w:hint="eastAsia" w:ascii="宋体" w:hAnsi="宋体" w:eastAsia="宋体" w:cs="宋体"/>
          <w:color w:val="auto"/>
          <w:highlight w:val="none"/>
          <w:lang w:val="zh-CN"/>
        </w:rPr>
        <w:t>商务条款偏离表………………………………</w:t>
      </w:r>
      <w:r>
        <w:rPr>
          <w:rFonts w:hint="eastAsia" w:ascii="宋体" w:hAnsi="宋体" w:eastAsia="宋体" w:cs="宋体"/>
          <w:color w:val="auto"/>
          <w:highlight w:val="none"/>
        </w:rPr>
        <w:t>…………………………（页码）</w:t>
      </w:r>
    </w:p>
    <w:p w14:paraId="43EF7306">
      <w:pPr>
        <w:pStyle w:val="37"/>
        <w:spacing w:line="360" w:lineRule="auto"/>
        <w:rPr>
          <w:rFonts w:ascii="宋体" w:hAnsi="宋体" w:eastAsia="宋体" w:cs="宋体"/>
          <w:color w:val="auto"/>
          <w:highlight w:val="none"/>
        </w:rPr>
      </w:pPr>
      <w:bookmarkStart w:id="97" w:name="OLE_LINK6"/>
      <w:bookmarkStart w:id="98" w:name="OLE_LINK7"/>
      <w:bookmarkStart w:id="99" w:name="OLE_LINK5"/>
      <w:r>
        <w:rPr>
          <w:rFonts w:hint="eastAsia" w:ascii="宋体" w:hAnsi="宋体" w:eastAsia="宋体" w:cs="宋体"/>
          <w:color w:val="auto"/>
          <w:highlight w:val="none"/>
        </w:rPr>
        <w:t>五、竞标人情况介绍</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541C8658">
      <w:pPr>
        <w:pStyle w:val="37"/>
        <w:spacing w:line="360" w:lineRule="auto"/>
        <w:rPr>
          <w:rFonts w:ascii="宋体" w:hAnsi="宋体" w:eastAsia="宋体" w:cs="宋体"/>
          <w:color w:val="auto"/>
          <w:highlight w:val="none"/>
        </w:rPr>
      </w:pPr>
      <w:r>
        <w:rPr>
          <w:rFonts w:hint="eastAsia" w:ascii="宋体" w:hAnsi="宋体" w:eastAsia="宋体" w:cs="宋体"/>
          <w:color w:val="auto"/>
          <w:highlight w:val="none"/>
        </w:rPr>
        <w:t>六、供应商类似业绩的证明文件（如有要求）</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bookmarkEnd w:id="97"/>
      <w:bookmarkEnd w:id="98"/>
    </w:p>
    <w:bookmarkEnd w:id="99"/>
    <w:p w14:paraId="655ABDA6">
      <w:pPr>
        <w:pStyle w:val="37"/>
        <w:spacing w:line="360" w:lineRule="auto"/>
        <w:rPr>
          <w:rFonts w:ascii="宋体" w:hAnsi="宋体" w:eastAsia="宋体" w:cs="宋体"/>
          <w:color w:val="auto"/>
          <w:highlight w:val="none"/>
        </w:rPr>
      </w:pPr>
      <w:r>
        <w:rPr>
          <w:rFonts w:hint="eastAsia" w:ascii="宋体" w:hAnsi="宋体" w:eastAsia="宋体" w:cs="宋体"/>
          <w:color w:val="auto"/>
          <w:highlight w:val="none"/>
        </w:rPr>
        <w:t>七、服务需求偏离表…………………………………………………………（页码）</w:t>
      </w:r>
    </w:p>
    <w:p w14:paraId="2BA7F4E0">
      <w:pPr>
        <w:pStyle w:val="37"/>
        <w:spacing w:line="360" w:lineRule="auto"/>
        <w:rPr>
          <w:rFonts w:ascii="宋体" w:hAnsi="宋体" w:eastAsia="宋体" w:cs="宋体"/>
          <w:color w:val="auto"/>
          <w:highlight w:val="none"/>
        </w:rPr>
      </w:pPr>
      <w:r>
        <w:rPr>
          <w:rFonts w:hint="eastAsia" w:ascii="宋体" w:hAnsi="宋体" w:eastAsia="宋体" w:cs="宋体"/>
          <w:color w:val="auto"/>
          <w:highlight w:val="none"/>
          <w:lang w:val="en-US" w:eastAsia="zh-CN"/>
        </w:rPr>
        <w:t>八</w:t>
      </w:r>
      <w:r>
        <w:rPr>
          <w:rFonts w:hint="eastAsia" w:ascii="宋体" w:hAnsi="宋体" w:eastAsia="宋体" w:cs="宋体"/>
          <w:color w:val="auto"/>
          <w:highlight w:val="none"/>
        </w:rPr>
        <w:t>、售后服务承诺………………………………</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6569FA75">
      <w:pPr>
        <w:pStyle w:val="37"/>
        <w:spacing w:line="360" w:lineRule="auto"/>
        <w:rPr>
          <w:rFonts w:ascii="宋体" w:hAnsi="宋体" w:eastAsia="宋体" w:cs="宋体"/>
          <w:color w:val="auto"/>
          <w:highlight w:val="none"/>
        </w:rPr>
      </w:pPr>
      <w:r>
        <w:rPr>
          <w:rFonts w:hint="eastAsia" w:ascii="宋体" w:hAnsi="宋体" w:eastAsia="宋体" w:cs="宋体"/>
          <w:color w:val="auto"/>
          <w:highlight w:val="none"/>
        </w:rPr>
        <w:t>九、</w:t>
      </w:r>
      <w:r>
        <w:rPr>
          <w:rFonts w:hint="eastAsia" w:ascii="宋体" w:hAnsi="宋体" w:eastAsia="宋体" w:cs="宋体"/>
          <w:color w:val="auto"/>
          <w:highlight w:val="none"/>
          <w:lang w:val="zh-CN"/>
        </w:rPr>
        <w:t>项目实施人员一览表………………………………</w:t>
      </w:r>
      <w:r>
        <w:rPr>
          <w:rFonts w:hint="eastAsia" w:ascii="宋体" w:hAnsi="宋体" w:eastAsia="宋体" w:cs="宋体"/>
          <w:color w:val="auto"/>
          <w:highlight w:val="none"/>
        </w:rPr>
        <w:t>……………………（页码）</w:t>
      </w:r>
    </w:p>
    <w:p w14:paraId="2DBA467A">
      <w:pPr>
        <w:pStyle w:val="37"/>
        <w:spacing w:line="360" w:lineRule="auto"/>
        <w:rPr>
          <w:rFonts w:ascii="宋体" w:hAnsi="宋体" w:eastAsia="宋体" w:cs="宋体"/>
          <w:color w:val="auto"/>
          <w:highlight w:val="none"/>
        </w:rPr>
      </w:pPr>
      <w:r>
        <w:rPr>
          <w:rFonts w:hint="eastAsia" w:ascii="宋体" w:hAnsi="宋体" w:eastAsia="宋体" w:cs="宋体"/>
          <w:color w:val="auto"/>
          <w:highlight w:val="none"/>
        </w:rPr>
        <w:t>十、服务需求、商务条款要求提供的其他材料</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5AB3063A">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注：以上目录是基本格式要求，各供应商可根据自身情况进一步向下增加内容或细化。</w:t>
      </w:r>
    </w:p>
    <w:p w14:paraId="44FC07C0">
      <w:pPr>
        <w:spacing w:line="400" w:lineRule="exact"/>
        <w:rPr>
          <w:rFonts w:ascii="宋体" w:hAnsi="宋体" w:cs="宋体"/>
          <w:color w:val="auto"/>
          <w:sz w:val="32"/>
          <w:szCs w:val="32"/>
          <w:highlight w:val="none"/>
        </w:rPr>
      </w:pPr>
    </w:p>
    <w:p w14:paraId="2833AF54">
      <w:pPr>
        <w:spacing w:line="520" w:lineRule="exact"/>
        <w:ind w:firstLine="880" w:firstLineChars="200"/>
        <w:rPr>
          <w:rFonts w:ascii="宋体" w:hAnsi="宋体" w:cs="宋体"/>
          <w:color w:val="auto"/>
          <w:sz w:val="44"/>
          <w:szCs w:val="44"/>
          <w:highlight w:val="none"/>
        </w:rPr>
      </w:pPr>
      <w:r>
        <w:rPr>
          <w:rFonts w:hint="eastAsia" w:ascii="宋体" w:hAnsi="宋体" w:cs="宋体"/>
          <w:color w:val="auto"/>
          <w:sz w:val="44"/>
          <w:szCs w:val="44"/>
          <w:highlight w:val="none"/>
        </w:rPr>
        <w:br w:type="page"/>
      </w:r>
      <w:r>
        <w:rPr>
          <w:rFonts w:hint="eastAsia" w:ascii="宋体" w:hAnsi="宋体" w:cs="宋体"/>
          <w:b/>
          <w:color w:val="auto"/>
          <w:sz w:val="30"/>
          <w:szCs w:val="30"/>
          <w:highlight w:val="none"/>
        </w:rPr>
        <w:t>一、无串标行为承诺函</w:t>
      </w:r>
    </w:p>
    <w:p w14:paraId="7611571D">
      <w:pPr>
        <w:spacing w:line="520" w:lineRule="exact"/>
        <w:jc w:val="center"/>
        <w:rPr>
          <w:rFonts w:ascii="宋体" w:hAnsi="宋体" w:cs="宋体"/>
          <w:color w:val="auto"/>
          <w:sz w:val="44"/>
          <w:szCs w:val="44"/>
          <w:highlight w:val="none"/>
        </w:rPr>
      </w:pPr>
    </w:p>
    <w:p w14:paraId="1C9280F0">
      <w:pPr>
        <w:spacing w:line="520" w:lineRule="exact"/>
        <w:jc w:val="center"/>
        <w:rPr>
          <w:rFonts w:ascii="宋体" w:hAnsi="宋体" w:cs="宋体"/>
          <w:color w:val="auto"/>
          <w:sz w:val="32"/>
          <w:szCs w:val="32"/>
          <w:highlight w:val="none"/>
        </w:rPr>
      </w:pPr>
      <w:r>
        <w:rPr>
          <w:rFonts w:hint="eastAsia" w:ascii="宋体" w:hAnsi="宋体" w:cs="宋体"/>
          <w:color w:val="auto"/>
          <w:sz w:val="44"/>
          <w:szCs w:val="44"/>
          <w:highlight w:val="none"/>
        </w:rPr>
        <w:t>无串通竞标行为的承诺函</w:t>
      </w:r>
    </w:p>
    <w:p w14:paraId="0AF04C3A">
      <w:pPr>
        <w:spacing w:line="520" w:lineRule="exact"/>
        <w:ind w:firstLine="640" w:firstLineChars="200"/>
        <w:rPr>
          <w:rFonts w:ascii="宋体" w:hAnsi="宋体" w:cs="宋体"/>
          <w:color w:val="auto"/>
          <w:sz w:val="32"/>
          <w:szCs w:val="32"/>
          <w:highlight w:val="none"/>
        </w:rPr>
      </w:pPr>
    </w:p>
    <w:p w14:paraId="6FF56AEB">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一、我方承诺无下列相互串通竞标的情形：</w:t>
      </w:r>
    </w:p>
    <w:p w14:paraId="78EB6AC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1.不同供应商的响应文件由同一单位或者个人编制；或者不同供应商报名的IP地址一致的；或者编制响应文件硬件设备CPU编号、硬盘编号、网卡地址一致的情况。  </w:t>
      </w:r>
    </w:p>
    <w:p w14:paraId="266D106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2.不同供应商委托同一单位或者个人办理竞标事宜；</w:t>
      </w:r>
    </w:p>
    <w:p w14:paraId="1AB1027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3.不同供应商的响应文件载明的项目管理员为同一个人；</w:t>
      </w:r>
    </w:p>
    <w:p w14:paraId="25AFB67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4.不</w:t>
      </w:r>
      <w:r>
        <w:rPr>
          <w:rFonts w:hint="eastAsia" w:ascii="宋体" w:hAnsi="宋体" w:cs="宋体"/>
          <w:color w:val="auto"/>
          <w:spacing w:val="-6"/>
          <w:sz w:val="24"/>
          <w:highlight w:val="none"/>
        </w:rPr>
        <w:t>同供应商的响应文件异常一致或者响应报价呈规律性差异；</w:t>
      </w:r>
    </w:p>
    <w:p w14:paraId="2A59886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5.不同供应商的响应文件相互混装；</w:t>
      </w:r>
    </w:p>
    <w:p w14:paraId="18A3F03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6.不同供应商的磋商保证金从同一单位或者个人账户转出。</w:t>
      </w:r>
    </w:p>
    <w:p w14:paraId="13AB9097">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二、我方承诺无下列恶意串通的情形：</w:t>
      </w:r>
    </w:p>
    <w:p w14:paraId="6992ED2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1.供应商直接或者间接从采购人或者采购代理机构处获得其他供应商的相关信息并修改其响应文件；</w:t>
      </w:r>
    </w:p>
    <w:p w14:paraId="75F23CA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2.供应商按照采购人或者采购代理机构的授意撤换、修改响应文件；</w:t>
      </w:r>
    </w:p>
    <w:p w14:paraId="1A197EA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w:t>
      </w:r>
      <w:r>
        <w:rPr>
          <w:rFonts w:hint="eastAsia" w:ascii="宋体" w:hAnsi="宋体" w:cs="宋体"/>
          <w:color w:val="auto"/>
          <w:spacing w:val="-6"/>
          <w:sz w:val="24"/>
          <w:highlight w:val="none"/>
        </w:rPr>
        <w:t>应商之间协商报价、技术方案等响应文件的实质性内容；</w:t>
      </w:r>
    </w:p>
    <w:p w14:paraId="5887422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4.属于同一集团、协会、商会等组织成员的供应商按照该组织要求协同参加政府采购活动；</w:t>
      </w:r>
    </w:p>
    <w:p w14:paraId="2A8E4B5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5.供应商之间事先约定一致抬高或者压低响应报价，或者在竞争性磋商项目中事先约定轮流以高价位或者低价位成交，或者事先约定由某一特定供应商成交，然后再参加竞标；</w:t>
      </w:r>
    </w:p>
    <w:p w14:paraId="4FB40B4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6.供应商之间商定部分供应商放弃参加政府采购活动或者放弃成交；</w:t>
      </w:r>
    </w:p>
    <w:p w14:paraId="6625613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7.供应商与采购人或者采购代理机构之间、供应商相互之间，为</w:t>
      </w:r>
      <w:r>
        <w:rPr>
          <w:rFonts w:hint="eastAsia" w:ascii="宋体" w:hAnsi="宋体" w:cs="宋体"/>
          <w:color w:val="auto"/>
          <w:spacing w:val="-6"/>
          <w:sz w:val="24"/>
          <w:highlight w:val="none"/>
        </w:rPr>
        <w:t>谋求特定供应商成交或者排斥其他供应商的其他串通行为。</w:t>
      </w:r>
    </w:p>
    <w:p w14:paraId="55E049B8">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以上情形一经核查属实，接受政府采购监管部门对我方认定存在围标串标行为，我方愿意承担一切后果，并不再寻求任何旨在减轻或者免除法律责任的辩解。</w:t>
      </w:r>
    </w:p>
    <w:p w14:paraId="54B9E551">
      <w:pPr>
        <w:autoSpaceDE w:val="0"/>
        <w:autoSpaceDN w:val="0"/>
        <w:spacing w:line="360" w:lineRule="auto"/>
        <w:ind w:left="4335" w:leftChars="1950" w:hanging="240" w:hangingChars="100"/>
        <w:rPr>
          <w:rFonts w:ascii="宋体" w:hAnsi="宋体" w:cs="宋体"/>
          <w:color w:val="auto"/>
          <w:kern w:val="0"/>
          <w:sz w:val="24"/>
          <w:highlight w:val="none"/>
        </w:rPr>
      </w:pPr>
      <w:r>
        <w:rPr>
          <w:rFonts w:hint="eastAsia" w:ascii="宋体" w:hAnsi="宋体" w:cs="宋体"/>
          <w:color w:val="auto"/>
          <w:kern w:val="0"/>
          <w:sz w:val="24"/>
          <w:highlight w:val="none"/>
        </w:rPr>
        <w:t>供应商名称（电子签章）：</w:t>
      </w:r>
    </w:p>
    <w:p w14:paraId="79AC3881">
      <w:pPr>
        <w:spacing w:line="520" w:lineRule="exact"/>
        <w:ind w:left="239" w:leftChars="114" w:firstLine="6120" w:firstLineChars="2550"/>
        <w:jc w:val="left"/>
        <w:rPr>
          <w:rFonts w:ascii="宋体" w:hAnsi="宋体" w:cs="宋体"/>
          <w:bCs/>
          <w:color w:val="auto"/>
          <w:sz w:val="44"/>
          <w:szCs w:val="44"/>
          <w:highlight w:val="none"/>
        </w:rPr>
      </w:pPr>
      <w:r>
        <w:rPr>
          <w:rFonts w:hint="eastAsia" w:ascii="宋体" w:hAnsi="宋体" w:cs="宋体"/>
          <w:color w:val="auto"/>
          <w:kern w:val="0"/>
          <w:sz w:val="24"/>
          <w:highlight w:val="none"/>
          <w:lang w:val="zh-CN"/>
        </w:rPr>
        <w:t xml:space="preserve">日期：  年  月   日   </w:t>
      </w:r>
      <w:r>
        <w:rPr>
          <w:rFonts w:hint="eastAsia" w:ascii="宋体" w:hAnsi="宋体" w:cs="宋体"/>
          <w:b/>
          <w:bCs/>
          <w:color w:val="auto"/>
          <w:sz w:val="32"/>
          <w:szCs w:val="32"/>
          <w:highlight w:val="none"/>
        </w:rPr>
        <w:br w:type="page"/>
      </w:r>
      <w:r>
        <w:rPr>
          <w:rFonts w:hint="eastAsia" w:ascii="宋体" w:hAnsi="宋体" w:cs="宋体"/>
          <w:b/>
          <w:color w:val="auto"/>
          <w:sz w:val="30"/>
          <w:szCs w:val="30"/>
          <w:highlight w:val="none"/>
        </w:rPr>
        <w:t>二、法定代表人身份证明及法定代表人有效身份证正反面复印件</w:t>
      </w:r>
    </w:p>
    <w:p w14:paraId="338CA44B">
      <w:pPr>
        <w:spacing w:line="520" w:lineRule="exact"/>
        <w:jc w:val="center"/>
        <w:rPr>
          <w:rFonts w:ascii="宋体" w:hAnsi="宋体" w:cs="宋体"/>
          <w:color w:val="auto"/>
          <w:sz w:val="32"/>
          <w:szCs w:val="32"/>
          <w:highlight w:val="none"/>
        </w:rPr>
      </w:pPr>
      <w:r>
        <w:rPr>
          <w:rFonts w:hint="eastAsia" w:ascii="宋体" w:hAnsi="宋体" w:cs="宋体"/>
          <w:bCs/>
          <w:color w:val="auto"/>
          <w:sz w:val="44"/>
          <w:szCs w:val="44"/>
          <w:highlight w:val="none"/>
        </w:rPr>
        <w:t>法定代表人证明书</w:t>
      </w:r>
    </w:p>
    <w:p w14:paraId="5E6384B8">
      <w:pPr>
        <w:spacing w:line="360" w:lineRule="auto"/>
        <w:ind w:left="540"/>
        <w:contextualSpacing/>
        <w:rPr>
          <w:rFonts w:ascii="宋体" w:hAnsi="宋体" w:cs="宋体"/>
          <w:color w:val="auto"/>
          <w:sz w:val="32"/>
          <w:szCs w:val="32"/>
          <w:highlight w:val="none"/>
        </w:rPr>
      </w:pPr>
    </w:p>
    <w:p w14:paraId="176403E6">
      <w:pPr>
        <w:spacing w:line="360" w:lineRule="auto"/>
        <w:ind w:left="540"/>
        <w:contextualSpacing/>
        <w:rPr>
          <w:rFonts w:ascii="宋体" w:hAnsi="宋体" w:cs="宋体"/>
          <w:color w:val="auto"/>
          <w:sz w:val="24"/>
          <w:highlight w:val="none"/>
        </w:rPr>
      </w:pPr>
      <w:r>
        <w:rPr>
          <w:rFonts w:hint="eastAsia" w:ascii="宋体" w:hAnsi="宋体" w:cs="宋体"/>
          <w:color w:val="auto"/>
          <w:sz w:val="24"/>
          <w:highlight w:val="none"/>
        </w:rPr>
        <w:t>供应商名称：</w:t>
      </w:r>
      <w:r>
        <w:rPr>
          <w:rFonts w:hint="eastAsia" w:ascii="宋体" w:hAnsi="宋体" w:cs="宋体"/>
          <w:color w:val="auto"/>
          <w:sz w:val="24"/>
          <w:highlight w:val="none"/>
          <w:u w:val="single"/>
        </w:rPr>
        <w:t xml:space="preserve">                                                        </w:t>
      </w:r>
    </w:p>
    <w:p w14:paraId="0EACA8AD">
      <w:pPr>
        <w:spacing w:line="360" w:lineRule="auto"/>
        <w:ind w:left="540"/>
        <w:contextualSpacing/>
        <w:rPr>
          <w:rFonts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cs="宋体"/>
          <w:color w:val="auto"/>
          <w:sz w:val="24"/>
          <w:highlight w:val="none"/>
          <w:u w:val="single"/>
        </w:rPr>
        <w:t xml:space="preserve">                                                        </w:t>
      </w:r>
    </w:p>
    <w:p w14:paraId="1741550E">
      <w:pPr>
        <w:spacing w:line="360" w:lineRule="auto"/>
        <w:ind w:left="540"/>
        <w:contextualSpacing/>
        <w:rPr>
          <w:rFonts w:ascii="宋体" w:hAnsi="宋体" w:cs="宋体"/>
          <w:color w:val="auto"/>
          <w:sz w:val="24"/>
          <w:highlight w:val="none"/>
        </w:rPr>
      </w:pPr>
      <w:r>
        <w:rPr>
          <w:rFonts w:hint="eastAsia" w:ascii="宋体" w:hAnsi="宋体" w:cs="宋体"/>
          <w:color w:val="auto"/>
          <w:sz w:val="24"/>
          <w:highlight w:val="none"/>
        </w:rPr>
        <w:t>姓    名：</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性     别：</w:t>
      </w:r>
      <w:r>
        <w:rPr>
          <w:rFonts w:hint="eastAsia" w:ascii="宋体" w:hAnsi="宋体" w:cs="宋体"/>
          <w:color w:val="auto"/>
          <w:sz w:val="24"/>
          <w:highlight w:val="none"/>
          <w:u w:val="single"/>
        </w:rPr>
        <w:t xml:space="preserve">                </w:t>
      </w:r>
    </w:p>
    <w:p w14:paraId="6CE32BC5">
      <w:pPr>
        <w:spacing w:line="360" w:lineRule="auto"/>
        <w:ind w:left="540"/>
        <w:contextualSpacing/>
        <w:rPr>
          <w:rFonts w:ascii="宋体" w:hAnsi="宋体" w:cs="宋体"/>
          <w:color w:val="auto"/>
          <w:sz w:val="24"/>
          <w:highlight w:val="none"/>
          <w:u w:val="single"/>
        </w:rPr>
      </w:pPr>
      <w:r>
        <w:rPr>
          <w:rFonts w:hint="eastAsia" w:ascii="宋体" w:hAnsi="宋体" w:cs="宋体"/>
          <w:color w:val="auto"/>
          <w:sz w:val="24"/>
          <w:highlight w:val="none"/>
        </w:rPr>
        <w:t>年    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职     务：</w:t>
      </w:r>
      <w:r>
        <w:rPr>
          <w:rFonts w:hint="eastAsia" w:ascii="宋体" w:hAnsi="宋体" w:cs="宋体"/>
          <w:color w:val="auto"/>
          <w:sz w:val="24"/>
          <w:highlight w:val="none"/>
          <w:u w:val="single"/>
        </w:rPr>
        <w:t xml:space="preserve">                </w:t>
      </w:r>
    </w:p>
    <w:p w14:paraId="1DF2EDE0">
      <w:pPr>
        <w:spacing w:line="360" w:lineRule="auto"/>
        <w:ind w:left="540"/>
        <w:contextualSpacing/>
        <w:rPr>
          <w:rFonts w:ascii="宋体" w:hAnsi="宋体" w:cs="宋体"/>
          <w:color w:val="auto"/>
          <w:sz w:val="24"/>
          <w:highlight w:val="none"/>
        </w:rPr>
      </w:pPr>
      <w:r>
        <w:rPr>
          <w:rFonts w:hint="eastAsia" w:ascii="宋体" w:hAnsi="宋体" w:cs="宋体"/>
          <w:color w:val="auto"/>
          <w:sz w:val="24"/>
          <w:highlight w:val="none"/>
        </w:rPr>
        <w:t>身份证号码：</w:t>
      </w:r>
      <w:r>
        <w:rPr>
          <w:rFonts w:hint="eastAsia" w:ascii="宋体" w:hAnsi="宋体" w:cs="宋体"/>
          <w:color w:val="auto"/>
          <w:sz w:val="24"/>
          <w:highlight w:val="none"/>
          <w:u w:val="single"/>
        </w:rPr>
        <w:t xml:space="preserve">                                        </w:t>
      </w:r>
    </w:p>
    <w:p w14:paraId="4E802F5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系</w:t>
      </w:r>
      <w:r>
        <w:rPr>
          <w:rFonts w:hint="eastAsia" w:ascii="宋体" w:hAnsi="宋体" w:cs="宋体"/>
          <w:color w:val="auto"/>
          <w:sz w:val="24"/>
          <w:highlight w:val="none"/>
          <w:u w:val="single"/>
        </w:rPr>
        <w:t>（供应商名称）</w:t>
      </w:r>
      <w:r>
        <w:rPr>
          <w:rFonts w:hint="eastAsia" w:ascii="宋体" w:hAnsi="宋体" w:cs="宋体"/>
          <w:color w:val="auto"/>
          <w:sz w:val="24"/>
          <w:highlight w:val="none"/>
        </w:rPr>
        <w:t>的法定代表人。</w:t>
      </w:r>
    </w:p>
    <w:p w14:paraId="30BD7BEE">
      <w:pPr>
        <w:spacing w:line="360" w:lineRule="auto"/>
        <w:ind w:left="540"/>
        <w:contextualSpacing/>
        <w:rPr>
          <w:rFonts w:ascii="宋体" w:hAnsi="宋体" w:cs="宋体"/>
          <w:color w:val="auto"/>
          <w:sz w:val="24"/>
          <w:highlight w:val="none"/>
        </w:rPr>
      </w:pPr>
      <w:r>
        <w:rPr>
          <w:rFonts w:hint="eastAsia" w:ascii="宋体" w:hAnsi="宋体" w:cs="宋体"/>
          <w:color w:val="auto"/>
          <w:sz w:val="24"/>
          <w:highlight w:val="none"/>
        </w:rPr>
        <w:t>特此证明。</w:t>
      </w:r>
    </w:p>
    <w:p w14:paraId="5D916A17">
      <w:pPr>
        <w:spacing w:line="360" w:lineRule="auto"/>
        <w:ind w:left="540"/>
        <w:contextualSpacing/>
        <w:rPr>
          <w:rFonts w:ascii="宋体" w:hAnsi="宋体" w:cs="宋体"/>
          <w:color w:val="auto"/>
          <w:sz w:val="24"/>
          <w:highlight w:val="none"/>
        </w:rPr>
      </w:pPr>
    </w:p>
    <w:p w14:paraId="5F6C9DB6">
      <w:pPr>
        <w:spacing w:line="360" w:lineRule="auto"/>
        <w:ind w:left="540"/>
        <w:contextualSpacing/>
        <w:rPr>
          <w:rFonts w:ascii="宋体" w:hAnsi="宋体" w:cs="宋体"/>
          <w:color w:val="auto"/>
          <w:sz w:val="24"/>
          <w:highlight w:val="none"/>
        </w:rPr>
      </w:pPr>
    </w:p>
    <w:p w14:paraId="7D71A85F">
      <w:pPr>
        <w:spacing w:line="360" w:lineRule="auto"/>
        <w:ind w:left="540"/>
        <w:contextualSpacing/>
        <w:rPr>
          <w:rFonts w:ascii="宋体" w:hAnsi="宋体" w:cs="宋体"/>
          <w:color w:val="auto"/>
          <w:sz w:val="24"/>
          <w:highlight w:val="none"/>
        </w:rPr>
      </w:pPr>
    </w:p>
    <w:p w14:paraId="7C7A6551">
      <w:pPr>
        <w:spacing w:line="360" w:lineRule="auto"/>
        <w:ind w:left="540"/>
        <w:contextualSpacing/>
        <w:rPr>
          <w:rFonts w:ascii="宋体" w:hAnsi="宋体" w:cs="宋体"/>
          <w:color w:val="auto"/>
          <w:sz w:val="24"/>
          <w:highlight w:val="none"/>
        </w:rPr>
      </w:pPr>
      <w:r>
        <w:rPr>
          <w:rFonts w:hint="eastAsia" w:ascii="宋体" w:hAnsi="宋体" w:cs="宋体"/>
          <w:color w:val="auto"/>
          <w:sz w:val="24"/>
          <w:highlight w:val="none"/>
        </w:rPr>
        <w:t>附件：法定代表人有效身份证正反面复印件</w:t>
      </w:r>
    </w:p>
    <w:p w14:paraId="5A9B3D8D">
      <w:pPr>
        <w:spacing w:line="360" w:lineRule="auto"/>
        <w:ind w:left="540"/>
        <w:contextualSpacing/>
        <w:rPr>
          <w:rFonts w:ascii="宋体" w:hAnsi="宋体" w:cs="宋体"/>
          <w:color w:val="auto"/>
          <w:sz w:val="24"/>
          <w:highlight w:val="none"/>
        </w:rPr>
      </w:pPr>
    </w:p>
    <w:p w14:paraId="5181D115">
      <w:pPr>
        <w:autoSpaceDE w:val="0"/>
        <w:autoSpaceDN w:val="0"/>
        <w:spacing w:line="360" w:lineRule="auto"/>
        <w:ind w:left="4335" w:leftChars="1950" w:hanging="240" w:hangingChars="100"/>
        <w:rPr>
          <w:rFonts w:ascii="宋体" w:hAnsi="宋体" w:cs="宋体"/>
          <w:color w:val="auto"/>
          <w:kern w:val="0"/>
          <w:sz w:val="24"/>
          <w:highlight w:val="none"/>
        </w:rPr>
      </w:pPr>
      <w:r>
        <w:rPr>
          <w:rFonts w:hint="eastAsia" w:ascii="宋体" w:hAnsi="宋体" w:cs="宋体"/>
          <w:color w:val="auto"/>
          <w:kern w:val="0"/>
          <w:sz w:val="24"/>
          <w:highlight w:val="none"/>
        </w:rPr>
        <w:t>供应商名称（电子签章）：</w:t>
      </w:r>
    </w:p>
    <w:p w14:paraId="5547B64F">
      <w:pPr>
        <w:spacing w:line="360" w:lineRule="auto"/>
        <w:jc w:val="center"/>
        <w:rPr>
          <w:rFonts w:ascii="宋体" w:hAnsi="宋体" w:cs="宋体"/>
          <w:b/>
          <w:color w:val="auto"/>
          <w:sz w:val="24"/>
          <w:highlight w:val="none"/>
        </w:rPr>
      </w:pPr>
      <w:r>
        <w:rPr>
          <w:rFonts w:hint="eastAsia" w:ascii="宋体" w:hAnsi="宋体" w:cs="宋体"/>
          <w:color w:val="auto"/>
          <w:kern w:val="0"/>
          <w:sz w:val="24"/>
          <w:highlight w:val="none"/>
          <w:lang w:val="zh-CN"/>
        </w:rPr>
        <w:t xml:space="preserve">                                                   日期：  年  月   日</w:t>
      </w:r>
    </w:p>
    <w:p w14:paraId="6D6BEFED">
      <w:pPr>
        <w:spacing w:line="360" w:lineRule="auto"/>
        <w:jc w:val="left"/>
        <w:rPr>
          <w:rFonts w:ascii="宋体" w:hAnsi="宋体" w:cs="宋体"/>
          <w:color w:val="auto"/>
          <w:sz w:val="24"/>
          <w:highlight w:val="none"/>
        </w:rPr>
      </w:pPr>
    </w:p>
    <w:p w14:paraId="174597F6">
      <w:pPr>
        <w:spacing w:line="360" w:lineRule="auto"/>
        <w:jc w:val="left"/>
        <w:rPr>
          <w:rFonts w:ascii="宋体" w:hAnsi="宋体" w:cs="宋体"/>
          <w:color w:val="auto"/>
          <w:sz w:val="24"/>
          <w:highlight w:val="none"/>
        </w:rPr>
      </w:pPr>
      <w:r>
        <w:rPr>
          <w:rFonts w:hint="eastAsia" w:ascii="宋体" w:hAnsi="宋体" w:cs="宋体"/>
          <w:color w:val="auto"/>
          <w:sz w:val="24"/>
          <w:highlight w:val="none"/>
        </w:rPr>
        <w:t>注：1.自然人竞标的无需提供，联合体竞标的只需牵头人出具。</w:t>
      </w:r>
    </w:p>
    <w:p w14:paraId="4B4F0E62">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0BC8316D">
      <w:pPr>
        <w:widowControl/>
        <w:spacing w:line="360" w:lineRule="auto"/>
        <w:jc w:val="left"/>
        <w:rPr>
          <w:rFonts w:ascii="宋体" w:hAnsi="宋体" w:cs="宋体"/>
          <w:color w:val="auto"/>
          <w:sz w:val="24"/>
          <w:highlight w:val="none"/>
        </w:rPr>
        <w:sectPr>
          <w:pgSz w:w="11910" w:h="16840"/>
          <w:pgMar w:top="1134" w:right="1134" w:bottom="1134" w:left="1134" w:header="720" w:footer="720" w:gutter="0"/>
          <w:cols w:space="0" w:num="1"/>
          <w:rtlGutter w:val="0"/>
        </w:sectPr>
      </w:pPr>
    </w:p>
    <w:tbl>
      <w:tblPr>
        <w:tblStyle w:val="26"/>
        <w:tblpPr w:leftFromText="180" w:rightFromText="180" w:vertAnchor="text" w:horzAnchor="margin" w:tblpY="1169"/>
        <w:tblW w:w="84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0"/>
      </w:tblGrid>
      <w:tr w14:paraId="575E2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5" w:hRule="atLeast"/>
        </w:trPr>
        <w:tc>
          <w:tcPr>
            <w:tcW w:w="8460" w:type="dxa"/>
            <w:tcBorders>
              <w:top w:val="single" w:color="auto" w:sz="4" w:space="0"/>
              <w:left w:val="single" w:color="auto" w:sz="4" w:space="0"/>
              <w:bottom w:val="single" w:color="auto" w:sz="4" w:space="0"/>
              <w:right w:val="single" w:color="auto" w:sz="4" w:space="0"/>
            </w:tcBorders>
          </w:tcPr>
          <w:p w14:paraId="66ADD051">
            <w:pPr>
              <w:spacing w:line="360" w:lineRule="auto"/>
              <w:rPr>
                <w:rFonts w:ascii="宋体" w:hAnsi="宋体" w:cs="宋体"/>
                <w:b/>
                <w:color w:val="auto"/>
                <w:sz w:val="24"/>
                <w:highlight w:val="none"/>
              </w:rPr>
            </w:pPr>
          </w:p>
          <w:p w14:paraId="215610C5">
            <w:pPr>
              <w:spacing w:line="360" w:lineRule="auto"/>
              <w:rPr>
                <w:rFonts w:ascii="宋体" w:hAnsi="宋体" w:cs="宋体"/>
                <w:b/>
                <w:color w:val="auto"/>
                <w:sz w:val="24"/>
                <w:highlight w:val="none"/>
              </w:rPr>
            </w:pPr>
            <w:r>
              <w:rPr>
                <w:rFonts w:hint="eastAsia" w:ascii="宋体" w:hAnsi="宋体" w:cs="宋体"/>
                <w:b/>
                <w:color w:val="auto"/>
                <w:sz w:val="24"/>
                <w:highlight w:val="none"/>
              </w:rPr>
              <w:t>法定代表身份证复印件粘帖处（正、反面）</w:t>
            </w:r>
          </w:p>
        </w:tc>
      </w:tr>
    </w:tbl>
    <w:p w14:paraId="59667CE5">
      <w:pPr>
        <w:spacing w:line="360" w:lineRule="auto"/>
        <w:ind w:firstLine="482" w:firstLineChars="200"/>
        <w:jc w:val="left"/>
        <w:rPr>
          <w:rFonts w:ascii="宋体" w:hAnsi="宋体" w:cs="宋体"/>
          <w:b/>
          <w:color w:val="auto"/>
          <w:sz w:val="32"/>
          <w:szCs w:val="32"/>
          <w:highlight w:val="none"/>
        </w:rPr>
      </w:pPr>
      <w:r>
        <w:rPr>
          <w:rFonts w:hint="eastAsia" w:ascii="宋体" w:hAnsi="宋体" w:cs="宋体"/>
          <w:b/>
          <w:color w:val="auto"/>
          <w:sz w:val="24"/>
          <w:highlight w:val="none"/>
        </w:rPr>
        <w:t>附件：</w:t>
      </w:r>
    </w:p>
    <w:p w14:paraId="37683CD4">
      <w:pPr>
        <w:adjustRightInd w:val="0"/>
        <w:snapToGrid w:val="0"/>
        <w:spacing w:line="300" w:lineRule="auto"/>
        <w:jc w:val="left"/>
        <w:rPr>
          <w:rFonts w:ascii="宋体" w:hAnsi="宋体" w:cs="宋体"/>
          <w:b/>
          <w:color w:val="auto"/>
          <w:szCs w:val="21"/>
          <w:highlight w:val="none"/>
        </w:rPr>
      </w:pPr>
    </w:p>
    <w:p w14:paraId="3DE557C4">
      <w:pPr>
        <w:spacing w:line="520" w:lineRule="exact"/>
        <w:ind w:firstLine="880"/>
        <w:jc w:val="left"/>
        <w:rPr>
          <w:rFonts w:ascii="宋体" w:hAnsi="宋体" w:cs="宋体"/>
          <w:bCs/>
          <w:color w:val="auto"/>
          <w:sz w:val="44"/>
          <w:szCs w:val="44"/>
          <w:highlight w:val="none"/>
        </w:rPr>
      </w:pPr>
      <w:r>
        <w:rPr>
          <w:rFonts w:hint="eastAsia" w:ascii="宋体" w:hAnsi="宋体" w:cs="宋体"/>
          <w:color w:val="auto"/>
          <w:sz w:val="44"/>
          <w:szCs w:val="44"/>
          <w:highlight w:val="none"/>
        </w:rPr>
        <w:br w:type="page"/>
      </w:r>
      <w:r>
        <w:rPr>
          <w:rFonts w:hint="eastAsia" w:ascii="宋体" w:hAnsi="宋体" w:cs="宋体"/>
          <w:b/>
          <w:color w:val="auto"/>
          <w:sz w:val="30"/>
          <w:szCs w:val="30"/>
          <w:highlight w:val="none"/>
        </w:rPr>
        <w:t>三、法定代表人授权委托书</w:t>
      </w:r>
    </w:p>
    <w:p w14:paraId="12726AA1">
      <w:pPr>
        <w:spacing w:line="500" w:lineRule="exact"/>
        <w:jc w:val="center"/>
        <w:rPr>
          <w:rFonts w:ascii="宋体" w:hAnsi="宋体" w:cs="宋体"/>
          <w:color w:val="auto"/>
          <w:sz w:val="44"/>
          <w:szCs w:val="44"/>
          <w:highlight w:val="none"/>
        </w:rPr>
      </w:pPr>
    </w:p>
    <w:p w14:paraId="6808AE0F">
      <w:pPr>
        <w:spacing w:line="520" w:lineRule="exact"/>
        <w:jc w:val="center"/>
        <w:rPr>
          <w:rFonts w:ascii="宋体" w:hAnsi="宋体" w:cs="宋体"/>
          <w:color w:val="auto"/>
          <w:sz w:val="44"/>
          <w:szCs w:val="44"/>
          <w:highlight w:val="none"/>
        </w:rPr>
      </w:pPr>
      <w:r>
        <w:rPr>
          <w:rFonts w:hint="eastAsia" w:ascii="宋体" w:hAnsi="宋体" w:cs="宋体"/>
          <w:color w:val="auto"/>
          <w:sz w:val="44"/>
          <w:szCs w:val="44"/>
          <w:highlight w:val="none"/>
        </w:rPr>
        <w:t>授权委托书（非联合体竞标格式）</w:t>
      </w:r>
    </w:p>
    <w:p w14:paraId="2C0FAFD4">
      <w:pPr>
        <w:spacing w:line="520" w:lineRule="exact"/>
        <w:jc w:val="center"/>
        <w:rPr>
          <w:rFonts w:ascii="宋体" w:hAnsi="宋体" w:cs="宋体"/>
          <w:color w:val="auto"/>
          <w:sz w:val="44"/>
          <w:szCs w:val="44"/>
          <w:highlight w:val="none"/>
        </w:rPr>
      </w:pPr>
      <w:r>
        <w:rPr>
          <w:rFonts w:hint="eastAsia" w:ascii="宋体" w:hAnsi="宋体" w:cs="宋体"/>
          <w:color w:val="auto"/>
          <w:sz w:val="44"/>
          <w:szCs w:val="44"/>
          <w:highlight w:val="none"/>
        </w:rPr>
        <w:t>（如有委托时）</w:t>
      </w:r>
    </w:p>
    <w:p w14:paraId="11F3B599">
      <w:pPr>
        <w:spacing w:line="520" w:lineRule="exact"/>
        <w:rPr>
          <w:rFonts w:ascii="宋体" w:hAnsi="宋体" w:cs="宋体"/>
          <w:color w:val="auto"/>
          <w:sz w:val="32"/>
          <w:szCs w:val="32"/>
          <w:highlight w:val="none"/>
        </w:rPr>
      </w:pPr>
    </w:p>
    <w:p w14:paraId="18D8BF2D">
      <w:pPr>
        <w:spacing w:line="360" w:lineRule="auto"/>
        <w:rPr>
          <w:rFonts w:ascii="宋体" w:hAnsi="宋体" w:cs="宋体"/>
          <w:color w:val="auto"/>
          <w:sz w:val="24"/>
          <w:highlight w:val="none"/>
        </w:rPr>
      </w:pPr>
      <w:r>
        <w:rPr>
          <w:rFonts w:hint="eastAsia" w:ascii="宋体" w:hAnsi="宋体" w:cs="宋体"/>
          <w:color w:val="auto"/>
          <w:sz w:val="24"/>
          <w:highlight w:val="none"/>
        </w:rPr>
        <w:t>致：</w:t>
      </w:r>
      <w:bookmarkStart w:id="100" w:name="PO_3000001868_PM031_7"/>
      <w:r>
        <w:rPr>
          <w:rFonts w:hint="eastAsia" w:ascii="宋体" w:hAnsi="宋体" w:cs="宋体"/>
          <w:color w:val="auto"/>
          <w:sz w:val="24"/>
          <w:highlight w:val="none"/>
          <w:u w:val="single"/>
        </w:rPr>
        <w:t>[采购组织机构]</w:t>
      </w:r>
      <w:bookmarkEnd w:id="100"/>
      <w:r>
        <w:rPr>
          <w:rFonts w:hint="eastAsia" w:ascii="宋体" w:hAnsi="宋体" w:cs="宋体"/>
          <w:color w:val="auto"/>
          <w:sz w:val="24"/>
          <w:highlight w:val="none"/>
        </w:rPr>
        <w:t>：</w:t>
      </w:r>
    </w:p>
    <w:p w14:paraId="578D7D2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w:t>
      </w:r>
      <w:r>
        <w:rPr>
          <w:rFonts w:hint="eastAsia" w:ascii="宋体" w:hAnsi="宋体" w:cs="宋体"/>
          <w:color w:val="auto"/>
          <w:sz w:val="24"/>
          <w:highlight w:val="none"/>
          <w:u w:val="single"/>
        </w:rPr>
        <w:t xml:space="preserve">  （姓名）  </w:t>
      </w:r>
      <w:r>
        <w:rPr>
          <w:rFonts w:hint="eastAsia" w:ascii="宋体" w:hAnsi="宋体" w:cs="宋体"/>
          <w:color w:val="auto"/>
          <w:sz w:val="24"/>
          <w:highlight w:val="none"/>
        </w:rPr>
        <w:t>系</w:t>
      </w:r>
      <w:r>
        <w:rPr>
          <w:rFonts w:hint="eastAsia" w:ascii="宋体" w:hAnsi="宋体" w:cs="宋体"/>
          <w:color w:val="auto"/>
          <w:sz w:val="24"/>
          <w:highlight w:val="none"/>
          <w:u w:val="single"/>
        </w:rPr>
        <w:t xml:space="preserve">  （供应商名称）  </w:t>
      </w:r>
      <w:r>
        <w:rPr>
          <w:rFonts w:hint="eastAsia" w:ascii="宋体" w:hAnsi="宋体" w:cs="宋体"/>
          <w:color w:val="auto"/>
          <w:sz w:val="24"/>
          <w:highlight w:val="none"/>
        </w:rPr>
        <w:t>的（</w:t>
      </w:r>
      <w:r>
        <w:rPr>
          <w:rFonts w:hint="eastAsia" w:ascii="宋体" w:hAnsi="宋体" w:cs="宋体"/>
          <w:color w:val="auto"/>
          <w:sz w:val="24"/>
          <w:highlight w:val="none"/>
          <w:u w:val="single"/>
        </w:rPr>
        <w:t>□法定代表人/□负责人/□自然人本人</w:t>
      </w:r>
      <w:r>
        <w:rPr>
          <w:rFonts w:hint="eastAsia" w:ascii="宋体" w:hAnsi="宋体" w:cs="宋体"/>
          <w:color w:val="auto"/>
          <w:sz w:val="24"/>
          <w:highlight w:val="none"/>
        </w:rPr>
        <w:t>），现授权</w:t>
      </w:r>
      <w:r>
        <w:rPr>
          <w:rFonts w:hint="eastAsia" w:ascii="宋体" w:hAnsi="宋体" w:cs="宋体"/>
          <w:color w:val="auto"/>
          <w:sz w:val="24"/>
          <w:highlight w:val="none"/>
          <w:u w:val="single"/>
        </w:rPr>
        <w:t xml:space="preserve"> （姓名） </w:t>
      </w:r>
      <w:r>
        <w:rPr>
          <w:rFonts w:hint="eastAsia" w:ascii="宋体" w:hAnsi="宋体" w:cs="宋体"/>
          <w:color w:val="auto"/>
          <w:sz w:val="24"/>
          <w:highlight w:val="none"/>
        </w:rPr>
        <w:t>以我方的名义参加</w:t>
      </w:r>
      <w:bookmarkStart w:id="101" w:name="PO_3000001868_PM002_7"/>
      <w:r>
        <w:rPr>
          <w:rFonts w:hint="eastAsia" w:ascii="宋体" w:hAnsi="宋体" w:cs="宋体"/>
          <w:color w:val="auto"/>
          <w:sz w:val="24"/>
          <w:highlight w:val="none"/>
          <w:u w:val="single"/>
        </w:rPr>
        <w:t>[项目名称]</w:t>
      </w:r>
      <w:bookmarkEnd w:id="101"/>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项目的竞标活动，并代表我方全权办理针对上述项目的所有采购程序和环节的具体事务和签署相关文件。</w:t>
      </w:r>
    </w:p>
    <w:p w14:paraId="6510AED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我方对委托代理人的签字事项负全部责任。</w:t>
      </w:r>
    </w:p>
    <w:p w14:paraId="2BDDEC0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本授权书自签署之日起生效，在撤销授权的书面通知以前，本授权书一直有效。委托代理人在授权书有效期内签署的所有文件不因授权的撤销而失效。</w:t>
      </w:r>
    </w:p>
    <w:p w14:paraId="2125DAF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委托代理人无转委托权，特此委托。</w:t>
      </w:r>
    </w:p>
    <w:p w14:paraId="78CDCBB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附：法定代表人身份证明书及委托代理人有效身份证正反面复印件</w:t>
      </w:r>
    </w:p>
    <w:p w14:paraId="379EE34D">
      <w:pPr>
        <w:spacing w:line="360" w:lineRule="auto"/>
        <w:rPr>
          <w:rFonts w:ascii="宋体" w:hAnsi="宋体" w:cs="宋体"/>
          <w:color w:val="auto"/>
          <w:sz w:val="24"/>
          <w:highlight w:val="none"/>
        </w:rPr>
      </w:pPr>
    </w:p>
    <w:p w14:paraId="3687D1E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委托代理人（签字）：         法定代表人（签字或盖章）：                    </w:t>
      </w:r>
    </w:p>
    <w:p w14:paraId="0E77A9E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委托代理人身份证号码：                              </w:t>
      </w:r>
    </w:p>
    <w:p w14:paraId="3752409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60B0BF8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rPr>
        <w:t>供应商名称（电子签章）：</w:t>
      </w:r>
    </w:p>
    <w:p w14:paraId="281F27C7">
      <w:pPr>
        <w:spacing w:line="360" w:lineRule="auto"/>
        <w:jc w:val="center"/>
        <w:rPr>
          <w:rFonts w:ascii="宋体" w:hAnsi="宋体" w:cs="宋体"/>
          <w:b/>
          <w:color w:val="auto"/>
          <w:sz w:val="24"/>
          <w:highlight w:val="none"/>
        </w:rPr>
      </w:pPr>
      <w:r>
        <w:rPr>
          <w:rFonts w:hint="eastAsia" w:ascii="宋体" w:hAnsi="宋体" w:cs="宋体"/>
          <w:color w:val="auto"/>
          <w:kern w:val="0"/>
          <w:sz w:val="24"/>
          <w:highlight w:val="none"/>
          <w:lang w:val="zh-CN"/>
        </w:rPr>
        <w:t xml:space="preserve">                                                   日期：  年  月   日</w:t>
      </w:r>
    </w:p>
    <w:p w14:paraId="66B71571">
      <w:pPr>
        <w:spacing w:line="360" w:lineRule="auto"/>
        <w:rPr>
          <w:rFonts w:ascii="宋体" w:hAnsi="宋体" w:cs="宋体"/>
          <w:color w:val="auto"/>
          <w:sz w:val="24"/>
          <w:highlight w:val="none"/>
        </w:rPr>
      </w:pPr>
    </w:p>
    <w:p w14:paraId="379825B9">
      <w:pPr>
        <w:spacing w:line="360" w:lineRule="auto"/>
        <w:rPr>
          <w:rFonts w:ascii="宋体" w:hAnsi="宋体" w:cs="宋体"/>
          <w:color w:val="auto"/>
          <w:sz w:val="24"/>
          <w:highlight w:val="none"/>
        </w:rPr>
      </w:pPr>
      <w:r>
        <w:rPr>
          <w:rFonts w:hint="eastAsia" w:ascii="宋体" w:hAnsi="宋体" w:cs="宋体"/>
          <w:color w:val="auto"/>
          <w:sz w:val="24"/>
          <w:highlight w:val="none"/>
        </w:rPr>
        <w:t>注：1. 法定代表人必须在授权委托书上亲笔签字或盖章，委托代理人必须在授权委托书上亲笔签字，</w:t>
      </w:r>
      <w:r>
        <w:rPr>
          <w:rFonts w:hint="eastAsia" w:ascii="宋体" w:hAnsi="宋体" w:cs="宋体"/>
          <w:b/>
          <w:color w:val="auto"/>
          <w:sz w:val="24"/>
          <w:highlight w:val="none"/>
        </w:rPr>
        <w:t>否则其响应文件按无效响应处理。</w:t>
      </w:r>
    </w:p>
    <w:p w14:paraId="4ED09182">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2CD9EF4B">
      <w:pPr>
        <w:spacing w:line="360" w:lineRule="auto"/>
        <w:ind w:firstLine="480" w:firstLineChars="200"/>
        <w:jc w:val="left"/>
        <w:rPr>
          <w:rFonts w:ascii="宋体" w:hAnsi="宋体" w:cs="宋体"/>
          <w:color w:val="auto"/>
          <w:szCs w:val="21"/>
          <w:highlight w:val="none"/>
        </w:rPr>
      </w:pPr>
      <w:r>
        <w:rPr>
          <w:rFonts w:hint="eastAsia" w:ascii="宋体" w:hAnsi="宋体" w:cs="宋体"/>
          <w:color w:val="auto"/>
          <w:sz w:val="24"/>
          <w:highlight w:val="none"/>
        </w:rPr>
        <w:t>3. 法人、其他组织竞标时“我方”是指“我单位”，自然人竞标时“我方”是指“本人”。</w:t>
      </w:r>
    </w:p>
    <w:p w14:paraId="6524BA57">
      <w:pPr>
        <w:spacing w:line="500" w:lineRule="exact"/>
        <w:jc w:val="center"/>
        <w:rPr>
          <w:rFonts w:ascii="宋体" w:hAnsi="宋体" w:cs="宋体"/>
          <w:color w:val="auto"/>
          <w:sz w:val="44"/>
          <w:szCs w:val="44"/>
          <w:highlight w:val="none"/>
        </w:rPr>
      </w:pPr>
      <w:r>
        <w:rPr>
          <w:rFonts w:hint="eastAsia" w:ascii="宋体" w:hAnsi="宋体" w:cs="宋体"/>
          <w:color w:val="auto"/>
          <w:szCs w:val="21"/>
          <w:highlight w:val="none"/>
        </w:rPr>
        <w:br w:type="page"/>
      </w:r>
      <w:r>
        <w:rPr>
          <w:rFonts w:hint="eastAsia" w:ascii="宋体" w:hAnsi="宋体" w:cs="宋体"/>
          <w:color w:val="auto"/>
          <w:sz w:val="44"/>
          <w:szCs w:val="44"/>
          <w:highlight w:val="none"/>
        </w:rPr>
        <w:t>授权委托书（联合体竞标格式）</w:t>
      </w:r>
    </w:p>
    <w:p w14:paraId="0966051E">
      <w:pPr>
        <w:spacing w:line="500" w:lineRule="exact"/>
        <w:jc w:val="center"/>
        <w:rPr>
          <w:rFonts w:ascii="宋体" w:hAnsi="宋体" w:cs="宋体"/>
          <w:color w:val="auto"/>
          <w:sz w:val="44"/>
          <w:szCs w:val="44"/>
          <w:highlight w:val="none"/>
        </w:rPr>
      </w:pPr>
      <w:r>
        <w:rPr>
          <w:rFonts w:hint="eastAsia" w:ascii="宋体" w:hAnsi="宋体" w:cs="宋体"/>
          <w:color w:val="auto"/>
          <w:sz w:val="44"/>
          <w:szCs w:val="44"/>
          <w:highlight w:val="none"/>
        </w:rPr>
        <w:t>（如有委托时）</w:t>
      </w:r>
    </w:p>
    <w:p w14:paraId="3908D403">
      <w:pPr>
        <w:spacing w:line="500" w:lineRule="exact"/>
        <w:jc w:val="center"/>
        <w:rPr>
          <w:rFonts w:ascii="宋体" w:hAnsi="宋体" w:cs="宋体"/>
          <w:color w:val="auto"/>
          <w:sz w:val="44"/>
          <w:szCs w:val="44"/>
          <w:highlight w:val="none"/>
        </w:rPr>
      </w:pPr>
    </w:p>
    <w:p w14:paraId="53B1E01E">
      <w:pPr>
        <w:spacing w:line="500" w:lineRule="exact"/>
        <w:jc w:val="center"/>
        <w:rPr>
          <w:rFonts w:ascii="宋体" w:hAnsi="宋体" w:cs="宋体"/>
          <w:color w:val="auto"/>
          <w:sz w:val="32"/>
          <w:szCs w:val="32"/>
          <w:highlight w:val="none"/>
        </w:rPr>
      </w:pPr>
    </w:p>
    <w:p w14:paraId="094D194A">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本授权委托书声明：根据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（牵头人名称）与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（联合体其他成员名称）签订的《联合体竞标协议书》的内容，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（牵头人名称）的法定代表人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（姓名）现授权</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（姓名）为联合委托代理人，并代表我方全权办理针对上述项目的所有采购程序和环节的具体事务和签署相关文件。</w:t>
      </w:r>
    </w:p>
    <w:p w14:paraId="11E84DC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我方对委托代理人的签字事项负全部责任。</w:t>
      </w:r>
    </w:p>
    <w:p w14:paraId="2905F9B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本授权书自签署之日起生效，在撤销授权的书面通知以前，本授权书一直有效。委托代理人在授权书有效期内签署的所有文件不因授权的撤销而失效。</w:t>
      </w:r>
    </w:p>
    <w:p w14:paraId="37F25B1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委托代理人无转委托权，特此委托。</w:t>
      </w:r>
    </w:p>
    <w:p w14:paraId="3A84D7F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3684BE50">
      <w:pPr>
        <w:spacing w:line="360" w:lineRule="auto"/>
        <w:ind w:firstLine="1560" w:firstLineChars="650"/>
        <w:rPr>
          <w:rFonts w:ascii="宋体" w:hAnsi="宋体" w:cs="宋体"/>
          <w:color w:val="auto"/>
          <w:sz w:val="24"/>
          <w:highlight w:val="none"/>
        </w:rPr>
      </w:pPr>
      <w:r>
        <w:rPr>
          <w:rFonts w:hint="eastAsia" w:ascii="宋体" w:hAnsi="宋体" w:cs="宋体"/>
          <w:color w:val="auto"/>
          <w:sz w:val="24"/>
          <w:highlight w:val="none"/>
        </w:rPr>
        <w:t>牵头人法定代表人（签字或盖章）：</w:t>
      </w:r>
    </w:p>
    <w:p w14:paraId="796496C1">
      <w:pPr>
        <w:spacing w:line="360" w:lineRule="auto"/>
        <w:ind w:firstLine="3120" w:firstLineChars="1300"/>
        <w:rPr>
          <w:rFonts w:ascii="宋体" w:hAnsi="宋体" w:cs="宋体"/>
          <w:color w:val="auto"/>
          <w:sz w:val="24"/>
          <w:highlight w:val="none"/>
        </w:rPr>
      </w:pPr>
      <w:r>
        <w:rPr>
          <w:rFonts w:hint="eastAsia" w:ascii="宋体" w:hAnsi="宋体" w:cs="宋体"/>
          <w:color w:val="auto"/>
          <w:sz w:val="24"/>
          <w:highlight w:val="none"/>
        </w:rPr>
        <w:t>牵头人（电子签章）：</w:t>
      </w:r>
    </w:p>
    <w:p w14:paraId="7B69D32D">
      <w:pPr>
        <w:spacing w:line="360" w:lineRule="auto"/>
        <w:ind w:firstLine="3840" w:firstLineChars="1600"/>
        <w:rPr>
          <w:rFonts w:ascii="宋体" w:hAnsi="宋体" w:cs="宋体"/>
          <w:color w:val="auto"/>
          <w:sz w:val="24"/>
          <w:highlight w:val="none"/>
        </w:rPr>
      </w:pPr>
      <w:r>
        <w:rPr>
          <w:rFonts w:hint="eastAsia" w:ascii="宋体" w:hAnsi="宋体" w:cs="宋体"/>
          <w:color w:val="auto"/>
          <w:sz w:val="24"/>
          <w:highlight w:val="none"/>
        </w:rPr>
        <w:t>日期：    年   月   日</w:t>
      </w:r>
    </w:p>
    <w:p w14:paraId="3C6CF219">
      <w:pPr>
        <w:spacing w:line="360" w:lineRule="auto"/>
        <w:rPr>
          <w:rFonts w:ascii="宋体" w:hAnsi="宋体" w:cs="宋体"/>
          <w:color w:val="auto"/>
          <w:sz w:val="24"/>
          <w:highlight w:val="none"/>
        </w:rPr>
      </w:pPr>
    </w:p>
    <w:p w14:paraId="2C2F86EF">
      <w:pPr>
        <w:spacing w:line="360" w:lineRule="auto"/>
        <w:ind w:firstLine="3120" w:firstLineChars="1300"/>
        <w:rPr>
          <w:rFonts w:ascii="宋体" w:hAnsi="宋体" w:cs="宋体"/>
          <w:color w:val="auto"/>
          <w:sz w:val="24"/>
          <w:highlight w:val="none"/>
        </w:rPr>
      </w:pPr>
      <w:r>
        <w:rPr>
          <w:rFonts w:hint="eastAsia" w:ascii="宋体" w:hAnsi="宋体" w:cs="宋体"/>
          <w:color w:val="auto"/>
          <w:sz w:val="24"/>
          <w:highlight w:val="none"/>
        </w:rPr>
        <w:t>被授权人（签字）：</w:t>
      </w:r>
    </w:p>
    <w:p w14:paraId="502BFDE4">
      <w:pPr>
        <w:spacing w:line="360" w:lineRule="auto"/>
        <w:ind w:firstLine="3840" w:firstLineChars="1600"/>
        <w:rPr>
          <w:rFonts w:ascii="宋体" w:hAnsi="宋体" w:cs="宋体"/>
          <w:color w:val="auto"/>
          <w:sz w:val="24"/>
          <w:highlight w:val="none"/>
        </w:rPr>
      </w:pPr>
      <w:r>
        <w:rPr>
          <w:rFonts w:hint="eastAsia" w:ascii="宋体" w:hAnsi="宋体" w:cs="宋体"/>
          <w:color w:val="auto"/>
          <w:sz w:val="24"/>
          <w:highlight w:val="none"/>
        </w:rPr>
        <w:t>日期：    年   月   日</w:t>
      </w:r>
    </w:p>
    <w:p w14:paraId="54143ED4">
      <w:pPr>
        <w:spacing w:line="360" w:lineRule="auto"/>
        <w:rPr>
          <w:rFonts w:ascii="宋体" w:hAnsi="宋体" w:cs="宋体"/>
          <w:color w:val="auto"/>
          <w:sz w:val="24"/>
          <w:highlight w:val="none"/>
        </w:rPr>
      </w:pPr>
    </w:p>
    <w:p w14:paraId="2B1A1448">
      <w:pPr>
        <w:spacing w:line="360" w:lineRule="auto"/>
        <w:rPr>
          <w:rFonts w:ascii="宋体" w:hAnsi="宋体" w:cs="宋体"/>
          <w:color w:val="auto"/>
          <w:sz w:val="24"/>
          <w:highlight w:val="none"/>
        </w:rPr>
      </w:pPr>
      <w:r>
        <w:rPr>
          <w:rFonts w:hint="eastAsia" w:ascii="宋体" w:hAnsi="宋体" w:cs="宋体"/>
          <w:color w:val="auto"/>
          <w:sz w:val="24"/>
          <w:highlight w:val="none"/>
        </w:rPr>
        <w:t>注：1. 法定代表人必须在授权委托书上亲笔签字或盖章，委托代理人必须在授权委托书上亲笔签字，</w:t>
      </w:r>
      <w:r>
        <w:rPr>
          <w:rFonts w:hint="eastAsia" w:ascii="宋体" w:hAnsi="宋体" w:cs="宋体"/>
          <w:b/>
          <w:color w:val="auto"/>
          <w:sz w:val="24"/>
          <w:highlight w:val="none"/>
        </w:rPr>
        <w:t>否则其响应文件按无效响应处理。</w:t>
      </w:r>
    </w:p>
    <w:p w14:paraId="7C14492E">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2.本授权委托书应由联合体牵头人的法定代表人按上述规定签署。</w:t>
      </w:r>
    </w:p>
    <w:p w14:paraId="50D169C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38AC3CFF">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4.法人、其他组织竞标时“我方”是指“我单位”，自然人竞标时“我方”是指“本人”。</w:t>
      </w:r>
    </w:p>
    <w:p w14:paraId="454CD019">
      <w:pPr>
        <w:spacing w:line="360" w:lineRule="auto"/>
        <w:ind w:firstLine="420" w:firstLineChars="200"/>
        <w:jc w:val="left"/>
        <w:rPr>
          <w:rFonts w:ascii="宋体" w:hAnsi="宋体" w:cs="宋体"/>
          <w:color w:val="auto"/>
          <w:szCs w:val="21"/>
          <w:highlight w:val="none"/>
        </w:rPr>
      </w:pPr>
    </w:p>
    <w:p w14:paraId="2F0CF930">
      <w:pPr>
        <w:spacing w:line="520" w:lineRule="exact"/>
        <w:ind w:firstLine="640" w:firstLineChars="200"/>
        <w:jc w:val="left"/>
        <w:rPr>
          <w:rFonts w:ascii="宋体" w:hAnsi="宋体" w:cs="宋体"/>
          <w:b/>
          <w:color w:val="auto"/>
          <w:sz w:val="30"/>
          <w:szCs w:val="30"/>
          <w:highlight w:val="none"/>
        </w:rPr>
      </w:pPr>
      <w:r>
        <w:rPr>
          <w:rFonts w:hint="eastAsia" w:ascii="宋体" w:hAnsi="宋体" w:cs="宋体"/>
          <w:color w:val="auto"/>
          <w:sz w:val="32"/>
          <w:szCs w:val="32"/>
          <w:highlight w:val="none"/>
        </w:rPr>
        <w:br w:type="page"/>
      </w:r>
      <w:r>
        <w:rPr>
          <w:rFonts w:hint="eastAsia" w:ascii="宋体" w:hAnsi="宋体" w:cs="宋体"/>
          <w:b/>
          <w:color w:val="auto"/>
          <w:sz w:val="30"/>
          <w:szCs w:val="30"/>
          <w:highlight w:val="none"/>
        </w:rPr>
        <w:t>四、商务条款偏离表</w:t>
      </w:r>
    </w:p>
    <w:p w14:paraId="3A99CE28">
      <w:pPr>
        <w:spacing w:line="500" w:lineRule="exact"/>
        <w:jc w:val="center"/>
        <w:rPr>
          <w:rFonts w:ascii="宋体" w:hAnsi="宋体" w:cs="宋体"/>
          <w:bCs/>
          <w:color w:val="auto"/>
          <w:sz w:val="44"/>
          <w:szCs w:val="44"/>
          <w:highlight w:val="none"/>
        </w:rPr>
      </w:pPr>
      <w:r>
        <w:rPr>
          <w:rFonts w:hint="eastAsia" w:ascii="宋体" w:hAnsi="宋体" w:cs="宋体"/>
          <w:bCs/>
          <w:color w:val="auto"/>
          <w:sz w:val="44"/>
          <w:szCs w:val="44"/>
          <w:highlight w:val="none"/>
        </w:rPr>
        <w:t>商务条款偏离表</w:t>
      </w:r>
    </w:p>
    <w:p w14:paraId="491CEFF5">
      <w:pPr>
        <w:spacing w:line="520" w:lineRule="exact"/>
        <w:rPr>
          <w:rFonts w:ascii="宋体" w:hAnsi="宋体" w:cs="宋体"/>
          <w:color w:val="auto"/>
          <w:sz w:val="32"/>
          <w:szCs w:val="32"/>
          <w:highlight w:val="none"/>
        </w:rPr>
      </w:pPr>
    </w:p>
    <w:p w14:paraId="791D3ED3">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single"/>
        </w:rPr>
        <w:t xml:space="preserve">  </w:t>
      </w:r>
      <w:bookmarkStart w:id="102" w:name="PO_3000001868_PM001_8"/>
      <w:r>
        <w:rPr>
          <w:rFonts w:hint="eastAsia" w:ascii="宋体" w:hAnsi="宋体" w:cs="宋体"/>
          <w:color w:val="auto"/>
          <w:sz w:val="24"/>
          <w:highlight w:val="none"/>
          <w:u w:val="single"/>
        </w:rPr>
        <w:t>[项目编号]</w:t>
      </w:r>
      <w:bookmarkEnd w:id="102"/>
      <w:r>
        <w:rPr>
          <w:rFonts w:hint="eastAsia" w:ascii="宋体" w:hAnsi="宋体" w:cs="宋体"/>
          <w:color w:val="auto"/>
          <w:sz w:val="24"/>
          <w:highlight w:val="none"/>
          <w:u w:val="single"/>
        </w:rPr>
        <w:t xml:space="preserve">  </w:t>
      </w:r>
    </w:p>
    <w:p w14:paraId="026F68E4">
      <w:pPr>
        <w:spacing w:line="360" w:lineRule="auto"/>
        <w:rPr>
          <w:rFonts w:ascii="宋体" w:hAnsi="宋体" w:cs="宋体"/>
          <w:color w:val="auto"/>
          <w:sz w:val="24"/>
          <w:highlight w:val="none"/>
        </w:rPr>
      </w:pPr>
      <w:r>
        <w:rPr>
          <w:rFonts w:hint="eastAsia" w:ascii="宋体" w:hAnsi="宋体" w:cs="宋体"/>
          <w:color w:val="auto"/>
          <w:sz w:val="24"/>
          <w:highlight w:val="none"/>
        </w:rPr>
        <w:t>采购项目名称：</w:t>
      </w:r>
      <w:r>
        <w:rPr>
          <w:rFonts w:hint="eastAsia" w:ascii="宋体" w:hAnsi="宋体" w:cs="宋体"/>
          <w:color w:val="auto"/>
          <w:sz w:val="24"/>
          <w:highlight w:val="none"/>
          <w:u w:val="single"/>
        </w:rPr>
        <w:t xml:space="preserve"> </w:t>
      </w:r>
      <w:bookmarkStart w:id="103" w:name="PO_3000001868_PM002_8"/>
      <w:r>
        <w:rPr>
          <w:rFonts w:hint="eastAsia" w:ascii="宋体" w:hAnsi="宋体" w:cs="宋体"/>
          <w:color w:val="auto"/>
          <w:sz w:val="24"/>
          <w:highlight w:val="none"/>
          <w:u w:val="single"/>
        </w:rPr>
        <w:t>[项目名称]</w:t>
      </w:r>
      <w:bookmarkEnd w:id="103"/>
      <w:r>
        <w:rPr>
          <w:rFonts w:hint="eastAsia" w:ascii="宋体" w:hAnsi="宋体" w:cs="宋体"/>
          <w:color w:val="auto"/>
          <w:sz w:val="24"/>
          <w:highlight w:val="none"/>
          <w:u w:val="single"/>
        </w:rPr>
        <w:t xml:space="preserve"> </w:t>
      </w:r>
    </w:p>
    <w:p w14:paraId="5ACE0D7D">
      <w:pPr>
        <w:spacing w:line="360" w:lineRule="auto"/>
        <w:rPr>
          <w:rFonts w:ascii="宋体" w:hAnsi="宋体" w:cs="宋体"/>
          <w:color w:val="auto"/>
          <w:sz w:val="24"/>
          <w:highlight w:val="none"/>
          <w:u w:val="single"/>
        </w:rPr>
      </w:pPr>
      <w:r>
        <w:rPr>
          <w:rFonts w:hint="eastAsia" w:ascii="宋体" w:hAnsi="宋体" w:cs="宋体"/>
          <w:color w:val="auto"/>
          <w:sz w:val="24"/>
          <w:highlight w:val="none"/>
        </w:rPr>
        <w:t>分标号</w:t>
      </w:r>
      <w:r>
        <w:rPr>
          <w:rFonts w:hint="eastAsia" w:ascii="宋体" w:hAnsi="宋体" w:cs="宋体"/>
          <w:color w:val="auto"/>
          <w:szCs w:val="21"/>
          <w:highlight w:val="none"/>
        </w:rPr>
        <w:t>（此处有分标时填写具体分标号，无分标时填写“无”）</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p>
    <w:tbl>
      <w:tblPr>
        <w:tblStyle w:val="26"/>
        <w:tblpPr w:leftFromText="180" w:rightFromText="180" w:vertAnchor="text" w:horzAnchor="margin" w:tblpXSpec="center" w:tblpY="94"/>
        <w:tblW w:w="9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3926"/>
        <w:gridCol w:w="3589"/>
        <w:gridCol w:w="1274"/>
      </w:tblGrid>
      <w:tr w14:paraId="051E3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691" w:type="dxa"/>
            <w:tcBorders>
              <w:top w:val="single" w:color="auto" w:sz="4" w:space="0"/>
              <w:left w:val="single" w:color="auto" w:sz="4" w:space="0"/>
              <w:bottom w:val="single" w:color="auto" w:sz="4" w:space="0"/>
              <w:right w:val="single" w:color="auto" w:sz="4" w:space="0"/>
            </w:tcBorders>
            <w:vAlign w:val="center"/>
          </w:tcPr>
          <w:p w14:paraId="25A00804">
            <w:pPr>
              <w:spacing w:line="340" w:lineRule="exact"/>
              <w:jc w:val="center"/>
              <w:rPr>
                <w:rFonts w:ascii="宋体" w:hAnsi="宋体" w:cs="宋体"/>
                <w:color w:val="auto"/>
                <w:szCs w:val="21"/>
                <w:highlight w:val="none"/>
              </w:rPr>
            </w:pPr>
            <w:r>
              <w:rPr>
                <w:rFonts w:hint="eastAsia" w:ascii="宋体" w:hAnsi="宋体" w:cs="宋体"/>
                <w:color w:val="auto"/>
                <w:szCs w:val="21"/>
                <w:highlight w:val="none"/>
              </w:rPr>
              <w:t>项号</w:t>
            </w:r>
          </w:p>
        </w:tc>
        <w:tc>
          <w:tcPr>
            <w:tcW w:w="3926" w:type="dxa"/>
            <w:tcBorders>
              <w:top w:val="single" w:color="auto" w:sz="4" w:space="0"/>
              <w:left w:val="single" w:color="auto" w:sz="4" w:space="0"/>
              <w:bottom w:val="single" w:color="auto" w:sz="4" w:space="0"/>
              <w:right w:val="single" w:color="auto" w:sz="4" w:space="0"/>
            </w:tcBorders>
            <w:vAlign w:val="center"/>
          </w:tcPr>
          <w:p w14:paraId="187DB4AA">
            <w:pPr>
              <w:spacing w:line="340" w:lineRule="exact"/>
              <w:jc w:val="center"/>
              <w:rPr>
                <w:rFonts w:ascii="宋体" w:hAnsi="宋体" w:cs="宋体"/>
                <w:color w:val="auto"/>
                <w:szCs w:val="21"/>
                <w:highlight w:val="none"/>
              </w:rPr>
            </w:pPr>
            <w:r>
              <w:rPr>
                <w:rFonts w:hint="eastAsia" w:ascii="宋体" w:hAnsi="宋体" w:cs="宋体"/>
                <w:color w:val="auto"/>
                <w:szCs w:val="21"/>
                <w:highlight w:val="none"/>
              </w:rPr>
              <w:t>竞争性磋商采购文件的商务需求</w:t>
            </w:r>
          </w:p>
        </w:tc>
        <w:tc>
          <w:tcPr>
            <w:tcW w:w="3589" w:type="dxa"/>
            <w:tcBorders>
              <w:top w:val="single" w:color="auto" w:sz="4" w:space="0"/>
              <w:left w:val="single" w:color="auto" w:sz="4" w:space="0"/>
              <w:bottom w:val="single" w:color="auto" w:sz="4" w:space="0"/>
              <w:right w:val="single" w:color="auto" w:sz="4" w:space="0"/>
            </w:tcBorders>
            <w:vAlign w:val="center"/>
          </w:tcPr>
          <w:p w14:paraId="2D1FB2AB">
            <w:pPr>
              <w:spacing w:line="340" w:lineRule="exact"/>
              <w:jc w:val="center"/>
              <w:rPr>
                <w:rFonts w:ascii="宋体" w:hAnsi="宋体" w:cs="宋体"/>
                <w:color w:val="auto"/>
                <w:szCs w:val="21"/>
                <w:highlight w:val="none"/>
              </w:rPr>
            </w:pPr>
            <w:r>
              <w:rPr>
                <w:rFonts w:hint="eastAsia" w:ascii="宋体" w:hAnsi="宋体" w:cs="宋体"/>
                <w:color w:val="auto"/>
                <w:szCs w:val="21"/>
                <w:highlight w:val="none"/>
              </w:rPr>
              <w:t>响应文件承诺的商务条款</w:t>
            </w:r>
          </w:p>
        </w:tc>
        <w:tc>
          <w:tcPr>
            <w:tcW w:w="1274" w:type="dxa"/>
            <w:tcBorders>
              <w:top w:val="single" w:color="auto" w:sz="4" w:space="0"/>
              <w:left w:val="single" w:color="auto" w:sz="4" w:space="0"/>
              <w:bottom w:val="single" w:color="auto" w:sz="4" w:space="0"/>
              <w:right w:val="single" w:color="auto" w:sz="4" w:space="0"/>
            </w:tcBorders>
            <w:vAlign w:val="center"/>
          </w:tcPr>
          <w:p w14:paraId="61629E78">
            <w:pPr>
              <w:spacing w:line="340" w:lineRule="exact"/>
              <w:jc w:val="center"/>
              <w:rPr>
                <w:rFonts w:ascii="宋体" w:hAnsi="宋体" w:cs="宋体"/>
                <w:color w:val="auto"/>
                <w:szCs w:val="21"/>
                <w:highlight w:val="none"/>
              </w:rPr>
            </w:pPr>
            <w:r>
              <w:rPr>
                <w:rFonts w:hint="eastAsia" w:ascii="宋体" w:hAnsi="宋体" w:cs="宋体"/>
                <w:color w:val="auto"/>
                <w:szCs w:val="21"/>
                <w:highlight w:val="none"/>
              </w:rPr>
              <w:t>偏离说明</w:t>
            </w:r>
          </w:p>
        </w:tc>
      </w:tr>
      <w:tr w14:paraId="6A8F4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tcPr>
          <w:p w14:paraId="07D571E7">
            <w:pPr>
              <w:spacing w:line="340" w:lineRule="exact"/>
              <w:rPr>
                <w:rFonts w:ascii="宋体" w:hAnsi="宋体" w:cs="宋体"/>
                <w:color w:val="auto"/>
                <w:szCs w:val="21"/>
                <w:highlight w:val="none"/>
              </w:rPr>
            </w:pPr>
            <w:r>
              <w:rPr>
                <w:rFonts w:hint="eastAsia" w:ascii="宋体" w:hAnsi="宋体" w:cs="宋体"/>
                <w:color w:val="auto"/>
                <w:szCs w:val="21"/>
                <w:highlight w:val="none"/>
              </w:rPr>
              <w:t>一</w:t>
            </w:r>
          </w:p>
        </w:tc>
        <w:tc>
          <w:tcPr>
            <w:tcW w:w="3926" w:type="dxa"/>
            <w:tcBorders>
              <w:top w:val="single" w:color="auto" w:sz="4" w:space="0"/>
              <w:left w:val="single" w:color="auto" w:sz="4" w:space="0"/>
              <w:bottom w:val="single" w:color="auto" w:sz="4" w:space="0"/>
              <w:right w:val="single" w:color="auto" w:sz="4" w:space="0"/>
            </w:tcBorders>
          </w:tcPr>
          <w:p w14:paraId="3D9B2327">
            <w:pPr>
              <w:spacing w:line="340" w:lineRule="exact"/>
              <w:rPr>
                <w:rFonts w:ascii="宋体" w:hAnsi="宋体" w:cs="宋体"/>
                <w:color w:val="auto"/>
                <w:szCs w:val="21"/>
                <w:highlight w:val="none"/>
              </w:rPr>
            </w:pPr>
            <w:r>
              <w:rPr>
                <w:rFonts w:hint="eastAsia" w:ascii="宋体" w:hAnsi="宋体" w:cs="宋体"/>
                <w:color w:val="auto"/>
                <w:szCs w:val="21"/>
                <w:highlight w:val="none"/>
              </w:rPr>
              <w:t>1  ……</w:t>
            </w:r>
          </w:p>
          <w:p w14:paraId="339EA2DD">
            <w:pPr>
              <w:spacing w:line="340" w:lineRule="exact"/>
              <w:rPr>
                <w:rFonts w:ascii="宋体" w:hAnsi="宋体" w:cs="宋体"/>
                <w:color w:val="auto"/>
                <w:szCs w:val="21"/>
                <w:highlight w:val="none"/>
              </w:rPr>
            </w:pPr>
            <w:r>
              <w:rPr>
                <w:rFonts w:hint="eastAsia" w:ascii="宋体" w:hAnsi="宋体" w:cs="宋体"/>
                <w:color w:val="auto"/>
                <w:szCs w:val="21"/>
                <w:highlight w:val="none"/>
              </w:rPr>
              <w:t>2  ……</w:t>
            </w:r>
          </w:p>
          <w:p w14:paraId="4BE02ABD">
            <w:pPr>
              <w:spacing w:line="340" w:lineRule="exact"/>
              <w:rPr>
                <w:rFonts w:ascii="宋体" w:hAnsi="宋体" w:cs="宋体"/>
                <w:color w:val="auto"/>
                <w:szCs w:val="21"/>
                <w:highlight w:val="none"/>
              </w:rPr>
            </w:pPr>
            <w:r>
              <w:rPr>
                <w:rFonts w:hint="eastAsia" w:ascii="宋体" w:hAnsi="宋体" w:cs="宋体"/>
                <w:color w:val="auto"/>
                <w:szCs w:val="21"/>
                <w:highlight w:val="none"/>
              </w:rPr>
              <w:t>3  ……</w:t>
            </w:r>
          </w:p>
          <w:p w14:paraId="4F7ADCAC">
            <w:pPr>
              <w:spacing w:line="340" w:lineRule="exact"/>
              <w:rPr>
                <w:rFonts w:ascii="宋体" w:hAnsi="宋体" w:cs="宋体"/>
                <w:color w:val="auto"/>
                <w:szCs w:val="21"/>
                <w:highlight w:val="none"/>
              </w:rPr>
            </w:pPr>
            <w:r>
              <w:rPr>
                <w:rFonts w:hint="eastAsia" w:ascii="宋体" w:hAnsi="宋体" w:cs="宋体"/>
                <w:color w:val="auto"/>
                <w:szCs w:val="21"/>
                <w:highlight w:val="none"/>
              </w:rPr>
              <w:t>……</w:t>
            </w:r>
          </w:p>
        </w:tc>
        <w:tc>
          <w:tcPr>
            <w:tcW w:w="3589" w:type="dxa"/>
            <w:tcBorders>
              <w:top w:val="single" w:color="auto" w:sz="4" w:space="0"/>
              <w:left w:val="single" w:color="auto" w:sz="4" w:space="0"/>
              <w:bottom w:val="single" w:color="auto" w:sz="4" w:space="0"/>
              <w:right w:val="single" w:color="auto" w:sz="4" w:space="0"/>
            </w:tcBorders>
          </w:tcPr>
          <w:p w14:paraId="39BB480A">
            <w:pPr>
              <w:spacing w:line="340" w:lineRule="exact"/>
              <w:rPr>
                <w:rFonts w:ascii="宋体" w:hAnsi="宋体" w:cs="宋体"/>
                <w:color w:val="auto"/>
                <w:szCs w:val="21"/>
                <w:highlight w:val="none"/>
              </w:rPr>
            </w:pPr>
            <w:r>
              <w:rPr>
                <w:rFonts w:hint="eastAsia" w:ascii="宋体" w:hAnsi="宋体" w:cs="宋体"/>
                <w:color w:val="auto"/>
                <w:szCs w:val="21"/>
                <w:highlight w:val="none"/>
              </w:rPr>
              <w:t>1  ……</w:t>
            </w:r>
          </w:p>
          <w:p w14:paraId="7DEC31FA">
            <w:pPr>
              <w:spacing w:line="340" w:lineRule="exact"/>
              <w:rPr>
                <w:rFonts w:ascii="宋体" w:hAnsi="宋体" w:cs="宋体"/>
                <w:color w:val="auto"/>
                <w:szCs w:val="21"/>
                <w:highlight w:val="none"/>
              </w:rPr>
            </w:pPr>
            <w:r>
              <w:rPr>
                <w:rFonts w:hint="eastAsia" w:ascii="宋体" w:hAnsi="宋体" w:cs="宋体"/>
                <w:color w:val="auto"/>
                <w:szCs w:val="21"/>
                <w:highlight w:val="none"/>
              </w:rPr>
              <w:t>2  ……</w:t>
            </w:r>
          </w:p>
          <w:p w14:paraId="7081F280">
            <w:pPr>
              <w:spacing w:line="340" w:lineRule="exact"/>
              <w:rPr>
                <w:rFonts w:ascii="宋体" w:hAnsi="宋体" w:cs="宋体"/>
                <w:color w:val="auto"/>
                <w:szCs w:val="21"/>
                <w:highlight w:val="none"/>
              </w:rPr>
            </w:pPr>
            <w:r>
              <w:rPr>
                <w:rFonts w:hint="eastAsia" w:ascii="宋体" w:hAnsi="宋体" w:cs="宋体"/>
                <w:color w:val="auto"/>
                <w:szCs w:val="21"/>
                <w:highlight w:val="none"/>
              </w:rPr>
              <w:t>3  ……</w:t>
            </w:r>
          </w:p>
          <w:p w14:paraId="2CCF5768">
            <w:pPr>
              <w:spacing w:line="340" w:lineRule="exact"/>
              <w:rPr>
                <w:rFonts w:ascii="宋体" w:hAnsi="宋体" w:cs="宋体"/>
                <w:color w:val="auto"/>
                <w:szCs w:val="21"/>
                <w:highlight w:val="none"/>
              </w:rPr>
            </w:pPr>
            <w:r>
              <w:rPr>
                <w:rFonts w:hint="eastAsia" w:ascii="宋体" w:hAnsi="宋体" w:cs="宋体"/>
                <w:color w:val="auto"/>
                <w:szCs w:val="21"/>
                <w:highlight w:val="none"/>
              </w:rPr>
              <w:t>……</w:t>
            </w:r>
          </w:p>
        </w:tc>
        <w:tc>
          <w:tcPr>
            <w:tcW w:w="1274" w:type="dxa"/>
            <w:tcBorders>
              <w:top w:val="single" w:color="auto" w:sz="4" w:space="0"/>
              <w:left w:val="single" w:color="auto" w:sz="4" w:space="0"/>
              <w:bottom w:val="single" w:color="auto" w:sz="4" w:space="0"/>
              <w:right w:val="single" w:color="auto" w:sz="4" w:space="0"/>
            </w:tcBorders>
          </w:tcPr>
          <w:p w14:paraId="44BA571B">
            <w:pPr>
              <w:spacing w:line="300" w:lineRule="exact"/>
              <w:rPr>
                <w:rFonts w:ascii="宋体" w:hAnsi="宋体" w:cs="宋体"/>
                <w:color w:val="auto"/>
                <w:szCs w:val="21"/>
                <w:highlight w:val="none"/>
              </w:rPr>
            </w:pPr>
          </w:p>
        </w:tc>
      </w:tr>
      <w:tr w14:paraId="6D4D1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tcPr>
          <w:p w14:paraId="6D33C802">
            <w:pPr>
              <w:spacing w:line="340" w:lineRule="exact"/>
              <w:rPr>
                <w:rFonts w:ascii="宋体" w:hAnsi="宋体" w:cs="宋体"/>
                <w:color w:val="auto"/>
                <w:szCs w:val="21"/>
                <w:highlight w:val="none"/>
              </w:rPr>
            </w:pPr>
            <w:r>
              <w:rPr>
                <w:rFonts w:hint="eastAsia" w:ascii="宋体" w:hAnsi="宋体" w:cs="宋体"/>
                <w:color w:val="auto"/>
                <w:szCs w:val="21"/>
                <w:highlight w:val="none"/>
              </w:rPr>
              <w:t>二</w:t>
            </w:r>
          </w:p>
        </w:tc>
        <w:tc>
          <w:tcPr>
            <w:tcW w:w="3926" w:type="dxa"/>
            <w:tcBorders>
              <w:top w:val="single" w:color="auto" w:sz="4" w:space="0"/>
              <w:left w:val="single" w:color="auto" w:sz="4" w:space="0"/>
              <w:bottom w:val="single" w:color="auto" w:sz="4" w:space="0"/>
              <w:right w:val="single" w:color="auto" w:sz="4" w:space="0"/>
            </w:tcBorders>
          </w:tcPr>
          <w:p w14:paraId="15E43258">
            <w:pPr>
              <w:spacing w:line="340" w:lineRule="exact"/>
              <w:rPr>
                <w:rFonts w:ascii="宋体" w:hAnsi="宋体" w:cs="宋体"/>
                <w:color w:val="auto"/>
                <w:szCs w:val="21"/>
                <w:highlight w:val="none"/>
              </w:rPr>
            </w:pPr>
            <w:r>
              <w:rPr>
                <w:rFonts w:hint="eastAsia" w:ascii="宋体" w:hAnsi="宋体" w:cs="宋体"/>
                <w:color w:val="auto"/>
                <w:szCs w:val="21"/>
                <w:highlight w:val="none"/>
              </w:rPr>
              <w:t>1  ……</w:t>
            </w:r>
          </w:p>
          <w:p w14:paraId="6A6E87F2">
            <w:pPr>
              <w:spacing w:line="340" w:lineRule="exact"/>
              <w:rPr>
                <w:rFonts w:ascii="宋体" w:hAnsi="宋体" w:cs="宋体"/>
                <w:color w:val="auto"/>
                <w:szCs w:val="21"/>
                <w:highlight w:val="none"/>
              </w:rPr>
            </w:pPr>
            <w:r>
              <w:rPr>
                <w:rFonts w:hint="eastAsia" w:ascii="宋体" w:hAnsi="宋体" w:cs="宋体"/>
                <w:color w:val="auto"/>
                <w:szCs w:val="21"/>
                <w:highlight w:val="none"/>
              </w:rPr>
              <w:t>2  ……</w:t>
            </w:r>
          </w:p>
          <w:p w14:paraId="7526A7E4">
            <w:pPr>
              <w:spacing w:line="340" w:lineRule="exact"/>
              <w:rPr>
                <w:rFonts w:ascii="宋体" w:hAnsi="宋体" w:cs="宋体"/>
                <w:color w:val="auto"/>
                <w:szCs w:val="21"/>
                <w:highlight w:val="none"/>
              </w:rPr>
            </w:pPr>
            <w:r>
              <w:rPr>
                <w:rFonts w:hint="eastAsia" w:ascii="宋体" w:hAnsi="宋体" w:cs="宋体"/>
                <w:color w:val="auto"/>
                <w:szCs w:val="21"/>
                <w:highlight w:val="none"/>
              </w:rPr>
              <w:t>3  ……</w:t>
            </w:r>
          </w:p>
          <w:p w14:paraId="5B13261E">
            <w:pPr>
              <w:spacing w:line="340" w:lineRule="exact"/>
              <w:rPr>
                <w:rFonts w:ascii="宋体" w:hAnsi="宋体" w:cs="宋体"/>
                <w:color w:val="auto"/>
                <w:szCs w:val="21"/>
                <w:highlight w:val="none"/>
              </w:rPr>
            </w:pPr>
            <w:r>
              <w:rPr>
                <w:rFonts w:hint="eastAsia" w:ascii="宋体" w:hAnsi="宋体" w:cs="宋体"/>
                <w:color w:val="auto"/>
                <w:szCs w:val="21"/>
                <w:highlight w:val="none"/>
              </w:rPr>
              <w:t>……</w:t>
            </w:r>
          </w:p>
        </w:tc>
        <w:tc>
          <w:tcPr>
            <w:tcW w:w="3589" w:type="dxa"/>
            <w:tcBorders>
              <w:top w:val="single" w:color="auto" w:sz="4" w:space="0"/>
              <w:left w:val="single" w:color="auto" w:sz="4" w:space="0"/>
              <w:bottom w:val="single" w:color="auto" w:sz="4" w:space="0"/>
              <w:right w:val="single" w:color="auto" w:sz="4" w:space="0"/>
            </w:tcBorders>
          </w:tcPr>
          <w:p w14:paraId="2B1904D7">
            <w:pPr>
              <w:spacing w:line="340" w:lineRule="exact"/>
              <w:rPr>
                <w:rFonts w:ascii="宋体" w:hAnsi="宋体" w:cs="宋体"/>
                <w:color w:val="auto"/>
                <w:szCs w:val="21"/>
                <w:highlight w:val="none"/>
              </w:rPr>
            </w:pPr>
            <w:r>
              <w:rPr>
                <w:rFonts w:hint="eastAsia" w:ascii="宋体" w:hAnsi="宋体" w:cs="宋体"/>
                <w:color w:val="auto"/>
                <w:szCs w:val="21"/>
                <w:highlight w:val="none"/>
              </w:rPr>
              <w:t>1  ……</w:t>
            </w:r>
          </w:p>
          <w:p w14:paraId="13C37BEE">
            <w:pPr>
              <w:spacing w:line="340" w:lineRule="exact"/>
              <w:rPr>
                <w:rFonts w:ascii="宋体" w:hAnsi="宋体" w:cs="宋体"/>
                <w:color w:val="auto"/>
                <w:szCs w:val="21"/>
                <w:highlight w:val="none"/>
              </w:rPr>
            </w:pPr>
            <w:r>
              <w:rPr>
                <w:rFonts w:hint="eastAsia" w:ascii="宋体" w:hAnsi="宋体" w:cs="宋体"/>
                <w:color w:val="auto"/>
                <w:szCs w:val="21"/>
                <w:highlight w:val="none"/>
              </w:rPr>
              <w:t>2  ……</w:t>
            </w:r>
          </w:p>
          <w:p w14:paraId="59E8978C">
            <w:pPr>
              <w:spacing w:line="340" w:lineRule="exact"/>
              <w:rPr>
                <w:rFonts w:ascii="宋体" w:hAnsi="宋体" w:cs="宋体"/>
                <w:color w:val="auto"/>
                <w:szCs w:val="21"/>
                <w:highlight w:val="none"/>
              </w:rPr>
            </w:pPr>
            <w:r>
              <w:rPr>
                <w:rFonts w:hint="eastAsia" w:ascii="宋体" w:hAnsi="宋体" w:cs="宋体"/>
                <w:color w:val="auto"/>
                <w:szCs w:val="21"/>
                <w:highlight w:val="none"/>
              </w:rPr>
              <w:t>3  ……</w:t>
            </w:r>
          </w:p>
          <w:p w14:paraId="11CB66AB">
            <w:pPr>
              <w:spacing w:line="340" w:lineRule="exact"/>
              <w:rPr>
                <w:rFonts w:ascii="宋体" w:hAnsi="宋体" w:cs="宋体"/>
                <w:color w:val="auto"/>
                <w:szCs w:val="21"/>
                <w:highlight w:val="none"/>
              </w:rPr>
            </w:pPr>
            <w:r>
              <w:rPr>
                <w:rFonts w:hint="eastAsia" w:ascii="宋体" w:hAnsi="宋体" w:cs="宋体"/>
                <w:color w:val="auto"/>
                <w:szCs w:val="21"/>
                <w:highlight w:val="none"/>
              </w:rPr>
              <w:t>……</w:t>
            </w:r>
          </w:p>
        </w:tc>
        <w:tc>
          <w:tcPr>
            <w:tcW w:w="1274" w:type="dxa"/>
            <w:tcBorders>
              <w:top w:val="single" w:color="auto" w:sz="4" w:space="0"/>
              <w:left w:val="single" w:color="auto" w:sz="4" w:space="0"/>
              <w:bottom w:val="single" w:color="auto" w:sz="4" w:space="0"/>
              <w:right w:val="single" w:color="auto" w:sz="4" w:space="0"/>
            </w:tcBorders>
          </w:tcPr>
          <w:p w14:paraId="7EA4184C">
            <w:pPr>
              <w:spacing w:line="300" w:lineRule="exact"/>
              <w:rPr>
                <w:rFonts w:ascii="宋体" w:hAnsi="宋体" w:cs="宋体"/>
                <w:color w:val="auto"/>
                <w:szCs w:val="21"/>
                <w:highlight w:val="none"/>
              </w:rPr>
            </w:pPr>
          </w:p>
        </w:tc>
      </w:tr>
      <w:tr w14:paraId="70D17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691" w:type="dxa"/>
            <w:tcBorders>
              <w:top w:val="single" w:color="auto" w:sz="4" w:space="0"/>
              <w:left w:val="single" w:color="auto" w:sz="4" w:space="0"/>
              <w:bottom w:val="single" w:color="auto" w:sz="4" w:space="0"/>
              <w:right w:val="single" w:color="auto" w:sz="4" w:space="0"/>
            </w:tcBorders>
          </w:tcPr>
          <w:p w14:paraId="68E0AC07">
            <w:pPr>
              <w:spacing w:line="340" w:lineRule="exact"/>
              <w:rPr>
                <w:rFonts w:ascii="宋体" w:hAnsi="宋体" w:cs="宋体"/>
                <w:color w:val="auto"/>
                <w:szCs w:val="21"/>
                <w:highlight w:val="none"/>
              </w:rPr>
            </w:pPr>
            <w:r>
              <w:rPr>
                <w:rFonts w:hint="eastAsia" w:ascii="宋体" w:hAnsi="宋体" w:cs="宋体"/>
                <w:color w:val="auto"/>
                <w:szCs w:val="21"/>
                <w:highlight w:val="none"/>
              </w:rPr>
              <w:t>...</w:t>
            </w:r>
          </w:p>
        </w:tc>
        <w:tc>
          <w:tcPr>
            <w:tcW w:w="3926" w:type="dxa"/>
            <w:tcBorders>
              <w:top w:val="single" w:color="auto" w:sz="4" w:space="0"/>
              <w:left w:val="single" w:color="auto" w:sz="4" w:space="0"/>
              <w:bottom w:val="single" w:color="auto" w:sz="4" w:space="0"/>
              <w:right w:val="single" w:color="auto" w:sz="4" w:space="0"/>
            </w:tcBorders>
          </w:tcPr>
          <w:p w14:paraId="3D529B64">
            <w:pPr>
              <w:spacing w:line="340" w:lineRule="exact"/>
              <w:rPr>
                <w:rFonts w:ascii="宋体" w:hAnsi="宋体" w:cs="宋体"/>
                <w:color w:val="auto"/>
                <w:szCs w:val="21"/>
                <w:highlight w:val="none"/>
              </w:rPr>
            </w:pPr>
            <w:r>
              <w:rPr>
                <w:rFonts w:hint="eastAsia" w:ascii="宋体" w:hAnsi="宋体" w:cs="宋体"/>
                <w:color w:val="auto"/>
                <w:szCs w:val="21"/>
                <w:highlight w:val="none"/>
              </w:rPr>
              <w:t>1  ……</w:t>
            </w:r>
          </w:p>
          <w:p w14:paraId="680F571D">
            <w:pPr>
              <w:spacing w:line="340" w:lineRule="exact"/>
              <w:rPr>
                <w:rFonts w:ascii="宋体" w:hAnsi="宋体" w:cs="宋体"/>
                <w:color w:val="auto"/>
                <w:szCs w:val="21"/>
                <w:highlight w:val="none"/>
              </w:rPr>
            </w:pPr>
            <w:r>
              <w:rPr>
                <w:rFonts w:hint="eastAsia" w:ascii="宋体" w:hAnsi="宋体" w:cs="宋体"/>
                <w:color w:val="auto"/>
                <w:szCs w:val="21"/>
                <w:highlight w:val="none"/>
              </w:rPr>
              <w:t>2  ……</w:t>
            </w:r>
          </w:p>
          <w:p w14:paraId="558CD15F">
            <w:pPr>
              <w:spacing w:line="340" w:lineRule="exact"/>
              <w:rPr>
                <w:rFonts w:ascii="宋体" w:hAnsi="宋体" w:cs="宋体"/>
                <w:color w:val="auto"/>
                <w:szCs w:val="21"/>
                <w:highlight w:val="none"/>
              </w:rPr>
            </w:pPr>
            <w:r>
              <w:rPr>
                <w:rFonts w:hint="eastAsia" w:ascii="宋体" w:hAnsi="宋体" w:cs="宋体"/>
                <w:color w:val="auto"/>
                <w:szCs w:val="21"/>
                <w:highlight w:val="none"/>
              </w:rPr>
              <w:t>3  ……</w:t>
            </w:r>
          </w:p>
          <w:p w14:paraId="4140F9BC">
            <w:pPr>
              <w:spacing w:line="340" w:lineRule="exact"/>
              <w:rPr>
                <w:rFonts w:ascii="宋体" w:hAnsi="宋体" w:cs="宋体"/>
                <w:color w:val="auto"/>
                <w:szCs w:val="21"/>
                <w:highlight w:val="none"/>
              </w:rPr>
            </w:pPr>
            <w:r>
              <w:rPr>
                <w:rFonts w:hint="eastAsia" w:ascii="宋体" w:hAnsi="宋体" w:cs="宋体"/>
                <w:color w:val="auto"/>
                <w:szCs w:val="21"/>
                <w:highlight w:val="none"/>
              </w:rPr>
              <w:t>……</w:t>
            </w:r>
          </w:p>
        </w:tc>
        <w:tc>
          <w:tcPr>
            <w:tcW w:w="3589" w:type="dxa"/>
            <w:tcBorders>
              <w:top w:val="single" w:color="auto" w:sz="4" w:space="0"/>
              <w:left w:val="single" w:color="auto" w:sz="4" w:space="0"/>
              <w:bottom w:val="single" w:color="auto" w:sz="4" w:space="0"/>
              <w:right w:val="single" w:color="auto" w:sz="4" w:space="0"/>
            </w:tcBorders>
          </w:tcPr>
          <w:p w14:paraId="5D7EE7E9">
            <w:pPr>
              <w:spacing w:line="340" w:lineRule="exact"/>
              <w:rPr>
                <w:rFonts w:ascii="宋体" w:hAnsi="宋体" w:cs="宋体"/>
                <w:color w:val="auto"/>
                <w:szCs w:val="21"/>
                <w:highlight w:val="none"/>
              </w:rPr>
            </w:pPr>
            <w:r>
              <w:rPr>
                <w:rFonts w:hint="eastAsia" w:ascii="宋体" w:hAnsi="宋体" w:cs="宋体"/>
                <w:color w:val="auto"/>
                <w:szCs w:val="21"/>
                <w:highlight w:val="none"/>
              </w:rPr>
              <w:t>1  ……</w:t>
            </w:r>
          </w:p>
          <w:p w14:paraId="781BFB9C">
            <w:pPr>
              <w:spacing w:line="340" w:lineRule="exact"/>
              <w:rPr>
                <w:rFonts w:ascii="宋体" w:hAnsi="宋体" w:cs="宋体"/>
                <w:color w:val="auto"/>
                <w:szCs w:val="21"/>
                <w:highlight w:val="none"/>
              </w:rPr>
            </w:pPr>
            <w:r>
              <w:rPr>
                <w:rFonts w:hint="eastAsia" w:ascii="宋体" w:hAnsi="宋体" w:cs="宋体"/>
                <w:color w:val="auto"/>
                <w:szCs w:val="21"/>
                <w:highlight w:val="none"/>
              </w:rPr>
              <w:t>2  ……</w:t>
            </w:r>
          </w:p>
          <w:p w14:paraId="5F24F48D">
            <w:pPr>
              <w:spacing w:line="340" w:lineRule="exact"/>
              <w:rPr>
                <w:rFonts w:ascii="宋体" w:hAnsi="宋体" w:cs="宋体"/>
                <w:color w:val="auto"/>
                <w:szCs w:val="21"/>
                <w:highlight w:val="none"/>
              </w:rPr>
            </w:pPr>
            <w:r>
              <w:rPr>
                <w:rFonts w:hint="eastAsia" w:ascii="宋体" w:hAnsi="宋体" w:cs="宋体"/>
                <w:color w:val="auto"/>
                <w:szCs w:val="21"/>
                <w:highlight w:val="none"/>
              </w:rPr>
              <w:t>3  ……</w:t>
            </w:r>
          </w:p>
          <w:p w14:paraId="1A4BB3B2">
            <w:pPr>
              <w:spacing w:line="340" w:lineRule="exact"/>
              <w:rPr>
                <w:rFonts w:ascii="宋体" w:hAnsi="宋体" w:cs="宋体"/>
                <w:color w:val="auto"/>
                <w:szCs w:val="21"/>
                <w:highlight w:val="none"/>
              </w:rPr>
            </w:pPr>
            <w:r>
              <w:rPr>
                <w:rFonts w:hint="eastAsia" w:ascii="宋体" w:hAnsi="宋体" w:cs="宋体"/>
                <w:color w:val="auto"/>
                <w:szCs w:val="21"/>
                <w:highlight w:val="none"/>
              </w:rPr>
              <w:t>……</w:t>
            </w:r>
          </w:p>
        </w:tc>
        <w:tc>
          <w:tcPr>
            <w:tcW w:w="1274" w:type="dxa"/>
            <w:tcBorders>
              <w:top w:val="single" w:color="auto" w:sz="4" w:space="0"/>
              <w:left w:val="single" w:color="auto" w:sz="4" w:space="0"/>
              <w:bottom w:val="single" w:color="auto" w:sz="4" w:space="0"/>
              <w:right w:val="single" w:color="auto" w:sz="4" w:space="0"/>
            </w:tcBorders>
          </w:tcPr>
          <w:p w14:paraId="10D71EED">
            <w:pPr>
              <w:spacing w:line="300" w:lineRule="exact"/>
              <w:rPr>
                <w:rFonts w:ascii="宋体" w:hAnsi="宋体" w:cs="宋体"/>
                <w:color w:val="auto"/>
                <w:szCs w:val="21"/>
                <w:highlight w:val="none"/>
              </w:rPr>
            </w:pPr>
          </w:p>
        </w:tc>
      </w:tr>
    </w:tbl>
    <w:p w14:paraId="723D1E7E">
      <w:pPr>
        <w:pStyle w:val="12"/>
        <w:spacing w:line="400" w:lineRule="exact"/>
        <w:ind w:firstLine="0" w:firstLineChars="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14:paraId="6D195ADD">
      <w:pPr>
        <w:pStyle w:val="12"/>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1.说明：应对照磋商文件“第二章 采购需求”中的商务条款逐条作出明确响应，并作出偏离说明。</w:t>
      </w:r>
    </w:p>
    <w:p w14:paraId="2FB3C194">
      <w:pPr>
        <w:pStyle w:val="12"/>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2.供应商应根据自身的承诺，对照磋商文件要求，在“偏离说明”中注明“正偏离”、“负偏离”或者“无偏离”。既不属于“正偏离”也不属于“负偏离”即为“无偏离”。 当响应文件的商务内容低于竞争性磋商采购文件要求时，竞标人应当如实写明“负偏离”，否则视为虚假应标</w:t>
      </w:r>
      <w:r>
        <w:rPr>
          <w:rFonts w:hint="eastAsia" w:ascii="宋体" w:hAnsi="宋体" w:eastAsia="宋体" w:cs="宋体"/>
          <w:color w:val="auto"/>
          <w:sz w:val="24"/>
          <w:szCs w:val="24"/>
          <w:highlight w:val="none"/>
          <w:lang w:eastAsia="zh-CN"/>
        </w:rPr>
        <w:t>。</w:t>
      </w:r>
    </w:p>
    <w:p w14:paraId="4E73CFDE">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3.表格内容均需按要求填写，不得留空。</w:t>
      </w:r>
    </w:p>
    <w:p w14:paraId="43DD4084">
      <w:pPr>
        <w:spacing w:line="360" w:lineRule="auto"/>
        <w:ind w:firstLine="3840" w:firstLineChars="1600"/>
        <w:rPr>
          <w:rFonts w:hint="eastAsia" w:ascii="宋体" w:hAnsi="宋体" w:cs="宋体"/>
          <w:color w:val="auto"/>
          <w:kern w:val="0"/>
          <w:sz w:val="24"/>
          <w:highlight w:val="none"/>
        </w:rPr>
      </w:pPr>
    </w:p>
    <w:p w14:paraId="7DD5FB01">
      <w:pPr>
        <w:spacing w:line="360" w:lineRule="auto"/>
        <w:ind w:firstLine="3840" w:firstLineChars="1600"/>
        <w:rPr>
          <w:rFonts w:ascii="宋体" w:hAnsi="宋体" w:cs="宋体"/>
          <w:color w:val="auto"/>
          <w:sz w:val="24"/>
          <w:highlight w:val="none"/>
        </w:rPr>
      </w:pPr>
      <w:r>
        <w:rPr>
          <w:rFonts w:hint="eastAsia" w:ascii="宋体" w:hAnsi="宋体" w:cs="宋体"/>
          <w:color w:val="auto"/>
          <w:kern w:val="0"/>
          <w:sz w:val="24"/>
          <w:highlight w:val="none"/>
        </w:rPr>
        <w:t>供应商名称（电子签章）：</w:t>
      </w:r>
    </w:p>
    <w:p w14:paraId="1E0F4EA0">
      <w:pPr>
        <w:spacing w:line="360" w:lineRule="auto"/>
        <w:jc w:val="center"/>
        <w:rPr>
          <w:rFonts w:ascii="宋体" w:hAnsi="宋体" w:cs="宋体"/>
          <w:b/>
          <w:color w:val="auto"/>
          <w:sz w:val="24"/>
          <w:highlight w:val="none"/>
        </w:rPr>
      </w:pPr>
      <w:r>
        <w:rPr>
          <w:rFonts w:hint="eastAsia" w:ascii="宋体" w:hAnsi="宋体" w:cs="宋体"/>
          <w:color w:val="auto"/>
          <w:kern w:val="0"/>
          <w:sz w:val="24"/>
          <w:highlight w:val="none"/>
          <w:lang w:val="zh-CN"/>
        </w:rPr>
        <w:t xml:space="preserve">                                                   日期：  年  月   日</w:t>
      </w:r>
    </w:p>
    <w:p w14:paraId="421A450C">
      <w:pPr>
        <w:snapToGrid w:val="0"/>
        <w:spacing w:line="360" w:lineRule="auto"/>
        <w:ind w:firstLine="602" w:firstLineChars="200"/>
        <w:rPr>
          <w:rFonts w:ascii="宋体" w:hAnsi="宋体" w:cs="宋体"/>
          <w:b/>
          <w:color w:val="auto"/>
          <w:sz w:val="30"/>
          <w:szCs w:val="30"/>
          <w:highlight w:val="none"/>
        </w:rPr>
      </w:pPr>
    </w:p>
    <w:p w14:paraId="6C3996FD">
      <w:pPr>
        <w:snapToGrid w:val="0"/>
        <w:spacing w:line="360" w:lineRule="auto"/>
        <w:ind w:firstLine="602" w:firstLineChars="200"/>
        <w:rPr>
          <w:rFonts w:hint="eastAsia" w:ascii="宋体" w:hAnsi="宋体" w:cs="宋体"/>
          <w:b/>
          <w:color w:val="auto"/>
          <w:sz w:val="30"/>
          <w:szCs w:val="30"/>
          <w:highlight w:val="none"/>
        </w:rPr>
      </w:pPr>
    </w:p>
    <w:p w14:paraId="41F33B90">
      <w:pPr>
        <w:snapToGrid w:val="0"/>
        <w:spacing w:line="360" w:lineRule="auto"/>
        <w:ind w:firstLine="602" w:firstLineChars="200"/>
        <w:rPr>
          <w:rFonts w:hint="eastAsia" w:ascii="宋体" w:hAnsi="宋体" w:cs="宋体"/>
          <w:b/>
          <w:color w:val="auto"/>
          <w:sz w:val="30"/>
          <w:szCs w:val="30"/>
          <w:highlight w:val="none"/>
        </w:rPr>
      </w:pPr>
    </w:p>
    <w:p w14:paraId="1742F894">
      <w:pPr>
        <w:snapToGrid w:val="0"/>
        <w:spacing w:line="360" w:lineRule="auto"/>
        <w:ind w:firstLine="602" w:firstLineChars="200"/>
        <w:rPr>
          <w:rFonts w:hint="eastAsia" w:ascii="宋体" w:hAnsi="宋体" w:cs="宋体"/>
          <w:b/>
          <w:color w:val="auto"/>
          <w:sz w:val="30"/>
          <w:szCs w:val="30"/>
          <w:highlight w:val="none"/>
        </w:rPr>
      </w:pPr>
    </w:p>
    <w:p w14:paraId="420D8D35">
      <w:pPr>
        <w:snapToGrid w:val="0"/>
        <w:spacing w:line="360" w:lineRule="auto"/>
        <w:ind w:firstLine="602" w:firstLineChars="200"/>
        <w:rPr>
          <w:rFonts w:ascii="宋体" w:hAnsi="宋体" w:cs="宋体"/>
          <w:b/>
          <w:color w:val="auto"/>
          <w:sz w:val="30"/>
          <w:szCs w:val="30"/>
          <w:highlight w:val="none"/>
        </w:rPr>
      </w:pPr>
      <w:r>
        <w:rPr>
          <w:rFonts w:hint="eastAsia" w:ascii="宋体" w:hAnsi="宋体" w:cs="宋体"/>
          <w:b/>
          <w:color w:val="auto"/>
          <w:sz w:val="30"/>
          <w:szCs w:val="30"/>
          <w:highlight w:val="none"/>
        </w:rPr>
        <w:t>五、竞标人情况介绍</w:t>
      </w:r>
    </w:p>
    <w:p w14:paraId="491E3334">
      <w:pPr>
        <w:snapToGrid w:val="0"/>
        <w:spacing w:line="360" w:lineRule="auto"/>
        <w:ind w:firstLine="602" w:firstLineChars="200"/>
        <w:rPr>
          <w:rFonts w:ascii="宋体" w:hAnsi="宋体" w:cs="宋体"/>
          <w:b/>
          <w:color w:val="auto"/>
          <w:sz w:val="30"/>
          <w:szCs w:val="30"/>
          <w:highlight w:val="none"/>
        </w:rPr>
      </w:pPr>
    </w:p>
    <w:p w14:paraId="2D7A01FA">
      <w:pPr>
        <w:autoSpaceDE w:val="0"/>
        <w:autoSpaceDN w:val="0"/>
        <w:spacing w:line="360" w:lineRule="auto"/>
        <w:ind w:left="4335" w:leftChars="1950" w:hanging="240" w:hangingChars="100"/>
        <w:rPr>
          <w:rFonts w:ascii="宋体" w:hAnsi="宋体" w:cs="宋体"/>
          <w:color w:val="auto"/>
          <w:kern w:val="0"/>
          <w:sz w:val="24"/>
          <w:highlight w:val="none"/>
        </w:rPr>
      </w:pPr>
      <w:r>
        <w:rPr>
          <w:rFonts w:hint="eastAsia" w:ascii="宋体" w:hAnsi="宋体" w:cs="宋体"/>
          <w:color w:val="auto"/>
          <w:kern w:val="0"/>
          <w:sz w:val="24"/>
          <w:highlight w:val="none"/>
        </w:rPr>
        <w:t>供应商名称（电子签章）：</w:t>
      </w:r>
    </w:p>
    <w:p w14:paraId="58DEE4CB">
      <w:pPr>
        <w:autoSpaceDE w:val="0"/>
        <w:autoSpaceDN w:val="0"/>
        <w:spacing w:line="360" w:lineRule="auto"/>
        <w:ind w:firstLine="6480" w:firstLineChars="2700"/>
        <w:rPr>
          <w:rFonts w:ascii="宋体" w:hAnsi="宋体" w:cs="宋体"/>
          <w:b/>
          <w:bCs/>
          <w:color w:val="auto"/>
          <w:sz w:val="24"/>
          <w:highlight w:val="none"/>
        </w:rPr>
      </w:pPr>
      <w:r>
        <w:rPr>
          <w:rFonts w:hint="eastAsia" w:ascii="宋体" w:hAnsi="宋体" w:cs="宋体"/>
          <w:color w:val="auto"/>
          <w:kern w:val="0"/>
          <w:sz w:val="24"/>
          <w:highlight w:val="none"/>
          <w:lang w:val="zh-CN"/>
        </w:rPr>
        <w:t>日期：  年  月   日</w:t>
      </w:r>
    </w:p>
    <w:p w14:paraId="2223EA1B">
      <w:pPr>
        <w:snapToGrid w:val="0"/>
        <w:spacing w:before="120" w:beforeLines="50" w:after="50"/>
        <w:ind w:firstLine="602" w:firstLineChars="200"/>
        <w:rPr>
          <w:rFonts w:ascii="宋体" w:hAnsi="宋体" w:cs="宋体"/>
          <w:b/>
          <w:color w:val="auto"/>
          <w:sz w:val="30"/>
          <w:szCs w:val="30"/>
          <w:highlight w:val="none"/>
        </w:rPr>
      </w:pPr>
      <w:r>
        <w:rPr>
          <w:rFonts w:hint="eastAsia" w:ascii="宋体" w:hAnsi="宋体" w:cs="宋体"/>
          <w:b/>
          <w:color w:val="auto"/>
          <w:sz w:val="30"/>
          <w:szCs w:val="30"/>
          <w:highlight w:val="none"/>
        </w:rPr>
        <w:t>六、供应商类似的业绩证明文件</w:t>
      </w:r>
    </w:p>
    <w:p w14:paraId="4CCCCE75">
      <w:pPr>
        <w:pStyle w:val="21"/>
        <w:snapToGrid w:val="0"/>
        <w:ind w:left="480" w:hanging="480"/>
        <w:rPr>
          <w:rFonts w:ascii="宋体" w:hAnsi="宋体" w:cs="宋体"/>
          <w:color w:val="auto"/>
          <w:sz w:val="24"/>
          <w:highlight w:val="none"/>
        </w:rPr>
      </w:pPr>
    </w:p>
    <w:p w14:paraId="2FFEA8F9">
      <w:pPr>
        <w:pStyle w:val="21"/>
        <w:snapToGrid w:val="0"/>
        <w:ind w:left="480" w:hanging="480"/>
        <w:rPr>
          <w:rFonts w:ascii="宋体" w:hAnsi="宋体" w:cs="宋体"/>
          <w:color w:val="auto"/>
          <w:sz w:val="24"/>
          <w:highlight w:val="none"/>
        </w:rPr>
      </w:pPr>
    </w:p>
    <w:p w14:paraId="39BEFBB0">
      <w:pPr>
        <w:pStyle w:val="21"/>
        <w:snapToGrid w:val="0"/>
        <w:ind w:left="480" w:hanging="480"/>
        <w:rPr>
          <w:rFonts w:ascii="宋体" w:hAnsi="宋体" w:cs="宋体"/>
          <w:color w:val="auto"/>
          <w:sz w:val="24"/>
          <w:highlight w:val="none"/>
        </w:rPr>
      </w:pPr>
    </w:p>
    <w:p w14:paraId="22FDA961">
      <w:pPr>
        <w:autoSpaceDE w:val="0"/>
        <w:autoSpaceDN w:val="0"/>
        <w:spacing w:line="360" w:lineRule="auto"/>
        <w:ind w:firstLine="120"/>
        <w:rPr>
          <w:rFonts w:hint="default" w:ascii="宋体" w:hAnsi="宋体" w:eastAsia="宋体" w:cs="宋体"/>
          <w:color w:val="auto"/>
          <w:sz w:val="24"/>
          <w:highlight w:val="none"/>
          <w:lang w:val="en-US" w:eastAsia="zh-CN"/>
        </w:rPr>
      </w:pPr>
      <w:r>
        <w:rPr>
          <w:rFonts w:hint="eastAsia" w:ascii="宋体" w:hAnsi="宋体" w:cs="宋体"/>
          <w:b/>
          <w:color w:val="auto"/>
          <w:sz w:val="24"/>
          <w:highlight w:val="none"/>
        </w:rPr>
        <w:t>附表 :相关项目业绩一览表</w:t>
      </w:r>
      <w:r>
        <w:rPr>
          <w:rFonts w:hint="eastAsia" w:ascii="宋体" w:hAnsi="宋体" w:cs="宋体"/>
          <w:b/>
          <w:color w:val="auto"/>
          <w:sz w:val="24"/>
          <w:highlight w:val="none"/>
          <w:lang w:eastAsia="zh-CN"/>
        </w:rPr>
        <w:t>、</w:t>
      </w:r>
      <w:r>
        <w:rPr>
          <w:rFonts w:hint="eastAsia" w:ascii="宋体" w:hAnsi="宋体" w:cs="宋体"/>
          <w:b/>
          <w:color w:val="auto"/>
          <w:sz w:val="24"/>
          <w:highlight w:val="none"/>
          <w:lang w:val="en-US" w:eastAsia="zh-CN"/>
        </w:rPr>
        <w:t>业绩证明材料</w:t>
      </w:r>
    </w:p>
    <w:tbl>
      <w:tblPr>
        <w:tblStyle w:val="26"/>
        <w:tblpPr w:leftFromText="180" w:rightFromText="180" w:vertAnchor="page" w:horzAnchor="margin" w:tblpXSpec="center" w:tblpY="4783"/>
        <w:tblW w:w="1031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83"/>
        <w:gridCol w:w="1842"/>
        <w:gridCol w:w="1134"/>
        <w:gridCol w:w="1134"/>
        <w:gridCol w:w="1700"/>
        <w:gridCol w:w="1276"/>
        <w:gridCol w:w="1841"/>
      </w:tblGrid>
      <w:tr w14:paraId="40D50B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1383" w:type="dxa"/>
            <w:vMerge w:val="restart"/>
            <w:tcBorders>
              <w:top w:val="single" w:color="auto" w:sz="4" w:space="0"/>
              <w:left w:val="single" w:color="auto" w:sz="4" w:space="0"/>
              <w:bottom w:val="single" w:color="auto" w:sz="4" w:space="0"/>
              <w:right w:val="single" w:color="auto" w:sz="4" w:space="0"/>
            </w:tcBorders>
            <w:vAlign w:val="center"/>
          </w:tcPr>
          <w:p w14:paraId="3A471BD7">
            <w:pPr>
              <w:snapToGrid w:val="0"/>
              <w:spacing w:line="240" w:lineRule="exact"/>
              <w:jc w:val="center"/>
              <w:rPr>
                <w:rFonts w:ascii="宋体" w:hAnsi="宋体" w:cs="宋体"/>
                <w:color w:val="auto"/>
                <w:sz w:val="24"/>
                <w:highlight w:val="none"/>
              </w:rPr>
            </w:pPr>
            <w:r>
              <w:rPr>
                <w:rFonts w:hint="eastAsia" w:ascii="宋体" w:hAnsi="宋体" w:cs="宋体"/>
                <w:color w:val="auto"/>
                <w:sz w:val="24"/>
                <w:highlight w:val="none"/>
              </w:rPr>
              <w:t>采购人名称</w:t>
            </w:r>
          </w:p>
        </w:tc>
        <w:tc>
          <w:tcPr>
            <w:tcW w:w="1842" w:type="dxa"/>
            <w:vMerge w:val="restart"/>
            <w:tcBorders>
              <w:top w:val="single" w:color="auto" w:sz="4" w:space="0"/>
              <w:left w:val="single" w:color="auto" w:sz="4" w:space="0"/>
              <w:bottom w:val="single" w:color="auto" w:sz="4" w:space="0"/>
              <w:right w:val="single" w:color="auto" w:sz="4" w:space="0"/>
            </w:tcBorders>
            <w:vAlign w:val="center"/>
          </w:tcPr>
          <w:p w14:paraId="44793B97">
            <w:pPr>
              <w:snapToGrid w:val="0"/>
              <w:spacing w:line="240" w:lineRule="exact"/>
              <w:jc w:val="center"/>
              <w:rPr>
                <w:rFonts w:ascii="宋体" w:hAnsi="宋体" w:cs="宋体"/>
                <w:color w:val="auto"/>
                <w:sz w:val="24"/>
                <w:highlight w:val="none"/>
              </w:rPr>
            </w:pPr>
            <w:r>
              <w:rPr>
                <w:rFonts w:hint="eastAsia" w:ascii="宋体" w:hAnsi="宋体" w:cs="宋体"/>
                <w:color w:val="auto"/>
                <w:sz w:val="24"/>
                <w:highlight w:val="none"/>
              </w:rPr>
              <w:t>项目名称</w:t>
            </w:r>
          </w:p>
        </w:tc>
        <w:tc>
          <w:tcPr>
            <w:tcW w:w="1134" w:type="dxa"/>
            <w:vMerge w:val="restart"/>
            <w:tcBorders>
              <w:top w:val="single" w:color="auto" w:sz="4" w:space="0"/>
              <w:left w:val="single" w:color="auto" w:sz="4" w:space="0"/>
              <w:bottom w:val="single" w:color="auto" w:sz="4" w:space="0"/>
              <w:right w:val="single" w:color="auto" w:sz="4" w:space="0"/>
            </w:tcBorders>
            <w:vAlign w:val="center"/>
          </w:tcPr>
          <w:p w14:paraId="59F278AE">
            <w:pPr>
              <w:snapToGrid w:val="0"/>
              <w:spacing w:line="240" w:lineRule="exact"/>
              <w:jc w:val="center"/>
              <w:rPr>
                <w:rFonts w:ascii="宋体" w:hAnsi="宋体" w:cs="宋体"/>
                <w:color w:val="auto"/>
                <w:sz w:val="24"/>
                <w:highlight w:val="none"/>
              </w:rPr>
            </w:pPr>
            <w:r>
              <w:rPr>
                <w:rFonts w:hint="eastAsia" w:ascii="宋体" w:hAnsi="宋体" w:cs="宋体"/>
                <w:color w:val="auto"/>
                <w:sz w:val="24"/>
                <w:highlight w:val="none"/>
              </w:rPr>
              <w:t>合同</w:t>
            </w:r>
          </w:p>
          <w:p w14:paraId="4E07EEED">
            <w:pPr>
              <w:snapToGrid w:val="0"/>
              <w:spacing w:line="240" w:lineRule="exact"/>
              <w:jc w:val="center"/>
              <w:rPr>
                <w:rFonts w:ascii="宋体" w:hAnsi="宋体" w:cs="宋体"/>
                <w:color w:val="auto"/>
                <w:sz w:val="24"/>
                <w:highlight w:val="none"/>
              </w:rPr>
            </w:pPr>
            <w:r>
              <w:rPr>
                <w:rFonts w:hint="eastAsia" w:ascii="宋体" w:hAnsi="宋体" w:cs="宋体"/>
                <w:color w:val="auto"/>
                <w:sz w:val="24"/>
                <w:highlight w:val="none"/>
              </w:rPr>
              <w:t>金额</w:t>
            </w:r>
          </w:p>
          <w:p w14:paraId="4D72DF03">
            <w:pPr>
              <w:snapToGrid w:val="0"/>
              <w:spacing w:line="240" w:lineRule="exact"/>
              <w:jc w:val="center"/>
              <w:rPr>
                <w:rFonts w:ascii="宋体" w:hAnsi="宋体" w:cs="宋体"/>
                <w:color w:val="auto"/>
                <w:sz w:val="24"/>
                <w:highlight w:val="none"/>
              </w:rPr>
            </w:pPr>
            <w:r>
              <w:rPr>
                <w:rFonts w:hint="eastAsia" w:ascii="宋体" w:hAnsi="宋体" w:cs="宋体"/>
                <w:color w:val="auto"/>
                <w:sz w:val="24"/>
                <w:highlight w:val="none"/>
              </w:rPr>
              <w:t>（万元）</w:t>
            </w:r>
          </w:p>
        </w:tc>
        <w:tc>
          <w:tcPr>
            <w:tcW w:w="4110" w:type="dxa"/>
            <w:gridSpan w:val="3"/>
            <w:tcBorders>
              <w:top w:val="single" w:color="auto" w:sz="4" w:space="0"/>
              <w:left w:val="single" w:color="auto" w:sz="4" w:space="0"/>
              <w:bottom w:val="single" w:color="auto" w:sz="4" w:space="0"/>
              <w:right w:val="single" w:color="auto" w:sz="4" w:space="0"/>
            </w:tcBorders>
            <w:vAlign w:val="center"/>
          </w:tcPr>
          <w:p w14:paraId="783DB258">
            <w:pPr>
              <w:snapToGrid w:val="0"/>
              <w:spacing w:line="240" w:lineRule="exact"/>
              <w:jc w:val="center"/>
              <w:rPr>
                <w:rFonts w:ascii="宋体" w:hAnsi="宋体" w:cs="宋体"/>
                <w:color w:val="auto"/>
                <w:sz w:val="24"/>
                <w:highlight w:val="none"/>
              </w:rPr>
            </w:pPr>
            <w:r>
              <w:rPr>
                <w:rFonts w:hint="eastAsia" w:ascii="宋体" w:hAnsi="宋体" w:cs="宋体"/>
                <w:color w:val="auto"/>
                <w:sz w:val="24"/>
                <w:highlight w:val="none"/>
              </w:rPr>
              <w:t>附件在响应文件中页码</w:t>
            </w:r>
          </w:p>
        </w:tc>
        <w:tc>
          <w:tcPr>
            <w:tcW w:w="1841" w:type="dxa"/>
            <w:vMerge w:val="restart"/>
            <w:tcBorders>
              <w:top w:val="single" w:color="auto" w:sz="4" w:space="0"/>
              <w:left w:val="single" w:color="auto" w:sz="4" w:space="0"/>
              <w:bottom w:val="single" w:color="auto" w:sz="4" w:space="0"/>
              <w:right w:val="single" w:color="auto" w:sz="4" w:space="0"/>
            </w:tcBorders>
            <w:vAlign w:val="center"/>
          </w:tcPr>
          <w:p w14:paraId="7536D4FE">
            <w:pPr>
              <w:snapToGrid w:val="0"/>
              <w:spacing w:line="240" w:lineRule="exact"/>
              <w:jc w:val="center"/>
              <w:rPr>
                <w:rFonts w:ascii="宋体" w:hAnsi="宋体" w:cs="宋体"/>
                <w:color w:val="auto"/>
                <w:sz w:val="24"/>
                <w:highlight w:val="none"/>
              </w:rPr>
            </w:pPr>
            <w:r>
              <w:rPr>
                <w:rFonts w:hint="eastAsia" w:ascii="宋体" w:hAnsi="宋体" w:cs="宋体"/>
                <w:color w:val="auto"/>
                <w:sz w:val="24"/>
                <w:highlight w:val="none"/>
              </w:rPr>
              <w:t>采购人联系人及联系电话</w:t>
            </w:r>
          </w:p>
        </w:tc>
      </w:tr>
      <w:tr w14:paraId="51E7CF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1383" w:type="dxa"/>
            <w:vMerge w:val="continue"/>
            <w:tcBorders>
              <w:top w:val="single" w:color="auto" w:sz="4" w:space="0"/>
              <w:left w:val="single" w:color="auto" w:sz="4" w:space="0"/>
              <w:bottom w:val="single" w:color="auto" w:sz="4" w:space="0"/>
              <w:right w:val="single" w:color="auto" w:sz="4" w:space="0"/>
            </w:tcBorders>
            <w:vAlign w:val="center"/>
          </w:tcPr>
          <w:p w14:paraId="0B9FBB07">
            <w:pPr>
              <w:widowControl/>
              <w:jc w:val="left"/>
              <w:rPr>
                <w:rFonts w:ascii="宋体" w:hAnsi="宋体" w:cs="宋体"/>
                <w:color w:val="auto"/>
                <w:sz w:val="24"/>
                <w:highlight w:val="none"/>
              </w:rPr>
            </w:pPr>
          </w:p>
        </w:tc>
        <w:tc>
          <w:tcPr>
            <w:tcW w:w="1842" w:type="dxa"/>
            <w:vMerge w:val="continue"/>
            <w:tcBorders>
              <w:top w:val="single" w:color="auto" w:sz="4" w:space="0"/>
              <w:left w:val="single" w:color="auto" w:sz="4" w:space="0"/>
              <w:bottom w:val="single" w:color="auto" w:sz="4" w:space="0"/>
              <w:right w:val="single" w:color="auto" w:sz="4" w:space="0"/>
            </w:tcBorders>
            <w:vAlign w:val="center"/>
          </w:tcPr>
          <w:p w14:paraId="255C254A">
            <w:pPr>
              <w:widowControl/>
              <w:jc w:val="left"/>
              <w:rPr>
                <w:rFonts w:ascii="宋体" w:hAnsi="宋体" w:cs="宋体"/>
                <w:color w:val="auto"/>
                <w:sz w:val="24"/>
                <w:highlight w:val="none"/>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41547D12">
            <w:pPr>
              <w:widowControl/>
              <w:jc w:val="left"/>
              <w:rPr>
                <w:rFonts w:ascii="宋体" w:hAnsi="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3B27EF56">
            <w:pPr>
              <w:snapToGrid w:val="0"/>
              <w:spacing w:line="240" w:lineRule="exact"/>
              <w:jc w:val="center"/>
              <w:rPr>
                <w:rFonts w:ascii="宋体" w:hAnsi="宋体" w:cs="宋体"/>
                <w:color w:val="auto"/>
                <w:sz w:val="24"/>
                <w:highlight w:val="none"/>
              </w:rPr>
            </w:pPr>
            <w:r>
              <w:rPr>
                <w:rFonts w:hint="eastAsia" w:ascii="宋体" w:hAnsi="宋体" w:cs="宋体"/>
                <w:color w:val="auto"/>
                <w:sz w:val="24"/>
                <w:highlight w:val="none"/>
              </w:rPr>
              <w:t>合同</w:t>
            </w:r>
          </w:p>
        </w:tc>
        <w:tc>
          <w:tcPr>
            <w:tcW w:w="1700" w:type="dxa"/>
            <w:tcBorders>
              <w:top w:val="single" w:color="auto" w:sz="4" w:space="0"/>
              <w:left w:val="single" w:color="auto" w:sz="4" w:space="0"/>
              <w:bottom w:val="single" w:color="auto" w:sz="4" w:space="0"/>
              <w:right w:val="single" w:color="auto" w:sz="4" w:space="0"/>
            </w:tcBorders>
            <w:vAlign w:val="center"/>
          </w:tcPr>
          <w:p w14:paraId="57A2AD94">
            <w:pPr>
              <w:snapToGrid w:val="0"/>
              <w:spacing w:line="240" w:lineRule="exact"/>
              <w:jc w:val="center"/>
              <w:rPr>
                <w:rFonts w:ascii="宋体" w:hAnsi="宋体" w:cs="宋体"/>
                <w:color w:val="auto"/>
                <w:sz w:val="24"/>
                <w:highlight w:val="none"/>
              </w:rPr>
            </w:pPr>
            <w:r>
              <w:rPr>
                <w:rFonts w:hint="eastAsia" w:ascii="宋体" w:hAnsi="宋体" w:cs="宋体"/>
                <w:color w:val="auto"/>
                <w:sz w:val="24"/>
                <w:highlight w:val="none"/>
              </w:rPr>
              <w:t>验收报告</w:t>
            </w:r>
          </w:p>
        </w:tc>
        <w:tc>
          <w:tcPr>
            <w:tcW w:w="1276" w:type="dxa"/>
            <w:tcBorders>
              <w:top w:val="single" w:color="auto" w:sz="4" w:space="0"/>
              <w:left w:val="single" w:color="auto" w:sz="4" w:space="0"/>
              <w:bottom w:val="single" w:color="auto" w:sz="4" w:space="0"/>
              <w:right w:val="single" w:color="auto" w:sz="4" w:space="0"/>
            </w:tcBorders>
            <w:vAlign w:val="center"/>
          </w:tcPr>
          <w:p w14:paraId="341FAD74">
            <w:pPr>
              <w:snapToGrid w:val="0"/>
              <w:spacing w:line="240" w:lineRule="exact"/>
              <w:jc w:val="center"/>
              <w:rPr>
                <w:rFonts w:ascii="宋体" w:hAnsi="宋体" w:cs="宋体"/>
                <w:color w:val="auto"/>
                <w:sz w:val="24"/>
                <w:highlight w:val="none"/>
              </w:rPr>
            </w:pPr>
            <w:r>
              <w:rPr>
                <w:rFonts w:hint="eastAsia" w:ascii="宋体" w:hAnsi="宋体" w:cs="宋体"/>
                <w:color w:val="auto"/>
                <w:sz w:val="24"/>
                <w:highlight w:val="none"/>
              </w:rPr>
              <w:t>用户评价</w:t>
            </w:r>
          </w:p>
        </w:tc>
        <w:tc>
          <w:tcPr>
            <w:tcW w:w="1841" w:type="dxa"/>
            <w:vMerge w:val="continue"/>
            <w:tcBorders>
              <w:top w:val="single" w:color="auto" w:sz="4" w:space="0"/>
              <w:left w:val="single" w:color="auto" w:sz="4" w:space="0"/>
              <w:bottom w:val="single" w:color="auto" w:sz="4" w:space="0"/>
              <w:right w:val="single" w:color="auto" w:sz="4" w:space="0"/>
            </w:tcBorders>
            <w:vAlign w:val="center"/>
          </w:tcPr>
          <w:p w14:paraId="029C1AE6">
            <w:pPr>
              <w:widowControl/>
              <w:jc w:val="left"/>
              <w:rPr>
                <w:rFonts w:ascii="宋体" w:hAnsi="宋体" w:cs="宋体"/>
                <w:color w:val="auto"/>
                <w:sz w:val="24"/>
                <w:highlight w:val="none"/>
              </w:rPr>
            </w:pPr>
          </w:p>
        </w:tc>
      </w:tr>
      <w:tr w14:paraId="163505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1383" w:type="dxa"/>
            <w:tcBorders>
              <w:top w:val="single" w:color="auto" w:sz="4" w:space="0"/>
              <w:left w:val="single" w:color="auto" w:sz="4" w:space="0"/>
              <w:bottom w:val="single" w:color="auto" w:sz="4" w:space="0"/>
              <w:right w:val="single" w:color="auto" w:sz="4" w:space="0"/>
            </w:tcBorders>
          </w:tcPr>
          <w:p w14:paraId="17AEAF3E">
            <w:pPr>
              <w:snapToGrid w:val="0"/>
              <w:spacing w:line="240" w:lineRule="exact"/>
              <w:jc w:val="left"/>
              <w:rPr>
                <w:rFonts w:ascii="宋体" w:hAnsi="宋体" w:cs="宋体"/>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tcPr>
          <w:p w14:paraId="608BE71B">
            <w:pPr>
              <w:snapToGrid w:val="0"/>
              <w:spacing w:line="240" w:lineRule="exact"/>
              <w:jc w:val="left"/>
              <w:rPr>
                <w:rFonts w:ascii="宋体" w:hAnsi="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tcPr>
          <w:p w14:paraId="5C9E780A">
            <w:pPr>
              <w:snapToGrid w:val="0"/>
              <w:spacing w:line="240" w:lineRule="exact"/>
              <w:jc w:val="left"/>
              <w:rPr>
                <w:rFonts w:ascii="宋体" w:hAnsi="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tcPr>
          <w:p w14:paraId="7EF96CD2">
            <w:pPr>
              <w:snapToGrid w:val="0"/>
              <w:spacing w:line="240" w:lineRule="exact"/>
              <w:jc w:val="left"/>
              <w:rPr>
                <w:rFonts w:ascii="宋体" w:hAnsi="宋体" w:cs="宋体"/>
                <w:color w:val="auto"/>
                <w:sz w:val="24"/>
                <w:highlight w:val="none"/>
              </w:rPr>
            </w:pPr>
          </w:p>
        </w:tc>
        <w:tc>
          <w:tcPr>
            <w:tcW w:w="1700" w:type="dxa"/>
            <w:tcBorders>
              <w:top w:val="single" w:color="auto" w:sz="4" w:space="0"/>
              <w:left w:val="single" w:color="auto" w:sz="4" w:space="0"/>
              <w:bottom w:val="single" w:color="auto" w:sz="4" w:space="0"/>
              <w:right w:val="single" w:color="auto" w:sz="4" w:space="0"/>
            </w:tcBorders>
          </w:tcPr>
          <w:p w14:paraId="105E275A">
            <w:pPr>
              <w:snapToGrid w:val="0"/>
              <w:spacing w:line="240" w:lineRule="exact"/>
              <w:jc w:val="left"/>
              <w:rPr>
                <w:rFonts w:ascii="宋体" w:hAnsi="宋体" w:cs="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1BDDC5AC">
            <w:pPr>
              <w:snapToGrid w:val="0"/>
              <w:spacing w:line="240" w:lineRule="exact"/>
              <w:jc w:val="left"/>
              <w:rPr>
                <w:rFonts w:ascii="宋体" w:hAnsi="宋体" w:cs="宋体"/>
                <w:color w:val="auto"/>
                <w:sz w:val="24"/>
                <w:highlight w:val="none"/>
              </w:rPr>
            </w:pPr>
          </w:p>
        </w:tc>
        <w:tc>
          <w:tcPr>
            <w:tcW w:w="1841" w:type="dxa"/>
            <w:tcBorders>
              <w:top w:val="single" w:color="auto" w:sz="4" w:space="0"/>
              <w:left w:val="single" w:color="auto" w:sz="4" w:space="0"/>
              <w:bottom w:val="single" w:color="auto" w:sz="4" w:space="0"/>
              <w:right w:val="single" w:color="auto" w:sz="4" w:space="0"/>
            </w:tcBorders>
          </w:tcPr>
          <w:p w14:paraId="6934EAE3">
            <w:pPr>
              <w:snapToGrid w:val="0"/>
              <w:spacing w:line="240" w:lineRule="exact"/>
              <w:jc w:val="left"/>
              <w:rPr>
                <w:rFonts w:ascii="宋体" w:hAnsi="宋体" w:cs="宋体"/>
                <w:color w:val="auto"/>
                <w:sz w:val="24"/>
                <w:highlight w:val="none"/>
              </w:rPr>
            </w:pPr>
          </w:p>
        </w:tc>
      </w:tr>
      <w:tr w14:paraId="2A6FAF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83" w:type="dxa"/>
            <w:tcBorders>
              <w:top w:val="single" w:color="auto" w:sz="4" w:space="0"/>
              <w:left w:val="single" w:color="auto" w:sz="4" w:space="0"/>
              <w:bottom w:val="single" w:color="auto" w:sz="4" w:space="0"/>
              <w:right w:val="single" w:color="auto" w:sz="4" w:space="0"/>
            </w:tcBorders>
          </w:tcPr>
          <w:p w14:paraId="20E96E25">
            <w:pPr>
              <w:snapToGrid w:val="0"/>
              <w:spacing w:before="50" w:after="120" w:afterLines="50" w:line="400" w:lineRule="exact"/>
              <w:jc w:val="left"/>
              <w:rPr>
                <w:rFonts w:ascii="宋体" w:hAnsi="宋体" w:cs="宋体"/>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tcPr>
          <w:p w14:paraId="67A7A049">
            <w:pPr>
              <w:snapToGrid w:val="0"/>
              <w:spacing w:before="50" w:after="120" w:afterLines="50" w:line="400" w:lineRule="exact"/>
              <w:jc w:val="left"/>
              <w:rPr>
                <w:rFonts w:ascii="宋体" w:hAnsi="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tcPr>
          <w:p w14:paraId="00B42C6F">
            <w:pPr>
              <w:snapToGrid w:val="0"/>
              <w:spacing w:before="50" w:after="120" w:afterLines="50" w:line="400" w:lineRule="exact"/>
              <w:jc w:val="left"/>
              <w:rPr>
                <w:rFonts w:ascii="宋体" w:hAnsi="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tcPr>
          <w:p w14:paraId="3CC78CA8">
            <w:pPr>
              <w:snapToGrid w:val="0"/>
              <w:spacing w:before="50" w:after="120" w:afterLines="50" w:line="400" w:lineRule="exact"/>
              <w:jc w:val="left"/>
              <w:rPr>
                <w:rFonts w:ascii="宋体" w:hAnsi="宋体" w:cs="宋体"/>
                <w:color w:val="auto"/>
                <w:sz w:val="24"/>
                <w:highlight w:val="none"/>
              </w:rPr>
            </w:pPr>
          </w:p>
        </w:tc>
        <w:tc>
          <w:tcPr>
            <w:tcW w:w="1700" w:type="dxa"/>
            <w:tcBorders>
              <w:top w:val="single" w:color="auto" w:sz="4" w:space="0"/>
              <w:left w:val="single" w:color="auto" w:sz="4" w:space="0"/>
              <w:bottom w:val="single" w:color="auto" w:sz="4" w:space="0"/>
              <w:right w:val="single" w:color="auto" w:sz="4" w:space="0"/>
            </w:tcBorders>
          </w:tcPr>
          <w:p w14:paraId="10325BDB">
            <w:pPr>
              <w:snapToGrid w:val="0"/>
              <w:spacing w:before="50" w:after="120" w:afterLines="50" w:line="400" w:lineRule="exact"/>
              <w:jc w:val="left"/>
              <w:rPr>
                <w:rFonts w:ascii="宋体" w:hAnsi="宋体" w:cs="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1D3C883F">
            <w:pPr>
              <w:snapToGrid w:val="0"/>
              <w:spacing w:before="50" w:after="120" w:afterLines="50" w:line="400" w:lineRule="exact"/>
              <w:jc w:val="left"/>
              <w:rPr>
                <w:rFonts w:ascii="宋体" w:hAnsi="宋体" w:cs="宋体"/>
                <w:color w:val="auto"/>
                <w:sz w:val="24"/>
                <w:highlight w:val="none"/>
              </w:rPr>
            </w:pPr>
          </w:p>
        </w:tc>
        <w:tc>
          <w:tcPr>
            <w:tcW w:w="1841" w:type="dxa"/>
            <w:tcBorders>
              <w:top w:val="single" w:color="auto" w:sz="4" w:space="0"/>
              <w:left w:val="single" w:color="auto" w:sz="4" w:space="0"/>
              <w:bottom w:val="single" w:color="auto" w:sz="4" w:space="0"/>
              <w:right w:val="single" w:color="auto" w:sz="4" w:space="0"/>
            </w:tcBorders>
          </w:tcPr>
          <w:p w14:paraId="46B855FE">
            <w:pPr>
              <w:snapToGrid w:val="0"/>
              <w:spacing w:before="50" w:after="120" w:afterLines="50" w:line="400" w:lineRule="exact"/>
              <w:jc w:val="left"/>
              <w:rPr>
                <w:rFonts w:ascii="宋体" w:hAnsi="宋体" w:cs="宋体"/>
                <w:color w:val="auto"/>
                <w:sz w:val="24"/>
                <w:highlight w:val="none"/>
              </w:rPr>
            </w:pPr>
          </w:p>
        </w:tc>
      </w:tr>
      <w:tr w14:paraId="11ABA8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1383" w:type="dxa"/>
            <w:tcBorders>
              <w:top w:val="single" w:color="auto" w:sz="4" w:space="0"/>
              <w:left w:val="single" w:color="auto" w:sz="4" w:space="0"/>
              <w:bottom w:val="single" w:color="auto" w:sz="4" w:space="0"/>
              <w:right w:val="single" w:color="auto" w:sz="4" w:space="0"/>
            </w:tcBorders>
          </w:tcPr>
          <w:p w14:paraId="1AFE121D">
            <w:pPr>
              <w:snapToGrid w:val="0"/>
              <w:spacing w:before="50" w:after="120" w:afterLines="50" w:line="400" w:lineRule="exact"/>
              <w:jc w:val="left"/>
              <w:rPr>
                <w:rFonts w:ascii="宋体" w:hAnsi="宋体" w:cs="宋体"/>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tcPr>
          <w:p w14:paraId="7131DE95">
            <w:pPr>
              <w:snapToGrid w:val="0"/>
              <w:spacing w:before="50" w:after="120" w:afterLines="50" w:line="400" w:lineRule="exact"/>
              <w:jc w:val="left"/>
              <w:rPr>
                <w:rFonts w:ascii="宋体" w:hAnsi="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tcPr>
          <w:p w14:paraId="7323584A">
            <w:pPr>
              <w:snapToGrid w:val="0"/>
              <w:spacing w:before="50" w:after="120" w:afterLines="50" w:line="400" w:lineRule="exact"/>
              <w:jc w:val="left"/>
              <w:rPr>
                <w:rFonts w:ascii="宋体" w:hAnsi="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tcPr>
          <w:p w14:paraId="3263B2FB">
            <w:pPr>
              <w:snapToGrid w:val="0"/>
              <w:spacing w:before="50" w:after="120" w:afterLines="50" w:line="400" w:lineRule="exact"/>
              <w:jc w:val="left"/>
              <w:rPr>
                <w:rFonts w:ascii="宋体" w:hAnsi="宋体" w:cs="宋体"/>
                <w:color w:val="auto"/>
                <w:sz w:val="24"/>
                <w:highlight w:val="none"/>
              </w:rPr>
            </w:pPr>
          </w:p>
        </w:tc>
        <w:tc>
          <w:tcPr>
            <w:tcW w:w="1700" w:type="dxa"/>
            <w:tcBorders>
              <w:top w:val="single" w:color="auto" w:sz="4" w:space="0"/>
              <w:left w:val="single" w:color="auto" w:sz="4" w:space="0"/>
              <w:bottom w:val="single" w:color="auto" w:sz="4" w:space="0"/>
              <w:right w:val="single" w:color="auto" w:sz="4" w:space="0"/>
            </w:tcBorders>
          </w:tcPr>
          <w:p w14:paraId="73263643">
            <w:pPr>
              <w:snapToGrid w:val="0"/>
              <w:spacing w:before="50" w:after="120" w:afterLines="50" w:line="400" w:lineRule="exact"/>
              <w:jc w:val="left"/>
              <w:rPr>
                <w:rFonts w:ascii="宋体" w:hAnsi="宋体" w:cs="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2B6AC4B6">
            <w:pPr>
              <w:snapToGrid w:val="0"/>
              <w:spacing w:before="50" w:after="120" w:afterLines="50" w:line="400" w:lineRule="exact"/>
              <w:jc w:val="left"/>
              <w:rPr>
                <w:rFonts w:ascii="宋体" w:hAnsi="宋体" w:cs="宋体"/>
                <w:color w:val="auto"/>
                <w:sz w:val="24"/>
                <w:highlight w:val="none"/>
              </w:rPr>
            </w:pPr>
          </w:p>
        </w:tc>
        <w:tc>
          <w:tcPr>
            <w:tcW w:w="1841" w:type="dxa"/>
            <w:tcBorders>
              <w:top w:val="single" w:color="auto" w:sz="4" w:space="0"/>
              <w:left w:val="single" w:color="auto" w:sz="4" w:space="0"/>
              <w:bottom w:val="single" w:color="auto" w:sz="4" w:space="0"/>
              <w:right w:val="single" w:color="auto" w:sz="4" w:space="0"/>
            </w:tcBorders>
          </w:tcPr>
          <w:p w14:paraId="0314A33F">
            <w:pPr>
              <w:snapToGrid w:val="0"/>
              <w:spacing w:before="50" w:after="120" w:afterLines="50" w:line="400" w:lineRule="exact"/>
              <w:jc w:val="left"/>
              <w:rPr>
                <w:rFonts w:ascii="宋体" w:hAnsi="宋体" w:cs="宋体"/>
                <w:color w:val="auto"/>
                <w:sz w:val="24"/>
                <w:highlight w:val="none"/>
              </w:rPr>
            </w:pPr>
          </w:p>
        </w:tc>
      </w:tr>
      <w:tr w14:paraId="3CF853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83" w:type="dxa"/>
            <w:tcBorders>
              <w:top w:val="single" w:color="auto" w:sz="4" w:space="0"/>
              <w:left w:val="single" w:color="auto" w:sz="4" w:space="0"/>
              <w:bottom w:val="single" w:color="auto" w:sz="4" w:space="0"/>
              <w:right w:val="single" w:color="auto" w:sz="4" w:space="0"/>
            </w:tcBorders>
          </w:tcPr>
          <w:p w14:paraId="06A41727">
            <w:pPr>
              <w:snapToGrid w:val="0"/>
              <w:spacing w:before="50" w:after="120" w:afterLines="50" w:line="400" w:lineRule="exact"/>
              <w:jc w:val="left"/>
              <w:rPr>
                <w:rFonts w:ascii="宋体" w:hAnsi="宋体" w:cs="宋体"/>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tcPr>
          <w:p w14:paraId="74523781">
            <w:pPr>
              <w:snapToGrid w:val="0"/>
              <w:spacing w:before="50" w:after="120" w:afterLines="50" w:line="400" w:lineRule="exact"/>
              <w:jc w:val="left"/>
              <w:rPr>
                <w:rFonts w:ascii="宋体" w:hAnsi="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tcPr>
          <w:p w14:paraId="3F4F41AF">
            <w:pPr>
              <w:snapToGrid w:val="0"/>
              <w:spacing w:before="50" w:after="120" w:afterLines="50" w:line="400" w:lineRule="exact"/>
              <w:jc w:val="left"/>
              <w:rPr>
                <w:rFonts w:ascii="宋体" w:hAnsi="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tcPr>
          <w:p w14:paraId="3A219540">
            <w:pPr>
              <w:snapToGrid w:val="0"/>
              <w:spacing w:before="50" w:after="120" w:afterLines="50" w:line="400" w:lineRule="exact"/>
              <w:jc w:val="left"/>
              <w:rPr>
                <w:rFonts w:ascii="宋体" w:hAnsi="宋体" w:cs="宋体"/>
                <w:color w:val="auto"/>
                <w:sz w:val="24"/>
                <w:highlight w:val="none"/>
              </w:rPr>
            </w:pPr>
          </w:p>
        </w:tc>
        <w:tc>
          <w:tcPr>
            <w:tcW w:w="1700" w:type="dxa"/>
            <w:tcBorders>
              <w:top w:val="single" w:color="auto" w:sz="4" w:space="0"/>
              <w:left w:val="single" w:color="auto" w:sz="4" w:space="0"/>
              <w:bottom w:val="single" w:color="auto" w:sz="4" w:space="0"/>
              <w:right w:val="single" w:color="auto" w:sz="4" w:space="0"/>
            </w:tcBorders>
          </w:tcPr>
          <w:p w14:paraId="33E38A14">
            <w:pPr>
              <w:snapToGrid w:val="0"/>
              <w:spacing w:before="50" w:after="120" w:afterLines="50" w:line="400" w:lineRule="exact"/>
              <w:jc w:val="left"/>
              <w:rPr>
                <w:rFonts w:ascii="宋体" w:hAnsi="宋体" w:cs="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2216C663">
            <w:pPr>
              <w:snapToGrid w:val="0"/>
              <w:spacing w:before="50" w:after="120" w:afterLines="50" w:line="400" w:lineRule="exact"/>
              <w:jc w:val="left"/>
              <w:rPr>
                <w:rFonts w:ascii="宋体" w:hAnsi="宋体" w:cs="宋体"/>
                <w:color w:val="auto"/>
                <w:sz w:val="24"/>
                <w:highlight w:val="none"/>
              </w:rPr>
            </w:pPr>
          </w:p>
        </w:tc>
        <w:tc>
          <w:tcPr>
            <w:tcW w:w="1841" w:type="dxa"/>
            <w:tcBorders>
              <w:top w:val="single" w:color="auto" w:sz="4" w:space="0"/>
              <w:left w:val="single" w:color="auto" w:sz="4" w:space="0"/>
              <w:bottom w:val="single" w:color="auto" w:sz="4" w:space="0"/>
              <w:right w:val="single" w:color="auto" w:sz="4" w:space="0"/>
            </w:tcBorders>
          </w:tcPr>
          <w:p w14:paraId="006AE05E">
            <w:pPr>
              <w:snapToGrid w:val="0"/>
              <w:spacing w:before="50" w:after="120" w:afterLines="50" w:line="400" w:lineRule="exact"/>
              <w:jc w:val="left"/>
              <w:rPr>
                <w:rFonts w:ascii="宋体" w:hAnsi="宋体" w:cs="宋体"/>
                <w:color w:val="auto"/>
                <w:sz w:val="24"/>
                <w:highlight w:val="none"/>
              </w:rPr>
            </w:pPr>
          </w:p>
        </w:tc>
      </w:tr>
      <w:tr w14:paraId="097762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83" w:type="dxa"/>
            <w:tcBorders>
              <w:top w:val="single" w:color="auto" w:sz="4" w:space="0"/>
              <w:left w:val="single" w:color="auto" w:sz="4" w:space="0"/>
              <w:bottom w:val="single" w:color="auto" w:sz="4" w:space="0"/>
              <w:right w:val="single" w:color="auto" w:sz="4" w:space="0"/>
            </w:tcBorders>
          </w:tcPr>
          <w:p w14:paraId="3C10A051">
            <w:pPr>
              <w:snapToGrid w:val="0"/>
              <w:spacing w:before="50" w:after="120" w:afterLines="50" w:line="400" w:lineRule="exact"/>
              <w:jc w:val="left"/>
              <w:rPr>
                <w:rFonts w:ascii="宋体" w:hAnsi="宋体" w:cs="宋体"/>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tcPr>
          <w:p w14:paraId="659D390E">
            <w:pPr>
              <w:snapToGrid w:val="0"/>
              <w:spacing w:before="50" w:after="120" w:afterLines="50" w:line="400" w:lineRule="exact"/>
              <w:jc w:val="left"/>
              <w:rPr>
                <w:rFonts w:ascii="宋体" w:hAnsi="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tcPr>
          <w:p w14:paraId="2036EF72">
            <w:pPr>
              <w:snapToGrid w:val="0"/>
              <w:spacing w:before="50" w:after="120" w:afterLines="50" w:line="400" w:lineRule="exact"/>
              <w:jc w:val="left"/>
              <w:rPr>
                <w:rFonts w:ascii="宋体" w:hAnsi="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tcPr>
          <w:p w14:paraId="2F94F6A1">
            <w:pPr>
              <w:snapToGrid w:val="0"/>
              <w:spacing w:before="50" w:after="120" w:afterLines="50" w:line="400" w:lineRule="exact"/>
              <w:jc w:val="left"/>
              <w:rPr>
                <w:rFonts w:ascii="宋体" w:hAnsi="宋体" w:cs="宋体"/>
                <w:color w:val="auto"/>
                <w:sz w:val="24"/>
                <w:highlight w:val="none"/>
              </w:rPr>
            </w:pPr>
          </w:p>
        </w:tc>
        <w:tc>
          <w:tcPr>
            <w:tcW w:w="1700" w:type="dxa"/>
            <w:tcBorders>
              <w:top w:val="single" w:color="auto" w:sz="4" w:space="0"/>
              <w:left w:val="single" w:color="auto" w:sz="4" w:space="0"/>
              <w:bottom w:val="single" w:color="auto" w:sz="4" w:space="0"/>
              <w:right w:val="single" w:color="auto" w:sz="4" w:space="0"/>
            </w:tcBorders>
          </w:tcPr>
          <w:p w14:paraId="5870B68D">
            <w:pPr>
              <w:snapToGrid w:val="0"/>
              <w:spacing w:before="50" w:after="120" w:afterLines="50" w:line="400" w:lineRule="exact"/>
              <w:jc w:val="left"/>
              <w:rPr>
                <w:rFonts w:ascii="宋体" w:hAnsi="宋体" w:cs="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54D988A1">
            <w:pPr>
              <w:snapToGrid w:val="0"/>
              <w:spacing w:before="50" w:after="120" w:afterLines="50" w:line="400" w:lineRule="exact"/>
              <w:jc w:val="left"/>
              <w:rPr>
                <w:rFonts w:ascii="宋体" w:hAnsi="宋体" w:cs="宋体"/>
                <w:color w:val="auto"/>
                <w:sz w:val="24"/>
                <w:highlight w:val="none"/>
              </w:rPr>
            </w:pPr>
          </w:p>
        </w:tc>
        <w:tc>
          <w:tcPr>
            <w:tcW w:w="1841" w:type="dxa"/>
            <w:tcBorders>
              <w:top w:val="single" w:color="auto" w:sz="4" w:space="0"/>
              <w:left w:val="single" w:color="auto" w:sz="4" w:space="0"/>
              <w:bottom w:val="single" w:color="auto" w:sz="4" w:space="0"/>
              <w:right w:val="single" w:color="auto" w:sz="4" w:space="0"/>
            </w:tcBorders>
          </w:tcPr>
          <w:p w14:paraId="56A2E1B9">
            <w:pPr>
              <w:snapToGrid w:val="0"/>
              <w:spacing w:before="50" w:after="120" w:afterLines="50" w:line="400" w:lineRule="exact"/>
              <w:jc w:val="left"/>
              <w:rPr>
                <w:rFonts w:ascii="宋体" w:hAnsi="宋体" w:cs="宋体"/>
                <w:color w:val="auto"/>
                <w:sz w:val="24"/>
                <w:highlight w:val="none"/>
              </w:rPr>
            </w:pPr>
          </w:p>
        </w:tc>
      </w:tr>
    </w:tbl>
    <w:p w14:paraId="19BF8BA2">
      <w:pPr>
        <w:pStyle w:val="15"/>
        <w:spacing w:line="360" w:lineRule="auto"/>
        <w:ind w:left="72"/>
        <w:rPr>
          <w:rFonts w:hAnsi="宋体" w:cs="宋体"/>
          <w:color w:val="auto"/>
          <w:highlight w:val="none"/>
        </w:rPr>
      </w:pPr>
      <w:r>
        <w:rPr>
          <w:rFonts w:hint="eastAsia" w:hAnsi="宋体" w:cs="宋体"/>
          <w:color w:val="auto"/>
          <w:highlight w:val="none"/>
        </w:rPr>
        <w:t>注：供应商可按上述的格式自行编制，须随表提交业绩一览表、业绩证明材料</w:t>
      </w:r>
      <w:r>
        <w:rPr>
          <w:rFonts w:hint="eastAsia" w:hAnsi="宋体" w:cs="宋体"/>
          <w:color w:val="auto"/>
          <w:highlight w:val="none"/>
          <w:lang w:eastAsia="zh-CN"/>
        </w:rPr>
        <w:t>，</w:t>
      </w:r>
      <w:r>
        <w:rPr>
          <w:rFonts w:hint="eastAsia" w:hAnsi="宋体" w:cs="宋体"/>
          <w:color w:val="auto"/>
          <w:highlight w:val="none"/>
        </w:rPr>
        <w:t>并注明所在供应商商务技术文件页码。</w:t>
      </w:r>
    </w:p>
    <w:p w14:paraId="22655ED1">
      <w:pPr>
        <w:snapToGrid w:val="0"/>
        <w:spacing w:line="360" w:lineRule="auto"/>
        <w:ind w:firstLine="4935" w:firstLineChars="2350"/>
        <w:rPr>
          <w:rFonts w:ascii="宋体" w:hAnsi="宋体" w:cs="宋体"/>
          <w:color w:val="auto"/>
          <w:szCs w:val="21"/>
          <w:highlight w:val="none"/>
        </w:rPr>
      </w:pPr>
      <w:r>
        <w:rPr>
          <w:rFonts w:hint="eastAsia" w:ascii="宋体" w:hAnsi="宋体" w:cs="宋体"/>
          <w:color w:val="auto"/>
          <w:szCs w:val="21"/>
          <w:highlight w:val="none"/>
        </w:rPr>
        <w:t xml:space="preserve"> </w:t>
      </w:r>
    </w:p>
    <w:p w14:paraId="14CCAD58">
      <w:pPr>
        <w:snapToGrid w:val="0"/>
        <w:spacing w:line="360" w:lineRule="auto"/>
        <w:ind w:firstLine="4935" w:firstLineChars="2350"/>
        <w:rPr>
          <w:rFonts w:ascii="宋体" w:hAnsi="宋体" w:cs="宋体"/>
          <w:color w:val="auto"/>
          <w:szCs w:val="21"/>
          <w:highlight w:val="none"/>
        </w:rPr>
      </w:pPr>
    </w:p>
    <w:p w14:paraId="588BFB27">
      <w:pPr>
        <w:snapToGrid w:val="0"/>
        <w:spacing w:line="360" w:lineRule="auto"/>
        <w:ind w:left="4410" w:leftChars="2100" w:firstLine="5670" w:firstLineChars="2700"/>
        <w:rPr>
          <w:rFonts w:ascii="宋体" w:hAnsi="宋体" w:cs="宋体"/>
          <w:color w:val="auto"/>
          <w:kern w:val="0"/>
          <w:sz w:val="24"/>
          <w:highlight w:val="none"/>
        </w:rPr>
      </w:pPr>
      <w:r>
        <w:rPr>
          <w:rFonts w:hint="eastAsia" w:ascii="宋体" w:hAnsi="宋体" w:cs="宋体"/>
          <w:color w:val="auto"/>
          <w:szCs w:val="21"/>
          <w:highlight w:val="none"/>
        </w:rPr>
        <w:t xml:space="preserve"> </w:t>
      </w:r>
      <w:r>
        <w:rPr>
          <w:rFonts w:hint="eastAsia" w:ascii="宋体" w:hAnsi="宋体" w:cs="宋体"/>
          <w:color w:val="auto"/>
          <w:kern w:val="0"/>
          <w:sz w:val="24"/>
          <w:highlight w:val="none"/>
          <w:lang w:val="zh-CN"/>
        </w:rPr>
        <w:t>供应商名称（电子签章）：</w:t>
      </w:r>
    </w:p>
    <w:p w14:paraId="1FACFDF8">
      <w:pPr>
        <w:spacing w:line="500" w:lineRule="exact"/>
        <w:jc w:val="center"/>
        <w:rPr>
          <w:rFonts w:ascii="宋体" w:hAnsi="宋体" w:cs="宋体"/>
          <w:color w:val="auto"/>
          <w:sz w:val="32"/>
          <w:szCs w:val="32"/>
          <w:highlight w:val="none"/>
        </w:rPr>
      </w:pPr>
      <w:r>
        <w:rPr>
          <w:rFonts w:hint="eastAsia" w:ascii="宋体" w:hAnsi="宋体" w:cs="宋体"/>
          <w:color w:val="auto"/>
          <w:kern w:val="0"/>
          <w:sz w:val="24"/>
          <w:highlight w:val="none"/>
          <w:lang w:val="zh-CN"/>
        </w:rPr>
        <w:t xml:space="preserve">                                                     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202FD0FE">
      <w:pPr>
        <w:widowControl/>
        <w:jc w:val="left"/>
        <w:rPr>
          <w:rFonts w:ascii="宋体" w:hAnsi="宋体" w:cs="宋体"/>
          <w:color w:val="auto"/>
          <w:sz w:val="32"/>
          <w:szCs w:val="32"/>
          <w:highlight w:val="none"/>
        </w:rPr>
        <w:sectPr>
          <w:pgSz w:w="11910" w:h="16840"/>
          <w:pgMar w:top="1134" w:right="1134" w:bottom="1134" w:left="1134" w:header="720" w:footer="720" w:gutter="0"/>
          <w:cols w:space="0" w:num="1"/>
          <w:rtlGutter w:val="0"/>
        </w:sectPr>
      </w:pPr>
    </w:p>
    <w:p w14:paraId="7BD79617">
      <w:pPr>
        <w:snapToGrid w:val="0"/>
        <w:spacing w:line="360" w:lineRule="auto"/>
        <w:ind w:firstLine="602" w:firstLineChars="200"/>
        <w:rPr>
          <w:rFonts w:ascii="宋体" w:hAnsi="宋体" w:cs="宋体"/>
          <w:color w:val="auto"/>
          <w:sz w:val="32"/>
          <w:szCs w:val="32"/>
          <w:highlight w:val="none"/>
        </w:rPr>
      </w:pPr>
      <w:r>
        <w:rPr>
          <w:rFonts w:hint="eastAsia" w:ascii="宋体" w:hAnsi="宋体" w:cs="宋体"/>
          <w:b/>
          <w:color w:val="auto"/>
          <w:sz w:val="30"/>
          <w:szCs w:val="30"/>
          <w:highlight w:val="none"/>
        </w:rPr>
        <w:t>七、服务需求偏离表</w:t>
      </w:r>
    </w:p>
    <w:p w14:paraId="78DA41F6">
      <w:pPr>
        <w:spacing w:line="500" w:lineRule="exact"/>
        <w:jc w:val="center"/>
        <w:rPr>
          <w:rFonts w:ascii="宋体" w:hAnsi="宋体" w:cs="宋体"/>
          <w:bCs/>
          <w:color w:val="auto"/>
          <w:sz w:val="44"/>
          <w:szCs w:val="44"/>
          <w:highlight w:val="none"/>
        </w:rPr>
      </w:pPr>
      <w:r>
        <w:rPr>
          <w:rFonts w:hint="eastAsia" w:ascii="宋体" w:hAnsi="宋体" w:cs="宋体"/>
          <w:bCs/>
          <w:color w:val="auto"/>
          <w:sz w:val="44"/>
          <w:szCs w:val="44"/>
          <w:highlight w:val="none"/>
        </w:rPr>
        <w:t>竞标产品服务需求偏离表</w:t>
      </w:r>
    </w:p>
    <w:p w14:paraId="1CEE45FB">
      <w:pPr>
        <w:spacing w:line="500" w:lineRule="exact"/>
        <w:jc w:val="center"/>
        <w:rPr>
          <w:rFonts w:hint="eastAsia" w:ascii="宋体" w:hAnsi="宋体" w:eastAsia="宋体" w:cs="宋体"/>
          <w:b/>
          <w:color w:val="auto"/>
          <w:sz w:val="32"/>
          <w:szCs w:val="32"/>
          <w:highlight w:val="none"/>
          <w:lang w:eastAsia="zh-CN"/>
        </w:rPr>
      </w:pPr>
      <w:r>
        <w:rPr>
          <w:rFonts w:hint="eastAsia" w:ascii="宋体" w:hAnsi="宋体" w:cs="宋体"/>
          <w:bCs/>
          <w:color w:val="auto"/>
          <w:sz w:val="44"/>
          <w:szCs w:val="44"/>
          <w:highlight w:val="none"/>
          <w:lang w:eastAsia="zh-CN"/>
        </w:rPr>
        <w:t>（</w:t>
      </w:r>
      <w:r>
        <w:rPr>
          <w:rFonts w:hint="eastAsia" w:ascii="宋体" w:hAnsi="宋体" w:cs="宋体"/>
          <w:bCs/>
          <w:color w:val="auto"/>
          <w:sz w:val="44"/>
          <w:szCs w:val="44"/>
          <w:highlight w:val="none"/>
        </w:rPr>
        <w:t>注：按采购需求具体条款修改</w:t>
      </w:r>
      <w:r>
        <w:rPr>
          <w:rFonts w:hint="eastAsia" w:ascii="宋体" w:hAnsi="宋体" w:cs="宋体"/>
          <w:bCs/>
          <w:color w:val="auto"/>
          <w:sz w:val="44"/>
          <w:szCs w:val="44"/>
          <w:highlight w:val="none"/>
          <w:lang w:eastAsia="zh-CN"/>
        </w:rPr>
        <w:t>）</w:t>
      </w:r>
    </w:p>
    <w:p w14:paraId="0D6FB143">
      <w:pPr>
        <w:spacing w:line="360" w:lineRule="auto"/>
        <w:jc w:val="left"/>
        <w:rPr>
          <w:rFonts w:ascii="宋体" w:hAnsi="宋体" w:cs="宋体"/>
          <w:color w:val="auto"/>
          <w:sz w:val="24"/>
          <w:highlight w:val="none"/>
        </w:rPr>
      </w:pPr>
    </w:p>
    <w:p w14:paraId="766065A5">
      <w:pPr>
        <w:pStyle w:val="15"/>
        <w:spacing w:line="360" w:lineRule="auto"/>
        <w:rPr>
          <w:rFonts w:hAnsi="宋体" w:cs="宋体"/>
          <w:color w:val="auto"/>
          <w:sz w:val="24"/>
          <w:szCs w:val="24"/>
          <w:highlight w:val="none"/>
        </w:rPr>
      </w:pPr>
      <w:r>
        <w:rPr>
          <w:rFonts w:hint="eastAsia" w:hAnsi="宋体" w:cs="宋体"/>
          <w:color w:val="auto"/>
          <w:sz w:val="24"/>
          <w:szCs w:val="24"/>
          <w:highlight w:val="none"/>
        </w:rPr>
        <w:t>所竞分标：</w:t>
      </w:r>
      <w:r>
        <w:rPr>
          <w:rFonts w:hint="eastAsia" w:hAnsi="宋体" w:cs="宋体"/>
          <w:color w:val="auto"/>
          <w:sz w:val="24"/>
          <w:szCs w:val="24"/>
          <w:highlight w:val="none"/>
          <w:u w:val="single"/>
        </w:rPr>
        <w:t xml:space="preserve">              </w:t>
      </w:r>
    </w:p>
    <w:tbl>
      <w:tblPr>
        <w:tblStyle w:val="26"/>
        <w:tblW w:w="80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2"/>
        <w:gridCol w:w="1143"/>
        <w:gridCol w:w="736"/>
        <w:gridCol w:w="1577"/>
        <w:gridCol w:w="1141"/>
        <w:gridCol w:w="658"/>
        <w:gridCol w:w="1147"/>
        <w:gridCol w:w="1096"/>
      </w:tblGrid>
      <w:tr w14:paraId="28CC2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592" w:type="dxa"/>
            <w:vMerge w:val="restart"/>
            <w:tcBorders>
              <w:top w:val="single" w:color="auto" w:sz="4" w:space="0"/>
              <w:left w:val="single" w:color="auto" w:sz="4" w:space="0"/>
              <w:bottom w:val="single" w:color="auto" w:sz="4" w:space="0"/>
              <w:right w:val="single" w:color="auto" w:sz="4" w:space="0"/>
            </w:tcBorders>
            <w:vAlign w:val="center"/>
          </w:tcPr>
          <w:p w14:paraId="13D58553">
            <w:pPr>
              <w:rPr>
                <w:rFonts w:ascii="宋体" w:hAnsi="宋体" w:cs="宋体"/>
                <w:color w:val="auto"/>
                <w:szCs w:val="21"/>
                <w:highlight w:val="none"/>
              </w:rPr>
            </w:pPr>
            <w:r>
              <w:rPr>
                <w:rFonts w:hint="eastAsia" w:ascii="宋体" w:hAnsi="宋体" w:cs="宋体"/>
                <w:color w:val="auto"/>
                <w:szCs w:val="21"/>
                <w:highlight w:val="none"/>
              </w:rPr>
              <w:t>项号</w:t>
            </w:r>
          </w:p>
        </w:tc>
        <w:tc>
          <w:tcPr>
            <w:tcW w:w="3456" w:type="dxa"/>
            <w:gridSpan w:val="3"/>
            <w:tcBorders>
              <w:top w:val="single" w:color="auto" w:sz="4" w:space="0"/>
              <w:left w:val="single" w:color="auto" w:sz="4" w:space="0"/>
              <w:bottom w:val="single" w:color="auto" w:sz="4" w:space="0"/>
              <w:right w:val="single" w:color="auto" w:sz="4" w:space="0"/>
            </w:tcBorders>
            <w:vAlign w:val="center"/>
          </w:tcPr>
          <w:p w14:paraId="21A64ADD">
            <w:pPr>
              <w:jc w:val="center"/>
              <w:rPr>
                <w:rFonts w:ascii="宋体" w:hAnsi="宋体" w:cs="宋体"/>
                <w:color w:val="auto"/>
                <w:szCs w:val="21"/>
                <w:highlight w:val="none"/>
              </w:rPr>
            </w:pPr>
            <w:r>
              <w:rPr>
                <w:rFonts w:hint="eastAsia" w:ascii="宋体" w:hAnsi="宋体" w:cs="宋体"/>
                <w:color w:val="auto"/>
                <w:szCs w:val="21"/>
                <w:highlight w:val="none"/>
              </w:rPr>
              <w:t>竞争性磋商采购文件需求</w:t>
            </w:r>
          </w:p>
        </w:tc>
        <w:tc>
          <w:tcPr>
            <w:tcW w:w="2946" w:type="dxa"/>
            <w:gridSpan w:val="3"/>
            <w:tcBorders>
              <w:top w:val="single" w:color="auto" w:sz="4" w:space="0"/>
              <w:left w:val="single" w:color="auto" w:sz="4" w:space="0"/>
              <w:bottom w:val="single" w:color="auto" w:sz="4" w:space="0"/>
              <w:right w:val="single" w:color="auto" w:sz="4" w:space="0"/>
            </w:tcBorders>
            <w:vAlign w:val="center"/>
          </w:tcPr>
          <w:p w14:paraId="56ABCC17">
            <w:pPr>
              <w:jc w:val="center"/>
              <w:rPr>
                <w:rFonts w:ascii="宋体" w:hAnsi="宋体" w:cs="宋体"/>
                <w:color w:val="auto"/>
                <w:szCs w:val="21"/>
                <w:highlight w:val="none"/>
              </w:rPr>
            </w:pPr>
            <w:r>
              <w:rPr>
                <w:rFonts w:hint="eastAsia" w:ascii="宋体" w:hAnsi="宋体" w:cs="宋体"/>
                <w:color w:val="auto"/>
                <w:szCs w:val="21"/>
                <w:highlight w:val="none"/>
              </w:rPr>
              <w:t>响应文件承诺</w:t>
            </w:r>
          </w:p>
        </w:tc>
        <w:tc>
          <w:tcPr>
            <w:tcW w:w="1096" w:type="dxa"/>
            <w:vMerge w:val="restart"/>
            <w:tcBorders>
              <w:top w:val="single" w:color="auto" w:sz="4" w:space="0"/>
              <w:left w:val="single" w:color="auto" w:sz="4" w:space="0"/>
              <w:bottom w:val="single" w:color="auto" w:sz="4" w:space="0"/>
              <w:right w:val="single" w:color="auto" w:sz="4" w:space="0"/>
            </w:tcBorders>
            <w:vAlign w:val="center"/>
          </w:tcPr>
          <w:p w14:paraId="6BD8ED98">
            <w:pPr>
              <w:rPr>
                <w:rFonts w:ascii="宋体" w:hAnsi="宋体" w:cs="宋体"/>
                <w:color w:val="auto"/>
                <w:szCs w:val="21"/>
                <w:highlight w:val="none"/>
              </w:rPr>
            </w:pPr>
            <w:r>
              <w:rPr>
                <w:rFonts w:hint="eastAsia" w:ascii="宋体" w:hAnsi="宋体" w:cs="宋体"/>
                <w:color w:val="auto"/>
                <w:szCs w:val="21"/>
                <w:highlight w:val="none"/>
              </w:rPr>
              <w:t>偏离说明</w:t>
            </w:r>
          </w:p>
        </w:tc>
      </w:tr>
      <w:tr w14:paraId="59DA0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jc w:val="center"/>
        </w:trPr>
        <w:tc>
          <w:tcPr>
            <w:tcW w:w="592" w:type="dxa"/>
            <w:vMerge w:val="continue"/>
            <w:tcBorders>
              <w:top w:val="single" w:color="auto" w:sz="4" w:space="0"/>
              <w:left w:val="single" w:color="auto" w:sz="4" w:space="0"/>
              <w:bottom w:val="single" w:color="auto" w:sz="4" w:space="0"/>
              <w:right w:val="single" w:color="auto" w:sz="4" w:space="0"/>
            </w:tcBorders>
            <w:vAlign w:val="center"/>
          </w:tcPr>
          <w:p w14:paraId="0420AE1A">
            <w:pPr>
              <w:widowControl/>
              <w:jc w:val="left"/>
              <w:rPr>
                <w:rFonts w:ascii="宋体" w:hAnsi="宋体" w:cs="宋体"/>
                <w:color w:val="auto"/>
                <w:szCs w:val="21"/>
                <w:highlight w:val="none"/>
              </w:rPr>
            </w:pPr>
          </w:p>
        </w:tc>
        <w:tc>
          <w:tcPr>
            <w:tcW w:w="1143" w:type="dxa"/>
            <w:tcBorders>
              <w:top w:val="single" w:color="auto" w:sz="4" w:space="0"/>
              <w:left w:val="single" w:color="auto" w:sz="4" w:space="0"/>
              <w:bottom w:val="single" w:color="auto" w:sz="4" w:space="0"/>
              <w:right w:val="single" w:color="auto" w:sz="4" w:space="0"/>
            </w:tcBorders>
            <w:vAlign w:val="center"/>
          </w:tcPr>
          <w:p w14:paraId="429DFC95">
            <w:pPr>
              <w:rPr>
                <w:rFonts w:ascii="宋体" w:hAnsi="宋体" w:cs="宋体"/>
                <w:color w:val="auto"/>
                <w:szCs w:val="21"/>
                <w:highlight w:val="none"/>
              </w:rPr>
            </w:pPr>
            <w:r>
              <w:rPr>
                <w:rFonts w:hint="eastAsia" w:ascii="宋体" w:hAnsi="宋体" w:cs="宋体"/>
                <w:color w:val="auto"/>
                <w:szCs w:val="21"/>
                <w:highlight w:val="none"/>
              </w:rPr>
              <w:t>服务名称</w:t>
            </w:r>
          </w:p>
        </w:tc>
        <w:tc>
          <w:tcPr>
            <w:tcW w:w="736" w:type="dxa"/>
            <w:tcBorders>
              <w:top w:val="single" w:color="auto" w:sz="4" w:space="0"/>
              <w:left w:val="single" w:color="auto" w:sz="4" w:space="0"/>
              <w:bottom w:val="single" w:color="auto" w:sz="4" w:space="0"/>
              <w:right w:val="single" w:color="auto" w:sz="4" w:space="0"/>
            </w:tcBorders>
            <w:vAlign w:val="center"/>
          </w:tcPr>
          <w:p w14:paraId="07E5A980">
            <w:pPr>
              <w:rPr>
                <w:rFonts w:ascii="宋体" w:hAnsi="宋体" w:cs="宋体"/>
                <w:color w:val="auto"/>
                <w:szCs w:val="21"/>
                <w:highlight w:val="none"/>
              </w:rPr>
            </w:pPr>
            <w:r>
              <w:rPr>
                <w:rFonts w:hint="eastAsia" w:ascii="宋体" w:hAnsi="宋体" w:cs="宋体"/>
                <w:color w:val="auto"/>
                <w:szCs w:val="21"/>
                <w:highlight w:val="none"/>
              </w:rPr>
              <w:t>数量</w:t>
            </w:r>
          </w:p>
        </w:tc>
        <w:tc>
          <w:tcPr>
            <w:tcW w:w="1577" w:type="dxa"/>
            <w:tcBorders>
              <w:top w:val="single" w:color="auto" w:sz="4" w:space="0"/>
              <w:left w:val="single" w:color="auto" w:sz="4" w:space="0"/>
              <w:bottom w:val="single" w:color="auto" w:sz="4" w:space="0"/>
              <w:right w:val="single" w:color="auto" w:sz="4" w:space="0"/>
            </w:tcBorders>
            <w:vAlign w:val="center"/>
          </w:tcPr>
          <w:p w14:paraId="128D729F">
            <w:pPr>
              <w:rPr>
                <w:rFonts w:ascii="宋体" w:hAnsi="宋体" w:cs="宋体"/>
                <w:color w:val="auto"/>
                <w:szCs w:val="21"/>
                <w:highlight w:val="none"/>
              </w:rPr>
            </w:pPr>
            <w:r>
              <w:rPr>
                <w:rFonts w:hint="eastAsia" w:ascii="宋体" w:hAnsi="宋体" w:cs="宋体"/>
                <w:color w:val="auto"/>
                <w:szCs w:val="21"/>
                <w:highlight w:val="none"/>
              </w:rPr>
              <w:t>服务参数要求</w:t>
            </w:r>
          </w:p>
        </w:tc>
        <w:tc>
          <w:tcPr>
            <w:tcW w:w="1141" w:type="dxa"/>
            <w:tcBorders>
              <w:top w:val="single" w:color="auto" w:sz="4" w:space="0"/>
              <w:left w:val="single" w:color="auto" w:sz="4" w:space="0"/>
              <w:bottom w:val="single" w:color="auto" w:sz="4" w:space="0"/>
              <w:right w:val="single" w:color="auto" w:sz="4" w:space="0"/>
            </w:tcBorders>
            <w:vAlign w:val="center"/>
          </w:tcPr>
          <w:p w14:paraId="017D3807">
            <w:pPr>
              <w:rPr>
                <w:rFonts w:ascii="宋体" w:hAnsi="宋体" w:cs="宋体"/>
                <w:color w:val="auto"/>
                <w:szCs w:val="21"/>
                <w:highlight w:val="none"/>
              </w:rPr>
            </w:pPr>
            <w:r>
              <w:rPr>
                <w:rFonts w:hint="eastAsia" w:ascii="宋体" w:hAnsi="宋体" w:cs="宋体"/>
                <w:color w:val="auto"/>
                <w:szCs w:val="21"/>
                <w:highlight w:val="none"/>
              </w:rPr>
              <w:t>服务名称</w:t>
            </w:r>
          </w:p>
        </w:tc>
        <w:tc>
          <w:tcPr>
            <w:tcW w:w="658" w:type="dxa"/>
            <w:tcBorders>
              <w:top w:val="single" w:color="auto" w:sz="4" w:space="0"/>
              <w:left w:val="single" w:color="auto" w:sz="4" w:space="0"/>
              <w:bottom w:val="single" w:color="auto" w:sz="4" w:space="0"/>
              <w:right w:val="single" w:color="auto" w:sz="4" w:space="0"/>
            </w:tcBorders>
            <w:vAlign w:val="center"/>
          </w:tcPr>
          <w:p w14:paraId="354D7F08">
            <w:pPr>
              <w:rPr>
                <w:rFonts w:ascii="宋体" w:hAnsi="宋体" w:cs="宋体"/>
                <w:color w:val="auto"/>
                <w:szCs w:val="21"/>
                <w:highlight w:val="none"/>
              </w:rPr>
            </w:pPr>
            <w:r>
              <w:rPr>
                <w:rFonts w:hint="eastAsia" w:ascii="宋体" w:hAnsi="宋体" w:cs="宋体"/>
                <w:color w:val="auto"/>
                <w:szCs w:val="21"/>
                <w:highlight w:val="none"/>
              </w:rPr>
              <w:t>数量</w:t>
            </w:r>
          </w:p>
        </w:tc>
        <w:tc>
          <w:tcPr>
            <w:tcW w:w="1147" w:type="dxa"/>
            <w:tcBorders>
              <w:top w:val="single" w:color="auto" w:sz="4" w:space="0"/>
              <w:left w:val="single" w:color="auto" w:sz="4" w:space="0"/>
              <w:bottom w:val="single" w:color="auto" w:sz="4" w:space="0"/>
              <w:right w:val="single" w:color="auto" w:sz="4" w:space="0"/>
            </w:tcBorders>
            <w:vAlign w:val="center"/>
          </w:tcPr>
          <w:p w14:paraId="636A0E31">
            <w:pPr>
              <w:rPr>
                <w:rFonts w:ascii="宋体" w:hAnsi="宋体" w:cs="宋体"/>
                <w:color w:val="auto"/>
                <w:szCs w:val="21"/>
                <w:highlight w:val="none"/>
              </w:rPr>
            </w:pPr>
            <w:r>
              <w:rPr>
                <w:rFonts w:hint="eastAsia" w:ascii="宋体" w:hAnsi="宋体" w:cs="宋体"/>
                <w:color w:val="auto"/>
                <w:szCs w:val="21"/>
                <w:highlight w:val="none"/>
              </w:rPr>
              <w:t>服务参数</w:t>
            </w:r>
          </w:p>
        </w:tc>
        <w:tc>
          <w:tcPr>
            <w:tcW w:w="1096" w:type="dxa"/>
            <w:vMerge w:val="continue"/>
            <w:tcBorders>
              <w:top w:val="single" w:color="auto" w:sz="4" w:space="0"/>
              <w:left w:val="single" w:color="auto" w:sz="4" w:space="0"/>
              <w:bottom w:val="single" w:color="auto" w:sz="4" w:space="0"/>
              <w:right w:val="single" w:color="auto" w:sz="4" w:space="0"/>
            </w:tcBorders>
            <w:vAlign w:val="center"/>
          </w:tcPr>
          <w:p w14:paraId="1ED98323">
            <w:pPr>
              <w:widowControl/>
              <w:jc w:val="left"/>
              <w:rPr>
                <w:rFonts w:ascii="宋体" w:hAnsi="宋体" w:cs="宋体"/>
                <w:color w:val="auto"/>
                <w:szCs w:val="21"/>
                <w:highlight w:val="none"/>
              </w:rPr>
            </w:pPr>
          </w:p>
        </w:tc>
      </w:tr>
      <w:tr w14:paraId="274BB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jc w:val="center"/>
        </w:trPr>
        <w:tc>
          <w:tcPr>
            <w:tcW w:w="592" w:type="dxa"/>
            <w:tcBorders>
              <w:top w:val="single" w:color="auto" w:sz="4" w:space="0"/>
              <w:left w:val="single" w:color="auto" w:sz="4" w:space="0"/>
              <w:bottom w:val="single" w:color="auto" w:sz="4" w:space="0"/>
              <w:right w:val="single" w:color="auto" w:sz="4" w:space="0"/>
            </w:tcBorders>
            <w:vAlign w:val="center"/>
          </w:tcPr>
          <w:p w14:paraId="18DBFD06">
            <w:pPr>
              <w:rPr>
                <w:rFonts w:ascii="宋体" w:hAnsi="宋体" w:cs="宋体"/>
                <w:color w:val="auto"/>
                <w:szCs w:val="21"/>
                <w:highlight w:val="none"/>
              </w:rPr>
            </w:pPr>
            <w:r>
              <w:rPr>
                <w:rFonts w:hint="eastAsia" w:ascii="宋体" w:hAnsi="宋体" w:cs="宋体"/>
                <w:color w:val="auto"/>
                <w:szCs w:val="21"/>
                <w:highlight w:val="none"/>
              </w:rPr>
              <w:t>1</w:t>
            </w:r>
          </w:p>
        </w:tc>
        <w:tc>
          <w:tcPr>
            <w:tcW w:w="1143" w:type="dxa"/>
            <w:tcBorders>
              <w:top w:val="single" w:color="auto" w:sz="4" w:space="0"/>
              <w:left w:val="single" w:color="auto" w:sz="4" w:space="0"/>
              <w:bottom w:val="single" w:color="auto" w:sz="4" w:space="0"/>
              <w:right w:val="single" w:color="auto" w:sz="4" w:space="0"/>
            </w:tcBorders>
            <w:vAlign w:val="center"/>
          </w:tcPr>
          <w:p w14:paraId="2B4C4D4E">
            <w:pPr>
              <w:rPr>
                <w:rFonts w:ascii="宋体" w:hAnsi="宋体" w:cs="宋体"/>
                <w:color w:val="auto"/>
                <w:szCs w:val="21"/>
                <w:highlight w:val="none"/>
              </w:rPr>
            </w:pPr>
            <w:r>
              <w:rPr>
                <w:rFonts w:hint="eastAsia" w:ascii="宋体" w:hAnsi="宋体" w:cs="宋体"/>
                <w:color w:val="auto"/>
                <w:szCs w:val="21"/>
                <w:highlight w:val="none"/>
              </w:rPr>
              <w:t>……</w:t>
            </w:r>
          </w:p>
        </w:tc>
        <w:tc>
          <w:tcPr>
            <w:tcW w:w="736" w:type="dxa"/>
            <w:tcBorders>
              <w:top w:val="single" w:color="auto" w:sz="4" w:space="0"/>
              <w:left w:val="single" w:color="auto" w:sz="4" w:space="0"/>
              <w:bottom w:val="single" w:color="auto" w:sz="4" w:space="0"/>
              <w:right w:val="single" w:color="auto" w:sz="4" w:space="0"/>
            </w:tcBorders>
            <w:vAlign w:val="center"/>
          </w:tcPr>
          <w:p w14:paraId="70E74774">
            <w:pPr>
              <w:rPr>
                <w:rFonts w:ascii="宋体" w:hAnsi="宋体" w:cs="宋体"/>
                <w:color w:val="auto"/>
                <w:szCs w:val="21"/>
                <w:highlight w:val="none"/>
              </w:rPr>
            </w:pPr>
            <w:r>
              <w:rPr>
                <w:rFonts w:hint="eastAsia" w:ascii="宋体" w:hAnsi="宋体" w:cs="宋体"/>
                <w:color w:val="auto"/>
                <w:szCs w:val="21"/>
                <w:highlight w:val="none"/>
              </w:rPr>
              <w:t>…</w:t>
            </w:r>
          </w:p>
        </w:tc>
        <w:tc>
          <w:tcPr>
            <w:tcW w:w="1577" w:type="dxa"/>
            <w:tcBorders>
              <w:top w:val="single" w:color="auto" w:sz="4" w:space="0"/>
              <w:left w:val="single" w:color="auto" w:sz="4" w:space="0"/>
              <w:bottom w:val="single" w:color="auto" w:sz="4" w:space="0"/>
              <w:right w:val="single" w:color="auto" w:sz="4" w:space="0"/>
            </w:tcBorders>
            <w:vAlign w:val="center"/>
          </w:tcPr>
          <w:p w14:paraId="5E6449A9">
            <w:pPr>
              <w:rPr>
                <w:rFonts w:ascii="宋体" w:hAnsi="宋体" w:cs="宋体"/>
                <w:color w:val="auto"/>
                <w:szCs w:val="21"/>
                <w:highlight w:val="none"/>
              </w:rPr>
            </w:pPr>
            <w:r>
              <w:rPr>
                <w:rFonts w:hint="eastAsia" w:ascii="宋体" w:hAnsi="宋体" w:cs="宋体"/>
                <w:color w:val="auto"/>
                <w:szCs w:val="21"/>
                <w:highlight w:val="none"/>
              </w:rPr>
              <w:t>1  ……</w:t>
            </w:r>
          </w:p>
          <w:p w14:paraId="0EE15268">
            <w:pPr>
              <w:rPr>
                <w:rFonts w:ascii="宋体" w:hAnsi="宋体" w:cs="宋体"/>
                <w:color w:val="auto"/>
                <w:szCs w:val="21"/>
                <w:highlight w:val="none"/>
              </w:rPr>
            </w:pPr>
            <w:r>
              <w:rPr>
                <w:rFonts w:hint="eastAsia" w:ascii="宋体" w:hAnsi="宋体" w:cs="宋体"/>
                <w:color w:val="auto"/>
                <w:szCs w:val="21"/>
                <w:highlight w:val="none"/>
              </w:rPr>
              <w:t>2  ……</w:t>
            </w:r>
          </w:p>
          <w:p w14:paraId="38665CD9">
            <w:pPr>
              <w:rPr>
                <w:rFonts w:ascii="宋体" w:hAnsi="宋体" w:cs="宋体"/>
                <w:color w:val="auto"/>
                <w:szCs w:val="21"/>
                <w:highlight w:val="none"/>
              </w:rPr>
            </w:pPr>
            <w:r>
              <w:rPr>
                <w:rFonts w:hint="eastAsia" w:ascii="宋体" w:hAnsi="宋体" w:cs="宋体"/>
                <w:color w:val="auto"/>
                <w:szCs w:val="21"/>
                <w:highlight w:val="none"/>
              </w:rPr>
              <w:t>3  ……</w:t>
            </w:r>
          </w:p>
          <w:p w14:paraId="04E019F6">
            <w:pPr>
              <w:rPr>
                <w:rFonts w:ascii="宋体" w:hAnsi="宋体" w:cs="宋体"/>
                <w:color w:val="auto"/>
                <w:szCs w:val="21"/>
                <w:highlight w:val="none"/>
              </w:rPr>
            </w:pPr>
            <w:r>
              <w:rPr>
                <w:rFonts w:hint="eastAsia" w:ascii="宋体" w:hAnsi="宋体" w:cs="宋体"/>
                <w:color w:val="auto"/>
                <w:szCs w:val="21"/>
                <w:highlight w:val="none"/>
              </w:rPr>
              <w:t>……</w:t>
            </w:r>
          </w:p>
        </w:tc>
        <w:tc>
          <w:tcPr>
            <w:tcW w:w="1141" w:type="dxa"/>
            <w:tcBorders>
              <w:top w:val="single" w:color="auto" w:sz="4" w:space="0"/>
              <w:left w:val="single" w:color="auto" w:sz="4" w:space="0"/>
              <w:bottom w:val="single" w:color="auto" w:sz="4" w:space="0"/>
              <w:right w:val="single" w:color="auto" w:sz="4" w:space="0"/>
            </w:tcBorders>
            <w:vAlign w:val="center"/>
          </w:tcPr>
          <w:p w14:paraId="395FEFCF">
            <w:pPr>
              <w:rPr>
                <w:rFonts w:ascii="宋体" w:hAnsi="宋体" w:cs="宋体"/>
                <w:color w:val="auto"/>
                <w:szCs w:val="21"/>
                <w:highlight w:val="none"/>
              </w:rPr>
            </w:pPr>
            <w:r>
              <w:rPr>
                <w:rFonts w:hint="eastAsia" w:ascii="宋体" w:hAnsi="宋体" w:cs="宋体"/>
                <w:color w:val="auto"/>
                <w:szCs w:val="21"/>
                <w:highlight w:val="none"/>
              </w:rPr>
              <w:t>……</w:t>
            </w:r>
          </w:p>
        </w:tc>
        <w:tc>
          <w:tcPr>
            <w:tcW w:w="658" w:type="dxa"/>
            <w:tcBorders>
              <w:top w:val="single" w:color="auto" w:sz="4" w:space="0"/>
              <w:left w:val="single" w:color="auto" w:sz="4" w:space="0"/>
              <w:bottom w:val="single" w:color="auto" w:sz="4" w:space="0"/>
              <w:right w:val="single" w:color="auto" w:sz="4" w:space="0"/>
            </w:tcBorders>
            <w:vAlign w:val="center"/>
          </w:tcPr>
          <w:p w14:paraId="79C0852A">
            <w:pPr>
              <w:rPr>
                <w:rFonts w:ascii="宋体" w:hAnsi="宋体" w:cs="宋体"/>
                <w:color w:val="auto"/>
                <w:szCs w:val="21"/>
                <w:highlight w:val="none"/>
              </w:rPr>
            </w:pPr>
            <w:r>
              <w:rPr>
                <w:rFonts w:hint="eastAsia" w:ascii="宋体" w:hAnsi="宋体" w:cs="宋体"/>
                <w:color w:val="auto"/>
                <w:szCs w:val="21"/>
                <w:highlight w:val="none"/>
              </w:rPr>
              <w:t>…</w:t>
            </w:r>
          </w:p>
        </w:tc>
        <w:tc>
          <w:tcPr>
            <w:tcW w:w="1147" w:type="dxa"/>
            <w:tcBorders>
              <w:top w:val="single" w:color="auto" w:sz="4" w:space="0"/>
              <w:left w:val="single" w:color="auto" w:sz="4" w:space="0"/>
              <w:bottom w:val="single" w:color="auto" w:sz="4" w:space="0"/>
              <w:right w:val="single" w:color="auto" w:sz="4" w:space="0"/>
            </w:tcBorders>
            <w:vAlign w:val="center"/>
          </w:tcPr>
          <w:p w14:paraId="69E15B02">
            <w:pPr>
              <w:rPr>
                <w:rFonts w:ascii="宋体" w:hAnsi="宋体" w:cs="宋体"/>
                <w:color w:val="auto"/>
                <w:szCs w:val="21"/>
                <w:highlight w:val="none"/>
              </w:rPr>
            </w:pPr>
            <w:r>
              <w:rPr>
                <w:rFonts w:hint="eastAsia" w:ascii="宋体" w:hAnsi="宋体" w:cs="宋体"/>
                <w:color w:val="auto"/>
                <w:szCs w:val="21"/>
                <w:highlight w:val="none"/>
              </w:rPr>
              <w:t>1  ……</w:t>
            </w:r>
          </w:p>
          <w:p w14:paraId="4364D0F3">
            <w:pPr>
              <w:rPr>
                <w:rFonts w:ascii="宋体" w:hAnsi="宋体" w:cs="宋体"/>
                <w:color w:val="auto"/>
                <w:szCs w:val="21"/>
                <w:highlight w:val="none"/>
              </w:rPr>
            </w:pPr>
            <w:r>
              <w:rPr>
                <w:rFonts w:hint="eastAsia" w:ascii="宋体" w:hAnsi="宋体" w:cs="宋体"/>
                <w:color w:val="auto"/>
                <w:szCs w:val="21"/>
                <w:highlight w:val="none"/>
              </w:rPr>
              <w:t>2  ……</w:t>
            </w:r>
          </w:p>
          <w:p w14:paraId="5C11D14E">
            <w:pPr>
              <w:rPr>
                <w:rFonts w:ascii="宋体" w:hAnsi="宋体" w:cs="宋体"/>
                <w:color w:val="auto"/>
                <w:szCs w:val="21"/>
                <w:highlight w:val="none"/>
              </w:rPr>
            </w:pPr>
            <w:r>
              <w:rPr>
                <w:rFonts w:hint="eastAsia" w:ascii="宋体" w:hAnsi="宋体" w:cs="宋体"/>
                <w:color w:val="auto"/>
                <w:szCs w:val="21"/>
                <w:highlight w:val="none"/>
              </w:rPr>
              <w:t>3  ……</w:t>
            </w:r>
          </w:p>
          <w:p w14:paraId="01766B66">
            <w:pPr>
              <w:rPr>
                <w:rFonts w:ascii="宋体" w:hAnsi="宋体" w:cs="宋体"/>
                <w:color w:val="auto"/>
                <w:szCs w:val="21"/>
                <w:highlight w:val="none"/>
              </w:rPr>
            </w:pPr>
            <w:r>
              <w:rPr>
                <w:rFonts w:hint="eastAsia" w:ascii="宋体" w:hAnsi="宋体" w:cs="宋体"/>
                <w:color w:val="auto"/>
                <w:szCs w:val="21"/>
                <w:highlight w:val="none"/>
              </w:rPr>
              <w:t>……</w:t>
            </w:r>
          </w:p>
        </w:tc>
        <w:tc>
          <w:tcPr>
            <w:tcW w:w="1096" w:type="dxa"/>
            <w:tcBorders>
              <w:top w:val="single" w:color="auto" w:sz="4" w:space="0"/>
              <w:left w:val="single" w:color="auto" w:sz="4" w:space="0"/>
              <w:bottom w:val="single" w:color="auto" w:sz="4" w:space="0"/>
              <w:right w:val="single" w:color="auto" w:sz="4" w:space="0"/>
            </w:tcBorders>
            <w:vAlign w:val="center"/>
          </w:tcPr>
          <w:p w14:paraId="0E75FC1F">
            <w:pPr>
              <w:rPr>
                <w:rFonts w:ascii="宋体" w:hAnsi="宋体" w:cs="宋体"/>
                <w:color w:val="auto"/>
                <w:szCs w:val="21"/>
                <w:highlight w:val="none"/>
              </w:rPr>
            </w:pPr>
          </w:p>
        </w:tc>
      </w:tr>
      <w:tr w14:paraId="1BA42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592" w:type="dxa"/>
            <w:tcBorders>
              <w:top w:val="single" w:color="auto" w:sz="4" w:space="0"/>
              <w:left w:val="single" w:color="auto" w:sz="4" w:space="0"/>
              <w:bottom w:val="single" w:color="auto" w:sz="4" w:space="0"/>
              <w:right w:val="single" w:color="auto" w:sz="4" w:space="0"/>
            </w:tcBorders>
            <w:vAlign w:val="center"/>
          </w:tcPr>
          <w:p w14:paraId="1D845085">
            <w:pPr>
              <w:rPr>
                <w:rFonts w:ascii="宋体" w:hAnsi="宋体" w:cs="宋体"/>
                <w:color w:val="auto"/>
                <w:szCs w:val="21"/>
                <w:highlight w:val="none"/>
              </w:rPr>
            </w:pPr>
            <w:r>
              <w:rPr>
                <w:rFonts w:hint="eastAsia" w:ascii="宋体" w:hAnsi="宋体" w:cs="宋体"/>
                <w:color w:val="auto"/>
                <w:szCs w:val="21"/>
                <w:highlight w:val="none"/>
              </w:rPr>
              <w:t>2</w:t>
            </w:r>
          </w:p>
        </w:tc>
        <w:tc>
          <w:tcPr>
            <w:tcW w:w="1143" w:type="dxa"/>
            <w:tcBorders>
              <w:top w:val="single" w:color="auto" w:sz="4" w:space="0"/>
              <w:left w:val="single" w:color="auto" w:sz="4" w:space="0"/>
              <w:bottom w:val="single" w:color="auto" w:sz="4" w:space="0"/>
              <w:right w:val="single" w:color="auto" w:sz="4" w:space="0"/>
            </w:tcBorders>
            <w:vAlign w:val="center"/>
          </w:tcPr>
          <w:p w14:paraId="4635D9C4">
            <w:pPr>
              <w:rPr>
                <w:rFonts w:ascii="宋体" w:hAnsi="宋体" w:cs="宋体"/>
                <w:color w:val="auto"/>
                <w:szCs w:val="21"/>
                <w:highlight w:val="none"/>
              </w:rPr>
            </w:pPr>
            <w:r>
              <w:rPr>
                <w:rFonts w:hint="eastAsia" w:ascii="宋体" w:hAnsi="宋体" w:cs="宋体"/>
                <w:color w:val="auto"/>
                <w:szCs w:val="21"/>
                <w:highlight w:val="none"/>
              </w:rPr>
              <w:t>……</w:t>
            </w:r>
          </w:p>
        </w:tc>
        <w:tc>
          <w:tcPr>
            <w:tcW w:w="736" w:type="dxa"/>
            <w:tcBorders>
              <w:top w:val="single" w:color="auto" w:sz="4" w:space="0"/>
              <w:left w:val="single" w:color="auto" w:sz="4" w:space="0"/>
              <w:bottom w:val="single" w:color="auto" w:sz="4" w:space="0"/>
              <w:right w:val="single" w:color="auto" w:sz="4" w:space="0"/>
            </w:tcBorders>
            <w:vAlign w:val="center"/>
          </w:tcPr>
          <w:p w14:paraId="0618D041">
            <w:pPr>
              <w:rPr>
                <w:rFonts w:ascii="宋体" w:hAnsi="宋体" w:cs="宋体"/>
                <w:color w:val="auto"/>
                <w:szCs w:val="21"/>
                <w:highlight w:val="none"/>
              </w:rPr>
            </w:pPr>
            <w:r>
              <w:rPr>
                <w:rFonts w:hint="eastAsia" w:ascii="宋体" w:hAnsi="宋体" w:cs="宋体"/>
                <w:color w:val="auto"/>
                <w:szCs w:val="21"/>
                <w:highlight w:val="none"/>
              </w:rPr>
              <w:t>…</w:t>
            </w:r>
          </w:p>
        </w:tc>
        <w:tc>
          <w:tcPr>
            <w:tcW w:w="1577" w:type="dxa"/>
            <w:tcBorders>
              <w:top w:val="single" w:color="auto" w:sz="4" w:space="0"/>
              <w:left w:val="single" w:color="auto" w:sz="4" w:space="0"/>
              <w:bottom w:val="single" w:color="auto" w:sz="4" w:space="0"/>
              <w:right w:val="single" w:color="auto" w:sz="4" w:space="0"/>
            </w:tcBorders>
            <w:vAlign w:val="center"/>
          </w:tcPr>
          <w:p w14:paraId="52CC2C3E">
            <w:pPr>
              <w:rPr>
                <w:rFonts w:ascii="宋体" w:hAnsi="宋体" w:cs="宋体"/>
                <w:color w:val="auto"/>
                <w:szCs w:val="21"/>
                <w:highlight w:val="none"/>
              </w:rPr>
            </w:pPr>
            <w:r>
              <w:rPr>
                <w:rFonts w:hint="eastAsia" w:ascii="宋体" w:hAnsi="宋体" w:cs="宋体"/>
                <w:color w:val="auto"/>
                <w:szCs w:val="21"/>
                <w:highlight w:val="none"/>
              </w:rPr>
              <w:t>1  ……</w:t>
            </w:r>
          </w:p>
          <w:p w14:paraId="400550B2">
            <w:pPr>
              <w:rPr>
                <w:rFonts w:ascii="宋体" w:hAnsi="宋体" w:cs="宋体"/>
                <w:color w:val="auto"/>
                <w:szCs w:val="21"/>
                <w:highlight w:val="none"/>
              </w:rPr>
            </w:pPr>
            <w:r>
              <w:rPr>
                <w:rFonts w:hint="eastAsia" w:ascii="宋体" w:hAnsi="宋体" w:cs="宋体"/>
                <w:color w:val="auto"/>
                <w:szCs w:val="21"/>
                <w:highlight w:val="none"/>
              </w:rPr>
              <w:t>2  ……</w:t>
            </w:r>
          </w:p>
          <w:p w14:paraId="46221B1A">
            <w:pPr>
              <w:rPr>
                <w:rFonts w:ascii="宋体" w:hAnsi="宋体" w:cs="宋体"/>
                <w:color w:val="auto"/>
                <w:szCs w:val="21"/>
                <w:highlight w:val="none"/>
              </w:rPr>
            </w:pPr>
            <w:r>
              <w:rPr>
                <w:rFonts w:hint="eastAsia" w:ascii="宋体" w:hAnsi="宋体" w:cs="宋体"/>
                <w:color w:val="auto"/>
                <w:szCs w:val="21"/>
                <w:highlight w:val="none"/>
              </w:rPr>
              <w:t>3  ……</w:t>
            </w:r>
          </w:p>
          <w:p w14:paraId="752EB65C">
            <w:pPr>
              <w:rPr>
                <w:rFonts w:ascii="宋体" w:hAnsi="宋体" w:cs="宋体"/>
                <w:color w:val="auto"/>
                <w:szCs w:val="21"/>
                <w:highlight w:val="none"/>
              </w:rPr>
            </w:pPr>
            <w:r>
              <w:rPr>
                <w:rFonts w:hint="eastAsia" w:ascii="宋体" w:hAnsi="宋体" w:cs="宋体"/>
                <w:color w:val="auto"/>
                <w:szCs w:val="21"/>
                <w:highlight w:val="none"/>
              </w:rPr>
              <w:t>……</w:t>
            </w:r>
          </w:p>
        </w:tc>
        <w:tc>
          <w:tcPr>
            <w:tcW w:w="1141" w:type="dxa"/>
            <w:tcBorders>
              <w:top w:val="single" w:color="auto" w:sz="4" w:space="0"/>
              <w:left w:val="single" w:color="auto" w:sz="4" w:space="0"/>
              <w:bottom w:val="single" w:color="auto" w:sz="4" w:space="0"/>
              <w:right w:val="single" w:color="auto" w:sz="4" w:space="0"/>
            </w:tcBorders>
            <w:vAlign w:val="center"/>
          </w:tcPr>
          <w:p w14:paraId="69D71034">
            <w:pPr>
              <w:rPr>
                <w:rFonts w:ascii="宋体" w:hAnsi="宋体" w:cs="宋体"/>
                <w:color w:val="auto"/>
                <w:szCs w:val="21"/>
                <w:highlight w:val="none"/>
              </w:rPr>
            </w:pPr>
            <w:r>
              <w:rPr>
                <w:rFonts w:hint="eastAsia" w:ascii="宋体" w:hAnsi="宋体" w:cs="宋体"/>
                <w:color w:val="auto"/>
                <w:szCs w:val="21"/>
                <w:highlight w:val="none"/>
              </w:rPr>
              <w:t>……</w:t>
            </w:r>
          </w:p>
        </w:tc>
        <w:tc>
          <w:tcPr>
            <w:tcW w:w="658" w:type="dxa"/>
            <w:tcBorders>
              <w:top w:val="single" w:color="auto" w:sz="4" w:space="0"/>
              <w:left w:val="single" w:color="auto" w:sz="4" w:space="0"/>
              <w:bottom w:val="single" w:color="auto" w:sz="4" w:space="0"/>
              <w:right w:val="single" w:color="auto" w:sz="4" w:space="0"/>
            </w:tcBorders>
            <w:vAlign w:val="center"/>
          </w:tcPr>
          <w:p w14:paraId="5FFE01FB">
            <w:pPr>
              <w:rPr>
                <w:rFonts w:ascii="宋体" w:hAnsi="宋体" w:cs="宋体"/>
                <w:color w:val="auto"/>
                <w:szCs w:val="21"/>
                <w:highlight w:val="none"/>
              </w:rPr>
            </w:pPr>
            <w:r>
              <w:rPr>
                <w:rFonts w:hint="eastAsia" w:ascii="宋体" w:hAnsi="宋体" w:cs="宋体"/>
                <w:color w:val="auto"/>
                <w:szCs w:val="21"/>
                <w:highlight w:val="none"/>
              </w:rPr>
              <w:t>…</w:t>
            </w:r>
          </w:p>
        </w:tc>
        <w:tc>
          <w:tcPr>
            <w:tcW w:w="1147" w:type="dxa"/>
            <w:tcBorders>
              <w:top w:val="single" w:color="auto" w:sz="4" w:space="0"/>
              <w:left w:val="single" w:color="auto" w:sz="4" w:space="0"/>
              <w:bottom w:val="single" w:color="auto" w:sz="4" w:space="0"/>
              <w:right w:val="single" w:color="auto" w:sz="4" w:space="0"/>
            </w:tcBorders>
            <w:vAlign w:val="center"/>
          </w:tcPr>
          <w:p w14:paraId="31A39CE9">
            <w:pPr>
              <w:rPr>
                <w:rFonts w:ascii="宋体" w:hAnsi="宋体" w:cs="宋体"/>
                <w:color w:val="auto"/>
                <w:szCs w:val="21"/>
                <w:highlight w:val="none"/>
              </w:rPr>
            </w:pPr>
            <w:r>
              <w:rPr>
                <w:rFonts w:hint="eastAsia" w:ascii="宋体" w:hAnsi="宋体" w:cs="宋体"/>
                <w:color w:val="auto"/>
                <w:szCs w:val="21"/>
                <w:highlight w:val="none"/>
              </w:rPr>
              <w:t>1  ……</w:t>
            </w:r>
          </w:p>
          <w:p w14:paraId="42655273">
            <w:pPr>
              <w:rPr>
                <w:rFonts w:ascii="宋体" w:hAnsi="宋体" w:cs="宋体"/>
                <w:color w:val="auto"/>
                <w:szCs w:val="21"/>
                <w:highlight w:val="none"/>
              </w:rPr>
            </w:pPr>
            <w:r>
              <w:rPr>
                <w:rFonts w:hint="eastAsia" w:ascii="宋体" w:hAnsi="宋体" w:cs="宋体"/>
                <w:color w:val="auto"/>
                <w:szCs w:val="21"/>
                <w:highlight w:val="none"/>
              </w:rPr>
              <w:t>2  ……</w:t>
            </w:r>
          </w:p>
          <w:p w14:paraId="34697B86">
            <w:pPr>
              <w:rPr>
                <w:rFonts w:ascii="宋体" w:hAnsi="宋体" w:cs="宋体"/>
                <w:color w:val="auto"/>
                <w:szCs w:val="21"/>
                <w:highlight w:val="none"/>
              </w:rPr>
            </w:pPr>
            <w:r>
              <w:rPr>
                <w:rFonts w:hint="eastAsia" w:ascii="宋体" w:hAnsi="宋体" w:cs="宋体"/>
                <w:color w:val="auto"/>
                <w:szCs w:val="21"/>
                <w:highlight w:val="none"/>
              </w:rPr>
              <w:t>3  ……</w:t>
            </w:r>
          </w:p>
          <w:p w14:paraId="0F9265A1">
            <w:pPr>
              <w:rPr>
                <w:rFonts w:ascii="宋体" w:hAnsi="宋体" w:cs="宋体"/>
                <w:color w:val="auto"/>
                <w:szCs w:val="21"/>
                <w:highlight w:val="none"/>
              </w:rPr>
            </w:pPr>
            <w:r>
              <w:rPr>
                <w:rFonts w:hint="eastAsia" w:ascii="宋体" w:hAnsi="宋体" w:cs="宋体"/>
                <w:color w:val="auto"/>
                <w:szCs w:val="21"/>
                <w:highlight w:val="none"/>
              </w:rPr>
              <w:t>……</w:t>
            </w:r>
          </w:p>
        </w:tc>
        <w:tc>
          <w:tcPr>
            <w:tcW w:w="1096" w:type="dxa"/>
            <w:tcBorders>
              <w:top w:val="single" w:color="auto" w:sz="4" w:space="0"/>
              <w:left w:val="single" w:color="auto" w:sz="4" w:space="0"/>
              <w:bottom w:val="single" w:color="auto" w:sz="4" w:space="0"/>
              <w:right w:val="single" w:color="auto" w:sz="4" w:space="0"/>
            </w:tcBorders>
            <w:vAlign w:val="center"/>
          </w:tcPr>
          <w:p w14:paraId="12747541">
            <w:pPr>
              <w:rPr>
                <w:rFonts w:ascii="宋体" w:hAnsi="宋体" w:cs="宋体"/>
                <w:color w:val="auto"/>
                <w:szCs w:val="21"/>
                <w:highlight w:val="none"/>
              </w:rPr>
            </w:pPr>
          </w:p>
        </w:tc>
      </w:tr>
      <w:tr w14:paraId="4B7C4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592" w:type="dxa"/>
            <w:tcBorders>
              <w:top w:val="single" w:color="auto" w:sz="4" w:space="0"/>
              <w:left w:val="single" w:color="auto" w:sz="4" w:space="0"/>
              <w:bottom w:val="single" w:color="auto" w:sz="4" w:space="0"/>
              <w:right w:val="single" w:color="auto" w:sz="4" w:space="0"/>
            </w:tcBorders>
            <w:vAlign w:val="center"/>
          </w:tcPr>
          <w:p w14:paraId="062A92BF">
            <w:pPr>
              <w:rPr>
                <w:rFonts w:ascii="宋体" w:hAnsi="宋体" w:cs="宋体"/>
                <w:color w:val="auto"/>
                <w:szCs w:val="21"/>
                <w:highlight w:val="none"/>
              </w:rPr>
            </w:pPr>
            <w:r>
              <w:rPr>
                <w:rFonts w:hint="eastAsia" w:ascii="宋体" w:hAnsi="宋体" w:cs="宋体"/>
                <w:color w:val="auto"/>
                <w:szCs w:val="21"/>
                <w:highlight w:val="none"/>
              </w:rPr>
              <w:t>...</w:t>
            </w:r>
          </w:p>
        </w:tc>
        <w:tc>
          <w:tcPr>
            <w:tcW w:w="1143" w:type="dxa"/>
            <w:tcBorders>
              <w:top w:val="single" w:color="auto" w:sz="4" w:space="0"/>
              <w:left w:val="single" w:color="auto" w:sz="4" w:space="0"/>
              <w:bottom w:val="single" w:color="auto" w:sz="4" w:space="0"/>
              <w:right w:val="single" w:color="auto" w:sz="4" w:space="0"/>
            </w:tcBorders>
            <w:vAlign w:val="center"/>
          </w:tcPr>
          <w:p w14:paraId="4CD8E6D1">
            <w:pPr>
              <w:rPr>
                <w:rFonts w:ascii="宋体" w:hAnsi="宋体" w:cs="宋体"/>
                <w:color w:val="auto"/>
                <w:szCs w:val="21"/>
                <w:highlight w:val="none"/>
              </w:rPr>
            </w:pPr>
          </w:p>
        </w:tc>
        <w:tc>
          <w:tcPr>
            <w:tcW w:w="736" w:type="dxa"/>
            <w:tcBorders>
              <w:top w:val="single" w:color="auto" w:sz="4" w:space="0"/>
              <w:left w:val="single" w:color="auto" w:sz="4" w:space="0"/>
              <w:bottom w:val="single" w:color="auto" w:sz="4" w:space="0"/>
              <w:right w:val="single" w:color="auto" w:sz="4" w:space="0"/>
            </w:tcBorders>
            <w:vAlign w:val="center"/>
          </w:tcPr>
          <w:p w14:paraId="2DA9F80D">
            <w:pPr>
              <w:rPr>
                <w:rFonts w:ascii="宋体" w:hAnsi="宋体" w:cs="宋体"/>
                <w:color w:val="auto"/>
                <w:szCs w:val="21"/>
                <w:highlight w:val="none"/>
              </w:rPr>
            </w:pPr>
          </w:p>
        </w:tc>
        <w:tc>
          <w:tcPr>
            <w:tcW w:w="1577" w:type="dxa"/>
            <w:tcBorders>
              <w:top w:val="single" w:color="auto" w:sz="4" w:space="0"/>
              <w:left w:val="single" w:color="auto" w:sz="4" w:space="0"/>
              <w:bottom w:val="single" w:color="auto" w:sz="4" w:space="0"/>
              <w:right w:val="single" w:color="auto" w:sz="4" w:space="0"/>
            </w:tcBorders>
            <w:vAlign w:val="center"/>
          </w:tcPr>
          <w:p w14:paraId="261B30D5">
            <w:pPr>
              <w:rPr>
                <w:rFonts w:ascii="宋体" w:hAnsi="宋体" w:cs="宋体"/>
                <w:color w:val="auto"/>
                <w:szCs w:val="21"/>
                <w:highlight w:val="none"/>
              </w:rPr>
            </w:pPr>
          </w:p>
        </w:tc>
        <w:tc>
          <w:tcPr>
            <w:tcW w:w="1141" w:type="dxa"/>
            <w:tcBorders>
              <w:top w:val="single" w:color="auto" w:sz="4" w:space="0"/>
              <w:left w:val="single" w:color="auto" w:sz="4" w:space="0"/>
              <w:bottom w:val="single" w:color="auto" w:sz="4" w:space="0"/>
              <w:right w:val="single" w:color="auto" w:sz="4" w:space="0"/>
            </w:tcBorders>
            <w:vAlign w:val="center"/>
          </w:tcPr>
          <w:p w14:paraId="727304A1">
            <w:pPr>
              <w:rPr>
                <w:rFonts w:ascii="宋体" w:hAnsi="宋体" w:cs="宋体"/>
                <w:color w:val="auto"/>
                <w:szCs w:val="21"/>
                <w:highlight w:val="none"/>
              </w:rPr>
            </w:pPr>
          </w:p>
        </w:tc>
        <w:tc>
          <w:tcPr>
            <w:tcW w:w="658" w:type="dxa"/>
            <w:tcBorders>
              <w:top w:val="single" w:color="auto" w:sz="4" w:space="0"/>
              <w:left w:val="single" w:color="auto" w:sz="4" w:space="0"/>
              <w:bottom w:val="single" w:color="auto" w:sz="4" w:space="0"/>
              <w:right w:val="single" w:color="auto" w:sz="4" w:space="0"/>
            </w:tcBorders>
            <w:vAlign w:val="center"/>
          </w:tcPr>
          <w:p w14:paraId="5A9D7DE9">
            <w:pPr>
              <w:rPr>
                <w:rFonts w:ascii="宋体" w:hAnsi="宋体" w:cs="宋体"/>
                <w:color w:val="auto"/>
                <w:szCs w:val="21"/>
                <w:highlight w:val="none"/>
              </w:rPr>
            </w:pPr>
          </w:p>
        </w:tc>
        <w:tc>
          <w:tcPr>
            <w:tcW w:w="1147" w:type="dxa"/>
            <w:tcBorders>
              <w:top w:val="single" w:color="auto" w:sz="4" w:space="0"/>
              <w:left w:val="single" w:color="auto" w:sz="4" w:space="0"/>
              <w:bottom w:val="single" w:color="auto" w:sz="4" w:space="0"/>
              <w:right w:val="single" w:color="auto" w:sz="4" w:space="0"/>
            </w:tcBorders>
            <w:vAlign w:val="center"/>
          </w:tcPr>
          <w:p w14:paraId="0FD891D8">
            <w:pPr>
              <w:rPr>
                <w:rFonts w:ascii="宋体" w:hAnsi="宋体" w:cs="宋体"/>
                <w:color w:val="auto"/>
                <w:szCs w:val="21"/>
                <w:highlight w:val="none"/>
              </w:rPr>
            </w:pPr>
          </w:p>
        </w:tc>
        <w:tc>
          <w:tcPr>
            <w:tcW w:w="1096" w:type="dxa"/>
            <w:tcBorders>
              <w:top w:val="single" w:color="auto" w:sz="4" w:space="0"/>
              <w:left w:val="single" w:color="auto" w:sz="4" w:space="0"/>
              <w:bottom w:val="single" w:color="auto" w:sz="4" w:space="0"/>
              <w:right w:val="single" w:color="auto" w:sz="4" w:space="0"/>
            </w:tcBorders>
            <w:vAlign w:val="center"/>
          </w:tcPr>
          <w:p w14:paraId="667945EB">
            <w:pPr>
              <w:rPr>
                <w:rFonts w:ascii="宋体" w:hAnsi="宋体" w:cs="宋体"/>
                <w:color w:val="auto"/>
                <w:szCs w:val="21"/>
                <w:highlight w:val="none"/>
              </w:rPr>
            </w:pPr>
          </w:p>
        </w:tc>
      </w:tr>
    </w:tbl>
    <w:p w14:paraId="4C5BF20C">
      <w:pPr>
        <w:pStyle w:val="10"/>
        <w:spacing w:after="0" w:line="360" w:lineRule="auto"/>
        <w:contextualSpacing/>
        <w:rPr>
          <w:rFonts w:ascii="宋体" w:hAnsi="宋体" w:cs="宋体"/>
          <w:color w:val="auto"/>
          <w:kern w:val="0"/>
          <w:sz w:val="21"/>
          <w:szCs w:val="21"/>
          <w:highlight w:val="none"/>
        </w:rPr>
      </w:pPr>
      <w:r>
        <w:rPr>
          <w:rFonts w:hint="eastAsia" w:ascii="宋体" w:hAnsi="宋体" w:cs="宋体"/>
          <w:color w:val="auto"/>
          <w:kern w:val="0"/>
          <w:sz w:val="21"/>
          <w:szCs w:val="21"/>
          <w:highlight w:val="none"/>
        </w:rPr>
        <w:t>注：</w:t>
      </w:r>
    </w:p>
    <w:p w14:paraId="6FDC0D5E">
      <w:pPr>
        <w:pStyle w:val="10"/>
        <w:keepNext w:val="0"/>
        <w:keepLines w:val="0"/>
        <w:pageBreakBefore w:val="0"/>
        <w:widowControl w:val="0"/>
        <w:kinsoku/>
        <w:wordWrap/>
        <w:overflowPunct/>
        <w:topLinePunct w:val="0"/>
        <w:autoSpaceDE/>
        <w:autoSpaceDN/>
        <w:bidi w:val="0"/>
        <w:adjustRightInd/>
        <w:snapToGrid/>
        <w:spacing w:after="0" w:line="360" w:lineRule="auto"/>
        <w:ind w:firstLine="420" w:firstLineChars="200"/>
        <w:contextualSpacing/>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1.说明：应对照磋商文件“第二章”中“服务需求一览表”的采购清单及技术参数条款逐条作出明确响应，并作出偏离说明。</w:t>
      </w:r>
    </w:p>
    <w:p w14:paraId="34E8097B">
      <w:pPr>
        <w:pStyle w:val="12"/>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2.供应商应根据自身的承诺，对照磋商文件要求，在“偏离说明”中注明“正偏离”、“负偏离”或者“无偏离”。既不属于“正偏离”也不属于“负偏离”即为“无偏离”。 当响应文件的商务内容低于竞争性磋商采购文件要求时，竞标人应当如实写明“负偏离”，否则视为虚假应标</w:t>
      </w:r>
      <w:r>
        <w:rPr>
          <w:rFonts w:hint="eastAsia" w:ascii="宋体" w:hAnsi="宋体" w:eastAsia="宋体" w:cs="宋体"/>
          <w:color w:val="auto"/>
          <w:sz w:val="21"/>
          <w:szCs w:val="21"/>
          <w:highlight w:val="none"/>
          <w:lang w:eastAsia="zh-CN"/>
        </w:rPr>
        <w:t>。</w:t>
      </w:r>
    </w:p>
    <w:p w14:paraId="425A978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color w:val="auto"/>
          <w:kern w:val="0"/>
          <w:szCs w:val="21"/>
          <w:highlight w:val="none"/>
        </w:rPr>
      </w:pPr>
      <w:r>
        <w:rPr>
          <w:rFonts w:hint="eastAsia" w:ascii="宋体" w:hAnsi="宋体" w:cs="宋体"/>
          <w:color w:val="auto"/>
          <w:kern w:val="0"/>
          <w:szCs w:val="21"/>
          <w:highlight w:val="none"/>
        </w:rPr>
        <w:t>3.表格内容均需按要求填写并盖章，不得留空。</w:t>
      </w:r>
    </w:p>
    <w:p w14:paraId="05F30E47">
      <w:pPr>
        <w:pStyle w:val="12"/>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cs="宋体"/>
          <w:color w:val="auto"/>
          <w:sz w:val="24"/>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 如技术偏离表中的竞标响应与佐证材料不一致的，以佐证材料为准。</w:t>
      </w:r>
    </w:p>
    <w:p w14:paraId="584CE9D0">
      <w:pPr>
        <w:snapToGrid w:val="0"/>
        <w:spacing w:line="360" w:lineRule="auto"/>
        <w:ind w:firstLine="602" w:firstLineChars="200"/>
        <w:rPr>
          <w:rFonts w:ascii="宋体" w:hAnsi="宋体" w:cs="宋体"/>
          <w:b/>
          <w:color w:val="auto"/>
          <w:sz w:val="30"/>
          <w:szCs w:val="30"/>
          <w:highlight w:val="none"/>
        </w:rPr>
      </w:pPr>
    </w:p>
    <w:p w14:paraId="67EB7EE3">
      <w:pPr>
        <w:autoSpaceDE w:val="0"/>
        <w:autoSpaceDN w:val="0"/>
        <w:spacing w:line="360" w:lineRule="auto"/>
        <w:ind w:left="4335" w:leftChars="1950" w:hanging="240" w:hangingChars="100"/>
        <w:rPr>
          <w:rFonts w:ascii="宋体" w:hAnsi="宋体" w:cs="宋体"/>
          <w:color w:val="auto"/>
          <w:kern w:val="0"/>
          <w:sz w:val="24"/>
          <w:highlight w:val="none"/>
        </w:rPr>
      </w:pPr>
      <w:r>
        <w:rPr>
          <w:rFonts w:hint="eastAsia" w:ascii="宋体" w:hAnsi="宋体" w:cs="宋体"/>
          <w:color w:val="auto"/>
          <w:kern w:val="0"/>
          <w:sz w:val="24"/>
          <w:highlight w:val="none"/>
        </w:rPr>
        <w:t>供应商名称（电子签章）：</w:t>
      </w:r>
    </w:p>
    <w:p w14:paraId="64FA47A6">
      <w:pPr>
        <w:autoSpaceDE w:val="0"/>
        <w:autoSpaceDN w:val="0"/>
        <w:spacing w:line="360" w:lineRule="auto"/>
        <w:ind w:firstLine="6480" w:firstLineChars="2700"/>
        <w:rPr>
          <w:rFonts w:ascii="宋体" w:hAnsi="宋体" w:cs="宋体"/>
          <w:b/>
          <w:bCs/>
          <w:color w:val="auto"/>
          <w:sz w:val="24"/>
          <w:highlight w:val="none"/>
        </w:rPr>
      </w:pPr>
      <w:r>
        <w:rPr>
          <w:rFonts w:hint="eastAsia" w:ascii="宋体" w:hAnsi="宋体" w:cs="宋体"/>
          <w:color w:val="auto"/>
          <w:kern w:val="0"/>
          <w:sz w:val="24"/>
          <w:highlight w:val="none"/>
          <w:lang w:val="zh-CN"/>
        </w:rPr>
        <w:t>日期：  年  月   日</w:t>
      </w:r>
    </w:p>
    <w:p w14:paraId="393A4103">
      <w:pPr>
        <w:adjustRightInd w:val="0"/>
        <w:snapToGrid w:val="0"/>
        <w:spacing w:line="520" w:lineRule="exact"/>
        <w:jc w:val="center"/>
        <w:rPr>
          <w:rFonts w:ascii="宋体" w:hAnsi="宋体" w:cs="宋体"/>
          <w:bCs/>
          <w:color w:val="auto"/>
          <w:sz w:val="44"/>
          <w:szCs w:val="44"/>
          <w:highlight w:val="none"/>
        </w:rPr>
      </w:pPr>
    </w:p>
    <w:p w14:paraId="360E629E">
      <w:pPr>
        <w:autoSpaceDE w:val="0"/>
        <w:autoSpaceDN w:val="0"/>
        <w:spacing w:line="360" w:lineRule="auto"/>
        <w:ind w:firstLine="602" w:firstLineChars="200"/>
        <w:rPr>
          <w:rFonts w:ascii="宋体" w:hAnsi="宋体" w:cs="宋体"/>
          <w:b/>
          <w:color w:val="auto"/>
          <w:sz w:val="30"/>
          <w:szCs w:val="30"/>
          <w:highlight w:val="none"/>
        </w:rPr>
      </w:pPr>
      <w:r>
        <w:rPr>
          <w:rFonts w:hint="eastAsia" w:ascii="宋体" w:hAnsi="宋体" w:cs="宋体"/>
          <w:b/>
          <w:color w:val="auto"/>
          <w:sz w:val="30"/>
          <w:szCs w:val="30"/>
          <w:highlight w:val="none"/>
        </w:rPr>
        <w:t>八</w:t>
      </w:r>
      <w:r>
        <w:rPr>
          <w:rFonts w:hint="eastAsia" w:ascii="宋体" w:hAnsi="宋体" w:cs="宋体"/>
          <w:b/>
          <w:color w:val="auto"/>
          <w:sz w:val="30"/>
          <w:szCs w:val="30"/>
          <w:highlight w:val="none"/>
          <w:lang w:eastAsia="zh-CN"/>
        </w:rPr>
        <w:t>、</w:t>
      </w:r>
      <w:r>
        <w:rPr>
          <w:rFonts w:hint="eastAsia" w:ascii="宋体" w:hAnsi="宋体" w:cs="宋体"/>
          <w:b/>
          <w:color w:val="auto"/>
          <w:sz w:val="30"/>
          <w:szCs w:val="30"/>
          <w:highlight w:val="none"/>
        </w:rPr>
        <w:t>售后服务承诺</w:t>
      </w:r>
    </w:p>
    <w:p w14:paraId="60EA1F10">
      <w:pPr>
        <w:snapToGrid w:val="0"/>
        <w:spacing w:before="120" w:beforeLines="50" w:after="50"/>
        <w:ind w:left="143" w:leftChars="68" w:firstLine="420" w:firstLineChars="200"/>
        <w:rPr>
          <w:rFonts w:ascii="宋体" w:hAnsi="宋体" w:cs="宋体"/>
          <w:color w:val="auto"/>
          <w:highlight w:val="none"/>
        </w:rPr>
      </w:pPr>
      <w:r>
        <w:rPr>
          <w:rFonts w:hint="eastAsia" w:ascii="宋体" w:hAnsi="宋体" w:cs="宋体"/>
          <w:color w:val="auto"/>
          <w:highlight w:val="none"/>
        </w:rPr>
        <w:t>由竞标人按本项目竞争性磋商采购文件第二章“服务需求一览表”中商务条款部分的售后服务要求自行填写，其中要包含售后服务承诺书。</w:t>
      </w:r>
    </w:p>
    <w:p w14:paraId="01DB794A">
      <w:pPr>
        <w:autoSpaceDE w:val="0"/>
        <w:autoSpaceDN w:val="0"/>
        <w:spacing w:line="360" w:lineRule="auto"/>
        <w:ind w:left="4335" w:leftChars="1950" w:hanging="240" w:hangingChars="100"/>
        <w:rPr>
          <w:rFonts w:hint="eastAsia" w:ascii="宋体" w:hAnsi="宋体" w:cs="宋体"/>
          <w:color w:val="auto"/>
          <w:kern w:val="0"/>
          <w:sz w:val="24"/>
          <w:highlight w:val="none"/>
        </w:rPr>
      </w:pPr>
    </w:p>
    <w:p w14:paraId="6F9DCD19">
      <w:pPr>
        <w:autoSpaceDE w:val="0"/>
        <w:autoSpaceDN w:val="0"/>
        <w:spacing w:line="360" w:lineRule="auto"/>
        <w:ind w:left="4335" w:leftChars="1950" w:hanging="240" w:hangingChars="100"/>
        <w:rPr>
          <w:rFonts w:ascii="宋体" w:hAnsi="宋体" w:cs="宋体"/>
          <w:color w:val="auto"/>
          <w:kern w:val="0"/>
          <w:sz w:val="24"/>
          <w:highlight w:val="none"/>
        </w:rPr>
      </w:pPr>
      <w:r>
        <w:rPr>
          <w:rFonts w:hint="eastAsia" w:ascii="宋体" w:hAnsi="宋体" w:cs="宋体"/>
          <w:color w:val="auto"/>
          <w:kern w:val="0"/>
          <w:sz w:val="24"/>
          <w:highlight w:val="none"/>
        </w:rPr>
        <w:t>供应商名称（电子签章）：</w:t>
      </w:r>
    </w:p>
    <w:p w14:paraId="13D22F5D">
      <w:pPr>
        <w:snapToGrid w:val="0"/>
        <w:spacing w:line="360" w:lineRule="auto"/>
        <w:ind w:firstLine="6120" w:firstLineChars="25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346848C2">
      <w:pPr>
        <w:snapToGrid w:val="0"/>
        <w:spacing w:line="360" w:lineRule="auto"/>
        <w:ind w:firstLine="602" w:firstLineChars="200"/>
        <w:rPr>
          <w:rFonts w:ascii="宋体" w:hAnsi="宋体" w:cs="宋体"/>
          <w:b/>
          <w:color w:val="auto"/>
          <w:sz w:val="30"/>
          <w:szCs w:val="30"/>
          <w:highlight w:val="none"/>
        </w:rPr>
      </w:pPr>
      <w:r>
        <w:rPr>
          <w:rFonts w:hint="eastAsia" w:ascii="宋体" w:hAnsi="宋体" w:cs="宋体"/>
          <w:b/>
          <w:color w:val="auto"/>
          <w:sz w:val="30"/>
          <w:szCs w:val="30"/>
          <w:highlight w:val="none"/>
        </w:rPr>
        <w:t>九、项目实施人员一览表</w:t>
      </w:r>
    </w:p>
    <w:p w14:paraId="65425785">
      <w:pPr>
        <w:pStyle w:val="47"/>
        <w:spacing w:before="120" w:beforeLines="50"/>
        <w:ind w:firstLine="643" w:firstLineChars="200"/>
        <w:jc w:val="center"/>
        <w:rPr>
          <w:rStyle w:val="28"/>
          <w:rFonts w:ascii="Times New Roman" w:hAnsi="Times New Roman" w:eastAsia="宋体" w:cs="宋体"/>
          <w:b/>
          <w:color w:val="auto"/>
          <w:sz w:val="32"/>
          <w:szCs w:val="32"/>
          <w:highlight w:val="none"/>
        </w:rPr>
      </w:pPr>
      <w:r>
        <w:rPr>
          <w:rStyle w:val="28"/>
          <w:rFonts w:hint="eastAsia" w:ascii="Times New Roman" w:hAnsi="Times New Roman" w:eastAsia="宋体" w:cs="宋体"/>
          <w:b/>
          <w:color w:val="auto"/>
          <w:sz w:val="32"/>
          <w:szCs w:val="32"/>
          <w:highlight w:val="none"/>
        </w:rPr>
        <w:t>项目经理简历表</w:t>
      </w:r>
    </w:p>
    <w:p w14:paraId="7160F485">
      <w:pPr>
        <w:pStyle w:val="47"/>
        <w:rPr>
          <w:rStyle w:val="28"/>
          <w:rFonts w:ascii="Times New Roman" w:hAnsi="Times New Roman" w:eastAsia="宋体" w:cs="Times New Roman"/>
          <w:color w:val="auto"/>
          <w:szCs w:val="21"/>
          <w:highlight w:val="none"/>
          <w:u w:val="single"/>
        </w:rPr>
      </w:pPr>
    </w:p>
    <w:p w14:paraId="6F6B0F0E">
      <w:pPr>
        <w:pStyle w:val="47"/>
        <w:ind w:firstLine="420" w:firstLineChars="200"/>
        <w:rPr>
          <w:rStyle w:val="28"/>
          <w:rFonts w:hint="eastAsia" w:ascii="Times New Roman" w:hAnsi="Times New Roman" w:cs="宋体"/>
          <w:color w:val="auto"/>
          <w:szCs w:val="21"/>
          <w:highlight w:val="none"/>
          <w:u w:val="none"/>
          <w:lang w:eastAsia="zh-CN"/>
        </w:rPr>
      </w:pPr>
      <w:r>
        <w:rPr>
          <w:rStyle w:val="28"/>
          <w:rFonts w:hint="eastAsia" w:ascii="Times New Roman" w:hAnsi="Times New Roman" w:eastAsia="宋体" w:cs="宋体"/>
          <w:color w:val="auto"/>
          <w:szCs w:val="21"/>
          <w:highlight w:val="none"/>
          <w:u w:val="none"/>
        </w:rPr>
        <w:t>项目名称</w:t>
      </w:r>
      <w:r>
        <w:rPr>
          <w:rStyle w:val="28"/>
          <w:rFonts w:hint="eastAsia" w:ascii="Times New Roman" w:hAnsi="Times New Roman" w:cs="宋体"/>
          <w:color w:val="auto"/>
          <w:szCs w:val="21"/>
          <w:highlight w:val="none"/>
          <w:u w:val="none"/>
          <w:lang w:eastAsia="zh-CN"/>
        </w:rPr>
        <w:t>：</w:t>
      </w:r>
    </w:p>
    <w:p w14:paraId="37DD44AC">
      <w:pPr>
        <w:pStyle w:val="47"/>
        <w:ind w:firstLine="420" w:firstLineChars="200"/>
        <w:rPr>
          <w:rStyle w:val="28"/>
          <w:rFonts w:ascii="Times New Roman" w:hAnsi="Times New Roman" w:eastAsia="宋体" w:cs="Times New Roman"/>
          <w:color w:val="auto"/>
          <w:szCs w:val="21"/>
          <w:highlight w:val="none"/>
          <w:u w:val="none"/>
        </w:rPr>
      </w:pPr>
      <w:r>
        <w:rPr>
          <w:rStyle w:val="28"/>
          <w:rFonts w:hint="eastAsia" w:ascii="Times New Roman" w:hAnsi="Times New Roman" w:eastAsia="宋体" w:cs="宋体"/>
          <w:color w:val="auto"/>
          <w:szCs w:val="21"/>
          <w:highlight w:val="none"/>
          <w:u w:val="none"/>
        </w:rPr>
        <w:t>项目</w:t>
      </w:r>
      <w:r>
        <w:rPr>
          <w:rStyle w:val="28"/>
          <w:rFonts w:hint="eastAsia" w:ascii="Times New Roman" w:hAnsi="Times New Roman" w:cs="宋体"/>
          <w:color w:val="auto"/>
          <w:szCs w:val="21"/>
          <w:highlight w:val="none"/>
          <w:u w:val="none"/>
          <w:lang w:val="en-US" w:eastAsia="zh-CN"/>
        </w:rPr>
        <w:t>编号</w:t>
      </w:r>
      <w:r>
        <w:rPr>
          <w:rStyle w:val="28"/>
          <w:rFonts w:hint="eastAsia" w:ascii="Times New Roman" w:hAnsi="Times New Roman" w:cs="宋体"/>
          <w:color w:val="auto"/>
          <w:szCs w:val="21"/>
          <w:highlight w:val="none"/>
          <w:u w:val="none"/>
          <w:lang w:eastAsia="zh-CN"/>
        </w:rPr>
        <w:t>：</w:t>
      </w:r>
      <w:r>
        <w:rPr>
          <w:rStyle w:val="28"/>
          <w:rFonts w:ascii="Times New Roman" w:hAnsi="Times New Roman" w:eastAsia="宋体" w:cs="Times New Roman"/>
          <w:color w:val="auto"/>
          <w:szCs w:val="21"/>
          <w:highlight w:val="none"/>
          <w:u w:val="none"/>
        </w:rPr>
        <w:t xml:space="preserve"> </w:t>
      </w:r>
    </w:p>
    <w:tbl>
      <w:tblPr>
        <w:tblStyle w:val="26"/>
        <w:tblW w:w="94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4"/>
        <w:gridCol w:w="354"/>
        <w:gridCol w:w="972"/>
        <w:gridCol w:w="596"/>
        <w:gridCol w:w="795"/>
        <w:gridCol w:w="773"/>
        <w:gridCol w:w="482"/>
        <w:gridCol w:w="1086"/>
        <w:gridCol w:w="331"/>
        <w:gridCol w:w="1237"/>
        <w:gridCol w:w="39"/>
        <w:gridCol w:w="1531"/>
      </w:tblGrid>
      <w:tr w14:paraId="1C1C8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14" w:type="dxa"/>
            <w:noWrap w:val="0"/>
            <w:vAlign w:val="center"/>
          </w:tcPr>
          <w:p w14:paraId="520B1C48">
            <w:pPr>
              <w:pStyle w:val="47"/>
              <w:widowControl w:val="0"/>
              <w:jc w:val="center"/>
              <w:rPr>
                <w:rStyle w:val="28"/>
                <w:rFonts w:ascii="Times New Roman" w:hAnsi="Times New Roman" w:eastAsia="宋体" w:cs="Times New Roman"/>
                <w:color w:val="auto"/>
                <w:kern w:val="2"/>
                <w:sz w:val="21"/>
                <w:szCs w:val="21"/>
                <w:highlight w:val="none"/>
                <w:lang w:val="en-US" w:eastAsia="zh-CN" w:bidi="ar-SA"/>
              </w:rPr>
            </w:pPr>
            <w:r>
              <w:rPr>
                <w:rStyle w:val="28"/>
                <w:rFonts w:hint="eastAsia" w:ascii="Times New Roman" w:hAnsi="Times New Roman" w:eastAsia="宋体" w:cs="宋体"/>
                <w:color w:val="auto"/>
                <w:kern w:val="2"/>
                <w:sz w:val="21"/>
                <w:szCs w:val="21"/>
                <w:highlight w:val="none"/>
                <w:lang w:val="en-US" w:eastAsia="zh-CN" w:bidi="ar-SA"/>
              </w:rPr>
              <w:t>姓名</w:t>
            </w:r>
          </w:p>
        </w:tc>
        <w:tc>
          <w:tcPr>
            <w:tcW w:w="2717" w:type="dxa"/>
            <w:gridSpan w:val="4"/>
            <w:noWrap w:val="0"/>
            <w:vAlign w:val="center"/>
          </w:tcPr>
          <w:p w14:paraId="12BB3574">
            <w:pPr>
              <w:pStyle w:val="47"/>
              <w:widowControl w:val="0"/>
              <w:jc w:val="center"/>
              <w:rPr>
                <w:rStyle w:val="28"/>
                <w:rFonts w:ascii="Times New Roman" w:hAnsi="Times New Roman" w:eastAsia="宋体" w:cs="Times New Roman"/>
                <w:color w:val="auto"/>
                <w:kern w:val="2"/>
                <w:sz w:val="21"/>
                <w:szCs w:val="21"/>
                <w:highlight w:val="none"/>
                <w:lang w:val="en-US" w:eastAsia="zh-CN" w:bidi="ar-SA"/>
              </w:rPr>
            </w:pPr>
          </w:p>
        </w:tc>
        <w:tc>
          <w:tcPr>
            <w:tcW w:w="1255" w:type="dxa"/>
            <w:gridSpan w:val="2"/>
            <w:noWrap w:val="0"/>
            <w:vAlign w:val="center"/>
          </w:tcPr>
          <w:p w14:paraId="2B669E33">
            <w:pPr>
              <w:pStyle w:val="47"/>
              <w:widowControl w:val="0"/>
              <w:jc w:val="center"/>
              <w:rPr>
                <w:rStyle w:val="28"/>
                <w:rFonts w:ascii="Times New Roman" w:hAnsi="Times New Roman" w:eastAsia="宋体" w:cs="Times New Roman"/>
                <w:color w:val="auto"/>
                <w:kern w:val="2"/>
                <w:sz w:val="21"/>
                <w:szCs w:val="21"/>
                <w:highlight w:val="none"/>
                <w:lang w:val="en-US" w:eastAsia="zh-CN" w:bidi="ar-SA"/>
              </w:rPr>
            </w:pPr>
            <w:r>
              <w:rPr>
                <w:rStyle w:val="28"/>
                <w:rFonts w:hint="eastAsia" w:ascii="Times New Roman" w:hAnsi="Times New Roman" w:eastAsia="宋体" w:cs="宋体"/>
                <w:color w:val="auto"/>
                <w:kern w:val="2"/>
                <w:sz w:val="21"/>
                <w:szCs w:val="21"/>
                <w:highlight w:val="none"/>
                <w:lang w:val="en-US" w:eastAsia="zh-CN" w:bidi="ar-SA"/>
              </w:rPr>
              <w:t>性别</w:t>
            </w:r>
          </w:p>
        </w:tc>
        <w:tc>
          <w:tcPr>
            <w:tcW w:w="1417" w:type="dxa"/>
            <w:gridSpan w:val="2"/>
            <w:noWrap w:val="0"/>
            <w:vAlign w:val="center"/>
          </w:tcPr>
          <w:p w14:paraId="033E9F0B">
            <w:pPr>
              <w:pStyle w:val="47"/>
              <w:widowControl w:val="0"/>
              <w:jc w:val="center"/>
              <w:rPr>
                <w:rStyle w:val="28"/>
                <w:rFonts w:ascii="Times New Roman" w:hAnsi="Times New Roman" w:eastAsia="宋体" w:cs="Times New Roman"/>
                <w:color w:val="auto"/>
                <w:kern w:val="2"/>
                <w:sz w:val="21"/>
                <w:szCs w:val="21"/>
                <w:highlight w:val="none"/>
                <w:lang w:val="en-US" w:eastAsia="zh-CN" w:bidi="ar-SA"/>
              </w:rPr>
            </w:pPr>
          </w:p>
        </w:tc>
        <w:tc>
          <w:tcPr>
            <w:tcW w:w="1276" w:type="dxa"/>
            <w:gridSpan w:val="2"/>
            <w:noWrap w:val="0"/>
            <w:vAlign w:val="center"/>
          </w:tcPr>
          <w:p w14:paraId="4FC26EDB">
            <w:pPr>
              <w:pStyle w:val="47"/>
              <w:widowControl w:val="0"/>
              <w:jc w:val="center"/>
              <w:rPr>
                <w:rStyle w:val="28"/>
                <w:rFonts w:ascii="Times New Roman" w:hAnsi="Times New Roman" w:eastAsia="宋体" w:cs="Times New Roman"/>
                <w:color w:val="auto"/>
                <w:kern w:val="2"/>
                <w:sz w:val="21"/>
                <w:szCs w:val="21"/>
                <w:highlight w:val="none"/>
                <w:lang w:val="en-US" w:eastAsia="zh-CN" w:bidi="ar-SA"/>
              </w:rPr>
            </w:pPr>
            <w:r>
              <w:rPr>
                <w:rStyle w:val="28"/>
                <w:rFonts w:hint="eastAsia" w:ascii="Times New Roman" w:hAnsi="Times New Roman" w:eastAsia="宋体" w:cs="宋体"/>
                <w:color w:val="auto"/>
                <w:kern w:val="2"/>
                <w:sz w:val="21"/>
                <w:szCs w:val="21"/>
                <w:highlight w:val="none"/>
                <w:lang w:val="en-US" w:eastAsia="zh-CN" w:bidi="ar-SA"/>
              </w:rPr>
              <w:t>年龄</w:t>
            </w:r>
          </w:p>
        </w:tc>
        <w:tc>
          <w:tcPr>
            <w:tcW w:w="1531" w:type="dxa"/>
            <w:noWrap w:val="0"/>
            <w:vAlign w:val="center"/>
          </w:tcPr>
          <w:p w14:paraId="6396AB32">
            <w:pPr>
              <w:pStyle w:val="47"/>
              <w:widowControl w:val="0"/>
              <w:jc w:val="center"/>
              <w:rPr>
                <w:rStyle w:val="28"/>
                <w:rFonts w:ascii="Times New Roman" w:hAnsi="Times New Roman" w:eastAsia="宋体" w:cs="Times New Roman"/>
                <w:color w:val="auto"/>
                <w:kern w:val="2"/>
                <w:sz w:val="21"/>
                <w:szCs w:val="21"/>
                <w:highlight w:val="none"/>
                <w:lang w:val="en-US" w:eastAsia="zh-CN" w:bidi="ar-SA"/>
              </w:rPr>
            </w:pPr>
          </w:p>
        </w:tc>
      </w:tr>
      <w:tr w14:paraId="6A13C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214" w:type="dxa"/>
            <w:noWrap w:val="0"/>
            <w:vAlign w:val="center"/>
          </w:tcPr>
          <w:p w14:paraId="1E7966A8">
            <w:pPr>
              <w:pStyle w:val="47"/>
              <w:widowControl w:val="0"/>
              <w:jc w:val="center"/>
              <w:rPr>
                <w:rStyle w:val="28"/>
                <w:rFonts w:ascii="Times New Roman" w:hAnsi="Times New Roman" w:eastAsia="宋体" w:cs="Times New Roman"/>
                <w:color w:val="auto"/>
                <w:kern w:val="2"/>
                <w:sz w:val="21"/>
                <w:szCs w:val="21"/>
                <w:highlight w:val="none"/>
                <w:lang w:val="en-US" w:eastAsia="zh-CN" w:bidi="ar-SA"/>
              </w:rPr>
            </w:pPr>
            <w:r>
              <w:rPr>
                <w:rStyle w:val="28"/>
                <w:rFonts w:hint="eastAsia" w:ascii="Times New Roman" w:hAnsi="Times New Roman" w:eastAsia="宋体" w:cs="宋体"/>
                <w:color w:val="auto"/>
                <w:kern w:val="2"/>
                <w:sz w:val="21"/>
                <w:szCs w:val="21"/>
                <w:highlight w:val="none"/>
                <w:lang w:val="en-US" w:eastAsia="zh-CN" w:bidi="ar-SA"/>
              </w:rPr>
              <w:t>岗位</w:t>
            </w:r>
          </w:p>
        </w:tc>
        <w:tc>
          <w:tcPr>
            <w:tcW w:w="2717" w:type="dxa"/>
            <w:gridSpan w:val="4"/>
            <w:noWrap w:val="0"/>
            <w:vAlign w:val="center"/>
          </w:tcPr>
          <w:p w14:paraId="7AA42A13">
            <w:pPr>
              <w:pStyle w:val="47"/>
              <w:widowControl w:val="0"/>
              <w:jc w:val="center"/>
              <w:rPr>
                <w:rStyle w:val="28"/>
                <w:rFonts w:ascii="Times New Roman" w:hAnsi="Times New Roman" w:eastAsia="宋体" w:cs="Times New Roman"/>
                <w:color w:val="auto"/>
                <w:kern w:val="2"/>
                <w:sz w:val="21"/>
                <w:szCs w:val="21"/>
                <w:highlight w:val="none"/>
                <w:lang w:val="en-US" w:eastAsia="zh-CN" w:bidi="ar-SA"/>
              </w:rPr>
            </w:pPr>
            <w:r>
              <w:rPr>
                <w:rStyle w:val="28"/>
                <w:rFonts w:hint="eastAsia" w:ascii="Times New Roman" w:hAnsi="Times New Roman" w:eastAsia="宋体" w:cs="Times New Roman"/>
                <w:color w:val="auto"/>
                <w:kern w:val="2"/>
                <w:sz w:val="21"/>
                <w:szCs w:val="21"/>
                <w:highlight w:val="none"/>
                <w:lang w:val="en-US" w:eastAsia="zh-CN" w:bidi="ar-SA"/>
              </w:rPr>
              <w:t>项目经理</w:t>
            </w:r>
          </w:p>
        </w:tc>
        <w:tc>
          <w:tcPr>
            <w:tcW w:w="1255" w:type="dxa"/>
            <w:gridSpan w:val="2"/>
            <w:noWrap w:val="0"/>
            <w:vAlign w:val="center"/>
          </w:tcPr>
          <w:p w14:paraId="40CC77E6">
            <w:pPr>
              <w:pStyle w:val="47"/>
              <w:widowControl w:val="0"/>
              <w:jc w:val="center"/>
              <w:rPr>
                <w:rStyle w:val="28"/>
                <w:rFonts w:ascii="Times New Roman" w:hAnsi="Times New Roman" w:eastAsia="宋体" w:cs="Times New Roman"/>
                <w:color w:val="auto"/>
                <w:kern w:val="2"/>
                <w:sz w:val="21"/>
                <w:szCs w:val="21"/>
                <w:highlight w:val="none"/>
                <w:lang w:val="en-US" w:eastAsia="zh-CN" w:bidi="ar-SA"/>
              </w:rPr>
            </w:pPr>
            <w:r>
              <w:rPr>
                <w:rStyle w:val="28"/>
                <w:rFonts w:hint="eastAsia" w:ascii="Times New Roman" w:hAnsi="Times New Roman" w:eastAsia="宋体" w:cs="宋体"/>
                <w:color w:val="auto"/>
                <w:kern w:val="2"/>
                <w:sz w:val="21"/>
                <w:szCs w:val="21"/>
                <w:highlight w:val="none"/>
                <w:lang w:val="en-US" w:eastAsia="zh-CN" w:bidi="ar-SA"/>
              </w:rPr>
              <w:t>职称</w:t>
            </w:r>
          </w:p>
        </w:tc>
        <w:tc>
          <w:tcPr>
            <w:tcW w:w="1417" w:type="dxa"/>
            <w:gridSpan w:val="2"/>
            <w:noWrap w:val="0"/>
            <w:vAlign w:val="center"/>
          </w:tcPr>
          <w:p w14:paraId="1C41A127">
            <w:pPr>
              <w:pStyle w:val="47"/>
              <w:widowControl w:val="0"/>
              <w:jc w:val="center"/>
              <w:rPr>
                <w:rStyle w:val="28"/>
                <w:rFonts w:ascii="Times New Roman" w:hAnsi="Times New Roman" w:eastAsia="宋体" w:cs="Times New Roman"/>
                <w:color w:val="auto"/>
                <w:kern w:val="2"/>
                <w:sz w:val="21"/>
                <w:szCs w:val="21"/>
                <w:highlight w:val="none"/>
                <w:lang w:val="en-US" w:eastAsia="zh-CN" w:bidi="ar-SA"/>
              </w:rPr>
            </w:pPr>
          </w:p>
        </w:tc>
        <w:tc>
          <w:tcPr>
            <w:tcW w:w="1276" w:type="dxa"/>
            <w:gridSpan w:val="2"/>
            <w:noWrap w:val="0"/>
            <w:vAlign w:val="center"/>
          </w:tcPr>
          <w:p w14:paraId="2E2352F2">
            <w:pPr>
              <w:pStyle w:val="47"/>
              <w:widowControl w:val="0"/>
              <w:jc w:val="center"/>
              <w:rPr>
                <w:rStyle w:val="28"/>
                <w:rFonts w:ascii="Times New Roman" w:hAnsi="Times New Roman" w:eastAsia="宋体" w:cs="Times New Roman"/>
                <w:color w:val="auto"/>
                <w:kern w:val="2"/>
                <w:sz w:val="21"/>
                <w:szCs w:val="21"/>
                <w:highlight w:val="none"/>
                <w:lang w:val="en-US" w:eastAsia="zh-CN" w:bidi="ar-SA"/>
              </w:rPr>
            </w:pPr>
            <w:r>
              <w:rPr>
                <w:rStyle w:val="28"/>
                <w:rFonts w:hint="eastAsia" w:ascii="Times New Roman" w:hAnsi="Times New Roman" w:eastAsia="宋体" w:cs="宋体"/>
                <w:color w:val="auto"/>
                <w:kern w:val="2"/>
                <w:sz w:val="21"/>
                <w:szCs w:val="21"/>
                <w:highlight w:val="none"/>
                <w:lang w:val="en-US" w:eastAsia="zh-CN" w:bidi="ar-SA"/>
              </w:rPr>
              <w:t>学历</w:t>
            </w:r>
          </w:p>
        </w:tc>
        <w:tc>
          <w:tcPr>
            <w:tcW w:w="1531" w:type="dxa"/>
            <w:noWrap w:val="0"/>
            <w:vAlign w:val="center"/>
          </w:tcPr>
          <w:p w14:paraId="51F384B7">
            <w:pPr>
              <w:pStyle w:val="47"/>
              <w:widowControl w:val="0"/>
              <w:jc w:val="center"/>
              <w:rPr>
                <w:rStyle w:val="28"/>
                <w:rFonts w:ascii="Times New Roman" w:hAnsi="Times New Roman" w:eastAsia="宋体" w:cs="Times New Roman"/>
                <w:color w:val="auto"/>
                <w:kern w:val="2"/>
                <w:sz w:val="21"/>
                <w:szCs w:val="21"/>
                <w:highlight w:val="none"/>
                <w:lang w:val="en-US" w:eastAsia="zh-CN" w:bidi="ar-SA"/>
              </w:rPr>
            </w:pPr>
          </w:p>
        </w:tc>
      </w:tr>
      <w:tr w14:paraId="0EE6B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214" w:type="dxa"/>
            <w:noWrap w:val="0"/>
            <w:vAlign w:val="center"/>
          </w:tcPr>
          <w:p w14:paraId="0B69852A">
            <w:pPr>
              <w:pStyle w:val="47"/>
              <w:widowControl w:val="0"/>
              <w:jc w:val="center"/>
              <w:rPr>
                <w:rStyle w:val="28"/>
                <w:rFonts w:ascii="Times New Roman" w:hAnsi="Times New Roman" w:eastAsia="宋体" w:cs="宋体"/>
                <w:color w:val="auto"/>
                <w:kern w:val="2"/>
                <w:sz w:val="21"/>
                <w:szCs w:val="21"/>
                <w:highlight w:val="none"/>
                <w:lang w:val="en-US" w:eastAsia="zh-CN" w:bidi="ar-SA"/>
              </w:rPr>
            </w:pPr>
            <w:r>
              <w:rPr>
                <w:rStyle w:val="28"/>
                <w:rFonts w:hint="eastAsia" w:ascii="Times New Roman" w:hAnsi="Times New Roman" w:eastAsia="宋体" w:cs="宋体"/>
                <w:color w:val="auto"/>
                <w:kern w:val="2"/>
                <w:sz w:val="21"/>
                <w:szCs w:val="21"/>
                <w:highlight w:val="none"/>
                <w:lang w:val="en-US" w:eastAsia="zh-CN" w:bidi="ar-SA"/>
              </w:rPr>
              <w:t>从业开始时间</w:t>
            </w:r>
          </w:p>
        </w:tc>
        <w:tc>
          <w:tcPr>
            <w:tcW w:w="2717" w:type="dxa"/>
            <w:gridSpan w:val="4"/>
            <w:noWrap w:val="0"/>
            <w:vAlign w:val="center"/>
          </w:tcPr>
          <w:p w14:paraId="6494DBFA">
            <w:pPr>
              <w:pStyle w:val="47"/>
              <w:widowControl w:val="0"/>
              <w:jc w:val="center"/>
              <w:rPr>
                <w:rStyle w:val="28"/>
                <w:rFonts w:ascii="Times New Roman" w:hAnsi="Times New Roman" w:eastAsia="宋体" w:cs="Times New Roman"/>
                <w:color w:val="auto"/>
                <w:kern w:val="2"/>
                <w:sz w:val="21"/>
                <w:szCs w:val="21"/>
                <w:highlight w:val="none"/>
                <w:lang w:val="en-US" w:eastAsia="zh-CN" w:bidi="ar-SA"/>
              </w:rPr>
            </w:pPr>
          </w:p>
        </w:tc>
        <w:tc>
          <w:tcPr>
            <w:tcW w:w="1255" w:type="dxa"/>
            <w:gridSpan w:val="2"/>
            <w:noWrap w:val="0"/>
            <w:vAlign w:val="center"/>
          </w:tcPr>
          <w:p w14:paraId="0BF23476">
            <w:pPr>
              <w:pStyle w:val="47"/>
              <w:widowControl w:val="0"/>
              <w:jc w:val="center"/>
              <w:rPr>
                <w:rStyle w:val="28"/>
                <w:rFonts w:ascii="Times New Roman" w:hAnsi="Times New Roman" w:eastAsia="宋体" w:cs="宋体"/>
                <w:color w:val="auto"/>
                <w:kern w:val="2"/>
                <w:sz w:val="21"/>
                <w:szCs w:val="21"/>
                <w:highlight w:val="none"/>
                <w:lang w:val="en-US" w:eastAsia="zh-CN" w:bidi="ar-SA"/>
              </w:rPr>
            </w:pPr>
            <w:r>
              <w:rPr>
                <w:rStyle w:val="28"/>
                <w:rFonts w:hint="eastAsia" w:ascii="Times New Roman" w:hAnsi="Times New Roman" w:eastAsia="宋体" w:cs="宋体"/>
                <w:color w:val="auto"/>
                <w:kern w:val="2"/>
                <w:sz w:val="21"/>
                <w:szCs w:val="21"/>
                <w:highlight w:val="none"/>
                <w:lang w:val="en-US" w:eastAsia="zh-CN" w:bidi="ar-SA"/>
              </w:rPr>
              <w:t>职称</w:t>
            </w:r>
            <w:r>
              <w:rPr>
                <w:rStyle w:val="28"/>
                <w:rFonts w:ascii="Times New Roman" w:hAnsi="Times New Roman" w:eastAsia="宋体" w:cs="宋体"/>
                <w:color w:val="auto"/>
                <w:kern w:val="2"/>
                <w:sz w:val="21"/>
                <w:szCs w:val="21"/>
                <w:highlight w:val="none"/>
                <w:lang w:val="en-US" w:eastAsia="zh-CN" w:bidi="ar-SA"/>
              </w:rPr>
              <w:t>获</w:t>
            </w:r>
            <w:r>
              <w:rPr>
                <w:rStyle w:val="28"/>
                <w:rFonts w:hint="eastAsia" w:ascii="Times New Roman" w:hAnsi="Times New Roman" w:eastAsia="宋体" w:cs="宋体"/>
                <w:color w:val="auto"/>
                <w:kern w:val="2"/>
                <w:sz w:val="21"/>
                <w:szCs w:val="21"/>
                <w:highlight w:val="none"/>
                <w:lang w:val="en-US" w:eastAsia="zh-CN" w:bidi="ar-SA"/>
              </w:rPr>
              <w:t>得</w:t>
            </w:r>
            <w:r>
              <w:rPr>
                <w:rStyle w:val="28"/>
                <w:rFonts w:ascii="Times New Roman" w:hAnsi="Times New Roman" w:eastAsia="宋体" w:cs="宋体"/>
                <w:color w:val="auto"/>
                <w:kern w:val="2"/>
                <w:sz w:val="21"/>
                <w:szCs w:val="21"/>
                <w:highlight w:val="none"/>
                <w:lang w:val="en-US" w:eastAsia="zh-CN" w:bidi="ar-SA"/>
              </w:rPr>
              <w:t>时间</w:t>
            </w:r>
          </w:p>
        </w:tc>
        <w:tc>
          <w:tcPr>
            <w:tcW w:w="1417" w:type="dxa"/>
            <w:gridSpan w:val="2"/>
            <w:noWrap w:val="0"/>
            <w:vAlign w:val="center"/>
          </w:tcPr>
          <w:p w14:paraId="110DEF1B">
            <w:pPr>
              <w:pStyle w:val="47"/>
              <w:widowControl w:val="0"/>
              <w:jc w:val="center"/>
              <w:rPr>
                <w:rStyle w:val="28"/>
                <w:rFonts w:ascii="Times New Roman" w:hAnsi="Times New Roman" w:eastAsia="宋体" w:cs="Times New Roman"/>
                <w:color w:val="auto"/>
                <w:kern w:val="2"/>
                <w:sz w:val="21"/>
                <w:szCs w:val="21"/>
                <w:highlight w:val="none"/>
                <w:lang w:val="en-US" w:eastAsia="zh-CN" w:bidi="ar-SA"/>
              </w:rPr>
            </w:pPr>
          </w:p>
        </w:tc>
        <w:tc>
          <w:tcPr>
            <w:tcW w:w="1276" w:type="dxa"/>
            <w:gridSpan w:val="2"/>
            <w:noWrap w:val="0"/>
            <w:vAlign w:val="center"/>
          </w:tcPr>
          <w:p w14:paraId="10C365D3">
            <w:pPr>
              <w:pStyle w:val="47"/>
              <w:widowControl w:val="0"/>
              <w:jc w:val="center"/>
              <w:rPr>
                <w:rStyle w:val="28"/>
                <w:rFonts w:ascii="Times New Roman" w:hAnsi="Times New Roman" w:eastAsia="宋体" w:cs="宋体"/>
                <w:color w:val="auto"/>
                <w:kern w:val="2"/>
                <w:sz w:val="21"/>
                <w:szCs w:val="21"/>
                <w:highlight w:val="none"/>
                <w:lang w:val="en-US" w:eastAsia="zh-CN" w:bidi="ar-SA"/>
              </w:rPr>
            </w:pPr>
            <w:r>
              <w:rPr>
                <w:rStyle w:val="28"/>
                <w:rFonts w:hint="eastAsia" w:ascii="Times New Roman" w:hAnsi="Times New Roman" w:eastAsia="宋体" w:cs="宋体"/>
                <w:color w:val="auto"/>
                <w:kern w:val="2"/>
                <w:sz w:val="21"/>
                <w:szCs w:val="21"/>
                <w:highlight w:val="none"/>
                <w:lang w:val="en-US" w:eastAsia="zh-CN" w:bidi="ar-SA"/>
              </w:rPr>
              <w:t>毕业时间</w:t>
            </w:r>
          </w:p>
        </w:tc>
        <w:tc>
          <w:tcPr>
            <w:tcW w:w="1531" w:type="dxa"/>
            <w:noWrap w:val="0"/>
            <w:vAlign w:val="center"/>
          </w:tcPr>
          <w:p w14:paraId="3263C2C4">
            <w:pPr>
              <w:pStyle w:val="47"/>
              <w:widowControl w:val="0"/>
              <w:jc w:val="center"/>
              <w:rPr>
                <w:rStyle w:val="28"/>
                <w:rFonts w:ascii="Times New Roman" w:hAnsi="Times New Roman" w:eastAsia="宋体" w:cs="Times New Roman"/>
                <w:color w:val="auto"/>
                <w:kern w:val="2"/>
                <w:sz w:val="21"/>
                <w:szCs w:val="21"/>
                <w:highlight w:val="none"/>
                <w:lang w:val="en-US" w:eastAsia="zh-CN" w:bidi="ar-SA"/>
              </w:rPr>
            </w:pPr>
          </w:p>
        </w:tc>
      </w:tr>
      <w:tr w14:paraId="69400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14" w:type="dxa"/>
            <w:noWrap w:val="0"/>
            <w:vAlign w:val="center"/>
          </w:tcPr>
          <w:p w14:paraId="494BAE5D">
            <w:pPr>
              <w:pStyle w:val="47"/>
              <w:widowControl w:val="0"/>
              <w:jc w:val="center"/>
              <w:rPr>
                <w:rStyle w:val="28"/>
                <w:rFonts w:ascii="Times New Roman" w:hAnsi="Times New Roman" w:eastAsia="宋体" w:cs="Times New Roman"/>
                <w:color w:val="auto"/>
                <w:kern w:val="2"/>
                <w:sz w:val="21"/>
                <w:szCs w:val="21"/>
                <w:highlight w:val="none"/>
                <w:lang w:val="en-US" w:eastAsia="zh-CN" w:bidi="ar-SA"/>
              </w:rPr>
            </w:pPr>
            <w:r>
              <w:rPr>
                <w:rStyle w:val="28"/>
                <w:rFonts w:hint="eastAsia" w:ascii="Times New Roman" w:hAnsi="Times New Roman" w:eastAsia="宋体" w:cs="宋体"/>
                <w:color w:val="auto"/>
                <w:kern w:val="2"/>
                <w:sz w:val="21"/>
                <w:szCs w:val="21"/>
                <w:highlight w:val="none"/>
                <w:lang w:val="en-US" w:eastAsia="zh-CN" w:bidi="ar-SA"/>
              </w:rPr>
              <w:t>担任项目经理年限</w:t>
            </w:r>
          </w:p>
        </w:tc>
        <w:tc>
          <w:tcPr>
            <w:tcW w:w="1326" w:type="dxa"/>
            <w:gridSpan w:val="2"/>
            <w:noWrap w:val="0"/>
            <w:vAlign w:val="center"/>
          </w:tcPr>
          <w:p w14:paraId="26ACD059">
            <w:pPr>
              <w:pStyle w:val="47"/>
              <w:widowControl w:val="0"/>
              <w:jc w:val="center"/>
              <w:rPr>
                <w:rStyle w:val="28"/>
                <w:rFonts w:ascii="Times New Roman" w:hAnsi="Times New Roman" w:eastAsia="宋体" w:cs="Times New Roman"/>
                <w:color w:val="auto"/>
                <w:kern w:val="2"/>
                <w:sz w:val="21"/>
                <w:szCs w:val="21"/>
                <w:highlight w:val="none"/>
                <w:lang w:val="en-US" w:eastAsia="zh-CN" w:bidi="ar-SA"/>
              </w:rPr>
            </w:pPr>
          </w:p>
        </w:tc>
        <w:tc>
          <w:tcPr>
            <w:tcW w:w="1391" w:type="dxa"/>
            <w:gridSpan w:val="2"/>
            <w:noWrap w:val="0"/>
            <w:vAlign w:val="center"/>
          </w:tcPr>
          <w:p w14:paraId="3AB8AA73">
            <w:pPr>
              <w:pStyle w:val="47"/>
              <w:widowControl w:val="0"/>
              <w:jc w:val="center"/>
              <w:rPr>
                <w:rStyle w:val="28"/>
                <w:rFonts w:ascii="Times New Roman" w:hAnsi="Times New Roman" w:eastAsia="宋体" w:cs="Times New Roman"/>
                <w:color w:val="auto"/>
                <w:kern w:val="2"/>
                <w:sz w:val="21"/>
                <w:szCs w:val="21"/>
                <w:highlight w:val="none"/>
                <w:lang w:val="en-US" w:eastAsia="zh-CN" w:bidi="ar-SA"/>
              </w:rPr>
            </w:pPr>
            <w:r>
              <w:rPr>
                <w:rStyle w:val="28"/>
                <w:rFonts w:hint="eastAsia" w:ascii="Times New Roman" w:hAnsi="Times New Roman" w:eastAsia="宋体" w:cs="Times New Roman"/>
                <w:color w:val="auto"/>
                <w:kern w:val="2"/>
                <w:sz w:val="21"/>
                <w:szCs w:val="21"/>
                <w:highlight w:val="none"/>
                <w:lang w:val="en-US" w:eastAsia="zh-CN" w:bidi="ar-SA"/>
              </w:rPr>
              <w:t>身份</w:t>
            </w:r>
            <w:r>
              <w:rPr>
                <w:rStyle w:val="28"/>
                <w:rFonts w:ascii="Times New Roman" w:hAnsi="Times New Roman" w:eastAsia="宋体" w:cs="Times New Roman"/>
                <w:color w:val="auto"/>
                <w:kern w:val="2"/>
                <w:sz w:val="21"/>
                <w:szCs w:val="21"/>
                <w:highlight w:val="none"/>
                <w:lang w:val="en-US" w:eastAsia="zh-CN" w:bidi="ar-SA"/>
              </w:rPr>
              <w:t>证号码</w:t>
            </w:r>
          </w:p>
        </w:tc>
        <w:tc>
          <w:tcPr>
            <w:tcW w:w="2672" w:type="dxa"/>
            <w:gridSpan w:val="4"/>
            <w:noWrap w:val="0"/>
            <w:vAlign w:val="center"/>
          </w:tcPr>
          <w:p w14:paraId="1CB637B1">
            <w:pPr>
              <w:pStyle w:val="47"/>
              <w:widowControl w:val="0"/>
              <w:jc w:val="center"/>
              <w:rPr>
                <w:rStyle w:val="28"/>
                <w:rFonts w:ascii="Times New Roman" w:hAnsi="Times New Roman" w:eastAsia="宋体" w:cs="Times New Roman"/>
                <w:color w:val="auto"/>
                <w:kern w:val="2"/>
                <w:sz w:val="21"/>
                <w:szCs w:val="21"/>
                <w:highlight w:val="none"/>
                <w:lang w:val="en-US" w:eastAsia="zh-CN" w:bidi="ar-SA"/>
              </w:rPr>
            </w:pPr>
          </w:p>
        </w:tc>
        <w:tc>
          <w:tcPr>
            <w:tcW w:w="1276" w:type="dxa"/>
            <w:gridSpan w:val="2"/>
            <w:noWrap w:val="0"/>
            <w:vAlign w:val="center"/>
          </w:tcPr>
          <w:p w14:paraId="44D20C46">
            <w:pPr>
              <w:pStyle w:val="47"/>
              <w:widowControl w:val="0"/>
              <w:jc w:val="center"/>
              <w:rPr>
                <w:rStyle w:val="28"/>
                <w:rFonts w:ascii="Times New Roman" w:hAnsi="Times New Roman" w:eastAsia="宋体" w:cs="Times New Roman"/>
                <w:color w:val="auto"/>
                <w:kern w:val="2"/>
                <w:sz w:val="21"/>
                <w:szCs w:val="21"/>
                <w:highlight w:val="none"/>
                <w:lang w:val="en-US" w:eastAsia="zh-CN" w:bidi="ar-SA"/>
              </w:rPr>
            </w:pPr>
            <w:r>
              <w:rPr>
                <w:rStyle w:val="28"/>
                <w:rFonts w:hint="eastAsia" w:ascii="Times New Roman" w:hAnsi="Times New Roman" w:eastAsia="宋体" w:cs="Times New Roman"/>
                <w:color w:val="auto"/>
                <w:kern w:val="2"/>
                <w:sz w:val="21"/>
                <w:szCs w:val="21"/>
                <w:highlight w:val="none"/>
                <w:lang w:val="en-US" w:eastAsia="zh-CN" w:bidi="ar-SA"/>
              </w:rPr>
              <w:t>社保所附证明材料索引号</w:t>
            </w:r>
          </w:p>
        </w:tc>
        <w:tc>
          <w:tcPr>
            <w:tcW w:w="1531" w:type="dxa"/>
            <w:noWrap w:val="0"/>
            <w:vAlign w:val="center"/>
          </w:tcPr>
          <w:p w14:paraId="2B03E5EA">
            <w:pPr>
              <w:pStyle w:val="47"/>
              <w:widowControl w:val="0"/>
              <w:jc w:val="center"/>
              <w:rPr>
                <w:rStyle w:val="28"/>
                <w:rFonts w:ascii="Times New Roman" w:hAnsi="Times New Roman" w:eastAsia="宋体" w:cs="Times New Roman"/>
                <w:color w:val="auto"/>
                <w:kern w:val="2"/>
                <w:sz w:val="21"/>
                <w:szCs w:val="21"/>
                <w:highlight w:val="none"/>
                <w:lang w:val="en-US" w:eastAsia="zh-CN" w:bidi="ar-SA"/>
              </w:rPr>
            </w:pPr>
          </w:p>
        </w:tc>
      </w:tr>
      <w:tr w14:paraId="27160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14" w:type="dxa"/>
            <w:noWrap w:val="0"/>
            <w:vAlign w:val="center"/>
          </w:tcPr>
          <w:p w14:paraId="2C81D388">
            <w:pPr>
              <w:pStyle w:val="47"/>
              <w:widowControl w:val="0"/>
              <w:jc w:val="center"/>
              <w:rPr>
                <w:rStyle w:val="28"/>
                <w:rFonts w:ascii="Times New Roman" w:hAnsi="Times New Roman" w:eastAsia="宋体" w:cs="Times New Roman"/>
                <w:color w:val="auto"/>
                <w:kern w:val="2"/>
                <w:sz w:val="21"/>
                <w:szCs w:val="21"/>
                <w:highlight w:val="none"/>
                <w:lang w:val="en-US" w:eastAsia="zh-CN" w:bidi="ar-SA"/>
              </w:rPr>
            </w:pPr>
            <w:r>
              <w:rPr>
                <w:rStyle w:val="28"/>
                <w:rFonts w:hint="eastAsia" w:ascii="Times New Roman" w:hAnsi="Times New Roman" w:eastAsia="宋体" w:cs="Times New Roman"/>
                <w:color w:val="auto"/>
                <w:kern w:val="2"/>
                <w:sz w:val="21"/>
                <w:szCs w:val="21"/>
                <w:highlight w:val="none"/>
                <w:lang w:val="en-US" w:eastAsia="zh-CN" w:bidi="ar-SA"/>
              </w:rPr>
              <w:t>证书名称</w:t>
            </w:r>
          </w:p>
        </w:tc>
        <w:tc>
          <w:tcPr>
            <w:tcW w:w="1326" w:type="dxa"/>
            <w:gridSpan w:val="2"/>
            <w:noWrap w:val="0"/>
            <w:vAlign w:val="center"/>
          </w:tcPr>
          <w:p w14:paraId="095437C4">
            <w:pPr>
              <w:pStyle w:val="47"/>
              <w:widowControl w:val="0"/>
              <w:jc w:val="center"/>
              <w:rPr>
                <w:rStyle w:val="28"/>
                <w:rFonts w:ascii="Times New Roman" w:hAnsi="Times New Roman" w:eastAsia="宋体" w:cs="Times New Roman"/>
                <w:color w:val="auto"/>
                <w:kern w:val="2"/>
                <w:sz w:val="21"/>
                <w:szCs w:val="21"/>
                <w:highlight w:val="none"/>
                <w:lang w:val="en-US" w:eastAsia="zh-CN" w:bidi="ar-SA"/>
              </w:rPr>
            </w:pPr>
            <w:r>
              <w:rPr>
                <w:rStyle w:val="28"/>
                <w:rFonts w:hint="eastAsia" w:ascii="Times New Roman" w:hAnsi="Times New Roman" w:eastAsia="宋体" w:cs="Times New Roman"/>
                <w:color w:val="auto"/>
                <w:kern w:val="2"/>
                <w:sz w:val="21"/>
                <w:szCs w:val="21"/>
                <w:highlight w:val="none"/>
                <w:lang w:val="en-US" w:eastAsia="zh-CN" w:bidi="ar-SA"/>
              </w:rPr>
              <w:t>注册专业</w:t>
            </w:r>
          </w:p>
        </w:tc>
        <w:tc>
          <w:tcPr>
            <w:tcW w:w="1391" w:type="dxa"/>
            <w:gridSpan w:val="2"/>
            <w:noWrap w:val="0"/>
            <w:vAlign w:val="center"/>
          </w:tcPr>
          <w:p w14:paraId="0567A7E9">
            <w:pPr>
              <w:pStyle w:val="47"/>
              <w:widowControl w:val="0"/>
              <w:jc w:val="center"/>
              <w:rPr>
                <w:rStyle w:val="28"/>
                <w:rFonts w:ascii="Times New Roman" w:hAnsi="Times New Roman" w:eastAsia="宋体" w:cs="Times New Roman"/>
                <w:color w:val="auto"/>
                <w:kern w:val="2"/>
                <w:sz w:val="21"/>
                <w:szCs w:val="21"/>
                <w:highlight w:val="none"/>
                <w:lang w:val="en-US" w:eastAsia="zh-CN" w:bidi="ar-SA"/>
              </w:rPr>
            </w:pPr>
            <w:r>
              <w:rPr>
                <w:rStyle w:val="28"/>
                <w:rFonts w:ascii="Times New Roman" w:hAnsi="Times New Roman" w:eastAsia="宋体" w:cs="Times New Roman"/>
                <w:color w:val="auto"/>
                <w:kern w:val="2"/>
                <w:sz w:val="21"/>
                <w:szCs w:val="21"/>
                <w:highlight w:val="none"/>
                <w:lang w:val="en-US" w:eastAsia="zh-CN" w:bidi="ar-SA"/>
              </w:rPr>
              <w:t>级别</w:t>
            </w:r>
          </w:p>
        </w:tc>
        <w:tc>
          <w:tcPr>
            <w:tcW w:w="1255" w:type="dxa"/>
            <w:gridSpan w:val="2"/>
            <w:noWrap w:val="0"/>
            <w:vAlign w:val="center"/>
          </w:tcPr>
          <w:p w14:paraId="752053DA">
            <w:pPr>
              <w:pStyle w:val="47"/>
              <w:widowControl w:val="0"/>
              <w:jc w:val="center"/>
              <w:rPr>
                <w:rStyle w:val="28"/>
                <w:rFonts w:ascii="Times New Roman" w:hAnsi="Times New Roman" w:eastAsia="宋体" w:cs="Times New Roman"/>
                <w:color w:val="auto"/>
                <w:kern w:val="2"/>
                <w:sz w:val="21"/>
                <w:szCs w:val="21"/>
                <w:highlight w:val="none"/>
                <w:lang w:val="en-US" w:eastAsia="zh-CN" w:bidi="ar-SA"/>
              </w:rPr>
            </w:pPr>
            <w:r>
              <w:rPr>
                <w:rStyle w:val="28"/>
                <w:rFonts w:hint="eastAsia" w:ascii="Times New Roman" w:hAnsi="Times New Roman" w:eastAsia="宋体" w:cs="宋体"/>
                <w:color w:val="auto"/>
                <w:kern w:val="2"/>
                <w:sz w:val="21"/>
                <w:szCs w:val="21"/>
                <w:highlight w:val="none"/>
                <w:lang w:val="en-US" w:eastAsia="zh-CN" w:bidi="ar-SA"/>
              </w:rPr>
              <w:t>证书编号</w:t>
            </w:r>
          </w:p>
        </w:tc>
        <w:tc>
          <w:tcPr>
            <w:tcW w:w="1417" w:type="dxa"/>
            <w:gridSpan w:val="2"/>
            <w:noWrap w:val="0"/>
            <w:vAlign w:val="center"/>
          </w:tcPr>
          <w:p w14:paraId="0209F0FF">
            <w:pPr>
              <w:pStyle w:val="47"/>
              <w:widowControl w:val="0"/>
              <w:jc w:val="center"/>
              <w:rPr>
                <w:rStyle w:val="28"/>
                <w:rFonts w:ascii="Times New Roman" w:hAnsi="Times New Roman" w:eastAsia="宋体" w:cs="Times New Roman"/>
                <w:color w:val="auto"/>
                <w:kern w:val="2"/>
                <w:sz w:val="21"/>
                <w:szCs w:val="21"/>
                <w:highlight w:val="none"/>
                <w:lang w:val="en-US" w:eastAsia="zh-CN" w:bidi="ar-SA"/>
              </w:rPr>
            </w:pPr>
            <w:r>
              <w:rPr>
                <w:rStyle w:val="28"/>
                <w:rFonts w:hint="eastAsia" w:ascii="Times New Roman" w:hAnsi="Times New Roman" w:eastAsia="宋体" w:cs="Times New Roman"/>
                <w:color w:val="auto"/>
                <w:kern w:val="2"/>
                <w:sz w:val="21"/>
                <w:szCs w:val="21"/>
                <w:highlight w:val="none"/>
                <w:lang w:val="en-US" w:eastAsia="zh-CN" w:bidi="ar-SA"/>
              </w:rPr>
              <w:t>注册时间</w:t>
            </w:r>
          </w:p>
        </w:tc>
        <w:tc>
          <w:tcPr>
            <w:tcW w:w="1276" w:type="dxa"/>
            <w:gridSpan w:val="2"/>
            <w:noWrap w:val="0"/>
            <w:vAlign w:val="center"/>
          </w:tcPr>
          <w:p w14:paraId="0350A4FE">
            <w:pPr>
              <w:pStyle w:val="47"/>
              <w:widowControl w:val="0"/>
              <w:jc w:val="center"/>
              <w:rPr>
                <w:rStyle w:val="28"/>
                <w:rFonts w:ascii="Times New Roman" w:hAnsi="Times New Roman" w:eastAsia="宋体" w:cs="Times New Roman"/>
                <w:color w:val="auto"/>
                <w:kern w:val="2"/>
                <w:sz w:val="21"/>
                <w:szCs w:val="21"/>
                <w:highlight w:val="none"/>
                <w:lang w:val="en-US" w:eastAsia="zh-CN" w:bidi="ar-SA"/>
              </w:rPr>
            </w:pPr>
            <w:r>
              <w:rPr>
                <w:rStyle w:val="28"/>
                <w:rFonts w:hint="eastAsia" w:ascii="Times New Roman" w:hAnsi="Times New Roman" w:eastAsia="宋体" w:cs="Times New Roman"/>
                <w:color w:val="auto"/>
                <w:kern w:val="2"/>
                <w:sz w:val="21"/>
                <w:szCs w:val="21"/>
                <w:highlight w:val="none"/>
                <w:lang w:val="en-US" w:eastAsia="zh-CN" w:bidi="ar-SA"/>
              </w:rPr>
              <w:t>注册单位</w:t>
            </w:r>
          </w:p>
        </w:tc>
        <w:tc>
          <w:tcPr>
            <w:tcW w:w="1531" w:type="dxa"/>
            <w:noWrap w:val="0"/>
            <w:vAlign w:val="center"/>
          </w:tcPr>
          <w:p w14:paraId="75E011DD">
            <w:pPr>
              <w:pStyle w:val="47"/>
              <w:widowControl w:val="0"/>
              <w:jc w:val="center"/>
              <w:rPr>
                <w:rStyle w:val="28"/>
                <w:rFonts w:ascii="Times New Roman" w:hAnsi="Times New Roman" w:eastAsia="宋体" w:cs="Times New Roman"/>
                <w:color w:val="auto"/>
                <w:kern w:val="2"/>
                <w:sz w:val="21"/>
                <w:szCs w:val="21"/>
                <w:highlight w:val="none"/>
                <w:lang w:val="en-US" w:eastAsia="zh-CN" w:bidi="ar-SA"/>
              </w:rPr>
            </w:pPr>
            <w:r>
              <w:rPr>
                <w:rStyle w:val="28"/>
                <w:rFonts w:hint="eastAsia" w:ascii="Times New Roman" w:hAnsi="Times New Roman" w:eastAsia="宋体" w:cs="Times New Roman"/>
                <w:color w:val="auto"/>
                <w:kern w:val="2"/>
                <w:sz w:val="21"/>
                <w:szCs w:val="21"/>
                <w:highlight w:val="none"/>
                <w:lang w:val="en-US" w:eastAsia="zh-CN" w:bidi="ar-SA"/>
              </w:rPr>
              <w:t>注册有效期</w:t>
            </w:r>
          </w:p>
        </w:tc>
      </w:tr>
      <w:tr w14:paraId="431EF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14" w:type="dxa"/>
            <w:noWrap w:val="0"/>
            <w:vAlign w:val="center"/>
          </w:tcPr>
          <w:p w14:paraId="42B2F6C8">
            <w:pPr>
              <w:pStyle w:val="47"/>
              <w:widowControl w:val="0"/>
              <w:jc w:val="center"/>
              <w:rPr>
                <w:rStyle w:val="28"/>
                <w:rFonts w:ascii="Times New Roman" w:hAnsi="Times New Roman" w:eastAsia="宋体" w:cs="Times New Roman"/>
                <w:color w:val="auto"/>
                <w:kern w:val="2"/>
                <w:sz w:val="21"/>
                <w:szCs w:val="21"/>
                <w:highlight w:val="none"/>
                <w:lang w:val="en-US" w:eastAsia="zh-CN" w:bidi="ar-SA"/>
              </w:rPr>
            </w:pPr>
          </w:p>
        </w:tc>
        <w:tc>
          <w:tcPr>
            <w:tcW w:w="1326" w:type="dxa"/>
            <w:gridSpan w:val="2"/>
            <w:noWrap w:val="0"/>
            <w:vAlign w:val="center"/>
          </w:tcPr>
          <w:p w14:paraId="5E90FABF">
            <w:pPr>
              <w:pStyle w:val="47"/>
              <w:widowControl w:val="0"/>
              <w:jc w:val="center"/>
              <w:rPr>
                <w:rStyle w:val="28"/>
                <w:rFonts w:ascii="Times New Roman" w:hAnsi="Times New Roman" w:eastAsia="宋体" w:cs="Times New Roman"/>
                <w:color w:val="auto"/>
                <w:kern w:val="2"/>
                <w:sz w:val="21"/>
                <w:szCs w:val="21"/>
                <w:highlight w:val="none"/>
                <w:lang w:val="en-US" w:eastAsia="zh-CN" w:bidi="ar-SA"/>
              </w:rPr>
            </w:pPr>
          </w:p>
        </w:tc>
        <w:tc>
          <w:tcPr>
            <w:tcW w:w="1391" w:type="dxa"/>
            <w:gridSpan w:val="2"/>
            <w:noWrap w:val="0"/>
            <w:vAlign w:val="center"/>
          </w:tcPr>
          <w:p w14:paraId="098E239A">
            <w:pPr>
              <w:pStyle w:val="47"/>
              <w:widowControl w:val="0"/>
              <w:jc w:val="center"/>
              <w:rPr>
                <w:rStyle w:val="28"/>
                <w:rFonts w:ascii="Times New Roman" w:hAnsi="Times New Roman" w:eastAsia="宋体" w:cs="宋体"/>
                <w:color w:val="auto"/>
                <w:kern w:val="2"/>
                <w:sz w:val="21"/>
                <w:szCs w:val="21"/>
                <w:highlight w:val="none"/>
                <w:lang w:val="en-US" w:eastAsia="zh-CN" w:bidi="ar-SA"/>
              </w:rPr>
            </w:pPr>
          </w:p>
        </w:tc>
        <w:tc>
          <w:tcPr>
            <w:tcW w:w="1255" w:type="dxa"/>
            <w:gridSpan w:val="2"/>
            <w:noWrap w:val="0"/>
            <w:vAlign w:val="center"/>
          </w:tcPr>
          <w:p w14:paraId="308438DB">
            <w:pPr>
              <w:pStyle w:val="47"/>
              <w:widowControl w:val="0"/>
              <w:jc w:val="center"/>
              <w:rPr>
                <w:rStyle w:val="28"/>
                <w:rFonts w:ascii="Times New Roman" w:hAnsi="Times New Roman" w:eastAsia="宋体" w:cs="Times New Roman"/>
                <w:color w:val="auto"/>
                <w:kern w:val="2"/>
                <w:sz w:val="21"/>
                <w:szCs w:val="21"/>
                <w:highlight w:val="none"/>
                <w:lang w:val="en-US" w:eastAsia="zh-CN" w:bidi="ar-SA"/>
              </w:rPr>
            </w:pPr>
          </w:p>
        </w:tc>
        <w:tc>
          <w:tcPr>
            <w:tcW w:w="1417" w:type="dxa"/>
            <w:gridSpan w:val="2"/>
            <w:noWrap w:val="0"/>
            <w:vAlign w:val="center"/>
          </w:tcPr>
          <w:p w14:paraId="058B4F5F">
            <w:pPr>
              <w:pStyle w:val="47"/>
              <w:widowControl w:val="0"/>
              <w:jc w:val="center"/>
              <w:rPr>
                <w:rStyle w:val="28"/>
                <w:rFonts w:ascii="Times New Roman" w:hAnsi="Times New Roman" w:eastAsia="宋体" w:cs="Times New Roman"/>
                <w:color w:val="auto"/>
                <w:kern w:val="2"/>
                <w:sz w:val="21"/>
                <w:szCs w:val="21"/>
                <w:highlight w:val="none"/>
                <w:lang w:val="en-US" w:eastAsia="zh-CN" w:bidi="ar-SA"/>
              </w:rPr>
            </w:pPr>
          </w:p>
        </w:tc>
        <w:tc>
          <w:tcPr>
            <w:tcW w:w="1276" w:type="dxa"/>
            <w:gridSpan w:val="2"/>
            <w:noWrap w:val="0"/>
            <w:vAlign w:val="center"/>
          </w:tcPr>
          <w:p w14:paraId="1D899D64">
            <w:pPr>
              <w:pStyle w:val="47"/>
              <w:widowControl w:val="0"/>
              <w:jc w:val="center"/>
              <w:rPr>
                <w:rStyle w:val="28"/>
                <w:rFonts w:ascii="Times New Roman" w:hAnsi="Times New Roman" w:eastAsia="宋体" w:cs="Times New Roman"/>
                <w:color w:val="auto"/>
                <w:kern w:val="2"/>
                <w:sz w:val="21"/>
                <w:szCs w:val="21"/>
                <w:highlight w:val="none"/>
                <w:lang w:val="en-US" w:eastAsia="zh-CN" w:bidi="ar-SA"/>
              </w:rPr>
            </w:pPr>
          </w:p>
        </w:tc>
        <w:tc>
          <w:tcPr>
            <w:tcW w:w="1531" w:type="dxa"/>
            <w:noWrap w:val="0"/>
            <w:vAlign w:val="center"/>
          </w:tcPr>
          <w:p w14:paraId="7D8783F2">
            <w:pPr>
              <w:pStyle w:val="47"/>
              <w:widowControl w:val="0"/>
              <w:jc w:val="center"/>
              <w:rPr>
                <w:rStyle w:val="28"/>
                <w:rFonts w:ascii="Times New Roman" w:hAnsi="Times New Roman" w:eastAsia="宋体" w:cs="Times New Roman"/>
                <w:color w:val="auto"/>
                <w:kern w:val="2"/>
                <w:sz w:val="21"/>
                <w:szCs w:val="21"/>
                <w:highlight w:val="none"/>
                <w:lang w:val="en-US" w:eastAsia="zh-CN" w:bidi="ar-SA"/>
              </w:rPr>
            </w:pPr>
          </w:p>
        </w:tc>
      </w:tr>
      <w:tr w14:paraId="5C474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14" w:type="dxa"/>
            <w:noWrap w:val="0"/>
            <w:vAlign w:val="center"/>
          </w:tcPr>
          <w:p w14:paraId="5F21D4EF">
            <w:pPr>
              <w:pStyle w:val="47"/>
              <w:widowControl w:val="0"/>
              <w:jc w:val="center"/>
              <w:rPr>
                <w:rStyle w:val="28"/>
                <w:rFonts w:ascii="Times New Roman" w:hAnsi="Times New Roman" w:eastAsia="宋体" w:cs="Times New Roman"/>
                <w:color w:val="auto"/>
                <w:kern w:val="2"/>
                <w:sz w:val="21"/>
                <w:szCs w:val="21"/>
                <w:highlight w:val="none"/>
                <w:lang w:val="en-US" w:eastAsia="zh-CN" w:bidi="ar-SA"/>
              </w:rPr>
            </w:pPr>
            <w:r>
              <w:rPr>
                <w:rStyle w:val="28"/>
                <w:rFonts w:hint="eastAsia" w:ascii="Times New Roman" w:hAnsi="Times New Roman" w:eastAsia="宋体" w:cs="Times New Roman"/>
                <w:color w:val="auto"/>
                <w:kern w:val="2"/>
                <w:sz w:val="21"/>
                <w:szCs w:val="21"/>
                <w:highlight w:val="none"/>
                <w:lang w:val="en-US" w:eastAsia="zh-CN" w:bidi="ar-SA"/>
              </w:rPr>
              <w:t>安全生产考核合格证书</w:t>
            </w:r>
          </w:p>
        </w:tc>
        <w:tc>
          <w:tcPr>
            <w:tcW w:w="1326" w:type="dxa"/>
            <w:gridSpan w:val="2"/>
            <w:noWrap w:val="0"/>
            <w:vAlign w:val="center"/>
          </w:tcPr>
          <w:p w14:paraId="020E6EB1">
            <w:pPr>
              <w:pStyle w:val="47"/>
              <w:widowControl w:val="0"/>
              <w:jc w:val="center"/>
              <w:rPr>
                <w:rStyle w:val="28"/>
                <w:rFonts w:ascii="Times New Roman" w:hAnsi="Times New Roman" w:eastAsia="宋体" w:cs="Times New Roman"/>
                <w:color w:val="auto"/>
                <w:kern w:val="2"/>
                <w:sz w:val="21"/>
                <w:szCs w:val="21"/>
                <w:highlight w:val="none"/>
                <w:lang w:val="en-US" w:eastAsia="zh-CN" w:bidi="ar-SA"/>
              </w:rPr>
            </w:pPr>
          </w:p>
        </w:tc>
        <w:tc>
          <w:tcPr>
            <w:tcW w:w="1391" w:type="dxa"/>
            <w:gridSpan w:val="2"/>
            <w:noWrap w:val="0"/>
            <w:vAlign w:val="center"/>
          </w:tcPr>
          <w:p w14:paraId="00EBFF47">
            <w:pPr>
              <w:pStyle w:val="47"/>
              <w:widowControl w:val="0"/>
              <w:jc w:val="center"/>
              <w:rPr>
                <w:rStyle w:val="28"/>
                <w:rFonts w:ascii="Times New Roman" w:hAnsi="Times New Roman" w:eastAsia="宋体" w:cs="宋体"/>
                <w:color w:val="auto"/>
                <w:kern w:val="2"/>
                <w:sz w:val="21"/>
                <w:szCs w:val="21"/>
                <w:highlight w:val="none"/>
                <w:lang w:val="en-US" w:eastAsia="zh-CN" w:bidi="ar-SA"/>
              </w:rPr>
            </w:pPr>
            <w:r>
              <w:rPr>
                <w:rStyle w:val="28"/>
                <w:rFonts w:hint="eastAsia" w:ascii="Times New Roman" w:hAnsi="Times New Roman" w:eastAsia="宋体" w:cs="Times New Roman"/>
                <w:color w:val="auto"/>
                <w:kern w:val="2"/>
                <w:sz w:val="21"/>
                <w:szCs w:val="21"/>
                <w:highlight w:val="none"/>
                <w:lang w:val="en-US" w:eastAsia="zh-CN" w:bidi="ar-SA"/>
              </w:rPr>
              <w:t>B类</w:t>
            </w:r>
          </w:p>
        </w:tc>
        <w:tc>
          <w:tcPr>
            <w:tcW w:w="1255" w:type="dxa"/>
            <w:gridSpan w:val="2"/>
            <w:noWrap w:val="0"/>
            <w:vAlign w:val="center"/>
          </w:tcPr>
          <w:p w14:paraId="20BCEDDF">
            <w:pPr>
              <w:pStyle w:val="47"/>
              <w:widowControl w:val="0"/>
              <w:jc w:val="center"/>
              <w:rPr>
                <w:rStyle w:val="28"/>
                <w:rFonts w:ascii="Times New Roman" w:hAnsi="Times New Roman" w:eastAsia="宋体" w:cs="Times New Roman"/>
                <w:color w:val="auto"/>
                <w:kern w:val="2"/>
                <w:sz w:val="21"/>
                <w:szCs w:val="21"/>
                <w:highlight w:val="none"/>
                <w:lang w:val="en-US" w:eastAsia="zh-CN" w:bidi="ar-SA"/>
              </w:rPr>
            </w:pPr>
          </w:p>
        </w:tc>
        <w:tc>
          <w:tcPr>
            <w:tcW w:w="1417" w:type="dxa"/>
            <w:gridSpan w:val="2"/>
            <w:noWrap w:val="0"/>
            <w:vAlign w:val="center"/>
          </w:tcPr>
          <w:p w14:paraId="0C09C5FA">
            <w:pPr>
              <w:pStyle w:val="47"/>
              <w:widowControl w:val="0"/>
              <w:jc w:val="center"/>
              <w:rPr>
                <w:rStyle w:val="28"/>
                <w:rFonts w:ascii="Times New Roman" w:hAnsi="Times New Roman" w:eastAsia="宋体" w:cs="Times New Roman"/>
                <w:color w:val="auto"/>
                <w:kern w:val="2"/>
                <w:sz w:val="21"/>
                <w:szCs w:val="21"/>
                <w:highlight w:val="none"/>
                <w:lang w:val="en-US" w:eastAsia="zh-CN" w:bidi="ar-SA"/>
              </w:rPr>
            </w:pPr>
          </w:p>
        </w:tc>
        <w:tc>
          <w:tcPr>
            <w:tcW w:w="1276" w:type="dxa"/>
            <w:gridSpan w:val="2"/>
            <w:noWrap w:val="0"/>
            <w:vAlign w:val="center"/>
          </w:tcPr>
          <w:p w14:paraId="24229509">
            <w:pPr>
              <w:pStyle w:val="47"/>
              <w:widowControl w:val="0"/>
              <w:jc w:val="center"/>
              <w:rPr>
                <w:rStyle w:val="28"/>
                <w:rFonts w:ascii="Times New Roman" w:hAnsi="Times New Roman" w:eastAsia="宋体" w:cs="Times New Roman"/>
                <w:color w:val="auto"/>
                <w:kern w:val="2"/>
                <w:sz w:val="21"/>
                <w:szCs w:val="21"/>
                <w:highlight w:val="none"/>
                <w:lang w:val="en-US" w:eastAsia="zh-CN" w:bidi="ar-SA"/>
              </w:rPr>
            </w:pPr>
          </w:p>
        </w:tc>
        <w:tc>
          <w:tcPr>
            <w:tcW w:w="1531" w:type="dxa"/>
            <w:noWrap w:val="0"/>
            <w:vAlign w:val="center"/>
          </w:tcPr>
          <w:p w14:paraId="250F8559">
            <w:pPr>
              <w:pStyle w:val="47"/>
              <w:widowControl w:val="0"/>
              <w:jc w:val="center"/>
              <w:rPr>
                <w:rStyle w:val="28"/>
                <w:rFonts w:ascii="Times New Roman" w:hAnsi="Times New Roman" w:eastAsia="宋体" w:cs="Times New Roman"/>
                <w:color w:val="auto"/>
                <w:kern w:val="2"/>
                <w:sz w:val="21"/>
                <w:szCs w:val="21"/>
                <w:highlight w:val="none"/>
                <w:lang w:val="en-US" w:eastAsia="zh-CN" w:bidi="ar-SA"/>
              </w:rPr>
            </w:pPr>
          </w:p>
        </w:tc>
      </w:tr>
      <w:tr w14:paraId="759B4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410" w:type="dxa"/>
            <w:gridSpan w:val="12"/>
            <w:noWrap w:val="0"/>
            <w:vAlign w:val="center"/>
          </w:tcPr>
          <w:p w14:paraId="20347D0B">
            <w:pPr>
              <w:pStyle w:val="47"/>
              <w:widowControl w:val="0"/>
              <w:jc w:val="center"/>
              <w:rPr>
                <w:rStyle w:val="28"/>
                <w:rFonts w:ascii="Times New Roman" w:hAnsi="Times New Roman" w:eastAsia="宋体" w:cs="Times New Roman"/>
                <w:color w:val="auto"/>
                <w:kern w:val="2"/>
                <w:sz w:val="21"/>
                <w:szCs w:val="21"/>
                <w:highlight w:val="none"/>
                <w:lang w:val="en-US" w:eastAsia="zh-CN" w:bidi="ar-SA"/>
              </w:rPr>
            </w:pPr>
            <w:r>
              <w:rPr>
                <w:rStyle w:val="28"/>
                <w:rFonts w:hint="eastAsia" w:ascii="Times New Roman" w:hAnsi="Times New Roman" w:eastAsia="宋体" w:cs="宋体"/>
                <w:color w:val="auto"/>
                <w:kern w:val="2"/>
                <w:sz w:val="21"/>
                <w:szCs w:val="21"/>
                <w:highlight w:val="none"/>
                <w:lang w:val="en-US" w:eastAsia="zh-CN" w:bidi="ar-SA"/>
              </w:rPr>
              <w:t>在建和已完工程项目情况</w:t>
            </w:r>
          </w:p>
        </w:tc>
      </w:tr>
      <w:tr w14:paraId="344C3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568" w:type="dxa"/>
            <w:gridSpan w:val="2"/>
            <w:noWrap w:val="0"/>
            <w:vAlign w:val="top"/>
          </w:tcPr>
          <w:p w14:paraId="15969CB1">
            <w:pPr>
              <w:autoSpaceDE w:val="0"/>
              <w:autoSpaceDN w:val="0"/>
              <w:spacing w:line="480" w:lineRule="exact"/>
              <w:jc w:val="center"/>
              <w:rPr>
                <w:rStyle w:val="28"/>
                <w:rFonts w:hint="eastAsia" w:ascii="Times New Roman" w:hAnsi="Times New Roman" w:eastAsia="宋体" w:cs="宋体"/>
                <w:color w:val="auto"/>
                <w:kern w:val="2"/>
                <w:sz w:val="21"/>
                <w:szCs w:val="21"/>
                <w:highlight w:val="none"/>
                <w:lang w:val="en-US" w:eastAsia="zh-CN" w:bidi="ar-SA"/>
              </w:rPr>
            </w:pPr>
            <w:r>
              <w:rPr>
                <w:rFonts w:hint="eastAsia" w:ascii="宋体" w:hAnsi="宋体" w:cs="宋体"/>
                <w:color w:val="auto"/>
                <w:sz w:val="21"/>
                <w:szCs w:val="21"/>
                <w:highlight w:val="none"/>
              </w:rPr>
              <w:t>建设单位</w:t>
            </w:r>
          </w:p>
        </w:tc>
        <w:tc>
          <w:tcPr>
            <w:tcW w:w="1568" w:type="dxa"/>
            <w:gridSpan w:val="2"/>
            <w:noWrap w:val="0"/>
            <w:vAlign w:val="top"/>
          </w:tcPr>
          <w:p w14:paraId="44CF7EA5">
            <w:pPr>
              <w:autoSpaceDE w:val="0"/>
              <w:autoSpaceDN w:val="0"/>
              <w:spacing w:line="480" w:lineRule="exact"/>
              <w:jc w:val="center"/>
              <w:rPr>
                <w:rStyle w:val="28"/>
                <w:rFonts w:hint="eastAsia" w:ascii="Times New Roman" w:hAnsi="Times New Roman" w:eastAsia="宋体" w:cs="宋体"/>
                <w:color w:val="auto"/>
                <w:kern w:val="2"/>
                <w:sz w:val="21"/>
                <w:szCs w:val="21"/>
                <w:highlight w:val="none"/>
                <w:lang w:val="en-US" w:eastAsia="zh-CN" w:bidi="ar-SA"/>
              </w:rPr>
            </w:pPr>
            <w:r>
              <w:rPr>
                <w:rFonts w:hint="eastAsia" w:ascii="宋体" w:hAnsi="宋体" w:cs="宋体"/>
                <w:color w:val="auto"/>
                <w:sz w:val="21"/>
                <w:szCs w:val="21"/>
                <w:highlight w:val="none"/>
              </w:rPr>
              <w:t>项目名称</w:t>
            </w:r>
          </w:p>
        </w:tc>
        <w:tc>
          <w:tcPr>
            <w:tcW w:w="1568" w:type="dxa"/>
            <w:gridSpan w:val="2"/>
            <w:noWrap w:val="0"/>
            <w:vAlign w:val="top"/>
          </w:tcPr>
          <w:p w14:paraId="300C6A87">
            <w:pPr>
              <w:autoSpaceDE w:val="0"/>
              <w:autoSpaceDN w:val="0"/>
              <w:spacing w:line="480" w:lineRule="exact"/>
              <w:jc w:val="center"/>
              <w:rPr>
                <w:rStyle w:val="28"/>
                <w:rFonts w:hint="eastAsia" w:ascii="Times New Roman" w:hAnsi="Times New Roman" w:eastAsia="宋体" w:cs="宋体"/>
                <w:color w:val="auto"/>
                <w:kern w:val="2"/>
                <w:sz w:val="21"/>
                <w:szCs w:val="21"/>
                <w:highlight w:val="none"/>
                <w:lang w:val="en-US" w:eastAsia="zh-CN" w:bidi="ar-SA"/>
              </w:rPr>
            </w:pPr>
            <w:r>
              <w:rPr>
                <w:rFonts w:hint="eastAsia" w:ascii="宋体" w:hAnsi="宋体" w:cs="宋体"/>
                <w:color w:val="auto"/>
                <w:sz w:val="21"/>
                <w:szCs w:val="21"/>
                <w:highlight w:val="none"/>
              </w:rPr>
              <w:t>建设规模</w:t>
            </w:r>
          </w:p>
        </w:tc>
        <w:tc>
          <w:tcPr>
            <w:tcW w:w="1568" w:type="dxa"/>
            <w:gridSpan w:val="2"/>
            <w:noWrap w:val="0"/>
            <w:vAlign w:val="top"/>
          </w:tcPr>
          <w:p w14:paraId="1BAB422F">
            <w:pPr>
              <w:autoSpaceDE w:val="0"/>
              <w:autoSpaceDN w:val="0"/>
              <w:spacing w:line="480" w:lineRule="exact"/>
              <w:jc w:val="center"/>
              <w:rPr>
                <w:rStyle w:val="28"/>
                <w:rFonts w:hint="eastAsia" w:ascii="Times New Roman" w:hAnsi="Times New Roman" w:eastAsia="宋体" w:cs="宋体"/>
                <w:color w:val="auto"/>
                <w:kern w:val="2"/>
                <w:sz w:val="21"/>
                <w:szCs w:val="21"/>
                <w:highlight w:val="none"/>
                <w:lang w:val="en-US" w:eastAsia="zh-CN" w:bidi="ar-SA"/>
              </w:rPr>
            </w:pPr>
            <w:r>
              <w:rPr>
                <w:rFonts w:hint="eastAsia" w:ascii="宋体" w:hAnsi="宋体" w:cs="宋体"/>
                <w:color w:val="auto"/>
                <w:sz w:val="21"/>
                <w:szCs w:val="21"/>
                <w:highlight w:val="none"/>
              </w:rPr>
              <w:t>结构类型</w:t>
            </w:r>
          </w:p>
        </w:tc>
        <w:tc>
          <w:tcPr>
            <w:tcW w:w="1568" w:type="dxa"/>
            <w:gridSpan w:val="2"/>
            <w:noWrap w:val="0"/>
            <w:vAlign w:val="top"/>
          </w:tcPr>
          <w:p w14:paraId="6B7BCBD7">
            <w:pPr>
              <w:autoSpaceDE w:val="0"/>
              <w:autoSpaceDN w:val="0"/>
              <w:spacing w:line="480" w:lineRule="exact"/>
              <w:jc w:val="center"/>
              <w:rPr>
                <w:rStyle w:val="28"/>
                <w:rFonts w:hint="eastAsia" w:ascii="Times New Roman" w:hAnsi="Times New Roman" w:eastAsia="宋体" w:cs="宋体"/>
                <w:color w:val="auto"/>
                <w:kern w:val="2"/>
                <w:sz w:val="21"/>
                <w:szCs w:val="21"/>
                <w:highlight w:val="none"/>
                <w:lang w:val="en-US" w:eastAsia="zh-CN" w:bidi="ar-SA"/>
              </w:rPr>
            </w:pPr>
            <w:r>
              <w:rPr>
                <w:rFonts w:hint="eastAsia" w:ascii="宋体" w:hAnsi="宋体" w:cs="宋体"/>
                <w:color w:val="auto"/>
                <w:sz w:val="21"/>
                <w:szCs w:val="21"/>
                <w:highlight w:val="none"/>
              </w:rPr>
              <w:t>开、竣工日期</w:t>
            </w:r>
          </w:p>
        </w:tc>
        <w:tc>
          <w:tcPr>
            <w:tcW w:w="1570" w:type="dxa"/>
            <w:gridSpan w:val="2"/>
            <w:noWrap w:val="0"/>
            <w:vAlign w:val="top"/>
          </w:tcPr>
          <w:p w14:paraId="5C175C37">
            <w:pPr>
              <w:autoSpaceDE w:val="0"/>
              <w:autoSpaceDN w:val="0"/>
              <w:spacing w:line="480" w:lineRule="exact"/>
              <w:jc w:val="center"/>
              <w:rPr>
                <w:rStyle w:val="28"/>
                <w:rFonts w:hint="eastAsia" w:ascii="Times New Roman" w:hAnsi="Times New Roman" w:eastAsia="宋体" w:cs="宋体"/>
                <w:color w:val="auto"/>
                <w:kern w:val="2"/>
                <w:sz w:val="21"/>
                <w:szCs w:val="21"/>
                <w:highlight w:val="none"/>
                <w:lang w:val="en-US" w:eastAsia="zh-CN" w:bidi="ar-SA"/>
              </w:rPr>
            </w:pPr>
            <w:r>
              <w:rPr>
                <w:rFonts w:hint="eastAsia" w:ascii="宋体" w:hAnsi="宋体" w:cs="宋体"/>
                <w:color w:val="auto"/>
                <w:sz w:val="21"/>
                <w:szCs w:val="21"/>
                <w:highlight w:val="none"/>
              </w:rPr>
              <w:t>工程质量</w:t>
            </w:r>
          </w:p>
        </w:tc>
      </w:tr>
      <w:tr w14:paraId="35ACC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568" w:type="dxa"/>
            <w:gridSpan w:val="2"/>
            <w:noWrap w:val="0"/>
            <w:vAlign w:val="top"/>
          </w:tcPr>
          <w:p w14:paraId="6CDB1EBF">
            <w:pPr>
              <w:autoSpaceDE w:val="0"/>
              <w:autoSpaceDN w:val="0"/>
              <w:spacing w:line="480" w:lineRule="exact"/>
              <w:jc w:val="center"/>
              <w:rPr>
                <w:rFonts w:hint="eastAsia" w:ascii="宋体" w:hAnsi="宋体" w:cs="宋体"/>
                <w:color w:val="auto"/>
                <w:sz w:val="21"/>
                <w:szCs w:val="21"/>
                <w:highlight w:val="none"/>
              </w:rPr>
            </w:pPr>
          </w:p>
        </w:tc>
        <w:tc>
          <w:tcPr>
            <w:tcW w:w="1568" w:type="dxa"/>
            <w:gridSpan w:val="2"/>
            <w:noWrap w:val="0"/>
            <w:vAlign w:val="top"/>
          </w:tcPr>
          <w:p w14:paraId="23B830DB">
            <w:pPr>
              <w:autoSpaceDE w:val="0"/>
              <w:autoSpaceDN w:val="0"/>
              <w:spacing w:line="480" w:lineRule="exact"/>
              <w:jc w:val="center"/>
              <w:rPr>
                <w:rFonts w:hint="eastAsia" w:ascii="宋体" w:hAnsi="宋体" w:cs="宋体"/>
                <w:color w:val="auto"/>
                <w:sz w:val="21"/>
                <w:szCs w:val="21"/>
                <w:highlight w:val="none"/>
              </w:rPr>
            </w:pPr>
          </w:p>
        </w:tc>
        <w:tc>
          <w:tcPr>
            <w:tcW w:w="1568" w:type="dxa"/>
            <w:gridSpan w:val="2"/>
            <w:noWrap w:val="0"/>
            <w:vAlign w:val="top"/>
          </w:tcPr>
          <w:p w14:paraId="346EE281">
            <w:pPr>
              <w:autoSpaceDE w:val="0"/>
              <w:autoSpaceDN w:val="0"/>
              <w:spacing w:line="480" w:lineRule="exact"/>
              <w:jc w:val="center"/>
              <w:rPr>
                <w:rFonts w:hint="eastAsia" w:ascii="宋体" w:hAnsi="宋体" w:cs="宋体"/>
                <w:color w:val="auto"/>
                <w:sz w:val="21"/>
                <w:szCs w:val="21"/>
                <w:highlight w:val="none"/>
              </w:rPr>
            </w:pPr>
          </w:p>
        </w:tc>
        <w:tc>
          <w:tcPr>
            <w:tcW w:w="1568" w:type="dxa"/>
            <w:gridSpan w:val="2"/>
            <w:noWrap w:val="0"/>
            <w:vAlign w:val="top"/>
          </w:tcPr>
          <w:p w14:paraId="570FFC83">
            <w:pPr>
              <w:autoSpaceDE w:val="0"/>
              <w:autoSpaceDN w:val="0"/>
              <w:spacing w:line="480" w:lineRule="exact"/>
              <w:jc w:val="center"/>
              <w:rPr>
                <w:rFonts w:hint="eastAsia" w:ascii="宋体" w:hAnsi="宋体" w:cs="宋体"/>
                <w:color w:val="auto"/>
                <w:sz w:val="21"/>
                <w:szCs w:val="21"/>
                <w:highlight w:val="none"/>
              </w:rPr>
            </w:pPr>
          </w:p>
        </w:tc>
        <w:tc>
          <w:tcPr>
            <w:tcW w:w="1568" w:type="dxa"/>
            <w:gridSpan w:val="2"/>
            <w:noWrap w:val="0"/>
            <w:vAlign w:val="top"/>
          </w:tcPr>
          <w:p w14:paraId="525F58CC">
            <w:pPr>
              <w:autoSpaceDE w:val="0"/>
              <w:autoSpaceDN w:val="0"/>
              <w:spacing w:line="480" w:lineRule="exact"/>
              <w:jc w:val="center"/>
              <w:rPr>
                <w:rFonts w:hint="eastAsia" w:ascii="宋体" w:hAnsi="宋体" w:cs="宋体"/>
                <w:color w:val="auto"/>
                <w:sz w:val="21"/>
                <w:szCs w:val="21"/>
                <w:highlight w:val="none"/>
              </w:rPr>
            </w:pPr>
          </w:p>
        </w:tc>
        <w:tc>
          <w:tcPr>
            <w:tcW w:w="1570" w:type="dxa"/>
            <w:gridSpan w:val="2"/>
            <w:noWrap w:val="0"/>
            <w:vAlign w:val="top"/>
          </w:tcPr>
          <w:p w14:paraId="50C35C03">
            <w:pPr>
              <w:autoSpaceDE w:val="0"/>
              <w:autoSpaceDN w:val="0"/>
              <w:spacing w:line="480" w:lineRule="exact"/>
              <w:jc w:val="center"/>
              <w:rPr>
                <w:rFonts w:hint="eastAsia" w:ascii="宋体" w:hAnsi="宋体" w:cs="宋体"/>
                <w:color w:val="auto"/>
                <w:sz w:val="21"/>
                <w:szCs w:val="21"/>
                <w:highlight w:val="none"/>
              </w:rPr>
            </w:pPr>
          </w:p>
        </w:tc>
      </w:tr>
      <w:tr w14:paraId="428FC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568" w:type="dxa"/>
            <w:gridSpan w:val="2"/>
            <w:noWrap w:val="0"/>
            <w:vAlign w:val="top"/>
          </w:tcPr>
          <w:p w14:paraId="3C7B068B">
            <w:pPr>
              <w:autoSpaceDE w:val="0"/>
              <w:autoSpaceDN w:val="0"/>
              <w:spacing w:line="480" w:lineRule="exact"/>
              <w:jc w:val="center"/>
              <w:rPr>
                <w:rFonts w:hint="eastAsia" w:ascii="宋体" w:hAnsi="宋体" w:cs="宋体"/>
                <w:color w:val="auto"/>
                <w:sz w:val="21"/>
                <w:szCs w:val="21"/>
                <w:highlight w:val="none"/>
              </w:rPr>
            </w:pPr>
          </w:p>
        </w:tc>
        <w:tc>
          <w:tcPr>
            <w:tcW w:w="1568" w:type="dxa"/>
            <w:gridSpan w:val="2"/>
            <w:noWrap w:val="0"/>
            <w:vAlign w:val="top"/>
          </w:tcPr>
          <w:p w14:paraId="10E305BB">
            <w:pPr>
              <w:autoSpaceDE w:val="0"/>
              <w:autoSpaceDN w:val="0"/>
              <w:spacing w:line="480" w:lineRule="exact"/>
              <w:jc w:val="center"/>
              <w:rPr>
                <w:rFonts w:hint="eastAsia" w:ascii="宋体" w:hAnsi="宋体" w:cs="宋体"/>
                <w:color w:val="auto"/>
                <w:sz w:val="21"/>
                <w:szCs w:val="21"/>
                <w:highlight w:val="none"/>
              </w:rPr>
            </w:pPr>
          </w:p>
        </w:tc>
        <w:tc>
          <w:tcPr>
            <w:tcW w:w="1568" w:type="dxa"/>
            <w:gridSpan w:val="2"/>
            <w:noWrap w:val="0"/>
            <w:vAlign w:val="top"/>
          </w:tcPr>
          <w:p w14:paraId="186CCC0D">
            <w:pPr>
              <w:autoSpaceDE w:val="0"/>
              <w:autoSpaceDN w:val="0"/>
              <w:spacing w:line="480" w:lineRule="exact"/>
              <w:jc w:val="center"/>
              <w:rPr>
                <w:rFonts w:hint="eastAsia" w:ascii="宋体" w:hAnsi="宋体" w:cs="宋体"/>
                <w:color w:val="auto"/>
                <w:sz w:val="21"/>
                <w:szCs w:val="21"/>
                <w:highlight w:val="none"/>
              </w:rPr>
            </w:pPr>
          </w:p>
        </w:tc>
        <w:tc>
          <w:tcPr>
            <w:tcW w:w="1568" w:type="dxa"/>
            <w:gridSpan w:val="2"/>
            <w:noWrap w:val="0"/>
            <w:vAlign w:val="top"/>
          </w:tcPr>
          <w:p w14:paraId="55FE3342">
            <w:pPr>
              <w:autoSpaceDE w:val="0"/>
              <w:autoSpaceDN w:val="0"/>
              <w:spacing w:line="480" w:lineRule="exact"/>
              <w:jc w:val="center"/>
              <w:rPr>
                <w:rFonts w:hint="eastAsia" w:ascii="宋体" w:hAnsi="宋体" w:cs="宋体"/>
                <w:color w:val="auto"/>
                <w:sz w:val="21"/>
                <w:szCs w:val="21"/>
                <w:highlight w:val="none"/>
              </w:rPr>
            </w:pPr>
          </w:p>
        </w:tc>
        <w:tc>
          <w:tcPr>
            <w:tcW w:w="1568" w:type="dxa"/>
            <w:gridSpan w:val="2"/>
            <w:noWrap w:val="0"/>
            <w:vAlign w:val="top"/>
          </w:tcPr>
          <w:p w14:paraId="11DFC1D2">
            <w:pPr>
              <w:autoSpaceDE w:val="0"/>
              <w:autoSpaceDN w:val="0"/>
              <w:spacing w:line="480" w:lineRule="exact"/>
              <w:jc w:val="center"/>
              <w:rPr>
                <w:rFonts w:hint="eastAsia" w:ascii="宋体" w:hAnsi="宋体" w:cs="宋体"/>
                <w:color w:val="auto"/>
                <w:sz w:val="21"/>
                <w:szCs w:val="21"/>
                <w:highlight w:val="none"/>
              </w:rPr>
            </w:pPr>
          </w:p>
        </w:tc>
        <w:tc>
          <w:tcPr>
            <w:tcW w:w="1570" w:type="dxa"/>
            <w:gridSpan w:val="2"/>
            <w:noWrap w:val="0"/>
            <w:vAlign w:val="top"/>
          </w:tcPr>
          <w:p w14:paraId="29F5F19E">
            <w:pPr>
              <w:autoSpaceDE w:val="0"/>
              <w:autoSpaceDN w:val="0"/>
              <w:spacing w:line="480" w:lineRule="exact"/>
              <w:jc w:val="center"/>
              <w:rPr>
                <w:rFonts w:hint="eastAsia" w:ascii="宋体" w:hAnsi="宋体" w:cs="宋体"/>
                <w:color w:val="auto"/>
                <w:sz w:val="21"/>
                <w:szCs w:val="21"/>
                <w:highlight w:val="none"/>
              </w:rPr>
            </w:pPr>
          </w:p>
        </w:tc>
      </w:tr>
      <w:tr w14:paraId="47C29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568" w:type="dxa"/>
            <w:gridSpan w:val="2"/>
            <w:noWrap w:val="0"/>
            <w:vAlign w:val="top"/>
          </w:tcPr>
          <w:p w14:paraId="7D39ABE0">
            <w:pPr>
              <w:autoSpaceDE w:val="0"/>
              <w:autoSpaceDN w:val="0"/>
              <w:spacing w:line="480" w:lineRule="exact"/>
              <w:jc w:val="center"/>
              <w:rPr>
                <w:rFonts w:hint="eastAsia" w:ascii="宋体" w:hAnsi="宋体" w:cs="宋体"/>
                <w:color w:val="auto"/>
                <w:sz w:val="21"/>
                <w:szCs w:val="21"/>
                <w:highlight w:val="none"/>
              </w:rPr>
            </w:pPr>
          </w:p>
        </w:tc>
        <w:tc>
          <w:tcPr>
            <w:tcW w:w="1568" w:type="dxa"/>
            <w:gridSpan w:val="2"/>
            <w:noWrap w:val="0"/>
            <w:vAlign w:val="top"/>
          </w:tcPr>
          <w:p w14:paraId="17219EDA">
            <w:pPr>
              <w:autoSpaceDE w:val="0"/>
              <w:autoSpaceDN w:val="0"/>
              <w:spacing w:line="480" w:lineRule="exact"/>
              <w:jc w:val="center"/>
              <w:rPr>
                <w:rFonts w:hint="eastAsia" w:ascii="宋体" w:hAnsi="宋体" w:cs="宋体"/>
                <w:color w:val="auto"/>
                <w:sz w:val="21"/>
                <w:szCs w:val="21"/>
                <w:highlight w:val="none"/>
              </w:rPr>
            </w:pPr>
          </w:p>
        </w:tc>
        <w:tc>
          <w:tcPr>
            <w:tcW w:w="1568" w:type="dxa"/>
            <w:gridSpan w:val="2"/>
            <w:noWrap w:val="0"/>
            <w:vAlign w:val="top"/>
          </w:tcPr>
          <w:p w14:paraId="56506A76">
            <w:pPr>
              <w:autoSpaceDE w:val="0"/>
              <w:autoSpaceDN w:val="0"/>
              <w:spacing w:line="480" w:lineRule="exact"/>
              <w:jc w:val="center"/>
              <w:rPr>
                <w:rFonts w:hint="eastAsia" w:ascii="宋体" w:hAnsi="宋体" w:cs="宋体"/>
                <w:color w:val="auto"/>
                <w:sz w:val="21"/>
                <w:szCs w:val="21"/>
                <w:highlight w:val="none"/>
              </w:rPr>
            </w:pPr>
          </w:p>
        </w:tc>
        <w:tc>
          <w:tcPr>
            <w:tcW w:w="1568" w:type="dxa"/>
            <w:gridSpan w:val="2"/>
            <w:noWrap w:val="0"/>
            <w:vAlign w:val="top"/>
          </w:tcPr>
          <w:p w14:paraId="6FEF593B">
            <w:pPr>
              <w:autoSpaceDE w:val="0"/>
              <w:autoSpaceDN w:val="0"/>
              <w:spacing w:line="480" w:lineRule="exact"/>
              <w:jc w:val="center"/>
              <w:rPr>
                <w:rFonts w:hint="eastAsia" w:ascii="宋体" w:hAnsi="宋体" w:cs="宋体"/>
                <w:color w:val="auto"/>
                <w:sz w:val="21"/>
                <w:szCs w:val="21"/>
                <w:highlight w:val="none"/>
              </w:rPr>
            </w:pPr>
          </w:p>
        </w:tc>
        <w:tc>
          <w:tcPr>
            <w:tcW w:w="1568" w:type="dxa"/>
            <w:gridSpan w:val="2"/>
            <w:noWrap w:val="0"/>
            <w:vAlign w:val="top"/>
          </w:tcPr>
          <w:p w14:paraId="752D8C50">
            <w:pPr>
              <w:autoSpaceDE w:val="0"/>
              <w:autoSpaceDN w:val="0"/>
              <w:spacing w:line="480" w:lineRule="exact"/>
              <w:jc w:val="center"/>
              <w:rPr>
                <w:rFonts w:hint="eastAsia" w:ascii="宋体" w:hAnsi="宋体" w:cs="宋体"/>
                <w:color w:val="auto"/>
                <w:sz w:val="21"/>
                <w:szCs w:val="21"/>
                <w:highlight w:val="none"/>
              </w:rPr>
            </w:pPr>
          </w:p>
        </w:tc>
        <w:tc>
          <w:tcPr>
            <w:tcW w:w="1570" w:type="dxa"/>
            <w:gridSpan w:val="2"/>
            <w:noWrap w:val="0"/>
            <w:vAlign w:val="top"/>
          </w:tcPr>
          <w:p w14:paraId="57DE2B3E">
            <w:pPr>
              <w:autoSpaceDE w:val="0"/>
              <w:autoSpaceDN w:val="0"/>
              <w:spacing w:line="480" w:lineRule="exact"/>
              <w:jc w:val="center"/>
              <w:rPr>
                <w:rFonts w:hint="eastAsia" w:ascii="宋体" w:hAnsi="宋体" w:cs="宋体"/>
                <w:color w:val="auto"/>
                <w:sz w:val="21"/>
                <w:szCs w:val="21"/>
                <w:highlight w:val="none"/>
              </w:rPr>
            </w:pPr>
          </w:p>
        </w:tc>
      </w:tr>
    </w:tbl>
    <w:p w14:paraId="56B51994">
      <w:pPr>
        <w:pStyle w:val="47"/>
        <w:spacing w:line="360" w:lineRule="auto"/>
        <w:rPr>
          <w:rStyle w:val="28"/>
          <w:rFonts w:ascii="Times New Roman" w:hAnsi="Times New Roman" w:eastAsia="楷体_GB2312" w:cs="Times New Roman"/>
          <w:color w:val="auto"/>
          <w:szCs w:val="21"/>
          <w:highlight w:val="none"/>
        </w:rPr>
      </w:pPr>
      <w:r>
        <w:rPr>
          <w:rStyle w:val="28"/>
          <w:rFonts w:hint="eastAsia" w:ascii="Times New Roman" w:hAnsi="Times New Roman" w:eastAsia="楷体_GB2312" w:cs="楷体_GB2312"/>
          <w:color w:val="auto"/>
          <w:szCs w:val="21"/>
          <w:highlight w:val="none"/>
        </w:rPr>
        <w:t>备注：</w:t>
      </w:r>
    </w:p>
    <w:p w14:paraId="071E019C">
      <w:pPr>
        <w:pStyle w:val="47"/>
        <w:spacing w:line="360" w:lineRule="auto"/>
        <w:ind w:firstLine="420" w:firstLineChars="200"/>
        <w:rPr>
          <w:rStyle w:val="28"/>
          <w:rFonts w:hint="eastAsia" w:ascii="Times New Roman" w:hAnsi="Times New Roman" w:eastAsia="楷体_GB2312" w:cs="Times New Roman"/>
          <w:color w:val="auto"/>
          <w:szCs w:val="21"/>
          <w:highlight w:val="none"/>
        </w:rPr>
      </w:pPr>
      <w:r>
        <w:rPr>
          <w:rStyle w:val="28"/>
          <w:rFonts w:hint="eastAsia" w:ascii="Times New Roman" w:hAnsi="Times New Roman" w:eastAsia="楷体_GB2312" w:cs="Times New Roman"/>
          <w:color w:val="auto"/>
          <w:szCs w:val="21"/>
          <w:highlight w:val="none"/>
        </w:rPr>
        <w:t>1、</w:t>
      </w:r>
      <w:r>
        <w:rPr>
          <w:rStyle w:val="28"/>
          <w:rFonts w:hint="eastAsia" w:ascii="Times New Roman" w:hAnsi="Times New Roman" w:eastAsia="楷体_GB2312" w:cs="楷体_GB2312"/>
          <w:color w:val="auto"/>
          <w:szCs w:val="21"/>
          <w:highlight w:val="none"/>
          <w:lang w:val="en-US" w:eastAsia="zh-CN"/>
        </w:rPr>
        <w:t>按照文件要求提供响应人员证明或证书</w:t>
      </w:r>
      <w:r>
        <w:rPr>
          <w:rStyle w:val="28"/>
          <w:rFonts w:hint="eastAsia" w:ascii="Times New Roman" w:hAnsi="Times New Roman" w:eastAsia="楷体_GB2312" w:cs="Times New Roman"/>
          <w:color w:val="auto"/>
          <w:szCs w:val="21"/>
          <w:highlight w:val="none"/>
          <w:lang w:eastAsia="zh-CN"/>
        </w:rPr>
        <w:t>。</w:t>
      </w:r>
    </w:p>
    <w:p w14:paraId="74B82F56">
      <w:pPr>
        <w:autoSpaceDE w:val="0"/>
        <w:autoSpaceDN w:val="0"/>
        <w:spacing w:line="360" w:lineRule="auto"/>
        <w:rPr>
          <w:rFonts w:ascii="宋体" w:hAnsi="宋体" w:cs="宋体"/>
          <w:b/>
          <w:color w:val="auto"/>
          <w:sz w:val="24"/>
          <w:highlight w:val="none"/>
        </w:rPr>
      </w:pPr>
    </w:p>
    <w:p w14:paraId="50687FA1">
      <w:pPr>
        <w:autoSpaceDE w:val="0"/>
        <w:autoSpaceDN w:val="0"/>
        <w:spacing w:line="360" w:lineRule="auto"/>
        <w:ind w:left="4335" w:leftChars="1950" w:hanging="240" w:hangingChars="100"/>
        <w:rPr>
          <w:rFonts w:ascii="宋体" w:hAnsi="宋体" w:cs="宋体"/>
          <w:color w:val="auto"/>
          <w:kern w:val="0"/>
          <w:sz w:val="24"/>
          <w:highlight w:val="none"/>
        </w:rPr>
      </w:pPr>
      <w:r>
        <w:rPr>
          <w:rFonts w:hint="eastAsia" w:ascii="宋体" w:hAnsi="宋体" w:cs="宋体"/>
          <w:color w:val="auto"/>
          <w:kern w:val="0"/>
          <w:sz w:val="24"/>
          <w:highlight w:val="none"/>
        </w:rPr>
        <w:t>供应商名称（电子签章）：</w:t>
      </w:r>
    </w:p>
    <w:p w14:paraId="24335B3F">
      <w:pPr>
        <w:autoSpaceDE w:val="0"/>
        <w:autoSpaceDN w:val="0"/>
        <w:spacing w:line="360" w:lineRule="auto"/>
        <w:ind w:firstLine="6480" w:firstLineChars="27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553616E7">
      <w:pPr>
        <w:rPr>
          <w:rStyle w:val="28"/>
          <w:rFonts w:hint="eastAsia" w:ascii="Times New Roman" w:hAnsi="Times New Roman" w:eastAsia="宋体" w:cs="宋体"/>
          <w:b/>
          <w:color w:val="auto"/>
          <w:sz w:val="32"/>
          <w:szCs w:val="32"/>
          <w:highlight w:val="none"/>
        </w:rPr>
      </w:pPr>
      <w:r>
        <w:rPr>
          <w:rStyle w:val="28"/>
          <w:rFonts w:hint="eastAsia" w:ascii="Times New Roman" w:hAnsi="Times New Roman" w:eastAsia="宋体" w:cs="宋体"/>
          <w:b/>
          <w:color w:val="auto"/>
          <w:sz w:val="32"/>
          <w:szCs w:val="32"/>
          <w:highlight w:val="none"/>
        </w:rPr>
        <w:br w:type="page"/>
      </w:r>
    </w:p>
    <w:p w14:paraId="44233EFB">
      <w:pPr>
        <w:pStyle w:val="47"/>
        <w:spacing w:before="120" w:beforeLines="50"/>
        <w:ind w:firstLine="643" w:firstLineChars="200"/>
        <w:jc w:val="center"/>
        <w:rPr>
          <w:rStyle w:val="28"/>
          <w:rFonts w:hint="eastAsia" w:ascii="Times New Roman" w:hAnsi="Times New Roman" w:eastAsia="宋体" w:cs="宋体"/>
          <w:b/>
          <w:color w:val="auto"/>
          <w:sz w:val="32"/>
          <w:szCs w:val="32"/>
          <w:highlight w:val="none"/>
        </w:rPr>
      </w:pPr>
      <w:r>
        <w:rPr>
          <w:rStyle w:val="28"/>
          <w:rFonts w:hint="eastAsia" w:ascii="Times New Roman" w:hAnsi="Times New Roman" w:eastAsia="宋体" w:cs="宋体"/>
          <w:b/>
          <w:color w:val="auto"/>
          <w:sz w:val="32"/>
          <w:szCs w:val="32"/>
          <w:highlight w:val="none"/>
        </w:rPr>
        <w:t>项目管理机构配备情况表</w:t>
      </w:r>
    </w:p>
    <w:p w14:paraId="63B2C4EB">
      <w:pPr>
        <w:autoSpaceDE w:val="0"/>
        <w:autoSpaceDN w:val="0"/>
        <w:spacing w:line="360" w:lineRule="auto"/>
        <w:jc w:val="center"/>
        <w:rPr>
          <w:rFonts w:ascii="宋体" w:hAnsi="宋体" w:cs="宋体"/>
          <w:b/>
          <w:color w:val="auto"/>
          <w:sz w:val="24"/>
          <w:highlight w:val="none"/>
        </w:rPr>
      </w:pPr>
      <w:r>
        <w:rPr>
          <w:rFonts w:hint="eastAsia" w:ascii="宋体" w:hAnsi="宋体" w:cs="宋体"/>
          <w:color w:val="auto"/>
          <w:sz w:val="24"/>
          <w:highlight w:val="none"/>
        </w:rPr>
        <w:t>（按此格式自制）</w:t>
      </w:r>
    </w:p>
    <w:p w14:paraId="072FF65E">
      <w:pPr>
        <w:pStyle w:val="47"/>
        <w:jc w:val="center"/>
        <w:rPr>
          <w:rStyle w:val="28"/>
          <w:rFonts w:hint="eastAsia" w:ascii="宋体" w:hAnsi="宋体" w:eastAsia="宋体" w:cs="Times New Roman"/>
          <w:b/>
          <w:color w:val="auto"/>
          <w:szCs w:val="21"/>
          <w:highlight w:val="none"/>
          <w:lang w:eastAsia="zh-CN"/>
        </w:rPr>
      </w:pPr>
      <w:r>
        <w:rPr>
          <w:rStyle w:val="28"/>
          <w:rFonts w:hint="eastAsia" w:ascii="宋体" w:hAnsi="宋体" w:cs="Times New Roman"/>
          <w:b/>
          <w:color w:val="auto"/>
          <w:szCs w:val="21"/>
          <w:highlight w:val="none"/>
          <w:lang w:eastAsia="zh-CN"/>
        </w:rPr>
        <w:t>（</w:t>
      </w:r>
      <w:r>
        <w:rPr>
          <w:rStyle w:val="28"/>
          <w:rFonts w:hint="eastAsia" w:ascii="宋体" w:hAnsi="宋体" w:eastAsia="宋体" w:cs="Times New Roman"/>
          <w:b/>
          <w:color w:val="auto"/>
          <w:szCs w:val="21"/>
          <w:highlight w:val="none"/>
        </w:rPr>
        <w:t>含专职投标员、项目经理、技术负责人、专职安全生产管理人员和主要管理人员情况</w:t>
      </w:r>
      <w:r>
        <w:rPr>
          <w:rStyle w:val="28"/>
          <w:rFonts w:hint="eastAsia" w:ascii="宋体" w:hAnsi="宋体" w:cs="Times New Roman"/>
          <w:b/>
          <w:color w:val="auto"/>
          <w:szCs w:val="21"/>
          <w:highlight w:val="none"/>
          <w:lang w:eastAsia="zh-CN"/>
        </w:rPr>
        <w:t>）</w:t>
      </w:r>
    </w:p>
    <w:p w14:paraId="02A1B893">
      <w:pPr>
        <w:pStyle w:val="47"/>
        <w:jc w:val="center"/>
        <w:rPr>
          <w:rStyle w:val="28"/>
          <w:rFonts w:hint="eastAsia" w:ascii="宋体" w:hAnsi="宋体" w:eastAsia="宋体" w:cs="Times New Roman"/>
          <w:b/>
          <w:color w:val="auto"/>
          <w:szCs w:val="21"/>
          <w:highlight w:val="none"/>
        </w:rPr>
      </w:pPr>
    </w:p>
    <w:p w14:paraId="29401A3F">
      <w:pPr>
        <w:pStyle w:val="47"/>
        <w:rPr>
          <w:rStyle w:val="28"/>
          <w:rFonts w:hint="eastAsia" w:ascii="Times New Roman" w:hAnsi="Times New Roman" w:cs="宋体"/>
          <w:color w:val="auto"/>
          <w:szCs w:val="21"/>
          <w:highlight w:val="none"/>
          <w:u w:val="none"/>
          <w:lang w:eastAsia="zh-CN"/>
        </w:rPr>
      </w:pPr>
      <w:r>
        <w:rPr>
          <w:rStyle w:val="28"/>
          <w:rFonts w:hint="eastAsia" w:ascii="Times New Roman" w:hAnsi="Times New Roman" w:eastAsia="宋体" w:cs="宋体"/>
          <w:color w:val="auto"/>
          <w:szCs w:val="21"/>
          <w:highlight w:val="none"/>
          <w:u w:val="none"/>
        </w:rPr>
        <w:t>项目名称</w:t>
      </w:r>
      <w:r>
        <w:rPr>
          <w:rStyle w:val="28"/>
          <w:rFonts w:hint="eastAsia" w:ascii="Times New Roman" w:hAnsi="Times New Roman" w:cs="宋体"/>
          <w:color w:val="auto"/>
          <w:szCs w:val="21"/>
          <w:highlight w:val="none"/>
          <w:u w:val="none"/>
          <w:lang w:eastAsia="zh-CN"/>
        </w:rPr>
        <w:t>：</w:t>
      </w:r>
    </w:p>
    <w:p w14:paraId="50A87E23">
      <w:pPr>
        <w:pStyle w:val="47"/>
        <w:rPr>
          <w:rStyle w:val="28"/>
          <w:rFonts w:ascii="Times New Roman" w:hAnsi="Times New Roman" w:eastAsia="宋体" w:cs="Times New Roman"/>
          <w:color w:val="auto"/>
          <w:szCs w:val="21"/>
          <w:highlight w:val="none"/>
          <w:u w:val="none"/>
        </w:rPr>
      </w:pPr>
      <w:r>
        <w:rPr>
          <w:rStyle w:val="28"/>
          <w:rFonts w:hint="eastAsia" w:ascii="Times New Roman" w:hAnsi="Times New Roman" w:eastAsia="宋体" w:cs="宋体"/>
          <w:color w:val="auto"/>
          <w:szCs w:val="21"/>
          <w:highlight w:val="none"/>
          <w:u w:val="none"/>
        </w:rPr>
        <w:t>项目</w:t>
      </w:r>
      <w:r>
        <w:rPr>
          <w:rStyle w:val="28"/>
          <w:rFonts w:hint="eastAsia" w:ascii="Times New Roman" w:hAnsi="Times New Roman" w:cs="宋体"/>
          <w:color w:val="auto"/>
          <w:szCs w:val="21"/>
          <w:highlight w:val="none"/>
          <w:u w:val="none"/>
          <w:lang w:val="en-US" w:eastAsia="zh-CN"/>
        </w:rPr>
        <w:t>编号</w:t>
      </w:r>
      <w:r>
        <w:rPr>
          <w:rStyle w:val="28"/>
          <w:rFonts w:hint="eastAsia" w:ascii="Times New Roman" w:hAnsi="Times New Roman" w:cs="宋体"/>
          <w:color w:val="auto"/>
          <w:szCs w:val="21"/>
          <w:highlight w:val="none"/>
          <w:u w:val="none"/>
          <w:lang w:eastAsia="zh-CN"/>
        </w:rPr>
        <w:t>：</w:t>
      </w:r>
      <w:r>
        <w:rPr>
          <w:rStyle w:val="28"/>
          <w:rFonts w:ascii="Times New Roman" w:hAnsi="Times New Roman" w:eastAsia="宋体" w:cs="Times New Roman"/>
          <w:color w:val="auto"/>
          <w:szCs w:val="21"/>
          <w:highlight w:val="none"/>
          <w:u w:val="none"/>
        </w:rPr>
        <w:t xml:space="preserve"> </w:t>
      </w:r>
    </w:p>
    <w:tbl>
      <w:tblPr>
        <w:tblStyle w:val="26"/>
        <w:tblW w:w="101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829"/>
        <w:gridCol w:w="829"/>
        <w:gridCol w:w="816"/>
        <w:gridCol w:w="1148"/>
        <w:gridCol w:w="1148"/>
        <w:gridCol w:w="1148"/>
        <w:gridCol w:w="744"/>
        <w:gridCol w:w="870"/>
        <w:gridCol w:w="1170"/>
        <w:gridCol w:w="720"/>
      </w:tblGrid>
      <w:tr w14:paraId="1EC05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761" w:type="dxa"/>
            <w:vMerge w:val="restart"/>
            <w:noWrap w:val="0"/>
            <w:vAlign w:val="center"/>
          </w:tcPr>
          <w:p w14:paraId="5F3F7E00">
            <w:pPr>
              <w:pStyle w:val="47"/>
              <w:widowControl w:val="0"/>
              <w:ind w:left="223" w:hanging="222" w:hangingChars="106"/>
              <w:jc w:val="center"/>
              <w:rPr>
                <w:rStyle w:val="28"/>
                <w:rFonts w:ascii="Times New Roman" w:hAnsi="Times New Roman" w:eastAsia="宋体" w:cs="Times New Roman"/>
                <w:color w:val="auto"/>
                <w:kern w:val="2"/>
                <w:sz w:val="21"/>
                <w:szCs w:val="21"/>
                <w:highlight w:val="none"/>
                <w:lang w:val="en-US" w:eastAsia="zh-CN" w:bidi="ar-SA"/>
              </w:rPr>
            </w:pPr>
          </w:p>
          <w:p w14:paraId="4DA2AB70">
            <w:pPr>
              <w:pStyle w:val="47"/>
              <w:widowControl w:val="0"/>
              <w:ind w:left="223" w:hanging="222" w:hangingChars="106"/>
              <w:jc w:val="center"/>
              <w:rPr>
                <w:rStyle w:val="28"/>
                <w:rFonts w:ascii="Times New Roman" w:hAnsi="Times New Roman" w:eastAsia="宋体" w:cs="Times New Roman"/>
                <w:color w:val="auto"/>
                <w:kern w:val="2"/>
                <w:sz w:val="21"/>
                <w:szCs w:val="21"/>
                <w:highlight w:val="none"/>
                <w:lang w:val="en-US" w:eastAsia="zh-CN" w:bidi="ar-SA"/>
              </w:rPr>
            </w:pPr>
            <w:r>
              <w:rPr>
                <w:rStyle w:val="28"/>
                <w:rFonts w:ascii="Times New Roman" w:hAnsi="Times New Roman" w:eastAsia="宋体" w:cs="Times New Roman"/>
                <w:color w:val="auto"/>
                <w:kern w:val="2"/>
                <w:sz w:val="21"/>
                <w:szCs w:val="21"/>
                <w:highlight w:val="none"/>
                <w:lang w:val="en-US" w:eastAsia="zh-CN" w:bidi="ar-SA"/>
              </w:rPr>
              <w:t>岗位</w:t>
            </w:r>
          </w:p>
        </w:tc>
        <w:tc>
          <w:tcPr>
            <w:tcW w:w="829" w:type="dxa"/>
            <w:vMerge w:val="restart"/>
            <w:noWrap w:val="0"/>
            <w:vAlign w:val="center"/>
          </w:tcPr>
          <w:p w14:paraId="0F230543">
            <w:pPr>
              <w:pStyle w:val="47"/>
              <w:widowControl w:val="0"/>
              <w:ind w:left="223" w:hanging="222" w:hangingChars="106"/>
              <w:jc w:val="center"/>
              <w:rPr>
                <w:rStyle w:val="28"/>
                <w:rFonts w:ascii="Times New Roman" w:hAnsi="Times New Roman" w:eastAsia="宋体" w:cs="Times New Roman"/>
                <w:color w:val="auto"/>
                <w:kern w:val="2"/>
                <w:sz w:val="21"/>
                <w:szCs w:val="21"/>
                <w:highlight w:val="none"/>
                <w:lang w:val="en-US" w:eastAsia="zh-CN" w:bidi="ar-SA"/>
              </w:rPr>
            </w:pPr>
            <w:r>
              <w:rPr>
                <w:rStyle w:val="28"/>
                <w:rFonts w:ascii="Times New Roman" w:hAnsi="Times New Roman" w:eastAsia="宋体" w:cs="Times New Roman"/>
                <w:color w:val="auto"/>
                <w:kern w:val="2"/>
                <w:sz w:val="21"/>
                <w:szCs w:val="21"/>
                <w:highlight w:val="none"/>
                <w:lang w:val="en-US" w:eastAsia="zh-CN" w:bidi="ar-SA"/>
              </w:rPr>
              <w:t>姓名</w:t>
            </w:r>
          </w:p>
        </w:tc>
        <w:tc>
          <w:tcPr>
            <w:tcW w:w="829" w:type="dxa"/>
            <w:vMerge w:val="restart"/>
            <w:noWrap w:val="0"/>
            <w:vAlign w:val="center"/>
          </w:tcPr>
          <w:p w14:paraId="21A6B53A">
            <w:pPr>
              <w:pStyle w:val="47"/>
              <w:widowControl w:val="0"/>
              <w:jc w:val="center"/>
              <w:rPr>
                <w:rStyle w:val="28"/>
                <w:rFonts w:ascii="Times New Roman" w:hAnsi="Times New Roman" w:eastAsia="宋体" w:cs="Times New Roman"/>
                <w:color w:val="auto"/>
                <w:kern w:val="2"/>
                <w:sz w:val="21"/>
                <w:szCs w:val="21"/>
                <w:highlight w:val="none"/>
                <w:lang w:val="en-US" w:eastAsia="zh-CN" w:bidi="ar-SA"/>
              </w:rPr>
            </w:pPr>
            <w:r>
              <w:rPr>
                <w:rStyle w:val="28"/>
                <w:rFonts w:ascii="Times New Roman" w:hAnsi="Times New Roman" w:eastAsia="宋体" w:cs="Times New Roman"/>
                <w:color w:val="auto"/>
                <w:kern w:val="2"/>
                <w:sz w:val="21"/>
                <w:szCs w:val="21"/>
                <w:highlight w:val="none"/>
                <w:lang w:val="en-US" w:eastAsia="zh-CN" w:bidi="ar-SA"/>
              </w:rPr>
              <w:t>身份证号</w:t>
            </w:r>
          </w:p>
        </w:tc>
        <w:tc>
          <w:tcPr>
            <w:tcW w:w="816" w:type="dxa"/>
            <w:vMerge w:val="restart"/>
            <w:noWrap w:val="0"/>
            <w:vAlign w:val="center"/>
          </w:tcPr>
          <w:p w14:paraId="1B068E88">
            <w:pPr>
              <w:pStyle w:val="47"/>
              <w:widowControl w:val="0"/>
              <w:ind w:left="223" w:hanging="222" w:hangingChars="106"/>
              <w:jc w:val="center"/>
              <w:rPr>
                <w:rStyle w:val="28"/>
                <w:rFonts w:ascii="Times New Roman" w:hAnsi="Times New Roman" w:eastAsia="宋体" w:cs="Times New Roman"/>
                <w:color w:val="auto"/>
                <w:kern w:val="2"/>
                <w:sz w:val="21"/>
                <w:szCs w:val="21"/>
                <w:highlight w:val="none"/>
                <w:lang w:val="en-US" w:eastAsia="zh-CN" w:bidi="ar-SA"/>
              </w:rPr>
            </w:pPr>
            <w:r>
              <w:rPr>
                <w:rStyle w:val="28"/>
                <w:rFonts w:ascii="Times New Roman" w:hAnsi="Times New Roman" w:eastAsia="宋体" w:cs="Times New Roman"/>
                <w:color w:val="auto"/>
                <w:kern w:val="2"/>
                <w:sz w:val="21"/>
                <w:szCs w:val="21"/>
                <w:highlight w:val="none"/>
                <w:lang w:val="en-US" w:eastAsia="zh-CN" w:bidi="ar-SA"/>
              </w:rPr>
              <w:t>职称</w:t>
            </w:r>
          </w:p>
        </w:tc>
        <w:tc>
          <w:tcPr>
            <w:tcW w:w="4188" w:type="dxa"/>
            <w:gridSpan w:val="4"/>
            <w:noWrap w:val="0"/>
            <w:vAlign w:val="center"/>
          </w:tcPr>
          <w:p w14:paraId="2EDCCCBC">
            <w:pPr>
              <w:pStyle w:val="47"/>
              <w:widowControl w:val="0"/>
              <w:ind w:left="223" w:hanging="222" w:hangingChars="106"/>
              <w:jc w:val="center"/>
              <w:rPr>
                <w:rStyle w:val="28"/>
                <w:rFonts w:ascii="Times New Roman" w:hAnsi="Times New Roman" w:eastAsia="宋体" w:cs="Times New Roman"/>
                <w:color w:val="auto"/>
                <w:kern w:val="2"/>
                <w:sz w:val="21"/>
                <w:szCs w:val="21"/>
                <w:highlight w:val="none"/>
                <w:lang w:val="en-US" w:eastAsia="zh-CN" w:bidi="ar-SA"/>
              </w:rPr>
            </w:pPr>
            <w:r>
              <w:rPr>
                <w:rStyle w:val="28"/>
                <w:rFonts w:ascii="Times New Roman" w:hAnsi="Times New Roman" w:eastAsia="宋体" w:cs="Times New Roman"/>
                <w:color w:val="auto"/>
                <w:kern w:val="2"/>
                <w:sz w:val="21"/>
                <w:szCs w:val="21"/>
                <w:highlight w:val="none"/>
                <w:lang w:val="en-US" w:eastAsia="zh-CN" w:bidi="ar-SA"/>
              </w:rPr>
              <w:t>执业或职业资格</w:t>
            </w:r>
          </w:p>
        </w:tc>
        <w:tc>
          <w:tcPr>
            <w:tcW w:w="2040" w:type="dxa"/>
            <w:gridSpan w:val="2"/>
            <w:noWrap w:val="0"/>
            <w:vAlign w:val="center"/>
          </w:tcPr>
          <w:p w14:paraId="69BB3BE4">
            <w:pPr>
              <w:pStyle w:val="47"/>
              <w:widowControl w:val="0"/>
              <w:jc w:val="center"/>
              <w:rPr>
                <w:rStyle w:val="28"/>
                <w:rFonts w:ascii="Times New Roman" w:hAnsi="Times New Roman" w:eastAsia="宋体" w:cs="Times New Roman"/>
                <w:color w:val="auto"/>
                <w:kern w:val="2"/>
                <w:sz w:val="21"/>
                <w:szCs w:val="21"/>
                <w:highlight w:val="none"/>
                <w:lang w:val="en-US" w:eastAsia="zh-CN" w:bidi="ar-SA"/>
              </w:rPr>
            </w:pPr>
            <w:r>
              <w:rPr>
                <w:rStyle w:val="28"/>
                <w:rFonts w:ascii="Times New Roman" w:hAnsi="Times New Roman" w:eastAsia="宋体" w:cs="Times New Roman"/>
                <w:color w:val="auto"/>
                <w:kern w:val="2"/>
                <w:sz w:val="21"/>
                <w:szCs w:val="21"/>
                <w:highlight w:val="none"/>
                <w:lang w:val="en-US" w:eastAsia="zh-CN" w:bidi="ar-SA"/>
              </w:rPr>
              <w:t>承担完工</w:t>
            </w:r>
            <w:r>
              <w:rPr>
                <w:rStyle w:val="28"/>
                <w:rFonts w:hint="eastAsia" w:ascii="Times New Roman" w:hAnsi="Times New Roman" w:eastAsia="宋体" w:cs="Times New Roman"/>
                <w:color w:val="auto"/>
                <w:kern w:val="2"/>
                <w:sz w:val="21"/>
                <w:szCs w:val="21"/>
                <w:highlight w:val="none"/>
                <w:lang w:val="en-US" w:eastAsia="zh-CN" w:bidi="ar-SA"/>
              </w:rPr>
              <w:t>、</w:t>
            </w:r>
            <w:r>
              <w:rPr>
                <w:rStyle w:val="28"/>
                <w:rFonts w:ascii="Times New Roman" w:hAnsi="Times New Roman" w:eastAsia="宋体" w:cs="Times New Roman"/>
                <w:color w:val="auto"/>
                <w:kern w:val="2"/>
                <w:sz w:val="21"/>
                <w:szCs w:val="21"/>
                <w:highlight w:val="none"/>
                <w:lang w:val="en-US" w:eastAsia="zh-CN" w:bidi="ar-SA"/>
              </w:rPr>
              <w:t>在建工程情况</w:t>
            </w:r>
          </w:p>
        </w:tc>
        <w:tc>
          <w:tcPr>
            <w:tcW w:w="720" w:type="dxa"/>
            <w:vMerge w:val="restart"/>
            <w:noWrap w:val="0"/>
            <w:vAlign w:val="top"/>
          </w:tcPr>
          <w:p w14:paraId="65D6D1AE">
            <w:pPr>
              <w:pStyle w:val="47"/>
              <w:widowControl w:val="0"/>
              <w:jc w:val="center"/>
              <w:rPr>
                <w:rStyle w:val="28"/>
                <w:rFonts w:ascii="Times New Roman" w:hAnsi="Times New Roman" w:eastAsia="宋体" w:cs="Times New Roman"/>
                <w:color w:val="auto"/>
                <w:kern w:val="2"/>
                <w:sz w:val="21"/>
                <w:szCs w:val="21"/>
                <w:highlight w:val="none"/>
                <w:lang w:val="en-US" w:eastAsia="zh-CN" w:bidi="ar-SA"/>
              </w:rPr>
            </w:pPr>
            <w:r>
              <w:rPr>
                <w:rStyle w:val="28"/>
                <w:rFonts w:hint="eastAsia" w:ascii="Times New Roman" w:hAnsi="Times New Roman" w:eastAsia="宋体" w:cs="Times New Roman"/>
                <w:color w:val="auto"/>
                <w:kern w:val="2"/>
                <w:sz w:val="21"/>
                <w:szCs w:val="21"/>
                <w:highlight w:val="none"/>
                <w:lang w:val="en-US" w:eastAsia="zh-CN" w:bidi="ar-SA"/>
              </w:rPr>
              <w:t>社保所附证明材料索引号</w:t>
            </w:r>
          </w:p>
        </w:tc>
      </w:tr>
      <w:tr w14:paraId="51725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761" w:type="dxa"/>
            <w:vMerge w:val="continue"/>
            <w:noWrap w:val="0"/>
            <w:vAlign w:val="center"/>
          </w:tcPr>
          <w:p w14:paraId="107FA961">
            <w:pPr>
              <w:pStyle w:val="47"/>
              <w:widowControl w:val="0"/>
              <w:ind w:left="223" w:hanging="222" w:hangingChars="106"/>
              <w:jc w:val="center"/>
              <w:rPr>
                <w:rStyle w:val="28"/>
                <w:rFonts w:ascii="Times New Roman" w:hAnsi="Times New Roman" w:eastAsia="宋体" w:cs="Times New Roman"/>
                <w:color w:val="auto"/>
                <w:kern w:val="2"/>
                <w:sz w:val="21"/>
                <w:szCs w:val="21"/>
                <w:highlight w:val="none"/>
                <w:lang w:val="en-US" w:eastAsia="zh-CN" w:bidi="ar-SA"/>
              </w:rPr>
            </w:pPr>
          </w:p>
        </w:tc>
        <w:tc>
          <w:tcPr>
            <w:tcW w:w="829" w:type="dxa"/>
            <w:vMerge w:val="continue"/>
            <w:noWrap w:val="0"/>
            <w:vAlign w:val="center"/>
          </w:tcPr>
          <w:p w14:paraId="2ADB1EF2">
            <w:pPr>
              <w:pStyle w:val="47"/>
              <w:widowControl w:val="0"/>
              <w:ind w:left="223" w:hanging="222" w:hangingChars="106"/>
              <w:jc w:val="center"/>
              <w:rPr>
                <w:rStyle w:val="28"/>
                <w:rFonts w:ascii="Times New Roman" w:hAnsi="Times New Roman" w:eastAsia="宋体" w:cs="Times New Roman"/>
                <w:color w:val="auto"/>
                <w:kern w:val="2"/>
                <w:sz w:val="21"/>
                <w:szCs w:val="21"/>
                <w:highlight w:val="none"/>
                <w:lang w:val="en-US" w:eastAsia="zh-CN" w:bidi="ar-SA"/>
              </w:rPr>
            </w:pPr>
          </w:p>
        </w:tc>
        <w:tc>
          <w:tcPr>
            <w:tcW w:w="829" w:type="dxa"/>
            <w:vMerge w:val="continue"/>
            <w:noWrap w:val="0"/>
            <w:vAlign w:val="center"/>
          </w:tcPr>
          <w:p w14:paraId="15167B3F">
            <w:pPr>
              <w:pStyle w:val="47"/>
              <w:widowControl w:val="0"/>
              <w:ind w:left="223" w:hanging="222" w:hangingChars="106"/>
              <w:jc w:val="center"/>
              <w:rPr>
                <w:rStyle w:val="28"/>
                <w:rFonts w:ascii="Times New Roman" w:hAnsi="Times New Roman" w:eastAsia="宋体" w:cs="Times New Roman"/>
                <w:color w:val="auto"/>
                <w:kern w:val="2"/>
                <w:sz w:val="21"/>
                <w:szCs w:val="21"/>
                <w:highlight w:val="none"/>
                <w:lang w:val="en-US" w:eastAsia="zh-CN" w:bidi="ar-SA"/>
              </w:rPr>
            </w:pPr>
          </w:p>
        </w:tc>
        <w:tc>
          <w:tcPr>
            <w:tcW w:w="816" w:type="dxa"/>
            <w:vMerge w:val="continue"/>
            <w:noWrap w:val="0"/>
            <w:vAlign w:val="center"/>
          </w:tcPr>
          <w:p w14:paraId="331ADB50">
            <w:pPr>
              <w:pStyle w:val="47"/>
              <w:widowControl w:val="0"/>
              <w:ind w:left="223" w:hanging="222" w:hangingChars="106"/>
              <w:jc w:val="center"/>
              <w:rPr>
                <w:rStyle w:val="28"/>
                <w:rFonts w:ascii="Times New Roman" w:hAnsi="Times New Roman" w:eastAsia="宋体" w:cs="Times New Roman"/>
                <w:color w:val="auto"/>
                <w:kern w:val="2"/>
                <w:sz w:val="21"/>
                <w:szCs w:val="21"/>
                <w:highlight w:val="none"/>
                <w:lang w:val="en-US" w:eastAsia="zh-CN" w:bidi="ar-SA"/>
              </w:rPr>
            </w:pPr>
          </w:p>
        </w:tc>
        <w:tc>
          <w:tcPr>
            <w:tcW w:w="1148" w:type="dxa"/>
            <w:noWrap w:val="0"/>
            <w:vAlign w:val="center"/>
          </w:tcPr>
          <w:p w14:paraId="1C985503">
            <w:pPr>
              <w:pStyle w:val="47"/>
              <w:widowControl w:val="0"/>
              <w:ind w:left="223" w:hanging="222" w:hangingChars="106"/>
              <w:jc w:val="center"/>
              <w:rPr>
                <w:rStyle w:val="28"/>
                <w:rFonts w:ascii="Times New Roman" w:hAnsi="Times New Roman" w:eastAsia="宋体" w:cs="Times New Roman"/>
                <w:color w:val="auto"/>
                <w:kern w:val="2"/>
                <w:sz w:val="21"/>
                <w:szCs w:val="21"/>
                <w:highlight w:val="none"/>
                <w:lang w:val="en-US" w:eastAsia="zh-CN" w:bidi="ar-SA"/>
              </w:rPr>
            </w:pPr>
            <w:r>
              <w:rPr>
                <w:rStyle w:val="28"/>
                <w:rFonts w:ascii="Times New Roman" w:hAnsi="Times New Roman" w:eastAsia="宋体" w:cs="Times New Roman"/>
                <w:color w:val="auto"/>
                <w:kern w:val="2"/>
                <w:sz w:val="21"/>
                <w:szCs w:val="21"/>
                <w:highlight w:val="none"/>
                <w:lang w:val="en-US" w:eastAsia="zh-CN" w:bidi="ar-SA"/>
              </w:rPr>
              <w:t>证书名称</w:t>
            </w:r>
          </w:p>
        </w:tc>
        <w:tc>
          <w:tcPr>
            <w:tcW w:w="1148" w:type="dxa"/>
            <w:noWrap w:val="0"/>
            <w:vAlign w:val="center"/>
          </w:tcPr>
          <w:p w14:paraId="09E4B8DC">
            <w:pPr>
              <w:pStyle w:val="47"/>
              <w:widowControl w:val="0"/>
              <w:ind w:left="223" w:hanging="222" w:hangingChars="106"/>
              <w:jc w:val="center"/>
              <w:rPr>
                <w:rStyle w:val="28"/>
                <w:rFonts w:ascii="Times New Roman" w:hAnsi="Times New Roman" w:eastAsia="宋体" w:cs="Times New Roman"/>
                <w:color w:val="auto"/>
                <w:kern w:val="2"/>
                <w:sz w:val="21"/>
                <w:szCs w:val="21"/>
                <w:highlight w:val="none"/>
                <w:lang w:val="en-US" w:eastAsia="zh-CN" w:bidi="ar-SA"/>
              </w:rPr>
            </w:pPr>
            <w:r>
              <w:rPr>
                <w:rStyle w:val="28"/>
                <w:rFonts w:ascii="Times New Roman" w:hAnsi="Times New Roman" w:eastAsia="宋体" w:cs="Times New Roman"/>
                <w:color w:val="auto"/>
                <w:kern w:val="2"/>
                <w:sz w:val="21"/>
                <w:szCs w:val="21"/>
                <w:highlight w:val="none"/>
                <w:lang w:val="en-US" w:eastAsia="zh-CN" w:bidi="ar-SA"/>
              </w:rPr>
              <w:t>级别</w:t>
            </w:r>
          </w:p>
        </w:tc>
        <w:tc>
          <w:tcPr>
            <w:tcW w:w="1148" w:type="dxa"/>
            <w:noWrap w:val="0"/>
            <w:vAlign w:val="center"/>
          </w:tcPr>
          <w:p w14:paraId="583FCF66">
            <w:pPr>
              <w:pStyle w:val="47"/>
              <w:widowControl w:val="0"/>
              <w:ind w:left="223" w:hanging="222" w:hangingChars="106"/>
              <w:jc w:val="center"/>
              <w:rPr>
                <w:rStyle w:val="28"/>
                <w:rFonts w:ascii="Times New Roman" w:hAnsi="Times New Roman" w:eastAsia="宋体" w:cs="Times New Roman"/>
                <w:color w:val="auto"/>
                <w:kern w:val="2"/>
                <w:sz w:val="21"/>
                <w:szCs w:val="21"/>
                <w:highlight w:val="none"/>
                <w:lang w:val="en-US" w:eastAsia="zh-CN" w:bidi="ar-SA"/>
              </w:rPr>
            </w:pPr>
            <w:r>
              <w:rPr>
                <w:rStyle w:val="28"/>
                <w:rFonts w:ascii="Times New Roman" w:hAnsi="Times New Roman" w:eastAsia="宋体" w:cs="Times New Roman"/>
                <w:color w:val="auto"/>
                <w:kern w:val="2"/>
                <w:sz w:val="21"/>
                <w:szCs w:val="21"/>
                <w:highlight w:val="none"/>
                <w:lang w:val="en-US" w:eastAsia="zh-CN" w:bidi="ar-SA"/>
              </w:rPr>
              <w:t>证号</w:t>
            </w:r>
          </w:p>
        </w:tc>
        <w:tc>
          <w:tcPr>
            <w:tcW w:w="744" w:type="dxa"/>
            <w:noWrap w:val="0"/>
            <w:vAlign w:val="center"/>
          </w:tcPr>
          <w:p w14:paraId="35B1B525">
            <w:pPr>
              <w:pStyle w:val="47"/>
              <w:widowControl w:val="0"/>
              <w:ind w:left="223" w:hanging="222" w:hangingChars="106"/>
              <w:jc w:val="center"/>
              <w:rPr>
                <w:rStyle w:val="28"/>
                <w:rFonts w:ascii="Times New Roman" w:hAnsi="Times New Roman" w:eastAsia="宋体" w:cs="Times New Roman"/>
                <w:color w:val="auto"/>
                <w:kern w:val="2"/>
                <w:sz w:val="21"/>
                <w:szCs w:val="21"/>
                <w:highlight w:val="none"/>
                <w:lang w:val="en-US" w:eastAsia="zh-CN" w:bidi="ar-SA"/>
              </w:rPr>
            </w:pPr>
            <w:r>
              <w:rPr>
                <w:rStyle w:val="28"/>
                <w:rFonts w:ascii="Times New Roman" w:hAnsi="Times New Roman" w:eastAsia="宋体" w:cs="Times New Roman"/>
                <w:color w:val="auto"/>
                <w:kern w:val="2"/>
                <w:sz w:val="21"/>
                <w:szCs w:val="21"/>
                <w:highlight w:val="none"/>
                <w:lang w:val="en-US" w:eastAsia="zh-CN" w:bidi="ar-SA"/>
              </w:rPr>
              <w:t>专业</w:t>
            </w:r>
          </w:p>
        </w:tc>
        <w:tc>
          <w:tcPr>
            <w:tcW w:w="870" w:type="dxa"/>
            <w:noWrap w:val="0"/>
            <w:vAlign w:val="center"/>
          </w:tcPr>
          <w:p w14:paraId="59FB6F3B">
            <w:pPr>
              <w:pStyle w:val="47"/>
              <w:widowControl w:val="0"/>
              <w:jc w:val="center"/>
              <w:rPr>
                <w:rStyle w:val="28"/>
                <w:rFonts w:ascii="Times New Roman" w:hAnsi="Times New Roman" w:eastAsia="宋体" w:cs="Times New Roman"/>
                <w:color w:val="auto"/>
                <w:kern w:val="2"/>
                <w:sz w:val="21"/>
                <w:szCs w:val="21"/>
                <w:highlight w:val="none"/>
                <w:lang w:val="en-US" w:eastAsia="zh-CN" w:bidi="ar-SA"/>
              </w:rPr>
            </w:pPr>
            <w:r>
              <w:rPr>
                <w:rStyle w:val="28"/>
                <w:rFonts w:hint="eastAsia" w:ascii="Times New Roman" w:hAnsi="Times New Roman" w:eastAsia="宋体" w:cs="Times New Roman"/>
                <w:color w:val="auto"/>
                <w:kern w:val="2"/>
                <w:sz w:val="21"/>
                <w:szCs w:val="21"/>
                <w:highlight w:val="none"/>
                <w:lang w:val="en-US" w:eastAsia="zh-CN" w:bidi="ar-SA"/>
              </w:rPr>
              <w:t>完工/在建</w:t>
            </w:r>
          </w:p>
        </w:tc>
        <w:tc>
          <w:tcPr>
            <w:tcW w:w="1170" w:type="dxa"/>
            <w:noWrap w:val="0"/>
            <w:vAlign w:val="center"/>
          </w:tcPr>
          <w:p w14:paraId="5E0CF563">
            <w:pPr>
              <w:pStyle w:val="47"/>
              <w:widowControl w:val="0"/>
              <w:jc w:val="center"/>
              <w:rPr>
                <w:rStyle w:val="28"/>
                <w:rFonts w:ascii="Times New Roman" w:hAnsi="Times New Roman" w:eastAsia="宋体" w:cs="Times New Roman"/>
                <w:color w:val="auto"/>
                <w:kern w:val="2"/>
                <w:sz w:val="21"/>
                <w:szCs w:val="21"/>
                <w:highlight w:val="none"/>
                <w:lang w:val="en-US" w:eastAsia="zh-CN" w:bidi="ar-SA"/>
              </w:rPr>
            </w:pPr>
            <w:r>
              <w:rPr>
                <w:rStyle w:val="28"/>
                <w:rFonts w:ascii="Times New Roman" w:hAnsi="Times New Roman" w:eastAsia="宋体" w:cs="Times New Roman"/>
                <w:color w:val="auto"/>
                <w:kern w:val="2"/>
                <w:sz w:val="21"/>
                <w:szCs w:val="21"/>
                <w:highlight w:val="none"/>
                <w:lang w:val="en-US" w:eastAsia="zh-CN" w:bidi="ar-SA"/>
              </w:rPr>
              <w:t>主要项目</w:t>
            </w:r>
          </w:p>
          <w:p w14:paraId="24A5B4F1">
            <w:pPr>
              <w:pStyle w:val="47"/>
              <w:widowControl w:val="0"/>
              <w:jc w:val="center"/>
              <w:rPr>
                <w:rStyle w:val="28"/>
                <w:rFonts w:ascii="Times New Roman" w:hAnsi="Times New Roman" w:eastAsia="宋体" w:cs="Times New Roman"/>
                <w:color w:val="auto"/>
                <w:kern w:val="2"/>
                <w:sz w:val="21"/>
                <w:szCs w:val="21"/>
                <w:highlight w:val="none"/>
                <w:lang w:val="en-US" w:eastAsia="zh-CN" w:bidi="ar-SA"/>
              </w:rPr>
            </w:pPr>
            <w:r>
              <w:rPr>
                <w:rStyle w:val="28"/>
                <w:rFonts w:ascii="Times New Roman" w:hAnsi="Times New Roman" w:eastAsia="宋体" w:cs="Times New Roman"/>
                <w:color w:val="auto"/>
                <w:kern w:val="2"/>
                <w:sz w:val="21"/>
                <w:szCs w:val="21"/>
                <w:highlight w:val="none"/>
                <w:lang w:val="en-US" w:eastAsia="zh-CN" w:bidi="ar-SA"/>
              </w:rPr>
              <w:t>名称</w:t>
            </w:r>
          </w:p>
        </w:tc>
        <w:tc>
          <w:tcPr>
            <w:tcW w:w="720" w:type="dxa"/>
            <w:vMerge w:val="continue"/>
            <w:noWrap w:val="0"/>
            <w:vAlign w:val="top"/>
          </w:tcPr>
          <w:p w14:paraId="001E2B3B">
            <w:pPr>
              <w:pStyle w:val="47"/>
              <w:widowControl w:val="0"/>
              <w:jc w:val="center"/>
              <w:rPr>
                <w:rStyle w:val="28"/>
                <w:rFonts w:ascii="Times New Roman" w:hAnsi="Times New Roman" w:eastAsia="宋体" w:cs="Times New Roman"/>
                <w:color w:val="auto"/>
                <w:kern w:val="2"/>
                <w:sz w:val="21"/>
                <w:szCs w:val="21"/>
                <w:highlight w:val="none"/>
                <w:lang w:val="en-US" w:eastAsia="zh-CN" w:bidi="ar-SA"/>
              </w:rPr>
            </w:pPr>
          </w:p>
        </w:tc>
      </w:tr>
      <w:tr w14:paraId="7A99C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61" w:type="dxa"/>
            <w:noWrap w:val="0"/>
            <w:vAlign w:val="center"/>
          </w:tcPr>
          <w:p w14:paraId="63CF4837">
            <w:pPr>
              <w:pStyle w:val="47"/>
              <w:widowControl w:val="0"/>
              <w:ind w:left="223" w:hanging="222" w:hangingChars="106"/>
              <w:jc w:val="center"/>
              <w:rPr>
                <w:rStyle w:val="28"/>
                <w:rFonts w:ascii="Times New Roman" w:hAnsi="Times New Roman" w:eastAsia="宋体" w:cs="Times New Roman"/>
                <w:color w:val="auto"/>
                <w:kern w:val="2"/>
                <w:sz w:val="21"/>
                <w:szCs w:val="21"/>
                <w:highlight w:val="none"/>
                <w:lang w:val="en-US" w:eastAsia="zh-CN" w:bidi="ar-SA"/>
              </w:rPr>
            </w:pPr>
          </w:p>
        </w:tc>
        <w:tc>
          <w:tcPr>
            <w:tcW w:w="829" w:type="dxa"/>
            <w:noWrap w:val="0"/>
            <w:vAlign w:val="center"/>
          </w:tcPr>
          <w:p w14:paraId="6CF4C9A8">
            <w:pPr>
              <w:pStyle w:val="47"/>
              <w:widowControl w:val="0"/>
              <w:ind w:left="223" w:hanging="222" w:hangingChars="106"/>
              <w:jc w:val="center"/>
              <w:rPr>
                <w:rStyle w:val="28"/>
                <w:rFonts w:ascii="Times New Roman" w:hAnsi="Times New Roman" w:eastAsia="宋体" w:cs="Times New Roman"/>
                <w:color w:val="auto"/>
                <w:kern w:val="2"/>
                <w:sz w:val="21"/>
                <w:szCs w:val="21"/>
                <w:highlight w:val="none"/>
                <w:lang w:val="en-US" w:eastAsia="zh-CN" w:bidi="ar-SA"/>
              </w:rPr>
            </w:pPr>
          </w:p>
        </w:tc>
        <w:tc>
          <w:tcPr>
            <w:tcW w:w="829" w:type="dxa"/>
            <w:noWrap w:val="0"/>
            <w:vAlign w:val="center"/>
          </w:tcPr>
          <w:p w14:paraId="26AE9D81">
            <w:pPr>
              <w:pStyle w:val="47"/>
              <w:widowControl w:val="0"/>
              <w:ind w:left="223" w:hanging="222" w:hangingChars="106"/>
              <w:jc w:val="center"/>
              <w:rPr>
                <w:rStyle w:val="28"/>
                <w:rFonts w:ascii="Times New Roman" w:hAnsi="Times New Roman" w:eastAsia="宋体" w:cs="Times New Roman"/>
                <w:color w:val="auto"/>
                <w:kern w:val="2"/>
                <w:sz w:val="21"/>
                <w:szCs w:val="21"/>
                <w:highlight w:val="none"/>
                <w:lang w:val="en-US" w:eastAsia="zh-CN" w:bidi="ar-SA"/>
              </w:rPr>
            </w:pPr>
          </w:p>
        </w:tc>
        <w:tc>
          <w:tcPr>
            <w:tcW w:w="816" w:type="dxa"/>
            <w:noWrap w:val="0"/>
            <w:vAlign w:val="center"/>
          </w:tcPr>
          <w:p w14:paraId="64737541">
            <w:pPr>
              <w:pStyle w:val="47"/>
              <w:widowControl w:val="0"/>
              <w:ind w:left="223" w:hanging="222" w:hangingChars="106"/>
              <w:jc w:val="center"/>
              <w:rPr>
                <w:rStyle w:val="28"/>
                <w:rFonts w:ascii="Times New Roman" w:hAnsi="Times New Roman" w:eastAsia="宋体" w:cs="Times New Roman"/>
                <w:color w:val="auto"/>
                <w:kern w:val="2"/>
                <w:sz w:val="21"/>
                <w:szCs w:val="21"/>
                <w:highlight w:val="none"/>
                <w:lang w:val="en-US" w:eastAsia="zh-CN" w:bidi="ar-SA"/>
              </w:rPr>
            </w:pPr>
          </w:p>
        </w:tc>
        <w:tc>
          <w:tcPr>
            <w:tcW w:w="1148" w:type="dxa"/>
            <w:noWrap w:val="0"/>
            <w:vAlign w:val="center"/>
          </w:tcPr>
          <w:p w14:paraId="6CE8CD3D">
            <w:pPr>
              <w:pStyle w:val="47"/>
              <w:widowControl w:val="0"/>
              <w:ind w:left="223" w:hanging="222" w:hangingChars="106"/>
              <w:jc w:val="center"/>
              <w:rPr>
                <w:rStyle w:val="28"/>
                <w:rFonts w:ascii="Times New Roman" w:hAnsi="Times New Roman" w:eastAsia="宋体" w:cs="Times New Roman"/>
                <w:color w:val="auto"/>
                <w:kern w:val="2"/>
                <w:sz w:val="21"/>
                <w:szCs w:val="21"/>
                <w:highlight w:val="none"/>
                <w:lang w:val="en-US" w:eastAsia="zh-CN" w:bidi="ar-SA"/>
              </w:rPr>
            </w:pPr>
          </w:p>
        </w:tc>
        <w:tc>
          <w:tcPr>
            <w:tcW w:w="1148" w:type="dxa"/>
            <w:noWrap w:val="0"/>
            <w:vAlign w:val="center"/>
          </w:tcPr>
          <w:p w14:paraId="4FA55D08">
            <w:pPr>
              <w:pStyle w:val="47"/>
              <w:widowControl w:val="0"/>
              <w:ind w:left="223" w:hanging="222" w:hangingChars="106"/>
              <w:jc w:val="center"/>
              <w:rPr>
                <w:rStyle w:val="28"/>
                <w:rFonts w:ascii="Times New Roman" w:hAnsi="Times New Roman" w:eastAsia="宋体" w:cs="Times New Roman"/>
                <w:color w:val="auto"/>
                <w:kern w:val="2"/>
                <w:sz w:val="21"/>
                <w:szCs w:val="21"/>
                <w:highlight w:val="none"/>
                <w:lang w:val="en-US" w:eastAsia="zh-CN" w:bidi="ar-SA"/>
              </w:rPr>
            </w:pPr>
          </w:p>
        </w:tc>
        <w:tc>
          <w:tcPr>
            <w:tcW w:w="1148" w:type="dxa"/>
            <w:noWrap w:val="0"/>
            <w:vAlign w:val="center"/>
          </w:tcPr>
          <w:p w14:paraId="005D1616">
            <w:pPr>
              <w:pStyle w:val="47"/>
              <w:widowControl w:val="0"/>
              <w:ind w:left="223" w:hanging="222" w:hangingChars="106"/>
              <w:jc w:val="center"/>
              <w:rPr>
                <w:rStyle w:val="28"/>
                <w:rFonts w:ascii="Times New Roman" w:hAnsi="Times New Roman" w:eastAsia="宋体" w:cs="Times New Roman"/>
                <w:color w:val="auto"/>
                <w:kern w:val="2"/>
                <w:sz w:val="21"/>
                <w:szCs w:val="21"/>
                <w:highlight w:val="none"/>
                <w:lang w:val="en-US" w:eastAsia="zh-CN" w:bidi="ar-SA"/>
              </w:rPr>
            </w:pPr>
          </w:p>
        </w:tc>
        <w:tc>
          <w:tcPr>
            <w:tcW w:w="744" w:type="dxa"/>
            <w:noWrap w:val="0"/>
            <w:vAlign w:val="center"/>
          </w:tcPr>
          <w:p w14:paraId="194A46E1">
            <w:pPr>
              <w:pStyle w:val="47"/>
              <w:widowControl w:val="0"/>
              <w:ind w:left="223" w:hanging="222" w:hangingChars="106"/>
              <w:jc w:val="center"/>
              <w:rPr>
                <w:rStyle w:val="28"/>
                <w:rFonts w:ascii="Times New Roman" w:hAnsi="Times New Roman" w:eastAsia="宋体" w:cs="Times New Roman"/>
                <w:color w:val="auto"/>
                <w:kern w:val="2"/>
                <w:sz w:val="21"/>
                <w:szCs w:val="21"/>
                <w:highlight w:val="none"/>
                <w:lang w:val="en-US" w:eastAsia="zh-CN" w:bidi="ar-SA"/>
              </w:rPr>
            </w:pPr>
          </w:p>
        </w:tc>
        <w:tc>
          <w:tcPr>
            <w:tcW w:w="870" w:type="dxa"/>
            <w:noWrap w:val="0"/>
            <w:vAlign w:val="center"/>
          </w:tcPr>
          <w:p w14:paraId="2327653F">
            <w:pPr>
              <w:pStyle w:val="47"/>
              <w:widowControl w:val="0"/>
              <w:ind w:left="223" w:hanging="222" w:hangingChars="106"/>
              <w:jc w:val="center"/>
              <w:rPr>
                <w:rStyle w:val="28"/>
                <w:rFonts w:ascii="Times New Roman" w:hAnsi="Times New Roman" w:eastAsia="宋体" w:cs="Times New Roman"/>
                <w:color w:val="auto"/>
                <w:kern w:val="2"/>
                <w:sz w:val="21"/>
                <w:szCs w:val="21"/>
                <w:highlight w:val="none"/>
                <w:lang w:val="en-US" w:eastAsia="zh-CN" w:bidi="ar-SA"/>
              </w:rPr>
            </w:pPr>
          </w:p>
        </w:tc>
        <w:tc>
          <w:tcPr>
            <w:tcW w:w="1170" w:type="dxa"/>
            <w:noWrap w:val="0"/>
            <w:vAlign w:val="center"/>
          </w:tcPr>
          <w:p w14:paraId="04DB6E7F">
            <w:pPr>
              <w:pStyle w:val="47"/>
              <w:widowControl w:val="0"/>
              <w:ind w:left="223" w:hanging="222" w:hangingChars="106"/>
              <w:jc w:val="center"/>
              <w:rPr>
                <w:rStyle w:val="28"/>
                <w:rFonts w:ascii="Times New Roman" w:hAnsi="Times New Roman" w:eastAsia="宋体" w:cs="Times New Roman"/>
                <w:color w:val="auto"/>
                <w:kern w:val="2"/>
                <w:sz w:val="21"/>
                <w:szCs w:val="21"/>
                <w:highlight w:val="none"/>
                <w:lang w:val="en-US" w:eastAsia="zh-CN" w:bidi="ar-SA"/>
              </w:rPr>
            </w:pPr>
          </w:p>
        </w:tc>
        <w:tc>
          <w:tcPr>
            <w:tcW w:w="720" w:type="dxa"/>
            <w:noWrap w:val="0"/>
            <w:vAlign w:val="top"/>
          </w:tcPr>
          <w:p w14:paraId="0A6C6F3C">
            <w:pPr>
              <w:pStyle w:val="47"/>
              <w:widowControl w:val="0"/>
              <w:ind w:left="223" w:hanging="222" w:hangingChars="106"/>
              <w:jc w:val="center"/>
              <w:rPr>
                <w:rStyle w:val="28"/>
                <w:rFonts w:ascii="Times New Roman" w:hAnsi="Times New Roman" w:eastAsia="宋体" w:cs="Times New Roman"/>
                <w:color w:val="auto"/>
                <w:kern w:val="2"/>
                <w:sz w:val="21"/>
                <w:szCs w:val="21"/>
                <w:highlight w:val="none"/>
                <w:lang w:val="en-US" w:eastAsia="zh-CN" w:bidi="ar-SA"/>
              </w:rPr>
            </w:pPr>
          </w:p>
        </w:tc>
      </w:tr>
      <w:tr w14:paraId="7E88D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61" w:type="dxa"/>
            <w:noWrap w:val="0"/>
            <w:vAlign w:val="center"/>
          </w:tcPr>
          <w:p w14:paraId="150CA6F7">
            <w:pPr>
              <w:pStyle w:val="47"/>
              <w:widowControl w:val="0"/>
              <w:ind w:left="223" w:hanging="222" w:hangingChars="106"/>
              <w:jc w:val="center"/>
              <w:rPr>
                <w:rStyle w:val="28"/>
                <w:rFonts w:ascii="Times New Roman" w:hAnsi="Times New Roman" w:eastAsia="宋体" w:cs="Times New Roman"/>
                <w:color w:val="auto"/>
                <w:kern w:val="2"/>
                <w:sz w:val="21"/>
                <w:szCs w:val="21"/>
                <w:highlight w:val="none"/>
                <w:lang w:val="en-US" w:eastAsia="zh-CN" w:bidi="ar-SA"/>
              </w:rPr>
            </w:pPr>
          </w:p>
        </w:tc>
        <w:tc>
          <w:tcPr>
            <w:tcW w:w="829" w:type="dxa"/>
            <w:noWrap w:val="0"/>
            <w:vAlign w:val="center"/>
          </w:tcPr>
          <w:p w14:paraId="78395C55">
            <w:pPr>
              <w:pStyle w:val="47"/>
              <w:widowControl w:val="0"/>
              <w:ind w:left="223" w:hanging="222" w:hangingChars="106"/>
              <w:jc w:val="center"/>
              <w:rPr>
                <w:rStyle w:val="28"/>
                <w:rFonts w:ascii="Times New Roman" w:hAnsi="Times New Roman" w:eastAsia="宋体" w:cs="Times New Roman"/>
                <w:color w:val="auto"/>
                <w:kern w:val="2"/>
                <w:sz w:val="21"/>
                <w:szCs w:val="21"/>
                <w:highlight w:val="none"/>
                <w:lang w:val="en-US" w:eastAsia="zh-CN" w:bidi="ar-SA"/>
              </w:rPr>
            </w:pPr>
          </w:p>
        </w:tc>
        <w:tc>
          <w:tcPr>
            <w:tcW w:w="829" w:type="dxa"/>
            <w:noWrap w:val="0"/>
            <w:vAlign w:val="center"/>
          </w:tcPr>
          <w:p w14:paraId="29016DC5">
            <w:pPr>
              <w:pStyle w:val="47"/>
              <w:widowControl w:val="0"/>
              <w:ind w:left="223" w:hanging="222" w:hangingChars="106"/>
              <w:jc w:val="center"/>
              <w:rPr>
                <w:rStyle w:val="28"/>
                <w:rFonts w:ascii="Times New Roman" w:hAnsi="Times New Roman" w:eastAsia="宋体" w:cs="Times New Roman"/>
                <w:color w:val="auto"/>
                <w:kern w:val="2"/>
                <w:sz w:val="21"/>
                <w:szCs w:val="21"/>
                <w:highlight w:val="none"/>
                <w:lang w:val="en-US" w:eastAsia="zh-CN" w:bidi="ar-SA"/>
              </w:rPr>
            </w:pPr>
          </w:p>
        </w:tc>
        <w:tc>
          <w:tcPr>
            <w:tcW w:w="816" w:type="dxa"/>
            <w:noWrap w:val="0"/>
            <w:vAlign w:val="center"/>
          </w:tcPr>
          <w:p w14:paraId="6516FBC7">
            <w:pPr>
              <w:pStyle w:val="47"/>
              <w:widowControl w:val="0"/>
              <w:ind w:left="223" w:hanging="222" w:hangingChars="106"/>
              <w:jc w:val="center"/>
              <w:rPr>
                <w:rStyle w:val="28"/>
                <w:rFonts w:ascii="Times New Roman" w:hAnsi="Times New Roman" w:eastAsia="宋体" w:cs="Times New Roman"/>
                <w:color w:val="auto"/>
                <w:kern w:val="2"/>
                <w:sz w:val="21"/>
                <w:szCs w:val="21"/>
                <w:highlight w:val="none"/>
                <w:lang w:val="en-US" w:eastAsia="zh-CN" w:bidi="ar-SA"/>
              </w:rPr>
            </w:pPr>
          </w:p>
        </w:tc>
        <w:tc>
          <w:tcPr>
            <w:tcW w:w="1148" w:type="dxa"/>
            <w:noWrap w:val="0"/>
            <w:vAlign w:val="center"/>
          </w:tcPr>
          <w:p w14:paraId="6875878A">
            <w:pPr>
              <w:pStyle w:val="47"/>
              <w:widowControl w:val="0"/>
              <w:ind w:left="223" w:hanging="222" w:hangingChars="106"/>
              <w:jc w:val="center"/>
              <w:rPr>
                <w:rStyle w:val="28"/>
                <w:rFonts w:ascii="Times New Roman" w:hAnsi="Times New Roman" w:eastAsia="宋体" w:cs="Times New Roman"/>
                <w:color w:val="auto"/>
                <w:kern w:val="2"/>
                <w:sz w:val="21"/>
                <w:szCs w:val="21"/>
                <w:highlight w:val="none"/>
                <w:lang w:val="en-US" w:eastAsia="zh-CN" w:bidi="ar-SA"/>
              </w:rPr>
            </w:pPr>
          </w:p>
        </w:tc>
        <w:tc>
          <w:tcPr>
            <w:tcW w:w="1148" w:type="dxa"/>
            <w:noWrap w:val="0"/>
            <w:vAlign w:val="center"/>
          </w:tcPr>
          <w:p w14:paraId="19EB8863">
            <w:pPr>
              <w:pStyle w:val="47"/>
              <w:widowControl w:val="0"/>
              <w:ind w:left="223" w:hanging="222" w:hangingChars="106"/>
              <w:jc w:val="center"/>
              <w:rPr>
                <w:rStyle w:val="28"/>
                <w:rFonts w:ascii="Times New Roman" w:hAnsi="Times New Roman" w:eastAsia="宋体" w:cs="Times New Roman"/>
                <w:color w:val="auto"/>
                <w:kern w:val="2"/>
                <w:sz w:val="21"/>
                <w:szCs w:val="21"/>
                <w:highlight w:val="none"/>
                <w:lang w:val="en-US" w:eastAsia="zh-CN" w:bidi="ar-SA"/>
              </w:rPr>
            </w:pPr>
          </w:p>
        </w:tc>
        <w:tc>
          <w:tcPr>
            <w:tcW w:w="1148" w:type="dxa"/>
            <w:noWrap w:val="0"/>
            <w:vAlign w:val="center"/>
          </w:tcPr>
          <w:p w14:paraId="0E8674D7">
            <w:pPr>
              <w:pStyle w:val="47"/>
              <w:widowControl w:val="0"/>
              <w:ind w:left="223" w:hanging="222" w:hangingChars="106"/>
              <w:jc w:val="center"/>
              <w:rPr>
                <w:rStyle w:val="28"/>
                <w:rFonts w:ascii="Times New Roman" w:hAnsi="Times New Roman" w:eastAsia="宋体" w:cs="Times New Roman"/>
                <w:color w:val="auto"/>
                <w:kern w:val="2"/>
                <w:sz w:val="21"/>
                <w:szCs w:val="21"/>
                <w:highlight w:val="none"/>
                <w:lang w:val="en-US" w:eastAsia="zh-CN" w:bidi="ar-SA"/>
              </w:rPr>
            </w:pPr>
          </w:p>
        </w:tc>
        <w:tc>
          <w:tcPr>
            <w:tcW w:w="744" w:type="dxa"/>
            <w:noWrap w:val="0"/>
            <w:vAlign w:val="center"/>
          </w:tcPr>
          <w:p w14:paraId="384A7B77">
            <w:pPr>
              <w:pStyle w:val="47"/>
              <w:widowControl w:val="0"/>
              <w:ind w:left="223" w:hanging="222" w:hangingChars="106"/>
              <w:jc w:val="center"/>
              <w:rPr>
                <w:rStyle w:val="28"/>
                <w:rFonts w:ascii="Times New Roman" w:hAnsi="Times New Roman" w:eastAsia="宋体" w:cs="Times New Roman"/>
                <w:color w:val="auto"/>
                <w:kern w:val="2"/>
                <w:sz w:val="21"/>
                <w:szCs w:val="21"/>
                <w:highlight w:val="none"/>
                <w:lang w:val="en-US" w:eastAsia="zh-CN" w:bidi="ar-SA"/>
              </w:rPr>
            </w:pPr>
          </w:p>
        </w:tc>
        <w:tc>
          <w:tcPr>
            <w:tcW w:w="870" w:type="dxa"/>
            <w:noWrap w:val="0"/>
            <w:vAlign w:val="center"/>
          </w:tcPr>
          <w:p w14:paraId="5C089373">
            <w:pPr>
              <w:pStyle w:val="47"/>
              <w:widowControl w:val="0"/>
              <w:ind w:left="223" w:hanging="222" w:hangingChars="106"/>
              <w:jc w:val="center"/>
              <w:rPr>
                <w:rStyle w:val="28"/>
                <w:rFonts w:ascii="Times New Roman" w:hAnsi="Times New Roman" w:eastAsia="宋体" w:cs="Times New Roman"/>
                <w:color w:val="auto"/>
                <w:kern w:val="2"/>
                <w:sz w:val="21"/>
                <w:szCs w:val="21"/>
                <w:highlight w:val="none"/>
                <w:lang w:val="en-US" w:eastAsia="zh-CN" w:bidi="ar-SA"/>
              </w:rPr>
            </w:pPr>
          </w:p>
        </w:tc>
        <w:tc>
          <w:tcPr>
            <w:tcW w:w="1170" w:type="dxa"/>
            <w:noWrap w:val="0"/>
            <w:vAlign w:val="center"/>
          </w:tcPr>
          <w:p w14:paraId="17194CB6">
            <w:pPr>
              <w:pStyle w:val="47"/>
              <w:widowControl w:val="0"/>
              <w:ind w:left="223" w:hanging="222" w:hangingChars="106"/>
              <w:jc w:val="center"/>
              <w:rPr>
                <w:rStyle w:val="28"/>
                <w:rFonts w:ascii="Times New Roman" w:hAnsi="Times New Roman" w:eastAsia="宋体" w:cs="Times New Roman"/>
                <w:color w:val="auto"/>
                <w:kern w:val="2"/>
                <w:sz w:val="21"/>
                <w:szCs w:val="21"/>
                <w:highlight w:val="none"/>
                <w:lang w:val="en-US" w:eastAsia="zh-CN" w:bidi="ar-SA"/>
              </w:rPr>
            </w:pPr>
          </w:p>
        </w:tc>
        <w:tc>
          <w:tcPr>
            <w:tcW w:w="720" w:type="dxa"/>
            <w:noWrap w:val="0"/>
            <w:vAlign w:val="top"/>
          </w:tcPr>
          <w:p w14:paraId="4C3DD63F">
            <w:pPr>
              <w:pStyle w:val="47"/>
              <w:widowControl w:val="0"/>
              <w:ind w:left="223" w:hanging="222" w:hangingChars="106"/>
              <w:jc w:val="center"/>
              <w:rPr>
                <w:rStyle w:val="28"/>
                <w:rFonts w:ascii="Times New Roman" w:hAnsi="Times New Roman" w:eastAsia="宋体" w:cs="Times New Roman"/>
                <w:color w:val="auto"/>
                <w:kern w:val="2"/>
                <w:sz w:val="21"/>
                <w:szCs w:val="21"/>
                <w:highlight w:val="none"/>
                <w:lang w:val="en-US" w:eastAsia="zh-CN" w:bidi="ar-SA"/>
              </w:rPr>
            </w:pPr>
          </w:p>
        </w:tc>
      </w:tr>
      <w:tr w14:paraId="283D1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61" w:type="dxa"/>
            <w:noWrap w:val="0"/>
            <w:vAlign w:val="center"/>
          </w:tcPr>
          <w:p w14:paraId="39F85667">
            <w:pPr>
              <w:pStyle w:val="47"/>
              <w:widowControl w:val="0"/>
              <w:ind w:left="223" w:hanging="222" w:hangingChars="106"/>
              <w:jc w:val="center"/>
              <w:rPr>
                <w:rStyle w:val="28"/>
                <w:rFonts w:ascii="Times New Roman" w:hAnsi="Times New Roman" w:eastAsia="宋体" w:cs="Times New Roman"/>
                <w:color w:val="auto"/>
                <w:kern w:val="2"/>
                <w:sz w:val="21"/>
                <w:szCs w:val="21"/>
                <w:highlight w:val="none"/>
                <w:lang w:val="en-US" w:eastAsia="zh-CN" w:bidi="ar-SA"/>
              </w:rPr>
            </w:pPr>
          </w:p>
        </w:tc>
        <w:tc>
          <w:tcPr>
            <w:tcW w:w="829" w:type="dxa"/>
            <w:noWrap w:val="0"/>
            <w:vAlign w:val="center"/>
          </w:tcPr>
          <w:p w14:paraId="7B393255">
            <w:pPr>
              <w:pStyle w:val="47"/>
              <w:widowControl w:val="0"/>
              <w:ind w:left="223" w:hanging="222" w:hangingChars="106"/>
              <w:jc w:val="center"/>
              <w:rPr>
                <w:rStyle w:val="28"/>
                <w:rFonts w:ascii="Times New Roman" w:hAnsi="Times New Roman" w:eastAsia="宋体" w:cs="Times New Roman"/>
                <w:color w:val="auto"/>
                <w:kern w:val="2"/>
                <w:sz w:val="21"/>
                <w:szCs w:val="21"/>
                <w:highlight w:val="none"/>
                <w:lang w:val="en-US" w:eastAsia="zh-CN" w:bidi="ar-SA"/>
              </w:rPr>
            </w:pPr>
          </w:p>
        </w:tc>
        <w:tc>
          <w:tcPr>
            <w:tcW w:w="829" w:type="dxa"/>
            <w:noWrap w:val="0"/>
            <w:vAlign w:val="center"/>
          </w:tcPr>
          <w:p w14:paraId="00DC5539">
            <w:pPr>
              <w:pStyle w:val="47"/>
              <w:widowControl w:val="0"/>
              <w:ind w:left="223" w:hanging="222" w:hangingChars="106"/>
              <w:jc w:val="center"/>
              <w:rPr>
                <w:rStyle w:val="28"/>
                <w:rFonts w:ascii="Times New Roman" w:hAnsi="Times New Roman" w:eastAsia="宋体" w:cs="Times New Roman"/>
                <w:color w:val="auto"/>
                <w:kern w:val="2"/>
                <w:sz w:val="21"/>
                <w:szCs w:val="21"/>
                <w:highlight w:val="none"/>
                <w:lang w:val="en-US" w:eastAsia="zh-CN" w:bidi="ar-SA"/>
              </w:rPr>
            </w:pPr>
          </w:p>
        </w:tc>
        <w:tc>
          <w:tcPr>
            <w:tcW w:w="816" w:type="dxa"/>
            <w:noWrap w:val="0"/>
            <w:vAlign w:val="center"/>
          </w:tcPr>
          <w:p w14:paraId="35586B49">
            <w:pPr>
              <w:pStyle w:val="47"/>
              <w:widowControl w:val="0"/>
              <w:ind w:left="223" w:hanging="222" w:hangingChars="106"/>
              <w:jc w:val="center"/>
              <w:rPr>
                <w:rStyle w:val="28"/>
                <w:rFonts w:ascii="Times New Roman" w:hAnsi="Times New Roman" w:eastAsia="宋体" w:cs="Times New Roman"/>
                <w:color w:val="auto"/>
                <w:kern w:val="2"/>
                <w:sz w:val="21"/>
                <w:szCs w:val="21"/>
                <w:highlight w:val="none"/>
                <w:lang w:val="en-US" w:eastAsia="zh-CN" w:bidi="ar-SA"/>
              </w:rPr>
            </w:pPr>
          </w:p>
        </w:tc>
        <w:tc>
          <w:tcPr>
            <w:tcW w:w="1148" w:type="dxa"/>
            <w:noWrap w:val="0"/>
            <w:vAlign w:val="center"/>
          </w:tcPr>
          <w:p w14:paraId="1F1B86C2">
            <w:pPr>
              <w:pStyle w:val="47"/>
              <w:widowControl w:val="0"/>
              <w:ind w:left="223" w:hanging="222" w:hangingChars="106"/>
              <w:jc w:val="center"/>
              <w:rPr>
                <w:rStyle w:val="28"/>
                <w:rFonts w:ascii="Times New Roman" w:hAnsi="Times New Roman" w:eastAsia="宋体" w:cs="Times New Roman"/>
                <w:color w:val="auto"/>
                <w:kern w:val="2"/>
                <w:sz w:val="21"/>
                <w:szCs w:val="21"/>
                <w:highlight w:val="none"/>
                <w:lang w:val="en-US" w:eastAsia="zh-CN" w:bidi="ar-SA"/>
              </w:rPr>
            </w:pPr>
          </w:p>
        </w:tc>
        <w:tc>
          <w:tcPr>
            <w:tcW w:w="1148" w:type="dxa"/>
            <w:noWrap w:val="0"/>
            <w:vAlign w:val="center"/>
          </w:tcPr>
          <w:p w14:paraId="2CFFBEE3">
            <w:pPr>
              <w:pStyle w:val="47"/>
              <w:widowControl w:val="0"/>
              <w:ind w:left="223" w:hanging="222" w:hangingChars="106"/>
              <w:jc w:val="center"/>
              <w:rPr>
                <w:rStyle w:val="28"/>
                <w:rFonts w:ascii="Times New Roman" w:hAnsi="Times New Roman" w:eastAsia="宋体" w:cs="Times New Roman"/>
                <w:color w:val="auto"/>
                <w:kern w:val="2"/>
                <w:sz w:val="21"/>
                <w:szCs w:val="21"/>
                <w:highlight w:val="none"/>
                <w:lang w:val="en-US" w:eastAsia="zh-CN" w:bidi="ar-SA"/>
              </w:rPr>
            </w:pPr>
          </w:p>
        </w:tc>
        <w:tc>
          <w:tcPr>
            <w:tcW w:w="1148" w:type="dxa"/>
            <w:noWrap w:val="0"/>
            <w:vAlign w:val="center"/>
          </w:tcPr>
          <w:p w14:paraId="037A2180">
            <w:pPr>
              <w:pStyle w:val="47"/>
              <w:widowControl w:val="0"/>
              <w:ind w:left="223" w:hanging="222" w:hangingChars="106"/>
              <w:jc w:val="center"/>
              <w:rPr>
                <w:rStyle w:val="28"/>
                <w:rFonts w:ascii="Times New Roman" w:hAnsi="Times New Roman" w:eastAsia="宋体" w:cs="Times New Roman"/>
                <w:color w:val="auto"/>
                <w:kern w:val="2"/>
                <w:sz w:val="21"/>
                <w:szCs w:val="21"/>
                <w:highlight w:val="none"/>
                <w:lang w:val="en-US" w:eastAsia="zh-CN" w:bidi="ar-SA"/>
              </w:rPr>
            </w:pPr>
          </w:p>
        </w:tc>
        <w:tc>
          <w:tcPr>
            <w:tcW w:w="744" w:type="dxa"/>
            <w:noWrap w:val="0"/>
            <w:vAlign w:val="center"/>
          </w:tcPr>
          <w:p w14:paraId="114B24F4">
            <w:pPr>
              <w:pStyle w:val="47"/>
              <w:widowControl w:val="0"/>
              <w:ind w:left="223" w:hanging="222" w:hangingChars="106"/>
              <w:jc w:val="center"/>
              <w:rPr>
                <w:rStyle w:val="28"/>
                <w:rFonts w:ascii="Times New Roman" w:hAnsi="Times New Roman" w:eastAsia="宋体" w:cs="Times New Roman"/>
                <w:color w:val="auto"/>
                <w:kern w:val="2"/>
                <w:sz w:val="21"/>
                <w:szCs w:val="21"/>
                <w:highlight w:val="none"/>
                <w:lang w:val="en-US" w:eastAsia="zh-CN" w:bidi="ar-SA"/>
              </w:rPr>
            </w:pPr>
          </w:p>
        </w:tc>
        <w:tc>
          <w:tcPr>
            <w:tcW w:w="870" w:type="dxa"/>
            <w:noWrap w:val="0"/>
            <w:vAlign w:val="center"/>
          </w:tcPr>
          <w:p w14:paraId="747E324A">
            <w:pPr>
              <w:pStyle w:val="47"/>
              <w:widowControl w:val="0"/>
              <w:ind w:left="223" w:hanging="222" w:hangingChars="106"/>
              <w:jc w:val="center"/>
              <w:rPr>
                <w:rStyle w:val="28"/>
                <w:rFonts w:ascii="Times New Roman" w:hAnsi="Times New Roman" w:eastAsia="宋体" w:cs="Times New Roman"/>
                <w:color w:val="auto"/>
                <w:kern w:val="2"/>
                <w:sz w:val="21"/>
                <w:szCs w:val="21"/>
                <w:highlight w:val="none"/>
                <w:lang w:val="en-US" w:eastAsia="zh-CN" w:bidi="ar-SA"/>
              </w:rPr>
            </w:pPr>
          </w:p>
        </w:tc>
        <w:tc>
          <w:tcPr>
            <w:tcW w:w="1170" w:type="dxa"/>
            <w:noWrap w:val="0"/>
            <w:vAlign w:val="center"/>
          </w:tcPr>
          <w:p w14:paraId="1D30E1EA">
            <w:pPr>
              <w:pStyle w:val="47"/>
              <w:widowControl w:val="0"/>
              <w:ind w:left="223" w:hanging="222" w:hangingChars="106"/>
              <w:jc w:val="center"/>
              <w:rPr>
                <w:rStyle w:val="28"/>
                <w:rFonts w:ascii="Times New Roman" w:hAnsi="Times New Roman" w:eastAsia="宋体" w:cs="Times New Roman"/>
                <w:color w:val="auto"/>
                <w:kern w:val="2"/>
                <w:sz w:val="21"/>
                <w:szCs w:val="21"/>
                <w:highlight w:val="none"/>
                <w:lang w:val="en-US" w:eastAsia="zh-CN" w:bidi="ar-SA"/>
              </w:rPr>
            </w:pPr>
          </w:p>
        </w:tc>
        <w:tc>
          <w:tcPr>
            <w:tcW w:w="720" w:type="dxa"/>
            <w:noWrap w:val="0"/>
            <w:vAlign w:val="top"/>
          </w:tcPr>
          <w:p w14:paraId="3860CFF6">
            <w:pPr>
              <w:pStyle w:val="47"/>
              <w:widowControl w:val="0"/>
              <w:ind w:left="223" w:hanging="222" w:hangingChars="106"/>
              <w:jc w:val="center"/>
              <w:rPr>
                <w:rStyle w:val="28"/>
                <w:rFonts w:ascii="Times New Roman" w:hAnsi="Times New Roman" w:eastAsia="宋体" w:cs="Times New Roman"/>
                <w:color w:val="auto"/>
                <w:kern w:val="2"/>
                <w:sz w:val="21"/>
                <w:szCs w:val="21"/>
                <w:highlight w:val="none"/>
                <w:lang w:val="en-US" w:eastAsia="zh-CN" w:bidi="ar-SA"/>
              </w:rPr>
            </w:pPr>
          </w:p>
        </w:tc>
      </w:tr>
      <w:tr w14:paraId="1A3AD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61" w:type="dxa"/>
            <w:noWrap w:val="0"/>
            <w:vAlign w:val="center"/>
          </w:tcPr>
          <w:p w14:paraId="0E486780">
            <w:pPr>
              <w:pStyle w:val="47"/>
              <w:widowControl w:val="0"/>
              <w:ind w:left="223" w:hanging="222" w:hangingChars="106"/>
              <w:jc w:val="center"/>
              <w:rPr>
                <w:rStyle w:val="28"/>
                <w:rFonts w:ascii="Times New Roman" w:hAnsi="Times New Roman" w:eastAsia="宋体" w:cs="Times New Roman"/>
                <w:color w:val="auto"/>
                <w:kern w:val="2"/>
                <w:sz w:val="21"/>
                <w:szCs w:val="21"/>
                <w:highlight w:val="none"/>
                <w:lang w:val="en-US" w:eastAsia="zh-CN" w:bidi="ar-SA"/>
              </w:rPr>
            </w:pPr>
          </w:p>
        </w:tc>
        <w:tc>
          <w:tcPr>
            <w:tcW w:w="829" w:type="dxa"/>
            <w:noWrap w:val="0"/>
            <w:vAlign w:val="center"/>
          </w:tcPr>
          <w:p w14:paraId="1FB4210E">
            <w:pPr>
              <w:pStyle w:val="47"/>
              <w:widowControl w:val="0"/>
              <w:ind w:left="223" w:hanging="222" w:hangingChars="106"/>
              <w:jc w:val="center"/>
              <w:rPr>
                <w:rStyle w:val="28"/>
                <w:rFonts w:ascii="Times New Roman" w:hAnsi="Times New Roman" w:eastAsia="宋体" w:cs="Times New Roman"/>
                <w:color w:val="auto"/>
                <w:kern w:val="2"/>
                <w:sz w:val="21"/>
                <w:szCs w:val="21"/>
                <w:highlight w:val="none"/>
                <w:lang w:val="en-US" w:eastAsia="zh-CN" w:bidi="ar-SA"/>
              </w:rPr>
            </w:pPr>
          </w:p>
        </w:tc>
        <w:tc>
          <w:tcPr>
            <w:tcW w:w="829" w:type="dxa"/>
            <w:noWrap w:val="0"/>
            <w:vAlign w:val="center"/>
          </w:tcPr>
          <w:p w14:paraId="26F8A35E">
            <w:pPr>
              <w:pStyle w:val="47"/>
              <w:widowControl w:val="0"/>
              <w:ind w:left="223" w:hanging="222" w:hangingChars="106"/>
              <w:jc w:val="center"/>
              <w:rPr>
                <w:rStyle w:val="28"/>
                <w:rFonts w:ascii="Times New Roman" w:hAnsi="Times New Roman" w:eastAsia="宋体" w:cs="Times New Roman"/>
                <w:color w:val="auto"/>
                <w:kern w:val="2"/>
                <w:sz w:val="21"/>
                <w:szCs w:val="21"/>
                <w:highlight w:val="none"/>
                <w:lang w:val="en-US" w:eastAsia="zh-CN" w:bidi="ar-SA"/>
              </w:rPr>
            </w:pPr>
          </w:p>
        </w:tc>
        <w:tc>
          <w:tcPr>
            <w:tcW w:w="816" w:type="dxa"/>
            <w:noWrap w:val="0"/>
            <w:vAlign w:val="center"/>
          </w:tcPr>
          <w:p w14:paraId="5AA48C0A">
            <w:pPr>
              <w:pStyle w:val="47"/>
              <w:widowControl w:val="0"/>
              <w:ind w:left="223" w:hanging="222" w:hangingChars="106"/>
              <w:jc w:val="center"/>
              <w:rPr>
                <w:rStyle w:val="28"/>
                <w:rFonts w:ascii="Times New Roman" w:hAnsi="Times New Roman" w:eastAsia="宋体" w:cs="Times New Roman"/>
                <w:color w:val="auto"/>
                <w:kern w:val="2"/>
                <w:sz w:val="21"/>
                <w:szCs w:val="21"/>
                <w:highlight w:val="none"/>
                <w:lang w:val="en-US" w:eastAsia="zh-CN" w:bidi="ar-SA"/>
              </w:rPr>
            </w:pPr>
          </w:p>
        </w:tc>
        <w:tc>
          <w:tcPr>
            <w:tcW w:w="1148" w:type="dxa"/>
            <w:noWrap w:val="0"/>
            <w:vAlign w:val="center"/>
          </w:tcPr>
          <w:p w14:paraId="14ABFDE0">
            <w:pPr>
              <w:pStyle w:val="47"/>
              <w:widowControl w:val="0"/>
              <w:ind w:left="223" w:hanging="222" w:hangingChars="106"/>
              <w:jc w:val="center"/>
              <w:rPr>
                <w:rStyle w:val="28"/>
                <w:rFonts w:ascii="Times New Roman" w:hAnsi="Times New Roman" w:eastAsia="宋体" w:cs="Times New Roman"/>
                <w:color w:val="auto"/>
                <w:kern w:val="2"/>
                <w:sz w:val="21"/>
                <w:szCs w:val="21"/>
                <w:highlight w:val="none"/>
                <w:lang w:val="en-US" w:eastAsia="zh-CN" w:bidi="ar-SA"/>
              </w:rPr>
            </w:pPr>
          </w:p>
        </w:tc>
        <w:tc>
          <w:tcPr>
            <w:tcW w:w="1148" w:type="dxa"/>
            <w:noWrap w:val="0"/>
            <w:vAlign w:val="center"/>
          </w:tcPr>
          <w:p w14:paraId="785A98FD">
            <w:pPr>
              <w:pStyle w:val="47"/>
              <w:widowControl w:val="0"/>
              <w:ind w:left="223" w:hanging="222" w:hangingChars="106"/>
              <w:jc w:val="center"/>
              <w:rPr>
                <w:rStyle w:val="28"/>
                <w:rFonts w:ascii="Times New Roman" w:hAnsi="Times New Roman" w:eastAsia="宋体" w:cs="Times New Roman"/>
                <w:color w:val="auto"/>
                <w:kern w:val="2"/>
                <w:sz w:val="21"/>
                <w:szCs w:val="21"/>
                <w:highlight w:val="none"/>
                <w:lang w:val="en-US" w:eastAsia="zh-CN" w:bidi="ar-SA"/>
              </w:rPr>
            </w:pPr>
          </w:p>
        </w:tc>
        <w:tc>
          <w:tcPr>
            <w:tcW w:w="1148" w:type="dxa"/>
            <w:noWrap w:val="0"/>
            <w:vAlign w:val="center"/>
          </w:tcPr>
          <w:p w14:paraId="32953B8F">
            <w:pPr>
              <w:pStyle w:val="47"/>
              <w:widowControl w:val="0"/>
              <w:ind w:left="223" w:hanging="222" w:hangingChars="106"/>
              <w:jc w:val="center"/>
              <w:rPr>
                <w:rStyle w:val="28"/>
                <w:rFonts w:ascii="Times New Roman" w:hAnsi="Times New Roman" w:eastAsia="宋体" w:cs="Times New Roman"/>
                <w:color w:val="auto"/>
                <w:kern w:val="2"/>
                <w:sz w:val="21"/>
                <w:szCs w:val="21"/>
                <w:highlight w:val="none"/>
                <w:lang w:val="en-US" w:eastAsia="zh-CN" w:bidi="ar-SA"/>
              </w:rPr>
            </w:pPr>
          </w:p>
        </w:tc>
        <w:tc>
          <w:tcPr>
            <w:tcW w:w="744" w:type="dxa"/>
            <w:noWrap w:val="0"/>
            <w:vAlign w:val="center"/>
          </w:tcPr>
          <w:p w14:paraId="5A52AC5E">
            <w:pPr>
              <w:pStyle w:val="47"/>
              <w:widowControl w:val="0"/>
              <w:ind w:left="223" w:hanging="222" w:hangingChars="106"/>
              <w:jc w:val="center"/>
              <w:rPr>
                <w:rStyle w:val="28"/>
                <w:rFonts w:ascii="Times New Roman" w:hAnsi="Times New Roman" w:eastAsia="宋体" w:cs="Times New Roman"/>
                <w:color w:val="auto"/>
                <w:kern w:val="2"/>
                <w:sz w:val="21"/>
                <w:szCs w:val="21"/>
                <w:highlight w:val="none"/>
                <w:lang w:val="en-US" w:eastAsia="zh-CN" w:bidi="ar-SA"/>
              </w:rPr>
            </w:pPr>
          </w:p>
        </w:tc>
        <w:tc>
          <w:tcPr>
            <w:tcW w:w="870" w:type="dxa"/>
            <w:noWrap w:val="0"/>
            <w:vAlign w:val="center"/>
          </w:tcPr>
          <w:p w14:paraId="1CF45C68">
            <w:pPr>
              <w:pStyle w:val="47"/>
              <w:widowControl w:val="0"/>
              <w:ind w:left="223" w:hanging="222" w:hangingChars="106"/>
              <w:jc w:val="center"/>
              <w:rPr>
                <w:rStyle w:val="28"/>
                <w:rFonts w:ascii="Times New Roman" w:hAnsi="Times New Roman" w:eastAsia="宋体" w:cs="Times New Roman"/>
                <w:color w:val="auto"/>
                <w:kern w:val="2"/>
                <w:sz w:val="21"/>
                <w:szCs w:val="21"/>
                <w:highlight w:val="none"/>
                <w:lang w:val="en-US" w:eastAsia="zh-CN" w:bidi="ar-SA"/>
              </w:rPr>
            </w:pPr>
          </w:p>
        </w:tc>
        <w:tc>
          <w:tcPr>
            <w:tcW w:w="1170" w:type="dxa"/>
            <w:noWrap w:val="0"/>
            <w:vAlign w:val="center"/>
          </w:tcPr>
          <w:p w14:paraId="226DFCB4">
            <w:pPr>
              <w:pStyle w:val="47"/>
              <w:widowControl w:val="0"/>
              <w:ind w:left="223" w:hanging="222" w:hangingChars="106"/>
              <w:jc w:val="center"/>
              <w:rPr>
                <w:rStyle w:val="28"/>
                <w:rFonts w:ascii="Times New Roman" w:hAnsi="Times New Roman" w:eastAsia="宋体" w:cs="Times New Roman"/>
                <w:color w:val="auto"/>
                <w:kern w:val="2"/>
                <w:sz w:val="21"/>
                <w:szCs w:val="21"/>
                <w:highlight w:val="none"/>
                <w:lang w:val="en-US" w:eastAsia="zh-CN" w:bidi="ar-SA"/>
              </w:rPr>
            </w:pPr>
          </w:p>
        </w:tc>
        <w:tc>
          <w:tcPr>
            <w:tcW w:w="720" w:type="dxa"/>
            <w:noWrap w:val="0"/>
            <w:vAlign w:val="top"/>
          </w:tcPr>
          <w:p w14:paraId="24CAD913">
            <w:pPr>
              <w:pStyle w:val="47"/>
              <w:widowControl w:val="0"/>
              <w:ind w:left="223" w:hanging="222" w:hangingChars="106"/>
              <w:jc w:val="center"/>
              <w:rPr>
                <w:rStyle w:val="28"/>
                <w:rFonts w:ascii="Times New Roman" w:hAnsi="Times New Roman" w:eastAsia="宋体" w:cs="Times New Roman"/>
                <w:color w:val="auto"/>
                <w:kern w:val="2"/>
                <w:sz w:val="21"/>
                <w:szCs w:val="21"/>
                <w:highlight w:val="none"/>
                <w:lang w:val="en-US" w:eastAsia="zh-CN" w:bidi="ar-SA"/>
              </w:rPr>
            </w:pPr>
          </w:p>
        </w:tc>
      </w:tr>
      <w:tr w14:paraId="58955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0183" w:type="dxa"/>
            <w:gridSpan w:val="11"/>
            <w:noWrap w:val="0"/>
            <w:vAlign w:val="center"/>
          </w:tcPr>
          <w:p w14:paraId="699C6D5C">
            <w:pPr>
              <w:pStyle w:val="47"/>
              <w:widowControl w:val="0"/>
              <w:ind w:left="223" w:hanging="222" w:hangingChars="106"/>
              <w:jc w:val="center"/>
              <w:rPr>
                <w:rStyle w:val="28"/>
                <w:rFonts w:ascii="Times New Roman" w:hAnsi="Times New Roman" w:eastAsia="宋体" w:cs="Times New Roman"/>
                <w:color w:val="auto"/>
                <w:kern w:val="2"/>
                <w:sz w:val="21"/>
                <w:szCs w:val="21"/>
                <w:highlight w:val="none"/>
                <w:lang w:val="en-US" w:eastAsia="zh-CN" w:bidi="ar-SA"/>
              </w:rPr>
            </w:pPr>
            <w:r>
              <w:rPr>
                <w:rStyle w:val="28"/>
                <w:rFonts w:hint="eastAsia" w:ascii="Times New Roman" w:hAnsi="Times New Roman" w:eastAsia="宋体" w:cs="Times New Roman"/>
                <w:color w:val="auto"/>
                <w:kern w:val="2"/>
                <w:sz w:val="21"/>
                <w:szCs w:val="21"/>
                <w:highlight w:val="none"/>
                <w:lang w:val="en-US" w:eastAsia="zh-CN" w:bidi="ar-SA"/>
              </w:rPr>
              <w:t>一旦我单位</w:t>
            </w:r>
            <w:r>
              <w:rPr>
                <w:rStyle w:val="28"/>
                <w:rFonts w:hint="eastAsia" w:ascii="Times New Roman" w:hAnsi="Times New Roman" w:cs="Times New Roman"/>
                <w:color w:val="auto"/>
                <w:kern w:val="2"/>
                <w:sz w:val="21"/>
                <w:szCs w:val="21"/>
                <w:highlight w:val="none"/>
                <w:lang w:val="en-US" w:eastAsia="zh-CN" w:bidi="ar-SA"/>
              </w:rPr>
              <w:t>成交</w:t>
            </w:r>
            <w:r>
              <w:rPr>
                <w:rStyle w:val="28"/>
                <w:rFonts w:hint="eastAsia" w:ascii="Times New Roman" w:hAnsi="Times New Roman" w:eastAsia="宋体" w:cs="Times New Roman"/>
                <w:color w:val="auto"/>
                <w:kern w:val="2"/>
                <w:sz w:val="21"/>
                <w:szCs w:val="21"/>
                <w:highlight w:val="none"/>
                <w:lang w:val="en-US" w:eastAsia="zh-CN" w:bidi="ar-SA"/>
              </w:rPr>
              <w:t>，将实行项目经理负责制，我方保证并配备上述项目管理机构。上述填报内容真实，若不真实，愿按有关规定接受处理。项目管理班子机构设置、职责分工等情况另附资料说明。</w:t>
            </w:r>
          </w:p>
        </w:tc>
      </w:tr>
    </w:tbl>
    <w:p w14:paraId="4B468EFB">
      <w:pPr>
        <w:pStyle w:val="47"/>
        <w:spacing w:line="360" w:lineRule="auto"/>
        <w:rPr>
          <w:rStyle w:val="28"/>
          <w:rFonts w:ascii="Times New Roman" w:hAnsi="Times New Roman" w:eastAsia="楷体_GB2312" w:cs="Times New Roman"/>
          <w:color w:val="auto"/>
          <w:szCs w:val="21"/>
          <w:highlight w:val="none"/>
        </w:rPr>
      </w:pPr>
      <w:r>
        <w:rPr>
          <w:rStyle w:val="28"/>
          <w:rFonts w:hint="eastAsia" w:ascii="Times New Roman" w:hAnsi="Times New Roman" w:eastAsia="楷体_GB2312" w:cs="楷体_GB2312"/>
          <w:color w:val="auto"/>
          <w:szCs w:val="21"/>
          <w:highlight w:val="none"/>
        </w:rPr>
        <w:t>备注：</w:t>
      </w:r>
    </w:p>
    <w:p w14:paraId="4587631D">
      <w:pPr>
        <w:pStyle w:val="47"/>
        <w:numPr>
          <w:ilvl w:val="0"/>
          <w:numId w:val="0"/>
        </w:numPr>
        <w:spacing w:line="360" w:lineRule="auto"/>
        <w:ind w:firstLine="420" w:firstLineChars="200"/>
        <w:rPr>
          <w:rStyle w:val="28"/>
          <w:rFonts w:ascii="Times New Roman" w:hAnsi="Times New Roman" w:eastAsia="楷体_GB2312" w:cs="楷体_GB2312"/>
          <w:color w:val="auto"/>
          <w:szCs w:val="21"/>
          <w:highlight w:val="none"/>
        </w:rPr>
      </w:pPr>
      <w:r>
        <w:rPr>
          <w:rStyle w:val="28"/>
          <w:rFonts w:hint="eastAsia" w:ascii="Times New Roman" w:hAnsi="Times New Roman" w:eastAsia="楷体_GB2312" w:cs="楷体_GB2312"/>
          <w:color w:val="auto"/>
          <w:szCs w:val="21"/>
          <w:highlight w:val="none"/>
          <w:lang w:val="en-US" w:eastAsia="zh-CN"/>
        </w:rPr>
        <w:t>1、按照文件要求提供响应人员证明或证书</w:t>
      </w:r>
      <w:r>
        <w:rPr>
          <w:rStyle w:val="28"/>
          <w:rFonts w:hint="eastAsia" w:ascii="Times New Roman" w:hAnsi="Times New Roman" w:eastAsia="楷体_GB2312" w:cs="楷体_GB2312"/>
          <w:color w:val="auto"/>
          <w:szCs w:val="21"/>
          <w:highlight w:val="none"/>
          <w:lang w:eastAsia="zh-CN"/>
        </w:rPr>
        <w:t>。</w:t>
      </w:r>
    </w:p>
    <w:p w14:paraId="161F40BB">
      <w:pPr>
        <w:pStyle w:val="47"/>
        <w:numPr>
          <w:ilvl w:val="0"/>
          <w:numId w:val="0"/>
        </w:numPr>
        <w:spacing w:line="360" w:lineRule="auto"/>
        <w:ind w:firstLine="420" w:firstLineChars="200"/>
        <w:rPr>
          <w:rStyle w:val="28"/>
          <w:rFonts w:ascii="Times New Roman" w:hAnsi="Times New Roman" w:eastAsia="楷体_GB2312" w:cs="楷体_GB2312"/>
          <w:color w:val="auto"/>
          <w:szCs w:val="21"/>
          <w:highlight w:val="none"/>
        </w:rPr>
      </w:pPr>
      <w:r>
        <w:rPr>
          <w:rStyle w:val="28"/>
          <w:rFonts w:hint="eastAsia" w:ascii="Times New Roman" w:hAnsi="Times New Roman" w:eastAsia="楷体_GB2312" w:cs="楷体_GB2312"/>
          <w:color w:val="auto"/>
          <w:szCs w:val="21"/>
          <w:highlight w:val="none"/>
          <w:lang w:val="en-US" w:eastAsia="zh-CN"/>
        </w:rPr>
        <w:t>2、</w:t>
      </w:r>
      <w:r>
        <w:rPr>
          <w:rStyle w:val="28"/>
          <w:rFonts w:hint="eastAsia" w:ascii="Times New Roman" w:hAnsi="Times New Roman" w:eastAsia="楷体_GB2312" w:cs="楷体_GB2312"/>
          <w:color w:val="auto"/>
          <w:szCs w:val="21"/>
          <w:highlight w:val="none"/>
        </w:rPr>
        <w:t>专职投标员只需要填写岗位、姓名、身份证号。</w:t>
      </w:r>
    </w:p>
    <w:p w14:paraId="24530F0E">
      <w:pPr>
        <w:snapToGrid w:val="0"/>
        <w:spacing w:line="360" w:lineRule="auto"/>
        <w:ind w:firstLine="602" w:firstLineChars="200"/>
        <w:rPr>
          <w:rFonts w:ascii="宋体" w:hAnsi="宋体" w:cs="宋体"/>
          <w:b/>
          <w:color w:val="auto"/>
          <w:sz w:val="30"/>
          <w:szCs w:val="30"/>
          <w:highlight w:val="none"/>
        </w:rPr>
      </w:pPr>
    </w:p>
    <w:p w14:paraId="1193815C">
      <w:pPr>
        <w:autoSpaceDE w:val="0"/>
        <w:autoSpaceDN w:val="0"/>
        <w:spacing w:line="360" w:lineRule="auto"/>
        <w:ind w:firstLine="6505" w:firstLineChars="2700"/>
        <w:rPr>
          <w:rFonts w:ascii="宋体" w:hAnsi="宋体" w:cs="宋体"/>
          <w:b/>
          <w:bCs/>
          <w:color w:val="auto"/>
          <w:sz w:val="24"/>
          <w:highlight w:val="none"/>
        </w:rPr>
      </w:pPr>
    </w:p>
    <w:p w14:paraId="30A5B385">
      <w:pPr>
        <w:autoSpaceDE w:val="0"/>
        <w:autoSpaceDN w:val="0"/>
        <w:spacing w:line="360" w:lineRule="auto"/>
        <w:ind w:left="4335" w:leftChars="1950" w:hanging="240" w:hangingChars="100"/>
        <w:rPr>
          <w:rFonts w:ascii="宋体" w:hAnsi="宋体" w:cs="宋体"/>
          <w:color w:val="auto"/>
          <w:kern w:val="0"/>
          <w:sz w:val="24"/>
          <w:highlight w:val="none"/>
        </w:rPr>
      </w:pPr>
      <w:r>
        <w:rPr>
          <w:rFonts w:hint="eastAsia" w:ascii="宋体" w:hAnsi="宋体" w:cs="宋体"/>
          <w:color w:val="auto"/>
          <w:kern w:val="0"/>
          <w:sz w:val="24"/>
          <w:highlight w:val="none"/>
        </w:rPr>
        <w:t>供应商名称（电子签章）：</w:t>
      </w:r>
    </w:p>
    <w:p w14:paraId="5FE4D0F4">
      <w:pPr>
        <w:autoSpaceDE w:val="0"/>
        <w:autoSpaceDN w:val="0"/>
        <w:spacing w:line="360" w:lineRule="auto"/>
        <w:ind w:firstLine="6480" w:firstLineChars="27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68310019">
      <w:pPr>
        <w:autoSpaceDE w:val="0"/>
        <w:autoSpaceDN w:val="0"/>
        <w:spacing w:line="360" w:lineRule="auto"/>
        <w:ind w:firstLine="6480" w:firstLineChars="2700"/>
        <w:rPr>
          <w:rFonts w:ascii="宋体" w:hAnsi="宋体" w:cs="宋体"/>
          <w:color w:val="auto"/>
          <w:kern w:val="0"/>
          <w:sz w:val="24"/>
          <w:highlight w:val="none"/>
          <w:lang w:val="zh-CN"/>
        </w:rPr>
      </w:pPr>
    </w:p>
    <w:p w14:paraId="0B142DED">
      <w:pPr>
        <w:snapToGrid w:val="0"/>
        <w:spacing w:line="360" w:lineRule="auto"/>
        <w:ind w:firstLine="602" w:firstLineChars="200"/>
        <w:rPr>
          <w:rFonts w:hint="eastAsia" w:ascii="宋体" w:hAnsi="宋体" w:cs="宋体"/>
          <w:b/>
          <w:color w:val="auto"/>
          <w:sz w:val="30"/>
          <w:szCs w:val="30"/>
          <w:highlight w:val="none"/>
        </w:rPr>
      </w:pPr>
    </w:p>
    <w:p w14:paraId="6281BC91">
      <w:pPr>
        <w:spacing w:before="178"/>
        <w:jc w:val="center"/>
        <w:rPr>
          <w:rFonts w:hint="eastAsia" w:ascii="宋体" w:hAnsi="宋体" w:eastAsia="宋体" w:cs="宋体"/>
          <w:color w:val="auto"/>
          <w:sz w:val="28"/>
          <w:szCs w:val="28"/>
          <w:highlight w:val="none"/>
        </w:rPr>
      </w:pPr>
    </w:p>
    <w:p w14:paraId="27AC8E9D">
      <w:pPr>
        <w:spacing w:before="178"/>
        <w:jc w:val="center"/>
        <w:rPr>
          <w:rFonts w:hint="eastAsia" w:ascii="宋体" w:hAnsi="宋体" w:eastAsia="宋体" w:cs="宋体"/>
          <w:color w:val="auto"/>
          <w:sz w:val="28"/>
          <w:szCs w:val="28"/>
          <w:highlight w:val="none"/>
        </w:rPr>
      </w:pPr>
    </w:p>
    <w:p w14:paraId="2904ADFB">
      <w:pPr>
        <w:spacing w:before="178"/>
        <w:jc w:val="center"/>
        <w:rPr>
          <w:rFonts w:hint="eastAsia" w:ascii="宋体" w:hAnsi="宋体" w:eastAsia="宋体" w:cs="宋体"/>
          <w:color w:val="auto"/>
          <w:sz w:val="28"/>
          <w:szCs w:val="28"/>
          <w:highlight w:val="none"/>
        </w:rPr>
      </w:pPr>
    </w:p>
    <w:p w14:paraId="7A27934E">
      <w:pPr>
        <w:spacing w:before="178"/>
        <w:jc w:val="center"/>
        <w:rPr>
          <w:rFonts w:hint="eastAsia" w:ascii="宋体" w:hAnsi="宋体" w:eastAsia="宋体" w:cs="宋体"/>
          <w:color w:val="auto"/>
          <w:sz w:val="28"/>
          <w:szCs w:val="28"/>
          <w:highlight w:val="none"/>
        </w:rPr>
      </w:pPr>
    </w:p>
    <w:p w14:paraId="511FC6F1">
      <w:pPr>
        <w:spacing w:before="178"/>
        <w:jc w:val="center"/>
        <w:rPr>
          <w:rFonts w:hint="eastAsia" w:ascii="宋体" w:hAnsi="宋体" w:eastAsia="宋体" w:cs="宋体"/>
          <w:color w:val="auto"/>
          <w:sz w:val="28"/>
          <w:szCs w:val="28"/>
          <w:highlight w:val="none"/>
        </w:rPr>
      </w:pPr>
    </w:p>
    <w:p w14:paraId="38F5318B">
      <w:pPr>
        <w:pStyle w:val="47"/>
        <w:spacing w:before="120" w:beforeLines="50"/>
        <w:ind w:firstLine="643" w:firstLineChars="200"/>
        <w:jc w:val="center"/>
        <w:rPr>
          <w:rStyle w:val="28"/>
          <w:rFonts w:hint="eastAsia" w:ascii="Times New Roman" w:hAnsi="Times New Roman" w:eastAsia="宋体" w:cs="宋体"/>
          <w:b/>
          <w:color w:val="auto"/>
          <w:sz w:val="32"/>
          <w:szCs w:val="32"/>
          <w:highlight w:val="none"/>
        </w:rPr>
      </w:pPr>
    </w:p>
    <w:p w14:paraId="3ADDA8A8">
      <w:pPr>
        <w:snapToGrid w:val="0"/>
        <w:spacing w:line="360" w:lineRule="auto"/>
        <w:ind w:firstLine="602" w:firstLineChars="200"/>
        <w:rPr>
          <w:rFonts w:ascii="宋体" w:hAnsi="宋体" w:cs="宋体"/>
          <w:b/>
          <w:color w:val="auto"/>
          <w:sz w:val="30"/>
          <w:szCs w:val="30"/>
          <w:highlight w:val="none"/>
        </w:rPr>
      </w:pPr>
      <w:r>
        <w:rPr>
          <w:rFonts w:hint="eastAsia" w:ascii="宋体" w:hAnsi="宋体" w:cs="宋体"/>
          <w:b/>
          <w:color w:val="auto"/>
          <w:sz w:val="30"/>
          <w:szCs w:val="30"/>
          <w:highlight w:val="none"/>
        </w:rPr>
        <w:t>十、服务需求、商务条款要求提供的其他材料</w:t>
      </w:r>
    </w:p>
    <w:p w14:paraId="649C0C3F">
      <w:pPr>
        <w:autoSpaceDE w:val="0"/>
        <w:autoSpaceDN w:val="0"/>
        <w:spacing w:line="360" w:lineRule="auto"/>
        <w:ind w:left="4335" w:leftChars="1950" w:hanging="240" w:hangingChars="100"/>
        <w:rPr>
          <w:rFonts w:ascii="宋体" w:hAnsi="宋体" w:cs="宋体"/>
          <w:color w:val="auto"/>
          <w:kern w:val="0"/>
          <w:sz w:val="24"/>
          <w:highlight w:val="none"/>
        </w:rPr>
      </w:pPr>
    </w:p>
    <w:p w14:paraId="518EB736">
      <w:pPr>
        <w:autoSpaceDE w:val="0"/>
        <w:autoSpaceDN w:val="0"/>
        <w:spacing w:line="360" w:lineRule="auto"/>
        <w:ind w:left="4335" w:leftChars="1950" w:hanging="240" w:hangingChars="100"/>
        <w:rPr>
          <w:rFonts w:ascii="宋体" w:hAnsi="宋体" w:cs="宋体"/>
          <w:color w:val="auto"/>
          <w:kern w:val="0"/>
          <w:sz w:val="24"/>
          <w:highlight w:val="none"/>
        </w:rPr>
      </w:pPr>
      <w:r>
        <w:rPr>
          <w:rFonts w:hint="eastAsia" w:ascii="宋体" w:hAnsi="宋体" w:cs="宋体"/>
          <w:color w:val="auto"/>
          <w:kern w:val="0"/>
          <w:sz w:val="24"/>
          <w:highlight w:val="none"/>
        </w:rPr>
        <w:t>供应商名称（电子签章）：</w:t>
      </w:r>
    </w:p>
    <w:p w14:paraId="6B1762CA">
      <w:pPr>
        <w:autoSpaceDE w:val="0"/>
        <w:autoSpaceDN w:val="0"/>
        <w:spacing w:line="360" w:lineRule="auto"/>
        <w:ind w:firstLine="6480" w:firstLineChars="27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2B0E6EE7">
      <w:pPr>
        <w:widowControl/>
        <w:spacing w:line="360" w:lineRule="auto"/>
        <w:jc w:val="left"/>
        <w:rPr>
          <w:rFonts w:ascii="宋体" w:hAnsi="宋体" w:cs="宋体"/>
          <w:b/>
          <w:bCs/>
          <w:color w:val="auto"/>
          <w:sz w:val="24"/>
          <w:highlight w:val="none"/>
        </w:rPr>
        <w:sectPr>
          <w:pgSz w:w="11910" w:h="16840"/>
          <w:pgMar w:top="1134" w:right="1134" w:bottom="1134" w:left="1134" w:header="720" w:footer="720" w:gutter="0"/>
          <w:cols w:space="0" w:num="1"/>
          <w:rtlGutter w:val="0"/>
        </w:sectPr>
      </w:pPr>
    </w:p>
    <w:p w14:paraId="38773677">
      <w:pPr>
        <w:autoSpaceDE w:val="0"/>
        <w:autoSpaceDN w:val="0"/>
        <w:spacing w:line="360" w:lineRule="auto"/>
        <w:ind w:firstLine="6505" w:firstLineChars="2700"/>
        <w:rPr>
          <w:rFonts w:ascii="宋体" w:hAnsi="宋体" w:cs="宋体"/>
          <w:b/>
          <w:bCs/>
          <w:color w:val="auto"/>
          <w:sz w:val="24"/>
          <w:highlight w:val="none"/>
        </w:rPr>
      </w:pPr>
    </w:p>
    <w:p w14:paraId="6A62F8D8">
      <w:pPr>
        <w:pStyle w:val="3"/>
        <w:jc w:val="center"/>
        <w:rPr>
          <w:rFonts w:ascii="宋体" w:hAnsi="宋体" w:cs="宋体"/>
          <w:color w:val="auto"/>
          <w:highlight w:val="none"/>
        </w:rPr>
      </w:pPr>
      <w:bookmarkStart w:id="104" w:name="_Toc80205941"/>
      <w:bookmarkStart w:id="105" w:name="_Toc4937"/>
      <w:r>
        <w:rPr>
          <w:rFonts w:hint="eastAsia" w:ascii="宋体" w:hAnsi="宋体" w:cs="宋体"/>
          <w:color w:val="auto"/>
          <w:highlight w:val="none"/>
        </w:rPr>
        <w:t>第四节 报价文件格式</w:t>
      </w:r>
      <w:bookmarkEnd w:id="104"/>
      <w:bookmarkEnd w:id="105"/>
    </w:p>
    <w:p w14:paraId="1CCD6DE8">
      <w:pPr>
        <w:snapToGrid w:val="0"/>
        <w:spacing w:before="120" w:beforeLines="50" w:after="50"/>
        <w:rPr>
          <w:rFonts w:ascii="宋体" w:hAnsi="宋体" w:cs="宋体"/>
          <w:bCs/>
          <w:color w:val="auto"/>
          <w:sz w:val="32"/>
          <w:szCs w:val="20"/>
          <w:highlight w:val="none"/>
        </w:rPr>
      </w:pPr>
      <w:r>
        <w:rPr>
          <w:rFonts w:hint="eastAsia" w:ascii="宋体" w:hAnsi="宋体" w:cs="宋体"/>
          <w:color w:val="auto"/>
          <w:sz w:val="24"/>
          <w:highlight w:val="none"/>
        </w:rPr>
        <w:t xml:space="preserve">                                                    </w:t>
      </w:r>
      <w:r>
        <w:rPr>
          <w:rFonts w:hint="eastAsia" w:ascii="宋体" w:hAnsi="宋体" w:cs="宋体"/>
          <w:bCs/>
          <w:color w:val="auto"/>
          <w:highlight w:val="none"/>
        </w:rPr>
        <w:t>全流程电子文件</w:t>
      </w:r>
    </w:p>
    <w:p w14:paraId="50C098BD">
      <w:pPr>
        <w:snapToGrid w:val="0"/>
        <w:spacing w:before="120" w:beforeLines="50" w:after="50"/>
        <w:rPr>
          <w:rFonts w:ascii="宋体" w:hAnsi="宋体" w:cs="宋体"/>
          <w:color w:val="auto"/>
          <w:sz w:val="24"/>
          <w:szCs w:val="20"/>
          <w:highlight w:val="none"/>
        </w:rPr>
      </w:pPr>
    </w:p>
    <w:p w14:paraId="346D767A">
      <w:pPr>
        <w:snapToGrid w:val="0"/>
        <w:spacing w:before="120" w:beforeLines="50" w:after="50"/>
        <w:rPr>
          <w:rFonts w:ascii="宋体" w:hAnsi="宋体" w:cs="宋体"/>
          <w:color w:val="auto"/>
          <w:sz w:val="24"/>
          <w:szCs w:val="20"/>
          <w:highlight w:val="none"/>
        </w:rPr>
      </w:pPr>
    </w:p>
    <w:p w14:paraId="7D5020DF">
      <w:pPr>
        <w:snapToGrid w:val="0"/>
        <w:spacing w:before="120" w:beforeLines="50" w:after="50"/>
        <w:rPr>
          <w:rFonts w:ascii="宋体" w:hAnsi="宋体" w:cs="宋体"/>
          <w:color w:val="auto"/>
          <w:sz w:val="24"/>
          <w:szCs w:val="20"/>
          <w:highlight w:val="none"/>
        </w:rPr>
      </w:pPr>
    </w:p>
    <w:p w14:paraId="0802AE5E">
      <w:pPr>
        <w:snapToGrid w:val="0"/>
        <w:spacing w:before="120" w:beforeLines="50" w:after="50"/>
        <w:jc w:val="center"/>
        <w:rPr>
          <w:rFonts w:ascii="宋体" w:hAnsi="宋体" w:cs="宋体"/>
          <w:bCs/>
          <w:color w:val="auto"/>
          <w:sz w:val="44"/>
          <w:szCs w:val="44"/>
          <w:highlight w:val="none"/>
        </w:rPr>
      </w:pPr>
      <w:r>
        <w:rPr>
          <w:rFonts w:hint="eastAsia" w:ascii="宋体" w:hAnsi="宋体" w:cs="宋体"/>
          <w:bCs/>
          <w:color w:val="auto"/>
          <w:sz w:val="44"/>
          <w:szCs w:val="44"/>
          <w:highlight w:val="none"/>
        </w:rPr>
        <w:t>报  价  文  件（封面）</w:t>
      </w:r>
    </w:p>
    <w:p w14:paraId="1F22FE89">
      <w:pPr>
        <w:snapToGrid w:val="0"/>
        <w:spacing w:before="120" w:beforeLines="50" w:after="50"/>
        <w:rPr>
          <w:rFonts w:ascii="宋体" w:hAnsi="宋体" w:cs="宋体"/>
          <w:bCs/>
          <w:color w:val="auto"/>
          <w:sz w:val="24"/>
          <w:szCs w:val="20"/>
          <w:highlight w:val="none"/>
        </w:rPr>
      </w:pPr>
    </w:p>
    <w:p w14:paraId="0AB2C138">
      <w:pPr>
        <w:snapToGrid w:val="0"/>
        <w:spacing w:before="120" w:beforeLines="50" w:after="50"/>
        <w:rPr>
          <w:rFonts w:ascii="宋体" w:hAnsi="宋体" w:cs="宋体"/>
          <w:bCs/>
          <w:color w:val="auto"/>
          <w:sz w:val="24"/>
          <w:szCs w:val="20"/>
          <w:highlight w:val="none"/>
        </w:rPr>
      </w:pPr>
    </w:p>
    <w:p w14:paraId="52AB262F">
      <w:pPr>
        <w:snapToGrid w:val="0"/>
        <w:spacing w:before="120" w:beforeLines="50" w:after="50"/>
        <w:rPr>
          <w:rFonts w:ascii="宋体" w:hAnsi="宋体" w:cs="宋体"/>
          <w:bCs/>
          <w:color w:val="auto"/>
          <w:sz w:val="24"/>
          <w:szCs w:val="20"/>
          <w:highlight w:val="none"/>
        </w:rPr>
      </w:pPr>
    </w:p>
    <w:p w14:paraId="170B5724">
      <w:pPr>
        <w:snapToGrid w:val="0"/>
        <w:spacing w:before="120" w:beforeLines="50" w:after="50"/>
        <w:rPr>
          <w:rFonts w:ascii="宋体" w:hAnsi="宋体" w:cs="宋体"/>
          <w:bCs/>
          <w:color w:val="auto"/>
          <w:sz w:val="24"/>
          <w:szCs w:val="20"/>
          <w:highlight w:val="none"/>
        </w:rPr>
      </w:pPr>
    </w:p>
    <w:p w14:paraId="1CC2049A">
      <w:pPr>
        <w:snapToGrid w:val="0"/>
        <w:spacing w:before="120" w:beforeLines="50" w:after="50"/>
        <w:rPr>
          <w:rFonts w:ascii="宋体" w:hAnsi="宋体" w:cs="宋体"/>
          <w:bCs/>
          <w:color w:val="auto"/>
          <w:sz w:val="24"/>
          <w:szCs w:val="20"/>
          <w:highlight w:val="none"/>
        </w:rPr>
      </w:pPr>
    </w:p>
    <w:p w14:paraId="253E2E4A">
      <w:pPr>
        <w:snapToGrid w:val="0"/>
        <w:spacing w:before="120" w:beforeLines="50" w:after="50"/>
        <w:ind w:firstLine="640" w:firstLineChars="200"/>
        <w:rPr>
          <w:rFonts w:ascii="宋体" w:hAnsi="宋体" w:cs="宋体"/>
          <w:bCs/>
          <w:color w:val="auto"/>
          <w:sz w:val="32"/>
          <w:szCs w:val="32"/>
          <w:highlight w:val="none"/>
        </w:rPr>
      </w:pPr>
      <w:r>
        <w:rPr>
          <w:rFonts w:hint="eastAsia" w:ascii="宋体" w:hAnsi="宋体" w:cs="宋体"/>
          <w:bCs/>
          <w:color w:val="auto"/>
          <w:sz w:val="32"/>
          <w:szCs w:val="32"/>
          <w:highlight w:val="none"/>
        </w:rPr>
        <w:t>项目名称：</w:t>
      </w:r>
      <w:bookmarkStart w:id="106" w:name="PO_3000001868_PM002_9"/>
      <w:r>
        <w:rPr>
          <w:rFonts w:hint="eastAsia" w:ascii="宋体" w:hAnsi="宋体" w:cs="宋体"/>
          <w:bCs/>
          <w:color w:val="auto"/>
          <w:sz w:val="32"/>
          <w:szCs w:val="32"/>
          <w:highlight w:val="none"/>
        </w:rPr>
        <w:t>[项目名称]</w:t>
      </w:r>
      <w:bookmarkEnd w:id="106"/>
    </w:p>
    <w:p w14:paraId="2E7001E8">
      <w:pPr>
        <w:snapToGrid w:val="0"/>
        <w:spacing w:before="120" w:beforeLines="50" w:after="50"/>
        <w:ind w:firstLine="720" w:firstLineChars="225"/>
        <w:rPr>
          <w:rFonts w:ascii="宋体" w:hAnsi="宋体" w:cs="宋体"/>
          <w:bCs/>
          <w:color w:val="auto"/>
          <w:sz w:val="32"/>
          <w:szCs w:val="32"/>
          <w:highlight w:val="none"/>
        </w:rPr>
      </w:pPr>
    </w:p>
    <w:p w14:paraId="0EE2796B">
      <w:pPr>
        <w:snapToGrid w:val="0"/>
        <w:spacing w:before="120" w:beforeLines="50" w:after="50"/>
        <w:ind w:firstLine="640" w:firstLineChars="200"/>
        <w:rPr>
          <w:rFonts w:ascii="宋体" w:hAnsi="宋体" w:cs="宋体"/>
          <w:bCs/>
          <w:color w:val="auto"/>
          <w:sz w:val="32"/>
          <w:szCs w:val="32"/>
          <w:highlight w:val="none"/>
        </w:rPr>
      </w:pPr>
      <w:r>
        <w:rPr>
          <w:rFonts w:hint="eastAsia" w:ascii="宋体" w:hAnsi="宋体" w:cs="宋体"/>
          <w:bCs/>
          <w:color w:val="auto"/>
          <w:sz w:val="32"/>
          <w:szCs w:val="32"/>
          <w:highlight w:val="none"/>
        </w:rPr>
        <w:t>项目编号：</w:t>
      </w:r>
      <w:bookmarkStart w:id="107" w:name="PO_3000001868_PM001_9"/>
      <w:r>
        <w:rPr>
          <w:rFonts w:hint="eastAsia" w:ascii="宋体" w:hAnsi="宋体" w:cs="宋体"/>
          <w:bCs/>
          <w:color w:val="auto"/>
          <w:sz w:val="32"/>
          <w:szCs w:val="32"/>
          <w:highlight w:val="none"/>
        </w:rPr>
        <w:t>[项目编号]</w:t>
      </w:r>
      <w:bookmarkEnd w:id="107"/>
    </w:p>
    <w:p w14:paraId="6E6DBBE2">
      <w:pPr>
        <w:snapToGrid w:val="0"/>
        <w:spacing w:before="120" w:beforeLines="50" w:after="50"/>
        <w:ind w:firstLine="720" w:firstLineChars="225"/>
        <w:rPr>
          <w:rFonts w:ascii="宋体" w:hAnsi="宋体" w:cs="宋体"/>
          <w:bCs/>
          <w:color w:val="auto"/>
          <w:sz w:val="32"/>
          <w:szCs w:val="32"/>
          <w:highlight w:val="none"/>
        </w:rPr>
      </w:pPr>
      <w:r>
        <w:rPr>
          <w:rFonts w:hint="eastAsia" w:ascii="宋体" w:hAnsi="宋体" w:cs="宋体"/>
          <w:bCs/>
          <w:color w:val="auto"/>
          <w:sz w:val="32"/>
          <w:szCs w:val="32"/>
          <w:highlight w:val="none"/>
        </w:rPr>
        <w:t xml:space="preserve"> </w:t>
      </w:r>
    </w:p>
    <w:p w14:paraId="1A86D0C1">
      <w:pPr>
        <w:snapToGrid w:val="0"/>
        <w:spacing w:before="120" w:beforeLines="50" w:after="50"/>
        <w:ind w:firstLine="640" w:firstLineChars="200"/>
        <w:rPr>
          <w:rFonts w:ascii="宋体" w:hAnsi="宋体" w:cs="宋体"/>
          <w:bCs/>
          <w:color w:val="auto"/>
          <w:sz w:val="32"/>
          <w:szCs w:val="32"/>
          <w:highlight w:val="none"/>
        </w:rPr>
      </w:pPr>
      <w:r>
        <w:rPr>
          <w:rFonts w:hint="eastAsia" w:ascii="宋体" w:hAnsi="宋体" w:cs="宋体"/>
          <w:bCs/>
          <w:color w:val="auto"/>
          <w:sz w:val="32"/>
          <w:szCs w:val="32"/>
          <w:highlight w:val="none"/>
        </w:rPr>
        <w:t>所竞分标（如有则填写，无分标时填写“无”或者留空）：</w:t>
      </w:r>
    </w:p>
    <w:p w14:paraId="2E177032">
      <w:pPr>
        <w:snapToGrid w:val="0"/>
        <w:spacing w:before="120" w:beforeLines="50" w:after="50"/>
        <w:ind w:firstLine="720" w:firstLineChars="225"/>
        <w:rPr>
          <w:rFonts w:ascii="宋体" w:hAnsi="宋体" w:cs="宋体"/>
          <w:bCs/>
          <w:color w:val="auto"/>
          <w:sz w:val="32"/>
          <w:szCs w:val="32"/>
          <w:highlight w:val="none"/>
        </w:rPr>
      </w:pPr>
    </w:p>
    <w:p w14:paraId="1811EB39">
      <w:pPr>
        <w:pStyle w:val="8"/>
        <w:snapToGrid w:val="0"/>
        <w:spacing w:before="50" w:after="50"/>
        <w:ind w:firstLine="640" w:firstLineChars="200"/>
        <w:rPr>
          <w:rFonts w:ascii="宋体" w:hAnsi="宋体" w:cs="宋体"/>
          <w:bCs/>
          <w:color w:val="auto"/>
          <w:sz w:val="32"/>
          <w:szCs w:val="32"/>
          <w:highlight w:val="none"/>
        </w:rPr>
      </w:pPr>
      <w:r>
        <w:rPr>
          <w:rFonts w:hint="eastAsia" w:ascii="宋体" w:hAnsi="宋体" w:cs="宋体"/>
          <w:bCs/>
          <w:color w:val="auto"/>
          <w:sz w:val="32"/>
          <w:szCs w:val="32"/>
          <w:highlight w:val="none"/>
        </w:rPr>
        <w:t>供应商名称：</w:t>
      </w:r>
    </w:p>
    <w:p w14:paraId="2A121447">
      <w:pPr>
        <w:pStyle w:val="8"/>
        <w:snapToGrid w:val="0"/>
        <w:spacing w:before="50" w:after="50"/>
        <w:ind w:firstLine="720" w:firstLineChars="225"/>
        <w:rPr>
          <w:rFonts w:ascii="宋体" w:hAnsi="宋体" w:cs="宋体"/>
          <w:bCs/>
          <w:color w:val="auto"/>
          <w:sz w:val="32"/>
          <w:szCs w:val="32"/>
          <w:highlight w:val="none"/>
        </w:rPr>
      </w:pPr>
    </w:p>
    <w:p w14:paraId="716E4604">
      <w:pPr>
        <w:pStyle w:val="8"/>
        <w:snapToGrid w:val="0"/>
        <w:spacing w:before="50" w:after="50"/>
        <w:ind w:firstLine="720" w:firstLineChars="225"/>
        <w:rPr>
          <w:rFonts w:ascii="宋体" w:hAnsi="宋体" w:cs="宋体"/>
          <w:bCs/>
          <w:color w:val="auto"/>
          <w:sz w:val="32"/>
          <w:szCs w:val="32"/>
          <w:highlight w:val="none"/>
        </w:rPr>
      </w:pPr>
    </w:p>
    <w:p w14:paraId="1A109078">
      <w:pPr>
        <w:pStyle w:val="8"/>
        <w:snapToGrid w:val="0"/>
        <w:spacing w:before="50" w:after="50"/>
        <w:ind w:firstLine="1280" w:firstLineChars="400"/>
        <w:rPr>
          <w:rFonts w:ascii="宋体" w:hAnsi="宋体" w:cs="宋体"/>
          <w:bCs/>
          <w:color w:val="auto"/>
          <w:sz w:val="32"/>
          <w:szCs w:val="32"/>
          <w:highlight w:val="none"/>
        </w:rPr>
      </w:pPr>
    </w:p>
    <w:p w14:paraId="128A7649">
      <w:pPr>
        <w:snapToGrid w:val="0"/>
        <w:spacing w:before="120" w:beforeLines="50" w:after="50"/>
        <w:jc w:val="center"/>
        <w:rPr>
          <w:rFonts w:ascii="宋体" w:hAnsi="宋体" w:cs="宋体"/>
          <w:color w:val="auto"/>
          <w:sz w:val="32"/>
          <w:szCs w:val="32"/>
          <w:highlight w:val="none"/>
        </w:rPr>
      </w:pPr>
      <w:r>
        <w:rPr>
          <w:rFonts w:hint="eastAsia" w:ascii="宋体" w:hAnsi="宋体" w:cs="宋体"/>
          <w:color w:val="auto"/>
          <w:sz w:val="32"/>
          <w:szCs w:val="32"/>
          <w:highlight w:val="none"/>
        </w:rPr>
        <w:t>年    月    日</w:t>
      </w:r>
    </w:p>
    <w:p w14:paraId="722FC0C0">
      <w:pPr>
        <w:snapToGrid w:val="0"/>
        <w:spacing w:before="120" w:beforeLines="50" w:after="50" w:line="400" w:lineRule="exact"/>
        <w:jc w:val="center"/>
        <w:rPr>
          <w:rFonts w:ascii="宋体" w:hAnsi="宋体" w:cs="宋体"/>
          <w:b/>
          <w:bCs/>
          <w:color w:val="auto"/>
          <w:sz w:val="32"/>
          <w:szCs w:val="32"/>
          <w:highlight w:val="none"/>
        </w:rPr>
      </w:pPr>
      <w:r>
        <w:rPr>
          <w:rFonts w:hint="eastAsia" w:ascii="宋体" w:hAnsi="宋体" w:cs="宋体"/>
          <w:color w:val="auto"/>
          <w:sz w:val="24"/>
          <w:highlight w:val="none"/>
        </w:rPr>
        <w:br w:type="page"/>
      </w:r>
      <w:r>
        <w:rPr>
          <w:rFonts w:hint="eastAsia" w:ascii="宋体" w:hAnsi="宋体" w:cs="宋体"/>
          <w:b/>
          <w:bCs/>
          <w:color w:val="auto"/>
          <w:sz w:val="32"/>
          <w:szCs w:val="32"/>
          <w:highlight w:val="none"/>
        </w:rPr>
        <w:t>报价文件目录</w:t>
      </w:r>
    </w:p>
    <w:p w14:paraId="2918AA60">
      <w:pPr>
        <w:rPr>
          <w:rFonts w:ascii="宋体" w:hAnsi="宋体" w:cs="宋体"/>
          <w:color w:val="auto"/>
          <w:highlight w:val="none"/>
        </w:rPr>
      </w:pPr>
    </w:p>
    <w:p w14:paraId="574B1A0F">
      <w:pPr>
        <w:rPr>
          <w:rFonts w:ascii="宋体" w:hAnsi="宋体" w:cs="宋体"/>
          <w:color w:val="auto"/>
          <w:kern w:val="0"/>
          <w:sz w:val="24"/>
          <w:highlight w:val="none"/>
        </w:rPr>
      </w:pPr>
      <w:r>
        <w:rPr>
          <w:rFonts w:hint="eastAsia" w:ascii="宋体" w:hAnsi="宋体" w:cs="宋体"/>
          <w:color w:val="auto"/>
          <w:kern w:val="0"/>
          <w:sz w:val="24"/>
          <w:highlight w:val="none"/>
        </w:rPr>
        <w:t>一、响应函………………………………………………………（页码）</w:t>
      </w:r>
    </w:p>
    <w:p w14:paraId="756EEBA5">
      <w:pPr>
        <w:rPr>
          <w:rFonts w:ascii="宋体" w:hAnsi="宋体" w:cs="宋体"/>
          <w:color w:val="auto"/>
          <w:kern w:val="0"/>
          <w:sz w:val="24"/>
          <w:highlight w:val="none"/>
        </w:rPr>
      </w:pPr>
      <w:r>
        <w:rPr>
          <w:rFonts w:hint="eastAsia" w:ascii="宋体" w:hAnsi="宋体" w:cs="宋体"/>
          <w:color w:val="auto"/>
          <w:kern w:val="0"/>
          <w:sz w:val="24"/>
          <w:highlight w:val="none"/>
        </w:rPr>
        <w:t>二、响应报价表…………………………………………………（页码）</w:t>
      </w:r>
    </w:p>
    <w:p w14:paraId="01CB1738">
      <w:pP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三、已标价的工程量清单</w:t>
      </w:r>
      <w:r>
        <w:rPr>
          <w:rFonts w:hint="eastAsia" w:ascii="宋体" w:hAnsi="宋体" w:eastAsia="宋体" w:cs="宋体"/>
          <w:color w:val="auto"/>
          <w:kern w:val="0"/>
          <w:sz w:val="24"/>
          <w:highlight w:val="none"/>
        </w:rPr>
        <w:t>………………………………………（页码）</w:t>
      </w:r>
    </w:p>
    <w:p w14:paraId="523D7465">
      <w:pPr>
        <w:snapToGrid w:val="0"/>
        <w:spacing w:before="120" w:beforeLines="50" w:after="50" w:line="360" w:lineRule="auto"/>
        <w:ind w:left="142" w:firstLine="480" w:firstLineChars="200"/>
        <w:jc w:val="left"/>
        <w:rPr>
          <w:rFonts w:ascii="宋体" w:hAnsi="宋体" w:cs="宋体"/>
          <w:color w:val="auto"/>
          <w:sz w:val="24"/>
          <w:highlight w:val="none"/>
        </w:rPr>
      </w:pPr>
      <w:r>
        <w:rPr>
          <w:rFonts w:hint="eastAsia" w:ascii="宋体" w:hAnsi="宋体" w:cs="宋体"/>
          <w:color w:val="auto"/>
          <w:sz w:val="24"/>
          <w:highlight w:val="none"/>
        </w:rPr>
        <w:br w:type="page"/>
      </w:r>
      <w:r>
        <w:rPr>
          <w:rFonts w:hint="eastAsia" w:ascii="宋体" w:hAnsi="宋体" w:cs="宋体"/>
          <w:b/>
          <w:bCs/>
          <w:color w:val="auto"/>
          <w:sz w:val="32"/>
          <w:szCs w:val="32"/>
          <w:highlight w:val="none"/>
        </w:rPr>
        <w:t>一、响应函</w:t>
      </w:r>
    </w:p>
    <w:p w14:paraId="5994D1CF">
      <w:pPr>
        <w:pStyle w:val="15"/>
        <w:spacing w:line="500" w:lineRule="exact"/>
        <w:jc w:val="center"/>
        <w:rPr>
          <w:rFonts w:hAnsi="宋体" w:cs="宋体"/>
          <w:b/>
          <w:bCs/>
          <w:color w:val="auto"/>
          <w:sz w:val="30"/>
          <w:szCs w:val="30"/>
          <w:highlight w:val="none"/>
        </w:rPr>
      </w:pPr>
      <w:r>
        <w:rPr>
          <w:rFonts w:hint="eastAsia" w:hAnsi="宋体" w:cs="宋体"/>
          <w:b/>
          <w:bCs/>
          <w:color w:val="auto"/>
          <w:sz w:val="30"/>
          <w:szCs w:val="30"/>
          <w:highlight w:val="none"/>
        </w:rPr>
        <w:t>响应函</w:t>
      </w:r>
    </w:p>
    <w:p w14:paraId="1BE94456">
      <w:pPr>
        <w:pStyle w:val="15"/>
        <w:spacing w:line="360" w:lineRule="auto"/>
        <w:rPr>
          <w:rFonts w:hAnsi="宋体" w:cs="宋体"/>
          <w:color w:val="auto"/>
          <w:sz w:val="21"/>
          <w:szCs w:val="21"/>
          <w:highlight w:val="none"/>
        </w:rPr>
      </w:pPr>
      <w:r>
        <w:rPr>
          <w:rFonts w:hint="eastAsia" w:hAnsi="宋体" w:cs="宋体"/>
          <w:color w:val="auto"/>
          <w:sz w:val="21"/>
          <w:szCs w:val="21"/>
          <w:highlight w:val="none"/>
        </w:rPr>
        <w:t>致：</w:t>
      </w:r>
      <w:r>
        <w:rPr>
          <w:rFonts w:hint="eastAsia" w:hAnsi="宋体" w:cs="宋体"/>
          <w:color w:val="auto"/>
          <w:sz w:val="21"/>
          <w:szCs w:val="21"/>
          <w:highlight w:val="none"/>
          <w:u w:val="single"/>
        </w:rPr>
        <w:t xml:space="preserve"> </w:t>
      </w:r>
      <w:bookmarkStart w:id="108" w:name="PO_3000001868_PM031_4"/>
      <w:r>
        <w:rPr>
          <w:rFonts w:hint="eastAsia" w:hAnsi="宋体" w:cs="宋体"/>
          <w:color w:val="auto"/>
          <w:sz w:val="21"/>
          <w:szCs w:val="21"/>
          <w:highlight w:val="none"/>
          <w:u w:val="single"/>
        </w:rPr>
        <w:t>[采购代理机构]</w:t>
      </w:r>
      <w:bookmarkEnd w:id="108"/>
      <w:r>
        <w:rPr>
          <w:rFonts w:hint="eastAsia" w:hAnsi="宋体" w:cs="宋体"/>
          <w:color w:val="auto"/>
          <w:sz w:val="21"/>
          <w:szCs w:val="21"/>
          <w:highlight w:val="none"/>
          <w:u w:val="single"/>
        </w:rPr>
        <w:t xml:space="preserve"> </w:t>
      </w:r>
    </w:p>
    <w:p w14:paraId="103B4234">
      <w:pPr>
        <w:pStyle w:val="15"/>
        <w:spacing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我方已仔细阅读了贵方组织的</w:t>
      </w:r>
      <w:r>
        <w:rPr>
          <w:rFonts w:hint="eastAsia" w:hAnsi="宋体" w:cs="宋体"/>
          <w:color w:val="auto"/>
          <w:sz w:val="21"/>
          <w:szCs w:val="21"/>
          <w:highlight w:val="none"/>
          <w:u w:val="single"/>
        </w:rPr>
        <w:t xml:space="preserve"> </w:t>
      </w:r>
      <w:bookmarkStart w:id="109" w:name="PO_3000001868_PM002_10"/>
      <w:r>
        <w:rPr>
          <w:rFonts w:hint="eastAsia" w:hAnsi="宋体" w:cs="宋体"/>
          <w:color w:val="auto"/>
          <w:sz w:val="21"/>
          <w:szCs w:val="21"/>
          <w:highlight w:val="none"/>
          <w:u w:val="single"/>
        </w:rPr>
        <w:t>[项目名称]</w:t>
      </w:r>
      <w:bookmarkEnd w:id="109"/>
      <w:r>
        <w:rPr>
          <w:rFonts w:hint="eastAsia" w:hAnsi="宋体" w:cs="宋体"/>
          <w:color w:val="auto"/>
          <w:sz w:val="21"/>
          <w:szCs w:val="21"/>
          <w:highlight w:val="none"/>
          <w:u w:val="single"/>
        </w:rPr>
        <w:t xml:space="preserve">  </w:t>
      </w:r>
      <w:r>
        <w:rPr>
          <w:rFonts w:hint="eastAsia" w:hAnsi="宋体" w:cs="宋体"/>
          <w:color w:val="auto"/>
          <w:sz w:val="21"/>
          <w:szCs w:val="21"/>
          <w:highlight w:val="none"/>
        </w:rPr>
        <w:t>项目（项目编号：</w:t>
      </w:r>
      <w:r>
        <w:rPr>
          <w:rFonts w:hint="eastAsia" w:hAnsi="宋体" w:cs="宋体"/>
          <w:color w:val="auto"/>
          <w:sz w:val="21"/>
          <w:szCs w:val="21"/>
          <w:highlight w:val="none"/>
          <w:u w:val="single"/>
        </w:rPr>
        <w:t xml:space="preserve">  </w:t>
      </w:r>
      <w:bookmarkStart w:id="110" w:name="PO_3000001868_PM001_10"/>
      <w:r>
        <w:rPr>
          <w:rFonts w:hint="eastAsia" w:hAnsi="宋体" w:cs="宋体"/>
          <w:color w:val="auto"/>
          <w:sz w:val="21"/>
          <w:szCs w:val="21"/>
          <w:highlight w:val="none"/>
          <w:u w:val="single"/>
        </w:rPr>
        <w:t>[项目编号]</w:t>
      </w:r>
      <w:bookmarkEnd w:id="110"/>
      <w:r>
        <w:rPr>
          <w:rFonts w:hint="eastAsia" w:hAnsi="宋体" w:cs="宋体"/>
          <w:color w:val="auto"/>
          <w:sz w:val="21"/>
          <w:szCs w:val="21"/>
          <w:highlight w:val="none"/>
          <w:u w:val="single"/>
        </w:rPr>
        <w:t xml:space="preserve"> </w:t>
      </w:r>
      <w:r>
        <w:rPr>
          <w:rFonts w:hint="eastAsia" w:hAnsi="宋体" w:cs="宋体"/>
          <w:color w:val="auto"/>
          <w:sz w:val="21"/>
          <w:szCs w:val="21"/>
          <w:highlight w:val="none"/>
        </w:rPr>
        <w:t xml:space="preserve">）的竞争性磋商采购文件的全部内容，现正式递交下述文件参加贵方组织的本次政府采购活动： </w:t>
      </w:r>
    </w:p>
    <w:p w14:paraId="4C3BB5BF">
      <w:pPr>
        <w:pStyle w:val="15"/>
        <w:spacing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一、首次报价文件电子版</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份（包含按“第三章 供应商须知”提交的全部文件）；</w:t>
      </w:r>
    </w:p>
    <w:p w14:paraId="6E7171D9">
      <w:pPr>
        <w:pStyle w:val="15"/>
        <w:spacing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二、技术文件电子版</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份（包含按“第三章 供应商须知”提交的全部文件）；商务文件电子版</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份（包含按“第三章 供应商须知”提交的全部文件）；（商务技术文件已合并装订成册）；</w:t>
      </w:r>
    </w:p>
    <w:p w14:paraId="1DF6BC26">
      <w:pPr>
        <w:pStyle w:val="15"/>
        <w:spacing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三、资格证明文件电子版（包含按“第三章供应商须知”提交的全部文件）；</w:t>
      </w:r>
    </w:p>
    <w:p w14:paraId="5B3E5CD5">
      <w:pPr>
        <w:pStyle w:val="15"/>
        <w:spacing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据此函，签字人兹宣布：</w:t>
      </w:r>
    </w:p>
    <w:p w14:paraId="69FD07E1">
      <w:pPr>
        <w:pStyle w:val="15"/>
        <w:spacing w:line="360" w:lineRule="auto"/>
        <w:ind w:firstLine="482"/>
        <w:rPr>
          <w:rFonts w:hint="eastAsia" w:hAnsi="宋体" w:eastAsia="宋体" w:cs="宋体"/>
          <w:color w:val="auto"/>
          <w:sz w:val="21"/>
          <w:szCs w:val="21"/>
          <w:highlight w:val="none"/>
          <w:lang w:eastAsia="zh-CN"/>
        </w:rPr>
      </w:pPr>
      <w:r>
        <w:rPr>
          <w:rFonts w:hint="eastAsia" w:hAnsi="宋体" w:cs="宋体"/>
          <w:color w:val="auto"/>
          <w:sz w:val="21"/>
          <w:szCs w:val="21"/>
          <w:highlight w:val="none"/>
        </w:rPr>
        <w:t>1、我方愿意以</w:t>
      </w:r>
      <w:r>
        <w:rPr>
          <w:rFonts w:hint="eastAsia" w:hAnsi="宋体" w:cs="宋体"/>
          <w:color w:val="auto"/>
          <w:sz w:val="21"/>
          <w:szCs w:val="21"/>
          <w:highlight w:val="none"/>
          <w:u w:val="single"/>
        </w:rPr>
        <w:t xml:space="preserve"> </w:t>
      </w:r>
      <w:r>
        <w:rPr>
          <w:rFonts w:hint="eastAsia" w:hAnsi="宋体" w:cs="宋体"/>
          <w:color w:val="auto"/>
          <w:sz w:val="21"/>
          <w:szCs w:val="21"/>
          <w:highlight w:val="none"/>
          <w:u w:val="single"/>
          <w:lang w:val="en-US" w:eastAsia="zh-CN"/>
        </w:rPr>
        <w:t>人民币</w:t>
      </w:r>
      <w:r>
        <w:rPr>
          <w:rFonts w:hint="eastAsia" w:hAnsi="宋体" w:cs="宋体"/>
          <w:color w:val="auto"/>
          <w:sz w:val="21"/>
          <w:szCs w:val="21"/>
          <w:highlight w:val="none"/>
          <w:u w:val="single"/>
        </w:rPr>
        <w:t xml:space="preserve">             </w:t>
      </w:r>
      <w:r>
        <w:rPr>
          <w:rFonts w:hint="eastAsia" w:hAnsi="宋体" w:cs="宋体"/>
          <w:color w:val="auto"/>
          <w:sz w:val="21"/>
          <w:szCs w:val="21"/>
          <w:highlight w:val="none"/>
          <w:u w:val="single"/>
          <w:lang w:eastAsia="zh-CN"/>
        </w:rPr>
        <w:t>（￥</w:t>
      </w:r>
      <w:r>
        <w:rPr>
          <w:rFonts w:hint="eastAsia" w:hAnsi="宋体" w:cs="宋体"/>
          <w:color w:val="auto"/>
          <w:sz w:val="21"/>
          <w:szCs w:val="21"/>
          <w:highlight w:val="none"/>
          <w:u w:val="single"/>
          <w:lang w:val="en-US" w:eastAsia="zh-CN"/>
        </w:rPr>
        <w:t xml:space="preserve">      ）</w:t>
      </w:r>
      <w:r>
        <w:rPr>
          <w:rFonts w:hint="eastAsia" w:hAnsi="宋体" w:cs="宋体"/>
          <w:color w:val="auto"/>
          <w:sz w:val="21"/>
          <w:szCs w:val="21"/>
          <w:highlight w:val="none"/>
        </w:rPr>
        <w:t>的竞标</w:t>
      </w:r>
      <w:r>
        <w:rPr>
          <w:rFonts w:hint="eastAsia" w:hAnsi="宋体" w:cs="宋体"/>
          <w:color w:val="auto"/>
          <w:sz w:val="21"/>
          <w:szCs w:val="21"/>
          <w:highlight w:val="none"/>
          <w:lang w:val="en-US" w:eastAsia="zh-CN"/>
        </w:rPr>
        <w:t>总</w:t>
      </w:r>
      <w:r>
        <w:rPr>
          <w:rFonts w:hint="eastAsia" w:hAnsi="宋体" w:cs="宋体"/>
          <w:color w:val="auto"/>
          <w:sz w:val="21"/>
          <w:szCs w:val="21"/>
          <w:highlight w:val="none"/>
        </w:rPr>
        <w:t>报价，</w:t>
      </w:r>
      <w:r>
        <w:rPr>
          <w:rFonts w:hint="eastAsia" w:hAnsi="宋体" w:cs="宋体"/>
          <w:color w:val="auto"/>
          <w:sz w:val="21"/>
          <w:szCs w:val="21"/>
          <w:highlight w:val="none"/>
          <w:lang w:val="en-US" w:eastAsia="zh-CN"/>
        </w:rPr>
        <w:t>工期</w:t>
      </w:r>
      <w:r>
        <w:rPr>
          <w:rFonts w:hint="eastAsia" w:hAnsi="宋体" w:cs="宋体"/>
          <w:color w:val="auto"/>
          <w:sz w:val="21"/>
          <w:szCs w:val="21"/>
          <w:highlight w:val="none"/>
        </w:rPr>
        <w:t>（无分标时填写）：</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w:t>
      </w:r>
      <w:r>
        <w:rPr>
          <w:rFonts w:hint="eastAsia" w:hAnsi="宋体" w:cs="宋体"/>
          <w:color w:val="auto"/>
          <w:sz w:val="21"/>
          <w:szCs w:val="21"/>
          <w:highlight w:val="none"/>
          <w:lang w:val="en-US" w:eastAsia="zh-CN"/>
        </w:rPr>
        <w:t>工程质量：</w:t>
      </w:r>
      <w:r>
        <w:rPr>
          <w:rFonts w:hint="eastAsia" w:hAnsi="宋体" w:cs="宋体"/>
          <w:color w:val="auto"/>
          <w:sz w:val="21"/>
          <w:szCs w:val="21"/>
          <w:highlight w:val="none"/>
          <w:u w:val="single"/>
          <w:lang w:val="en-US" w:eastAsia="zh-CN"/>
        </w:rPr>
        <w:t xml:space="preserve">    </w:t>
      </w:r>
      <w:r>
        <w:rPr>
          <w:rFonts w:hint="eastAsia" w:hAnsi="宋体" w:cs="宋体"/>
          <w:color w:val="auto"/>
          <w:sz w:val="21"/>
          <w:szCs w:val="21"/>
          <w:highlight w:val="none"/>
          <w:u w:val="none"/>
          <w:lang w:val="en-US" w:eastAsia="zh-CN"/>
        </w:rPr>
        <w:t>，安全目标：</w:t>
      </w:r>
      <w:r>
        <w:rPr>
          <w:rFonts w:hint="eastAsia" w:hAnsi="宋体" w:cs="宋体"/>
          <w:color w:val="auto"/>
          <w:sz w:val="21"/>
          <w:szCs w:val="21"/>
          <w:highlight w:val="none"/>
          <w:u w:val="single"/>
          <w:lang w:val="en-US" w:eastAsia="zh-CN"/>
        </w:rPr>
        <w:t xml:space="preserve">        </w:t>
      </w:r>
      <w:r>
        <w:rPr>
          <w:rFonts w:hint="eastAsia" w:hAnsi="宋体" w:cs="宋体"/>
          <w:color w:val="auto"/>
          <w:sz w:val="21"/>
          <w:szCs w:val="21"/>
          <w:highlight w:val="none"/>
          <w:u w:val="none"/>
          <w:lang w:val="en-US" w:eastAsia="zh-CN"/>
        </w:rPr>
        <w:t>，</w:t>
      </w:r>
      <w:r>
        <w:rPr>
          <w:rFonts w:hint="eastAsia" w:hAnsi="宋体" w:cs="宋体"/>
          <w:color w:val="auto"/>
          <w:sz w:val="21"/>
          <w:szCs w:val="21"/>
          <w:highlight w:val="none"/>
        </w:rPr>
        <w:t>提供本项目竞争性磋商采购文件第二章“服务需求一览表”中相应的采购内容</w:t>
      </w:r>
      <w:r>
        <w:rPr>
          <w:rFonts w:hint="eastAsia" w:hAnsi="宋体" w:cs="宋体"/>
          <w:color w:val="auto"/>
          <w:sz w:val="21"/>
          <w:szCs w:val="21"/>
          <w:highlight w:val="none"/>
          <w:lang w:eastAsia="zh-CN"/>
        </w:rPr>
        <w:t>，</w:t>
      </w:r>
      <w:r>
        <w:rPr>
          <w:rFonts w:hint="eastAsia" w:hAnsi="宋体" w:cs="宋体"/>
          <w:color w:val="auto"/>
          <w:sz w:val="21"/>
          <w:szCs w:val="21"/>
          <w:highlight w:val="none"/>
          <w:lang w:val="en-US" w:eastAsia="zh-CN"/>
        </w:rPr>
        <w:t>并</w:t>
      </w:r>
      <w:r>
        <w:rPr>
          <w:rFonts w:hint="eastAsia" w:hAnsi="宋体" w:cs="宋体"/>
          <w:color w:val="auto"/>
          <w:sz w:val="21"/>
          <w:szCs w:val="21"/>
          <w:highlight w:val="none"/>
          <w:lang w:eastAsia="zh-CN"/>
        </w:rPr>
        <w:t>按合同约定实施和完成承包工程，修补工程中的任何缺陷。</w:t>
      </w:r>
    </w:p>
    <w:p w14:paraId="0ACD1C68">
      <w:pPr>
        <w:pStyle w:val="15"/>
        <w:spacing w:line="360" w:lineRule="auto"/>
        <w:ind w:firstLine="482"/>
        <w:rPr>
          <w:rFonts w:hAnsi="宋体" w:cs="宋体"/>
          <w:color w:val="auto"/>
          <w:sz w:val="21"/>
          <w:szCs w:val="21"/>
          <w:highlight w:val="none"/>
        </w:rPr>
      </w:pPr>
      <w:r>
        <w:rPr>
          <w:rFonts w:hint="eastAsia" w:hAnsi="宋体" w:cs="宋体"/>
          <w:color w:val="auto"/>
          <w:sz w:val="21"/>
          <w:szCs w:val="21"/>
          <w:highlight w:val="none"/>
        </w:rPr>
        <w:t>其中（有分标时填写）：</w:t>
      </w:r>
    </w:p>
    <w:p w14:paraId="1E24E9B8">
      <w:pPr>
        <w:pStyle w:val="15"/>
        <w:spacing w:line="360" w:lineRule="auto"/>
        <w:ind w:firstLine="482"/>
        <w:rPr>
          <w:rFonts w:hAnsi="宋体" w:cs="宋体"/>
          <w:color w:val="auto"/>
          <w:sz w:val="21"/>
          <w:szCs w:val="21"/>
          <w:highlight w:val="none"/>
        </w:rPr>
      </w:pPr>
      <w:r>
        <w:rPr>
          <w:rFonts w:hint="eastAsia" w:hAnsi="宋体" w:cs="宋体"/>
          <w:color w:val="auto"/>
          <w:sz w:val="21"/>
          <w:szCs w:val="21"/>
          <w:highlight w:val="none"/>
          <w:u w:val="single"/>
        </w:rPr>
        <w:t xml:space="preserve">  </w:t>
      </w:r>
      <w:r>
        <w:rPr>
          <w:rFonts w:hAnsi="宋体" w:cs="宋体"/>
          <w:color w:val="auto"/>
          <w:sz w:val="21"/>
          <w:szCs w:val="21"/>
          <w:highlight w:val="none"/>
          <w:u w:val="single"/>
        </w:rPr>
        <w:t>/</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分标报价为（大写）人民币</w:t>
      </w:r>
      <w:r>
        <w:rPr>
          <w:rFonts w:hint="eastAsia" w:hAnsi="宋体" w:cs="宋体"/>
          <w:color w:val="auto"/>
          <w:sz w:val="21"/>
          <w:szCs w:val="21"/>
          <w:highlight w:val="none"/>
          <w:u w:val="single"/>
        </w:rPr>
        <w:t xml:space="preserve">     </w:t>
      </w:r>
      <w:r>
        <w:rPr>
          <w:rFonts w:hAnsi="宋体" w:cs="宋体"/>
          <w:color w:val="auto"/>
          <w:sz w:val="21"/>
          <w:szCs w:val="21"/>
          <w:highlight w:val="none"/>
          <w:u w:val="single"/>
        </w:rPr>
        <w:t>/</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 xml:space="preserve"> </w:t>
      </w:r>
      <w:r>
        <w:rPr>
          <w:rFonts w:hint="eastAsia" w:hAnsi="宋体" w:cs="宋体"/>
          <w:color w:val="auto"/>
          <w:sz w:val="21"/>
          <w:szCs w:val="21"/>
          <w:highlight w:val="none"/>
          <w:lang w:eastAsia="zh-CN"/>
        </w:rPr>
        <w:t>（</w:t>
      </w:r>
      <w:r>
        <w:rPr>
          <w:rFonts w:hint="eastAsia" w:hAnsi="宋体" w:cs="宋体"/>
          <w:color w:val="auto"/>
          <w:sz w:val="21"/>
          <w:szCs w:val="21"/>
          <w:highlight w:val="none"/>
        </w:rPr>
        <w:t>￥</w:t>
      </w:r>
      <w:r>
        <w:rPr>
          <w:rFonts w:hint="eastAsia" w:hAnsi="宋体" w:cs="宋体"/>
          <w:color w:val="auto"/>
          <w:sz w:val="21"/>
          <w:szCs w:val="21"/>
          <w:highlight w:val="none"/>
          <w:u w:val="single"/>
        </w:rPr>
        <w:t xml:space="preserve">    </w:t>
      </w:r>
      <w:r>
        <w:rPr>
          <w:rFonts w:hAnsi="宋体" w:cs="宋体"/>
          <w:color w:val="auto"/>
          <w:sz w:val="21"/>
          <w:szCs w:val="21"/>
          <w:highlight w:val="none"/>
          <w:u w:val="single"/>
        </w:rPr>
        <w:t>/</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元</w:t>
      </w:r>
      <w:r>
        <w:rPr>
          <w:rFonts w:hint="eastAsia" w:hAnsi="宋体" w:cs="宋体"/>
          <w:color w:val="auto"/>
          <w:sz w:val="21"/>
          <w:szCs w:val="21"/>
          <w:highlight w:val="none"/>
          <w:lang w:eastAsia="zh-CN"/>
        </w:rPr>
        <w:t>）</w:t>
      </w:r>
      <w:r>
        <w:rPr>
          <w:rFonts w:hint="eastAsia" w:hAnsi="宋体" w:cs="宋体"/>
          <w:color w:val="auto"/>
          <w:sz w:val="21"/>
          <w:szCs w:val="21"/>
          <w:highlight w:val="none"/>
        </w:rPr>
        <w:t>，</w:t>
      </w:r>
      <w:r>
        <w:rPr>
          <w:rFonts w:hint="eastAsia" w:hAnsi="宋体" w:cs="宋体"/>
          <w:color w:val="auto"/>
          <w:sz w:val="21"/>
          <w:szCs w:val="21"/>
          <w:highlight w:val="none"/>
          <w:lang w:val="en-US" w:eastAsia="zh-CN"/>
        </w:rPr>
        <w:t>工期</w:t>
      </w:r>
      <w:r>
        <w:rPr>
          <w:rFonts w:hint="eastAsia" w:hAnsi="宋体" w:cs="宋体"/>
          <w:color w:val="auto"/>
          <w:sz w:val="21"/>
          <w:szCs w:val="21"/>
          <w:highlight w:val="none"/>
        </w:rPr>
        <w:t>：</w:t>
      </w:r>
      <w:r>
        <w:rPr>
          <w:rFonts w:hint="eastAsia" w:hAnsi="宋体" w:cs="宋体"/>
          <w:color w:val="auto"/>
          <w:sz w:val="21"/>
          <w:szCs w:val="21"/>
          <w:highlight w:val="none"/>
          <w:u w:val="single"/>
        </w:rPr>
        <w:t xml:space="preserve">   </w:t>
      </w:r>
      <w:r>
        <w:rPr>
          <w:rFonts w:hAnsi="宋体" w:cs="宋体"/>
          <w:color w:val="auto"/>
          <w:sz w:val="21"/>
          <w:szCs w:val="21"/>
          <w:highlight w:val="none"/>
          <w:u w:val="single"/>
        </w:rPr>
        <w:t>/</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w:t>
      </w:r>
    </w:p>
    <w:p w14:paraId="39EFE77A">
      <w:pPr>
        <w:pStyle w:val="15"/>
        <w:spacing w:line="360" w:lineRule="auto"/>
        <w:ind w:firstLine="482"/>
        <w:rPr>
          <w:rFonts w:hAnsi="宋体" w:cs="宋体"/>
          <w:color w:val="auto"/>
          <w:sz w:val="21"/>
          <w:szCs w:val="21"/>
          <w:highlight w:val="none"/>
        </w:rPr>
      </w:pPr>
      <w:r>
        <w:rPr>
          <w:rFonts w:hint="eastAsia" w:hAnsi="宋体" w:cs="宋体"/>
          <w:color w:val="auto"/>
          <w:sz w:val="21"/>
          <w:szCs w:val="21"/>
          <w:highlight w:val="none"/>
          <w:u w:val="single"/>
        </w:rPr>
        <w:t xml:space="preserve">  </w:t>
      </w:r>
      <w:r>
        <w:rPr>
          <w:rFonts w:hAnsi="宋体" w:cs="宋体"/>
          <w:color w:val="auto"/>
          <w:sz w:val="21"/>
          <w:szCs w:val="21"/>
          <w:highlight w:val="none"/>
          <w:u w:val="single"/>
        </w:rPr>
        <w:t>/</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分标报价为（大写）人民币</w:t>
      </w:r>
      <w:r>
        <w:rPr>
          <w:rFonts w:hint="eastAsia" w:hAnsi="宋体" w:cs="宋体"/>
          <w:color w:val="auto"/>
          <w:sz w:val="21"/>
          <w:szCs w:val="21"/>
          <w:highlight w:val="none"/>
          <w:u w:val="single"/>
        </w:rPr>
        <w:t xml:space="preserve">        </w:t>
      </w:r>
      <w:r>
        <w:rPr>
          <w:rFonts w:hAnsi="宋体" w:cs="宋体"/>
          <w:color w:val="auto"/>
          <w:sz w:val="21"/>
          <w:szCs w:val="21"/>
          <w:highlight w:val="none"/>
          <w:u w:val="single"/>
        </w:rPr>
        <w:t>/</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 xml:space="preserve"> </w:t>
      </w:r>
      <w:r>
        <w:rPr>
          <w:rFonts w:hint="eastAsia" w:hAnsi="宋体" w:cs="宋体"/>
          <w:color w:val="auto"/>
          <w:sz w:val="21"/>
          <w:szCs w:val="21"/>
          <w:highlight w:val="none"/>
          <w:lang w:eastAsia="zh-CN"/>
        </w:rPr>
        <w:t>（</w:t>
      </w:r>
      <w:r>
        <w:rPr>
          <w:rFonts w:hint="eastAsia" w:hAnsi="宋体" w:cs="宋体"/>
          <w:color w:val="auto"/>
          <w:sz w:val="21"/>
          <w:szCs w:val="21"/>
          <w:highlight w:val="none"/>
        </w:rPr>
        <w:t>￥</w:t>
      </w:r>
      <w:r>
        <w:rPr>
          <w:rFonts w:hint="eastAsia" w:hAnsi="宋体" w:cs="宋体"/>
          <w:color w:val="auto"/>
          <w:sz w:val="21"/>
          <w:szCs w:val="21"/>
          <w:highlight w:val="none"/>
          <w:u w:val="single"/>
        </w:rPr>
        <w:t xml:space="preserve">     </w:t>
      </w:r>
      <w:r>
        <w:rPr>
          <w:rFonts w:hAnsi="宋体" w:cs="宋体"/>
          <w:color w:val="auto"/>
          <w:sz w:val="21"/>
          <w:szCs w:val="21"/>
          <w:highlight w:val="none"/>
          <w:u w:val="single"/>
        </w:rPr>
        <w:t>/</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元</w:t>
      </w:r>
      <w:r>
        <w:rPr>
          <w:rFonts w:hint="eastAsia" w:hAnsi="宋体" w:cs="宋体"/>
          <w:color w:val="auto"/>
          <w:sz w:val="21"/>
          <w:szCs w:val="21"/>
          <w:highlight w:val="none"/>
          <w:lang w:eastAsia="zh-CN"/>
        </w:rPr>
        <w:t>）</w:t>
      </w:r>
      <w:r>
        <w:rPr>
          <w:rFonts w:hint="eastAsia" w:hAnsi="宋体" w:cs="宋体"/>
          <w:color w:val="auto"/>
          <w:sz w:val="21"/>
          <w:szCs w:val="21"/>
          <w:highlight w:val="none"/>
        </w:rPr>
        <w:t>，</w:t>
      </w:r>
      <w:r>
        <w:rPr>
          <w:rFonts w:hint="eastAsia" w:hAnsi="宋体" w:cs="宋体"/>
          <w:color w:val="auto"/>
          <w:sz w:val="21"/>
          <w:szCs w:val="21"/>
          <w:highlight w:val="none"/>
          <w:lang w:val="en-US" w:eastAsia="zh-CN"/>
        </w:rPr>
        <w:t>工期</w:t>
      </w:r>
      <w:r>
        <w:rPr>
          <w:rFonts w:hint="eastAsia" w:hAnsi="宋体" w:cs="宋体"/>
          <w:color w:val="auto"/>
          <w:sz w:val="21"/>
          <w:szCs w:val="21"/>
          <w:highlight w:val="none"/>
        </w:rPr>
        <w:t>：</w:t>
      </w:r>
      <w:r>
        <w:rPr>
          <w:rFonts w:hint="eastAsia" w:hAnsi="宋体" w:cs="宋体"/>
          <w:color w:val="auto"/>
          <w:sz w:val="21"/>
          <w:szCs w:val="21"/>
          <w:highlight w:val="none"/>
          <w:u w:val="single"/>
        </w:rPr>
        <w:t xml:space="preserve">    </w:t>
      </w:r>
      <w:r>
        <w:rPr>
          <w:rFonts w:hAnsi="宋体" w:cs="宋体"/>
          <w:color w:val="auto"/>
          <w:sz w:val="21"/>
          <w:szCs w:val="21"/>
          <w:highlight w:val="none"/>
          <w:u w:val="single"/>
        </w:rPr>
        <w:t>/</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w:t>
      </w:r>
    </w:p>
    <w:p w14:paraId="0E8639BD">
      <w:pPr>
        <w:pStyle w:val="15"/>
        <w:spacing w:line="360" w:lineRule="auto"/>
        <w:ind w:firstLine="482"/>
        <w:rPr>
          <w:rFonts w:hAnsi="宋体" w:cs="宋体"/>
          <w:color w:val="auto"/>
          <w:sz w:val="21"/>
          <w:szCs w:val="21"/>
          <w:highlight w:val="none"/>
        </w:rPr>
      </w:pPr>
      <w:r>
        <w:rPr>
          <w:rFonts w:hint="eastAsia" w:hAnsi="宋体" w:cs="宋体"/>
          <w:color w:val="auto"/>
          <w:sz w:val="21"/>
          <w:szCs w:val="21"/>
          <w:highlight w:val="none"/>
        </w:rPr>
        <w:t>......</w:t>
      </w:r>
    </w:p>
    <w:p w14:paraId="2D802542">
      <w:pPr>
        <w:pStyle w:val="15"/>
        <w:spacing w:line="360" w:lineRule="auto"/>
        <w:ind w:firstLine="482"/>
        <w:rPr>
          <w:rFonts w:hAnsi="宋体" w:cs="宋体"/>
          <w:color w:val="auto"/>
          <w:sz w:val="21"/>
          <w:szCs w:val="21"/>
          <w:highlight w:val="none"/>
        </w:rPr>
      </w:pPr>
      <w:r>
        <w:rPr>
          <w:rFonts w:hint="eastAsia" w:hAnsi="宋体" w:cs="宋体"/>
          <w:color w:val="auto"/>
          <w:sz w:val="21"/>
          <w:szCs w:val="21"/>
          <w:highlight w:val="none"/>
        </w:rPr>
        <w:t>2、我方同意自本项目竞争性磋商采购文件采购公告规定的递交响应文件截止时间起遵循本响应函，并承诺在“第三章 供应商须知”规定的响应有效期内不修改、撤销响应文件。</w:t>
      </w:r>
    </w:p>
    <w:p w14:paraId="060D5FED">
      <w:pPr>
        <w:pStyle w:val="15"/>
        <w:spacing w:line="360" w:lineRule="auto"/>
        <w:ind w:firstLine="482"/>
        <w:rPr>
          <w:rFonts w:hAnsi="宋体" w:cs="宋体"/>
          <w:color w:val="auto"/>
          <w:sz w:val="21"/>
          <w:szCs w:val="21"/>
          <w:highlight w:val="none"/>
        </w:rPr>
      </w:pPr>
      <w:r>
        <w:rPr>
          <w:rFonts w:hint="eastAsia" w:hAnsi="宋体" w:cs="宋体"/>
          <w:color w:val="auto"/>
          <w:sz w:val="21"/>
          <w:szCs w:val="21"/>
          <w:highlight w:val="none"/>
        </w:rPr>
        <w:t>3、我方在此声明，所递交的响应文件及有关资料内容完整、真实和准确。</w:t>
      </w:r>
    </w:p>
    <w:p w14:paraId="3EC2B5A4">
      <w:pPr>
        <w:pStyle w:val="15"/>
        <w:spacing w:line="360" w:lineRule="auto"/>
        <w:ind w:firstLine="482"/>
        <w:rPr>
          <w:rFonts w:hAnsi="宋体" w:cs="宋体"/>
          <w:color w:val="auto"/>
          <w:sz w:val="21"/>
          <w:szCs w:val="21"/>
          <w:highlight w:val="none"/>
        </w:rPr>
      </w:pPr>
      <w:r>
        <w:rPr>
          <w:rFonts w:hint="eastAsia" w:hAnsi="宋体" w:cs="宋体"/>
          <w:color w:val="auto"/>
          <w:sz w:val="21"/>
          <w:szCs w:val="21"/>
          <w:highlight w:val="none"/>
        </w:rPr>
        <w:t>4、如本项目采购内容涉及须符合国家强制规定的，我方承诺我方本次竞标均符合国家有关强制规定。</w:t>
      </w:r>
    </w:p>
    <w:p w14:paraId="79B7BC59">
      <w:pPr>
        <w:pStyle w:val="15"/>
        <w:spacing w:line="360" w:lineRule="auto"/>
        <w:ind w:firstLine="482"/>
        <w:rPr>
          <w:rFonts w:hAnsi="宋体" w:cs="宋体"/>
          <w:color w:val="auto"/>
          <w:sz w:val="21"/>
          <w:szCs w:val="21"/>
          <w:highlight w:val="none"/>
        </w:rPr>
      </w:pPr>
      <w:r>
        <w:rPr>
          <w:rFonts w:hint="eastAsia" w:hAnsi="宋体" w:cs="宋体"/>
          <w:color w:val="auto"/>
          <w:sz w:val="21"/>
          <w:szCs w:val="21"/>
          <w:highlight w:val="none"/>
        </w:rPr>
        <w:t>5、如我方成交，我方承诺在收到成交通知书后，在成交通知书规定的期限内，根据竞争性磋商采购文件、我方的响应文件及有关澄清承诺书的要求按第六章“合同文本”与采购人订立书面合同，并按照合同约定承担完成合同的责任和义务。</w:t>
      </w:r>
    </w:p>
    <w:p w14:paraId="41E0D8D5">
      <w:pPr>
        <w:pStyle w:val="15"/>
        <w:spacing w:line="360" w:lineRule="auto"/>
        <w:ind w:firstLine="482"/>
        <w:rPr>
          <w:rFonts w:hAnsi="宋体" w:cs="宋体"/>
          <w:color w:val="auto"/>
          <w:sz w:val="21"/>
          <w:szCs w:val="21"/>
          <w:highlight w:val="none"/>
        </w:rPr>
      </w:pPr>
      <w:r>
        <w:rPr>
          <w:rFonts w:hint="eastAsia" w:hAnsi="宋体" w:cs="宋体"/>
          <w:color w:val="auto"/>
          <w:sz w:val="21"/>
          <w:szCs w:val="21"/>
          <w:highlight w:val="none"/>
        </w:rPr>
        <w:t>6、我方已详细审核竞争性磋商采购文件，我方知道必须放弃提出含糊不清或误解问题的权利。</w:t>
      </w:r>
    </w:p>
    <w:p w14:paraId="20BBB466">
      <w:pPr>
        <w:pStyle w:val="15"/>
        <w:spacing w:line="360" w:lineRule="auto"/>
        <w:ind w:firstLine="482"/>
        <w:rPr>
          <w:rFonts w:hAnsi="宋体" w:cs="宋体"/>
          <w:color w:val="auto"/>
          <w:sz w:val="21"/>
          <w:szCs w:val="21"/>
          <w:highlight w:val="none"/>
        </w:rPr>
      </w:pPr>
      <w:r>
        <w:rPr>
          <w:rFonts w:hint="eastAsia" w:hAnsi="宋体" w:cs="宋体"/>
          <w:color w:val="auto"/>
          <w:sz w:val="21"/>
          <w:szCs w:val="21"/>
          <w:highlight w:val="none"/>
        </w:rPr>
        <w:t>7、我方承诺满足竞争性磋商采购文件第六章“合同文本”的条款，承担完成合同的责任和义务。</w:t>
      </w:r>
    </w:p>
    <w:p w14:paraId="5B2A1B47">
      <w:pPr>
        <w:pStyle w:val="15"/>
        <w:spacing w:line="360" w:lineRule="auto"/>
        <w:ind w:firstLine="482"/>
        <w:rPr>
          <w:rFonts w:hAnsi="宋体" w:cs="宋体"/>
          <w:color w:val="auto"/>
          <w:sz w:val="21"/>
          <w:szCs w:val="21"/>
          <w:highlight w:val="none"/>
        </w:rPr>
      </w:pPr>
      <w:r>
        <w:rPr>
          <w:rFonts w:hint="eastAsia" w:hAnsi="宋体" w:cs="宋体"/>
          <w:color w:val="auto"/>
          <w:sz w:val="21"/>
          <w:szCs w:val="21"/>
          <w:highlight w:val="none"/>
        </w:rPr>
        <w:t>8、我方同意应贵方要求提供与本竞标有关的任何数据或资料。若贵方需要，我方愿意提供我方作出的一切承诺的证明材料。</w:t>
      </w:r>
    </w:p>
    <w:p w14:paraId="754924C9">
      <w:pPr>
        <w:pStyle w:val="15"/>
        <w:spacing w:line="360" w:lineRule="auto"/>
        <w:ind w:firstLine="482"/>
        <w:rPr>
          <w:rFonts w:hAnsi="宋体" w:cs="宋体"/>
          <w:color w:val="auto"/>
          <w:sz w:val="21"/>
          <w:szCs w:val="21"/>
          <w:highlight w:val="none"/>
        </w:rPr>
      </w:pPr>
      <w:r>
        <w:rPr>
          <w:rFonts w:hint="eastAsia" w:hAnsi="宋体" w:cs="宋体"/>
          <w:color w:val="auto"/>
          <w:sz w:val="21"/>
          <w:szCs w:val="21"/>
          <w:highlight w:val="none"/>
        </w:rPr>
        <w:t>9、我方完全理解贵方不一定接受响应报价最低的竞标人为成交供应商的行为。</w:t>
      </w:r>
    </w:p>
    <w:p w14:paraId="77F9661F">
      <w:pPr>
        <w:pStyle w:val="15"/>
        <w:spacing w:line="360" w:lineRule="auto"/>
        <w:ind w:firstLine="482"/>
        <w:rPr>
          <w:rFonts w:hAnsi="宋体" w:cs="宋体"/>
          <w:color w:val="auto"/>
          <w:sz w:val="21"/>
          <w:szCs w:val="21"/>
          <w:highlight w:val="none"/>
        </w:rPr>
      </w:pPr>
      <w:r>
        <w:rPr>
          <w:rFonts w:hint="eastAsia" w:hAnsi="宋体" w:cs="宋体"/>
          <w:color w:val="auto"/>
          <w:sz w:val="21"/>
          <w:szCs w:val="21"/>
          <w:highlight w:val="none"/>
        </w:rPr>
        <w:t>10、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74B6AF85">
      <w:pPr>
        <w:pStyle w:val="15"/>
        <w:numPr>
          <w:ilvl w:val="0"/>
          <w:numId w:val="4"/>
        </w:numPr>
        <w:tabs>
          <w:tab w:val="left" w:pos="945"/>
        </w:tabs>
        <w:spacing w:line="360" w:lineRule="auto"/>
        <w:rPr>
          <w:rFonts w:hAnsi="宋体" w:cs="宋体"/>
          <w:color w:val="auto"/>
          <w:sz w:val="21"/>
          <w:szCs w:val="21"/>
          <w:highlight w:val="none"/>
        </w:rPr>
      </w:pPr>
      <w:r>
        <w:rPr>
          <w:rFonts w:hint="eastAsia" w:hAnsi="宋体" w:cs="宋体"/>
          <w:color w:val="auto"/>
          <w:sz w:val="21"/>
          <w:szCs w:val="21"/>
          <w:highlight w:val="none"/>
        </w:rPr>
        <w:t>提供虚假材料谋取中标、成交的；</w:t>
      </w:r>
    </w:p>
    <w:p w14:paraId="390B9AEB">
      <w:pPr>
        <w:pStyle w:val="15"/>
        <w:numPr>
          <w:ilvl w:val="0"/>
          <w:numId w:val="4"/>
        </w:numPr>
        <w:tabs>
          <w:tab w:val="left" w:pos="945"/>
        </w:tabs>
        <w:spacing w:line="360" w:lineRule="auto"/>
        <w:rPr>
          <w:rFonts w:hAnsi="宋体" w:cs="宋体"/>
          <w:color w:val="auto"/>
          <w:sz w:val="21"/>
          <w:szCs w:val="21"/>
          <w:highlight w:val="none"/>
        </w:rPr>
      </w:pPr>
      <w:r>
        <w:rPr>
          <w:rFonts w:hint="eastAsia" w:hAnsi="宋体" w:cs="宋体"/>
          <w:color w:val="auto"/>
          <w:sz w:val="21"/>
          <w:szCs w:val="21"/>
          <w:highlight w:val="none"/>
        </w:rPr>
        <w:t>采取不正当手段诋毁、排挤其他供应商的；</w:t>
      </w:r>
    </w:p>
    <w:p w14:paraId="24F670F7">
      <w:pPr>
        <w:pStyle w:val="15"/>
        <w:numPr>
          <w:ilvl w:val="0"/>
          <w:numId w:val="4"/>
        </w:numPr>
        <w:tabs>
          <w:tab w:val="left" w:pos="945"/>
        </w:tabs>
        <w:spacing w:line="360" w:lineRule="auto"/>
        <w:rPr>
          <w:rFonts w:hAnsi="宋体" w:cs="宋体"/>
          <w:color w:val="auto"/>
          <w:sz w:val="21"/>
          <w:szCs w:val="21"/>
          <w:highlight w:val="none"/>
        </w:rPr>
      </w:pPr>
      <w:r>
        <w:rPr>
          <w:rFonts w:hint="eastAsia" w:hAnsi="宋体" w:cs="宋体"/>
          <w:color w:val="auto"/>
          <w:sz w:val="21"/>
          <w:szCs w:val="21"/>
          <w:highlight w:val="none"/>
        </w:rPr>
        <w:t>与采购人、其他供应商或者采购代理机构恶意串通的；</w:t>
      </w:r>
    </w:p>
    <w:p w14:paraId="5EF9A017">
      <w:pPr>
        <w:pStyle w:val="15"/>
        <w:numPr>
          <w:ilvl w:val="0"/>
          <w:numId w:val="4"/>
        </w:numPr>
        <w:tabs>
          <w:tab w:val="left" w:pos="945"/>
        </w:tabs>
        <w:spacing w:line="360" w:lineRule="auto"/>
        <w:rPr>
          <w:rFonts w:hAnsi="宋体" w:cs="宋体"/>
          <w:color w:val="auto"/>
          <w:sz w:val="21"/>
          <w:szCs w:val="21"/>
          <w:highlight w:val="none"/>
        </w:rPr>
      </w:pPr>
      <w:r>
        <w:rPr>
          <w:rFonts w:hint="eastAsia" w:hAnsi="宋体" w:cs="宋体"/>
          <w:color w:val="auto"/>
          <w:sz w:val="21"/>
          <w:szCs w:val="21"/>
          <w:highlight w:val="none"/>
        </w:rPr>
        <w:t>向采购人、采购代理机构行贿或者提供其他不正当利益的；</w:t>
      </w:r>
    </w:p>
    <w:p w14:paraId="655B33B0">
      <w:pPr>
        <w:pStyle w:val="15"/>
        <w:numPr>
          <w:ilvl w:val="0"/>
          <w:numId w:val="4"/>
        </w:numPr>
        <w:tabs>
          <w:tab w:val="left" w:pos="945"/>
        </w:tabs>
        <w:spacing w:line="360" w:lineRule="auto"/>
        <w:rPr>
          <w:rFonts w:hAnsi="宋体" w:cs="宋体"/>
          <w:color w:val="auto"/>
          <w:sz w:val="21"/>
          <w:szCs w:val="21"/>
          <w:highlight w:val="none"/>
        </w:rPr>
      </w:pPr>
      <w:r>
        <w:rPr>
          <w:rFonts w:hint="eastAsia" w:hAnsi="宋体" w:cs="宋体"/>
          <w:color w:val="auto"/>
          <w:sz w:val="21"/>
          <w:szCs w:val="21"/>
          <w:highlight w:val="none"/>
        </w:rPr>
        <w:t>在采购过程中与采购人进行协商谈判的；</w:t>
      </w:r>
    </w:p>
    <w:p w14:paraId="54B8343D">
      <w:pPr>
        <w:pStyle w:val="15"/>
        <w:numPr>
          <w:ilvl w:val="0"/>
          <w:numId w:val="4"/>
        </w:numPr>
        <w:tabs>
          <w:tab w:val="left" w:pos="945"/>
        </w:tabs>
        <w:spacing w:line="360" w:lineRule="auto"/>
        <w:rPr>
          <w:rFonts w:hAnsi="宋体" w:cs="宋体"/>
          <w:color w:val="auto"/>
          <w:sz w:val="21"/>
          <w:szCs w:val="21"/>
          <w:highlight w:val="none"/>
        </w:rPr>
      </w:pPr>
      <w:r>
        <w:rPr>
          <w:rFonts w:hint="eastAsia" w:hAnsi="宋体" w:cs="宋体"/>
          <w:color w:val="auto"/>
          <w:sz w:val="21"/>
          <w:szCs w:val="21"/>
          <w:highlight w:val="none"/>
        </w:rPr>
        <w:t>拒绝有关部门监督检查或提供虚假情况的。</w:t>
      </w:r>
    </w:p>
    <w:p w14:paraId="44AF7758">
      <w:pPr>
        <w:pStyle w:val="15"/>
        <w:spacing w:line="360" w:lineRule="auto"/>
        <w:ind w:firstLine="420"/>
        <w:rPr>
          <w:rFonts w:hAnsi="宋体" w:cs="宋体"/>
          <w:color w:val="auto"/>
          <w:sz w:val="21"/>
          <w:szCs w:val="21"/>
          <w:highlight w:val="none"/>
        </w:rPr>
      </w:pPr>
      <w:r>
        <w:rPr>
          <w:rFonts w:hint="eastAsia" w:hAnsi="宋体" w:cs="宋体"/>
          <w:color w:val="auto"/>
          <w:sz w:val="21"/>
          <w:szCs w:val="21"/>
          <w:highlight w:val="none"/>
        </w:rPr>
        <w:t>11.与本磋商有关的一切正式往来信函请寄：</w:t>
      </w:r>
    </w:p>
    <w:p w14:paraId="3074181D">
      <w:pPr>
        <w:pStyle w:val="15"/>
        <w:spacing w:line="360" w:lineRule="auto"/>
        <w:ind w:firstLine="420"/>
        <w:rPr>
          <w:rFonts w:hAnsi="宋体" w:cs="宋体"/>
          <w:color w:val="auto"/>
          <w:sz w:val="21"/>
          <w:szCs w:val="21"/>
          <w:highlight w:val="none"/>
        </w:rPr>
      </w:pPr>
      <w:r>
        <w:rPr>
          <w:rFonts w:hint="eastAsia" w:hAnsi="宋体" w:cs="宋体"/>
          <w:color w:val="auto"/>
          <w:sz w:val="21"/>
          <w:szCs w:val="21"/>
          <w:highlight w:val="none"/>
        </w:rPr>
        <w:t>地址：</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 xml:space="preserve"> </w:t>
      </w:r>
    </w:p>
    <w:p w14:paraId="1F8D8112">
      <w:pPr>
        <w:pStyle w:val="15"/>
        <w:spacing w:line="360" w:lineRule="auto"/>
        <w:ind w:firstLine="420"/>
        <w:rPr>
          <w:rFonts w:hAnsi="宋体" w:cs="宋体"/>
          <w:color w:val="auto"/>
          <w:sz w:val="21"/>
          <w:szCs w:val="21"/>
          <w:highlight w:val="none"/>
          <w:u w:val="single"/>
        </w:rPr>
      </w:pPr>
      <w:r>
        <w:rPr>
          <w:rFonts w:hint="eastAsia" w:hAnsi="宋体" w:cs="宋体"/>
          <w:color w:val="auto"/>
          <w:sz w:val="21"/>
          <w:szCs w:val="21"/>
          <w:highlight w:val="none"/>
        </w:rPr>
        <w:t>电话：</w:t>
      </w:r>
      <w:r>
        <w:rPr>
          <w:rFonts w:hint="eastAsia" w:hAnsi="宋体" w:cs="宋体"/>
          <w:color w:val="auto"/>
          <w:sz w:val="21"/>
          <w:szCs w:val="21"/>
          <w:highlight w:val="none"/>
          <w:u w:val="single"/>
        </w:rPr>
        <w:t xml:space="preserve">                                      　　　　　　　　　</w:t>
      </w:r>
    </w:p>
    <w:p w14:paraId="6655E889">
      <w:pPr>
        <w:pStyle w:val="15"/>
        <w:spacing w:line="360" w:lineRule="auto"/>
        <w:ind w:firstLine="420"/>
        <w:rPr>
          <w:rFonts w:hAnsi="宋体" w:cs="宋体"/>
          <w:color w:val="auto"/>
          <w:sz w:val="21"/>
          <w:szCs w:val="21"/>
          <w:highlight w:val="none"/>
        </w:rPr>
      </w:pPr>
      <w:r>
        <w:rPr>
          <w:rFonts w:hint="eastAsia" w:hAnsi="宋体" w:cs="宋体"/>
          <w:color w:val="auto"/>
          <w:sz w:val="21"/>
          <w:szCs w:val="21"/>
          <w:highlight w:val="none"/>
        </w:rPr>
        <w:t>传真：</w:t>
      </w:r>
      <w:r>
        <w:rPr>
          <w:rFonts w:hint="eastAsia" w:hAnsi="宋体" w:cs="宋体"/>
          <w:color w:val="auto"/>
          <w:sz w:val="21"/>
          <w:szCs w:val="21"/>
          <w:highlight w:val="none"/>
          <w:u w:val="single"/>
        </w:rPr>
        <w:t>　　　　　　　　　　　　　　　　　　　　　　　　　　　　</w:t>
      </w:r>
    </w:p>
    <w:p w14:paraId="18194C32">
      <w:pPr>
        <w:pStyle w:val="15"/>
        <w:spacing w:line="360" w:lineRule="auto"/>
        <w:ind w:firstLine="420"/>
        <w:rPr>
          <w:rFonts w:hAnsi="宋体" w:cs="宋体"/>
          <w:color w:val="auto"/>
          <w:sz w:val="21"/>
          <w:szCs w:val="21"/>
          <w:highlight w:val="none"/>
          <w:u w:val="single"/>
        </w:rPr>
      </w:pPr>
      <w:r>
        <w:rPr>
          <w:rFonts w:hint="eastAsia" w:hAnsi="宋体" w:cs="宋体"/>
          <w:color w:val="auto"/>
          <w:sz w:val="21"/>
          <w:szCs w:val="21"/>
          <w:highlight w:val="none"/>
        </w:rPr>
        <w:t>邮政编码：</w:t>
      </w:r>
      <w:r>
        <w:rPr>
          <w:rFonts w:hint="eastAsia" w:hAnsi="宋体" w:cs="宋体"/>
          <w:color w:val="auto"/>
          <w:sz w:val="21"/>
          <w:szCs w:val="21"/>
          <w:highlight w:val="none"/>
          <w:u w:val="single"/>
        </w:rPr>
        <w:t xml:space="preserve">                                                    </w:t>
      </w:r>
    </w:p>
    <w:p w14:paraId="2532A3F2">
      <w:pPr>
        <w:pStyle w:val="15"/>
        <w:spacing w:line="360" w:lineRule="auto"/>
        <w:ind w:firstLine="420"/>
        <w:rPr>
          <w:rFonts w:hAnsi="宋体" w:cs="宋体"/>
          <w:color w:val="auto"/>
          <w:sz w:val="21"/>
          <w:szCs w:val="21"/>
          <w:highlight w:val="none"/>
          <w:u w:val="single"/>
        </w:rPr>
      </w:pPr>
      <w:r>
        <w:rPr>
          <w:rFonts w:hint="eastAsia" w:hAnsi="宋体" w:cs="宋体"/>
          <w:color w:val="auto"/>
          <w:sz w:val="21"/>
          <w:szCs w:val="21"/>
          <w:highlight w:val="none"/>
        </w:rPr>
        <w:t>开户名称：</w:t>
      </w:r>
      <w:r>
        <w:rPr>
          <w:rFonts w:hint="eastAsia" w:hAnsi="宋体" w:cs="宋体"/>
          <w:color w:val="auto"/>
          <w:sz w:val="21"/>
          <w:szCs w:val="21"/>
          <w:highlight w:val="none"/>
          <w:u w:val="single"/>
        </w:rPr>
        <w:t xml:space="preserve">                                                    </w:t>
      </w:r>
    </w:p>
    <w:p w14:paraId="6E94E73B">
      <w:pPr>
        <w:pStyle w:val="15"/>
        <w:spacing w:line="360" w:lineRule="auto"/>
        <w:ind w:firstLine="420"/>
        <w:rPr>
          <w:rFonts w:hAnsi="宋体" w:cs="宋体"/>
          <w:color w:val="auto"/>
          <w:sz w:val="21"/>
          <w:szCs w:val="21"/>
          <w:highlight w:val="none"/>
          <w:u w:val="single"/>
        </w:rPr>
      </w:pPr>
      <w:r>
        <w:rPr>
          <w:rFonts w:hint="eastAsia" w:hAnsi="宋体" w:cs="宋体"/>
          <w:color w:val="auto"/>
          <w:sz w:val="21"/>
          <w:szCs w:val="21"/>
          <w:highlight w:val="none"/>
        </w:rPr>
        <w:t>开户银行：</w:t>
      </w:r>
      <w:r>
        <w:rPr>
          <w:rFonts w:hint="eastAsia" w:hAnsi="宋体" w:cs="宋体"/>
          <w:color w:val="auto"/>
          <w:sz w:val="21"/>
          <w:szCs w:val="21"/>
          <w:highlight w:val="none"/>
          <w:u w:val="single"/>
        </w:rPr>
        <w:t xml:space="preserve">                                                    </w:t>
      </w:r>
    </w:p>
    <w:p w14:paraId="5A1E56CA">
      <w:pPr>
        <w:pStyle w:val="15"/>
        <w:spacing w:line="360" w:lineRule="auto"/>
        <w:ind w:firstLine="420"/>
        <w:rPr>
          <w:rFonts w:hAnsi="宋体" w:cs="宋体"/>
          <w:color w:val="auto"/>
          <w:sz w:val="21"/>
          <w:szCs w:val="21"/>
          <w:highlight w:val="none"/>
          <w:u w:val="single"/>
        </w:rPr>
      </w:pPr>
      <w:r>
        <w:rPr>
          <w:rFonts w:hint="eastAsia" w:hAnsi="宋体" w:cs="宋体"/>
          <w:color w:val="auto"/>
          <w:sz w:val="21"/>
          <w:szCs w:val="21"/>
          <w:highlight w:val="none"/>
        </w:rPr>
        <w:t>银行账号：</w:t>
      </w:r>
      <w:r>
        <w:rPr>
          <w:rFonts w:hint="eastAsia" w:hAnsi="宋体" w:cs="宋体"/>
          <w:color w:val="auto"/>
          <w:sz w:val="21"/>
          <w:szCs w:val="21"/>
          <w:highlight w:val="none"/>
          <w:u w:val="single"/>
        </w:rPr>
        <w:t xml:space="preserve">                                                    </w:t>
      </w:r>
    </w:p>
    <w:p w14:paraId="2256128C">
      <w:pPr>
        <w:pStyle w:val="13"/>
        <w:tabs>
          <w:tab w:val="left" w:pos="939"/>
        </w:tabs>
        <w:spacing w:line="360" w:lineRule="auto"/>
        <w:ind w:left="141" w:leftChars="67" w:firstLine="315" w:firstLineChars="150"/>
        <w:rPr>
          <w:rFonts w:ascii="宋体" w:hAnsi="宋体" w:cs="宋体"/>
          <w:color w:val="auto"/>
          <w:sz w:val="21"/>
          <w:szCs w:val="21"/>
          <w:highlight w:val="none"/>
        </w:rPr>
      </w:pPr>
      <w:r>
        <w:rPr>
          <w:rFonts w:hint="eastAsia" w:ascii="宋体" w:hAnsi="宋体" w:cs="宋体"/>
          <w:color w:val="auto"/>
          <w:sz w:val="21"/>
          <w:szCs w:val="21"/>
          <w:highlight w:val="none"/>
        </w:rPr>
        <w:t>特此承诺。</w:t>
      </w:r>
    </w:p>
    <w:p w14:paraId="5ADE1D5B">
      <w:pPr>
        <w:spacing w:line="360" w:lineRule="auto"/>
        <w:jc w:val="left"/>
        <w:rPr>
          <w:rFonts w:ascii="宋体" w:hAnsi="宋体" w:cs="宋体"/>
          <w:color w:val="auto"/>
          <w:szCs w:val="21"/>
          <w:highlight w:val="none"/>
        </w:rPr>
      </w:pPr>
    </w:p>
    <w:p w14:paraId="3CF269B9">
      <w:pPr>
        <w:autoSpaceDE w:val="0"/>
        <w:autoSpaceDN w:val="0"/>
        <w:spacing w:line="360" w:lineRule="auto"/>
        <w:ind w:left="4335" w:leftChars="1950" w:hanging="240" w:hangingChars="100"/>
        <w:rPr>
          <w:rFonts w:ascii="宋体" w:hAnsi="宋体" w:cs="宋体"/>
          <w:color w:val="auto"/>
          <w:kern w:val="0"/>
          <w:sz w:val="24"/>
          <w:highlight w:val="none"/>
        </w:rPr>
      </w:pPr>
      <w:r>
        <w:rPr>
          <w:rFonts w:hint="eastAsia" w:ascii="宋体" w:hAnsi="宋体" w:cs="宋体"/>
          <w:color w:val="auto"/>
          <w:kern w:val="0"/>
          <w:sz w:val="24"/>
          <w:highlight w:val="none"/>
        </w:rPr>
        <w:t>供应商名称（电子签章）：</w:t>
      </w:r>
    </w:p>
    <w:p w14:paraId="346FCA68">
      <w:pPr>
        <w:autoSpaceDE w:val="0"/>
        <w:autoSpaceDN w:val="0"/>
        <w:spacing w:line="360" w:lineRule="auto"/>
        <w:ind w:firstLine="6480" w:firstLineChars="27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4855B923">
      <w:pPr>
        <w:widowControl/>
        <w:spacing w:line="360" w:lineRule="auto"/>
        <w:jc w:val="left"/>
        <w:rPr>
          <w:rFonts w:ascii="宋体" w:hAnsi="宋体" w:cs="宋体"/>
          <w:color w:val="auto"/>
          <w:kern w:val="0"/>
          <w:sz w:val="24"/>
          <w:highlight w:val="none"/>
          <w:lang w:val="zh-CN"/>
        </w:rPr>
        <w:sectPr>
          <w:pgSz w:w="11910" w:h="16840"/>
          <w:pgMar w:top="1134" w:right="1134" w:bottom="1134" w:left="1134" w:header="720" w:footer="720" w:gutter="0"/>
          <w:cols w:space="0" w:num="1"/>
          <w:rtlGutter w:val="0"/>
        </w:sectPr>
      </w:pPr>
    </w:p>
    <w:p w14:paraId="78D29B9C">
      <w:pPr>
        <w:autoSpaceDE w:val="0"/>
        <w:autoSpaceDN w:val="0"/>
        <w:spacing w:line="360" w:lineRule="auto"/>
        <w:ind w:firstLine="6480" w:firstLineChars="2700"/>
        <w:rPr>
          <w:rFonts w:ascii="宋体" w:hAnsi="宋体" w:cs="宋体"/>
          <w:color w:val="auto"/>
          <w:kern w:val="0"/>
          <w:sz w:val="24"/>
          <w:highlight w:val="none"/>
          <w:lang w:val="zh-CN"/>
        </w:rPr>
      </w:pPr>
    </w:p>
    <w:p w14:paraId="33A300CA">
      <w:pPr>
        <w:spacing w:line="520" w:lineRule="exact"/>
        <w:ind w:firstLine="643" w:firstLineChars="200"/>
        <w:rPr>
          <w:rFonts w:ascii="宋体" w:hAnsi="宋体" w:cs="宋体"/>
          <w:b/>
          <w:bCs/>
          <w:color w:val="auto"/>
          <w:sz w:val="32"/>
          <w:szCs w:val="32"/>
          <w:highlight w:val="none"/>
        </w:rPr>
      </w:pPr>
      <w:r>
        <w:rPr>
          <w:rFonts w:hint="eastAsia" w:ascii="宋体" w:hAnsi="宋体" w:cs="宋体"/>
          <w:b/>
          <w:bCs/>
          <w:color w:val="auto"/>
          <w:sz w:val="32"/>
          <w:szCs w:val="32"/>
          <w:highlight w:val="none"/>
        </w:rPr>
        <w:t>二、响应报价表</w:t>
      </w:r>
    </w:p>
    <w:p w14:paraId="052182F6">
      <w:pPr>
        <w:snapToGrid w:val="0"/>
        <w:spacing w:before="50" w:after="50" w:line="360" w:lineRule="auto"/>
        <w:rPr>
          <w:rFonts w:ascii="宋体" w:hAnsi="宋体" w:cs="宋体"/>
          <w:color w:val="auto"/>
          <w:sz w:val="24"/>
          <w:highlight w:val="none"/>
          <w:u w:val="singl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bookmarkStart w:id="111" w:name="PO_3000001868_PM002_11"/>
      <w:r>
        <w:rPr>
          <w:rFonts w:hint="eastAsia" w:ascii="宋体" w:hAnsi="宋体" w:cs="宋体"/>
          <w:color w:val="auto"/>
          <w:sz w:val="24"/>
          <w:highlight w:val="none"/>
          <w:u w:val="single"/>
        </w:rPr>
        <w:t>[项目名称]</w:t>
      </w:r>
      <w:bookmarkEnd w:id="111"/>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项目编号：</w:t>
      </w:r>
      <w:r>
        <w:rPr>
          <w:rFonts w:hint="eastAsia" w:ascii="宋体" w:hAnsi="宋体" w:cs="宋体"/>
          <w:color w:val="auto"/>
          <w:sz w:val="24"/>
          <w:highlight w:val="none"/>
          <w:u w:val="single"/>
        </w:rPr>
        <w:t xml:space="preserve">  </w:t>
      </w:r>
      <w:bookmarkStart w:id="112" w:name="PO_3000001868_PM001_11"/>
      <w:r>
        <w:rPr>
          <w:rFonts w:hint="eastAsia" w:ascii="宋体" w:hAnsi="宋体" w:cs="宋体"/>
          <w:color w:val="auto"/>
          <w:sz w:val="24"/>
          <w:highlight w:val="none"/>
          <w:u w:val="single"/>
        </w:rPr>
        <w:t>[项目编号]</w:t>
      </w:r>
      <w:bookmarkEnd w:id="112"/>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26419912">
      <w:pPr>
        <w:snapToGrid w:val="0"/>
        <w:spacing w:before="50" w:after="50" w:line="360" w:lineRule="auto"/>
        <w:rPr>
          <w:rFonts w:ascii="宋体" w:hAnsi="宋体" w:cs="宋体"/>
          <w:color w:val="auto"/>
          <w:sz w:val="24"/>
          <w:highlight w:val="none"/>
          <w:u w:val="single"/>
        </w:rPr>
      </w:pPr>
      <w:r>
        <w:rPr>
          <w:rFonts w:hint="eastAsia" w:ascii="宋体" w:hAnsi="宋体" w:cs="宋体"/>
          <w:color w:val="auto"/>
          <w:sz w:val="24"/>
          <w:highlight w:val="none"/>
        </w:rPr>
        <w:t>供应商名称：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tbl>
      <w:tblPr>
        <w:tblStyle w:val="26"/>
        <w:tblW w:w="98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259"/>
        <w:gridCol w:w="2063"/>
        <w:gridCol w:w="1080"/>
        <w:gridCol w:w="1289"/>
        <w:gridCol w:w="1290"/>
        <w:gridCol w:w="1154"/>
        <w:gridCol w:w="957"/>
      </w:tblGrid>
      <w:tr w14:paraId="7519B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jc w:val="center"/>
        </w:trPr>
        <w:tc>
          <w:tcPr>
            <w:tcW w:w="718" w:type="dxa"/>
            <w:tcBorders>
              <w:top w:val="single" w:color="auto" w:sz="4" w:space="0"/>
              <w:left w:val="single" w:color="auto" w:sz="4" w:space="0"/>
              <w:bottom w:val="single" w:color="auto" w:sz="4" w:space="0"/>
              <w:right w:val="single" w:color="auto" w:sz="4" w:space="0"/>
            </w:tcBorders>
            <w:vAlign w:val="center"/>
          </w:tcPr>
          <w:p w14:paraId="346AB4D1">
            <w:pPr>
              <w:jc w:val="center"/>
              <w:rPr>
                <w:rFonts w:ascii="宋体" w:hAnsi="宋体" w:cs="宋体"/>
                <w:color w:val="auto"/>
                <w:szCs w:val="22"/>
                <w:highlight w:val="none"/>
              </w:rPr>
            </w:pPr>
            <w:r>
              <w:rPr>
                <w:rFonts w:hint="eastAsia" w:ascii="宋体" w:hAnsi="宋体" w:cs="宋体"/>
                <w:color w:val="auto"/>
                <w:szCs w:val="22"/>
                <w:highlight w:val="none"/>
              </w:rPr>
              <w:t>序号</w:t>
            </w:r>
          </w:p>
        </w:tc>
        <w:tc>
          <w:tcPr>
            <w:tcW w:w="1259" w:type="dxa"/>
            <w:tcBorders>
              <w:top w:val="single" w:color="auto" w:sz="4" w:space="0"/>
              <w:left w:val="single" w:color="auto" w:sz="4" w:space="0"/>
              <w:bottom w:val="single" w:color="auto" w:sz="4" w:space="0"/>
              <w:right w:val="single" w:color="auto" w:sz="4" w:space="0"/>
            </w:tcBorders>
            <w:vAlign w:val="center"/>
          </w:tcPr>
          <w:p w14:paraId="7DCC16C1">
            <w:pPr>
              <w:jc w:val="center"/>
              <w:rPr>
                <w:rFonts w:ascii="宋体" w:hAnsi="宋体" w:cs="宋体"/>
                <w:color w:val="auto"/>
                <w:szCs w:val="22"/>
                <w:highlight w:val="none"/>
              </w:rPr>
            </w:pPr>
            <w:r>
              <w:rPr>
                <w:rFonts w:hint="eastAsia" w:ascii="宋体" w:hAnsi="宋体" w:cs="宋体"/>
                <w:color w:val="auto"/>
                <w:szCs w:val="22"/>
                <w:highlight w:val="none"/>
                <w:lang w:val="en-US" w:eastAsia="zh-CN"/>
              </w:rPr>
              <w:t>工程</w:t>
            </w:r>
            <w:r>
              <w:rPr>
                <w:rFonts w:hint="eastAsia" w:ascii="宋体" w:hAnsi="宋体" w:cs="宋体"/>
                <w:color w:val="auto"/>
                <w:szCs w:val="22"/>
                <w:highlight w:val="none"/>
              </w:rPr>
              <w:t>名称</w:t>
            </w:r>
          </w:p>
        </w:tc>
        <w:tc>
          <w:tcPr>
            <w:tcW w:w="2063" w:type="dxa"/>
            <w:tcBorders>
              <w:top w:val="single" w:color="auto" w:sz="4" w:space="0"/>
              <w:left w:val="single" w:color="auto" w:sz="4" w:space="0"/>
              <w:bottom w:val="single" w:color="auto" w:sz="4" w:space="0"/>
              <w:right w:val="single" w:color="auto" w:sz="4" w:space="0"/>
            </w:tcBorders>
            <w:vAlign w:val="center"/>
          </w:tcPr>
          <w:p w14:paraId="0792604A">
            <w:pPr>
              <w:jc w:val="center"/>
              <w:rPr>
                <w:rFonts w:ascii="宋体" w:hAnsi="宋体" w:cs="宋体"/>
                <w:color w:val="auto"/>
                <w:szCs w:val="22"/>
                <w:highlight w:val="none"/>
              </w:rPr>
            </w:pPr>
            <w:r>
              <w:rPr>
                <w:rFonts w:hint="eastAsia" w:ascii="宋体" w:hAnsi="宋体" w:cs="宋体"/>
                <w:color w:val="auto"/>
                <w:szCs w:val="22"/>
                <w:highlight w:val="none"/>
                <w:lang w:val="en-US" w:eastAsia="zh-CN"/>
              </w:rPr>
              <w:t>工程</w:t>
            </w:r>
            <w:r>
              <w:rPr>
                <w:rFonts w:hint="eastAsia" w:ascii="宋体" w:hAnsi="宋体" w:cs="宋体"/>
                <w:color w:val="auto"/>
                <w:szCs w:val="22"/>
                <w:highlight w:val="none"/>
              </w:rPr>
              <w:t>内容</w:t>
            </w:r>
          </w:p>
        </w:tc>
        <w:tc>
          <w:tcPr>
            <w:tcW w:w="1080" w:type="dxa"/>
            <w:tcBorders>
              <w:top w:val="single" w:color="auto" w:sz="4" w:space="0"/>
              <w:left w:val="single" w:color="auto" w:sz="4" w:space="0"/>
              <w:bottom w:val="single" w:color="auto" w:sz="4" w:space="0"/>
              <w:right w:val="single" w:color="auto" w:sz="4" w:space="0"/>
            </w:tcBorders>
            <w:vAlign w:val="center"/>
          </w:tcPr>
          <w:p w14:paraId="69B49FDA">
            <w:pPr>
              <w:jc w:val="center"/>
              <w:rPr>
                <w:rFonts w:ascii="宋体" w:hAnsi="宋体" w:cs="宋体"/>
                <w:color w:val="auto"/>
                <w:szCs w:val="22"/>
                <w:highlight w:val="none"/>
              </w:rPr>
            </w:pPr>
            <w:r>
              <w:rPr>
                <w:rFonts w:hint="eastAsia" w:ascii="宋体" w:hAnsi="宋体" w:cs="宋体"/>
                <w:color w:val="auto"/>
                <w:szCs w:val="22"/>
                <w:highlight w:val="none"/>
              </w:rPr>
              <w:t>数量</w:t>
            </w:r>
          </w:p>
        </w:tc>
        <w:tc>
          <w:tcPr>
            <w:tcW w:w="1289" w:type="dxa"/>
            <w:tcBorders>
              <w:top w:val="single" w:color="auto" w:sz="4" w:space="0"/>
              <w:left w:val="single" w:color="auto" w:sz="4" w:space="0"/>
              <w:bottom w:val="single" w:color="auto" w:sz="4" w:space="0"/>
              <w:right w:val="single" w:color="auto" w:sz="4" w:space="0"/>
            </w:tcBorders>
            <w:vAlign w:val="center"/>
          </w:tcPr>
          <w:p w14:paraId="601F5D97">
            <w:pPr>
              <w:jc w:val="center"/>
              <w:rPr>
                <w:rFonts w:hint="default" w:ascii="宋体" w:hAnsi="宋体" w:eastAsia="宋体" w:cs="宋体"/>
                <w:color w:val="auto"/>
                <w:szCs w:val="22"/>
                <w:highlight w:val="none"/>
                <w:lang w:val="en-US" w:eastAsia="zh-CN"/>
              </w:rPr>
            </w:pPr>
            <w:r>
              <w:rPr>
                <w:rFonts w:hint="eastAsia" w:ascii="宋体" w:hAnsi="宋体" w:cs="宋体"/>
                <w:color w:val="auto"/>
                <w:szCs w:val="22"/>
                <w:highlight w:val="none"/>
                <w:lang w:val="en-US" w:eastAsia="zh-CN"/>
              </w:rPr>
              <w:t>单价（元）</w:t>
            </w:r>
          </w:p>
        </w:tc>
        <w:tc>
          <w:tcPr>
            <w:tcW w:w="1290" w:type="dxa"/>
            <w:tcBorders>
              <w:top w:val="single" w:color="auto" w:sz="4" w:space="0"/>
              <w:left w:val="single" w:color="auto" w:sz="4" w:space="0"/>
              <w:bottom w:val="single" w:color="auto" w:sz="4" w:space="0"/>
              <w:right w:val="single" w:color="auto" w:sz="4" w:space="0"/>
            </w:tcBorders>
            <w:vAlign w:val="center"/>
          </w:tcPr>
          <w:p w14:paraId="445C3DAE">
            <w:pPr>
              <w:jc w:val="center"/>
              <w:rPr>
                <w:rFonts w:hint="eastAsia" w:ascii="宋体" w:hAnsi="宋体" w:cs="宋体"/>
                <w:color w:val="auto"/>
                <w:szCs w:val="22"/>
                <w:highlight w:val="none"/>
              </w:rPr>
            </w:pPr>
            <w:r>
              <w:rPr>
                <w:rFonts w:hint="eastAsia" w:ascii="宋体" w:hAnsi="宋体" w:cs="宋体"/>
                <w:color w:val="auto"/>
                <w:szCs w:val="22"/>
                <w:highlight w:val="none"/>
              </w:rPr>
              <w:t>磋商</w:t>
            </w:r>
            <w:r>
              <w:rPr>
                <w:rFonts w:hint="eastAsia" w:ascii="宋体" w:hAnsi="宋体" w:cs="宋体"/>
                <w:color w:val="auto"/>
                <w:szCs w:val="22"/>
                <w:highlight w:val="none"/>
                <w:lang w:val="en-US" w:eastAsia="zh-CN"/>
              </w:rPr>
              <w:t>总</w:t>
            </w:r>
            <w:r>
              <w:rPr>
                <w:rFonts w:hint="eastAsia" w:ascii="宋体" w:hAnsi="宋体" w:cs="宋体"/>
                <w:color w:val="auto"/>
                <w:szCs w:val="22"/>
                <w:highlight w:val="none"/>
              </w:rPr>
              <w:t>报价</w:t>
            </w:r>
            <w:r>
              <w:rPr>
                <w:rFonts w:hint="eastAsia" w:ascii="宋体" w:hAnsi="宋体" w:cs="宋体"/>
                <w:color w:val="auto"/>
                <w:szCs w:val="22"/>
                <w:highlight w:val="none"/>
                <w:lang w:eastAsia="zh-CN"/>
              </w:rPr>
              <w:t>（</w:t>
            </w:r>
            <w:r>
              <w:rPr>
                <w:rFonts w:hint="eastAsia" w:ascii="宋体" w:hAnsi="宋体" w:cs="宋体"/>
                <w:color w:val="auto"/>
                <w:szCs w:val="22"/>
                <w:highlight w:val="none"/>
                <w:lang w:val="en-US" w:eastAsia="zh-CN"/>
              </w:rPr>
              <w:t>元）</w:t>
            </w:r>
          </w:p>
        </w:tc>
        <w:tc>
          <w:tcPr>
            <w:tcW w:w="1154" w:type="dxa"/>
            <w:tcBorders>
              <w:top w:val="single" w:color="auto" w:sz="4" w:space="0"/>
              <w:left w:val="single" w:color="auto" w:sz="4" w:space="0"/>
              <w:bottom w:val="single" w:color="auto" w:sz="4" w:space="0"/>
              <w:right w:val="single" w:color="auto" w:sz="4" w:space="0"/>
            </w:tcBorders>
            <w:vAlign w:val="center"/>
          </w:tcPr>
          <w:p w14:paraId="35600C08">
            <w:pPr>
              <w:spacing w:line="360" w:lineRule="auto"/>
              <w:jc w:val="center"/>
              <w:rPr>
                <w:rFonts w:hint="eastAsia" w:ascii="宋体" w:hAnsi="宋体" w:eastAsia="宋体" w:cs="宋体"/>
                <w:color w:val="auto"/>
                <w:szCs w:val="22"/>
                <w:highlight w:val="none"/>
                <w:lang w:eastAsia="zh-CN"/>
              </w:rPr>
            </w:pPr>
            <w:r>
              <w:rPr>
                <w:rFonts w:hint="eastAsia" w:ascii="宋体" w:hAnsi="宋体" w:cs="宋体"/>
                <w:color w:val="auto"/>
                <w:szCs w:val="21"/>
                <w:highlight w:val="none"/>
                <w:lang w:val="en-US" w:eastAsia="zh-CN"/>
              </w:rPr>
              <w:t>工期</w:t>
            </w:r>
          </w:p>
        </w:tc>
        <w:tc>
          <w:tcPr>
            <w:tcW w:w="957" w:type="dxa"/>
            <w:tcBorders>
              <w:top w:val="single" w:color="auto" w:sz="4" w:space="0"/>
              <w:left w:val="single" w:color="auto" w:sz="4" w:space="0"/>
              <w:bottom w:val="single" w:color="auto" w:sz="4" w:space="0"/>
              <w:right w:val="single" w:color="auto" w:sz="4" w:space="0"/>
            </w:tcBorders>
            <w:vAlign w:val="center"/>
          </w:tcPr>
          <w:p w14:paraId="5272168C">
            <w:pPr>
              <w:jc w:val="center"/>
              <w:rPr>
                <w:rFonts w:ascii="宋体" w:hAnsi="宋体" w:cs="宋体"/>
                <w:color w:val="auto"/>
                <w:szCs w:val="22"/>
                <w:highlight w:val="none"/>
              </w:rPr>
            </w:pPr>
            <w:r>
              <w:rPr>
                <w:rFonts w:hint="eastAsia" w:ascii="宋体" w:hAnsi="宋体" w:cs="宋体"/>
                <w:color w:val="auto"/>
                <w:szCs w:val="22"/>
                <w:highlight w:val="none"/>
              </w:rPr>
              <w:t>备注</w:t>
            </w:r>
          </w:p>
        </w:tc>
      </w:tr>
      <w:tr w14:paraId="32561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718" w:type="dxa"/>
            <w:tcBorders>
              <w:top w:val="single" w:color="auto" w:sz="4" w:space="0"/>
              <w:left w:val="single" w:color="auto" w:sz="4" w:space="0"/>
              <w:bottom w:val="single" w:color="auto" w:sz="4" w:space="0"/>
              <w:right w:val="single" w:color="auto" w:sz="4" w:space="0"/>
            </w:tcBorders>
            <w:vAlign w:val="center"/>
          </w:tcPr>
          <w:p w14:paraId="3DB00B25">
            <w:pPr>
              <w:rPr>
                <w:rFonts w:ascii="宋体" w:hAnsi="宋体" w:cs="宋体"/>
                <w:color w:val="auto"/>
                <w:szCs w:val="22"/>
                <w:highlight w:val="none"/>
              </w:rPr>
            </w:pPr>
            <w:r>
              <w:rPr>
                <w:rFonts w:hint="eastAsia" w:ascii="宋体" w:hAnsi="宋体" w:cs="宋体"/>
                <w:color w:val="auto"/>
                <w:szCs w:val="22"/>
                <w:highlight w:val="none"/>
              </w:rPr>
              <w:t>1</w:t>
            </w:r>
          </w:p>
        </w:tc>
        <w:tc>
          <w:tcPr>
            <w:tcW w:w="1259" w:type="dxa"/>
            <w:tcBorders>
              <w:top w:val="single" w:color="auto" w:sz="4" w:space="0"/>
              <w:left w:val="single" w:color="auto" w:sz="4" w:space="0"/>
              <w:bottom w:val="single" w:color="auto" w:sz="4" w:space="0"/>
              <w:right w:val="single" w:color="auto" w:sz="4" w:space="0"/>
            </w:tcBorders>
            <w:vAlign w:val="center"/>
          </w:tcPr>
          <w:p w14:paraId="58555579">
            <w:pPr>
              <w:rPr>
                <w:rFonts w:ascii="宋体" w:hAnsi="宋体" w:cs="宋体"/>
                <w:color w:val="auto"/>
                <w:szCs w:val="22"/>
                <w:highlight w:val="none"/>
              </w:rPr>
            </w:pPr>
          </w:p>
        </w:tc>
        <w:tc>
          <w:tcPr>
            <w:tcW w:w="2063" w:type="dxa"/>
            <w:tcBorders>
              <w:top w:val="single" w:color="auto" w:sz="4" w:space="0"/>
              <w:left w:val="single" w:color="auto" w:sz="4" w:space="0"/>
              <w:bottom w:val="single" w:color="auto" w:sz="4" w:space="0"/>
              <w:right w:val="single" w:color="auto" w:sz="4" w:space="0"/>
            </w:tcBorders>
            <w:vAlign w:val="center"/>
          </w:tcPr>
          <w:p w14:paraId="0DDD9A16">
            <w:pPr>
              <w:rPr>
                <w:rFonts w:ascii="宋体" w:hAnsi="宋体" w:cs="宋体"/>
                <w:color w:val="auto"/>
                <w:szCs w:val="22"/>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14:paraId="5866F830">
            <w:pPr>
              <w:jc w:val="center"/>
              <w:rPr>
                <w:rFonts w:ascii="宋体" w:hAnsi="宋体" w:cs="宋体"/>
                <w:color w:val="auto"/>
                <w:szCs w:val="22"/>
                <w:highlight w:val="none"/>
              </w:rPr>
            </w:pPr>
            <w:r>
              <w:rPr>
                <w:rFonts w:hint="eastAsia" w:ascii="宋体" w:hAnsi="宋体" w:cs="宋体"/>
                <w:color w:val="auto"/>
                <w:szCs w:val="22"/>
                <w:highlight w:val="none"/>
                <w:lang w:val="en-US" w:eastAsia="zh-CN"/>
              </w:rPr>
              <w:t>详见已标价的工程量清单</w:t>
            </w:r>
          </w:p>
        </w:tc>
        <w:tc>
          <w:tcPr>
            <w:tcW w:w="1289" w:type="dxa"/>
            <w:tcBorders>
              <w:top w:val="single" w:color="auto" w:sz="4" w:space="0"/>
              <w:left w:val="single" w:color="auto" w:sz="4" w:space="0"/>
              <w:bottom w:val="single" w:color="auto" w:sz="4" w:space="0"/>
              <w:right w:val="single" w:color="auto" w:sz="4" w:space="0"/>
            </w:tcBorders>
            <w:vAlign w:val="center"/>
          </w:tcPr>
          <w:p w14:paraId="135FA155">
            <w:pPr>
              <w:jc w:val="center"/>
              <w:rPr>
                <w:rFonts w:ascii="宋体" w:hAnsi="宋体" w:cs="宋体"/>
                <w:color w:val="auto"/>
                <w:szCs w:val="22"/>
                <w:highlight w:val="none"/>
              </w:rPr>
            </w:pPr>
            <w:r>
              <w:rPr>
                <w:rFonts w:hint="eastAsia" w:ascii="宋体" w:hAnsi="宋体" w:cs="宋体"/>
                <w:color w:val="auto"/>
                <w:szCs w:val="22"/>
                <w:highlight w:val="none"/>
                <w:lang w:val="en-US" w:eastAsia="zh-CN"/>
              </w:rPr>
              <w:t>详见已标价的工程量清单</w:t>
            </w:r>
          </w:p>
        </w:tc>
        <w:tc>
          <w:tcPr>
            <w:tcW w:w="1290" w:type="dxa"/>
            <w:tcBorders>
              <w:top w:val="single" w:color="auto" w:sz="4" w:space="0"/>
              <w:left w:val="single" w:color="auto" w:sz="4" w:space="0"/>
              <w:bottom w:val="single" w:color="auto" w:sz="4" w:space="0"/>
              <w:right w:val="single" w:color="auto" w:sz="4" w:space="0"/>
            </w:tcBorders>
            <w:vAlign w:val="center"/>
          </w:tcPr>
          <w:p w14:paraId="08C15CA8">
            <w:pPr>
              <w:rPr>
                <w:rFonts w:hint="eastAsia" w:ascii="宋体" w:hAnsi="宋体" w:cs="宋体"/>
                <w:color w:val="auto"/>
                <w:szCs w:val="22"/>
                <w:highlight w:val="none"/>
              </w:rPr>
            </w:pPr>
          </w:p>
        </w:tc>
        <w:tc>
          <w:tcPr>
            <w:tcW w:w="1154" w:type="dxa"/>
            <w:tcBorders>
              <w:top w:val="single" w:color="auto" w:sz="4" w:space="0"/>
              <w:left w:val="single" w:color="auto" w:sz="4" w:space="0"/>
              <w:bottom w:val="single" w:color="auto" w:sz="4" w:space="0"/>
              <w:right w:val="single" w:color="auto" w:sz="4" w:space="0"/>
            </w:tcBorders>
            <w:vAlign w:val="center"/>
          </w:tcPr>
          <w:p w14:paraId="04D82FC8">
            <w:pPr>
              <w:rPr>
                <w:rFonts w:ascii="宋体" w:hAnsi="宋体" w:cs="宋体"/>
                <w:color w:val="auto"/>
                <w:szCs w:val="22"/>
                <w:highlight w:val="none"/>
              </w:rPr>
            </w:pPr>
          </w:p>
        </w:tc>
        <w:tc>
          <w:tcPr>
            <w:tcW w:w="957" w:type="dxa"/>
            <w:tcBorders>
              <w:top w:val="single" w:color="auto" w:sz="4" w:space="0"/>
              <w:left w:val="single" w:color="auto" w:sz="4" w:space="0"/>
              <w:bottom w:val="single" w:color="auto" w:sz="4" w:space="0"/>
              <w:right w:val="single" w:color="auto" w:sz="4" w:space="0"/>
            </w:tcBorders>
            <w:vAlign w:val="center"/>
          </w:tcPr>
          <w:p w14:paraId="6D3A9C57">
            <w:pPr>
              <w:rPr>
                <w:rFonts w:ascii="宋体" w:hAnsi="宋体" w:cs="宋体"/>
                <w:color w:val="auto"/>
                <w:szCs w:val="22"/>
                <w:highlight w:val="none"/>
              </w:rPr>
            </w:pPr>
          </w:p>
        </w:tc>
      </w:tr>
      <w:tr w14:paraId="2C3DD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810" w:type="dxa"/>
            <w:gridSpan w:val="8"/>
            <w:tcBorders>
              <w:top w:val="single" w:color="auto" w:sz="4" w:space="0"/>
              <w:left w:val="single" w:color="auto" w:sz="4" w:space="0"/>
              <w:bottom w:val="single" w:color="auto" w:sz="4" w:space="0"/>
              <w:right w:val="single" w:color="auto" w:sz="4" w:space="0"/>
            </w:tcBorders>
          </w:tcPr>
          <w:p w14:paraId="42E20204">
            <w:pPr>
              <w:rPr>
                <w:rFonts w:ascii="宋体" w:hAnsi="宋体" w:cs="宋体"/>
                <w:color w:val="auto"/>
                <w:szCs w:val="22"/>
                <w:highlight w:val="none"/>
              </w:rPr>
            </w:pPr>
            <w:r>
              <w:rPr>
                <w:rFonts w:hint="eastAsia" w:ascii="宋体" w:hAnsi="宋体" w:cs="宋体"/>
                <w:color w:val="auto"/>
                <w:szCs w:val="22"/>
                <w:highlight w:val="none"/>
              </w:rPr>
              <w:t>报价合计（包含税费等所有费用）：</w:t>
            </w:r>
            <w:r>
              <w:rPr>
                <w:rFonts w:hint="eastAsia" w:ascii="宋体" w:hAnsi="宋体" w:cs="宋体"/>
                <w:color w:val="auto"/>
                <w:szCs w:val="22"/>
                <w:highlight w:val="none"/>
                <w:lang w:val="en-US" w:eastAsia="zh-CN"/>
              </w:rPr>
              <w:t>（大写）人民币         （￥       ）</w:t>
            </w:r>
            <w:r>
              <w:rPr>
                <w:rFonts w:hint="eastAsia" w:ascii="宋体" w:hAnsi="宋体" w:cs="宋体"/>
                <w:color w:val="auto"/>
                <w:szCs w:val="22"/>
                <w:highlight w:val="none"/>
              </w:rPr>
              <w:t xml:space="preserve">                               </w:t>
            </w:r>
          </w:p>
        </w:tc>
      </w:tr>
      <w:tr w14:paraId="37A85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810" w:type="dxa"/>
            <w:gridSpan w:val="8"/>
            <w:tcBorders>
              <w:top w:val="single" w:color="auto" w:sz="4" w:space="0"/>
              <w:left w:val="single" w:color="auto" w:sz="4" w:space="0"/>
              <w:bottom w:val="single" w:color="auto" w:sz="4" w:space="0"/>
              <w:right w:val="single" w:color="auto" w:sz="4" w:space="0"/>
            </w:tcBorders>
          </w:tcPr>
          <w:p w14:paraId="4EAA854E">
            <w:pPr>
              <w:rPr>
                <w:rFonts w:ascii="宋体" w:hAnsi="宋体" w:cs="宋体"/>
                <w:color w:val="auto"/>
                <w:szCs w:val="22"/>
                <w:highlight w:val="none"/>
              </w:rPr>
            </w:pPr>
            <w:r>
              <w:rPr>
                <w:rFonts w:hint="eastAsia" w:ascii="宋体" w:hAnsi="宋体" w:cs="宋体"/>
                <w:color w:val="auto"/>
                <w:szCs w:val="21"/>
                <w:highlight w:val="none"/>
                <w:u w:val="single"/>
              </w:rPr>
              <w:t>　</w:t>
            </w:r>
            <w:r>
              <w:rPr>
                <w:rFonts w:hint="eastAsia" w:ascii="宋体" w:hAnsi="宋体" w:cs="宋体"/>
                <w:color w:val="auto"/>
                <w:szCs w:val="21"/>
                <w:highlight w:val="none"/>
                <w:u w:val="single"/>
                <w:lang w:val="en-US" w:eastAsia="zh-CN"/>
              </w:rPr>
              <w:t>无</w:t>
            </w:r>
            <w:r>
              <w:rPr>
                <w:rFonts w:hint="eastAsia" w:ascii="宋体" w:hAnsi="宋体" w:cs="宋体"/>
                <w:color w:val="auto"/>
                <w:szCs w:val="21"/>
                <w:highlight w:val="none"/>
                <w:u w:val="single"/>
              </w:rPr>
              <w:t>　</w:t>
            </w:r>
            <w:r>
              <w:rPr>
                <w:rFonts w:hint="eastAsia" w:ascii="宋体" w:hAnsi="宋体" w:cs="宋体"/>
                <w:color w:val="auto"/>
                <w:szCs w:val="21"/>
                <w:highlight w:val="none"/>
              </w:rPr>
              <w:t>分标（此处有分标时填写具体分标号，无分标时填写“无”）</w:t>
            </w:r>
          </w:p>
        </w:tc>
      </w:tr>
      <w:tr w14:paraId="7F6B5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810" w:type="dxa"/>
            <w:gridSpan w:val="8"/>
            <w:tcBorders>
              <w:top w:val="single" w:color="auto" w:sz="4" w:space="0"/>
              <w:left w:val="single" w:color="auto" w:sz="4" w:space="0"/>
              <w:bottom w:val="single" w:color="auto" w:sz="4" w:space="0"/>
              <w:right w:val="single" w:color="auto" w:sz="4" w:space="0"/>
            </w:tcBorders>
          </w:tcPr>
          <w:p w14:paraId="41C52F5E">
            <w:pPr>
              <w:rPr>
                <w:rFonts w:hint="eastAsia" w:ascii="宋体" w:hAnsi="宋体" w:eastAsia="宋体" w:cs="宋体"/>
                <w:color w:val="auto"/>
                <w:szCs w:val="22"/>
                <w:highlight w:val="none"/>
                <w:lang w:val="en-US" w:eastAsia="zh-CN"/>
              </w:rPr>
            </w:pPr>
            <w:r>
              <w:rPr>
                <w:rFonts w:hint="eastAsia" w:ascii="宋体" w:hAnsi="宋体" w:cs="宋体"/>
                <w:color w:val="auto"/>
                <w:szCs w:val="22"/>
                <w:highlight w:val="none"/>
              </w:rPr>
              <w:t>验收标准：</w:t>
            </w:r>
          </w:p>
        </w:tc>
      </w:tr>
      <w:tr w14:paraId="3374A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810" w:type="dxa"/>
            <w:gridSpan w:val="8"/>
            <w:tcBorders>
              <w:top w:val="single" w:color="auto" w:sz="4" w:space="0"/>
              <w:left w:val="single" w:color="auto" w:sz="4" w:space="0"/>
              <w:bottom w:val="single" w:color="auto" w:sz="4" w:space="0"/>
              <w:right w:val="single" w:color="auto" w:sz="4" w:space="0"/>
            </w:tcBorders>
          </w:tcPr>
          <w:p w14:paraId="69940E2A">
            <w:pPr>
              <w:rPr>
                <w:rFonts w:ascii="宋体" w:hAnsi="宋体" w:cs="宋体"/>
                <w:color w:val="auto"/>
                <w:szCs w:val="22"/>
                <w:highlight w:val="none"/>
              </w:rPr>
            </w:pPr>
            <w:r>
              <w:rPr>
                <w:rFonts w:hint="eastAsia" w:ascii="宋体" w:hAnsi="宋体" w:cs="宋体"/>
                <w:color w:val="auto"/>
                <w:szCs w:val="22"/>
                <w:highlight w:val="none"/>
              </w:rPr>
              <w:t>优惠及其它</w:t>
            </w:r>
            <w:r>
              <w:rPr>
                <w:rFonts w:hint="eastAsia" w:ascii="宋体" w:hAnsi="宋体" w:cs="宋体"/>
                <w:color w:val="auto"/>
                <w:szCs w:val="22"/>
                <w:highlight w:val="none"/>
                <w:lang w:eastAsia="zh-CN"/>
              </w:rPr>
              <w:t>（</w:t>
            </w:r>
            <w:r>
              <w:rPr>
                <w:rFonts w:hint="eastAsia" w:ascii="宋体" w:hAnsi="宋体" w:cs="宋体"/>
                <w:color w:val="auto"/>
                <w:szCs w:val="22"/>
                <w:highlight w:val="none"/>
                <w:lang w:val="en-US" w:eastAsia="zh-CN"/>
              </w:rPr>
              <w:t>如有，没有写无）</w:t>
            </w:r>
            <w:r>
              <w:rPr>
                <w:rFonts w:hint="eastAsia" w:ascii="宋体" w:hAnsi="宋体" w:cs="宋体"/>
                <w:color w:val="auto"/>
                <w:szCs w:val="22"/>
                <w:highlight w:val="none"/>
              </w:rPr>
              <w:t>：</w:t>
            </w:r>
          </w:p>
        </w:tc>
      </w:tr>
    </w:tbl>
    <w:p w14:paraId="0965704D">
      <w:pPr>
        <w:snapToGrid w:val="0"/>
        <w:spacing w:before="50" w:after="50"/>
        <w:ind w:firstLine="480" w:firstLineChars="200"/>
        <w:jc w:val="left"/>
        <w:rPr>
          <w:rFonts w:hint="eastAsia" w:ascii="宋体" w:hAnsi="宋体" w:cs="宋体"/>
          <w:color w:val="auto"/>
          <w:kern w:val="0"/>
          <w:sz w:val="24"/>
          <w:highlight w:val="none"/>
          <w:lang w:val="zh-CN"/>
        </w:rPr>
      </w:pPr>
    </w:p>
    <w:p w14:paraId="61ABB108">
      <w:pPr>
        <w:snapToGrid w:val="0"/>
        <w:spacing w:before="50" w:after="50"/>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注： </w:t>
      </w:r>
    </w:p>
    <w:p w14:paraId="7754760E">
      <w:pPr>
        <w:snapToGrid w:val="0"/>
        <w:spacing w:before="50" w:after="50"/>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1、供应商需按本表格式填写，不得自行更改，也不得留空, 如有多分标，按分标分别提供响应报价表</w:t>
      </w:r>
      <w:r>
        <w:rPr>
          <w:rFonts w:hint="eastAsia" w:ascii="宋体" w:hAnsi="宋体" w:cs="宋体"/>
          <w:b/>
          <w:color w:val="auto"/>
          <w:kern w:val="0"/>
          <w:sz w:val="24"/>
          <w:highlight w:val="none"/>
          <w:lang w:val="zh-CN"/>
        </w:rPr>
        <w:t>。</w:t>
      </w:r>
    </w:p>
    <w:p w14:paraId="45CAC925">
      <w:pPr>
        <w:snapToGrid w:val="0"/>
        <w:spacing w:before="50" w:after="50"/>
        <w:ind w:firstLine="480" w:firstLineChars="200"/>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2、如为联合体响应的，“供应商名称”处必须列明联合体各方名称，并标注联合体牵头人名称，且盖章处须加盖联合体各方公章，</w:t>
      </w:r>
      <w:r>
        <w:rPr>
          <w:rFonts w:hint="eastAsia" w:ascii="宋体" w:hAnsi="宋体" w:cs="宋体"/>
          <w:b/>
          <w:color w:val="auto"/>
          <w:kern w:val="0"/>
          <w:sz w:val="24"/>
          <w:highlight w:val="none"/>
          <w:lang w:val="zh-CN"/>
        </w:rPr>
        <w:t>否则其响应作无效响应处理。</w:t>
      </w:r>
    </w:p>
    <w:p w14:paraId="6591803C">
      <w:pPr>
        <w:snapToGrid w:val="0"/>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lang w:val="zh-CN"/>
        </w:rPr>
        <w:t>、特别提示：采购机构将对项目名称和项目编号，成交供应商名称、地址和成交金额，主要成交标的的名称、施工范围、施工工期、项目经理、执业证书信息等予以公示。</w:t>
      </w:r>
    </w:p>
    <w:p w14:paraId="4C561BA4">
      <w:pPr>
        <w:snapToGrid w:val="0"/>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szCs w:val="22"/>
          <w:highlight w:val="none"/>
          <w:lang w:val="en-US" w:eastAsia="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采购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41EF9D13">
      <w:pPr>
        <w:autoSpaceDE w:val="0"/>
        <w:autoSpaceDN w:val="0"/>
        <w:spacing w:line="360" w:lineRule="auto"/>
        <w:ind w:left="4335" w:leftChars="1950" w:hanging="240" w:hangingChars="100"/>
        <w:rPr>
          <w:rFonts w:ascii="宋体" w:hAnsi="宋体" w:cs="宋体"/>
          <w:color w:val="auto"/>
          <w:kern w:val="0"/>
          <w:sz w:val="24"/>
          <w:highlight w:val="none"/>
        </w:rPr>
      </w:pPr>
      <w:r>
        <w:rPr>
          <w:rFonts w:hint="eastAsia" w:ascii="宋体" w:hAnsi="宋体" w:cs="宋体"/>
          <w:color w:val="auto"/>
          <w:kern w:val="0"/>
          <w:sz w:val="24"/>
          <w:highlight w:val="none"/>
        </w:rPr>
        <w:t>供应商名称（电子签章）：</w:t>
      </w:r>
    </w:p>
    <w:p w14:paraId="1BB60955">
      <w:pPr>
        <w:pStyle w:val="15"/>
        <w:spacing w:line="500" w:lineRule="exact"/>
        <w:ind w:firstLine="6360" w:firstLineChars="2650"/>
        <w:rPr>
          <w:rFonts w:hint="eastAsia" w:hAnsi="宋体" w:cs="宋体"/>
          <w:color w:val="auto"/>
          <w:sz w:val="24"/>
          <w:highlight w:val="none"/>
          <w:lang w:val="zh-CN"/>
        </w:rPr>
      </w:pPr>
      <w:r>
        <w:rPr>
          <w:rFonts w:hint="eastAsia" w:hAnsi="宋体" w:cs="宋体"/>
          <w:color w:val="auto"/>
          <w:sz w:val="24"/>
          <w:highlight w:val="none"/>
          <w:lang w:val="zh-CN"/>
        </w:rPr>
        <w:t>日期：  年  月   日</w:t>
      </w:r>
    </w:p>
    <w:p w14:paraId="42794506">
      <w:pPr>
        <w:rPr>
          <w:rFonts w:hint="eastAsia" w:hAnsi="宋体" w:cs="宋体"/>
          <w:color w:val="auto"/>
          <w:sz w:val="24"/>
          <w:highlight w:val="none"/>
          <w:lang w:val="zh-CN"/>
        </w:rPr>
      </w:pPr>
    </w:p>
    <w:p w14:paraId="373ED40A">
      <w:pPr>
        <w:pStyle w:val="32"/>
        <w:rPr>
          <w:rFonts w:hint="eastAsia" w:hAnsi="宋体" w:cs="宋体"/>
          <w:color w:val="auto"/>
          <w:sz w:val="24"/>
          <w:highlight w:val="none"/>
          <w:lang w:val="zh-CN"/>
        </w:rPr>
      </w:pPr>
    </w:p>
    <w:p w14:paraId="1C6B8633">
      <w:pPr>
        <w:rPr>
          <w:rFonts w:hint="eastAsia" w:hAnsi="宋体" w:cs="宋体"/>
          <w:color w:val="auto"/>
          <w:sz w:val="24"/>
          <w:highlight w:val="none"/>
          <w:lang w:val="zh-CN"/>
        </w:rPr>
      </w:pPr>
    </w:p>
    <w:p w14:paraId="577627AB">
      <w:pPr>
        <w:pStyle w:val="32"/>
        <w:rPr>
          <w:rFonts w:hint="eastAsia" w:hAnsi="宋体" w:cs="宋体"/>
          <w:color w:val="auto"/>
          <w:sz w:val="24"/>
          <w:highlight w:val="none"/>
          <w:lang w:val="zh-CN"/>
        </w:rPr>
      </w:pPr>
    </w:p>
    <w:p w14:paraId="7CAD1715">
      <w:pPr>
        <w:rPr>
          <w:rFonts w:hint="eastAsia" w:hAnsi="宋体" w:cs="宋体"/>
          <w:color w:val="auto"/>
          <w:sz w:val="24"/>
          <w:highlight w:val="none"/>
          <w:lang w:val="zh-CN"/>
        </w:rPr>
      </w:pPr>
    </w:p>
    <w:p w14:paraId="02FABA1F">
      <w:pPr>
        <w:pStyle w:val="32"/>
        <w:rPr>
          <w:color w:val="auto"/>
          <w:highlight w:val="none"/>
          <w:lang w:val="zh-CN"/>
        </w:rPr>
      </w:pPr>
    </w:p>
    <w:p w14:paraId="69BE1DA7">
      <w:pPr>
        <w:rPr>
          <w:color w:val="auto"/>
          <w:highlight w:val="none"/>
          <w:lang w:val="zh-CN"/>
        </w:rPr>
      </w:pPr>
    </w:p>
    <w:p w14:paraId="40AE1E75">
      <w:pPr>
        <w:pStyle w:val="32"/>
        <w:rPr>
          <w:color w:val="auto"/>
          <w:highlight w:val="none"/>
          <w:lang w:val="zh-CN"/>
        </w:rPr>
      </w:pPr>
    </w:p>
    <w:p w14:paraId="70871CAF">
      <w:pPr>
        <w:rPr>
          <w:color w:val="auto"/>
          <w:highlight w:val="none"/>
          <w:lang w:val="zh-CN"/>
        </w:rPr>
      </w:pPr>
    </w:p>
    <w:p w14:paraId="4BE37B6B">
      <w:pPr>
        <w:widowControl/>
        <w:jc w:val="left"/>
        <w:rPr>
          <w:rFonts w:ascii="宋体" w:hAnsi="宋体" w:cs="宋体"/>
          <w:color w:val="auto"/>
          <w:kern w:val="0"/>
          <w:sz w:val="24"/>
          <w:szCs w:val="21"/>
          <w:highlight w:val="none"/>
          <w:lang w:val="zh-CN"/>
        </w:rPr>
      </w:pPr>
    </w:p>
    <w:p w14:paraId="13AE4D92">
      <w:pPr>
        <w:numPr>
          <w:ilvl w:val="0"/>
          <w:numId w:val="5"/>
        </w:numPr>
        <w:spacing w:line="520" w:lineRule="exact"/>
        <w:ind w:firstLine="643" w:firstLineChars="200"/>
        <w:rPr>
          <w:rFonts w:hint="default"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已标价的工程量清单</w:t>
      </w:r>
    </w:p>
    <w:p w14:paraId="7841A2C0">
      <w:pPr>
        <w:bidi w:val="0"/>
        <w:ind w:firstLine="420" w:firstLineChars="200"/>
        <w:rPr>
          <w:rFonts w:hint="eastAsia"/>
          <w:color w:val="auto"/>
          <w:highlight w:val="none"/>
        </w:rPr>
      </w:pPr>
      <w:bookmarkStart w:id="113" w:name="_Toc35611438"/>
      <w:bookmarkEnd w:id="113"/>
      <w:bookmarkStart w:id="114" w:name="_Toc31723070"/>
      <w:bookmarkEnd w:id="114"/>
      <w:bookmarkStart w:id="115" w:name="_Toc31728084"/>
      <w:bookmarkEnd w:id="115"/>
      <w:bookmarkStart w:id="116" w:name="_Toc35611516"/>
      <w:bookmarkEnd w:id="116"/>
      <w:bookmarkStart w:id="117" w:name="_Toc44229899"/>
      <w:bookmarkEnd w:id="117"/>
      <w:bookmarkStart w:id="118" w:name="_Toc80205942"/>
    </w:p>
    <w:p w14:paraId="31979D30">
      <w:pPr>
        <w:bidi w:val="0"/>
        <w:ind w:firstLine="420" w:firstLineChars="200"/>
        <w:rPr>
          <w:rFonts w:hint="default" w:eastAsia="宋体"/>
          <w:color w:val="auto"/>
          <w:highlight w:val="none"/>
          <w:lang w:val="en-US" w:eastAsia="zh-CN"/>
        </w:rPr>
      </w:pPr>
      <w:r>
        <w:rPr>
          <w:rFonts w:hint="eastAsia"/>
          <w:color w:val="auto"/>
          <w:highlight w:val="none"/>
        </w:rPr>
        <w:t>供应商应按照第</w:t>
      </w:r>
      <w:r>
        <w:rPr>
          <w:rFonts w:hint="eastAsia"/>
          <w:color w:val="auto"/>
          <w:highlight w:val="none"/>
          <w:lang w:eastAsia="zh-CN"/>
        </w:rPr>
        <w:t>七</w:t>
      </w:r>
      <w:r>
        <w:rPr>
          <w:rFonts w:hint="eastAsia"/>
          <w:color w:val="auto"/>
          <w:highlight w:val="none"/>
        </w:rPr>
        <w:t>章“工程量清单、图纸”的要求逐项填报工程量清单，包括工程量清单说明、投标报价说明、计日工说明、其他说明及工程量清单各项表格。</w:t>
      </w:r>
      <w:r>
        <w:rPr>
          <w:rFonts w:hint="eastAsia"/>
          <w:color w:val="auto"/>
          <w:highlight w:val="none"/>
          <w:lang w:val="en-US" w:eastAsia="zh-CN"/>
        </w:rPr>
        <w:t>首次报价与最后报价一致的，最后报价不需上传工程量清单；首次报价与最后报价不一致的，最后报价必须上传工程量清单。</w:t>
      </w:r>
    </w:p>
    <w:p w14:paraId="7D3C33AB">
      <w:pPr>
        <w:autoSpaceDE w:val="0"/>
        <w:autoSpaceDN w:val="0"/>
        <w:spacing w:line="360" w:lineRule="auto"/>
        <w:ind w:left="4335" w:leftChars="1950" w:hanging="240" w:hangingChars="100"/>
        <w:rPr>
          <w:rFonts w:hint="eastAsia" w:ascii="宋体" w:hAnsi="宋体" w:cs="宋体"/>
          <w:color w:val="auto"/>
          <w:kern w:val="0"/>
          <w:sz w:val="24"/>
          <w:highlight w:val="none"/>
        </w:rPr>
      </w:pPr>
    </w:p>
    <w:p w14:paraId="1E82E35B">
      <w:pPr>
        <w:autoSpaceDE w:val="0"/>
        <w:autoSpaceDN w:val="0"/>
        <w:spacing w:line="360" w:lineRule="auto"/>
        <w:ind w:left="4335" w:leftChars="1950" w:hanging="240" w:hangingChars="100"/>
        <w:rPr>
          <w:rFonts w:hint="eastAsia" w:ascii="宋体" w:hAnsi="宋体" w:cs="宋体"/>
          <w:color w:val="auto"/>
          <w:kern w:val="0"/>
          <w:sz w:val="24"/>
          <w:highlight w:val="none"/>
        </w:rPr>
      </w:pPr>
    </w:p>
    <w:p w14:paraId="41DF8BBF">
      <w:pPr>
        <w:autoSpaceDE w:val="0"/>
        <w:autoSpaceDN w:val="0"/>
        <w:spacing w:line="360" w:lineRule="auto"/>
        <w:ind w:left="4335" w:leftChars="1950" w:hanging="240" w:hangingChars="100"/>
        <w:rPr>
          <w:rFonts w:ascii="宋体" w:hAnsi="宋体" w:cs="宋体"/>
          <w:color w:val="auto"/>
          <w:kern w:val="0"/>
          <w:sz w:val="24"/>
          <w:highlight w:val="none"/>
        </w:rPr>
      </w:pPr>
      <w:r>
        <w:rPr>
          <w:rFonts w:hint="eastAsia" w:ascii="宋体" w:hAnsi="宋体" w:cs="宋体"/>
          <w:color w:val="auto"/>
          <w:kern w:val="0"/>
          <w:sz w:val="24"/>
          <w:highlight w:val="none"/>
        </w:rPr>
        <w:t>供应商名称（电子签章）：</w:t>
      </w:r>
    </w:p>
    <w:p w14:paraId="1F9DB513">
      <w:pPr>
        <w:pStyle w:val="15"/>
        <w:spacing w:line="500" w:lineRule="exact"/>
        <w:ind w:firstLine="6360" w:firstLineChars="2650"/>
        <w:rPr>
          <w:rFonts w:hint="eastAsia" w:hAnsi="宋体" w:cs="宋体"/>
          <w:color w:val="auto"/>
          <w:sz w:val="24"/>
          <w:highlight w:val="none"/>
          <w:lang w:val="zh-CN"/>
        </w:rPr>
      </w:pPr>
      <w:r>
        <w:rPr>
          <w:rFonts w:hint="eastAsia" w:hAnsi="宋体" w:cs="宋体"/>
          <w:color w:val="auto"/>
          <w:sz w:val="24"/>
          <w:highlight w:val="none"/>
          <w:lang w:val="zh-CN"/>
        </w:rPr>
        <w:t>日期：  年  月   日</w:t>
      </w:r>
    </w:p>
    <w:p w14:paraId="7B316EFA">
      <w:pPr>
        <w:rPr>
          <w:rFonts w:hint="eastAsia" w:hAnsi="宋体" w:cs="宋体"/>
          <w:color w:val="auto"/>
          <w:sz w:val="24"/>
          <w:highlight w:val="none"/>
          <w:lang w:val="zh-CN"/>
        </w:rPr>
      </w:pPr>
    </w:p>
    <w:p w14:paraId="46B55897">
      <w:pPr>
        <w:pStyle w:val="32"/>
        <w:rPr>
          <w:rFonts w:hint="eastAsia" w:hAnsi="宋体" w:cs="宋体"/>
          <w:color w:val="auto"/>
          <w:sz w:val="24"/>
          <w:highlight w:val="none"/>
          <w:lang w:val="zh-CN"/>
        </w:rPr>
      </w:pPr>
    </w:p>
    <w:p w14:paraId="0BF9F0CB">
      <w:pPr>
        <w:rPr>
          <w:rFonts w:hint="eastAsia" w:hAnsi="宋体" w:cs="宋体"/>
          <w:color w:val="auto"/>
          <w:sz w:val="24"/>
          <w:highlight w:val="none"/>
          <w:lang w:val="zh-CN"/>
        </w:rPr>
      </w:pPr>
    </w:p>
    <w:p w14:paraId="62905B5D">
      <w:pPr>
        <w:pStyle w:val="32"/>
        <w:rPr>
          <w:rFonts w:hint="eastAsia" w:hAnsi="宋体" w:cs="宋体"/>
          <w:color w:val="auto"/>
          <w:sz w:val="24"/>
          <w:highlight w:val="none"/>
          <w:lang w:val="zh-CN"/>
        </w:rPr>
      </w:pPr>
    </w:p>
    <w:p w14:paraId="1425ABB8">
      <w:pPr>
        <w:rPr>
          <w:rFonts w:hint="eastAsia" w:hAnsi="宋体" w:cs="宋体"/>
          <w:color w:val="auto"/>
          <w:sz w:val="24"/>
          <w:highlight w:val="none"/>
          <w:lang w:val="zh-CN"/>
        </w:rPr>
      </w:pPr>
    </w:p>
    <w:p w14:paraId="52EC88EB">
      <w:pPr>
        <w:pStyle w:val="32"/>
        <w:rPr>
          <w:rFonts w:hint="eastAsia" w:hAnsi="宋体" w:cs="宋体"/>
          <w:color w:val="auto"/>
          <w:sz w:val="24"/>
          <w:highlight w:val="none"/>
          <w:lang w:val="zh-CN"/>
        </w:rPr>
      </w:pPr>
    </w:p>
    <w:p w14:paraId="16943368">
      <w:pPr>
        <w:rPr>
          <w:rFonts w:hint="eastAsia" w:hAnsi="宋体" w:cs="宋体"/>
          <w:color w:val="auto"/>
          <w:sz w:val="24"/>
          <w:highlight w:val="none"/>
          <w:lang w:val="zh-CN"/>
        </w:rPr>
      </w:pPr>
    </w:p>
    <w:p w14:paraId="3447BE09">
      <w:pPr>
        <w:pStyle w:val="32"/>
        <w:rPr>
          <w:rFonts w:hint="eastAsia" w:hAnsi="宋体" w:cs="宋体"/>
          <w:color w:val="auto"/>
          <w:sz w:val="24"/>
          <w:highlight w:val="none"/>
          <w:lang w:val="zh-CN"/>
        </w:rPr>
      </w:pPr>
    </w:p>
    <w:p w14:paraId="3A35C568">
      <w:pPr>
        <w:rPr>
          <w:rFonts w:hint="eastAsia" w:hAnsi="宋体" w:cs="宋体"/>
          <w:color w:val="auto"/>
          <w:sz w:val="24"/>
          <w:highlight w:val="none"/>
          <w:lang w:val="zh-CN"/>
        </w:rPr>
      </w:pPr>
    </w:p>
    <w:p w14:paraId="2E55DF12">
      <w:pPr>
        <w:pStyle w:val="32"/>
        <w:rPr>
          <w:rFonts w:hint="eastAsia" w:hAnsi="宋体" w:cs="宋体"/>
          <w:color w:val="auto"/>
          <w:sz w:val="24"/>
          <w:highlight w:val="none"/>
          <w:lang w:val="zh-CN"/>
        </w:rPr>
      </w:pPr>
    </w:p>
    <w:p w14:paraId="516A63B2">
      <w:pPr>
        <w:rPr>
          <w:rFonts w:hint="eastAsia" w:hAnsi="宋体" w:cs="宋体"/>
          <w:color w:val="auto"/>
          <w:sz w:val="24"/>
          <w:highlight w:val="none"/>
          <w:lang w:val="zh-CN"/>
        </w:rPr>
      </w:pPr>
    </w:p>
    <w:p w14:paraId="4AE80787">
      <w:pPr>
        <w:pStyle w:val="32"/>
        <w:rPr>
          <w:rFonts w:hint="eastAsia" w:hAnsi="宋体" w:cs="宋体"/>
          <w:color w:val="auto"/>
          <w:sz w:val="24"/>
          <w:highlight w:val="none"/>
          <w:lang w:val="zh-CN"/>
        </w:rPr>
      </w:pPr>
    </w:p>
    <w:p w14:paraId="36E64B98">
      <w:pPr>
        <w:rPr>
          <w:rFonts w:hint="eastAsia" w:hAnsi="宋体" w:cs="宋体"/>
          <w:color w:val="auto"/>
          <w:sz w:val="24"/>
          <w:highlight w:val="none"/>
          <w:lang w:val="zh-CN"/>
        </w:rPr>
      </w:pPr>
    </w:p>
    <w:p w14:paraId="39EE91B6">
      <w:pPr>
        <w:pStyle w:val="32"/>
        <w:rPr>
          <w:rFonts w:hint="eastAsia" w:hAnsi="宋体" w:cs="宋体"/>
          <w:color w:val="auto"/>
          <w:sz w:val="24"/>
          <w:highlight w:val="none"/>
          <w:lang w:val="zh-CN"/>
        </w:rPr>
      </w:pPr>
    </w:p>
    <w:p w14:paraId="68A0D1D7">
      <w:pPr>
        <w:rPr>
          <w:rFonts w:hint="eastAsia" w:hAnsi="宋体" w:cs="宋体"/>
          <w:color w:val="auto"/>
          <w:sz w:val="24"/>
          <w:highlight w:val="none"/>
          <w:lang w:val="zh-CN"/>
        </w:rPr>
      </w:pPr>
    </w:p>
    <w:p w14:paraId="2E85B540">
      <w:pPr>
        <w:pStyle w:val="32"/>
        <w:rPr>
          <w:rFonts w:hint="eastAsia" w:hAnsi="宋体" w:cs="宋体"/>
          <w:color w:val="auto"/>
          <w:sz w:val="24"/>
          <w:highlight w:val="none"/>
          <w:lang w:val="zh-CN"/>
        </w:rPr>
      </w:pPr>
    </w:p>
    <w:p w14:paraId="473A3CCF">
      <w:pPr>
        <w:rPr>
          <w:rFonts w:hint="eastAsia" w:hAnsi="宋体" w:cs="宋体"/>
          <w:color w:val="auto"/>
          <w:sz w:val="24"/>
          <w:highlight w:val="none"/>
          <w:lang w:val="zh-CN"/>
        </w:rPr>
      </w:pPr>
    </w:p>
    <w:p w14:paraId="07C13BF5">
      <w:pPr>
        <w:pStyle w:val="32"/>
        <w:rPr>
          <w:rFonts w:hint="eastAsia" w:hAnsi="宋体" w:cs="宋体"/>
          <w:color w:val="auto"/>
          <w:sz w:val="24"/>
          <w:highlight w:val="none"/>
          <w:lang w:val="zh-CN"/>
        </w:rPr>
      </w:pPr>
    </w:p>
    <w:p w14:paraId="5EB99932">
      <w:pPr>
        <w:rPr>
          <w:rFonts w:hint="eastAsia" w:hAnsi="宋体" w:cs="宋体"/>
          <w:color w:val="auto"/>
          <w:sz w:val="24"/>
          <w:highlight w:val="none"/>
          <w:lang w:val="zh-CN"/>
        </w:rPr>
      </w:pPr>
    </w:p>
    <w:p w14:paraId="589474EC">
      <w:pPr>
        <w:pStyle w:val="32"/>
        <w:rPr>
          <w:rFonts w:hint="eastAsia" w:hAnsi="宋体" w:cs="宋体"/>
          <w:color w:val="auto"/>
          <w:sz w:val="24"/>
          <w:highlight w:val="none"/>
          <w:lang w:val="zh-CN"/>
        </w:rPr>
      </w:pPr>
    </w:p>
    <w:p w14:paraId="7A6232E8">
      <w:pPr>
        <w:rPr>
          <w:rFonts w:hint="eastAsia" w:hAnsi="宋体" w:cs="宋体"/>
          <w:color w:val="auto"/>
          <w:sz w:val="24"/>
          <w:highlight w:val="none"/>
          <w:lang w:val="zh-CN"/>
        </w:rPr>
      </w:pPr>
    </w:p>
    <w:p w14:paraId="1E44DF71">
      <w:pPr>
        <w:pStyle w:val="32"/>
        <w:rPr>
          <w:rFonts w:hint="eastAsia" w:hAnsi="宋体" w:cs="宋体"/>
          <w:color w:val="auto"/>
          <w:sz w:val="24"/>
          <w:highlight w:val="none"/>
          <w:lang w:val="zh-CN"/>
        </w:rPr>
      </w:pPr>
    </w:p>
    <w:p w14:paraId="4ED8BC15">
      <w:pPr>
        <w:rPr>
          <w:rFonts w:hint="eastAsia" w:hAnsi="宋体" w:cs="宋体"/>
          <w:color w:val="auto"/>
          <w:sz w:val="24"/>
          <w:highlight w:val="none"/>
          <w:lang w:val="zh-CN"/>
        </w:rPr>
      </w:pPr>
    </w:p>
    <w:p w14:paraId="69CB7AAC">
      <w:pPr>
        <w:pStyle w:val="32"/>
        <w:rPr>
          <w:rFonts w:hint="eastAsia" w:hAnsi="宋体" w:cs="宋体"/>
          <w:color w:val="auto"/>
          <w:sz w:val="24"/>
          <w:highlight w:val="none"/>
          <w:lang w:val="zh-CN"/>
        </w:rPr>
      </w:pPr>
    </w:p>
    <w:p w14:paraId="1D8F35F4">
      <w:pPr>
        <w:rPr>
          <w:rFonts w:hint="eastAsia" w:hAnsi="宋体" w:cs="宋体"/>
          <w:color w:val="auto"/>
          <w:sz w:val="24"/>
          <w:highlight w:val="none"/>
          <w:lang w:val="zh-CN"/>
        </w:rPr>
      </w:pPr>
    </w:p>
    <w:p w14:paraId="7BC44870">
      <w:pPr>
        <w:pStyle w:val="32"/>
        <w:rPr>
          <w:rFonts w:hint="eastAsia"/>
          <w:color w:val="auto"/>
          <w:highlight w:val="none"/>
          <w:lang w:val="zh-CN"/>
        </w:rPr>
      </w:pPr>
    </w:p>
    <w:p w14:paraId="48F8D7BC">
      <w:pPr>
        <w:rPr>
          <w:rFonts w:hint="eastAsia" w:hAnsi="宋体" w:cs="宋体"/>
          <w:color w:val="auto"/>
          <w:sz w:val="24"/>
          <w:highlight w:val="none"/>
          <w:lang w:val="zh-CN"/>
        </w:rPr>
      </w:pPr>
    </w:p>
    <w:p w14:paraId="24DB2EF2">
      <w:pPr>
        <w:pStyle w:val="32"/>
        <w:rPr>
          <w:rFonts w:hint="eastAsia" w:hAnsi="宋体" w:cs="宋体"/>
          <w:color w:val="auto"/>
          <w:sz w:val="24"/>
          <w:highlight w:val="none"/>
          <w:lang w:val="zh-CN"/>
        </w:rPr>
      </w:pPr>
    </w:p>
    <w:p w14:paraId="1DC18A03">
      <w:pPr>
        <w:pStyle w:val="3"/>
        <w:jc w:val="center"/>
        <w:rPr>
          <w:rFonts w:ascii="宋体" w:hAnsi="宋体" w:cs="宋体"/>
          <w:b w:val="0"/>
          <w:color w:val="auto"/>
          <w:highlight w:val="none"/>
        </w:rPr>
      </w:pPr>
      <w:bookmarkStart w:id="119" w:name="_Toc2270"/>
      <w:r>
        <w:rPr>
          <w:rFonts w:hint="eastAsia" w:ascii="宋体" w:hAnsi="宋体" w:cs="宋体"/>
          <w:color w:val="auto"/>
          <w:highlight w:val="none"/>
        </w:rPr>
        <w:t>第五节 其他文书、文件格式</w:t>
      </w:r>
      <w:bookmarkEnd w:id="118"/>
      <w:bookmarkEnd w:id="119"/>
    </w:p>
    <w:p w14:paraId="2564B2E1">
      <w:pPr>
        <w:jc w:val="center"/>
        <w:rPr>
          <w:rFonts w:ascii="宋体" w:hAnsi="宋体" w:cs="宋体"/>
          <w:b/>
          <w:bCs/>
          <w:color w:val="auto"/>
          <w:sz w:val="32"/>
          <w:szCs w:val="32"/>
          <w:highlight w:val="none"/>
          <w:lang w:val="en"/>
        </w:rPr>
      </w:pPr>
      <w:r>
        <w:rPr>
          <w:rFonts w:hint="eastAsia" w:ascii="宋体" w:hAnsi="宋体" w:cs="宋体"/>
          <w:b/>
          <w:bCs/>
          <w:color w:val="auto"/>
          <w:sz w:val="32"/>
          <w:szCs w:val="32"/>
          <w:highlight w:val="none"/>
          <w:lang w:val="en"/>
        </w:rPr>
        <w:t>知识产权合规性声明</w:t>
      </w:r>
    </w:p>
    <w:p w14:paraId="24E3F956">
      <w:pPr>
        <w:rPr>
          <w:rFonts w:ascii="宋体" w:hAnsi="宋体" w:cs="宋体"/>
          <w:color w:val="auto"/>
          <w:sz w:val="30"/>
          <w:szCs w:val="30"/>
          <w:highlight w:val="none"/>
        </w:rPr>
      </w:pPr>
      <w:r>
        <w:rPr>
          <w:rFonts w:hint="eastAsia" w:ascii="宋体" w:hAnsi="宋体" w:cs="宋体"/>
          <w:color w:val="auto"/>
          <w:sz w:val="30"/>
          <w:szCs w:val="30"/>
          <w:highlight w:val="none"/>
        </w:rPr>
        <w:t xml:space="preserve">    </w:t>
      </w:r>
    </w:p>
    <w:p w14:paraId="4FB6987E">
      <w:pPr>
        <w:rPr>
          <w:rFonts w:ascii="宋体" w:hAnsi="宋体" w:cs="宋体"/>
          <w:color w:val="auto"/>
          <w:sz w:val="30"/>
          <w:szCs w:val="30"/>
          <w:highlight w:val="none"/>
          <w:lang w:val="en"/>
        </w:rPr>
      </w:pPr>
      <w:r>
        <w:rPr>
          <w:rFonts w:hint="eastAsia" w:ascii="宋体" w:hAnsi="宋体" w:cs="宋体"/>
          <w:color w:val="auto"/>
          <w:sz w:val="30"/>
          <w:szCs w:val="30"/>
          <w:highlight w:val="none"/>
        </w:rPr>
        <w:t xml:space="preserve">    本</w:t>
      </w:r>
      <w:r>
        <w:rPr>
          <w:rFonts w:hint="eastAsia" w:ascii="宋体" w:hAnsi="宋体" w:cs="宋体"/>
          <w:color w:val="auto"/>
          <w:sz w:val="30"/>
          <w:szCs w:val="30"/>
          <w:highlight w:val="none"/>
          <w:lang w:val="en"/>
        </w:rPr>
        <w:t>企业（单位）自愿参与政府投资政府采购的</w:t>
      </w:r>
      <w:bookmarkStart w:id="120" w:name="PO_3000001868_PM002_14"/>
      <w:r>
        <w:rPr>
          <w:rFonts w:hint="eastAsia" w:ascii="宋体" w:hAnsi="宋体" w:cs="宋体"/>
          <w:color w:val="auto"/>
          <w:sz w:val="30"/>
          <w:szCs w:val="30"/>
          <w:highlight w:val="none"/>
          <w:u w:val="single"/>
          <w:lang w:val="en"/>
        </w:rPr>
        <w:t>[项目名称]</w:t>
      </w:r>
      <w:bookmarkEnd w:id="120"/>
      <w:r>
        <w:rPr>
          <w:rFonts w:hint="eastAsia" w:ascii="宋体" w:hAnsi="宋体" w:cs="宋体"/>
          <w:color w:val="auto"/>
          <w:sz w:val="30"/>
          <w:szCs w:val="30"/>
          <w:highlight w:val="none"/>
          <w:lang w:val="en"/>
        </w:rPr>
        <w:t>项目，</w:t>
      </w:r>
      <w:r>
        <w:rPr>
          <w:rFonts w:hint="eastAsia" w:ascii="宋体" w:hAnsi="宋体" w:cs="宋体"/>
          <w:b/>
          <w:bCs/>
          <w:color w:val="auto"/>
          <w:sz w:val="30"/>
          <w:szCs w:val="30"/>
          <w:highlight w:val="none"/>
          <w:lang w:val="en"/>
        </w:rPr>
        <w:t>在此郑重承诺：</w:t>
      </w:r>
      <w:r>
        <w:rPr>
          <w:rFonts w:hint="eastAsia" w:ascii="宋体" w:hAnsi="宋体" w:cs="宋体"/>
          <w:color w:val="auto"/>
          <w:sz w:val="30"/>
          <w:szCs w:val="30"/>
          <w:highlight w:val="none"/>
          <w:lang w:val="en"/>
        </w:rPr>
        <w:t>遵守中国知识产权法律、法规、规章、规范性文件及在中国适用的与知识产权有关的国际公约，所参与项目的知识产权明晰无争议，归属或技术来源正当合法。近三年在知识产权领域不存在违反法律、法规、规章及其他规范性文件的失信行为。所参与的项目不对其他单位及个人的知识产权构成侵权。如经核查确有违反上述承诺应遵守的行为，本企业（</w:t>
      </w:r>
      <w:r>
        <w:rPr>
          <w:rFonts w:hint="eastAsia" w:ascii="宋体" w:hAnsi="宋体" w:cs="宋体"/>
          <w:color w:val="auto"/>
          <w:sz w:val="30"/>
          <w:szCs w:val="30"/>
          <w:highlight w:val="none"/>
        </w:rPr>
        <w:t>单位</w:t>
      </w:r>
      <w:r>
        <w:rPr>
          <w:rFonts w:hint="eastAsia" w:ascii="宋体" w:hAnsi="宋体" w:cs="宋体"/>
          <w:color w:val="auto"/>
          <w:sz w:val="30"/>
          <w:szCs w:val="30"/>
          <w:highlight w:val="none"/>
          <w:lang w:val="en"/>
        </w:rPr>
        <w:t>）将承担由此产生的全部责任。</w:t>
      </w:r>
    </w:p>
    <w:p w14:paraId="7BDAA8FE">
      <w:pPr>
        <w:snapToGrid w:val="0"/>
        <w:spacing w:line="360" w:lineRule="auto"/>
        <w:ind w:left="5137" w:leftChars="1736" w:hanging="1491" w:hangingChars="825"/>
        <w:rPr>
          <w:rFonts w:ascii="宋体" w:hAnsi="宋体" w:cs="宋体"/>
          <w:b/>
          <w:color w:val="auto"/>
          <w:sz w:val="18"/>
          <w:szCs w:val="18"/>
          <w:highlight w:val="none"/>
        </w:rPr>
      </w:pPr>
      <w:r>
        <w:rPr>
          <w:rFonts w:hint="eastAsia" w:ascii="宋体" w:hAnsi="宋体" w:cs="宋体"/>
          <w:b/>
          <w:color w:val="auto"/>
          <w:sz w:val="18"/>
          <w:szCs w:val="18"/>
          <w:highlight w:val="none"/>
        </w:rPr>
        <w:t xml:space="preserve">           </w:t>
      </w:r>
    </w:p>
    <w:p w14:paraId="23255577">
      <w:pPr>
        <w:snapToGrid w:val="0"/>
        <w:spacing w:line="360" w:lineRule="auto"/>
        <w:ind w:left="5137" w:leftChars="1736" w:hanging="1491" w:hangingChars="825"/>
        <w:rPr>
          <w:rFonts w:ascii="宋体" w:hAnsi="宋体" w:cs="宋体"/>
          <w:b/>
          <w:color w:val="auto"/>
          <w:sz w:val="18"/>
          <w:szCs w:val="18"/>
          <w:highlight w:val="none"/>
        </w:rPr>
      </w:pPr>
    </w:p>
    <w:p w14:paraId="23DBE2C0">
      <w:pPr>
        <w:snapToGrid w:val="0"/>
        <w:spacing w:line="360" w:lineRule="auto"/>
        <w:ind w:left="5137" w:leftChars="1736" w:hanging="1491" w:hangingChars="825"/>
        <w:rPr>
          <w:rFonts w:ascii="宋体" w:hAnsi="宋体" w:cs="宋体"/>
          <w:b/>
          <w:color w:val="auto"/>
          <w:sz w:val="18"/>
          <w:szCs w:val="18"/>
          <w:highlight w:val="none"/>
        </w:rPr>
      </w:pPr>
    </w:p>
    <w:p w14:paraId="4D155B81">
      <w:pPr>
        <w:snapToGrid w:val="0"/>
        <w:spacing w:line="360" w:lineRule="auto"/>
        <w:ind w:left="5137" w:leftChars="1736" w:hanging="1491" w:hangingChars="825"/>
        <w:rPr>
          <w:rFonts w:ascii="宋体" w:hAnsi="宋体" w:cs="宋体"/>
          <w:b/>
          <w:color w:val="auto"/>
          <w:sz w:val="18"/>
          <w:szCs w:val="18"/>
          <w:highlight w:val="none"/>
        </w:rPr>
      </w:pPr>
    </w:p>
    <w:p w14:paraId="3AE9E205">
      <w:pPr>
        <w:snapToGrid w:val="0"/>
        <w:spacing w:line="360" w:lineRule="auto"/>
        <w:ind w:left="5137" w:leftChars="1736" w:hanging="1491" w:hangingChars="825"/>
        <w:rPr>
          <w:rFonts w:ascii="宋体" w:hAnsi="宋体" w:cs="宋体"/>
          <w:color w:val="auto"/>
          <w:kern w:val="0"/>
          <w:sz w:val="24"/>
          <w:highlight w:val="none"/>
        </w:rPr>
      </w:pPr>
      <w:r>
        <w:rPr>
          <w:rFonts w:hint="eastAsia" w:ascii="宋体" w:hAnsi="宋体" w:cs="宋体"/>
          <w:b/>
          <w:color w:val="auto"/>
          <w:sz w:val="18"/>
          <w:szCs w:val="18"/>
          <w:highlight w:val="none"/>
        </w:rPr>
        <w:t xml:space="preserve">      </w:t>
      </w:r>
      <w:r>
        <w:rPr>
          <w:rFonts w:hint="eastAsia" w:ascii="宋体" w:hAnsi="宋体" w:cs="宋体"/>
          <w:color w:val="auto"/>
          <w:kern w:val="0"/>
          <w:sz w:val="24"/>
          <w:highlight w:val="none"/>
          <w:lang w:val="zh-CN"/>
        </w:rPr>
        <w:t>投标人名称（电子签章）：</w:t>
      </w:r>
    </w:p>
    <w:p w14:paraId="4E20F3AF">
      <w:pPr>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2E279813">
      <w:pPr>
        <w:widowControl/>
        <w:jc w:val="left"/>
        <w:rPr>
          <w:rFonts w:ascii="宋体" w:hAnsi="宋体" w:cs="宋体"/>
          <w:color w:val="auto"/>
          <w:sz w:val="24"/>
          <w:highlight w:val="none"/>
        </w:rPr>
        <w:sectPr>
          <w:pgSz w:w="11906" w:h="16838"/>
          <w:pgMar w:top="1134" w:right="1134" w:bottom="1134" w:left="1134" w:header="720" w:footer="720" w:gutter="0"/>
          <w:cols w:space="0" w:num="1"/>
          <w:rtlGutter w:val="0"/>
          <w:docGrid w:type="lines" w:linePitch="331" w:charSpace="0"/>
        </w:sectPr>
      </w:pPr>
    </w:p>
    <w:p w14:paraId="65448AA0">
      <w:pPr>
        <w:spacing w:line="520" w:lineRule="exact"/>
        <w:jc w:val="center"/>
        <w:rPr>
          <w:rFonts w:ascii="宋体" w:hAnsi="宋体" w:cs="宋体"/>
          <w:color w:val="auto"/>
          <w:sz w:val="24"/>
          <w:highlight w:val="none"/>
        </w:rPr>
      </w:pPr>
    </w:p>
    <w:p w14:paraId="051E59FF">
      <w:pPr>
        <w:spacing w:line="520" w:lineRule="exact"/>
        <w:jc w:val="center"/>
        <w:rPr>
          <w:rFonts w:ascii="宋体" w:hAnsi="宋体" w:cs="宋体"/>
          <w:color w:val="auto"/>
          <w:sz w:val="24"/>
          <w:highlight w:val="none"/>
        </w:rPr>
      </w:pPr>
    </w:p>
    <w:p w14:paraId="6360251C">
      <w:pPr>
        <w:spacing w:line="520" w:lineRule="exact"/>
        <w:jc w:val="center"/>
        <w:rPr>
          <w:rFonts w:ascii="宋体" w:hAnsi="宋体" w:cs="宋体"/>
          <w:color w:val="auto"/>
          <w:sz w:val="24"/>
          <w:highlight w:val="none"/>
        </w:rPr>
      </w:pPr>
    </w:p>
    <w:p w14:paraId="536173F8">
      <w:pPr>
        <w:spacing w:line="520" w:lineRule="exact"/>
        <w:jc w:val="center"/>
        <w:rPr>
          <w:rFonts w:ascii="宋体" w:hAnsi="宋体" w:cs="宋体"/>
          <w:color w:val="auto"/>
          <w:sz w:val="24"/>
          <w:highlight w:val="none"/>
        </w:rPr>
      </w:pPr>
    </w:p>
    <w:p w14:paraId="3DC88466">
      <w:pPr>
        <w:spacing w:line="520" w:lineRule="exact"/>
        <w:jc w:val="center"/>
        <w:rPr>
          <w:rFonts w:ascii="宋体" w:hAnsi="宋体" w:cs="宋体"/>
          <w:color w:val="auto"/>
          <w:sz w:val="24"/>
          <w:highlight w:val="none"/>
        </w:rPr>
      </w:pPr>
    </w:p>
    <w:p w14:paraId="45C665B2">
      <w:pPr>
        <w:pStyle w:val="2"/>
        <w:jc w:val="center"/>
        <w:rPr>
          <w:rFonts w:ascii="宋体" w:hAnsi="宋体" w:cs="宋体"/>
          <w:b w:val="0"/>
          <w:bCs w:val="0"/>
          <w:color w:val="auto"/>
          <w:highlight w:val="none"/>
        </w:rPr>
      </w:pPr>
      <w:bookmarkStart w:id="121" w:name="_Toc1810"/>
      <w:r>
        <w:rPr>
          <w:rFonts w:hint="eastAsia" w:ascii="宋体" w:hAnsi="宋体" w:cs="宋体"/>
          <w:b w:val="0"/>
          <w:bCs w:val="0"/>
          <w:color w:val="auto"/>
          <w:highlight w:val="none"/>
        </w:rPr>
        <w:t>第六章  合同文本</w:t>
      </w:r>
      <w:r>
        <w:rPr>
          <w:rFonts w:hint="eastAsia" w:ascii="宋体" w:hAnsi="宋体" w:cs="宋体"/>
          <w:b w:val="0"/>
          <w:bCs w:val="0"/>
          <w:color w:val="auto"/>
          <w:highlight w:val="none"/>
        </w:rPr>
        <w:br w:type="page"/>
      </w:r>
      <w:bookmarkEnd w:id="121"/>
    </w:p>
    <w:p w14:paraId="2A353986">
      <w:pPr>
        <w:rPr>
          <w:rFonts w:ascii="宋体" w:hAnsi="宋体" w:cs="宋体"/>
          <w:b/>
          <w:bCs/>
          <w:color w:val="auto"/>
          <w:highlight w:val="none"/>
        </w:rPr>
      </w:pPr>
      <w:r>
        <w:rPr>
          <w:rFonts w:hint="eastAsia" w:ascii="宋体" w:hAnsi="宋体" w:cs="宋体"/>
          <w:color w:val="auto"/>
          <w:sz w:val="24"/>
          <w:highlight w:val="none"/>
        </w:rPr>
        <w:t>“广西政府采购云平台”平台合同编号：</w:t>
      </w:r>
    </w:p>
    <w:p w14:paraId="511FC0C4">
      <w:pPr>
        <w:spacing w:line="360" w:lineRule="auto"/>
        <w:jc w:val="center"/>
        <w:rPr>
          <w:rFonts w:ascii="宋体" w:hAnsi="宋体" w:cs="宋体"/>
          <w:b/>
          <w:bCs/>
          <w:color w:val="auto"/>
          <w:sz w:val="52"/>
          <w:highlight w:val="none"/>
        </w:rPr>
      </w:pPr>
      <w:r>
        <w:rPr>
          <w:rFonts w:hint="eastAsia" w:ascii="宋体" w:hAnsi="宋体" w:cs="宋体"/>
          <w:b/>
          <w:bCs/>
          <w:color w:val="auto"/>
          <w:sz w:val="52"/>
          <w:highlight w:val="none"/>
        </w:rPr>
        <w:t>南 宁 市 政 府 采 购</w:t>
      </w:r>
    </w:p>
    <w:p w14:paraId="2146AC64">
      <w:pPr>
        <w:spacing w:line="360" w:lineRule="auto"/>
        <w:ind w:firstLine="420" w:firstLineChars="200"/>
        <w:rPr>
          <w:rFonts w:ascii="宋体" w:hAnsi="宋体" w:cs="宋体"/>
          <w:color w:val="auto"/>
          <w:highlight w:val="none"/>
        </w:rPr>
      </w:pPr>
    </w:p>
    <w:p w14:paraId="4AACDD69">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 xml:space="preserve">                                                 </w:t>
      </w:r>
    </w:p>
    <w:p w14:paraId="08D22D29">
      <w:pPr>
        <w:spacing w:line="360" w:lineRule="auto"/>
        <w:jc w:val="center"/>
        <w:rPr>
          <w:rFonts w:ascii="宋体" w:hAnsi="宋体" w:cs="宋体"/>
          <w:b/>
          <w:bCs/>
          <w:color w:val="auto"/>
          <w:sz w:val="44"/>
          <w:highlight w:val="none"/>
        </w:rPr>
      </w:pPr>
      <w:r>
        <w:rPr>
          <w:rFonts w:hint="eastAsia" w:ascii="宋体" w:hAnsi="宋体" w:cs="宋体"/>
          <w:b/>
          <w:bCs/>
          <w:color w:val="auto"/>
          <w:sz w:val="44"/>
          <w:highlight w:val="none"/>
          <w:u w:val="single"/>
        </w:rPr>
        <w:t xml:space="preserve"> </w:t>
      </w:r>
      <w:bookmarkStart w:id="122" w:name="PO_3000001868_PM002_15"/>
      <w:r>
        <w:rPr>
          <w:rFonts w:hint="eastAsia" w:ascii="宋体" w:hAnsi="宋体" w:cs="宋体"/>
          <w:b/>
          <w:bCs/>
          <w:color w:val="auto"/>
          <w:sz w:val="44"/>
          <w:highlight w:val="none"/>
          <w:u w:val="single"/>
        </w:rPr>
        <w:t>[项目名称]</w:t>
      </w:r>
      <w:bookmarkEnd w:id="122"/>
      <w:r>
        <w:rPr>
          <w:rFonts w:hint="eastAsia" w:ascii="宋体" w:hAnsi="宋体" w:cs="宋体"/>
          <w:b/>
          <w:bCs/>
          <w:color w:val="auto"/>
          <w:sz w:val="44"/>
          <w:highlight w:val="none"/>
        </w:rPr>
        <w:t>合同</w:t>
      </w:r>
    </w:p>
    <w:p w14:paraId="08D36FF8">
      <w:pPr>
        <w:spacing w:line="360" w:lineRule="auto"/>
        <w:jc w:val="center"/>
        <w:rPr>
          <w:rFonts w:ascii="宋体" w:hAnsi="宋体" w:cs="宋体"/>
          <w:b/>
          <w:bCs/>
          <w:color w:val="auto"/>
          <w:sz w:val="44"/>
          <w:highlight w:val="none"/>
        </w:rPr>
      </w:pPr>
    </w:p>
    <w:p w14:paraId="0101B88F">
      <w:pPr>
        <w:spacing w:line="360" w:lineRule="auto"/>
        <w:ind w:firstLine="3507" w:firstLineChars="794"/>
        <w:rPr>
          <w:rFonts w:ascii="宋体" w:hAnsi="宋体" w:cs="宋体"/>
          <w:b/>
          <w:bCs/>
          <w:color w:val="auto"/>
          <w:sz w:val="44"/>
          <w:highlight w:val="none"/>
        </w:rPr>
      </w:pPr>
    </w:p>
    <w:p w14:paraId="6A17C79B">
      <w:pPr>
        <w:spacing w:line="360" w:lineRule="auto"/>
        <w:ind w:firstLine="3507" w:firstLineChars="794"/>
        <w:rPr>
          <w:rFonts w:ascii="宋体" w:hAnsi="宋体" w:cs="宋体"/>
          <w:b/>
          <w:bCs/>
          <w:color w:val="auto"/>
          <w:sz w:val="44"/>
          <w:highlight w:val="none"/>
        </w:rPr>
      </w:pPr>
    </w:p>
    <w:p w14:paraId="0B0A8E7F">
      <w:pPr>
        <w:ind w:firstLine="1995" w:firstLineChars="552"/>
        <w:rPr>
          <w:rFonts w:ascii="宋体" w:hAnsi="宋体" w:cs="宋体"/>
          <w:b/>
          <w:color w:val="auto"/>
          <w:sz w:val="36"/>
          <w:szCs w:val="36"/>
          <w:highlight w:val="none"/>
        </w:rPr>
      </w:pPr>
      <w:r>
        <w:rPr>
          <w:rFonts w:hint="eastAsia" w:ascii="宋体" w:hAnsi="宋体" w:cs="宋体"/>
          <w:b/>
          <w:color w:val="auto"/>
          <w:sz w:val="36"/>
          <w:szCs w:val="36"/>
          <w:highlight w:val="none"/>
        </w:rPr>
        <w:t>采购项目编号：</w:t>
      </w:r>
      <w:bookmarkStart w:id="123" w:name="PO_3000001868_PM001_12"/>
      <w:r>
        <w:rPr>
          <w:rFonts w:hint="eastAsia" w:ascii="宋体" w:hAnsi="宋体" w:cs="宋体"/>
          <w:b/>
          <w:color w:val="auto"/>
          <w:sz w:val="36"/>
          <w:szCs w:val="36"/>
          <w:highlight w:val="none"/>
          <w:u w:val="single"/>
        </w:rPr>
        <w:t>[项目编号]</w:t>
      </w:r>
      <w:bookmarkEnd w:id="123"/>
      <w:r>
        <w:rPr>
          <w:rFonts w:hint="eastAsia" w:ascii="宋体" w:hAnsi="宋体" w:cs="宋体"/>
          <w:b/>
          <w:color w:val="auto"/>
          <w:sz w:val="36"/>
          <w:szCs w:val="36"/>
          <w:highlight w:val="none"/>
          <w:u w:val="single"/>
        </w:rPr>
        <w:t xml:space="preserve">  </w:t>
      </w:r>
    </w:p>
    <w:p w14:paraId="264628DA">
      <w:pPr>
        <w:ind w:firstLine="1995" w:firstLineChars="552"/>
        <w:rPr>
          <w:rFonts w:ascii="宋体" w:hAnsi="宋体" w:cs="宋体"/>
          <w:b/>
          <w:color w:val="auto"/>
          <w:sz w:val="36"/>
          <w:szCs w:val="36"/>
          <w:highlight w:val="none"/>
        </w:rPr>
      </w:pPr>
      <w:r>
        <w:rPr>
          <w:rFonts w:hint="eastAsia" w:ascii="宋体" w:hAnsi="宋体" w:cs="宋体"/>
          <w:b/>
          <w:color w:val="auto"/>
          <w:sz w:val="36"/>
          <w:szCs w:val="36"/>
          <w:highlight w:val="none"/>
        </w:rPr>
        <w:t>采购计划编号：</w:t>
      </w:r>
      <w:r>
        <w:rPr>
          <w:rFonts w:hint="eastAsia" w:ascii="宋体" w:hAnsi="宋体" w:cs="宋体"/>
          <w:b/>
          <w:color w:val="auto"/>
          <w:sz w:val="36"/>
          <w:szCs w:val="36"/>
          <w:highlight w:val="none"/>
          <w:u w:val="single"/>
        </w:rPr>
        <w:t xml:space="preserve"> </w:t>
      </w:r>
      <w:bookmarkStart w:id="124" w:name="PO_3000001868_PM001WMC001"/>
      <w:r>
        <w:rPr>
          <w:rFonts w:hint="eastAsia" w:ascii="宋体" w:hAnsi="宋体" w:cs="宋体"/>
          <w:b/>
          <w:color w:val="auto"/>
          <w:sz w:val="36"/>
          <w:szCs w:val="36"/>
          <w:highlight w:val="none"/>
          <w:u w:val="single"/>
        </w:rPr>
        <w:t>[采购计划文号（5）]</w:t>
      </w:r>
      <w:bookmarkEnd w:id="124"/>
      <w:r>
        <w:rPr>
          <w:rFonts w:hint="eastAsia" w:ascii="宋体" w:hAnsi="宋体" w:cs="宋体"/>
          <w:b/>
          <w:color w:val="auto"/>
          <w:sz w:val="36"/>
          <w:szCs w:val="36"/>
          <w:highlight w:val="none"/>
          <w:u w:val="single"/>
        </w:rPr>
        <w:t xml:space="preserve"> </w:t>
      </w:r>
    </w:p>
    <w:p w14:paraId="7C3BC46A">
      <w:pPr>
        <w:ind w:firstLine="1308" w:firstLineChars="545"/>
        <w:rPr>
          <w:rFonts w:ascii="宋体" w:hAnsi="宋体" w:cs="宋体"/>
          <w:color w:val="auto"/>
          <w:sz w:val="24"/>
          <w:highlight w:val="none"/>
        </w:rPr>
      </w:pPr>
    </w:p>
    <w:p w14:paraId="67CAFC39">
      <w:pPr>
        <w:ind w:firstLine="1995" w:firstLineChars="552"/>
        <w:rPr>
          <w:rFonts w:ascii="宋体" w:hAnsi="宋体" w:cs="宋体"/>
          <w:b/>
          <w:color w:val="auto"/>
          <w:sz w:val="36"/>
          <w:szCs w:val="36"/>
          <w:highlight w:val="none"/>
          <w:u w:val="single"/>
        </w:rPr>
      </w:pPr>
    </w:p>
    <w:p w14:paraId="12F7174A">
      <w:pPr>
        <w:ind w:firstLine="1995" w:firstLineChars="552"/>
        <w:rPr>
          <w:rFonts w:ascii="宋体" w:hAnsi="宋体" w:cs="宋体"/>
          <w:b/>
          <w:color w:val="auto"/>
          <w:sz w:val="36"/>
          <w:szCs w:val="36"/>
          <w:highlight w:val="none"/>
          <w:u w:val="single"/>
        </w:rPr>
      </w:pPr>
    </w:p>
    <w:p w14:paraId="2482638F">
      <w:pPr>
        <w:tabs>
          <w:tab w:val="left" w:pos="7200"/>
        </w:tabs>
        <w:spacing w:line="360" w:lineRule="auto"/>
        <w:ind w:firstLine="1995" w:firstLineChars="552"/>
        <w:rPr>
          <w:rFonts w:ascii="宋体" w:hAnsi="宋体" w:cs="宋体"/>
          <w:b/>
          <w:color w:val="auto"/>
          <w:sz w:val="36"/>
          <w:szCs w:val="36"/>
          <w:highlight w:val="none"/>
          <w:u w:val="single"/>
        </w:rPr>
      </w:pPr>
      <w:r>
        <w:rPr>
          <w:rFonts w:hint="eastAsia" w:ascii="宋体" w:hAnsi="宋体" w:cs="宋体"/>
          <w:b/>
          <w:color w:val="auto"/>
          <w:sz w:val="36"/>
          <w:szCs w:val="36"/>
          <w:highlight w:val="none"/>
        </w:rPr>
        <w:t>采购人：</w:t>
      </w:r>
      <w:r>
        <w:rPr>
          <w:rFonts w:hint="eastAsia" w:ascii="宋体" w:hAnsi="宋体" w:cs="宋体"/>
          <w:b/>
          <w:color w:val="auto"/>
          <w:sz w:val="36"/>
          <w:szCs w:val="36"/>
          <w:highlight w:val="none"/>
          <w:u w:val="single"/>
        </w:rPr>
        <w:t xml:space="preserve"> </w:t>
      </w:r>
      <w:bookmarkStart w:id="125" w:name="PO_3000001868_PM026_4"/>
      <w:r>
        <w:rPr>
          <w:rFonts w:hint="eastAsia" w:ascii="宋体" w:hAnsi="宋体" w:cs="宋体"/>
          <w:b/>
          <w:color w:val="auto"/>
          <w:sz w:val="36"/>
          <w:szCs w:val="36"/>
          <w:highlight w:val="none"/>
          <w:u w:val="single"/>
        </w:rPr>
        <w:t>[采购人]</w:t>
      </w:r>
      <w:bookmarkEnd w:id="125"/>
      <w:r>
        <w:rPr>
          <w:rFonts w:hint="eastAsia" w:ascii="宋体" w:hAnsi="宋体" w:cs="宋体"/>
          <w:b/>
          <w:color w:val="auto"/>
          <w:sz w:val="36"/>
          <w:szCs w:val="36"/>
          <w:highlight w:val="none"/>
          <w:u w:val="single"/>
        </w:rPr>
        <w:t xml:space="preserve">  </w:t>
      </w:r>
    </w:p>
    <w:p w14:paraId="56742593">
      <w:pPr>
        <w:tabs>
          <w:tab w:val="left" w:pos="7380"/>
        </w:tabs>
        <w:spacing w:line="360" w:lineRule="auto"/>
        <w:ind w:firstLine="1995" w:firstLineChars="552"/>
        <w:rPr>
          <w:rFonts w:ascii="宋体" w:hAnsi="宋体" w:cs="宋体"/>
          <w:b/>
          <w:bCs/>
          <w:color w:val="auto"/>
          <w:sz w:val="44"/>
          <w:highlight w:val="none"/>
        </w:rPr>
      </w:pPr>
      <w:r>
        <w:rPr>
          <w:rFonts w:hint="eastAsia" w:ascii="宋体" w:hAnsi="宋体" w:cs="宋体"/>
          <w:b/>
          <w:color w:val="auto"/>
          <w:sz w:val="36"/>
          <w:szCs w:val="36"/>
          <w:highlight w:val="none"/>
        </w:rPr>
        <w:t>中标供应商：</w:t>
      </w:r>
      <w:r>
        <w:rPr>
          <w:rFonts w:hint="eastAsia" w:ascii="宋体" w:hAnsi="宋体" w:cs="宋体"/>
          <w:b/>
          <w:color w:val="auto"/>
          <w:sz w:val="36"/>
          <w:szCs w:val="36"/>
          <w:highlight w:val="none"/>
          <w:u w:val="single"/>
        </w:rPr>
        <w:t xml:space="preserve">                   </w:t>
      </w:r>
    </w:p>
    <w:p w14:paraId="1CFBBF47">
      <w:pPr>
        <w:tabs>
          <w:tab w:val="left" w:pos="7380"/>
        </w:tabs>
        <w:spacing w:line="360" w:lineRule="auto"/>
        <w:rPr>
          <w:rFonts w:ascii="宋体" w:hAnsi="宋体" w:cs="宋体"/>
          <w:b/>
          <w:bCs/>
          <w:color w:val="auto"/>
          <w:sz w:val="44"/>
          <w:highlight w:val="none"/>
        </w:rPr>
      </w:pPr>
    </w:p>
    <w:p w14:paraId="12382ED2">
      <w:pPr>
        <w:tabs>
          <w:tab w:val="left" w:pos="7380"/>
        </w:tabs>
        <w:spacing w:line="360" w:lineRule="auto"/>
        <w:rPr>
          <w:rFonts w:ascii="宋体" w:hAnsi="宋体" w:cs="宋体"/>
          <w:b/>
          <w:bCs/>
          <w:color w:val="auto"/>
          <w:sz w:val="44"/>
          <w:highlight w:val="none"/>
        </w:rPr>
      </w:pPr>
    </w:p>
    <w:p w14:paraId="38F165CE">
      <w:pPr>
        <w:tabs>
          <w:tab w:val="left" w:pos="7380"/>
        </w:tabs>
        <w:spacing w:line="360" w:lineRule="auto"/>
        <w:rPr>
          <w:rFonts w:ascii="宋体" w:hAnsi="宋体" w:cs="宋体"/>
          <w:b/>
          <w:bCs/>
          <w:color w:val="auto"/>
          <w:sz w:val="44"/>
          <w:highlight w:val="none"/>
        </w:rPr>
      </w:pPr>
    </w:p>
    <w:p w14:paraId="200D29C1">
      <w:pPr>
        <w:tabs>
          <w:tab w:val="left" w:pos="7380"/>
        </w:tabs>
        <w:spacing w:line="360" w:lineRule="auto"/>
        <w:ind w:firstLine="3360" w:firstLineChars="1400"/>
        <w:rPr>
          <w:rFonts w:ascii="宋体" w:hAnsi="宋体" w:cs="宋体"/>
          <w:color w:val="auto"/>
          <w:sz w:val="24"/>
          <w:highlight w:val="none"/>
          <w:lang w:val="zh-CN"/>
        </w:rPr>
      </w:pPr>
      <w:r>
        <w:rPr>
          <w:rFonts w:hint="eastAsia" w:ascii="宋体" w:hAnsi="宋体" w:cs="宋体"/>
          <w:color w:val="auto"/>
          <w:sz w:val="24"/>
          <w:highlight w:val="none"/>
          <w:lang w:val="zh-CN"/>
        </w:rPr>
        <w:t>签订时间：</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年</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月</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日</w:t>
      </w:r>
    </w:p>
    <w:p w14:paraId="6536F3A1">
      <w:pPr>
        <w:snapToGrid w:val="0"/>
        <w:spacing w:line="360" w:lineRule="auto"/>
        <w:rPr>
          <w:rFonts w:hint="eastAsia" w:ascii="宋体" w:hAnsi="宋体" w:cs="宋体"/>
          <w:b/>
          <w:bCs/>
          <w:color w:val="auto"/>
          <w:sz w:val="44"/>
          <w:highlight w:val="none"/>
        </w:rPr>
      </w:pPr>
      <w:r>
        <w:rPr>
          <w:rFonts w:hint="eastAsia" w:ascii="宋体" w:hAnsi="宋体" w:cs="宋体"/>
          <w:b/>
          <w:bCs/>
          <w:color w:val="auto"/>
          <w:sz w:val="44"/>
          <w:highlight w:val="none"/>
        </w:rPr>
        <w:br w:type="page"/>
      </w:r>
    </w:p>
    <w:p w14:paraId="74E5DA53">
      <w:pPr>
        <w:pStyle w:val="2"/>
        <w:jc w:val="center"/>
        <w:rPr>
          <w:color w:val="auto"/>
          <w:highlight w:val="none"/>
        </w:rPr>
      </w:pPr>
      <w:bookmarkStart w:id="126" w:name="_Toc296890982"/>
      <w:bookmarkStart w:id="127" w:name="_Toc1756478213"/>
      <w:bookmarkStart w:id="128" w:name="_Toc28300"/>
      <w:bookmarkStart w:id="129" w:name="_Toc351203480"/>
      <w:bookmarkStart w:id="130" w:name="_Toc373478199"/>
      <w:bookmarkStart w:id="131" w:name="_Toc78449777"/>
      <w:bookmarkStart w:id="132" w:name="_Toc296503025"/>
      <w:bookmarkStart w:id="133" w:name="_Toc407135191"/>
      <w:bookmarkStart w:id="134" w:name="_Toc724920571"/>
      <w:bookmarkStart w:id="135" w:name="_Toc389065255"/>
      <w:bookmarkStart w:id="136" w:name="_Toc373227552"/>
      <w:bookmarkStart w:id="137" w:name="_Toc407135283"/>
      <w:bookmarkStart w:id="138" w:name="_Toc29015"/>
      <w:bookmarkStart w:id="139" w:name="_Toc10491"/>
      <w:r>
        <w:rPr>
          <w:rFonts w:hint="eastAsia" w:cs="黑体"/>
          <w:color w:val="auto"/>
          <w:highlight w:val="none"/>
        </w:rPr>
        <w:t>第一部分</w:t>
      </w:r>
      <w:r>
        <w:rPr>
          <w:color w:val="auto"/>
          <w:highlight w:val="none"/>
        </w:rPr>
        <w:t xml:space="preserve"> </w:t>
      </w:r>
      <w:r>
        <w:rPr>
          <w:rFonts w:hint="eastAsia" w:cs="黑体"/>
          <w:color w:val="auto"/>
          <w:highlight w:val="none"/>
        </w:rPr>
        <w:t>合同协议书</w:t>
      </w:r>
      <w:bookmarkEnd w:id="126"/>
      <w:bookmarkEnd w:id="127"/>
      <w:bookmarkEnd w:id="128"/>
      <w:bookmarkEnd w:id="129"/>
      <w:bookmarkEnd w:id="130"/>
      <w:bookmarkEnd w:id="131"/>
      <w:bookmarkEnd w:id="132"/>
      <w:bookmarkEnd w:id="133"/>
      <w:bookmarkEnd w:id="134"/>
      <w:bookmarkEnd w:id="135"/>
      <w:bookmarkEnd w:id="136"/>
    </w:p>
    <w:p w14:paraId="66F0CD76">
      <w:pPr>
        <w:spacing w:line="360" w:lineRule="auto"/>
        <w:rPr>
          <w:color w:val="auto"/>
          <w:highlight w:val="none"/>
          <w:u w:val="single"/>
        </w:rPr>
      </w:pPr>
      <w:r>
        <w:rPr>
          <w:rFonts w:hint="eastAsia" w:hAnsi="宋体" w:cs="宋体"/>
          <w:color w:val="auto"/>
          <w:highlight w:val="none"/>
        </w:rPr>
        <w:t>发包人（全称）：</w:t>
      </w:r>
      <w:r>
        <w:rPr>
          <w:rFonts w:hint="eastAsia" w:hAnsi="宋体"/>
          <w:color w:val="auto"/>
          <w:highlight w:val="none"/>
          <w:u w:val="single"/>
        </w:rPr>
        <w:t>南宁市江南区苏圩镇人民政府</w:t>
      </w:r>
    </w:p>
    <w:p w14:paraId="11FB1811">
      <w:pPr>
        <w:spacing w:line="360" w:lineRule="auto"/>
        <w:rPr>
          <w:color w:val="auto"/>
          <w:highlight w:val="none"/>
          <w:u w:val="single"/>
        </w:rPr>
      </w:pPr>
      <w:r>
        <w:rPr>
          <w:rFonts w:hint="eastAsia" w:hAnsi="宋体" w:cs="宋体"/>
          <w:color w:val="auto"/>
          <w:highlight w:val="none"/>
        </w:rPr>
        <w:t>承包人（全称）：</w:t>
      </w:r>
      <w:r>
        <w:rPr>
          <w:rFonts w:hAnsi="宋体"/>
          <w:color w:val="auto"/>
          <w:highlight w:val="none"/>
          <w:u w:val="single"/>
        </w:rPr>
        <w:t xml:space="preserve">                           </w:t>
      </w:r>
    </w:p>
    <w:p w14:paraId="50D2EB7D">
      <w:pPr>
        <w:spacing w:line="360" w:lineRule="auto"/>
        <w:ind w:firstLine="420" w:firstLineChars="200"/>
        <w:rPr>
          <w:rFonts w:hAnsi="宋体"/>
          <w:color w:val="auto"/>
          <w:highlight w:val="none"/>
        </w:rPr>
      </w:pPr>
      <w:r>
        <w:rPr>
          <w:rFonts w:hint="eastAsia" w:hAnsi="宋体" w:cs="宋体"/>
          <w:color w:val="auto"/>
          <w:highlight w:val="none"/>
        </w:rPr>
        <w:t>根据《中华人民共和国民法典》、《中华人民共和国建筑法》及有关法律规定，遵循平等、自愿、公平和诚实信用的原则，双方就</w:t>
      </w:r>
      <w:r>
        <w:rPr>
          <w:color w:val="auto"/>
          <w:highlight w:val="none"/>
          <w:u w:val="single"/>
        </w:rPr>
        <w:t xml:space="preserve"> </w:t>
      </w:r>
      <w:r>
        <w:rPr>
          <w:rFonts w:hint="eastAsia"/>
          <w:color w:val="auto"/>
          <w:highlight w:val="none"/>
          <w:u w:val="single"/>
          <w:lang w:eastAsia="zh-CN"/>
        </w:rPr>
        <w:t>2025年苏圩镇仁德村蔬菜基地一期项目</w:t>
      </w:r>
      <w:r>
        <w:rPr>
          <w:color w:val="auto"/>
          <w:highlight w:val="none"/>
          <w:u w:val="single"/>
        </w:rPr>
        <w:t xml:space="preserve"> </w:t>
      </w:r>
      <w:r>
        <w:rPr>
          <w:rFonts w:hint="eastAsia" w:hAnsi="宋体" w:cs="宋体"/>
          <w:color w:val="auto"/>
          <w:highlight w:val="none"/>
        </w:rPr>
        <w:t>工程施工及有关事项协商一致，共同达成如下协议：</w:t>
      </w:r>
      <w:bookmarkStart w:id="140" w:name="_Toc351203481"/>
    </w:p>
    <w:p w14:paraId="6BA5D4A5">
      <w:pPr>
        <w:spacing w:line="360" w:lineRule="auto"/>
        <w:ind w:firstLine="422" w:firstLineChars="200"/>
        <w:outlineLvl w:val="0"/>
        <w:rPr>
          <w:b/>
          <w:bCs/>
          <w:color w:val="auto"/>
          <w:highlight w:val="none"/>
        </w:rPr>
      </w:pPr>
      <w:bookmarkStart w:id="141" w:name="_Toc21771"/>
      <w:r>
        <w:rPr>
          <w:rFonts w:hint="eastAsia" w:hAnsi="宋体" w:cs="宋体"/>
          <w:b/>
          <w:bCs/>
          <w:color w:val="auto"/>
          <w:highlight w:val="none"/>
        </w:rPr>
        <w:t>一、工程概况</w:t>
      </w:r>
      <w:bookmarkEnd w:id="140"/>
      <w:bookmarkEnd w:id="141"/>
    </w:p>
    <w:p w14:paraId="0BAB6EB6">
      <w:pPr>
        <w:spacing w:line="360" w:lineRule="auto"/>
        <w:ind w:firstLine="411" w:firstLineChars="196"/>
        <w:rPr>
          <w:color w:val="auto"/>
          <w:highlight w:val="none"/>
          <w:u w:val="single"/>
        </w:rPr>
      </w:pPr>
      <w:r>
        <w:rPr>
          <w:color w:val="auto"/>
          <w:highlight w:val="none"/>
        </w:rPr>
        <w:t xml:space="preserve">1. </w:t>
      </w:r>
      <w:r>
        <w:rPr>
          <w:rFonts w:hint="eastAsia" w:hAnsi="宋体" w:cs="宋体"/>
          <w:color w:val="auto"/>
          <w:highlight w:val="none"/>
        </w:rPr>
        <w:t>工程名称：</w:t>
      </w:r>
      <w:r>
        <w:rPr>
          <w:rFonts w:hint="eastAsia"/>
          <w:color w:val="auto"/>
          <w:highlight w:val="none"/>
          <w:u w:val="single"/>
          <w:lang w:eastAsia="zh-CN"/>
        </w:rPr>
        <w:t>2025年苏圩镇仁德村蔬菜基地一期项目</w:t>
      </w:r>
      <w:r>
        <w:rPr>
          <w:rFonts w:hint="eastAsia" w:hAnsi="宋体" w:cs="宋体"/>
          <w:color w:val="auto"/>
          <w:highlight w:val="none"/>
        </w:rPr>
        <w:t>。</w:t>
      </w:r>
    </w:p>
    <w:p w14:paraId="6DCAFCBD">
      <w:pPr>
        <w:spacing w:line="360" w:lineRule="auto"/>
        <w:ind w:firstLine="411" w:firstLineChars="196"/>
        <w:rPr>
          <w:color w:val="auto"/>
          <w:highlight w:val="none"/>
        </w:rPr>
      </w:pPr>
      <w:r>
        <w:rPr>
          <w:color w:val="auto"/>
          <w:highlight w:val="none"/>
        </w:rPr>
        <w:t xml:space="preserve">2. </w:t>
      </w:r>
      <w:r>
        <w:rPr>
          <w:rFonts w:hint="eastAsia" w:hAnsi="宋体" w:cs="宋体"/>
          <w:color w:val="auto"/>
          <w:highlight w:val="none"/>
        </w:rPr>
        <w:t>工程地点：</w:t>
      </w:r>
      <w:r>
        <w:rPr>
          <w:rFonts w:hint="eastAsia"/>
          <w:color w:val="auto"/>
          <w:highlight w:val="none"/>
          <w:u w:val="single"/>
        </w:rPr>
        <w:t>南宁市江南区苏圩镇仁德村</w:t>
      </w:r>
      <w:r>
        <w:rPr>
          <w:rFonts w:hint="eastAsia" w:hAnsi="宋体" w:cs="宋体"/>
          <w:color w:val="auto"/>
          <w:highlight w:val="none"/>
        </w:rPr>
        <w:t>。</w:t>
      </w:r>
    </w:p>
    <w:p w14:paraId="6465C5EC">
      <w:pPr>
        <w:spacing w:line="360" w:lineRule="auto"/>
        <w:ind w:firstLine="411" w:firstLineChars="196"/>
        <w:rPr>
          <w:color w:val="auto"/>
          <w:highlight w:val="none"/>
        </w:rPr>
      </w:pPr>
      <w:r>
        <w:rPr>
          <w:color w:val="auto"/>
          <w:highlight w:val="none"/>
        </w:rPr>
        <w:t xml:space="preserve">3. </w:t>
      </w:r>
      <w:r>
        <w:rPr>
          <w:rFonts w:hint="eastAsia" w:hAnsi="宋体" w:cs="宋体"/>
          <w:color w:val="auto"/>
          <w:highlight w:val="none"/>
        </w:rPr>
        <w:t>工程立项批准文号：</w:t>
      </w:r>
      <w:r>
        <w:rPr>
          <w:color w:val="auto"/>
          <w:highlight w:val="none"/>
          <w:u w:val="single"/>
        </w:rPr>
        <w:t xml:space="preserve">   </w:t>
      </w:r>
      <w:r>
        <w:rPr>
          <w:rFonts w:hint="eastAsia"/>
          <w:color w:val="auto"/>
          <w:highlight w:val="none"/>
          <w:u w:val="single"/>
        </w:rPr>
        <w:t xml:space="preserve">     </w:t>
      </w:r>
      <w:r>
        <w:rPr>
          <w:rFonts w:hint="eastAsia"/>
          <w:color w:val="auto"/>
          <w:highlight w:val="none"/>
          <w:u w:val="single"/>
          <w:lang w:val="en-US" w:eastAsia="zh-CN"/>
        </w:rPr>
        <w:t>/</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lang w:val="en-US" w:eastAsia="zh-CN"/>
        </w:rPr>
        <w:t xml:space="preserve"> </w:t>
      </w:r>
      <w:r>
        <w:rPr>
          <w:rFonts w:hint="eastAsia" w:hAnsi="宋体" w:cs="宋体"/>
          <w:color w:val="auto"/>
          <w:highlight w:val="none"/>
        </w:rPr>
        <w:t>。</w:t>
      </w:r>
    </w:p>
    <w:p w14:paraId="2734B69C">
      <w:pPr>
        <w:spacing w:line="360" w:lineRule="auto"/>
        <w:ind w:firstLine="411" w:firstLineChars="196"/>
        <w:rPr>
          <w:color w:val="auto"/>
          <w:highlight w:val="none"/>
        </w:rPr>
      </w:pPr>
      <w:r>
        <w:rPr>
          <w:color w:val="auto"/>
          <w:highlight w:val="none"/>
        </w:rPr>
        <w:t xml:space="preserve">4. </w:t>
      </w:r>
      <w:r>
        <w:rPr>
          <w:rFonts w:hint="eastAsia" w:hAnsi="宋体" w:cs="宋体"/>
          <w:color w:val="auto"/>
          <w:highlight w:val="none"/>
        </w:rPr>
        <w:t>资金来源：</w:t>
      </w:r>
      <w:r>
        <w:rPr>
          <w:color w:val="auto"/>
          <w:highlight w:val="none"/>
          <w:u w:val="single"/>
        </w:rPr>
        <w:t xml:space="preserve"> </w:t>
      </w:r>
      <w:r>
        <w:rPr>
          <w:rFonts w:hint="eastAsia"/>
          <w:color w:val="auto"/>
          <w:highlight w:val="none"/>
          <w:u w:val="single"/>
          <w:lang w:val="en-US" w:eastAsia="zh-CN"/>
        </w:rPr>
        <w:t>财政资金</w:t>
      </w:r>
      <w:r>
        <w:rPr>
          <w:color w:val="auto"/>
          <w:highlight w:val="none"/>
          <w:u w:val="single"/>
        </w:rPr>
        <w:t xml:space="preserve"> </w:t>
      </w:r>
      <w:r>
        <w:rPr>
          <w:rFonts w:hint="eastAsia" w:hAnsi="宋体" w:cs="宋体"/>
          <w:color w:val="auto"/>
          <w:highlight w:val="none"/>
        </w:rPr>
        <w:t>。</w:t>
      </w:r>
    </w:p>
    <w:p w14:paraId="5A8CA73F">
      <w:pPr>
        <w:spacing w:line="360" w:lineRule="auto"/>
        <w:ind w:firstLine="411" w:firstLineChars="196"/>
        <w:rPr>
          <w:color w:val="auto"/>
          <w:highlight w:val="none"/>
        </w:rPr>
      </w:pPr>
      <w:r>
        <w:rPr>
          <w:color w:val="auto"/>
          <w:highlight w:val="none"/>
        </w:rPr>
        <w:t xml:space="preserve">5. </w:t>
      </w:r>
      <w:r>
        <w:rPr>
          <w:rFonts w:hint="eastAsia" w:hAnsi="宋体" w:cs="宋体"/>
          <w:color w:val="auto"/>
          <w:highlight w:val="none"/>
        </w:rPr>
        <w:t>工程内容：</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hAnsi="宋体" w:cs="宋体"/>
          <w:color w:val="auto"/>
          <w:highlight w:val="none"/>
        </w:rPr>
        <w:t>。</w:t>
      </w:r>
    </w:p>
    <w:p w14:paraId="2F9F648F">
      <w:pPr>
        <w:spacing w:line="360" w:lineRule="auto"/>
        <w:ind w:firstLine="411" w:firstLineChars="196"/>
        <w:rPr>
          <w:color w:val="auto"/>
          <w:highlight w:val="none"/>
        </w:rPr>
      </w:pPr>
      <w:r>
        <w:rPr>
          <w:rFonts w:hint="eastAsia" w:hAnsi="宋体" w:cs="宋体"/>
          <w:color w:val="auto"/>
          <w:highlight w:val="none"/>
        </w:rPr>
        <w:t>群体工程应附《承包人承揽工程项目一览表》（附件</w:t>
      </w:r>
      <w:r>
        <w:rPr>
          <w:color w:val="auto"/>
          <w:highlight w:val="none"/>
        </w:rPr>
        <w:t>1</w:t>
      </w:r>
      <w:r>
        <w:rPr>
          <w:rFonts w:hint="eastAsia" w:hAnsi="宋体" w:cs="宋体"/>
          <w:color w:val="auto"/>
          <w:highlight w:val="none"/>
        </w:rPr>
        <w:t>）。</w:t>
      </w:r>
    </w:p>
    <w:p w14:paraId="28434C86">
      <w:pPr>
        <w:spacing w:line="360" w:lineRule="auto"/>
        <w:ind w:firstLine="411" w:firstLineChars="196"/>
        <w:rPr>
          <w:rFonts w:hAnsi="宋体"/>
          <w:color w:val="auto"/>
          <w:highlight w:val="none"/>
        </w:rPr>
      </w:pPr>
      <w:r>
        <w:rPr>
          <w:color w:val="auto"/>
          <w:highlight w:val="none"/>
        </w:rPr>
        <w:t xml:space="preserve">6. </w:t>
      </w:r>
      <w:r>
        <w:rPr>
          <w:rFonts w:hint="eastAsia" w:hAnsi="宋体" w:cs="宋体"/>
          <w:color w:val="auto"/>
          <w:highlight w:val="none"/>
        </w:rPr>
        <w:t>工程承包范围：</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hAnsi="宋体" w:cs="宋体"/>
          <w:color w:val="auto"/>
          <w:highlight w:val="none"/>
        </w:rPr>
        <w:t>。</w:t>
      </w:r>
    </w:p>
    <w:p w14:paraId="701C94E6">
      <w:pPr>
        <w:spacing w:line="360" w:lineRule="auto"/>
        <w:ind w:firstLine="407" w:firstLineChars="193"/>
        <w:outlineLvl w:val="0"/>
        <w:rPr>
          <w:b/>
          <w:bCs/>
          <w:color w:val="auto"/>
          <w:highlight w:val="none"/>
        </w:rPr>
      </w:pPr>
      <w:bookmarkStart w:id="142" w:name="_Toc351203482"/>
      <w:bookmarkStart w:id="143" w:name="_Toc16700"/>
      <w:r>
        <w:rPr>
          <w:rFonts w:hint="eastAsia" w:hAnsi="宋体" w:cs="宋体"/>
          <w:b/>
          <w:bCs/>
          <w:color w:val="auto"/>
          <w:highlight w:val="none"/>
        </w:rPr>
        <w:t>二、合同工期</w:t>
      </w:r>
      <w:bookmarkEnd w:id="142"/>
      <w:bookmarkEnd w:id="143"/>
    </w:p>
    <w:p w14:paraId="698E2873">
      <w:pPr>
        <w:spacing w:line="360" w:lineRule="auto"/>
        <w:ind w:firstLine="459"/>
        <w:rPr>
          <w:color w:val="auto"/>
          <w:highlight w:val="none"/>
        </w:rPr>
      </w:pPr>
      <w:r>
        <w:rPr>
          <w:rFonts w:hint="eastAsia" w:hAnsi="宋体" w:cs="宋体"/>
          <w:color w:val="auto"/>
          <w:highlight w:val="none"/>
        </w:rPr>
        <w:t>计划开工日期：</w:t>
      </w:r>
      <w:r>
        <w:rPr>
          <w:rFonts w:hAnsi="宋体"/>
          <w:color w:val="auto"/>
          <w:highlight w:val="none"/>
          <w:u w:val="single"/>
        </w:rPr>
        <w:t></w:t>
      </w:r>
      <w:r>
        <w:rPr>
          <w:rFonts w:hint="eastAsia" w:hAnsi="宋体"/>
          <w:color w:val="auto"/>
          <w:highlight w:val="none"/>
          <w:u w:val="single"/>
          <w:lang w:val="en-US" w:eastAsia="zh-CN"/>
        </w:rPr>
        <w:t>2025</w:t>
      </w:r>
      <w:r>
        <w:rPr>
          <w:rFonts w:hAnsi="宋体"/>
          <w:color w:val="auto"/>
          <w:highlight w:val="none"/>
          <w:u w:val="single"/>
        </w:rPr>
        <w:t></w:t>
      </w:r>
      <w:r>
        <w:rPr>
          <w:rFonts w:hAnsi="宋体"/>
          <w:color w:val="auto"/>
          <w:highlight w:val="none"/>
        </w:rPr>
        <w:t>年</w:t>
      </w:r>
      <w:r>
        <w:rPr>
          <w:rFonts w:hAnsi="宋体"/>
          <w:color w:val="auto"/>
          <w:highlight w:val="none"/>
          <w:u w:val="single"/>
        </w:rPr>
        <w:t></w:t>
      </w:r>
      <w:r>
        <w:rPr>
          <w:rFonts w:hAnsi="宋体"/>
          <w:color w:val="auto"/>
          <w:highlight w:val="none"/>
        </w:rPr>
        <w:t>月</w:t>
      </w:r>
      <w:r>
        <w:rPr>
          <w:rFonts w:hAnsi="宋体"/>
          <w:color w:val="auto"/>
          <w:highlight w:val="none"/>
          <w:u w:val="single"/>
        </w:rPr>
        <w:t></w:t>
      </w:r>
      <w:r>
        <w:rPr>
          <w:rFonts w:hAnsi="宋体"/>
          <w:color w:val="auto"/>
          <w:highlight w:val="none"/>
        </w:rPr>
        <w:t>日。</w:t>
      </w:r>
      <w:r>
        <w:rPr>
          <w:rFonts w:hint="eastAsia" w:hAnsi="宋体" w:cs="宋体"/>
          <w:color w:val="auto"/>
          <w:highlight w:val="none"/>
        </w:rPr>
        <w:t>（具体以发包人书面通知为准）</w:t>
      </w:r>
    </w:p>
    <w:p w14:paraId="6033031E">
      <w:pPr>
        <w:spacing w:line="360" w:lineRule="auto"/>
        <w:ind w:firstLine="459"/>
        <w:rPr>
          <w:color w:val="auto"/>
          <w:highlight w:val="none"/>
        </w:rPr>
      </w:pPr>
      <w:r>
        <w:rPr>
          <w:rFonts w:hint="eastAsia" w:hAnsi="宋体" w:cs="宋体"/>
          <w:color w:val="auto"/>
          <w:highlight w:val="none"/>
        </w:rPr>
        <w:t>计划竣工日期：</w:t>
      </w:r>
      <w:r>
        <w:rPr>
          <w:rFonts w:hAnsi="宋体"/>
          <w:color w:val="auto"/>
          <w:highlight w:val="none"/>
          <w:u w:val="single"/>
        </w:rPr>
        <w:t></w:t>
      </w:r>
      <w:r>
        <w:rPr>
          <w:rFonts w:hint="eastAsia" w:hAnsi="宋体"/>
          <w:color w:val="auto"/>
          <w:highlight w:val="none"/>
          <w:u w:val="single"/>
          <w:lang w:val="en-US" w:eastAsia="zh-CN"/>
        </w:rPr>
        <w:t>2025</w:t>
      </w:r>
      <w:r>
        <w:rPr>
          <w:rFonts w:hAnsi="宋体"/>
          <w:color w:val="auto"/>
          <w:highlight w:val="none"/>
          <w:u w:val="single"/>
        </w:rPr>
        <w:t></w:t>
      </w:r>
      <w:r>
        <w:rPr>
          <w:rFonts w:hAnsi="宋体"/>
          <w:color w:val="auto"/>
          <w:highlight w:val="none"/>
        </w:rPr>
        <w:t>年</w:t>
      </w:r>
      <w:r>
        <w:rPr>
          <w:rFonts w:hAnsi="宋体"/>
          <w:color w:val="auto"/>
          <w:highlight w:val="none"/>
          <w:u w:val="single"/>
        </w:rPr>
        <w:t></w:t>
      </w:r>
      <w:r>
        <w:rPr>
          <w:rFonts w:hAnsi="宋体"/>
          <w:color w:val="auto"/>
          <w:highlight w:val="none"/>
        </w:rPr>
        <w:t>月</w:t>
      </w:r>
      <w:r>
        <w:rPr>
          <w:rFonts w:hAnsi="宋体"/>
          <w:color w:val="auto"/>
          <w:highlight w:val="none"/>
          <w:u w:val="single"/>
        </w:rPr>
        <w:t></w:t>
      </w:r>
      <w:r>
        <w:rPr>
          <w:rFonts w:hAnsi="宋体"/>
          <w:color w:val="auto"/>
          <w:highlight w:val="none"/>
        </w:rPr>
        <w:t>日</w:t>
      </w:r>
      <w:r>
        <w:rPr>
          <w:rFonts w:hint="eastAsia" w:hAnsi="宋体" w:cs="宋体"/>
          <w:color w:val="auto"/>
          <w:highlight w:val="none"/>
        </w:rPr>
        <w:t>。</w:t>
      </w:r>
    </w:p>
    <w:p w14:paraId="4FC0A892">
      <w:pPr>
        <w:spacing w:line="360" w:lineRule="auto"/>
        <w:ind w:firstLine="459"/>
        <w:rPr>
          <w:rFonts w:hAnsi="宋体"/>
          <w:color w:val="auto"/>
          <w:highlight w:val="none"/>
        </w:rPr>
      </w:pPr>
      <w:r>
        <w:rPr>
          <w:rFonts w:hint="eastAsia" w:hAnsi="宋体" w:cs="宋体"/>
          <w:color w:val="auto"/>
          <w:highlight w:val="none"/>
        </w:rPr>
        <w:t>工期总日历天数：</w:t>
      </w:r>
      <w:r>
        <w:rPr>
          <w:rFonts w:hint="eastAsia" w:hAnsi="宋体" w:cs="宋体"/>
          <w:color w:val="auto"/>
          <w:highlight w:val="none"/>
          <w:u w:val="single"/>
        </w:rPr>
        <w:t xml:space="preserve">         </w:t>
      </w:r>
      <w:r>
        <w:rPr>
          <w:rFonts w:hint="eastAsia" w:hAnsi="宋体" w:cs="宋体"/>
          <w:color w:val="auto"/>
          <w:highlight w:val="none"/>
        </w:rPr>
        <w:t>天。工期总日历天数与根据前述计划开竣工日期计算的工期天数不一致的，以工期总日历天数为准。</w:t>
      </w:r>
    </w:p>
    <w:p w14:paraId="4949C66A">
      <w:pPr>
        <w:spacing w:line="360" w:lineRule="auto"/>
        <w:ind w:firstLine="459"/>
        <w:outlineLvl w:val="0"/>
        <w:rPr>
          <w:b/>
          <w:bCs/>
          <w:color w:val="auto"/>
          <w:highlight w:val="none"/>
        </w:rPr>
      </w:pPr>
      <w:bookmarkStart w:id="144" w:name="_Toc31307"/>
      <w:bookmarkStart w:id="145" w:name="_Toc351203483"/>
      <w:r>
        <w:rPr>
          <w:rFonts w:hint="eastAsia" w:hAnsi="宋体" w:cs="宋体"/>
          <w:b/>
          <w:bCs/>
          <w:color w:val="auto"/>
          <w:highlight w:val="none"/>
        </w:rPr>
        <w:t>三、质量标准</w:t>
      </w:r>
      <w:bookmarkEnd w:id="144"/>
      <w:bookmarkEnd w:id="145"/>
    </w:p>
    <w:p w14:paraId="1442905F">
      <w:pPr>
        <w:spacing w:line="360" w:lineRule="auto"/>
        <w:ind w:firstLine="459"/>
        <w:rPr>
          <w:rFonts w:hAnsi="宋体"/>
          <w:color w:val="auto"/>
          <w:highlight w:val="none"/>
        </w:rPr>
      </w:pPr>
      <w:r>
        <w:rPr>
          <w:rFonts w:hint="eastAsia" w:hAnsi="宋体" w:cs="宋体"/>
          <w:color w:val="auto"/>
          <w:highlight w:val="none"/>
        </w:rPr>
        <w:t>工程质量符合</w:t>
      </w:r>
      <w:r>
        <w:rPr>
          <w:rFonts w:eastAsia="仿宋_GB2312"/>
          <w:color w:val="auto"/>
          <w:highlight w:val="none"/>
          <w:u w:val="single"/>
        </w:rPr>
        <w:t></w:t>
      </w:r>
      <w:r>
        <w:rPr>
          <w:rFonts w:hint="eastAsia" w:eastAsia="仿宋_GB2312"/>
          <w:color w:val="auto"/>
          <w:highlight w:val="none"/>
          <w:u w:val="single"/>
        </w:rPr>
        <w:t>工程质量符合国家施工验收规范合格</w:t>
      </w:r>
      <w:r>
        <w:rPr>
          <w:rFonts w:eastAsia="仿宋_GB2312"/>
          <w:color w:val="auto"/>
          <w:highlight w:val="none"/>
          <w:u w:val="single"/>
        </w:rPr>
        <w:t></w:t>
      </w:r>
      <w:r>
        <w:rPr>
          <w:rFonts w:hint="eastAsia" w:hAnsi="宋体" w:cs="宋体"/>
          <w:color w:val="auto"/>
          <w:highlight w:val="none"/>
        </w:rPr>
        <w:t>标准。</w:t>
      </w:r>
    </w:p>
    <w:p w14:paraId="3F0A9C72">
      <w:pPr>
        <w:spacing w:line="360" w:lineRule="auto"/>
        <w:ind w:firstLine="459"/>
        <w:outlineLvl w:val="0"/>
        <w:rPr>
          <w:rFonts w:hAnsi="宋体"/>
          <w:b/>
          <w:bCs/>
          <w:color w:val="auto"/>
          <w:highlight w:val="none"/>
        </w:rPr>
      </w:pPr>
      <w:bookmarkStart w:id="146" w:name="_Toc351203484"/>
      <w:bookmarkStart w:id="147" w:name="_Toc42"/>
      <w:r>
        <w:rPr>
          <w:rFonts w:hint="eastAsia" w:hAnsi="宋体" w:cs="宋体"/>
          <w:b/>
          <w:bCs/>
          <w:color w:val="auto"/>
          <w:highlight w:val="none"/>
        </w:rPr>
        <w:t>四、签约合同价与合同价格形式</w:t>
      </w:r>
      <w:bookmarkEnd w:id="146"/>
      <w:bookmarkEnd w:id="147"/>
    </w:p>
    <w:p w14:paraId="25B0E8CA">
      <w:pPr>
        <w:spacing w:line="360" w:lineRule="auto"/>
        <w:ind w:firstLine="459"/>
        <w:rPr>
          <w:color w:val="auto"/>
          <w:highlight w:val="none"/>
        </w:rPr>
      </w:pPr>
      <w:r>
        <w:rPr>
          <w:color w:val="auto"/>
          <w:highlight w:val="none"/>
        </w:rPr>
        <w:t xml:space="preserve">1. </w:t>
      </w:r>
      <w:r>
        <w:rPr>
          <w:rFonts w:hint="eastAsia" w:hAnsi="宋体" w:cs="宋体"/>
          <w:color w:val="auto"/>
          <w:highlight w:val="none"/>
        </w:rPr>
        <w:t>签约合同价为：</w:t>
      </w:r>
    </w:p>
    <w:p w14:paraId="5C296068">
      <w:pPr>
        <w:spacing w:line="360" w:lineRule="auto"/>
        <w:ind w:firstLine="525" w:firstLineChars="250"/>
        <w:rPr>
          <w:rFonts w:hAnsi="宋体"/>
          <w:color w:val="auto"/>
          <w:highlight w:val="none"/>
        </w:rPr>
      </w:pPr>
      <w:r>
        <w:rPr>
          <w:rFonts w:hint="eastAsia" w:hAnsi="宋体" w:cs="宋体"/>
          <w:color w:val="auto"/>
          <w:highlight w:val="none"/>
        </w:rPr>
        <w:t>人民币（大写）</w:t>
      </w:r>
      <w:r>
        <w:rPr>
          <w:color w:val="auto"/>
          <w:highlight w:val="none"/>
          <w:u w:val="single"/>
        </w:rPr>
        <w:t xml:space="preserve">                 </w:t>
      </w:r>
      <w:r>
        <w:rPr>
          <w:rFonts w:hint="eastAsia" w:cs="宋体"/>
          <w:color w:val="auto"/>
          <w:highlight w:val="none"/>
        </w:rPr>
        <w:t>（</w:t>
      </w:r>
      <w:r>
        <w:rPr>
          <w:color w:val="auto"/>
          <w:highlight w:val="none"/>
        </w:rPr>
        <w:t>¥</w:t>
      </w:r>
      <w:r>
        <w:rPr>
          <w:color w:val="auto"/>
          <w:highlight w:val="none"/>
          <w:u w:val="single"/>
        </w:rPr>
        <w:t xml:space="preserve">            </w:t>
      </w:r>
      <w:r>
        <w:rPr>
          <w:rFonts w:hint="eastAsia" w:hAnsi="宋体" w:cs="宋体"/>
          <w:color w:val="auto"/>
          <w:highlight w:val="none"/>
        </w:rPr>
        <w:t>元</w:t>
      </w:r>
      <w:r>
        <w:rPr>
          <w:rFonts w:hint="eastAsia" w:cs="宋体"/>
          <w:color w:val="auto"/>
          <w:highlight w:val="none"/>
        </w:rPr>
        <w:t>）</w:t>
      </w:r>
      <w:r>
        <w:rPr>
          <w:rFonts w:hint="eastAsia" w:hAnsi="宋体" w:cs="宋体"/>
          <w:color w:val="auto"/>
          <w:highlight w:val="none"/>
        </w:rPr>
        <w:t>；</w:t>
      </w:r>
    </w:p>
    <w:p w14:paraId="59AEBBFA">
      <w:pPr>
        <w:spacing w:line="360" w:lineRule="auto"/>
        <w:ind w:firstLine="525" w:firstLineChars="250"/>
        <w:rPr>
          <w:rFonts w:hAnsi="宋体"/>
          <w:color w:val="auto"/>
          <w:highlight w:val="none"/>
        </w:rPr>
      </w:pPr>
      <w:r>
        <w:rPr>
          <w:rFonts w:hint="eastAsia" w:hAnsi="宋体" w:cs="宋体"/>
          <w:color w:val="auto"/>
          <w:highlight w:val="none"/>
        </w:rPr>
        <w:t>其中：</w:t>
      </w:r>
    </w:p>
    <w:p w14:paraId="0F504935">
      <w:pPr>
        <w:spacing w:line="360" w:lineRule="auto"/>
        <w:ind w:firstLine="420" w:firstLineChars="200"/>
        <w:rPr>
          <w:color w:val="auto"/>
          <w:highlight w:val="none"/>
        </w:rPr>
      </w:pPr>
      <w:r>
        <w:rPr>
          <w:rFonts w:hint="eastAsia" w:hAnsi="宋体" w:cs="宋体"/>
          <w:color w:val="auto"/>
          <w:highlight w:val="none"/>
        </w:rPr>
        <w:t>（</w:t>
      </w:r>
      <w:r>
        <w:rPr>
          <w:rFonts w:hAnsi="宋体"/>
          <w:color w:val="auto"/>
          <w:highlight w:val="none"/>
        </w:rPr>
        <w:t>1</w:t>
      </w:r>
      <w:r>
        <w:rPr>
          <w:rFonts w:hint="eastAsia" w:hAnsi="宋体" w:cs="宋体"/>
          <w:color w:val="auto"/>
          <w:highlight w:val="none"/>
        </w:rPr>
        <w:t>）安全文明施工费：</w:t>
      </w:r>
    </w:p>
    <w:p w14:paraId="77D5F3B8">
      <w:pPr>
        <w:spacing w:line="360" w:lineRule="auto"/>
        <w:ind w:left="420" w:leftChars="200" w:firstLine="525" w:firstLineChars="250"/>
        <w:rPr>
          <w:rFonts w:hAnsi="宋体"/>
          <w:color w:val="auto"/>
          <w:highlight w:val="none"/>
        </w:rPr>
      </w:pPr>
      <w:r>
        <w:rPr>
          <w:rFonts w:hint="eastAsia" w:hAnsi="宋体" w:cs="宋体"/>
          <w:color w:val="auto"/>
          <w:highlight w:val="none"/>
        </w:rPr>
        <w:t>人民币（大写）</w:t>
      </w:r>
      <w:r>
        <w:rPr>
          <w:color w:val="auto"/>
          <w:highlight w:val="none"/>
          <w:u w:val="single"/>
        </w:rPr>
        <w:t xml:space="preserve">              </w:t>
      </w:r>
      <w:r>
        <w:rPr>
          <w:color w:val="auto"/>
          <w:highlight w:val="none"/>
        </w:rPr>
        <w:t xml:space="preserve"> </w:t>
      </w:r>
      <w:r>
        <w:rPr>
          <w:rFonts w:hint="eastAsia" w:cs="宋体"/>
          <w:color w:val="auto"/>
          <w:highlight w:val="none"/>
        </w:rPr>
        <w:t>（</w:t>
      </w:r>
      <w:r>
        <w:rPr>
          <w:color w:val="auto"/>
          <w:highlight w:val="none"/>
        </w:rPr>
        <w:t>¥</w:t>
      </w:r>
      <w:r>
        <w:rPr>
          <w:color w:val="auto"/>
          <w:highlight w:val="none"/>
          <w:u w:val="single"/>
        </w:rPr>
        <w:t xml:space="preserve">          </w:t>
      </w:r>
      <w:r>
        <w:rPr>
          <w:rFonts w:hint="eastAsia" w:hAnsi="宋体" w:cs="宋体"/>
          <w:color w:val="auto"/>
          <w:highlight w:val="none"/>
        </w:rPr>
        <w:t>元</w:t>
      </w:r>
      <w:r>
        <w:rPr>
          <w:rFonts w:hint="eastAsia" w:cs="宋体"/>
          <w:color w:val="auto"/>
          <w:highlight w:val="none"/>
        </w:rPr>
        <w:t>）</w:t>
      </w:r>
      <w:r>
        <w:rPr>
          <w:rFonts w:hint="eastAsia" w:hAnsi="宋体" w:cs="宋体"/>
          <w:color w:val="auto"/>
          <w:highlight w:val="none"/>
        </w:rPr>
        <w:t>；</w:t>
      </w:r>
    </w:p>
    <w:p w14:paraId="5B2E743C">
      <w:pPr>
        <w:spacing w:line="360" w:lineRule="auto"/>
        <w:ind w:firstLine="420" w:firstLineChars="200"/>
        <w:rPr>
          <w:color w:val="auto"/>
          <w:highlight w:val="none"/>
        </w:rPr>
      </w:pPr>
      <w:r>
        <w:rPr>
          <w:rFonts w:hint="eastAsia" w:hAnsi="宋体" w:cs="宋体"/>
          <w:color w:val="auto"/>
          <w:highlight w:val="none"/>
        </w:rPr>
        <w:t>（</w:t>
      </w:r>
      <w:r>
        <w:rPr>
          <w:color w:val="auto"/>
          <w:highlight w:val="none"/>
        </w:rPr>
        <w:t>2</w:t>
      </w:r>
      <w:r>
        <w:rPr>
          <w:rFonts w:hint="eastAsia" w:hAnsi="宋体" w:cs="宋体"/>
          <w:color w:val="auto"/>
          <w:highlight w:val="none"/>
        </w:rPr>
        <w:t>）材料和工程设备暂估价金额：</w:t>
      </w:r>
    </w:p>
    <w:p w14:paraId="067F51A4">
      <w:pPr>
        <w:spacing w:line="360" w:lineRule="auto"/>
        <w:ind w:firstLine="945" w:firstLineChars="450"/>
        <w:rPr>
          <w:color w:val="auto"/>
          <w:highlight w:val="none"/>
        </w:rPr>
      </w:pPr>
      <w:r>
        <w:rPr>
          <w:rFonts w:hint="eastAsia" w:hAnsi="宋体" w:cs="宋体"/>
          <w:color w:val="auto"/>
          <w:highlight w:val="none"/>
        </w:rPr>
        <w:t>人民币（大写）</w:t>
      </w:r>
      <w:r>
        <w:rPr>
          <w:color w:val="auto"/>
          <w:highlight w:val="none"/>
          <w:u w:val="single"/>
        </w:rPr>
        <w:t xml:space="preserve">              </w:t>
      </w:r>
      <w:r>
        <w:rPr>
          <w:color w:val="auto"/>
          <w:highlight w:val="none"/>
        </w:rPr>
        <w:t xml:space="preserve"> </w:t>
      </w:r>
      <w:r>
        <w:rPr>
          <w:rFonts w:hint="eastAsia" w:cs="宋体"/>
          <w:color w:val="auto"/>
          <w:highlight w:val="none"/>
        </w:rPr>
        <w:t>（</w:t>
      </w:r>
      <w:r>
        <w:rPr>
          <w:color w:val="auto"/>
          <w:highlight w:val="none"/>
        </w:rPr>
        <w:t>¥</w:t>
      </w:r>
      <w:r>
        <w:rPr>
          <w:color w:val="auto"/>
          <w:highlight w:val="none"/>
          <w:u w:val="single"/>
        </w:rPr>
        <w:t xml:space="preserve">          </w:t>
      </w:r>
      <w:r>
        <w:rPr>
          <w:rFonts w:hint="eastAsia" w:hAnsi="宋体" w:cs="宋体"/>
          <w:color w:val="auto"/>
          <w:highlight w:val="none"/>
        </w:rPr>
        <w:t>元</w:t>
      </w:r>
      <w:r>
        <w:rPr>
          <w:rFonts w:hint="eastAsia" w:cs="宋体"/>
          <w:color w:val="auto"/>
          <w:highlight w:val="none"/>
        </w:rPr>
        <w:t>）</w:t>
      </w:r>
      <w:r>
        <w:rPr>
          <w:rFonts w:hint="eastAsia" w:hAnsi="宋体" w:cs="宋体"/>
          <w:color w:val="auto"/>
          <w:highlight w:val="none"/>
        </w:rPr>
        <w:t>；</w:t>
      </w:r>
    </w:p>
    <w:p w14:paraId="08581B22">
      <w:pPr>
        <w:spacing w:line="360" w:lineRule="auto"/>
        <w:ind w:firstLine="420" w:firstLineChars="200"/>
        <w:rPr>
          <w:color w:val="auto"/>
          <w:highlight w:val="none"/>
        </w:rPr>
      </w:pPr>
      <w:r>
        <w:rPr>
          <w:rFonts w:hint="eastAsia" w:hAnsi="宋体" w:cs="宋体"/>
          <w:color w:val="auto"/>
          <w:highlight w:val="none"/>
        </w:rPr>
        <w:t>（</w:t>
      </w:r>
      <w:r>
        <w:rPr>
          <w:color w:val="auto"/>
          <w:highlight w:val="none"/>
        </w:rPr>
        <w:t>3</w:t>
      </w:r>
      <w:r>
        <w:rPr>
          <w:rFonts w:hint="eastAsia" w:hAnsi="宋体" w:cs="宋体"/>
          <w:color w:val="auto"/>
          <w:highlight w:val="none"/>
        </w:rPr>
        <w:t>）专业工程暂估价金额：</w:t>
      </w:r>
    </w:p>
    <w:p w14:paraId="303BC90F">
      <w:pPr>
        <w:spacing w:line="360" w:lineRule="auto"/>
        <w:ind w:firstLine="945" w:firstLineChars="450"/>
        <w:rPr>
          <w:color w:val="auto"/>
          <w:highlight w:val="none"/>
        </w:rPr>
      </w:pPr>
      <w:r>
        <w:rPr>
          <w:rFonts w:hint="eastAsia" w:hAnsi="宋体" w:cs="宋体"/>
          <w:color w:val="auto"/>
          <w:highlight w:val="none"/>
        </w:rPr>
        <w:t>人民币（大写）</w:t>
      </w:r>
      <w:r>
        <w:rPr>
          <w:color w:val="auto"/>
          <w:highlight w:val="none"/>
          <w:u w:val="single"/>
        </w:rPr>
        <w:t xml:space="preserve">              </w:t>
      </w:r>
      <w:r>
        <w:rPr>
          <w:color w:val="auto"/>
          <w:highlight w:val="none"/>
        </w:rPr>
        <w:t xml:space="preserve"> </w:t>
      </w:r>
      <w:r>
        <w:rPr>
          <w:rFonts w:hint="eastAsia" w:cs="宋体"/>
          <w:color w:val="auto"/>
          <w:highlight w:val="none"/>
        </w:rPr>
        <w:t>（</w:t>
      </w:r>
      <w:r>
        <w:rPr>
          <w:color w:val="auto"/>
          <w:highlight w:val="none"/>
        </w:rPr>
        <w:t>¥</w:t>
      </w:r>
      <w:r>
        <w:rPr>
          <w:color w:val="auto"/>
          <w:highlight w:val="none"/>
          <w:u w:val="single"/>
        </w:rPr>
        <w:t xml:space="preserve">          </w:t>
      </w:r>
      <w:r>
        <w:rPr>
          <w:rFonts w:hint="eastAsia" w:hAnsi="宋体" w:cs="宋体"/>
          <w:color w:val="auto"/>
          <w:highlight w:val="none"/>
        </w:rPr>
        <w:t>元</w:t>
      </w:r>
      <w:r>
        <w:rPr>
          <w:rFonts w:hint="eastAsia" w:cs="宋体"/>
          <w:color w:val="auto"/>
          <w:highlight w:val="none"/>
        </w:rPr>
        <w:t>）</w:t>
      </w:r>
      <w:r>
        <w:rPr>
          <w:rFonts w:hint="eastAsia" w:hAnsi="宋体" w:cs="宋体"/>
          <w:color w:val="auto"/>
          <w:highlight w:val="none"/>
        </w:rPr>
        <w:t>；</w:t>
      </w:r>
    </w:p>
    <w:p w14:paraId="294AAFE2">
      <w:pPr>
        <w:spacing w:line="360" w:lineRule="auto"/>
        <w:ind w:firstLine="420" w:firstLineChars="200"/>
        <w:rPr>
          <w:color w:val="auto"/>
          <w:highlight w:val="none"/>
        </w:rPr>
      </w:pPr>
      <w:r>
        <w:rPr>
          <w:rFonts w:hint="eastAsia" w:hAnsi="宋体" w:cs="宋体"/>
          <w:color w:val="auto"/>
          <w:highlight w:val="none"/>
        </w:rPr>
        <w:t>（</w:t>
      </w:r>
      <w:r>
        <w:rPr>
          <w:color w:val="auto"/>
          <w:highlight w:val="none"/>
        </w:rPr>
        <w:t>4</w:t>
      </w:r>
      <w:r>
        <w:rPr>
          <w:rFonts w:hint="eastAsia" w:hAnsi="宋体" w:cs="宋体"/>
          <w:color w:val="auto"/>
          <w:highlight w:val="none"/>
        </w:rPr>
        <w:t>）暂列金额：</w:t>
      </w:r>
    </w:p>
    <w:p w14:paraId="5375726F">
      <w:pPr>
        <w:spacing w:line="360" w:lineRule="auto"/>
        <w:ind w:firstLine="945" w:firstLineChars="450"/>
        <w:rPr>
          <w:rFonts w:hAnsi="宋体"/>
          <w:color w:val="auto"/>
          <w:highlight w:val="none"/>
        </w:rPr>
      </w:pPr>
      <w:r>
        <w:rPr>
          <w:rFonts w:hint="eastAsia" w:hAnsi="宋体" w:cs="宋体"/>
          <w:color w:val="auto"/>
          <w:highlight w:val="none"/>
        </w:rPr>
        <w:t>人民币（大写）</w:t>
      </w:r>
      <w:r>
        <w:rPr>
          <w:color w:val="auto"/>
          <w:highlight w:val="none"/>
          <w:u w:val="single"/>
        </w:rPr>
        <w:t xml:space="preserve">              </w:t>
      </w:r>
      <w:r>
        <w:rPr>
          <w:color w:val="auto"/>
          <w:highlight w:val="none"/>
        </w:rPr>
        <w:t xml:space="preserve"> </w:t>
      </w:r>
      <w:r>
        <w:rPr>
          <w:rFonts w:hint="eastAsia" w:cs="宋体"/>
          <w:color w:val="auto"/>
          <w:highlight w:val="none"/>
        </w:rPr>
        <w:t>（</w:t>
      </w:r>
      <w:r>
        <w:rPr>
          <w:color w:val="auto"/>
          <w:highlight w:val="none"/>
        </w:rPr>
        <w:t>¥</w:t>
      </w:r>
      <w:r>
        <w:rPr>
          <w:color w:val="auto"/>
          <w:highlight w:val="none"/>
          <w:u w:val="single"/>
        </w:rPr>
        <w:t xml:space="preserve">          </w:t>
      </w:r>
      <w:r>
        <w:rPr>
          <w:rFonts w:hint="eastAsia" w:hAnsi="宋体" w:cs="宋体"/>
          <w:color w:val="auto"/>
          <w:highlight w:val="none"/>
        </w:rPr>
        <w:t>元</w:t>
      </w:r>
      <w:r>
        <w:rPr>
          <w:rFonts w:hint="eastAsia" w:cs="宋体"/>
          <w:color w:val="auto"/>
          <w:highlight w:val="none"/>
        </w:rPr>
        <w:t>）</w:t>
      </w:r>
      <w:r>
        <w:rPr>
          <w:rFonts w:hint="eastAsia" w:hAnsi="宋体" w:cs="宋体"/>
          <w:color w:val="auto"/>
          <w:highlight w:val="none"/>
        </w:rPr>
        <w:t>。</w:t>
      </w:r>
    </w:p>
    <w:p w14:paraId="3F89118B">
      <w:pPr>
        <w:spacing w:line="360" w:lineRule="auto"/>
        <w:ind w:firstLine="420" w:firstLineChars="200"/>
        <w:rPr>
          <w:rFonts w:hint="eastAsia" w:hAnsi="宋体"/>
          <w:color w:val="auto"/>
          <w:highlight w:val="none"/>
        </w:rPr>
      </w:pPr>
      <w:r>
        <w:rPr>
          <w:color w:val="auto"/>
          <w:highlight w:val="none"/>
        </w:rPr>
        <w:t xml:space="preserve">2. </w:t>
      </w:r>
      <w:r>
        <w:rPr>
          <w:rFonts w:hint="eastAsia" w:hAnsi="宋体" w:cs="宋体"/>
          <w:color w:val="auto"/>
          <w:highlight w:val="none"/>
        </w:rPr>
        <w:t>合同价格形式：</w:t>
      </w:r>
      <w:r>
        <w:rPr>
          <w:color w:val="auto"/>
          <w:highlight w:val="none"/>
          <w:u w:val="single"/>
        </w:rPr>
        <w:t xml:space="preserve"> </w:t>
      </w:r>
      <w:r>
        <w:rPr>
          <w:rFonts w:hint="eastAsia"/>
          <w:color w:val="auto"/>
          <w:highlight w:val="none"/>
          <w:u w:val="single"/>
        </w:rPr>
        <w:t>总价</w:t>
      </w:r>
      <w:r>
        <w:rPr>
          <w:rFonts w:hint="eastAsia"/>
          <w:color w:val="auto"/>
          <w:highlight w:val="none"/>
          <w:u w:val="single"/>
          <w:lang w:val="en-US" w:eastAsia="zh-CN"/>
        </w:rPr>
        <w:t>包干</w:t>
      </w:r>
      <w:r>
        <w:rPr>
          <w:rFonts w:hint="eastAsia"/>
          <w:color w:val="auto"/>
          <w:highlight w:val="none"/>
          <w:u w:val="single"/>
        </w:rPr>
        <w:t>合同</w:t>
      </w:r>
      <w:r>
        <w:rPr>
          <w:color w:val="auto"/>
          <w:highlight w:val="none"/>
          <w:u w:val="single"/>
        </w:rPr>
        <w:t xml:space="preserve"> </w:t>
      </w:r>
      <w:r>
        <w:rPr>
          <w:rFonts w:hint="eastAsia" w:hAnsi="宋体" w:cs="宋体"/>
          <w:color w:val="auto"/>
          <w:highlight w:val="none"/>
        </w:rPr>
        <w:t>。</w:t>
      </w:r>
    </w:p>
    <w:p w14:paraId="674C1B35">
      <w:pPr>
        <w:spacing w:line="360" w:lineRule="auto"/>
        <w:ind w:firstLine="422" w:firstLineChars="200"/>
        <w:outlineLvl w:val="0"/>
        <w:rPr>
          <w:b/>
          <w:bCs/>
          <w:color w:val="auto"/>
          <w:highlight w:val="none"/>
        </w:rPr>
      </w:pPr>
      <w:bookmarkStart w:id="148" w:name="_Toc351203485"/>
      <w:bookmarkStart w:id="149" w:name="_Toc7578"/>
      <w:r>
        <w:rPr>
          <w:rFonts w:hint="eastAsia" w:hAnsi="宋体" w:cs="宋体"/>
          <w:b/>
          <w:bCs/>
          <w:color w:val="auto"/>
          <w:highlight w:val="none"/>
        </w:rPr>
        <w:t>五、</w:t>
      </w:r>
      <w:bookmarkEnd w:id="148"/>
      <w:r>
        <w:rPr>
          <w:rFonts w:hint="eastAsia" w:hAnsi="宋体" w:cs="宋体"/>
          <w:b/>
          <w:bCs/>
          <w:color w:val="auto"/>
          <w:highlight w:val="none"/>
        </w:rPr>
        <w:t>项目经理</w:t>
      </w:r>
      <w:bookmarkEnd w:id="149"/>
    </w:p>
    <w:p w14:paraId="4D13384B">
      <w:pPr>
        <w:spacing w:line="360" w:lineRule="auto"/>
        <w:ind w:firstLine="420" w:firstLineChars="200"/>
        <w:rPr>
          <w:rFonts w:hAnsi="宋体"/>
          <w:color w:val="auto"/>
          <w:highlight w:val="none"/>
        </w:rPr>
      </w:pPr>
      <w:r>
        <w:rPr>
          <w:rFonts w:hint="eastAsia" w:hAnsi="宋体" w:cs="宋体"/>
          <w:color w:val="auto"/>
          <w:highlight w:val="none"/>
        </w:rPr>
        <w:t>承包人项目经理：</w:t>
      </w:r>
      <w:r>
        <w:rPr>
          <w:color w:val="auto"/>
          <w:highlight w:val="none"/>
          <w:u w:val="single"/>
        </w:rPr>
        <w:t xml:space="preserve">                     </w:t>
      </w:r>
      <w:r>
        <w:rPr>
          <w:rFonts w:hint="eastAsia" w:hAnsi="宋体" w:cs="宋体"/>
          <w:color w:val="auto"/>
          <w:highlight w:val="none"/>
        </w:rPr>
        <w:t>。</w:t>
      </w:r>
    </w:p>
    <w:p w14:paraId="07522A74">
      <w:pPr>
        <w:spacing w:line="360" w:lineRule="auto"/>
        <w:ind w:firstLine="422" w:firstLineChars="200"/>
        <w:outlineLvl w:val="0"/>
        <w:rPr>
          <w:b/>
          <w:bCs/>
          <w:color w:val="auto"/>
          <w:highlight w:val="none"/>
        </w:rPr>
      </w:pPr>
      <w:bookmarkStart w:id="150" w:name="_Toc12684"/>
      <w:bookmarkStart w:id="151" w:name="_Toc351203486"/>
      <w:r>
        <w:rPr>
          <w:rFonts w:hint="eastAsia" w:hAnsi="宋体" w:cs="宋体"/>
          <w:b/>
          <w:bCs/>
          <w:color w:val="auto"/>
          <w:highlight w:val="none"/>
        </w:rPr>
        <w:t>六、合同文件构成</w:t>
      </w:r>
      <w:bookmarkEnd w:id="150"/>
      <w:bookmarkEnd w:id="151"/>
    </w:p>
    <w:p w14:paraId="59CCC472">
      <w:pPr>
        <w:spacing w:line="360" w:lineRule="auto"/>
        <w:ind w:firstLine="420" w:firstLineChars="200"/>
        <w:rPr>
          <w:color w:val="auto"/>
          <w:highlight w:val="none"/>
        </w:rPr>
      </w:pPr>
      <w:r>
        <w:rPr>
          <w:rFonts w:hint="eastAsia" w:hAnsi="宋体" w:cs="宋体"/>
          <w:color w:val="auto"/>
          <w:highlight w:val="none"/>
        </w:rPr>
        <w:t>本协议书与下列文件一起构成合同文件：</w:t>
      </w:r>
    </w:p>
    <w:p w14:paraId="48237CBB">
      <w:pPr>
        <w:autoSpaceDE w:val="0"/>
        <w:autoSpaceDN w:val="0"/>
        <w:adjustRightInd w:val="0"/>
        <w:spacing w:line="360" w:lineRule="auto"/>
        <w:ind w:firstLine="420" w:firstLineChars="200"/>
        <w:jc w:val="left"/>
        <w:rPr>
          <w:color w:val="auto"/>
          <w:highlight w:val="none"/>
        </w:rPr>
      </w:pPr>
      <w:r>
        <w:rPr>
          <w:rFonts w:hint="eastAsia" w:hAnsi="宋体" w:cs="宋体"/>
          <w:color w:val="auto"/>
          <w:highlight w:val="none"/>
        </w:rPr>
        <w:t>（</w:t>
      </w:r>
      <w:r>
        <w:rPr>
          <w:color w:val="auto"/>
          <w:highlight w:val="none"/>
        </w:rPr>
        <w:t>1</w:t>
      </w:r>
      <w:r>
        <w:rPr>
          <w:rFonts w:hint="eastAsia" w:hAnsi="宋体" w:cs="宋体"/>
          <w:color w:val="auto"/>
          <w:highlight w:val="none"/>
        </w:rPr>
        <w:t>）中标通知书（如有）；</w:t>
      </w:r>
    </w:p>
    <w:p w14:paraId="0E8DEBD6">
      <w:pPr>
        <w:autoSpaceDE w:val="0"/>
        <w:autoSpaceDN w:val="0"/>
        <w:adjustRightInd w:val="0"/>
        <w:spacing w:line="360" w:lineRule="auto"/>
        <w:ind w:firstLine="420" w:firstLineChars="200"/>
        <w:jc w:val="left"/>
        <w:rPr>
          <w:color w:val="auto"/>
          <w:highlight w:val="none"/>
        </w:rPr>
      </w:pPr>
      <w:r>
        <w:rPr>
          <w:rFonts w:hint="eastAsia" w:hAnsi="宋体" w:cs="宋体"/>
          <w:color w:val="auto"/>
          <w:highlight w:val="none"/>
        </w:rPr>
        <w:t>（</w:t>
      </w:r>
      <w:r>
        <w:rPr>
          <w:color w:val="auto"/>
          <w:highlight w:val="none"/>
        </w:rPr>
        <w:t>2</w:t>
      </w:r>
      <w:r>
        <w:rPr>
          <w:rFonts w:hint="eastAsia" w:hAnsi="宋体" w:cs="宋体"/>
          <w:color w:val="auto"/>
          <w:highlight w:val="none"/>
        </w:rPr>
        <w:t>）投标函及其附录（如有）；</w:t>
      </w:r>
      <w:r>
        <w:rPr>
          <w:color w:val="auto"/>
          <w:highlight w:val="none"/>
        </w:rPr>
        <w:t xml:space="preserve"> </w:t>
      </w:r>
    </w:p>
    <w:p w14:paraId="58C53C91">
      <w:pPr>
        <w:autoSpaceDE w:val="0"/>
        <w:autoSpaceDN w:val="0"/>
        <w:adjustRightInd w:val="0"/>
        <w:spacing w:line="360" w:lineRule="auto"/>
        <w:ind w:firstLine="420" w:firstLineChars="200"/>
        <w:jc w:val="left"/>
        <w:rPr>
          <w:color w:val="auto"/>
          <w:highlight w:val="none"/>
        </w:rPr>
      </w:pPr>
      <w:r>
        <w:rPr>
          <w:rFonts w:hint="eastAsia" w:hAnsi="宋体" w:cs="宋体"/>
          <w:color w:val="auto"/>
          <w:highlight w:val="none"/>
        </w:rPr>
        <w:t>（</w:t>
      </w:r>
      <w:r>
        <w:rPr>
          <w:color w:val="auto"/>
          <w:highlight w:val="none"/>
        </w:rPr>
        <w:t>3</w:t>
      </w:r>
      <w:r>
        <w:rPr>
          <w:rFonts w:hint="eastAsia" w:hAnsi="宋体" w:cs="宋体"/>
          <w:color w:val="auto"/>
          <w:highlight w:val="none"/>
        </w:rPr>
        <w:t>）专用合同条款及其附件；</w:t>
      </w:r>
    </w:p>
    <w:p w14:paraId="3AAE5ED2">
      <w:pPr>
        <w:autoSpaceDE w:val="0"/>
        <w:autoSpaceDN w:val="0"/>
        <w:adjustRightInd w:val="0"/>
        <w:spacing w:line="360" w:lineRule="auto"/>
        <w:ind w:firstLine="420" w:firstLineChars="200"/>
        <w:jc w:val="left"/>
        <w:rPr>
          <w:color w:val="auto"/>
          <w:highlight w:val="none"/>
        </w:rPr>
      </w:pPr>
      <w:r>
        <w:rPr>
          <w:rFonts w:hint="eastAsia" w:hAnsi="宋体" w:cs="宋体"/>
          <w:color w:val="auto"/>
          <w:highlight w:val="none"/>
        </w:rPr>
        <w:t>（</w:t>
      </w:r>
      <w:r>
        <w:rPr>
          <w:color w:val="auto"/>
          <w:highlight w:val="none"/>
        </w:rPr>
        <w:t>4</w:t>
      </w:r>
      <w:r>
        <w:rPr>
          <w:rFonts w:hint="eastAsia" w:hAnsi="宋体" w:cs="宋体"/>
          <w:color w:val="auto"/>
          <w:highlight w:val="none"/>
        </w:rPr>
        <w:t>）通用合同条款；</w:t>
      </w:r>
    </w:p>
    <w:p w14:paraId="786958F8">
      <w:pPr>
        <w:autoSpaceDE w:val="0"/>
        <w:autoSpaceDN w:val="0"/>
        <w:adjustRightInd w:val="0"/>
        <w:spacing w:line="360" w:lineRule="auto"/>
        <w:ind w:firstLine="420" w:firstLineChars="200"/>
        <w:jc w:val="left"/>
        <w:rPr>
          <w:color w:val="auto"/>
          <w:highlight w:val="none"/>
          <w:u w:val="none"/>
        </w:rPr>
      </w:pPr>
      <w:r>
        <w:rPr>
          <w:rFonts w:hint="eastAsia" w:hAnsi="宋体" w:cs="宋体"/>
          <w:color w:val="auto"/>
          <w:highlight w:val="none"/>
          <w:u w:val="none"/>
        </w:rPr>
        <w:t>（</w:t>
      </w:r>
      <w:r>
        <w:rPr>
          <w:color w:val="auto"/>
          <w:highlight w:val="none"/>
          <w:u w:val="none"/>
        </w:rPr>
        <w:t>5</w:t>
      </w:r>
      <w:r>
        <w:rPr>
          <w:rFonts w:hint="eastAsia" w:hAnsi="宋体" w:cs="宋体"/>
          <w:color w:val="auto"/>
          <w:highlight w:val="none"/>
          <w:u w:val="none"/>
        </w:rPr>
        <w:t>）技术标准和要求；</w:t>
      </w:r>
    </w:p>
    <w:p w14:paraId="67F43540">
      <w:pPr>
        <w:autoSpaceDE w:val="0"/>
        <w:autoSpaceDN w:val="0"/>
        <w:adjustRightInd w:val="0"/>
        <w:spacing w:line="360" w:lineRule="auto"/>
        <w:ind w:firstLine="420" w:firstLineChars="200"/>
        <w:jc w:val="left"/>
        <w:rPr>
          <w:color w:val="auto"/>
          <w:highlight w:val="none"/>
          <w:u w:val="none"/>
        </w:rPr>
      </w:pPr>
      <w:r>
        <w:rPr>
          <w:rFonts w:hint="eastAsia" w:hAnsi="宋体" w:cs="宋体"/>
          <w:color w:val="auto"/>
          <w:highlight w:val="none"/>
          <w:u w:val="none"/>
        </w:rPr>
        <w:t>（</w:t>
      </w:r>
      <w:r>
        <w:rPr>
          <w:color w:val="auto"/>
          <w:highlight w:val="none"/>
          <w:u w:val="none"/>
        </w:rPr>
        <w:t>6</w:t>
      </w:r>
      <w:r>
        <w:rPr>
          <w:rFonts w:hint="eastAsia" w:hAnsi="宋体" w:cs="宋体"/>
          <w:color w:val="auto"/>
          <w:highlight w:val="none"/>
          <w:u w:val="none"/>
        </w:rPr>
        <w:t>）图纸；</w:t>
      </w:r>
    </w:p>
    <w:p w14:paraId="609684AC">
      <w:pPr>
        <w:autoSpaceDE w:val="0"/>
        <w:autoSpaceDN w:val="0"/>
        <w:adjustRightInd w:val="0"/>
        <w:spacing w:line="360" w:lineRule="auto"/>
        <w:ind w:firstLine="420" w:firstLineChars="200"/>
        <w:jc w:val="left"/>
        <w:rPr>
          <w:color w:val="auto"/>
          <w:highlight w:val="none"/>
          <w:u w:val="none"/>
        </w:rPr>
      </w:pPr>
      <w:r>
        <w:rPr>
          <w:rFonts w:hint="eastAsia" w:hAnsi="宋体" w:cs="宋体"/>
          <w:color w:val="auto"/>
          <w:highlight w:val="none"/>
          <w:u w:val="none"/>
        </w:rPr>
        <w:t>（</w:t>
      </w:r>
      <w:r>
        <w:rPr>
          <w:color w:val="auto"/>
          <w:highlight w:val="none"/>
          <w:u w:val="none"/>
        </w:rPr>
        <w:t>7</w:t>
      </w:r>
      <w:r>
        <w:rPr>
          <w:rFonts w:hint="eastAsia" w:hAnsi="宋体" w:cs="宋体"/>
          <w:color w:val="auto"/>
          <w:highlight w:val="none"/>
          <w:u w:val="none"/>
        </w:rPr>
        <w:t>）已标价工程量清单；</w:t>
      </w:r>
    </w:p>
    <w:p w14:paraId="0FFDBAC2">
      <w:pPr>
        <w:autoSpaceDE w:val="0"/>
        <w:autoSpaceDN w:val="0"/>
        <w:adjustRightInd w:val="0"/>
        <w:spacing w:line="360" w:lineRule="auto"/>
        <w:ind w:firstLine="420" w:firstLineChars="200"/>
        <w:jc w:val="left"/>
        <w:rPr>
          <w:color w:val="auto"/>
          <w:highlight w:val="none"/>
        </w:rPr>
      </w:pPr>
      <w:r>
        <w:rPr>
          <w:rFonts w:hint="eastAsia" w:hAnsi="宋体" w:cs="宋体"/>
          <w:color w:val="auto"/>
          <w:highlight w:val="none"/>
        </w:rPr>
        <w:t>（</w:t>
      </w:r>
      <w:r>
        <w:rPr>
          <w:color w:val="auto"/>
          <w:highlight w:val="none"/>
        </w:rPr>
        <w:t>8</w:t>
      </w:r>
      <w:r>
        <w:rPr>
          <w:rFonts w:hint="eastAsia" w:hAnsi="宋体" w:cs="宋体"/>
          <w:color w:val="auto"/>
          <w:highlight w:val="none"/>
        </w:rPr>
        <w:t>）其他合同文件：</w:t>
      </w:r>
    </w:p>
    <w:p w14:paraId="46DD0B0E">
      <w:pPr>
        <w:autoSpaceDE w:val="0"/>
        <w:autoSpaceDN w:val="0"/>
        <w:adjustRightInd w:val="0"/>
        <w:spacing w:line="360" w:lineRule="auto"/>
        <w:ind w:firstLine="420" w:firstLineChars="200"/>
        <w:jc w:val="left"/>
        <w:rPr>
          <w:rFonts w:hAnsi="宋体"/>
          <w:color w:val="auto"/>
          <w:highlight w:val="none"/>
        </w:rPr>
      </w:pPr>
      <w:r>
        <w:rPr>
          <w:rFonts w:hint="eastAsia" w:hAnsi="宋体" w:cs="宋体"/>
          <w:color w:val="auto"/>
          <w:highlight w:val="none"/>
        </w:rPr>
        <w:t>上述各项合同文件包括合同当事人就该项合同文件所作出的补充和修改，属于同一类内容的文件，应以最新签署的为准（违反招标文件</w:t>
      </w:r>
      <w:r>
        <w:rPr>
          <w:rFonts w:hAnsi="宋体" w:cs="宋体"/>
          <w:color w:val="auto"/>
          <w:highlight w:val="none"/>
        </w:rPr>
        <w:t>实质性内容的约定除外</w:t>
      </w:r>
      <w:r>
        <w:rPr>
          <w:rFonts w:hint="eastAsia" w:hAnsi="宋体" w:cs="宋体"/>
          <w:color w:val="auto"/>
          <w:highlight w:val="none"/>
        </w:rPr>
        <w:t>）。专用合同条款及其附件须经合同当事人签字或盖章。</w:t>
      </w:r>
    </w:p>
    <w:p w14:paraId="47460BAA">
      <w:pPr>
        <w:autoSpaceDE w:val="0"/>
        <w:autoSpaceDN w:val="0"/>
        <w:adjustRightInd w:val="0"/>
        <w:spacing w:line="360" w:lineRule="auto"/>
        <w:ind w:firstLine="422" w:firstLineChars="200"/>
        <w:jc w:val="left"/>
        <w:outlineLvl w:val="0"/>
        <w:rPr>
          <w:b/>
          <w:bCs/>
          <w:color w:val="auto"/>
          <w:highlight w:val="none"/>
        </w:rPr>
      </w:pPr>
      <w:bookmarkStart w:id="152" w:name="_Toc351203487"/>
      <w:bookmarkStart w:id="153" w:name="_Toc1188"/>
      <w:r>
        <w:rPr>
          <w:rFonts w:hint="eastAsia" w:hAnsi="宋体" w:cs="宋体"/>
          <w:b/>
          <w:bCs/>
          <w:color w:val="auto"/>
          <w:highlight w:val="none"/>
        </w:rPr>
        <w:t>七、承诺</w:t>
      </w:r>
      <w:bookmarkEnd w:id="152"/>
      <w:bookmarkEnd w:id="153"/>
    </w:p>
    <w:p w14:paraId="714699DA">
      <w:pPr>
        <w:spacing w:line="360" w:lineRule="auto"/>
        <w:ind w:firstLine="420" w:firstLineChars="200"/>
        <w:rPr>
          <w:color w:val="auto"/>
          <w:highlight w:val="none"/>
        </w:rPr>
      </w:pPr>
      <w:r>
        <w:rPr>
          <w:color w:val="auto"/>
          <w:highlight w:val="none"/>
        </w:rPr>
        <w:t xml:space="preserve">1. </w:t>
      </w:r>
      <w:r>
        <w:rPr>
          <w:rFonts w:hint="eastAsia" w:hAnsi="宋体" w:cs="宋体"/>
          <w:color w:val="auto"/>
          <w:highlight w:val="none"/>
        </w:rPr>
        <w:t>发包人承诺按照法律规定履行项目审批手续、筹集工程建设资金并按照合同约定的期限和方式支付合同价款。</w:t>
      </w:r>
    </w:p>
    <w:p w14:paraId="5CACA3FF">
      <w:pPr>
        <w:spacing w:line="360" w:lineRule="auto"/>
        <w:ind w:firstLine="420" w:firstLineChars="200"/>
        <w:rPr>
          <w:color w:val="auto"/>
          <w:highlight w:val="none"/>
        </w:rPr>
      </w:pPr>
      <w:r>
        <w:rPr>
          <w:color w:val="auto"/>
          <w:highlight w:val="none"/>
        </w:rPr>
        <w:t xml:space="preserve">2. </w:t>
      </w:r>
      <w:r>
        <w:rPr>
          <w:rFonts w:hint="eastAsia" w:hAnsi="宋体" w:cs="宋体"/>
          <w:color w:val="auto"/>
          <w:highlight w:val="none"/>
        </w:rPr>
        <w:t>承包人承诺按照法律规定及合同约定组织完成工程施工，确保工程质量和安全，不进行转包及违法分包，并在缺陷责任期及保修期内承担相应的工程维修责任。</w:t>
      </w:r>
    </w:p>
    <w:p w14:paraId="58886293">
      <w:pPr>
        <w:spacing w:line="360" w:lineRule="auto"/>
        <w:ind w:firstLine="420" w:firstLineChars="200"/>
        <w:rPr>
          <w:rFonts w:hAnsi="宋体"/>
          <w:color w:val="auto"/>
          <w:highlight w:val="none"/>
        </w:rPr>
      </w:pPr>
      <w:r>
        <w:rPr>
          <w:color w:val="auto"/>
          <w:highlight w:val="none"/>
        </w:rPr>
        <w:t xml:space="preserve">3. </w:t>
      </w:r>
      <w:r>
        <w:rPr>
          <w:rFonts w:hint="eastAsia" w:hAnsi="宋体" w:cs="宋体"/>
          <w:color w:val="auto"/>
          <w:highlight w:val="none"/>
        </w:rPr>
        <w:t>发包人和承包人通过招投标形式签订合同的，双方理解并承诺不再就同一工程另行签订与合同实质性内容相背离的协议。</w:t>
      </w:r>
      <w:bookmarkStart w:id="154" w:name="_Toc351203488"/>
    </w:p>
    <w:p w14:paraId="23401616">
      <w:pPr>
        <w:spacing w:line="360" w:lineRule="auto"/>
        <w:ind w:firstLine="422" w:firstLineChars="200"/>
        <w:outlineLvl w:val="0"/>
        <w:rPr>
          <w:b/>
          <w:bCs/>
          <w:color w:val="auto"/>
          <w:highlight w:val="none"/>
        </w:rPr>
      </w:pPr>
      <w:bookmarkStart w:id="155" w:name="_Toc9094"/>
      <w:r>
        <w:rPr>
          <w:rFonts w:hint="eastAsia" w:hAnsi="宋体" w:cs="宋体"/>
          <w:b/>
          <w:bCs/>
          <w:color w:val="auto"/>
          <w:highlight w:val="none"/>
        </w:rPr>
        <w:t>八、词语含义</w:t>
      </w:r>
      <w:bookmarkEnd w:id="154"/>
      <w:bookmarkEnd w:id="155"/>
    </w:p>
    <w:p w14:paraId="7EA10C33">
      <w:pPr>
        <w:spacing w:line="360" w:lineRule="auto"/>
        <w:ind w:firstLine="420" w:firstLineChars="200"/>
        <w:rPr>
          <w:rFonts w:hAnsi="宋体"/>
          <w:color w:val="auto"/>
          <w:highlight w:val="none"/>
        </w:rPr>
      </w:pPr>
      <w:r>
        <w:rPr>
          <w:rFonts w:hint="eastAsia" w:hAnsi="宋体" w:cs="宋体"/>
          <w:color w:val="auto"/>
          <w:highlight w:val="none"/>
        </w:rPr>
        <w:t>本协议书中词语含义与第二部分通用合同条款中赋予的含义相同。</w:t>
      </w:r>
    </w:p>
    <w:p w14:paraId="3443B2BD">
      <w:pPr>
        <w:spacing w:line="360" w:lineRule="auto"/>
        <w:ind w:firstLine="422" w:firstLineChars="200"/>
        <w:outlineLvl w:val="0"/>
        <w:rPr>
          <w:b/>
          <w:bCs/>
          <w:color w:val="auto"/>
          <w:highlight w:val="none"/>
        </w:rPr>
      </w:pPr>
      <w:bookmarkStart w:id="156" w:name="_Toc351203489"/>
      <w:bookmarkStart w:id="157" w:name="_Toc28560"/>
      <w:r>
        <w:rPr>
          <w:rFonts w:hint="eastAsia" w:hAnsi="宋体" w:cs="宋体"/>
          <w:b/>
          <w:bCs/>
          <w:color w:val="auto"/>
          <w:highlight w:val="none"/>
        </w:rPr>
        <w:t>九、签订时间</w:t>
      </w:r>
      <w:bookmarkEnd w:id="156"/>
      <w:bookmarkEnd w:id="157"/>
    </w:p>
    <w:p w14:paraId="4356EAC4">
      <w:pPr>
        <w:spacing w:line="360" w:lineRule="auto"/>
        <w:ind w:firstLine="420" w:firstLineChars="200"/>
        <w:rPr>
          <w:rFonts w:hAnsi="宋体"/>
          <w:color w:val="auto"/>
          <w:highlight w:val="none"/>
        </w:rPr>
      </w:pPr>
      <w:r>
        <w:rPr>
          <w:rFonts w:hint="eastAsia" w:hAnsi="宋体" w:cs="宋体"/>
          <w:color w:val="auto"/>
          <w:highlight w:val="none"/>
        </w:rPr>
        <w:t>本合同于</w:t>
      </w:r>
      <w:r>
        <w:rPr>
          <w:color w:val="auto"/>
          <w:highlight w:val="none"/>
          <w:u w:val="single"/>
        </w:rPr>
        <w:t xml:space="preserve">  </w:t>
      </w:r>
      <w:r>
        <w:rPr>
          <w:rFonts w:hint="eastAsia"/>
          <w:color w:val="auto"/>
          <w:highlight w:val="none"/>
          <w:u w:val="single"/>
          <w:lang w:val="en-US" w:eastAsia="zh-CN"/>
        </w:rPr>
        <w:t>2025</w:t>
      </w:r>
      <w:r>
        <w:rPr>
          <w:color w:val="auto"/>
          <w:highlight w:val="none"/>
          <w:u w:val="single"/>
        </w:rPr>
        <w:t xml:space="preserve">  </w:t>
      </w:r>
      <w:r>
        <w:rPr>
          <w:rFonts w:hint="eastAsia" w:hAnsi="宋体" w:cs="宋体"/>
          <w:color w:val="auto"/>
          <w:highlight w:val="none"/>
        </w:rPr>
        <w:t>年</w:t>
      </w:r>
      <w:r>
        <w:rPr>
          <w:color w:val="auto"/>
          <w:highlight w:val="none"/>
          <w:u w:val="single"/>
        </w:rPr>
        <w:t xml:space="preserve">    </w:t>
      </w:r>
      <w:r>
        <w:rPr>
          <w:rFonts w:hint="eastAsia" w:hAnsi="宋体" w:cs="宋体"/>
          <w:color w:val="auto"/>
          <w:highlight w:val="none"/>
        </w:rPr>
        <w:t>月</w:t>
      </w:r>
      <w:r>
        <w:rPr>
          <w:color w:val="auto"/>
          <w:highlight w:val="none"/>
          <w:u w:val="single"/>
        </w:rPr>
        <w:t xml:space="preserve">    </w:t>
      </w:r>
      <w:r>
        <w:rPr>
          <w:rFonts w:hint="eastAsia" w:hAnsi="宋体" w:cs="宋体"/>
          <w:color w:val="auto"/>
          <w:highlight w:val="none"/>
        </w:rPr>
        <w:t>日签订。</w:t>
      </w:r>
    </w:p>
    <w:p w14:paraId="3C239B1C">
      <w:pPr>
        <w:spacing w:line="360" w:lineRule="auto"/>
        <w:ind w:firstLine="422" w:firstLineChars="200"/>
        <w:outlineLvl w:val="0"/>
        <w:rPr>
          <w:b/>
          <w:bCs/>
          <w:color w:val="auto"/>
          <w:highlight w:val="none"/>
        </w:rPr>
      </w:pPr>
      <w:bookmarkStart w:id="158" w:name="_Toc32210"/>
      <w:bookmarkStart w:id="159" w:name="_Toc351203490"/>
      <w:r>
        <w:rPr>
          <w:rFonts w:hint="eastAsia" w:hAnsi="宋体" w:cs="宋体"/>
          <w:b/>
          <w:bCs/>
          <w:color w:val="auto"/>
          <w:highlight w:val="none"/>
        </w:rPr>
        <w:t>十、签订地点</w:t>
      </w:r>
      <w:bookmarkEnd w:id="158"/>
      <w:bookmarkEnd w:id="159"/>
    </w:p>
    <w:p w14:paraId="72957E01">
      <w:pPr>
        <w:spacing w:line="360" w:lineRule="auto"/>
        <w:ind w:firstLine="420" w:firstLineChars="200"/>
        <w:rPr>
          <w:rFonts w:hAnsi="宋体"/>
          <w:color w:val="auto"/>
          <w:highlight w:val="none"/>
        </w:rPr>
      </w:pPr>
      <w:r>
        <w:rPr>
          <w:rFonts w:hint="eastAsia" w:hAnsi="宋体" w:cs="宋体"/>
          <w:color w:val="auto"/>
          <w:highlight w:val="none"/>
        </w:rPr>
        <w:t>本合同在</w:t>
      </w:r>
      <w:r>
        <w:rPr>
          <w:color w:val="auto"/>
          <w:highlight w:val="none"/>
          <w:u w:val="single"/>
        </w:rPr>
        <w:t xml:space="preserve"> </w:t>
      </w:r>
      <w:r>
        <w:rPr>
          <w:rFonts w:hint="eastAsia"/>
          <w:color w:val="auto"/>
          <w:highlight w:val="none"/>
          <w:u w:val="single"/>
          <w:lang w:val="en-US" w:eastAsia="zh-CN"/>
        </w:rPr>
        <w:t>南宁市苏圩镇</w:t>
      </w:r>
      <w:r>
        <w:rPr>
          <w:color w:val="auto"/>
          <w:highlight w:val="none"/>
          <w:u w:val="single"/>
        </w:rPr>
        <w:t xml:space="preserve"> </w:t>
      </w:r>
      <w:r>
        <w:rPr>
          <w:rFonts w:hint="eastAsia" w:hAnsi="宋体" w:cs="宋体"/>
          <w:color w:val="auto"/>
          <w:highlight w:val="none"/>
        </w:rPr>
        <w:t>签订。</w:t>
      </w:r>
    </w:p>
    <w:p w14:paraId="212CC004">
      <w:pPr>
        <w:spacing w:line="360" w:lineRule="auto"/>
        <w:ind w:firstLine="422" w:firstLineChars="200"/>
        <w:outlineLvl w:val="0"/>
        <w:rPr>
          <w:b/>
          <w:bCs/>
          <w:color w:val="auto"/>
          <w:highlight w:val="none"/>
        </w:rPr>
      </w:pPr>
      <w:bookmarkStart w:id="160" w:name="_Toc30365"/>
      <w:bookmarkStart w:id="161" w:name="_Toc351203491"/>
      <w:r>
        <w:rPr>
          <w:rFonts w:hint="eastAsia" w:hAnsi="宋体" w:cs="宋体"/>
          <w:b/>
          <w:bCs/>
          <w:color w:val="auto"/>
          <w:highlight w:val="none"/>
        </w:rPr>
        <w:t>十一、补充协议</w:t>
      </w:r>
      <w:bookmarkEnd w:id="160"/>
      <w:bookmarkEnd w:id="161"/>
    </w:p>
    <w:p w14:paraId="158AB0F3">
      <w:pPr>
        <w:spacing w:line="360" w:lineRule="auto"/>
        <w:ind w:firstLine="420" w:firstLineChars="200"/>
        <w:rPr>
          <w:rFonts w:hAnsi="宋体"/>
          <w:color w:val="auto"/>
          <w:highlight w:val="none"/>
        </w:rPr>
      </w:pPr>
      <w:r>
        <w:rPr>
          <w:rFonts w:hint="eastAsia" w:hAnsi="宋体" w:cs="宋体"/>
          <w:color w:val="auto"/>
          <w:highlight w:val="none"/>
        </w:rPr>
        <w:t>合同未尽事宜，合同当事人另行签订补充协议，补充协议是合同的组成部分。</w:t>
      </w:r>
    </w:p>
    <w:p w14:paraId="20A8CF21">
      <w:pPr>
        <w:spacing w:line="360" w:lineRule="auto"/>
        <w:ind w:firstLine="422" w:firstLineChars="200"/>
        <w:outlineLvl w:val="0"/>
        <w:rPr>
          <w:b/>
          <w:bCs/>
          <w:color w:val="auto"/>
          <w:highlight w:val="none"/>
        </w:rPr>
      </w:pPr>
      <w:bookmarkStart w:id="162" w:name="_Toc351203492"/>
      <w:bookmarkStart w:id="163" w:name="_Toc29044"/>
      <w:r>
        <w:rPr>
          <w:rFonts w:hint="eastAsia" w:hAnsi="宋体" w:cs="宋体"/>
          <w:b/>
          <w:bCs/>
          <w:color w:val="auto"/>
          <w:highlight w:val="none"/>
        </w:rPr>
        <w:t>十二、合同生效</w:t>
      </w:r>
      <w:bookmarkEnd w:id="162"/>
      <w:bookmarkEnd w:id="163"/>
    </w:p>
    <w:p w14:paraId="0AB4DAA2">
      <w:pPr>
        <w:spacing w:line="360" w:lineRule="auto"/>
        <w:ind w:firstLine="420" w:firstLineChars="200"/>
        <w:rPr>
          <w:rFonts w:hAnsi="宋体"/>
          <w:color w:val="auto"/>
          <w:highlight w:val="none"/>
        </w:rPr>
      </w:pPr>
      <w:r>
        <w:rPr>
          <w:rFonts w:hint="eastAsia" w:hAnsi="宋体" w:cs="宋体"/>
          <w:color w:val="auto"/>
          <w:highlight w:val="none"/>
        </w:rPr>
        <w:t>本合同自</w:t>
      </w:r>
      <w:r>
        <w:rPr>
          <w:color w:val="auto"/>
          <w:highlight w:val="none"/>
          <w:u w:val="single"/>
        </w:rPr>
        <w:t xml:space="preserve">                                   </w:t>
      </w:r>
      <w:r>
        <w:rPr>
          <w:rFonts w:hint="eastAsia" w:hAnsi="宋体" w:cs="宋体"/>
          <w:color w:val="auto"/>
          <w:highlight w:val="none"/>
        </w:rPr>
        <w:t>生效。</w:t>
      </w:r>
    </w:p>
    <w:p w14:paraId="37C1EFC7">
      <w:pPr>
        <w:spacing w:line="360" w:lineRule="auto"/>
        <w:ind w:firstLine="422" w:firstLineChars="200"/>
        <w:outlineLvl w:val="0"/>
        <w:rPr>
          <w:b/>
          <w:bCs/>
          <w:color w:val="auto"/>
          <w:highlight w:val="none"/>
        </w:rPr>
      </w:pPr>
      <w:bookmarkStart w:id="164" w:name="_Toc8572"/>
      <w:bookmarkStart w:id="165" w:name="_Toc351203493"/>
      <w:r>
        <w:rPr>
          <w:rFonts w:hint="eastAsia" w:hAnsi="宋体" w:cs="宋体"/>
          <w:b/>
          <w:bCs/>
          <w:color w:val="auto"/>
          <w:highlight w:val="none"/>
        </w:rPr>
        <w:t>十三、合同份数</w:t>
      </w:r>
      <w:bookmarkEnd w:id="164"/>
      <w:bookmarkEnd w:id="165"/>
    </w:p>
    <w:p w14:paraId="0035EB9A">
      <w:pPr>
        <w:spacing w:line="360" w:lineRule="auto"/>
        <w:ind w:firstLine="420" w:firstLineChars="200"/>
        <w:rPr>
          <w:color w:val="auto"/>
          <w:highlight w:val="none"/>
        </w:rPr>
      </w:pPr>
      <w:r>
        <w:rPr>
          <w:rFonts w:hint="eastAsia" w:hAnsi="宋体" w:cs="宋体"/>
          <w:color w:val="auto"/>
          <w:highlight w:val="none"/>
        </w:rPr>
        <w:t>本合同一式</w:t>
      </w:r>
      <w:r>
        <w:rPr>
          <w:color w:val="auto"/>
          <w:highlight w:val="none"/>
          <w:u w:val="single"/>
        </w:rPr>
        <w:t xml:space="preserve"> </w:t>
      </w:r>
      <w:r>
        <w:rPr>
          <w:rFonts w:hint="eastAsia"/>
          <w:color w:val="auto"/>
          <w:highlight w:val="none"/>
          <w:u w:val="single"/>
          <w:lang w:val="en-US" w:eastAsia="zh-CN"/>
        </w:rPr>
        <w:t>六</w:t>
      </w:r>
      <w:r>
        <w:rPr>
          <w:color w:val="auto"/>
          <w:highlight w:val="none"/>
          <w:u w:val="single"/>
        </w:rPr>
        <w:t xml:space="preserve"> </w:t>
      </w:r>
      <w:r>
        <w:rPr>
          <w:rFonts w:hint="eastAsia" w:hAnsi="宋体" w:cs="宋体"/>
          <w:color w:val="auto"/>
          <w:highlight w:val="none"/>
        </w:rPr>
        <w:t>份，均具有同等法律效力，发包人执</w:t>
      </w:r>
      <w:r>
        <w:rPr>
          <w:color w:val="auto"/>
          <w:highlight w:val="none"/>
          <w:u w:val="single"/>
        </w:rPr>
        <w:t xml:space="preserve"> </w:t>
      </w:r>
      <w:r>
        <w:rPr>
          <w:rFonts w:hint="eastAsia"/>
          <w:color w:val="auto"/>
          <w:highlight w:val="none"/>
          <w:u w:val="single"/>
          <w:lang w:val="en-US" w:eastAsia="zh-CN"/>
        </w:rPr>
        <w:t>三</w:t>
      </w:r>
      <w:r>
        <w:rPr>
          <w:color w:val="auto"/>
          <w:highlight w:val="none"/>
          <w:u w:val="single"/>
        </w:rPr>
        <w:t xml:space="preserve"> </w:t>
      </w:r>
      <w:r>
        <w:rPr>
          <w:rFonts w:hint="eastAsia" w:hAnsi="宋体" w:cs="宋体"/>
          <w:color w:val="auto"/>
          <w:highlight w:val="none"/>
        </w:rPr>
        <w:t>份，承包人执</w:t>
      </w:r>
      <w:r>
        <w:rPr>
          <w:color w:val="auto"/>
          <w:highlight w:val="none"/>
          <w:u w:val="single"/>
        </w:rPr>
        <w:t xml:space="preserve"> </w:t>
      </w:r>
      <w:r>
        <w:rPr>
          <w:rFonts w:hint="eastAsia"/>
          <w:color w:val="auto"/>
          <w:highlight w:val="none"/>
          <w:u w:val="single"/>
          <w:lang w:val="en-US" w:eastAsia="zh-CN"/>
        </w:rPr>
        <w:t>三</w:t>
      </w:r>
      <w:r>
        <w:rPr>
          <w:color w:val="auto"/>
          <w:highlight w:val="none"/>
          <w:u w:val="single"/>
        </w:rPr>
        <w:t xml:space="preserve"> </w:t>
      </w:r>
      <w:r>
        <w:rPr>
          <w:rFonts w:hint="eastAsia" w:hAnsi="宋体" w:cs="宋体"/>
          <w:color w:val="auto"/>
          <w:highlight w:val="none"/>
        </w:rPr>
        <w:t>份。</w:t>
      </w:r>
    </w:p>
    <w:p w14:paraId="6E872CBA">
      <w:pPr>
        <w:spacing w:line="360" w:lineRule="auto"/>
        <w:rPr>
          <w:color w:val="auto"/>
          <w:highlight w:val="none"/>
        </w:rPr>
      </w:pPr>
    </w:p>
    <w:p w14:paraId="2E81FD13">
      <w:pPr>
        <w:spacing w:line="360" w:lineRule="auto"/>
        <w:rPr>
          <w:color w:val="auto"/>
          <w:highlight w:val="none"/>
        </w:rPr>
      </w:pPr>
    </w:p>
    <w:p w14:paraId="43DCF973">
      <w:pPr>
        <w:keepNext w:val="0"/>
        <w:keepLines w:val="0"/>
        <w:pageBreakBefore w:val="0"/>
        <w:widowControl w:val="0"/>
        <w:kinsoku/>
        <w:wordWrap/>
        <w:overflowPunct/>
        <w:topLinePunct w:val="0"/>
        <w:autoSpaceDE/>
        <w:autoSpaceDN/>
        <w:bidi w:val="0"/>
        <w:adjustRightInd/>
        <w:snapToGrid/>
        <w:spacing w:line="360" w:lineRule="auto"/>
        <w:ind w:left="5040" w:hanging="5040" w:hangingChars="2400"/>
        <w:textAlignment w:val="auto"/>
        <w:rPr>
          <w:rFonts w:hint="eastAsia" w:ascii="宋体" w:hAnsi="宋体" w:eastAsia="宋体" w:cs="宋体"/>
          <w:color w:val="auto"/>
          <w:highlight w:val="none"/>
        </w:rPr>
      </w:pPr>
      <w:r>
        <w:rPr>
          <w:rFonts w:hint="eastAsia" w:ascii="宋体" w:hAnsi="宋体" w:eastAsia="宋体" w:cs="宋体"/>
          <w:color w:val="auto"/>
          <w:highlight w:val="none"/>
        </w:rPr>
        <w:t>发包人：南宁市江南区苏圩镇人民政府（公章）承包人：</w:t>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rPr>
        <w:t>（公章）</w:t>
      </w:r>
    </w:p>
    <w:p w14:paraId="1D4A85D1">
      <w:pPr>
        <w:spacing w:line="360" w:lineRule="auto"/>
        <w:rPr>
          <w:rFonts w:hint="eastAsia" w:ascii="宋体" w:hAnsi="宋体" w:eastAsia="宋体" w:cs="宋体"/>
          <w:color w:val="auto"/>
          <w:highlight w:val="none"/>
          <w:u w:val="single"/>
        </w:rPr>
      </w:pPr>
      <w:r>
        <w:rPr>
          <w:rFonts w:hint="eastAsia" w:ascii="宋体" w:hAnsi="宋体" w:eastAsia="宋体" w:cs="宋体"/>
          <w:color w:val="auto"/>
          <w:highlight w:val="none"/>
        </w:rPr>
        <w:t xml:space="preserve">                                 </w:t>
      </w:r>
    </w:p>
    <w:p w14:paraId="42432B69">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法定代表人或其委托代理人：                法定代表人或其委托代理人：</w:t>
      </w:r>
    </w:p>
    <w:p w14:paraId="41813931">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（签字）                                  （签字）</w:t>
      </w:r>
    </w:p>
    <w:p w14:paraId="46C756A1">
      <w:pPr>
        <w:tabs>
          <w:tab w:val="left" w:pos="4410"/>
        </w:tabs>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统一社会信用代码：</w:t>
      </w:r>
      <w:r>
        <w:rPr>
          <w:rFonts w:hint="eastAsia" w:ascii="宋体" w:hAnsi="宋体" w:eastAsia="宋体" w:cs="宋体"/>
          <w:color w:val="auto"/>
          <w:highlight w:val="none"/>
          <w:u w:val="single"/>
        </w:rPr>
        <w:t>11450105007595393E</w:t>
      </w:r>
      <w:r>
        <w:rPr>
          <w:rFonts w:hint="eastAsia" w:ascii="宋体" w:hAnsi="宋体" w:eastAsia="宋体" w:cs="宋体"/>
          <w:color w:val="auto"/>
          <w:highlight w:val="none"/>
        </w:rPr>
        <w:t xml:space="preserve">      统一社会信用代码：</w:t>
      </w:r>
      <w:r>
        <w:rPr>
          <w:rFonts w:hint="eastAsia" w:ascii="宋体" w:hAnsi="宋体" w:cs="宋体"/>
          <w:color w:val="auto"/>
          <w:highlight w:val="none"/>
          <w:u w:val="single"/>
          <w:lang w:val="en-US"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cs="宋体"/>
          <w:color w:val="auto"/>
          <w:highlight w:val="none"/>
          <w:u w:val="single"/>
          <w:lang w:val="en-US"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rPr>
        <w:t xml:space="preserve"> </w:t>
      </w:r>
    </w:p>
    <w:p w14:paraId="3EC7BBDC">
      <w:pPr>
        <w:keepNext w:val="0"/>
        <w:keepLines w:val="0"/>
        <w:pageBreakBefore w:val="0"/>
        <w:widowControl w:val="0"/>
        <w:kinsoku/>
        <w:wordWrap/>
        <w:overflowPunct/>
        <w:topLinePunct w:val="0"/>
        <w:autoSpaceDE/>
        <w:autoSpaceDN/>
        <w:bidi w:val="0"/>
        <w:adjustRightInd/>
        <w:snapToGrid/>
        <w:spacing w:line="360" w:lineRule="auto"/>
        <w:ind w:left="5250" w:hanging="5250" w:hangingChars="2500"/>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地  址：</w:t>
      </w:r>
      <w:r>
        <w:rPr>
          <w:rFonts w:hint="eastAsia" w:ascii="宋体" w:hAnsi="宋体" w:eastAsia="宋体" w:cs="宋体"/>
          <w:color w:val="auto"/>
          <w:highlight w:val="none"/>
          <w:u w:val="single"/>
        </w:rPr>
        <w:t>南宁市江南区苏圩镇团结路8号</w:t>
      </w:r>
      <w:r>
        <w:rPr>
          <w:rFonts w:hint="eastAsia" w:ascii="宋体" w:hAnsi="宋体" w:eastAsia="宋体" w:cs="宋体"/>
          <w:color w:val="auto"/>
          <w:highlight w:val="none"/>
        </w:rPr>
        <w:t xml:space="preserve">      地  址：</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cs="宋体"/>
          <w:color w:val="auto"/>
          <w:highlight w:val="none"/>
          <w:u w:val="single"/>
          <w:lang w:val="en-US"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p>
    <w:p w14:paraId="5350C225">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邮政编码：</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530000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邮政编码：</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p>
    <w:p w14:paraId="443876D6">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法定代表人：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韦艳玲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法定代表人：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p>
    <w:p w14:paraId="1212C51C">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委托代理人：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委托代理人：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p>
    <w:p w14:paraId="22EA62D4">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电  话：</w:t>
      </w:r>
      <w:r>
        <w:rPr>
          <w:rFonts w:hint="eastAsia" w:ascii="宋体" w:hAnsi="宋体" w:eastAsia="宋体" w:cs="宋体"/>
          <w:color w:val="auto"/>
          <w:highlight w:val="none"/>
          <w:u w:val="single"/>
        </w:rPr>
        <w:t xml:space="preserve">        0771-4811887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电  话：</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p>
    <w:p w14:paraId="6CAAB8D3">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传  真：</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传  真：</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p>
    <w:p w14:paraId="143ECA8B">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电子信箱：</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电子信箱：</w:t>
      </w:r>
      <w:r>
        <w:rPr>
          <w:rFonts w:hint="eastAsia" w:ascii="宋体" w:hAnsi="宋体" w:eastAsia="宋体" w:cs="宋体"/>
          <w:color w:val="auto"/>
          <w:highlight w:val="none"/>
          <w:u w:val="single"/>
        </w:rPr>
        <w:t xml:space="preserve">              </w:t>
      </w:r>
      <w:r>
        <w:rPr>
          <w:rFonts w:hint="eastAsia" w:ascii="宋体" w:hAnsi="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cs="宋体"/>
          <w:color w:val="auto"/>
          <w:highlight w:val="none"/>
          <w:u w:val="single"/>
          <w:lang w:val="en-US"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p>
    <w:p w14:paraId="7D975CC7">
      <w:pPr>
        <w:keepNext w:val="0"/>
        <w:keepLines w:val="0"/>
        <w:pageBreakBefore w:val="0"/>
        <w:widowControl w:val="0"/>
        <w:kinsoku/>
        <w:wordWrap/>
        <w:overflowPunct/>
        <w:topLinePunct w:val="0"/>
        <w:autoSpaceDE/>
        <w:autoSpaceDN/>
        <w:bidi w:val="0"/>
        <w:adjustRightInd/>
        <w:snapToGrid/>
        <w:spacing w:line="360" w:lineRule="auto"/>
        <w:ind w:left="5460" w:hanging="5460" w:hangingChars="2600"/>
        <w:textAlignment w:val="auto"/>
        <w:rPr>
          <w:rFonts w:hint="eastAsia" w:ascii="宋体" w:hAnsi="宋体" w:eastAsia="宋体" w:cs="宋体"/>
          <w:color w:val="auto"/>
          <w:highlight w:val="none"/>
        </w:rPr>
      </w:pPr>
      <w:r>
        <w:rPr>
          <w:rFonts w:hint="eastAsia" w:ascii="宋体" w:hAnsi="宋体" w:eastAsia="宋体" w:cs="宋体"/>
          <w:color w:val="auto"/>
          <w:highlight w:val="none"/>
        </w:rPr>
        <w:t>开户银行：</w:t>
      </w:r>
      <w:r>
        <w:rPr>
          <w:rFonts w:hint="eastAsia" w:ascii="宋体" w:hAnsi="宋体" w:eastAsia="宋体" w:cs="宋体"/>
          <w:color w:val="auto"/>
          <w:highlight w:val="none"/>
          <w:u w:val="single"/>
        </w:rPr>
        <w:t xml:space="preserve">         </w:t>
      </w:r>
      <w:r>
        <w:rPr>
          <w:rFonts w:hint="eastAsia" w:ascii="宋体" w:hAnsi="宋体" w:cs="宋体"/>
          <w:color w:val="auto"/>
          <w:highlight w:val="none"/>
          <w:u w:val="single"/>
          <w:lang w:val="en-US" w:eastAsia="zh-CN"/>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开户银行：</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cs="宋体"/>
          <w:color w:val="auto"/>
          <w:highlight w:val="none"/>
          <w:u w:val="single"/>
          <w:lang w:val="en-US"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p>
    <w:p w14:paraId="655E7AD9">
      <w:pPr>
        <w:rPr>
          <w:rFonts w:hint="eastAsia" w:ascii="宋体" w:hAnsi="宋体" w:eastAsia="宋体" w:cs="宋体"/>
          <w:color w:val="auto"/>
          <w:highlight w:val="none"/>
          <w:u w:val="single"/>
        </w:rPr>
      </w:pPr>
      <w:r>
        <w:rPr>
          <w:rFonts w:hint="eastAsia" w:ascii="宋体" w:hAnsi="宋体" w:eastAsia="宋体" w:cs="宋体"/>
          <w:color w:val="auto"/>
          <w:highlight w:val="none"/>
        </w:rPr>
        <w:t>账  号：</w:t>
      </w:r>
      <w:r>
        <w:rPr>
          <w:rFonts w:hint="eastAsia" w:ascii="宋体" w:hAnsi="宋体" w:eastAsia="宋体" w:cs="宋体"/>
          <w:color w:val="auto"/>
          <w:highlight w:val="none"/>
          <w:u w:val="single"/>
        </w:rPr>
        <w:t xml:space="preserve">           </w:t>
      </w:r>
      <w:r>
        <w:rPr>
          <w:rFonts w:hint="eastAsia" w:ascii="宋体" w:hAnsi="宋体" w:cs="宋体"/>
          <w:color w:val="auto"/>
          <w:highlight w:val="none"/>
          <w:u w:val="single"/>
          <w:lang w:val="en-US" w:eastAsia="zh-CN"/>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账  号：</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cs="宋体"/>
          <w:color w:val="auto"/>
          <w:highlight w:val="none"/>
          <w:u w:val="single"/>
          <w:lang w:val="en-US"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cs="宋体"/>
          <w:color w:val="auto"/>
          <w:highlight w:val="none"/>
          <w:u w:val="single"/>
          <w:lang w:val="en-US"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p>
    <w:p w14:paraId="60C60752">
      <w:pPr>
        <w:pStyle w:val="2"/>
        <w:spacing w:before="0" w:after="0" w:line="240" w:lineRule="auto"/>
        <w:jc w:val="center"/>
        <w:rPr>
          <w:rFonts w:hint="eastAsia" w:ascii="宋体" w:hAnsi="宋体" w:eastAsia="宋体" w:cs="宋体"/>
          <w:b w:val="0"/>
          <w:bCs w:val="0"/>
          <w:color w:val="auto"/>
          <w:highlight w:val="none"/>
        </w:rPr>
      </w:pPr>
    </w:p>
    <w:p w14:paraId="4A7AA9C1">
      <w:pPr>
        <w:rPr>
          <w:rFonts w:hint="eastAsia" w:ascii="宋体" w:hAnsi="宋体" w:eastAsia="宋体" w:cs="宋体"/>
          <w:b w:val="0"/>
          <w:bCs w:val="0"/>
          <w:color w:val="auto"/>
          <w:highlight w:val="none"/>
        </w:rPr>
      </w:pPr>
    </w:p>
    <w:p w14:paraId="2CD29A29">
      <w:pPr>
        <w:rPr>
          <w:rFonts w:hint="eastAsia" w:ascii="宋体" w:hAnsi="宋体" w:eastAsia="宋体" w:cs="宋体"/>
          <w:b w:val="0"/>
          <w:bCs w:val="0"/>
          <w:color w:val="auto"/>
          <w:highlight w:val="none"/>
        </w:rPr>
      </w:pPr>
    </w:p>
    <w:p w14:paraId="5C33B582">
      <w:pPr>
        <w:rPr>
          <w:rFonts w:hint="eastAsia" w:ascii="宋体" w:hAnsi="宋体" w:eastAsia="宋体" w:cs="宋体"/>
          <w:b w:val="0"/>
          <w:bCs w:val="0"/>
          <w:color w:val="auto"/>
          <w:highlight w:val="none"/>
        </w:rPr>
      </w:pPr>
    </w:p>
    <w:p w14:paraId="16BF7B69">
      <w:pPr>
        <w:rPr>
          <w:rFonts w:hint="eastAsia" w:ascii="宋体" w:hAnsi="宋体" w:eastAsia="宋体" w:cs="宋体"/>
          <w:b w:val="0"/>
          <w:bCs w:val="0"/>
          <w:color w:val="auto"/>
          <w:highlight w:val="none"/>
        </w:rPr>
      </w:pPr>
    </w:p>
    <w:p w14:paraId="652B22F4">
      <w:pPr>
        <w:rPr>
          <w:rFonts w:hint="eastAsia" w:ascii="宋体" w:hAnsi="宋体" w:eastAsia="宋体" w:cs="宋体"/>
          <w:b w:val="0"/>
          <w:bCs w:val="0"/>
          <w:color w:val="auto"/>
          <w:highlight w:val="none"/>
        </w:rPr>
      </w:pPr>
    </w:p>
    <w:p w14:paraId="1EBEED64">
      <w:pPr>
        <w:rPr>
          <w:rFonts w:hint="eastAsia" w:ascii="宋体" w:hAnsi="宋体" w:eastAsia="宋体" w:cs="宋体"/>
          <w:b w:val="0"/>
          <w:bCs w:val="0"/>
          <w:color w:val="auto"/>
          <w:highlight w:val="none"/>
        </w:rPr>
      </w:pPr>
    </w:p>
    <w:p w14:paraId="3E4EF9B6">
      <w:pPr>
        <w:rPr>
          <w:rFonts w:hint="eastAsia" w:ascii="宋体" w:hAnsi="宋体" w:eastAsia="宋体" w:cs="宋体"/>
          <w:b w:val="0"/>
          <w:bCs w:val="0"/>
          <w:color w:val="auto"/>
          <w:highlight w:val="none"/>
        </w:rPr>
      </w:pPr>
    </w:p>
    <w:p w14:paraId="1F967999">
      <w:pPr>
        <w:rPr>
          <w:rFonts w:hint="eastAsia" w:ascii="宋体" w:hAnsi="宋体" w:eastAsia="宋体" w:cs="宋体"/>
          <w:b w:val="0"/>
          <w:bCs w:val="0"/>
          <w:color w:val="auto"/>
          <w:highlight w:val="none"/>
        </w:rPr>
      </w:pPr>
    </w:p>
    <w:p w14:paraId="6B0977FD">
      <w:pPr>
        <w:rPr>
          <w:rFonts w:hint="eastAsia" w:ascii="宋体" w:hAnsi="宋体" w:eastAsia="宋体" w:cs="宋体"/>
          <w:b w:val="0"/>
          <w:bCs w:val="0"/>
          <w:color w:val="auto"/>
          <w:highlight w:val="none"/>
        </w:rPr>
      </w:pPr>
    </w:p>
    <w:p w14:paraId="11F21706">
      <w:pPr>
        <w:rPr>
          <w:rFonts w:hint="eastAsia" w:ascii="宋体" w:hAnsi="宋体" w:eastAsia="宋体" w:cs="宋体"/>
          <w:b w:val="0"/>
          <w:bCs w:val="0"/>
          <w:color w:val="auto"/>
          <w:highlight w:val="none"/>
        </w:rPr>
      </w:pPr>
    </w:p>
    <w:p w14:paraId="23A3915C">
      <w:pPr>
        <w:rPr>
          <w:rFonts w:hint="eastAsia" w:ascii="宋体" w:hAnsi="宋体" w:eastAsia="宋体" w:cs="宋体"/>
          <w:b w:val="0"/>
          <w:bCs w:val="0"/>
          <w:color w:val="auto"/>
          <w:highlight w:val="none"/>
        </w:rPr>
      </w:pPr>
    </w:p>
    <w:p w14:paraId="6739E157">
      <w:pPr>
        <w:rPr>
          <w:rFonts w:hint="eastAsia" w:ascii="宋体" w:hAnsi="宋体" w:eastAsia="宋体" w:cs="宋体"/>
          <w:b w:val="0"/>
          <w:bCs w:val="0"/>
          <w:color w:val="auto"/>
          <w:highlight w:val="none"/>
        </w:rPr>
      </w:pPr>
    </w:p>
    <w:p w14:paraId="0859BD7E">
      <w:pPr>
        <w:rPr>
          <w:rFonts w:hint="eastAsia" w:ascii="宋体" w:hAnsi="宋体" w:eastAsia="宋体" w:cs="宋体"/>
          <w:b w:val="0"/>
          <w:bCs w:val="0"/>
          <w:color w:val="auto"/>
          <w:highlight w:val="none"/>
        </w:rPr>
      </w:pPr>
    </w:p>
    <w:p w14:paraId="49AE8A57">
      <w:pPr>
        <w:rPr>
          <w:rFonts w:hint="eastAsia" w:ascii="宋体" w:hAnsi="宋体" w:eastAsia="宋体" w:cs="宋体"/>
          <w:b w:val="0"/>
          <w:bCs w:val="0"/>
          <w:color w:val="auto"/>
          <w:highlight w:val="none"/>
        </w:rPr>
      </w:pPr>
    </w:p>
    <w:p w14:paraId="1360A6FF">
      <w:pPr>
        <w:rPr>
          <w:rFonts w:hint="eastAsia" w:ascii="宋体" w:hAnsi="宋体" w:eastAsia="宋体" w:cs="宋体"/>
          <w:b w:val="0"/>
          <w:bCs w:val="0"/>
          <w:color w:val="auto"/>
          <w:highlight w:val="none"/>
        </w:rPr>
      </w:pPr>
    </w:p>
    <w:p w14:paraId="659CC500">
      <w:pPr>
        <w:rPr>
          <w:rFonts w:hint="eastAsia" w:ascii="宋体" w:hAnsi="宋体" w:eastAsia="宋体" w:cs="宋体"/>
          <w:b w:val="0"/>
          <w:bCs w:val="0"/>
          <w:color w:val="auto"/>
          <w:highlight w:val="none"/>
        </w:rPr>
      </w:pPr>
    </w:p>
    <w:p w14:paraId="71AB546D">
      <w:pPr>
        <w:rPr>
          <w:rFonts w:hint="eastAsia" w:ascii="宋体" w:hAnsi="宋体" w:eastAsia="宋体" w:cs="宋体"/>
          <w:b w:val="0"/>
          <w:bCs w:val="0"/>
          <w:color w:val="auto"/>
          <w:highlight w:val="none"/>
        </w:rPr>
      </w:pPr>
    </w:p>
    <w:p w14:paraId="64C2FEDF">
      <w:pPr>
        <w:rPr>
          <w:rFonts w:hint="eastAsia" w:ascii="宋体" w:hAnsi="宋体" w:eastAsia="宋体" w:cs="宋体"/>
          <w:b w:val="0"/>
          <w:bCs w:val="0"/>
          <w:color w:val="auto"/>
          <w:highlight w:val="none"/>
        </w:rPr>
      </w:pPr>
    </w:p>
    <w:p w14:paraId="260EF7E2">
      <w:pPr>
        <w:rPr>
          <w:rFonts w:hint="eastAsia" w:ascii="宋体" w:hAnsi="宋体" w:eastAsia="宋体" w:cs="宋体"/>
          <w:b w:val="0"/>
          <w:bCs w:val="0"/>
          <w:color w:val="auto"/>
          <w:highlight w:val="none"/>
        </w:rPr>
      </w:pPr>
    </w:p>
    <w:p w14:paraId="302F53EF">
      <w:pPr>
        <w:rPr>
          <w:rFonts w:hint="eastAsia" w:ascii="宋体" w:hAnsi="宋体" w:eastAsia="宋体" w:cs="宋体"/>
          <w:b w:val="0"/>
          <w:bCs w:val="0"/>
          <w:color w:val="auto"/>
          <w:highlight w:val="none"/>
        </w:rPr>
      </w:pPr>
    </w:p>
    <w:p w14:paraId="1780EBF7">
      <w:pPr>
        <w:pStyle w:val="2"/>
        <w:jc w:val="center"/>
        <w:rPr>
          <w:color w:val="auto"/>
          <w:highlight w:val="none"/>
        </w:rPr>
      </w:pPr>
      <w:bookmarkStart w:id="166" w:name="_Toc389065256"/>
      <w:bookmarkStart w:id="167" w:name="_Toc32557"/>
      <w:bookmarkStart w:id="168" w:name="_Toc1714491818"/>
      <w:bookmarkStart w:id="169" w:name="_Toc86847323"/>
      <w:bookmarkStart w:id="170" w:name="_Toc78449778"/>
      <w:bookmarkStart w:id="171" w:name="_Toc407135192"/>
      <w:bookmarkStart w:id="172" w:name="_Toc351203632"/>
      <w:bookmarkStart w:id="173" w:name="_Toc373478338"/>
      <w:bookmarkStart w:id="174" w:name="_Toc373227691"/>
      <w:r>
        <w:rPr>
          <w:rFonts w:hint="eastAsia" w:cs="黑体"/>
          <w:color w:val="auto"/>
          <w:highlight w:val="none"/>
        </w:rPr>
        <w:t>第二部分</w:t>
      </w:r>
      <w:r>
        <w:rPr>
          <w:color w:val="auto"/>
          <w:highlight w:val="none"/>
        </w:rPr>
        <w:t xml:space="preserve"> </w:t>
      </w:r>
      <w:r>
        <w:rPr>
          <w:rFonts w:hint="eastAsia" w:cs="黑体"/>
          <w:color w:val="auto"/>
          <w:highlight w:val="none"/>
        </w:rPr>
        <w:t>通用合同条款</w:t>
      </w:r>
      <w:bookmarkEnd w:id="166"/>
      <w:bookmarkEnd w:id="167"/>
      <w:bookmarkEnd w:id="168"/>
      <w:bookmarkEnd w:id="169"/>
      <w:bookmarkEnd w:id="170"/>
      <w:bookmarkEnd w:id="171"/>
    </w:p>
    <w:p w14:paraId="539BBB15">
      <w:pPr>
        <w:spacing w:line="360" w:lineRule="auto"/>
        <w:ind w:firstLine="420" w:firstLineChars="200"/>
        <w:rPr>
          <w:rFonts w:hAnsi="宋体"/>
          <w:color w:val="auto"/>
          <w:kern w:val="0"/>
          <w:highlight w:val="none"/>
        </w:rPr>
      </w:pPr>
    </w:p>
    <w:p w14:paraId="511A9F69">
      <w:pPr>
        <w:spacing w:line="360" w:lineRule="auto"/>
        <w:ind w:firstLine="422" w:firstLineChars="200"/>
        <w:jc w:val="center"/>
        <w:rPr>
          <w:rFonts w:hAnsi="宋体"/>
          <w:b/>
          <w:bCs/>
          <w:color w:val="auto"/>
          <w:kern w:val="0"/>
          <w:highlight w:val="none"/>
        </w:rPr>
      </w:pPr>
      <w:r>
        <w:rPr>
          <w:rFonts w:hint="eastAsia" w:hAnsi="宋体" w:cs="宋体"/>
          <w:b/>
          <w:bCs/>
          <w:color w:val="auto"/>
          <w:kern w:val="0"/>
          <w:highlight w:val="none"/>
        </w:rPr>
        <w:t>采用《建设工程施工合同（示范文本）》（</w:t>
      </w:r>
      <w:r>
        <w:rPr>
          <w:rFonts w:hAnsi="宋体"/>
          <w:b/>
          <w:bCs/>
          <w:color w:val="auto"/>
          <w:kern w:val="0"/>
          <w:highlight w:val="none"/>
        </w:rPr>
        <w:t>GF</w:t>
      </w:r>
      <w:r>
        <w:rPr>
          <w:rFonts w:hAnsi="宋体" w:cs="宋体"/>
          <w:b/>
          <w:bCs/>
          <w:color w:val="auto"/>
          <w:kern w:val="0"/>
          <w:highlight w:val="none"/>
        </w:rPr>
        <w:t>—</w:t>
      </w:r>
      <w:r>
        <w:rPr>
          <w:rFonts w:hAnsi="宋体"/>
          <w:b/>
          <w:bCs/>
          <w:color w:val="auto"/>
          <w:kern w:val="0"/>
          <w:highlight w:val="none"/>
        </w:rPr>
        <w:t>201</w:t>
      </w:r>
      <w:r>
        <w:rPr>
          <w:rFonts w:hint="eastAsia" w:hAnsi="宋体"/>
          <w:b/>
          <w:bCs/>
          <w:color w:val="auto"/>
          <w:kern w:val="0"/>
          <w:highlight w:val="none"/>
        </w:rPr>
        <w:t>7</w:t>
      </w:r>
      <w:r>
        <w:rPr>
          <w:rFonts w:hAnsi="宋体" w:cs="宋体"/>
          <w:b/>
          <w:bCs/>
          <w:color w:val="auto"/>
          <w:kern w:val="0"/>
          <w:highlight w:val="none"/>
        </w:rPr>
        <w:t>—</w:t>
      </w:r>
      <w:r>
        <w:rPr>
          <w:rFonts w:hAnsi="宋体"/>
          <w:b/>
          <w:bCs/>
          <w:color w:val="auto"/>
          <w:kern w:val="0"/>
          <w:highlight w:val="none"/>
        </w:rPr>
        <w:t>0201</w:t>
      </w:r>
      <w:r>
        <w:rPr>
          <w:rFonts w:hint="eastAsia" w:hAnsi="宋体" w:cs="宋体"/>
          <w:b/>
          <w:bCs/>
          <w:color w:val="auto"/>
          <w:kern w:val="0"/>
          <w:highlight w:val="none"/>
        </w:rPr>
        <w:t>）。</w:t>
      </w:r>
    </w:p>
    <w:p w14:paraId="796A4F98">
      <w:pPr>
        <w:pStyle w:val="2"/>
        <w:jc w:val="center"/>
        <w:rPr>
          <w:rFonts w:hint="eastAsia" w:ascii="Times New Roman" w:hAnsi="Times New Roman" w:cs="黑体"/>
          <w:color w:val="auto"/>
          <w:highlight w:val="none"/>
        </w:rPr>
      </w:pPr>
      <w:bookmarkStart w:id="175" w:name="_Toc704444909"/>
      <w:bookmarkStart w:id="176" w:name="_Toc28270"/>
      <w:bookmarkStart w:id="177" w:name="_Toc1204138598"/>
      <w:bookmarkStart w:id="178" w:name="_Toc407135193"/>
      <w:bookmarkStart w:id="179" w:name="_Toc389065257"/>
      <w:bookmarkStart w:id="180" w:name="_Toc78449779"/>
    </w:p>
    <w:p w14:paraId="40F919ED">
      <w:pPr>
        <w:pStyle w:val="2"/>
        <w:jc w:val="center"/>
        <w:rPr>
          <w:rFonts w:hint="eastAsia" w:ascii="Times New Roman" w:hAnsi="Times New Roman" w:cs="黑体"/>
          <w:color w:val="auto"/>
          <w:highlight w:val="none"/>
        </w:rPr>
      </w:pPr>
      <w:r>
        <w:rPr>
          <w:rFonts w:hint="eastAsia" w:ascii="Times New Roman" w:hAnsi="Times New Roman" w:cs="黑体"/>
          <w:color w:val="auto"/>
          <w:highlight w:val="none"/>
        </w:rPr>
        <w:t>第三部分 专用合同条款</w:t>
      </w:r>
      <w:bookmarkEnd w:id="172"/>
      <w:bookmarkEnd w:id="173"/>
      <w:bookmarkEnd w:id="174"/>
      <w:bookmarkEnd w:id="175"/>
      <w:bookmarkEnd w:id="176"/>
      <w:bookmarkEnd w:id="177"/>
      <w:bookmarkEnd w:id="178"/>
      <w:bookmarkEnd w:id="179"/>
      <w:bookmarkEnd w:id="180"/>
    </w:p>
    <w:p w14:paraId="2BC9ADF5">
      <w:pPr>
        <w:spacing w:line="360" w:lineRule="auto"/>
        <w:jc w:val="center"/>
        <w:rPr>
          <w:rFonts w:hAnsi="宋体"/>
          <w:b/>
          <w:bCs/>
          <w:color w:val="auto"/>
          <w:kern w:val="0"/>
          <w:highlight w:val="none"/>
        </w:rPr>
      </w:pPr>
      <w:r>
        <w:rPr>
          <w:rFonts w:hint="eastAsia" w:hAnsi="宋体" w:cs="宋体"/>
          <w:b/>
          <w:bCs/>
          <w:color w:val="auto"/>
          <w:kern w:val="0"/>
          <w:highlight w:val="none"/>
        </w:rPr>
        <w:t>（注：专用合同条款每一条均应填写完整！）</w:t>
      </w:r>
    </w:p>
    <w:p w14:paraId="30B2C34A">
      <w:pPr>
        <w:pStyle w:val="3"/>
        <w:rPr>
          <w:color w:val="auto"/>
          <w:highlight w:val="none"/>
        </w:rPr>
      </w:pPr>
      <w:bookmarkStart w:id="181" w:name="_Toc1013968286"/>
      <w:bookmarkStart w:id="182" w:name="_Toc351203633"/>
      <w:bookmarkStart w:id="183" w:name="_Toc1516097295"/>
      <w:bookmarkStart w:id="184" w:name="_Toc21146"/>
      <w:bookmarkStart w:id="185" w:name="_Toc373478339"/>
      <w:bookmarkStart w:id="186" w:name="_Toc78449780"/>
      <w:bookmarkStart w:id="187" w:name="_Toc389065258"/>
      <w:bookmarkStart w:id="188" w:name="_Toc407135194"/>
      <w:bookmarkStart w:id="189" w:name="_Toc373227692"/>
      <w:r>
        <w:rPr>
          <w:color w:val="auto"/>
          <w:highlight w:val="none"/>
        </w:rPr>
        <w:t>1</w:t>
      </w:r>
      <w:bookmarkStart w:id="190" w:name="_Toc296503156"/>
      <w:bookmarkStart w:id="191" w:name="_Toc292559361"/>
      <w:bookmarkStart w:id="192" w:name="_Toc296890984"/>
      <w:bookmarkStart w:id="193" w:name="_Toc296944495"/>
      <w:bookmarkStart w:id="194" w:name="_Toc297120456"/>
      <w:bookmarkStart w:id="195" w:name="_Toc297048342"/>
      <w:bookmarkStart w:id="196" w:name="_Toc292559866"/>
      <w:bookmarkStart w:id="197" w:name="_Toc296346657"/>
      <w:bookmarkStart w:id="198" w:name="_Toc296891196"/>
      <w:bookmarkStart w:id="199" w:name="_Toc296347155"/>
      <w:r>
        <w:rPr>
          <w:color w:val="auto"/>
          <w:highlight w:val="none"/>
        </w:rPr>
        <w:t xml:space="preserve">. </w:t>
      </w:r>
      <w:r>
        <w:rPr>
          <w:rFonts w:hint="eastAsia" w:hAnsi="宋体" w:cs="黑体"/>
          <w:color w:val="auto"/>
          <w:highlight w:val="none"/>
        </w:rPr>
        <w:t>一般约定</w:t>
      </w:r>
      <w:bookmarkEnd w:id="181"/>
      <w:bookmarkEnd w:id="182"/>
      <w:bookmarkEnd w:id="183"/>
      <w:bookmarkEnd w:id="184"/>
      <w:bookmarkEnd w:id="185"/>
      <w:bookmarkEnd w:id="186"/>
      <w:bookmarkEnd w:id="187"/>
      <w:bookmarkEnd w:id="188"/>
      <w:bookmarkEnd w:id="189"/>
    </w:p>
    <w:bookmarkEnd w:id="190"/>
    <w:bookmarkEnd w:id="191"/>
    <w:bookmarkEnd w:id="192"/>
    <w:bookmarkEnd w:id="193"/>
    <w:bookmarkEnd w:id="194"/>
    <w:bookmarkEnd w:id="195"/>
    <w:bookmarkEnd w:id="196"/>
    <w:bookmarkEnd w:id="197"/>
    <w:bookmarkEnd w:id="198"/>
    <w:bookmarkEnd w:id="199"/>
    <w:p w14:paraId="152EB739">
      <w:pPr>
        <w:pStyle w:val="4"/>
        <w:rPr>
          <w:color w:val="auto"/>
          <w:highlight w:val="none"/>
        </w:rPr>
      </w:pPr>
      <w:bookmarkStart w:id="200" w:name="_Toc373478340"/>
      <w:bookmarkStart w:id="201" w:name="_Toc373227693"/>
      <w:bookmarkStart w:id="202" w:name="_Toc155697041"/>
      <w:bookmarkStart w:id="203" w:name="_Toc1618220701"/>
      <w:bookmarkStart w:id="204" w:name="_Toc78449781"/>
      <w:bookmarkStart w:id="205" w:name="_Toc28540"/>
      <w:bookmarkStart w:id="206" w:name="_Toc407135195"/>
      <w:bookmarkStart w:id="207" w:name="_Toc389065259"/>
      <w:r>
        <w:rPr>
          <w:color w:val="auto"/>
          <w:highlight w:val="none"/>
        </w:rPr>
        <w:t xml:space="preserve">1.1 </w:t>
      </w:r>
      <w:r>
        <w:rPr>
          <w:rFonts w:hint="eastAsia" w:hAnsi="宋体" w:cs="黑体"/>
          <w:color w:val="auto"/>
          <w:highlight w:val="none"/>
        </w:rPr>
        <w:t>词语定义</w:t>
      </w:r>
      <w:bookmarkEnd w:id="200"/>
      <w:bookmarkEnd w:id="201"/>
      <w:bookmarkEnd w:id="202"/>
      <w:bookmarkEnd w:id="203"/>
      <w:bookmarkEnd w:id="204"/>
      <w:bookmarkEnd w:id="205"/>
      <w:bookmarkEnd w:id="206"/>
      <w:bookmarkEnd w:id="207"/>
    </w:p>
    <w:p w14:paraId="0FF7A780">
      <w:pPr>
        <w:spacing w:line="360" w:lineRule="auto"/>
        <w:ind w:firstLine="420" w:firstLineChars="200"/>
        <w:rPr>
          <w:color w:val="auto"/>
          <w:kern w:val="0"/>
          <w:highlight w:val="none"/>
        </w:rPr>
      </w:pPr>
      <w:r>
        <w:rPr>
          <w:color w:val="auto"/>
          <w:kern w:val="0"/>
          <w:highlight w:val="none"/>
        </w:rPr>
        <w:t xml:space="preserve">1.1.1 </w:t>
      </w:r>
      <w:r>
        <w:rPr>
          <w:rFonts w:hint="eastAsia" w:hAnsi="宋体" w:cs="宋体"/>
          <w:color w:val="auto"/>
          <w:kern w:val="0"/>
          <w:highlight w:val="none"/>
        </w:rPr>
        <w:t>合同</w:t>
      </w:r>
    </w:p>
    <w:p w14:paraId="3AA341E6">
      <w:pPr>
        <w:spacing w:line="360" w:lineRule="auto"/>
        <w:ind w:firstLine="420" w:firstLineChars="200"/>
        <w:rPr>
          <w:color w:val="auto"/>
          <w:kern w:val="0"/>
          <w:highlight w:val="none"/>
        </w:rPr>
      </w:pPr>
      <w:r>
        <w:rPr>
          <w:color w:val="auto"/>
          <w:kern w:val="0"/>
          <w:highlight w:val="none"/>
        </w:rPr>
        <w:t xml:space="preserve">1.1.1.10 </w:t>
      </w:r>
      <w:r>
        <w:rPr>
          <w:rFonts w:hint="eastAsia" w:hAnsi="宋体" w:cs="宋体"/>
          <w:color w:val="auto"/>
          <w:kern w:val="0"/>
          <w:highlight w:val="none"/>
        </w:rPr>
        <w:t>其他合同文件包括：</w:t>
      </w:r>
      <w:r>
        <w:rPr>
          <w:color w:val="auto"/>
          <w:highlight w:val="none"/>
          <w:u w:val="single"/>
        </w:rPr>
        <w:t xml:space="preserve"> </w:t>
      </w:r>
      <w:r>
        <w:rPr>
          <w:rFonts w:hint="eastAsia"/>
          <w:color w:val="auto"/>
          <w:highlight w:val="none"/>
          <w:u w:val="single"/>
        </w:rPr>
        <w:t>履行合同过程中双方法定代表人</w:t>
      </w:r>
      <w:r>
        <w:rPr>
          <w:rFonts w:hint="eastAsia"/>
          <w:color w:val="auto"/>
          <w:highlight w:val="none"/>
          <w:u w:val="single"/>
          <w:lang w:eastAsia="zh-CN"/>
        </w:rPr>
        <w:t>（</w:t>
      </w:r>
      <w:r>
        <w:rPr>
          <w:rFonts w:hint="eastAsia"/>
          <w:color w:val="auto"/>
          <w:highlight w:val="none"/>
          <w:u w:val="single"/>
        </w:rPr>
        <w:t>或经确认被授权的双方工地代表人</w:t>
      </w:r>
      <w:r>
        <w:rPr>
          <w:rFonts w:hint="eastAsia"/>
          <w:color w:val="auto"/>
          <w:highlight w:val="none"/>
          <w:u w:val="single"/>
          <w:lang w:eastAsia="zh-CN"/>
        </w:rPr>
        <w:t>）</w:t>
      </w:r>
      <w:r>
        <w:rPr>
          <w:rFonts w:hint="eastAsia"/>
          <w:color w:val="auto"/>
          <w:highlight w:val="none"/>
          <w:u w:val="single"/>
        </w:rPr>
        <w:t>书面确认的对合同内容有实质性影响的会议纪要、签证、设计变更等资料</w:t>
      </w:r>
      <w:r>
        <w:rPr>
          <w:color w:val="auto"/>
          <w:highlight w:val="none"/>
          <w:u w:val="single"/>
        </w:rPr>
        <w:t xml:space="preserve"> </w:t>
      </w:r>
      <w:r>
        <w:rPr>
          <w:rFonts w:hint="eastAsia" w:hAnsi="宋体" w:cs="宋体"/>
          <w:color w:val="auto"/>
          <w:highlight w:val="none"/>
        </w:rPr>
        <w:t>。</w:t>
      </w:r>
    </w:p>
    <w:p w14:paraId="4D221C06">
      <w:pPr>
        <w:spacing w:line="360" w:lineRule="auto"/>
        <w:ind w:firstLine="420" w:firstLineChars="200"/>
        <w:rPr>
          <w:color w:val="auto"/>
          <w:highlight w:val="none"/>
        </w:rPr>
      </w:pPr>
      <w:r>
        <w:rPr>
          <w:color w:val="auto"/>
          <w:highlight w:val="none"/>
        </w:rPr>
        <w:t xml:space="preserve">1.1.2 </w:t>
      </w:r>
      <w:r>
        <w:rPr>
          <w:rFonts w:hint="eastAsia" w:hAnsi="宋体" w:cs="宋体"/>
          <w:color w:val="auto"/>
          <w:highlight w:val="none"/>
        </w:rPr>
        <w:t>合同当事人及其他相关方</w:t>
      </w:r>
    </w:p>
    <w:p w14:paraId="5C4C2829">
      <w:pPr>
        <w:spacing w:line="360" w:lineRule="auto"/>
        <w:ind w:firstLine="420" w:firstLineChars="200"/>
        <w:outlineLvl w:val="0"/>
        <w:rPr>
          <w:color w:val="auto"/>
          <w:highlight w:val="none"/>
        </w:rPr>
      </w:pPr>
      <w:bookmarkStart w:id="208" w:name="_Toc24341"/>
      <w:r>
        <w:rPr>
          <w:color w:val="auto"/>
          <w:highlight w:val="none"/>
        </w:rPr>
        <w:t xml:space="preserve">1.1.2.4 </w:t>
      </w:r>
      <w:r>
        <w:rPr>
          <w:rFonts w:hint="eastAsia" w:hAnsi="宋体" w:cs="宋体"/>
          <w:color w:val="auto"/>
          <w:highlight w:val="none"/>
        </w:rPr>
        <w:t>监理人：</w:t>
      </w:r>
      <w:bookmarkEnd w:id="208"/>
    </w:p>
    <w:p w14:paraId="1D560547">
      <w:pPr>
        <w:spacing w:line="360" w:lineRule="auto"/>
        <w:ind w:firstLine="420" w:firstLineChars="200"/>
        <w:rPr>
          <w:color w:val="auto"/>
          <w:highlight w:val="none"/>
        </w:rPr>
      </w:pPr>
      <w:r>
        <w:rPr>
          <w:rFonts w:hint="eastAsia" w:hAnsi="宋体" w:cs="宋体"/>
          <w:color w:val="auto"/>
          <w:highlight w:val="none"/>
        </w:rPr>
        <w:t>名</w:t>
      </w:r>
      <w:r>
        <w:rPr>
          <w:color w:val="auto"/>
          <w:highlight w:val="none"/>
        </w:rPr>
        <w:t xml:space="preserve">    </w:t>
      </w:r>
      <w:r>
        <w:rPr>
          <w:rFonts w:hint="eastAsia" w:hAnsi="宋体" w:cs="宋体"/>
          <w:color w:val="auto"/>
          <w:highlight w:val="none"/>
        </w:rPr>
        <w:t>称：</w:t>
      </w:r>
      <w:r>
        <w:rPr>
          <w:color w:val="auto"/>
          <w:highlight w:val="none"/>
          <w:u w:val="single"/>
        </w:rPr>
        <w:t xml:space="preserve">                </w:t>
      </w:r>
      <w:r>
        <w:rPr>
          <w:rFonts w:hint="eastAsia" w:hAnsi="宋体" w:cs="宋体"/>
          <w:color w:val="auto"/>
          <w:highlight w:val="none"/>
        </w:rPr>
        <w:t>；</w:t>
      </w:r>
    </w:p>
    <w:p w14:paraId="1E6D64F2">
      <w:pPr>
        <w:spacing w:line="360" w:lineRule="auto"/>
        <w:ind w:firstLine="420" w:firstLineChars="200"/>
        <w:rPr>
          <w:color w:val="auto"/>
          <w:highlight w:val="none"/>
        </w:rPr>
      </w:pPr>
      <w:r>
        <w:rPr>
          <w:rFonts w:hint="eastAsia" w:hAnsi="宋体" w:cs="宋体"/>
          <w:color w:val="auto"/>
          <w:highlight w:val="none"/>
        </w:rPr>
        <w:t>资质类别和等级：</w:t>
      </w:r>
      <w:r>
        <w:rPr>
          <w:color w:val="auto"/>
          <w:highlight w:val="none"/>
          <w:u w:val="single"/>
        </w:rPr>
        <w:t xml:space="preserve">               </w:t>
      </w:r>
      <w:r>
        <w:rPr>
          <w:rFonts w:hint="eastAsia" w:hAnsi="宋体" w:cs="宋体"/>
          <w:color w:val="auto"/>
          <w:highlight w:val="none"/>
        </w:rPr>
        <w:t>；</w:t>
      </w:r>
    </w:p>
    <w:p w14:paraId="40971CF2">
      <w:pPr>
        <w:spacing w:line="360" w:lineRule="auto"/>
        <w:ind w:firstLine="420" w:firstLineChars="200"/>
        <w:rPr>
          <w:color w:val="auto"/>
          <w:highlight w:val="none"/>
        </w:rPr>
      </w:pPr>
      <w:r>
        <w:rPr>
          <w:rFonts w:hint="eastAsia" w:hAnsi="宋体" w:cs="宋体"/>
          <w:color w:val="auto"/>
          <w:highlight w:val="none"/>
        </w:rPr>
        <w:t>联系电话：</w:t>
      </w:r>
      <w:r>
        <w:rPr>
          <w:color w:val="auto"/>
          <w:highlight w:val="none"/>
          <w:u w:val="single"/>
        </w:rPr>
        <w:t xml:space="preserve">                </w:t>
      </w:r>
      <w:r>
        <w:rPr>
          <w:rFonts w:hint="eastAsia" w:hAnsi="宋体" w:cs="宋体"/>
          <w:color w:val="auto"/>
          <w:highlight w:val="none"/>
        </w:rPr>
        <w:t>；</w:t>
      </w:r>
    </w:p>
    <w:p w14:paraId="2D714196">
      <w:pPr>
        <w:spacing w:line="360" w:lineRule="auto"/>
        <w:ind w:firstLine="420" w:firstLineChars="200"/>
        <w:rPr>
          <w:color w:val="auto"/>
          <w:highlight w:val="none"/>
        </w:rPr>
      </w:pPr>
      <w:r>
        <w:rPr>
          <w:rFonts w:hint="eastAsia" w:hAnsi="宋体" w:cs="宋体"/>
          <w:color w:val="auto"/>
          <w:highlight w:val="none"/>
        </w:rPr>
        <w:t>电子信箱：</w:t>
      </w:r>
      <w:r>
        <w:rPr>
          <w:color w:val="auto"/>
          <w:highlight w:val="none"/>
          <w:u w:val="single"/>
        </w:rPr>
        <w:t xml:space="preserve">                </w:t>
      </w:r>
      <w:r>
        <w:rPr>
          <w:rFonts w:hint="eastAsia" w:hAnsi="宋体" w:cs="宋体"/>
          <w:color w:val="auto"/>
          <w:highlight w:val="none"/>
        </w:rPr>
        <w:t>；</w:t>
      </w:r>
    </w:p>
    <w:p w14:paraId="484470EC">
      <w:pPr>
        <w:spacing w:line="360" w:lineRule="auto"/>
        <w:ind w:firstLine="420" w:firstLineChars="200"/>
        <w:rPr>
          <w:color w:val="auto"/>
          <w:highlight w:val="none"/>
        </w:rPr>
      </w:pPr>
      <w:r>
        <w:rPr>
          <w:rFonts w:hint="eastAsia" w:hAnsi="宋体" w:cs="宋体"/>
          <w:color w:val="auto"/>
          <w:highlight w:val="none"/>
        </w:rPr>
        <w:t>通信地址：</w:t>
      </w:r>
      <w:r>
        <w:rPr>
          <w:color w:val="auto"/>
          <w:highlight w:val="none"/>
          <w:u w:val="single"/>
        </w:rPr>
        <w:t xml:space="preserve">                </w:t>
      </w:r>
      <w:r>
        <w:rPr>
          <w:rFonts w:hint="eastAsia" w:hAnsi="宋体" w:cs="宋体"/>
          <w:color w:val="auto"/>
          <w:highlight w:val="none"/>
        </w:rPr>
        <w:t>。</w:t>
      </w:r>
    </w:p>
    <w:p w14:paraId="3DC262D9">
      <w:pPr>
        <w:spacing w:line="360" w:lineRule="auto"/>
        <w:ind w:firstLine="420" w:firstLineChars="200"/>
        <w:outlineLvl w:val="0"/>
        <w:rPr>
          <w:color w:val="auto"/>
          <w:highlight w:val="none"/>
        </w:rPr>
      </w:pPr>
      <w:bookmarkStart w:id="209" w:name="_Toc5694"/>
      <w:r>
        <w:rPr>
          <w:color w:val="auto"/>
          <w:highlight w:val="none"/>
        </w:rPr>
        <w:t xml:space="preserve">1.1.2.5 </w:t>
      </w:r>
      <w:r>
        <w:rPr>
          <w:rFonts w:hint="eastAsia" w:hAnsi="宋体" w:cs="宋体"/>
          <w:color w:val="auto"/>
          <w:highlight w:val="none"/>
        </w:rPr>
        <w:t>设计人：</w:t>
      </w:r>
      <w:bookmarkEnd w:id="209"/>
    </w:p>
    <w:p w14:paraId="0DCFCDAE">
      <w:pPr>
        <w:spacing w:line="360" w:lineRule="auto"/>
        <w:ind w:firstLine="420" w:firstLineChars="200"/>
        <w:rPr>
          <w:color w:val="auto"/>
          <w:highlight w:val="none"/>
        </w:rPr>
      </w:pPr>
      <w:r>
        <w:rPr>
          <w:rFonts w:hint="eastAsia" w:hAnsi="宋体" w:cs="宋体"/>
          <w:color w:val="auto"/>
          <w:highlight w:val="none"/>
        </w:rPr>
        <w:t>名</w:t>
      </w:r>
      <w:r>
        <w:rPr>
          <w:color w:val="auto"/>
          <w:highlight w:val="none"/>
        </w:rPr>
        <w:t xml:space="preserve">    </w:t>
      </w:r>
      <w:r>
        <w:rPr>
          <w:rFonts w:hint="eastAsia" w:hAnsi="宋体" w:cs="宋体"/>
          <w:color w:val="auto"/>
          <w:highlight w:val="none"/>
        </w:rPr>
        <w:t>称：</w:t>
      </w:r>
      <w:r>
        <w:rPr>
          <w:color w:val="auto"/>
          <w:highlight w:val="none"/>
          <w:u w:val="single"/>
        </w:rPr>
        <w:t xml:space="preserve">                 </w:t>
      </w:r>
      <w:r>
        <w:rPr>
          <w:rFonts w:hint="eastAsia" w:hAnsi="宋体" w:cs="宋体"/>
          <w:color w:val="auto"/>
          <w:highlight w:val="none"/>
        </w:rPr>
        <w:t>；</w:t>
      </w:r>
    </w:p>
    <w:p w14:paraId="6E9494C6">
      <w:pPr>
        <w:spacing w:line="360" w:lineRule="auto"/>
        <w:ind w:firstLine="420" w:firstLineChars="200"/>
        <w:rPr>
          <w:color w:val="auto"/>
          <w:highlight w:val="none"/>
        </w:rPr>
      </w:pPr>
      <w:r>
        <w:rPr>
          <w:rFonts w:hint="eastAsia" w:hAnsi="宋体" w:cs="宋体"/>
          <w:color w:val="auto"/>
          <w:highlight w:val="none"/>
        </w:rPr>
        <w:t>资质类别和等级：</w:t>
      </w:r>
      <w:r>
        <w:rPr>
          <w:color w:val="auto"/>
          <w:highlight w:val="none"/>
          <w:u w:val="single"/>
        </w:rPr>
        <w:t xml:space="preserve">               </w:t>
      </w:r>
      <w:r>
        <w:rPr>
          <w:rFonts w:hint="eastAsia" w:hAnsi="宋体" w:cs="宋体"/>
          <w:color w:val="auto"/>
          <w:highlight w:val="none"/>
        </w:rPr>
        <w:t>；</w:t>
      </w:r>
    </w:p>
    <w:p w14:paraId="2E3455C7">
      <w:pPr>
        <w:spacing w:line="360" w:lineRule="auto"/>
        <w:ind w:firstLine="420" w:firstLineChars="200"/>
        <w:rPr>
          <w:color w:val="auto"/>
          <w:highlight w:val="none"/>
        </w:rPr>
      </w:pPr>
      <w:r>
        <w:rPr>
          <w:rFonts w:hint="eastAsia" w:hAnsi="宋体" w:cs="宋体"/>
          <w:color w:val="auto"/>
          <w:highlight w:val="none"/>
        </w:rPr>
        <w:t>联系电话：</w:t>
      </w:r>
      <w:r>
        <w:rPr>
          <w:color w:val="auto"/>
          <w:highlight w:val="none"/>
          <w:u w:val="single"/>
        </w:rPr>
        <w:t xml:space="preserve">                 </w:t>
      </w:r>
      <w:r>
        <w:rPr>
          <w:rFonts w:hint="eastAsia" w:hAnsi="宋体" w:cs="宋体"/>
          <w:color w:val="auto"/>
          <w:highlight w:val="none"/>
        </w:rPr>
        <w:t>；</w:t>
      </w:r>
    </w:p>
    <w:p w14:paraId="7B33DD50">
      <w:pPr>
        <w:spacing w:line="360" w:lineRule="auto"/>
        <w:ind w:firstLine="420" w:firstLineChars="200"/>
        <w:rPr>
          <w:color w:val="auto"/>
          <w:highlight w:val="none"/>
        </w:rPr>
      </w:pPr>
      <w:r>
        <w:rPr>
          <w:rFonts w:hint="eastAsia" w:hAnsi="宋体" w:cs="宋体"/>
          <w:color w:val="auto"/>
          <w:highlight w:val="none"/>
        </w:rPr>
        <w:t>电子信箱：</w:t>
      </w:r>
      <w:r>
        <w:rPr>
          <w:color w:val="auto"/>
          <w:highlight w:val="none"/>
          <w:u w:val="single"/>
        </w:rPr>
        <w:t xml:space="preserve">                    </w:t>
      </w:r>
      <w:r>
        <w:rPr>
          <w:rFonts w:hint="eastAsia" w:hAnsi="宋体" w:cs="宋体"/>
          <w:color w:val="auto"/>
          <w:highlight w:val="none"/>
        </w:rPr>
        <w:t>；</w:t>
      </w:r>
    </w:p>
    <w:p w14:paraId="1E5B7B88">
      <w:pPr>
        <w:spacing w:line="360" w:lineRule="auto"/>
        <w:ind w:firstLine="420" w:firstLineChars="200"/>
        <w:rPr>
          <w:color w:val="auto"/>
          <w:highlight w:val="none"/>
        </w:rPr>
      </w:pPr>
      <w:r>
        <w:rPr>
          <w:rFonts w:hint="eastAsia" w:hAnsi="宋体" w:cs="宋体"/>
          <w:color w:val="auto"/>
          <w:highlight w:val="none"/>
        </w:rPr>
        <w:t>通信地址：</w:t>
      </w:r>
      <w:r>
        <w:rPr>
          <w:color w:val="auto"/>
          <w:highlight w:val="none"/>
          <w:u w:val="single"/>
        </w:rPr>
        <w:t xml:space="preserve">                </w:t>
      </w:r>
      <w:r>
        <w:rPr>
          <w:rFonts w:hint="eastAsia" w:hAnsi="宋体" w:cs="宋体"/>
          <w:color w:val="auto"/>
          <w:highlight w:val="none"/>
        </w:rPr>
        <w:t>。</w:t>
      </w:r>
    </w:p>
    <w:p w14:paraId="54A50631">
      <w:pPr>
        <w:spacing w:line="360" w:lineRule="auto"/>
        <w:ind w:firstLine="420" w:firstLineChars="200"/>
        <w:rPr>
          <w:color w:val="auto"/>
          <w:highlight w:val="none"/>
        </w:rPr>
      </w:pPr>
      <w:r>
        <w:rPr>
          <w:color w:val="auto"/>
          <w:highlight w:val="none"/>
        </w:rPr>
        <w:t xml:space="preserve">1.1.3 </w:t>
      </w:r>
      <w:r>
        <w:rPr>
          <w:rFonts w:hint="eastAsia" w:hAnsi="宋体" w:cs="宋体"/>
          <w:color w:val="auto"/>
          <w:highlight w:val="none"/>
        </w:rPr>
        <w:t>工程和设备</w:t>
      </w:r>
    </w:p>
    <w:p w14:paraId="4FBC4D8D">
      <w:pPr>
        <w:spacing w:line="360" w:lineRule="auto"/>
        <w:ind w:firstLine="420" w:firstLineChars="200"/>
        <w:outlineLvl w:val="0"/>
        <w:rPr>
          <w:rFonts w:hAnsi="宋体"/>
          <w:color w:val="auto"/>
          <w:highlight w:val="none"/>
        </w:rPr>
      </w:pPr>
      <w:bookmarkStart w:id="210" w:name="_Toc5332"/>
      <w:r>
        <w:rPr>
          <w:color w:val="auto"/>
          <w:highlight w:val="none"/>
        </w:rPr>
        <w:t xml:space="preserve">1.1.3.7 </w:t>
      </w:r>
      <w:r>
        <w:rPr>
          <w:rFonts w:hint="eastAsia" w:hAnsi="宋体" w:cs="宋体"/>
          <w:color w:val="auto"/>
          <w:highlight w:val="none"/>
        </w:rPr>
        <w:t>作为施工现场组成部分的其他场所包括：</w:t>
      </w:r>
      <w:bookmarkEnd w:id="210"/>
    </w:p>
    <w:p w14:paraId="1D85CF52">
      <w:pPr>
        <w:spacing w:line="360" w:lineRule="auto"/>
        <w:ind w:firstLine="420" w:firstLineChars="200"/>
        <w:rPr>
          <w:color w:val="auto"/>
          <w:highlight w:val="none"/>
        </w:rPr>
      </w:pPr>
      <w:r>
        <w:rPr>
          <w:color w:val="auto"/>
          <w:highlight w:val="none"/>
          <w:u w:val="single"/>
        </w:rPr>
        <w:t xml:space="preserve"> </w:t>
      </w:r>
      <w:r>
        <w:rPr>
          <w:rFonts w:hint="eastAsia"/>
          <w:color w:val="auto"/>
          <w:highlight w:val="none"/>
          <w:u w:val="single"/>
        </w:rPr>
        <w:t>符合通用条款规定的发包人提供的施工场地或双方另行确定</w:t>
      </w:r>
      <w:r>
        <w:rPr>
          <w:rFonts w:hAnsi="宋体"/>
          <w:color w:val="auto"/>
          <w:highlight w:val="none"/>
          <w:u w:val="single"/>
        </w:rPr>
        <w:t xml:space="preserve"> </w:t>
      </w:r>
      <w:r>
        <w:rPr>
          <w:rFonts w:hint="eastAsia" w:hAnsi="宋体" w:cs="宋体"/>
          <w:color w:val="auto"/>
          <w:highlight w:val="none"/>
        </w:rPr>
        <w:t>。</w:t>
      </w:r>
    </w:p>
    <w:p w14:paraId="165D62ED">
      <w:pPr>
        <w:spacing w:line="360" w:lineRule="auto"/>
        <w:ind w:firstLine="420" w:firstLineChars="200"/>
        <w:jc w:val="left"/>
        <w:rPr>
          <w:color w:val="auto"/>
          <w:kern w:val="0"/>
          <w:highlight w:val="none"/>
        </w:rPr>
      </w:pPr>
      <w:r>
        <w:rPr>
          <w:color w:val="auto"/>
          <w:kern w:val="0"/>
          <w:highlight w:val="none"/>
        </w:rPr>
        <w:t xml:space="preserve">1.1.3.9 </w:t>
      </w:r>
      <w:r>
        <w:rPr>
          <w:rFonts w:hint="eastAsia" w:hAnsi="宋体" w:cs="宋体"/>
          <w:color w:val="auto"/>
          <w:kern w:val="0"/>
          <w:highlight w:val="none"/>
        </w:rPr>
        <w:t>永久占地包括：</w:t>
      </w:r>
      <w:r>
        <w:rPr>
          <w:color w:val="auto"/>
          <w:highlight w:val="none"/>
          <w:u w:val="single"/>
        </w:rPr>
        <w:t xml:space="preserve"> </w:t>
      </w:r>
      <w:r>
        <w:rPr>
          <w:rFonts w:hint="eastAsia"/>
          <w:color w:val="auto"/>
          <w:highlight w:val="none"/>
          <w:u w:val="single"/>
        </w:rPr>
        <w:t>依据设计图纸确定</w:t>
      </w:r>
      <w:r>
        <w:rPr>
          <w:color w:val="auto"/>
          <w:highlight w:val="none"/>
          <w:u w:val="single"/>
        </w:rPr>
        <w:t xml:space="preserve"> </w:t>
      </w:r>
      <w:r>
        <w:rPr>
          <w:rFonts w:hint="eastAsia" w:hAnsi="宋体" w:cs="宋体"/>
          <w:color w:val="auto"/>
          <w:kern w:val="0"/>
          <w:highlight w:val="none"/>
        </w:rPr>
        <w:t>。</w:t>
      </w:r>
    </w:p>
    <w:p w14:paraId="4A0A7E5D">
      <w:pPr>
        <w:spacing w:line="360" w:lineRule="auto"/>
        <w:ind w:firstLine="420" w:firstLineChars="200"/>
        <w:jc w:val="left"/>
        <w:rPr>
          <w:color w:val="auto"/>
          <w:highlight w:val="none"/>
        </w:rPr>
      </w:pPr>
      <w:r>
        <w:rPr>
          <w:color w:val="auto"/>
          <w:kern w:val="0"/>
          <w:highlight w:val="none"/>
        </w:rPr>
        <w:t xml:space="preserve">1.1.3.10 </w:t>
      </w:r>
      <w:r>
        <w:rPr>
          <w:rFonts w:hint="eastAsia" w:hAnsi="宋体" w:cs="宋体"/>
          <w:color w:val="auto"/>
          <w:kern w:val="0"/>
          <w:highlight w:val="none"/>
        </w:rPr>
        <w:t>临时占地包括：</w:t>
      </w:r>
      <w:r>
        <w:rPr>
          <w:color w:val="auto"/>
          <w:highlight w:val="none"/>
          <w:u w:val="single"/>
        </w:rPr>
        <w:t xml:space="preserve"> </w:t>
      </w:r>
      <w:r>
        <w:rPr>
          <w:rFonts w:hint="eastAsia"/>
          <w:color w:val="auto"/>
          <w:highlight w:val="none"/>
          <w:u w:val="single"/>
        </w:rPr>
        <w:t>双方在合同履行过程中确定</w:t>
      </w:r>
      <w:r>
        <w:rPr>
          <w:color w:val="auto"/>
          <w:highlight w:val="none"/>
          <w:u w:val="single"/>
        </w:rPr>
        <w:t xml:space="preserve">  </w:t>
      </w:r>
      <w:r>
        <w:rPr>
          <w:rFonts w:hint="eastAsia" w:hAnsi="宋体" w:cs="宋体"/>
          <w:color w:val="auto"/>
          <w:kern w:val="0"/>
          <w:highlight w:val="none"/>
        </w:rPr>
        <w:t>。</w:t>
      </w:r>
    </w:p>
    <w:p w14:paraId="3871F94E">
      <w:pPr>
        <w:pStyle w:val="4"/>
        <w:rPr>
          <w:color w:val="auto"/>
          <w:highlight w:val="none"/>
        </w:rPr>
      </w:pPr>
      <w:bookmarkStart w:id="211" w:name="_Toc19214"/>
      <w:bookmarkStart w:id="212" w:name="_Toc78449782"/>
      <w:bookmarkStart w:id="213" w:name="_Toc389065260"/>
      <w:bookmarkStart w:id="214" w:name="_Toc1182598796"/>
      <w:bookmarkStart w:id="215" w:name="_Toc373478341"/>
      <w:bookmarkStart w:id="216" w:name="_Toc1162259329"/>
      <w:bookmarkStart w:id="217" w:name="_Toc407135196"/>
      <w:bookmarkStart w:id="218" w:name="_Toc373227694"/>
      <w:r>
        <w:rPr>
          <w:color w:val="auto"/>
          <w:highlight w:val="none"/>
        </w:rPr>
        <w:t xml:space="preserve">1.3 </w:t>
      </w:r>
      <w:r>
        <w:rPr>
          <w:rFonts w:hint="eastAsia" w:hAnsi="宋体" w:cs="黑体"/>
          <w:color w:val="auto"/>
          <w:highlight w:val="none"/>
        </w:rPr>
        <w:t>法律</w:t>
      </w:r>
      <w:bookmarkEnd w:id="211"/>
      <w:bookmarkEnd w:id="212"/>
      <w:bookmarkEnd w:id="213"/>
      <w:bookmarkEnd w:id="214"/>
      <w:bookmarkEnd w:id="215"/>
      <w:bookmarkEnd w:id="216"/>
      <w:bookmarkEnd w:id="217"/>
      <w:bookmarkEnd w:id="218"/>
    </w:p>
    <w:p w14:paraId="0B9825A9">
      <w:pPr>
        <w:autoSpaceDE w:val="0"/>
        <w:autoSpaceDN w:val="0"/>
        <w:adjustRightInd w:val="0"/>
        <w:spacing w:line="360" w:lineRule="auto"/>
        <w:ind w:firstLine="420" w:firstLineChars="200"/>
        <w:jc w:val="left"/>
        <w:rPr>
          <w:color w:val="auto"/>
          <w:highlight w:val="none"/>
        </w:rPr>
      </w:pPr>
      <w:r>
        <w:rPr>
          <w:rFonts w:hint="eastAsia" w:hAnsi="宋体" w:cs="宋体"/>
          <w:color w:val="auto"/>
          <w:highlight w:val="none"/>
        </w:rPr>
        <w:t>适用于合同的其他规范性文件：</w:t>
      </w:r>
      <w:r>
        <w:rPr>
          <w:rFonts w:hAnsi="宋体"/>
          <w:color w:val="auto"/>
          <w:highlight w:val="none"/>
          <w:u w:val="single"/>
        </w:rPr>
        <w:t xml:space="preserve"> </w:t>
      </w:r>
      <w:r>
        <w:rPr>
          <w:rFonts w:hint="eastAsia" w:hAnsi="宋体"/>
          <w:color w:val="auto"/>
          <w:highlight w:val="none"/>
          <w:u w:val="single"/>
        </w:rPr>
        <w:t xml:space="preserve"> 《中华人民共和国民法典》、《中华人民共和国建筑法》、《中华人民共和国安全生产法》、《建设工程质量管理条例》、《建设工程安全管理条例》以及合同签订时现行的国家法律和行政法规、工程所在地政府的有关法规和规章及规范性文件</w:t>
      </w:r>
      <w:r>
        <w:rPr>
          <w:color w:val="auto"/>
          <w:highlight w:val="none"/>
          <w:u w:val="single"/>
        </w:rPr>
        <w:t xml:space="preserve"> </w:t>
      </w:r>
      <w:r>
        <w:rPr>
          <w:rFonts w:hint="eastAsia" w:hAnsi="宋体" w:cs="宋体"/>
          <w:color w:val="auto"/>
          <w:highlight w:val="none"/>
        </w:rPr>
        <w:t>。</w:t>
      </w:r>
    </w:p>
    <w:p w14:paraId="51F33A9E">
      <w:pPr>
        <w:pStyle w:val="4"/>
        <w:rPr>
          <w:color w:val="auto"/>
          <w:highlight w:val="none"/>
        </w:rPr>
      </w:pPr>
      <w:bookmarkStart w:id="219" w:name="_Toc389065261"/>
      <w:bookmarkStart w:id="220" w:name="_Toc373478342"/>
      <w:bookmarkStart w:id="221" w:name="_Toc373227695"/>
      <w:bookmarkStart w:id="222" w:name="_Toc30689"/>
      <w:bookmarkStart w:id="223" w:name="_Toc78449783"/>
      <w:bookmarkStart w:id="224" w:name="_Toc407135197"/>
      <w:bookmarkStart w:id="225" w:name="_Toc1694357896"/>
      <w:bookmarkStart w:id="226" w:name="_Toc1569433547"/>
      <w:r>
        <w:rPr>
          <w:color w:val="auto"/>
          <w:highlight w:val="none"/>
        </w:rPr>
        <w:t xml:space="preserve">1.4 </w:t>
      </w:r>
      <w:r>
        <w:rPr>
          <w:rFonts w:hint="eastAsia" w:hAnsi="宋体" w:cs="黑体"/>
          <w:color w:val="auto"/>
          <w:highlight w:val="none"/>
        </w:rPr>
        <w:t>标准和规范</w:t>
      </w:r>
      <w:bookmarkEnd w:id="219"/>
      <w:bookmarkEnd w:id="220"/>
      <w:bookmarkEnd w:id="221"/>
      <w:bookmarkEnd w:id="222"/>
      <w:bookmarkEnd w:id="223"/>
      <w:bookmarkEnd w:id="224"/>
      <w:bookmarkEnd w:id="225"/>
      <w:bookmarkEnd w:id="226"/>
    </w:p>
    <w:p w14:paraId="7557A46D">
      <w:pPr>
        <w:spacing w:line="360" w:lineRule="auto"/>
        <w:ind w:firstLine="420" w:firstLineChars="200"/>
        <w:rPr>
          <w:color w:val="auto"/>
          <w:highlight w:val="none"/>
        </w:rPr>
      </w:pPr>
      <w:r>
        <w:rPr>
          <w:color w:val="auto"/>
          <w:highlight w:val="none"/>
        </w:rPr>
        <w:t xml:space="preserve">1.4.1 </w:t>
      </w:r>
      <w:r>
        <w:rPr>
          <w:rFonts w:hint="eastAsia" w:hAnsi="宋体" w:cs="宋体"/>
          <w:color w:val="auto"/>
          <w:highlight w:val="none"/>
        </w:rPr>
        <w:t>适用于工程的标准规范包括：</w:t>
      </w:r>
      <w:r>
        <w:rPr>
          <w:rFonts w:hAnsi="宋体"/>
          <w:color w:val="auto"/>
          <w:highlight w:val="none"/>
          <w:u w:val="single"/>
        </w:rPr>
        <w:t xml:space="preserve"> </w:t>
      </w:r>
      <w:r>
        <w:rPr>
          <w:rFonts w:hint="eastAsia" w:hAnsi="宋体"/>
          <w:color w:val="auto"/>
          <w:highlight w:val="none"/>
          <w:u w:val="single"/>
        </w:rPr>
        <w:t>现行的国家标准、规范，行业标准、规范</w:t>
      </w:r>
      <w:r>
        <w:rPr>
          <w:color w:val="auto"/>
          <w:highlight w:val="none"/>
          <w:u w:val="single"/>
        </w:rPr>
        <w:t xml:space="preserve"> </w:t>
      </w:r>
      <w:r>
        <w:rPr>
          <w:rFonts w:hint="eastAsia" w:hAnsi="宋体" w:cs="宋体"/>
          <w:color w:val="auto"/>
          <w:highlight w:val="none"/>
        </w:rPr>
        <w:t>。</w:t>
      </w:r>
    </w:p>
    <w:p w14:paraId="6C8478F3">
      <w:pPr>
        <w:spacing w:line="360" w:lineRule="auto"/>
        <w:rPr>
          <w:color w:val="auto"/>
          <w:kern w:val="0"/>
          <w:highlight w:val="none"/>
        </w:rPr>
      </w:pPr>
      <w:r>
        <w:rPr>
          <w:color w:val="auto"/>
          <w:kern w:val="0"/>
          <w:highlight w:val="none"/>
        </w:rPr>
        <w:t xml:space="preserve">1.4.2 </w:t>
      </w:r>
      <w:r>
        <w:rPr>
          <w:rFonts w:hint="eastAsia" w:hAnsi="宋体" w:cs="宋体"/>
          <w:color w:val="auto"/>
          <w:kern w:val="0"/>
          <w:highlight w:val="none"/>
        </w:rPr>
        <w:t>发包人提供国外标准、规范的名称：</w:t>
      </w:r>
      <w:r>
        <w:rPr>
          <w:rFonts w:ascii="宋体" w:hAnsi="宋体" w:eastAsia="宋体" w:cs="宋体"/>
          <w:color w:val="auto"/>
          <w:spacing w:val="0"/>
          <w:highlight w:val="none"/>
          <w:u w:val="single"/>
        </w:rPr>
        <w:t xml:space="preserve"> 无 </w:t>
      </w:r>
      <w:r>
        <w:rPr>
          <w:rFonts w:hint="eastAsia" w:hAnsi="宋体" w:cs="宋体"/>
          <w:color w:val="auto"/>
          <w:highlight w:val="none"/>
        </w:rPr>
        <w:t>；</w:t>
      </w:r>
    </w:p>
    <w:p w14:paraId="63052AD5">
      <w:pPr>
        <w:spacing w:line="360" w:lineRule="auto"/>
        <w:ind w:firstLine="420" w:firstLineChars="200"/>
        <w:rPr>
          <w:color w:val="auto"/>
          <w:kern w:val="0"/>
          <w:highlight w:val="none"/>
        </w:rPr>
      </w:pPr>
      <w:r>
        <w:rPr>
          <w:rFonts w:hint="eastAsia" w:hAnsi="宋体" w:cs="宋体"/>
          <w:color w:val="auto"/>
          <w:kern w:val="0"/>
          <w:highlight w:val="none"/>
        </w:rPr>
        <w:t>发包人提供国外标准、规范的份数：</w:t>
      </w:r>
      <w:r>
        <w:rPr>
          <w:rFonts w:ascii="宋体" w:hAnsi="宋体" w:eastAsia="宋体" w:cs="宋体"/>
          <w:color w:val="auto"/>
          <w:spacing w:val="0"/>
          <w:highlight w:val="none"/>
          <w:u w:val="single"/>
        </w:rPr>
        <w:t xml:space="preserve"> 无 </w:t>
      </w:r>
      <w:r>
        <w:rPr>
          <w:rFonts w:hint="eastAsia" w:hAnsi="宋体" w:cs="宋体"/>
          <w:color w:val="auto"/>
          <w:kern w:val="0"/>
          <w:highlight w:val="none"/>
        </w:rPr>
        <w:t>；</w:t>
      </w:r>
    </w:p>
    <w:p w14:paraId="637C2792">
      <w:pPr>
        <w:spacing w:line="360" w:lineRule="auto"/>
        <w:ind w:firstLine="420" w:firstLineChars="200"/>
        <w:rPr>
          <w:color w:val="auto"/>
          <w:highlight w:val="none"/>
        </w:rPr>
      </w:pPr>
      <w:r>
        <w:rPr>
          <w:rFonts w:hint="eastAsia" w:hAnsi="宋体" w:cs="宋体"/>
          <w:color w:val="auto"/>
          <w:kern w:val="0"/>
          <w:highlight w:val="none"/>
        </w:rPr>
        <w:t>发包人提供国外标准、规范的名称：</w:t>
      </w:r>
      <w:r>
        <w:rPr>
          <w:rFonts w:ascii="宋体" w:hAnsi="宋体" w:eastAsia="宋体" w:cs="宋体"/>
          <w:color w:val="auto"/>
          <w:spacing w:val="0"/>
          <w:highlight w:val="none"/>
          <w:u w:val="single"/>
        </w:rPr>
        <w:t xml:space="preserve"> 无 </w:t>
      </w:r>
      <w:r>
        <w:rPr>
          <w:rFonts w:hint="eastAsia" w:hAnsi="宋体" w:cs="宋体"/>
          <w:color w:val="auto"/>
          <w:kern w:val="0"/>
          <w:highlight w:val="none"/>
        </w:rPr>
        <w:t>。</w:t>
      </w:r>
    </w:p>
    <w:p w14:paraId="11B6D989">
      <w:pPr>
        <w:spacing w:line="360" w:lineRule="auto"/>
        <w:rPr>
          <w:color w:val="auto"/>
          <w:highlight w:val="none"/>
        </w:rPr>
      </w:pPr>
      <w:r>
        <w:rPr>
          <w:color w:val="auto"/>
          <w:highlight w:val="none"/>
        </w:rPr>
        <w:t xml:space="preserve">1.4.3 </w:t>
      </w:r>
      <w:r>
        <w:rPr>
          <w:rFonts w:hint="eastAsia" w:hAnsi="宋体" w:cs="宋体"/>
          <w:color w:val="auto"/>
          <w:highlight w:val="none"/>
        </w:rPr>
        <w:t>发包人对工程的技术标准和功能要求的特殊要求：</w:t>
      </w:r>
      <w:r>
        <w:rPr>
          <w:rFonts w:hint="eastAsia" w:hAnsi="宋体" w:cs="宋体"/>
          <w:color w:val="auto"/>
          <w:highlight w:val="none"/>
          <w:u w:val="single"/>
          <w:lang w:val="en-US" w:eastAsia="zh-CN"/>
        </w:rPr>
        <w:t xml:space="preserve"> </w:t>
      </w:r>
      <w:r>
        <w:rPr>
          <w:rFonts w:hint="eastAsia"/>
          <w:color w:val="auto"/>
          <w:highlight w:val="none"/>
          <w:u w:val="single"/>
        </w:rPr>
        <w:t>另行协商</w:t>
      </w:r>
      <w:r>
        <w:rPr>
          <w:rFonts w:hAnsi="宋体"/>
          <w:color w:val="auto"/>
          <w:highlight w:val="none"/>
          <w:u w:val="single"/>
        </w:rPr>
        <w:t xml:space="preserve"> </w:t>
      </w:r>
      <w:r>
        <w:rPr>
          <w:rFonts w:hint="eastAsia" w:hAnsi="宋体" w:cs="宋体"/>
          <w:color w:val="auto"/>
          <w:highlight w:val="none"/>
        </w:rPr>
        <w:t>。</w:t>
      </w:r>
    </w:p>
    <w:p w14:paraId="09B3BB87">
      <w:pPr>
        <w:pStyle w:val="4"/>
        <w:rPr>
          <w:color w:val="auto"/>
          <w:highlight w:val="none"/>
        </w:rPr>
      </w:pPr>
      <w:bookmarkStart w:id="227" w:name="_Toc4759"/>
      <w:bookmarkStart w:id="228" w:name="_Toc373478343"/>
      <w:bookmarkStart w:id="229" w:name="_Toc78449784"/>
      <w:bookmarkStart w:id="230" w:name="_Toc389065262"/>
      <w:bookmarkStart w:id="231" w:name="_Toc188277238"/>
      <w:bookmarkStart w:id="232" w:name="_Toc407135198"/>
      <w:bookmarkStart w:id="233" w:name="_Toc373227696"/>
      <w:bookmarkStart w:id="234" w:name="_Toc24431861"/>
      <w:r>
        <w:rPr>
          <w:color w:val="auto"/>
          <w:highlight w:val="none"/>
        </w:rPr>
        <w:t xml:space="preserve">1.5 </w:t>
      </w:r>
      <w:r>
        <w:rPr>
          <w:rFonts w:hint="eastAsia" w:cs="黑体"/>
          <w:color w:val="auto"/>
          <w:highlight w:val="none"/>
        </w:rPr>
        <w:t>合同文件的优先顺序</w:t>
      </w:r>
      <w:bookmarkEnd w:id="227"/>
      <w:bookmarkEnd w:id="228"/>
      <w:bookmarkEnd w:id="229"/>
      <w:bookmarkEnd w:id="230"/>
      <w:bookmarkEnd w:id="231"/>
      <w:bookmarkEnd w:id="232"/>
      <w:bookmarkEnd w:id="233"/>
      <w:bookmarkEnd w:id="234"/>
    </w:p>
    <w:p w14:paraId="6CE0A85D">
      <w:pPr>
        <w:spacing w:line="360" w:lineRule="auto"/>
        <w:ind w:firstLine="420" w:firstLineChars="200"/>
        <w:rPr>
          <w:rFonts w:hint="eastAsia" w:hAnsi="宋体" w:cs="宋体"/>
          <w:color w:val="auto"/>
          <w:kern w:val="0"/>
          <w:highlight w:val="none"/>
        </w:rPr>
      </w:pPr>
      <w:r>
        <w:rPr>
          <w:rFonts w:hint="eastAsia" w:hAnsi="宋体" w:cs="宋体"/>
          <w:color w:val="auto"/>
          <w:highlight w:val="none"/>
        </w:rPr>
        <w:t>合同文件组成及优先顺序为：</w:t>
      </w:r>
    </w:p>
    <w:p w14:paraId="2A7ABB9A">
      <w:pPr>
        <w:spacing w:line="360" w:lineRule="auto"/>
        <w:ind w:firstLine="420" w:firstLineChars="200"/>
        <w:rPr>
          <w:rFonts w:hint="eastAsia" w:ascii="Times New Roman" w:hAnsi="宋体" w:eastAsia="宋体" w:cs="宋体"/>
          <w:color w:val="auto"/>
          <w:kern w:val="0"/>
          <w:highlight w:val="none"/>
        </w:rPr>
      </w:pPr>
      <w:r>
        <w:rPr>
          <w:rFonts w:hint="eastAsia" w:ascii="Times New Roman" w:hAnsi="宋体" w:eastAsia="宋体" w:cs="宋体"/>
          <w:color w:val="auto"/>
          <w:kern w:val="0"/>
          <w:highlight w:val="none"/>
        </w:rPr>
        <w:t>（</w:t>
      </w:r>
      <w:r>
        <w:rPr>
          <w:rFonts w:hint="eastAsia" w:ascii="Times New Roman" w:hAnsi="宋体" w:eastAsia="宋体" w:cs="宋体"/>
          <w:color w:val="auto"/>
          <w:kern w:val="0"/>
          <w:highlight w:val="none"/>
          <w:lang w:val="en-US" w:eastAsia="zh-CN"/>
        </w:rPr>
        <w:t>1</w:t>
      </w:r>
      <w:r>
        <w:rPr>
          <w:rFonts w:hint="eastAsia" w:ascii="Times New Roman" w:hAnsi="宋体" w:eastAsia="宋体" w:cs="宋体"/>
          <w:color w:val="auto"/>
          <w:kern w:val="0"/>
          <w:highlight w:val="none"/>
        </w:rPr>
        <w:t>）合同协议书；</w:t>
      </w:r>
    </w:p>
    <w:p w14:paraId="05662D01">
      <w:pPr>
        <w:spacing w:line="360" w:lineRule="auto"/>
        <w:ind w:firstLine="420" w:firstLineChars="200"/>
        <w:rPr>
          <w:rFonts w:hint="eastAsia" w:ascii="Times New Roman" w:hAnsi="宋体" w:eastAsia="宋体" w:cs="宋体"/>
          <w:color w:val="auto"/>
          <w:kern w:val="0"/>
          <w:highlight w:val="none"/>
        </w:rPr>
      </w:pPr>
      <w:bookmarkStart w:id="235" w:name="bookmark916"/>
      <w:bookmarkEnd w:id="235"/>
      <w:r>
        <w:rPr>
          <w:rFonts w:hint="eastAsia" w:ascii="Times New Roman" w:hAnsi="宋体" w:eastAsia="宋体" w:cs="宋体"/>
          <w:color w:val="auto"/>
          <w:kern w:val="0"/>
          <w:highlight w:val="none"/>
        </w:rPr>
        <w:t>（</w:t>
      </w:r>
      <w:r>
        <w:rPr>
          <w:rFonts w:hint="eastAsia" w:ascii="Times New Roman" w:hAnsi="宋体" w:eastAsia="宋体" w:cs="宋体"/>
          <w:color w:val="auto"/>
          <w:kern w:val="0"/>
          <w:highlight w:val="none"/>
          <w:lang w:val="en-US" w:eastAsia="zh-CN"/>
        </w:rPr>
        <w:t>2</w:t>
      </w:r>
      <w:r>
        <w:rPr>
          <w:rFonts w:hint="eastAsia" w:ascii="Times New Roman" w:hAnsi="宋体" w:eastAsia="宋体" w:cs="宋体"/>
          <w:color w:val="auto"/>
          <w:kern w:val="0"/>
          <w:highlight w:val="none"/>
        </w:rPr>
        <w:t>）中标通知书；</w:t>
      </w:r>
    </w:p>
    <w:p w14:paraId="06AE91B1">
      <w:pPr>
        <w:spacing w:line="360" w:lineRule="auto"/>
        <w:ind w:firstLineChars="200"/>
        <w:rPr>
          <w:rFonts w:hint="eastAsia" w:ascii="Times New Roman" w:hAnsi="宋体" w:eastAsia="宋体" w:cs="宋体"/>
          <w:color w:val="auto"/>
          <w:kern w:val="0"/>
          <w:highlight w:val="none"/>
        </w:rPr>
      </w:pPr>
      <w:bookmarkStart w:id="236" w:name="bookmark917"/>
      <w:bookmarkEnd w:id="236"/>
      <w:r>
        <w:rPr>
          <w:rFonts w:hint="eastAsia" w:ascii="Times New Roman" w:hAnsi="宋体" w:eastAsia="宋体" w:cs="宋体"/>
          <w:color w:val="auto"/>
          <w:kern w:val="0"/>
          <w:highlight w:val="none"/>
        </w:rPr>
        <w:t>（</w:t>
      </w:r>
      <w:r>
        <w:rPr>
          <w:rFonts w:hint="eastAsia" w:ascii="Times New Roman" w:hAnsi="宋体" w:eastAsia="宋体" w:cs="宋体"/>
          <w:color w:val="auto"/>
          <w:kern w:val="0"/>
          <w:highlight w:val="none"/>
          <w:lang w:val="en-US" w:eastAsia="zh-CN"/>
        </w:rPr>
        <w:t>3</w:t>
      </w:r>
      <w:r>
        <w:rPr>
          <w:rFonts w:hint="eastAsia" w:ascii="Times New Roman" w:hAnsi="宋体" w:eastAsia="宋体" w:cs="宋体"/>
          <w:color w:val="auto"/>
          <w:kern w:val="0"/>
          <w:highlight w:val="none"/>
        </w:rPr>
        <w:t>）投标函及投标函附录；</w:t>
      </w:r>
    </w:p>
    <w:p w14:paraId="535199D9">
      <w:pPr>
        <w:spacing w:line="360" w:lineRule="auto"/>
        <w:ind w:firstLineChars="200"/>
        <w:rPr>
          <w:rFonts w:hint="eastAsia" w:ascii="Times New Roman" w:hAnsi="宋体" w:eastAsia="宋体" w:cs="宋体"/>
          <w:color w:val="auto"/>
          <w:kern w:val="0"/>
          <w:highlight w:val="none"/>
        </w:rPr>
      </w:pPr>
      <w:bookmarkStart w:id="237" w:name="bookmark918"/>
      <w:bookmarkEnd w:id="237"/>
      <w:r>
        <w:rPr>
          <w:rFonts w:hint="eastAsia" w:ascii="Times New Roman" w:hAnsi="宋体" w:eastAsia="宋体" w:cs="宋体"/>
          <w:color w:val="auto"/>
          <w:kern w:val="0"/>
          <w:highlight w:val="none"/>
        </w:rPr>
        <w:t>（</w:t>
      </w:r>
      <w:r>
        <w:rPr>
          <w:rFonts w:hint="eastAsia" w:ascii="Times New Roman" w:hAnsi="宋体" w:eastAsia="宋体" w:cs="宋体"/>
          <w:color w:val="auto"/>
          <w:kern w:val="0"/>
          <w:highlight w:val="none"/>
          <w:lang w:val="en-US" w:eastAsia="zh-CN"/>
        </w:rPr>
        <w:t>4</w:t>
      </w:r>
      <w:r>
        <w:rPr>
          <w:rFonts w:hint="eastAsia" w:ascii="Times New Roman" w:hAnsi="宋体" w:eastAsia="宋体" w:cs="宋体"/>
          <w:color w:val="auto"/>
          <w:kern w:val="0"/>
          <w:highlight w:val="none"/>
        </w:rPr>
        <w:t>）专用合同条款；</w:t>
      </w:r>
    </w:p>
    <w:p w14:paraId="31AC2CAF">
      <w:pPr>
        <w:spacing w:line="360" w:lineRule="auto"/>
        <w:ind w:firstLineChars="200"/>
        <w:rPr>
          <w:rFonts w:hint="eastAsia" w:ascii="Times New Roman" w:hAnsi="宋体" w:eastAsia="宋体" w:cs="宋体"/>
          <w:color w:val="auto"/>
          <w:kern w:val="0"/>
          <w:highlight w:val="none"/>
        </w:rPr>
      </w:pPr>
      <w:bookmarkStart w:id="238" w:name="bookmark919"/>
      <w:bookmarkEnd w:id="238"/>
      <w:r>
        <w:rPr>
          <w:rFonts w:hint="eastAsia" w:ascii="Times New Roman" w:hAnsi="宋体" w:eastAsia="宋体" w:cs="宋体"/>
          <w:color w:val="auto"/>
          <w:kern w:val="0"/>
          <w:highlight w:val="none"/>
        </w:rPr>
        <w:t>（</w:t>
      </w:r>
      <w:r>
        <w:rPr>
          <w:rFonts w:hint="eastAsia" w:ascii="Times New Roman" w:hAnsi="宋体" w:eastAsia="宋体" w:cs="宋体"/>
          <w:color w:val="auto"/>
          <w:kern w:val="0"/>
          <w:highlight w:val="none"/>
          <w:lang w:val="en-US" w:eastAsia="zh-CN"/>
        </w:rPr>
        <w:t>5</w:t>
      </w:r>
      <w:r>
        <w:rPr>
          <w:rFonts w:hint="eastAsia" w:ascii="Times New Roman" w:hAnsi="宋体" w:eastAsia="宋体" w:cs="宋体"/>
          <w:color w:val="auto"/>
          <w:kern w:val="0"/>
          <w:highlight w:val="none"/>
        </w:rPr>
        <w:t>）通用合同条款；</w:t>
      </w:r>
    </w:p>
    <w:p w14:paraId="0143BDBE">
      <w:pPr>
        <w:spacing w:line="360" w:lineRule="auto"/>
        <w:ind w:firstLineChars="200"/>
        <w:rPr>
          <w:rFonts w:hint="eastAsia" w:ascii="Times New Roman" w:hAnsi="宋体" w:eastAsia="宋体" w:cs="宋体"/>
          <w:color w:val="auto"/>
          <w:kern w:val="0"/>
          <w:highlight w:val="none"/>
        </w:rPr>
      </w:pPr>
      <w:bookmarkStart w:id="239" w:name="bookmark920"/>
      <w:bookmarkEnd w:id="239"/>
      <w:r>
        <w:rPr>
          <w:rFonts w:hint="eastAsia" w:ascii="Times New Roman" w:hAnsi="宋体" w:eastAsia="宋体" w:cs="宋体"/>
          <w:color w:val="auto"/>
          <w:kern w:val="0"/>
          <w:highlight w:val="none"/>
        </w:rPr>
        <w:t>（</w:t>
      </w:r>
      <w:r>
        <w:rPr>
          <w:rFonts w:hint="eastAsia" w:ascii="Times New Roman" w:hAnsi="宋体" w:eastAsia="宋体" w:cs="宋体"/>
          <w:color w:val="auto"/>
          <w:kern w:val="0"/>
          <w:highlight w:val="none"/>
          <w:lang w:val="en-US" w:eastAsia="zh-CN"/>
        </w:rPr>
        <w:t>6</w:t>
      </w:r>
      <w:r>
        <w:rPr>
          <w:rFonts w:hint="eastAsia" w:ascii="Times New Roman" w:hAnsi="宋体" w:eastAsia="宋体" w:cs="宋体"/>
          <w:color w:val="auto"/>
          <w:kern w:val="0"/>
          <w:highlight w:val="none"/>
        </w:rPr>
        <w:t>）技术标准和要求；</w:t>
      </w:r>
    </w:p>
    <w:p w14:paraId="4AB312D5">
      <w:pPr>
        <w:spacing w:line="360" w:lineRule="auto"/>
        <w:ind w:firstLineChars="200"/>
        <w:rPr>
          <w:rFonts w:hint="eastAsia" w:ascii="Times New Roman" w:hAnsi="宋体" w:eastAsia="宋体" w:cs="宋体"/>
          <w:color w:val="auto"/>
          <w:kern w:val="0"/>
          <w:highlight w:val="none"/>
        </w:rPr>
      </w:pPr>
      <w:bookmarkStart w:id="240" w:name="bookmark921"/>
      <w:bookmarkEnd w:id="240"/>
      <w:r>
        <w:rPr>
          <w:rFonts w:hint="eastAsia" w:ascii="Times New Roman" w:hAnsi="宋体" w:eastAsia="宋体" w:cs="宋体"/>
          <w:color w:val="auto"/>
          <w:kern w:val="0"/>
          <w:highlight w:val="none"/>
        </w:rPr>
        <w:t>（</w:t>
      </w:r>
      <w:r>
        <w:rPr>
          <w:rFonts w:hint="eastAsia" w:ascii="Times New Roman" w:hAnsi="宋体" w:eastAsia="宋体" w:cs="宋体"/>
          <w:color w:val="auto"/>
          <w:kern w:val="0"/>
          <w:highlight w:val="none"/>
          <w:lang w:val="en-US" w:eastAsia="zh-CN"/>
        </w:rPr>
        <w:t>7</w:t>
      </w:r>
      <w:r>
        <w:rPr>
          <w:rFonts w:hint="eastAsia" w:ascii="Times New Roman" w:hAnsi="宋体" w:eastAsia="宋体" w:cs="宋体"/>
          <w:color w:val="auto"/>
          <w:kern w:val="0"/>
          <w:highlight w:val="none"/>
        </w:rPr>
        <w:t>）图纸；</w:t>
      </w:r>
    </w:p>
    <w:p w14:paraId="5D667ECC">
      <w:pPr>
        <w:spacing w:line="360" w:lineRule="auto"/>
        <w:ind w:firstLine="420" w:firstLineChars="200"/>
        <w:rPr>
          <w:rFonts w:hint="eastAsia" w:ascii="Times New Roman" w:hAnsi="宋体" w:eastAsia="宋体" w:cs="宋体"/>
          <w:color w:val="auto"/>
          <w:kern w:val="0"/>
          <w:highlight w:val="none"/>
        </w:rPr>
      </w:pPr>
      <w:bookmarkStart w:id="241" w:name="bookmark922"/>
      <w:bookmarkEnd w:id="241"/>
      <w:r>
        <w:rPr>
          <w:rFonts w:hint="eastAsia" w:ascii="Times New Roman" w:hAnsi="宋体" w:eastAsia="宋体" w:cs="宋体"/>
          <w:color w:val="auto"/>
          <w:kern w:val="0"/>
          <w:highlight w:val="none"/>
        </w:rPr>
        <w:t>（</w:t>
      </w:r>
      <w:r>
        <w:rPr>
          <w:rFonts w:hint="eastAsia" w:ascii="Times New Roman" w:hAnsi="宋体" w:eastAsia="宋体" w:cs="宋体"/>
          <w:color w:val="auto"/>
          <w:kern w:val="0"/>
          <w:highlight w:val="none"/>
          <w:lang w:val="en-US" w:eastAsia="zh-CN"/>
        </w:rPr>
        <w:t>8</w:t>
      </w:r>
      <w:r>
        <w:rPr>
          <w:rFonts w:hint="eastAsia" w:ascii="Times New Roman" w:hAnsi="宋体" w:eastAsia="宋体" w:cs="宋体"/>
          <w:color w:val="auto"/>
          <w:kern w:val="0"/>
          <w:highlight w:val="none"/>
        </w:rPr>
        <w:t>）已标价工程量清单；</w:t>
      </w:r>
    </w:p>
    <w:p w14:paraId="62C0D964">
      <w:pPr>
        <w:autoSpaceDE/>
        <w:autoSpaceDN/>
        <w:adjustRightInd/>
        <w:spacing w:line="360" w:lineRule="auto"/>
        <w:ind w:firstLine="420" w:firstLineChars="200"/>
        <w:jc w:val="left"/>
        <w:rPr>
          <w:rFonts w:hint="eastAsia" w:ascii="Times New Roman" w:hAnsi="宋体" w:eastAsia="宋体" w:cs="宋体"/>
          <w:color w:val="auto"/>
          <w:kern w:val="0"/>
          <w:highlight w:val="none"/>
          <w:u w:val="none"/>
        </w:rPr>
      </w:pPr>
      <w:r>
        <w:rPr>
          <w:rFonts w:hint="eastAsia" w:ascii="Times New Roman" w:hAnsi="宋体" w:eastAsia="宋体" w:cs="宋体"/>
          <w:color w:val="auto"/>
          <w:kern w:val="0"/>
          <w:highlight w:val="none"/>
        </w:rPr>
        <w:t>（</w:t>
      </w:r>
      <w:r>
        <w:rPr>
          <w:rFonts w:hint="eastAsia" w:ascii="Times New Roman" w:hAnsi="宋体" w:eastAsia="宋体" w:cs="宋体"/>
          <w:color w:val="auto"/>
          <w:kern w:val="0"/>
          <w:highlight w:val="none"/>
          <w:lang w:val="en-US" w:eastAsia="zh-CN"/>
        </w:rPr>
        <w:t>9</w:t>
      </w:r>
      <w:r>
        <w:rPr>
          <w:rFonts w:hint="eastAsia" w:ascii="Times New Roman" w:hAnsi="宋体" w:eastAsia="宋体" w:cs="宋体"/>
          <w:color w:val="auto"/>
          <w:kern w:val="0"/>
          <w:highlight w:val="none"/>
        </w:rPr>
        <w:t>）</w:t>
      </w:r>
      <w:r>
        <w:rPr>
          <w:rFonts w:hint="eastAsia" w:ascii="Times New Roman" w:hAnsi="宋体" w:eastAsia="宋体" w:cs="宋体"/>
          <w:color w:val="auto"/>
          <w:kern w:val="0"/>
          <w:highlight w:val="none"/>
          <w:u w:val="none"/>
        </w:rPr>
        <w:t>其他合同文件：</w:t>
      </w:r>
    </w:p>
    <w:p w14:paraId="7D4DFFB5">
      <w:pPr>
        <w:spacing w:line="360" w:lineRule="auto"/>
        <w:ind w:firstLine="420" w:firstLineChars="200"/>
        <w:rPr>
          <w:rFonts w:hAnsi="宋体" w:cs="宋体"/>
          <w:color w:val="auto"/>
          <w:kern w:val="0"/>
          <w:highlight w:val="none"/>
        </w:rPr>
      </w:pPr>
      <w:r>
        <w:rPr>
          <w:rFonts w:hint="eastAsia" w:hAnsi="宋体" w:cs="宋体"/>
          <w:color w:val="auto"/>
          <w:kern w:val="0"/>
          <w:highlight w:val="none"/>
        </w:rPr>
        <w:t>上述各项合同文件包括合同当事人就该项合同文件所作出的补充和修改，属于同一类内容的文件，应以最新签署的为准（违反招标文件</w:t>
      </w:r>
      <w:r>
        <w:rPr>
          <w:rFonts w:hAnsi="宋体" w:cs="宋体"/>
          <w:color w:val="auto"/>
          <w:kern w:val="0"/>
          <w:highlight w:val="none"/>
        </w:rPr>
        <w:t>实质性内容的约定除外</w:t>
      </w:r>
      <w:r>
        <w:rPr>
          <w:rFonts w:hint="eastAsia" w:hAnsi="宋体" w:cs="宋体"/>
          <w:color w:val="auto"/>
          <w:kern w:val="0"/>
          <w:highlight w:val="none"/>
        </w:rPr>
        <w:t>）。专用合同条款及其附件须经合同当事人签字或盖章。</w:t>
      </w:r>
    </w:p>
    <w:p w14:paraId="05FDA752">
      <w:pPr>
        <w:pStyle w:val="4"/>
        <w:rPr>
          <w:color w:val="auto"/>
          <w:highlight w:val="none"/>
        </w:rPr>
      </w:pPr>
      <w:bookmarkStart w:id="242" w:name="_Toc28631"/>
      <w:bookmarkStart w:id="243" w:name="_Toc407135199"/>
      <w:bookmarkStart w:id="244" w:name="_Toc373478344"/>
      <w:bookmarkStart w:id="245" w:name="_Toc78449785"/>
      <w:bookmarkStart w:id="246" w:name="_Toc1531480704"/>
      <w:bookmarkStart w:id="247" w:name="_Toc373227697"/>
      <w:bookmarkStart w:id="248" w:name="_Toc1537247101"/>
      <w:bookmarkStart w:id="249" w:name="_Toc389065263"/>
      <w:r>
        <w:rPr>
          <w:color w:val="auto"/>
          <w:highlight w:val="none"/>
        </w:rPr>
        <w:t xml:space="preserve">1.6 </w:t>
      </w:r>
      <w:r>
        <w:rPr>
          <w:rFonts w:hint="eastAsia" w:cs="黑体"/>
          <w:color w:val="auto"/>
          <w:highlight w:val="none"/>
        </w:rPr>
        <w:t>图纸和承包人文件</w:t>
      </w:r>
      <w:bookmarkEnd w:id="242"/>
      <w:bookmarkEnd w:id="243"/>
      <w:bookmarkEnd w:id="244"/>
      <w:bookmarkEnd w:id="245"/>
      <w:bookmarkEnd w:id="246"/>
      <w:bookmarkEnd w:id="247"/>
      <w:bookmarkEnd w:id="248"/>
      <w:bookmarkEnd w:id="249"/>
      <w:r>
        <w:rPr>
          <w:color w:val="auto"/>
          <w:highlight w:val="none"/>
        </w:rPr>
        <w:tab/>
      </w:r>
    </w:p>
    <w:p w14:paraId="4297F873">
      <w:pPr>
        <w:spacing w:line="360" w:lineRule="auto"/>
        <w:ind w:firstLine="420" w:firstLineChars="200"/>
        <w:rPr>
          <w:color w:val="auto"/>
          <w:highlight w:val="none"/>
        </w:rPr>
      </w:pPr>
      <w:r>
        <w:rPr>
          <w:color w:val="auto"/>
          <w:highlight w:val="none"/>
        </w:rPr>
        <w:t xml:space="preserve">1.6.1 </w:t>
      </w:r>
      <w:r>
        <w:rPr>
          <w:rFonts w:hint="eastAsia" w:hAnsi="宋体" w:cs="宋体"/>
          <w:color w:val="auto"/>
          <w:highlight w:val="none"/>
        </w:rPr>
        <w:t>图纸的提供</w:t>
      </w:r>
    </w:p>
    <w:p w14:paraId="1D789D85">
      <w:pPr>
        <w:spacing w:line="360" w:lineRule="auto"/>
        <w:ind w:firstLine="420" w:firstLineChars="200"/>
        <w:rPr>
          <w:color w:val="auto"/>
          <w:highlight w:val="none"/>
        </w:rPr>
      </w:pPr>
      <w:r>
        <w:rPr>
          <w:rFonts w:hint="eastAsia" w:hAnsi="宋体" w:cs="宋体"/>
          <w:color w:val="auto"/>
          <w:highlight w:val="none"/>
        </w:rPr>
        <w:t>发包人向承包人提供图纸的期限：</w:t>
      </w:r>
      <w:r>
        <w:rPr>
          <w:rFonts w:hint="eastAsia"/>
          <w:color w:val="auto"/>
          <w:highlight w:val="none"/>
          <w:u w:val="single"/>
        </w:rPr>
        <w:t>合同签订之日起7个工作日内提供施工图</w:t>
      </w:r>
      <w:r>
        <w:rPr>
          <w:rFonts w:hint="eastAsia" w:hAnsi="宋体" w:cs="宋体"/>
          <w:color w:val="auto"/>
          <w:highlight w:val="none"/>
        </w:rPr>
        <w:t>；</w:t>
      </w:r>
    </w:p>
    <w:p w14:paraId="60828AA9">
      <w:pPr>
        <w:spacing w:line="360" w:lineRule="auto"/>
        <w:ind w:firstLine="420" w:firstLineChars="200"/>
        <w:rPr>
          <w:color w:val="auto"/>
          <w:highlight w:val="none"/>
        </w:rPr>
      </w:pPr>
      <w:r>
        <w:rPr>
          <w:rFonts w:hint="eastAsia" w:hAnsi="宋体" w:cs="宋体"/>
          <w:color w:val="auto"/>
          <w:highlight w:val="none"/>
        </w:rPr>
        <w:t>发包人向承包人提供图纸的数量：</w:t>
      </w:r>
      <w:r>
        <w:rPr>
          <w:rFonts w:hint="eastAsia" w:hAnsi="宋体" w:cs="宋体"/>
          <w:color w:val="auto"/>
          <w:highlight w:val="none"/>
          <w:u w:val="single"/>
        </w:rPr>
        <w:t xml:space="preserve"> </w:t>
      </w:r>
      <w:r>
        <w:rPr>
          <w:rFonts w:hint="eastAsia" w:ascii="MingLiU_HKSCS" w:cs="MingLiU_HKSCS"/>
          <w:color w:val="auto"/>
          <w:highlight w:val="none"/>
          <w:u w:val="single"/>
          <w:lang w:val="en-US" w:eastAsia="zh-CN"/>
        </w:rPr>
        <w:t xml:space="preserve">  </w:t>
      </w:r>
      <w:r>
        <w:rPr>
          <w:rFonts w:hint="eastAsia" w:ascii="MingLiU_HKSCS" w:cs="MingLiU_HKSCS"/>
          <w:color w:val="auto"/>
          <w:highlight w:val="none"/>
          <w:u w:val="single"/>
        </w:rPr>
        <w:t xml:space="preserve"> </w:t>
      </w:r>
      <w:r>
        <w:rPr>
          <w:rFonts w:hint="eastAsia" w:hAnsi="宋体" w:cs="宋体"/>
          <w:color w:val="auto"/>
          <w:highlight w:val="none"/>
        </w:rPr>
        <w:t>套（承包人需要增加图纸套数的，发包人应代为复制，复制费用由承包人承担）；</w:t>
      </w:r>
    </w:p>
    <w:p w14:paraId="1724506F">
      <w:pPr>
        <w:spacing w:line="360" w:lineRule="auto"/>
        <w:ind w:firstLine="420" w:firstLineChars="200"/>
        <w:rPr>
          <w:color w:val="auto"/>
          <w:highlight w:val="none"/>
        </w:rPr>
      </w:pPr>
      <w:r>
        <w:rPr>
          <w:rFonts w:hint="eastAsia" w:hAnsi="宋体" w:cs="宋体"/>
          <w:color w:val="auto"/>
          <w:highlight w:val="none"/>
        </w:rPr>
        <w:t>发包人向承包人提供图纸的内容：</w:t>
      </w:r>
      <w:r>
        <w:rPr>
          <w:rFonts w:hint="eastAsia"/>
          <w:color w:val="auto"/>
          <w:highlight w:val="none"/>
          <w:u w:val="single"/>
        </w:rPr>
        <w:t>本合同发包内容中的全部图纸</w:t>
      </w:r>
      <w:r>
        <w:rPr>
          <w:rFonts w:hint="eastAsia" w:hAnsi="宋体" w:cs="宋体"/>
          <w:color w:val="auto"/>
          <w:highlight w:val="none"/>
        </w:rPr>
        <w:t>。</w:t>
      </w:r>
    </w:p>
    <w:p w14:paraId="2D7FB52E">
      <w:pPr>
        <w:spacing w:line="360" w:lineRule="auto"/>
        <w:ind w:firstLine="420" w:firstLineChars="200"/>
        <w:rPr>
          <w:color w:val="auto"/>
          <w:highlight w:val="none"/>
        </w:rPr>
      </w:pPr>
      <w:r>
        <w:rPr>
          <w:color w:val="auto"/>
          <w:highlight w:val="none"/>
        </w:rPr>
        <w:t xml:space="preserve">1.6.4 </w:t>
      </w:r>
      <w:r>
        <w:rPr>
          <w:rFonts w:hint="eastAsia" w:hAnsi="宋体" w:cs="宋体"/>
          <w:color w:val="auto"/>
          <w:highlight w:val="none"/>
        </w:rPr>
        <w:t>承包人文件</w:t>
      </w:r>
    </w:p>
    <w:p w14:paraId="29AAFFA6">
      <w:pPr>
        <w:spacing w:line="360" w:lineRule="auto"/>
        <w:ind w:firstLine="420" w:firstLineChars="200"/>
        <w:jc w:val="left"/>
        <w:rPr>
          <w:color w:val="auto"/>
          <w:highlight w:val="none"/>
          <w:u w:val="single"/>
        </w:rPr>
      </w:pPr>
      <w:r>
        <w:rPr>
          <w:rFonts w:hint="eastAsia" w:hAnsi="宋体" w:cs="宋体"/>
          <w:color w:val="auto"/>
          <w:highlight w:val="none"/>
        </w:rPr>
        <w:t>需要由承包人提供的文件，包括：</w:t>
      </w:r>
      <w:r>
        <w:rPr>
          <w:rFonts w:hint="eastAsia"/>
          <w:color w:val="auto"/>
          <w:highlight w:val="none"/>
          <w:u w:val="single"/>
        </w:rPr>
        <w:t>开工前3天应提供完善的施工组织设计和安全专项方案，其他需要由承包人提供的文件由双方另行确定</w:t>
      </w:r>
      <w:r>
        <w:rPr>
          <w:rFonts w:hint="eastAsia" w:hAnsi="宋体" w:cs="宋体"/>
          <w:color w:val="auto"/>
          <w:highlight w:val="none"/>
        </w:rPr>
        <w:t>；</w:t>
      </w:r>
    </w:p>
    <w:p w14:paraId="638C9B34">
      <w:pPr>
        <w:spacing w:line="360" w:lineRule="auto"/>
        <w:ind w:firstLine="420" w:firstLineChars="200"/>
        <w:rPr>
          <w:color w:val="auto"/>
          <w:highlight w:val="none"/>
        </w:rPr>
      </w:pPr>
      <w:r>
        <w:rPr>
          <w:rFonts w:hint="eastAsia" w:hAnsi="宋体" w:cs="宋体"/>
          <w:color w:val="auto"/>
          <w:highlight w:val="none"/>
        </w:rPr>
        <w:t>承包人提供的文件的期限为：</w:t>
      </w:r>
      <w:r>
        <w:rPr>
          <w:color w:val="auto"/>
          <w:highlight w:val="none"/>
          <w:u w:val="single"/>
        </w:rPr>
        <w:t xml:space="preserve"> </w:t>
      </w:r>
      <w:r>
        <w:rPr>
          <w:rFonts w:hint="eastAsia"/>
          <w:color w:val="auto"/>
          <w:highlight w:val="none"/>
          <w:u w:val="single"/>
        </w:rPr>
        <w:t>开工前 7 天</w:t>
      </w:r>
      <w:r>
        <w:rPr>
          <w:rFonts w:hAnsi="宋体"/>
          <w:color w:val="auto"/>
          <w:highlight w:val="none"/>
          <w:u w:val="single"/>
        </w:rPr>
        <w:t xml:space="preserve"> </w:t>
      </w:r>
      <w:r>
        <w:rPr>
          <w:rFonts w:hint="eastAsia" w:hAnsi="宋体" w:cs="宋体"/>
          <w:color w:val="auto"/>
          <w:highlight w:val="none"/>
        </w:rPr>
        <w:t>；</w:t>
      </w:r>
    </w:p>
    <w:p w14:paraId="46F57068">
      <w:pPr>
        <w:spacing w:line="360" w:lineRule="auto"/>
        <w:ind w:firstLine="420" w:firstLineChars="200"/>
        <w:rPr>
          <w:color w:val="auto"/>
          <w:highlight w:val="none"/>
        </w:rPr>
      </w:pPr>
      <w:r>
        <w:rPr>
          <w:rFonts w:hint="eastAsia" w:hAnsi="宋体" w:cs="宋体"/>
          <w:color w:val="auto"/>
          <w:highlight w:val="none"/>
        </w:rPr>
        <w:t>承包人提供的文件的数量为：</w:t>
      </w:r>
      <w:r>
        <w:rPr>
          <w:color w:val="auto"/>
          <w:highlight w:val="none"/>
          <w:u w:val="single"/>
        </w:rPr>
        <w:t xml:space="preserve"> </w:t>
      </w:r>
      <w:r>
        <w:rPr>
          <w:rFonts w:hint="eastAsia"/>
          <w:color w:val="auto"/>
          <w:highlight w:val="none"/>
          <w:u w:val="single"/>
        </w:rPr>
        <w:t>电子版一份，纸质版四份</w:t>
      </w:r>
      <w:r>
        <w:rPr>
          <w:color w:val="auto"/>
          <w:highlight w:val="none"/>
          <w:u w:val="single"/>
        </w:rPr>
        <w:t xml:space="preserve"> </w:t>
      </w:r>
      <w:r>
        <w:rPr>
          <w:rFonts w:hint="eastAsia" w:hAnsi="宋体" w:cs="宋体"/>
          <w:color w:val="auto"/>
          <w:highlight w:val="none"/>
        </w:rPr>
        <w:t>；</w:t>
      </w:r>
    </w:p>
    <w:p w14:paraId="0376DF34">
      <w:pPr>
        <w:spacing w:line="360" w:lineRule="auto"/>
        <w:ind w:firstLine="420" w:firstLineChars="200"/>
        <w:rPr>
          <w:color w:val="auto"/>
          <w:highlight w:val="none"/>
        </w:rPr>
      </w:pPr>
      <w:r>
        <w:rPr>
          <w:rFonts w:hint="eastAsia" w:hAnsi="宋体" w:cs="宋体"/>
          <w:color w:val="auto"/>
          <w:highlight w:val="none"/>
        </w:rPr>
        <w:t>承包人提供的文件的形式为：</w:t>
      </w:r>
      <w:r>
        <w:rPr>
          <w:color w:val="auto"/>
          <w:highlight w:val="none"/>
          <w:u w:val="single"/>
        </w:rPr>
        <w:t xml:space="preserve"> </w:t>
      </w:r>
      <w:r>
        <w:rPr>
          <w:rFonts w:hint="eastAsia" w:hAnsi="宋体"/>
          <w:color w:val="auto"/>
          <w:highlight w:val="none"/>
          <w:u w:val="single"/>
        </w:rPr>
        <w:t>书面送达</w:t>
      </w:r>
      <w:r>
        <w:rPr>
          <w:rFonts w:hAnsi="宋体"/>
          <w:color w:val="auto"/>
          <w:highlight w:val="none"/>
          <w:u w:val="single"/>
        </w:rPr>
        <w:t xml:space="preserve"> </w:t>
      </w:r>
      <w:r>
        <w:rPr>
          <w:rFonts w:hint="eastAsia" w:hAnsi="宋体" w:cs="宋体"/>
          <w:color w:val="auto"/>
          <w:highlight w:val="none"/>
        </w:rPr>
        <w:t>；</w:t>
      </w:r>
    </w:p>
    <w:p w14:paraId="7BF7643C">
      <w:pPr>
        <w:spacing w:line="360" w:lineRule="auto"/>
        <w:ind w:firstLine="420" w:firstLineChars="200"/>
        <w:rPr>
          <w:color w:val="auto"/>
          <w:highlight w:val="none"/>
        </w:rPr>
      </w:pPr>
      <w:r>
        <w:rPr>
          <w:rFonts w:hint="eastAsia" w:hAnsi="宋体" w:cs="宋体"/>
          <w:color w:val="auto"/>
          <w:highlight w:val="none"/>
        </w:rPr>
        <w:t>发包人审批承包人文件的期限：</w:t>
      </w:r>
      <w:r>
        <w:rPr>
          <w:color w:val="auto"/>
          <w:highlight w:val="none"/>
          <w:u w:val="single"/>
        </w:rPr>
        <w:t xml:space="preserve"> </w:t>
      </w:r>
      <w:r>
        <w:rPr>
          <w:rFonts w:hint="eastAsia"/>
          <w:color w:val="auto"/>
          <w:highlight w:val="none"/>
          <w:u w:val="single"/>
        </w:rPr>
        <w:t>收到文件之日起7个工作内批复</w:t>
      </w:r>
      <w:r>
        <w:rPr>
          <w:rFonts w:hAnsi="宋体"/>
          <w:color w:val="auto"/>
          <w:highlight w:val="none"/>
          <w:u w:val="single"/>
        </w:rPr>
        <w:t xml:space="preserve"> </w:t>
      </w:r>
      <w:r>
        <w:rPr>
          <w:rFonts w:hint="eastAsia" w:hAnsi="宋体" w:cs="宋体"/>
          <w:color w:val="auto"/>
          <w:highlight w:val="none"/>
        </w:rPr>
        <w:t>。</w:t>
      </w:r>
    </w:p>
    <w:p w14:paraId="71D3E770">
      <w:pPr>
        <w:spacing w:line="360" w:lineRule="auto"/>
        <w:ind w:firstLine="420" w:firstLineChars="200"/>
        <w:rPr>
          <w:color w:val="auto"/>
          <w:highlight w:val="none"/>
        </w:rPr>
      </w:pPr>
      <w:r>
        <w:rPr>
          <w:color w:val="auto"/>
          <w:highlight w:val="none"/>
        </w:rPr>
        <w:t xml:space="preserve">1.6.5 </w:t>
      </w:r>
      <w:r>
        <w:rPr>
          <w:rFonts w:hint="eastAsia" w:hAnsi="宋体" w:cs="宋体"/>
          <w:color w:val="auto"/>
          <w:highlight w:val="none"/>
        </w:rPr>
        <w:t>现场图纸准备</w:t>
      </w:r>
    </w:p>
    <w:p w14:paraId="0E51DB91">
      <w:pPr>
        <w:spacing w:line="360" w:lineRule="auto"/>
        <w:ind w:firstLine="420" w:firstLineChars="200"/>
        <w:rPr>
          <w:color w:val="auto"/>
          <w:highlight w:val="none"/>
        </w:rPr>
      </w:pPr>
      <w:r>
        <w:rPr>
          <w:rFonts w:hint="eastAsia" w:hAnsi="宋体" w:cs="宋体"/>
          <w:color w:val="auto"/>
          <w:highlight w:val="none"/>
        </w:rPr>
        <w:t>关于现场图纸准备的约定：</w:t>
      </w:r>
      <w:r>
        <w:rPr>
          <w:color w:val="auto"/>
          <w:highlight w:val="none"/>
          <w:u w:val="single"/>
        </w:rPr>
        <w:t xml:space="preserve"> </w:t>
      </w:r>
      <w:r>
        <w:rPr>
          <w:rFonts w:hint="eastAsia"/>
          <w:color w:val="auto"/>
          <w:highlight w:val="none"/>
          <w:u w:val="single"/>
        </w:rPr>
        <w:t>承包人应在施工现场保留一套完整的施工图纸，供工程师及有关人员进行工程检查时使用，未经发包人同意不许将图纸泄露和转让给第三方</w:t>
      </w:r>
      <w:r>
        <w:rPr>
          <w:rFonts w:hAnsi="宋体"/>
          <w:color w:val="auto"/>
          <w:highlight w:val="none"/>
          <w:u w:val="single"/>
        </w:rPr>
        <w:t xml:space="preserve"> </w:t>
      </w:r>
      <w:r>
        <w:rPr>
          <w:rFonts w:hint="eastAsia" w:hAnsi="宋体" w:cs="宋体"/>
          <w:color w:val="auto"/>
          <w:highlight w:val="none"/>
        </w:rPr>
        <w:t>。</w:t>
      </w:r>
    </w:p>
    <w:p w14:paraId="135FF4DE">
      <w:pPr>
        <w:pStyle w:val="4"/>
        <w:rPr>
          <w:color w:val="auto"/>
          <w:highlight w:val="none"/>
        </w:rPr>
      </w:pPr>
      <w:bookmarkStart w:id="250" w:name="_Toc373227698"/>
      <w:bookmarkStart w:id="251" w:name="_Toc389065264"/>
      <w:bookmarkStart w:id="252" w:name="_Toc78449786"/>
      <w:bookmarkStart w:id="253" w:name="_Toc407135200"/>
      <w:bookmarkStart w:id="254" w:name="_Toc373478345"/>
      <w:bookmarkStart w:id="255" w:name="_Toc1944260835"/>
      <w:bookmarkStart w:id="256" w:name="_Toc23843"/>
      <w:bookmarkStart w:id="257" w:name="_Toc110523719"/>
      <w:r>
        <w:rPr>
          <w:color w:val="auto"/>
          <w:highlight w:val="none"/>
        </w:rPr>
        <w:t xml:space="preserve">1.7 </w:t>
      </w:r>
      <w:r>
        <w:rPr>
          <w:rFonts w:hint="eastAsia" w:hAnsi="宋体" w:cs="黑体"/>
          <w:color w:val="auto"/>
          <w:highlight w:val="none"/>
        </w:rPr>
        <w:t>联络</w:t>
      </w:r>
      <w:bookmarkEnd w:id="250"/>
      <w:bookmarkEnd w:id="251"/>
      <w:bookmarkEnd w:id="252"/>
      <w:bookmarkEnd w:id="253"/>
      <w:bookmarkEnd w:id="254"/>
      <w:bookmarkEnd w:id="255"/>
      <w:bookmarkEnd w:id="256"/>
      <w:bookmarkEnd w:id="257"/>
    </w:p>
    <w:p w14:paraId="142C0836">
      <w:pPr>
        <w:spacing w:line="360" w:lineRule="auto"/>
        <w:ind w:firstLine="420" w:firstLineChars="200"/>
        <w:rPr>
          <w:color w:val="auto"/>
          <w:kern w:val="0"/>
          <w:highlight w:val="none"/>
        </w:rPr>
      </w:pPr>
      <w:r>
        <w:rPr>
          <w:color w:val="auto"/>
          <w:kern w:val="0"/>
          <w:highlight w:val="none"/>
        </w:rPr>
        <w:t>1.7.1</w:t>
      </w:r>
      <w:r>
        <w:rPr>
          <w:rFonts w:hint="eastAsia" w:hAnsi="宋体" w:cs="宋体"/>
          <w:color w:val="auto"/>
          <w:kern w:val="0"/>
          <w:highlight w:val="none"/>
        </w:rPr>
        <w:t>发包人和承包人应当在</w:t>
      </w:r>
      <w:r>
        <w:rPr>
          <w:color w:val="auto"/>
          <w:highlight w:val="none"/>
          <w:u w:val="single"/>
        </w:rPr>
        <w:t xml:space="preserve"> </w:t>
      </w:r>
      <w:r>
        <w:rPr>
          <w:rFonts w:hint="eastAsia"/>
          <w:color w:val="auto"/>
          <w:highlight w:val="none"/>
          <w:u w:val="single"/>
          <w:lang w:val="en-US" w:eastAsia="zh-CN"/>
        </w:rPr>
        <w:t>7</w:t>
      </w:r>
      <w:r>
        <w:rPr>
          <w:color w:val="auto"/>
          <w:highlight w:val="none"/>
          <w:u w:val="single"/>
        </w:rPr>
        <w:t xml:space="preserve"> </w:t>
      </w:r>
      <w:r>
        <w:rPr>
          <w:rFonts w:hint="eastAsia" w:hAnsi="宋体" w:cs="宋体"/>
          <w:color w:val="auto"/>
          <w:kern w:val="0"/>
          <w:highlight w:val="none"/>
        </w:rPr>
        <w:t>天内将与合同有关的通知、批准、证明、证书、指示、指令、要求、请求、同意、意见、确定和决定等书面函件送达对方当事人。</w:t>
      </w:r>
    </w:p>
    <w:p w14:paraId="61A52F1E">
      <w:pPr>
        <w:spacing w:line="360" w:lineRule="auto"/>
        <w:ind w:firstLine="420" w:firstLineChars="200"/>
        <w:rPr>
          <w:color w:val="auto"/>
          <w:kern w:val="0"/>
          <w:highlight w:val="none"/>
        </w:rPr>
      </w:pPr>
      <w:r>
        <w:rPr>
          <w:color w:val="auto"/>
          <w:kern w:val="0"/>
          <w:highlight w:val="none"/>
        </w:rPr>
        <w:t xml:space="preserve">1.7.2 </w:t>
      </w:r>
      <w:r>
        <w:rPr>
          <w:rFonts w:hint="eastAsia" w:hAnsi="宋体" w:cs="宋体"/>
          <w:color w:val="auto"/>
          <w:kern w:val="0"/>
          <w:highlight w:val="none"/>
        </w:rPr>
        <w:t>发包人接收文件的地点：</w:t>
      </w:r>
      <w:r>
        <w:rPr>
          <w:color w:val="auto"/>
          <w:highlight w:val="none"/>
          <w:u w:val="single"/>
        </w:rPr>
        <w:t xml:space="preserve"> </w:t>
      </w:r>
      <w:r>
        <w:rPr>
          <w:rFonts w:hint="eastAsia"/>
          <w:color w:val="auto"/>
          <w:highlight w:val="none"/>
          <w:u w:val="single"/>
        </w:rPr>
        <w:t>发包人办公室</w:t>
      </w:r>
      <w:r>
        <w:rPr>
          <w:color w:val="auto"/>
          <w:highlight w:val="none"/>
          <w:u w:val="single"/>
        </w:rPr>
        <w:t xml:space="preserve"> </w:t>
      </w:r>
      <w:r>
        <w:rPr>
          <w:rFonts w:hint="eastAsia" w:hAnsi="宋体" w:cs="宋体"/>
          <w:color w:val="auto"/>
          <w:kern w:val="0"/>
          <w:highlight w:val="none"/>
        </w:rPr>
        <w:t>；</w:t>
      </w:r>
    </w:p>
    <w:p w14:paraId="1D2FCAD6">
      <w:pPr>
        <w:spacing w:line="360" w:lineRule="auto"/>
        <w:ind w:firstLine="420" w:firstLineChars="200"/>
        <w:rPr>
          <w:color w:val="auto"/>
          <w:kern w:val="0"/>
          <w:highlight w:val="none"/>
        </w:rPr>
      </w:pPr>
      <w:r>
        <w:rPr>
          <w:rFonts w:hint="eastAsia" w:hAnsi="宋体" w:cs="宋体"/>
          <w:color w:val="auto"/>
          <w:kern w:val="0"/>
          <w:highlight w:val="none"/>
        </w:rPr>
        <w:t>发包人指定的接收人为：</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hAnsi="宋体" w:cs="宋体"/>
          <w:color w:val="auto"/>
          <w:kern w:val="0"/>
          <w:highlight w:val="none"/>
        </w:rPr>
        <w:t>。</w:t>
      </w:r>
    </w:p>
    <w:p w14:paraId="7ED9FA6C">
      <w:pPr>
        <w:spacing w:line="360" w:lineRule="auto"/>
        <w:ind w:firstLine="420" w:firstLineChars="200"/>
        <w:rPr>
          <w:color w:val="auto"/>
          <w:kern w:val="0"/>
          <w:highlight w:val="none"/>
        </w:rPr>
      </w:pPr>
      <w:r>
        <w:rPr>
          <w:rFonts w:hint="eastAsia" w:hAnsi="宋体" w:cs="宋体"/>
          <w:color w:val="auto"/>
          <w:kern w:val="0"/>
          <w:highlight w:val="none"/>
        </w:rPr>
        <w:t>承包人接收文件的地点：</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hAnsi="宋体" w:cs="宋体"/>
          <w:color w:val="auto"/>
          <w:kern w:val="0"/>
          <w:highlight w:val="none"/>
        </w:rPr>
        <w:t>；</w:t>
      </w:r>
    </w:p>
    <w:p w14:paraId="74123DFA">
      <w:pPr>
        <w:spacing w:line="360" w:lineRule="auto"/>
        <w:ind w:firstLine="420" w:firstLineChars="200"/>
        <w:rPr>
          <w:color w:val="auto"/>
          <w:kern w:val="0"/>
          <w:highlight w:val="none"/>
        </w:rPr>
      </w:pPr>
      <w:r>
        <w:rPr>
          <w:rFonts w:hint="eastAsia" w:hAnsi="宋体" w:cs="宋体"/>
          <w:color w:val="auto"/>
          <w:kern w:val="0"/>
          <w:highlight w:val="none"/>
        </w:rPr>
        <w:t>承包人指定的接收人为：</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hAnsi="宋体" w:cs="宋体"/>
          <w:color w:val="auto"/>
          <w:kern w:val="0"/>
          <w:highlight w:val="none"/>
        </w:rPr>
        <w:t>。</w:t>
      </w:r>
    </w:p>
    <w:p w14:paraId="483576FE">
      <w:pPr>
        <w:spacing w:line="360" w:lineRule="auto"/>
        <w:ind w:firstLine="420" w:firstLineChars="200"/>
        <w:rPr>
          <w:color w:val="auto"/>
          <w:kern w:val="0"/>
          <w:highlight w:val="none"/>
        </w:rPr>
      </w:pPr>
      <w:r>
        <w:rPr>
          <w:rFonts w:hint="eastAsia" w:hAnsi="宋体" w:cs="宋体"/>
          <w:color w:val="auto"/>
          <w:kern w:val="0"/>
          <w:highlight w:val="none"/>
        </w:rPr>
        <w:t>监理人接收文件的地点：</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hAnsi="宋体" w:cs="宋体"/>
          <w:color w:val="auto"/>
          <w:kern w:val="0"/>
          <w:highlight w:val="none"/>
        </w:rPr>
        <w:t>；</w:t>
      </w:r>
    </w:p>
    <w:p w14:paraId="1D6C506B">
      <w:pPr>
        <w:spacing w:line="360" w:lineRule="auto"/>
        <w:ind w:firstLine="420" w:firstLineChars="200"/>
        <w:rPr>
          <w:color w:val="auto"/>
          <w:kern w:val="0"/>
          <w:highlight w:val="none"/>
        </w:rPr>
      </w:pPr>
      <w:r>
        <w:rPr>
          <w:rFonts w:hint="eastAsia" w:hAnsi="宋体" w:cs="宋体"/>
          <w:color w:val="auto"/>
          <w:kern w:val="0"/>
          <w:highlight w:val="none"/>
        </w:rPr>
        <w:t>监理人指定的接收人为：</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hAnsi="宋体" w:cs="宋体"/>
          <w:color w:val="auto"/>
          <w:kern w:val="0"/>
          <w:highlight w:val="none"/>
        </w:rPr>
        <w:t>。</w:t>
      </w:r>
    </w:p>
    <w:p w14:paraId="3DA82589">
      <w:pPr>
        <w:pStyle w:val="4"/>
        <w:rPr>
          <w:color w:val="auto"/>
          <w:highlight w:val="none"/>
        </w:rPr>
      </w:pPr>
      <w:bookmarkStart w:id="258" w:name="_Toc7820"/>
      <w:bookmarkStart w:id="259" w:name="_Toc373227699"/>
      <w:bookmarkStart w:id="260" w:name="_Toc224348539"/>
      <w:bookmarkStart w:id="261" w:name="_Toc1387231545"/>
      <w:bookmarkStart w:id="262" w:name="_Toc373478346"/>
      <w:bookmarkStart w:id="263" w:name="_Toc389065265"/>
      <w:bookmarkStart w:id="264" w:name="_Toc78449787"/>
      <w:bookmarkStart w:id="265" w:name="_Toc407135201"/>
      <w:r>
        <w:rPr>
          <w:color w:val="auto"/>
          <w:highlight w:val="none"/>
        </w:rPr>
        <w:t xml:space="preserve">1.10 </w:t>
      </w:r>
      <w:r>
        <w:rPr>
          <w:rFonts w:hint="eastAsia" w:hAnsi="宋体" w:cs="黑体"/>
          <w:color w:val="auto"/>
          <w:highlight w:val="none"/>
        </w:rPr>
        <w:t>交通运输</w:t>
      </w:r>
      <w:bookmarkEnd w:id="258"/>
      <w:bookmarkEnd w:id="259"/>
      <w:bookmarkEnd w:id="260"/>
      <w:bookmarkEnd w:id="261"/>
      <w:bookmarkEnd w:id="262"/>
      <w:bookmarkEnd w:id="263"/>
      <w:bookmarkEnd w:id="264"/>
      <w:bookmarkEnd w:id="265"/>
    </w:p>
    <w:p w14:paraId="6389243B">
      <w:pPr>
        <w:spacing w:line="360" w:lineRule="auto"/>
        <w:ind w:firstLine="420" w:firstLineChars="200"/>
        <w:rPr>
          <w:color w:val="auto"/>
          <w:highlight w:val="none"/>
        </w:rPr>
      </w:pPr>
      <w:r>
        <w:rPr>
          <w:color w:val="auto"/>
          <w:highlight w:val="none"/>
        </w:rPr>
        <w:t>1</w:t>
      </w:r>
      <w:bookmarkStart w:id="266" w:name="_Toc318581155"/>
      <w:bookmarkStart w:id="267" w:name="_Toc300934943"/>
      <w:bookmarkStart w:id="268" w:name="_Toc312677986"/>
      <w:bookmarkStart w:id="269" w:name="_Toc303539100"/>
      <w:bookmarkStart w:id="270" w:name="_Toc304295521"/>
      <w:r>
        <w:rPr>
          <w:color w:val="auto"/>
          <w:highlight w:val="none"/>
        </w:rPr>
        <w:t xml:space="preserve">.10.1 </w:t>
      </w:r>
      <w:r>
        <w:rPr>
          <w:rFonts w:hint="eastAsia" w:hAnsi="宋体" w:cs="宋体"/>
          <w:color w:val="auto"/>
          <w:highlight w:val="none"/>
        </w:rPr>
        <w:t>出入现场的权利</w:t>
      </w:r>
    </w:p>
    <w:p w14:paraId="7360E4D4">
      <w:pPr>
        <w:spacing w:line="360" w:lineRule="auto"/>
        <w:ind w:firstLine="420" w:firstLineChars="200"/>
        <w:rPr>
          <w:color w:val="auto"/>
          <w:highlight w:val="none"/>
          <w:u w:val="single"/>
        </w:rPr>
      </w:pPr>
      <w:r>
        <w:rPr>
          <w:rFonts w:hint="eastAsia" w:hAnsi="宋体" w:cs="宋体"/>
          <w:color w:val="auto"/>
          <w:highlight w:val="none"/>
        </w:rPr>
        <w:t>关于出入现场的权利的约定：</w:t>
      </w:r>
      <w:r>
        <w:rPr>
          <w:rFonts w:hint="eastAsia"/>
          <w:color w:val="auto"/>
          <w:highlight w:val="none"/>
          <w:u w:val="single"/>
        </w:rPr>
        <w:t>承包人负责办理取得道路通行权、场外设施修建权，其相关费用由承包人承担；负责施工所需的场内临时道路和交通设施的修建、维护、养护和管理，相关费用由承包人承担。发包人和监理人有权无偿使用承包人修建的临时道路和交通设施，不需要交纳任何费用</w:t>
      </w:r>
      <w:r>
        <w:rPr>
          <w:rFonts w:hint="eastAsia" w:hAnsi="宋体" w:cs="宋体"/>
          <w:color w:val="auto"/>
          <w:highlight w:val="none"/>
        </w:rPr>
        <w:t>。</w:t>
      </w:r>
    </w:p>
    <w:bookmarkEnd w:id="266"/>
    <w:bookmarkEnd w:id="267"/>
    <w:bookmarkEnd w:id="268"/>
    <w:bookmarkEnd w:id="269"/>
    <w:bookmarkEnd w:id="270"/>
    <w:p w14:paraId="79EE8FCC">
      <w:pPr>
        <w:spacing w:line="360" w:lineRule="auto"/>
        <w:ind w:firstLine="420" w:firstLineChars="200"/>
        <w:jc w:val="left"/>
        <w:rPr>
          <w:color w:val="auto"/>
          <w:highlight w:val="none"/>
        </w:rPr>
      </w:pPr>
      <w:r>
        <w:rPr>
          <w:color w:val="auto"/>
          <w:highlight w:val="none"/>
        </w:rPr>
        <w:t>1</w:t>
      </w:r>
      <w:bookmarkStart w:id="271" w:name="_Toc304295522"/>
      <w:bookmarkStart w:id="272" w:name="_Toc318581156"/>
      <w:bookmarkStart w:id="273" w:name="_Toc312677987"/>
      <w:bookmarkStart w:id="274" w:name="_Toc300934944"/>
      <w:bookmarkStart w:id="275" w:name="_Toc303539101"/>
      <w:r>
        <w:rPr>
          <w:color w:val="auto"/>
          <w:highlight w:val="none"/>
        </w:rPr>
        <w:t xml:space="preserve">.10.3 </w:t>
      </w:r>
      <w:r>
        <w:rPr>
          <w:rFonts w:hint="eastAsia" w:hAnsi="宋体" w:cs="宋体"/>
          <w:color w:val="auto"/>
          <w:highlight w:val="none"/>
        </w:rPr>
        <w:t>场内交通</w:t>
      </w:r>
    </w:p>
    <w:p w14:paraId="03431905">
      <w:pPr>
        <w:spacing w:line="360" w:lineRule="auto"/>
        <w:ind w:firstLine="420" w:firstLineChars="200"/>
        <w:jc w:val="left"/>
        <w:rPr>
          <w:color w:val="auto"/>
          <w:kern w:val="0"/>
          <w:highlight w:val="none"/>
        </w:rPr>
      </w:pPr>
      <w:r>
        <w:rPr>
          <w:rFonts w:hint="eastAsia" w:hAnsi="宋体" w:cs="宋体"/>
          <w:color w:val="auto"/>
          <w:kern w:val="0"/>
          <w:highlight w:val="none"/>
        </w:rPr>
        <w:t>关于场外交通和场内交通的边界的约定：</w:t>
      </w:r>
      <w:r>
        <w:rPr>
          <w:color w:val="auto"/>
          <w:highlight w:val="none"/>
          <w:u w:val="single"/>
        </w:rPr>
        <w:t xml:space="preserve"> </w:t>
      </w:r>
      <w:r>
        <w:rPr>
          <w:rFonts w:hint="eastAsia"/>
          <w:color w:val="auto"/>
          <w:highlight w:val="none"/>
          <w:u w:val="single"/>
        </w:rPr>
        <w:t>以本合同施工图纸为准</w:t>
      </w:r>
      <w:r>
        <w:rPr>
          <w:color w:val="auto"/>
          <w:highlight w:val="none"/>
          <w:u w:val="single"/>
        </w:rPr>
        <w:t xml:space="preserve"> </w:t>
      </w:r>
      <w:r>
        <w:rPr>
          <w:rFonts w:hint="eastAsia" w:hAnsi="宋体" w:cs="宋体"/>
          <w:color w:val="auto"/>
          <w:highlight w:val="none"/>
        </w:rPr>
        <w:t>。</w:t>
      </w:r>
    </w:p>
    <w:p w14:paraId="2BBDE061">
      <w:pPr>
        <w:spacing w:line="360" w:lineRule="auto"/>
        <w:ind w:firstLine="420" w:firstLineChars="200"/>
        <w:jc w:val="left"/>
        <w:rPr>
          <w:color w:val="auto"/>
          <w:highlight w:val="none"/>
        </w:rPr>
      </w:pPr>
      <w:r>
        <w:rPr>
          <w:rFonts w:hAnsi="宋体"/>
          <w:color w:val="auto"/>
          <w:highlight w:val="none"/>
        </w:rPr>
        <w:t>关于发包人向承包人免费提供满足工程施工需要的场内道路和交通设施的约定：</w:t>
      </w:r>
      <w:r>
        <w:rPr>
          <w:rFonts w:hAnsi="宋体"/>
          <w:color w:val="auto"/>
          <w:highlight w:val="none"/>
          <w:u w:val="single"/>
        </w:rPr>
        <w:t></w:t>
      </w:r>
      <w:r>
        <w:rPr>
          <w:rFonts w:ascii="宋体" w:hAnsi="宋体" w:eastAsia="宋体" w:cs="宋体"/>
          <w:color w:val="auto"/>
          <w:spacing w:val="0"/>
          <w:highlight w:val="none"/>
          <w:u w:val="single"/>
        </w:rPr>
        <w:t>由承包人自行解决</w:t>
      </w:r>
      <w:r>
        <w:rPr>
          <w:color w:val="auto"/>
          <w:highlight w:val="none"/>
          <w:u w:val="single"/>
        </w:rPr>
        <w:t xml:space="preserve">  </w:t>
      </w:r>
      <w:r>
        <w:rPr>
          <w:rFonts w:hAnsi="宋体"/>
          <w:color w:val="auto"/>
          <w:highlight w:val="none"/>
        </w:rPr>
        <w:t>。</w:t>
      </w:r>
      <w:bookmarkEnd w:id="271"/>
      <w:bookmarkEnd w:id="272"/>
      <w:bookmarkEnd w:id="273"/>
      <w:bookmarkEnd w:id="274"/>
      <w:bookmarkEnd w:id="275"/>
      <w:bookmarkStart w:id="276" w:name="_Toc318581157"/>
    </w:p>
    <w:p w14:paraId="5C4B1B6D">
      <w:pPr>
        <w:spacing w:line="360" w:lineRule="auto"/>
        <w:ind w:firstLine="420" w:firstLineChars="200"/>
        <w:jc w:val="left"/>
        <w:rPr>
          <w:color w:val="auto"/>
          <w:highlight w:val="none"/>
        </w:rPr>
      </w:pPr>
      <w:r>
        <w:rPr>
          <w:color w:val="auto"/>
          <w:highlight w:val="none"/>
        </w:rPr>
        <w:t xml:space="preserve">1.10.4 </w:t>
      </w:r>
      <w:r>
        <w:rPr>
          <w:rFonts w:hint="eastAsia" w:hAnsi="宋体" w:cs="宋体"/>
          <w:color w:val="auto"/>
          <w:highlight w:val="none"/>
        </w:rPr>
        <w:t>超大件和超重件的运输</w:t>
      </w:r>
    </w:p>
    <w:p w14:paraId="50FA2B96">
      <w:pPr>
        <w:spacing w:line="360" w:lineRule="auto"/>
        <w:ind w:firstLine="420" w:firstLineChars="200"/>
        <w:jc w:val="left"/>
        <w:rPr>
          <w:color w:val="auto"/>
          <w:highlight w:val="none"/>
          <w:u w:val="single"/>
        </w:rPr>
      </w:pPr>
      <w:r>
        <w:rPr>
          <w:rFonts w:hint="eastAsia" w:hAnsi="宋体" w:cs="宋体"/>
          <w:color w:val="auto"/>
          <w:highlight w:val="none"/>
        </w:rPr>
        <w:t>运输超大件或超重件所需的道路和桥梁临时加固改造费用和其他有关费用由</w:t>
      </w:r>
      <w:r>
        <w:rPr>
          <w:rFonts w:ascii="宋体" w:hAnsi="宋体" w:eastAsia="宋体" w:cs="宋体"/>
          <w:color w:val="auto"/>
          <w:highlight w:val="none"/>
          <w:u w:val="single"/>
        </w:rPr>
        <w:t xml:space="preserve"> 承包人 </w:t>
      </w:r>
      <w:r>
        <w:rPr>
          <w:rFonts w:hint="eastAsia" w:hAnsi="宋体" w:cs="宋体"/>
          <w:color w:val="auto"/>
          <w:highlight w:val="none"/>
        </w:rPr>
        <w:t>承担。</w:t>
      </w:r>
    </w:p>
    <w:bookmarkEnd w:id="276"/>
    <w:p w14:paraId="58ACF2A7">
      <w:pPr>
        <w:pStyle w:val="4"/>
        <w:rPr>
          <w:color w:val="auto"/>
          <w:highlight w:val="none"/>
        </w:rPr>
      </w:pPr>
      <w:bookmarkStart w:id="277" w:name="_Toc373478347"/>
      <w:bookmarkStart w:id="278" w:name="_Toc78449788"/>
      <w:bookmarkStart w:id="279" w:name="_Toc407135202"/>
      <w:bookmarkStart w:id="280" w:name="_Toc512841653"/>
      <w:bookmarkStart w:id="281" w:name="_Toc389065266"/>
      <w:bookmarkStart w:id="282" w:name="_Toc1495098807"/>
      <w:bookmarkStart w:id="283" w:name="_Toc373227700"/>
      <w:bookmarkStart w:id="284" w:name="_Toc13591"/>
      <w:r>
        <w:rPr>
          <w:color w:val="auto"/>
          <w:highlight w:val="none"/>
        </w:rPr>
        <w:t xml:space="preserve">1.11 </w:t>
      </w:r>
      <w:r>
        <w:rPr>
          <w:rFonts w:hint="eastAsia" w:hAnsi="宋体" w:cs="黑体"/>
          <w:color w:val="auto"/>
          <w:highlight w:val="none"/>
        </w:rPr>
        <w:t>知识产权</w:t>
      </w:r>
      <w:bookmarkEnd w:id="277"/>
      <w:bookmarkEnd w:id="278"/>
      <w:bookmarkEnd w:id="279"/>
      <w:bookmarkEnd w:id="280"/>
      <w:bookmarkEnd w:id="281"/>
      <w:bookmarkEnd w:id="282"/>
      <w:bookmarkEnd w:id="283"/>
      <w:bookmarkEnd w:id="284"/>
    </w:p>
    <w:p w14:paraId="234C955B">
      <w:pPr>
        <w:spacing w:line="360" w:lineRule="auto"/>
        <w:ind w:firstLine="420" w:firstLineChars="200"/>
        <w:rPr>
          <w:color w:val="auto"/>
          <w:highlight w:val="none"/>
        </w:rPr>
      </w:pPr>
      <w:r>
        <w:rPr>
          <w:color w:val="auto"/>
          <w:highlight w:val="none"/>
        </w:rPr>
        <w:t xml:space="preserve">1.11.1 </w:t>
      </w:r>
      <w:r>
        <w:rPr>
          <w:rFonts w:hint="eastAsia" w:hAnsi="宋体" w:cs="宋体"/>
          <w:color w:val="auto"/>
          <w:highlight w:val="none"/>
        </w:rPr>
        <w:t>关于发包人提供给承包人的图纸、发包人为实施工程自行编制或委托编制的技术规范以及反映发包人关于合同要求或其他类似性质的文件的著作权的归属：</w:t>
      </w:r>
      <w:r>
        <w:rPr>
          <w:rFonts w:ascii="宋体" w:hAnsi="宋体" w:eastAsia="宋体" w:cs="宋体"/>
          <w:color w:val="auto"/>
          <w:highlight w:val="none"/>
          <w:u w:val="single"/>
        </w:rPr>
        <w:t xml:space="preserve"> 发包人 </w:t>
      </w:r>
      <w:r>
        <w:rPr>
          <w:rFonts w:hint="eastAsia" w:hAnsi="宋体" w:cs="宋体"/>
          <w:color w:val="auto"/>
          <w:highlight w:val="none"/>
        </w:rPr>
        <w:t>。</w:t>
      </w:r>
    </w:p>
    <w:p w14:paraId="405CDF74">
      <w:pPr>
        <w:spacing w:line="360" w:lineRule="auto"/>
        <w:ind w:firstLine="420" w:firstLineChars="200"/>
        <w:rPr>
          <w:color w:val="auto"/>
          <w:highlight w:val="none"/>
        </w:rPr>
      </w:pPr>
      <w:r>
        <w:rPr>
          <w:rFonts w:hint="eastAsia" w:hAnsi="宋体" w:cs="宋体"/>
          <w:color w:val="auto"/>
          <w:highlight w:val="none"/>
        </w:rPr>
        <w:t>关于发包人提供的上述文件的使用限制的要求：</w:t>
      </w:r>
      <w:r>
        <w:rPr>
          <w:rFonts w:ascii="宋体" w:hAnsi="宋体" w:eastAsia="宋体" w:cs="宋体"/>
          <w:color w:val="auto"/>
          <w:spacing w:val="0"/>
          <w:highlight w:val="none"/>
          <w:u w:val="single"/>
        </w:rPr>
        <w:t>承包人可以为实现合同目的而复制、使用此类文件，但不能用于与合同无关的其他事项。未经发包人书面同意，承包人不得为了合同以外的目的</w:t>
      </w:r>
      <w:r>
        <w:rPr>
          <w:rFonts w:ascii="宋体" w:hAnsi="宋体" w:eastAsia="宋体" w:cs="宋体"/>
          <w:color w:val="auto"/>
          <w:highlight w:val="none"/>
          <w:u w:val="single"/>
        </w:rPr>
        <w:t xml:space="preserve">而复制、使用上述文件或将之提供给任何第三方 </w:t>
      </w:r>
      <w:r>
        <w:rPr>
          <w:rFonts w:hint="eastAsia" w:hAnsi="宋体" w:cs="宋体"/>
          <w:color w:val="auto"/>
          <w:highlight w:val="none"/>
        </w:rPr>
        <w:t>。</w:t>
      </w:r>
    </w:p>
    <w:p w14:paraId="761F6628">
      <w:pPr>
        <w:spacing w:line="360" w:lineRule="auto"/>
        <w:ind w:firstLine="420" w:firstLineChars="200"/>
        <w:rPr>
          <w:color w:val="auto"/>
          <w:highlight w:val="none"/>
        </w:rPr>
      </w:pPr>
      <w:r>
        <w:rPr>
          <w:color w:val="auto"/>
          <w:highlight w:val="none"/>
        </w:rPr>
        <w:t xml:space="preserve">1.11.2 </w:t>
      </w:r>
      <w:r>
        <w:rPr>
          <w:rFonts w:hint="eastAsia" w:hAnsi="宋体" w:cs="宋体"/>
          <w:color w:val="auto"/>
          <w:highlight w:val="none"/>
        </w:rPr>
        <w:t>关于承包人为实施工程所编制文件的著作权的归属：</w:t>
      </w:r>
      <w:r>
        <w:rPr>
          <w:rFonts w:ascii="宋体" w:hAnsi="宋体" w:eastAsia="宋体" w:cs="宋体"/>
          <w:color w:val="auto"/>
          <w:spacing w:val="0"/>
          <w:highlight w:val="none"/>
          <w:u w:val="single"/>
        </w:rPr>
        <w:t xml:space="preserve"> 除署名权以外的著作权属于发包人</w:t>
      </w:r>
      <w:r>
        <w:rPr>
          <w:rFonts w:hint="eastAsia" w:hAnsi="宋体" w:cs="宋体"/>
          <w:color w:val="auto"/>
          <w:highlight w:val="none"/>
        </w:rPr>
        <w:t>。</w:t>
      </w:r>
    </w:p>
    <w:p w14:paraId="71AB59B4">
      <w:pPr>
        <w:spacing w:line="360" w:lineRule="auto"/>
        <w:ind w:firstLine="420" w:firstLineChars="200"/>
        <w:rPr>
          <w:color w:val="auto"/>
          <w:highlight w:val="none"/>
          <w:u w:val="single"/>
        </w:rPr>
      </w:pPr>
      <w:r>
        <w:rPr>
          <w:rFonts w:hint="eastAsia" w:hAnsi="宋体" w:cs="宋体"/>
          <w:color w:val="auto"/>
          <w:highlight w:val="none"/>
        </w:rPr>
        <w:t>关于承包人提供的上述文件的使用限制的要求：</w:t>
      </w:r>
      <w:r>
        <w:rPr>
          <w:rFonts w:ascii="宋体" w:hAnsi="宋体" w:eastAsia="宋体" w:cs="宋体"/>
          <w:color w:val="auto"/>
          <w:highlight w:val="none"/>
          <w:u w:val="single"/>
        </w:rPr>
        <w:t xml:space="preserve"> 按通用条款 </w:t>
      </w:r>
      <w:r>
        <w:rPr>
          <w:rFonts w:ascii="Calibri" w:hAnsi="Calibri" w:eastAsia="Calibri" w:cs="Calibri"/>
          <w:color w:val="auto"/>
          <w:highlight w:val="none"/>
          <w:u w:val="single"/>
        </w:rPr>
        <w:t xml:space="preserve">1.11 </w:t>
      </w:r>
      <w:r>
        <w:rPr>
          <w:rFonts w:ascii="宋体" w:hAnsi="宋体" w:eastAsia="宋体" w:cs="宋体"/>
          <w:color w:val="auto"/>
          <w:highlight w:val="none"/>
          <w:u w:val="single"/>
        </w:rPr>
        <w:t xml:space="preserve">执行 </w:t>
      </w:r>
      <w:r>
        <w:rPr>
          <w:rFonts w:hint="eastAsia" w:hAnsi="宋体" w:cs="宋体"/>
          <w:color w:val="auto"/>
          <w:highlight w:val="none"/>
        </w:rPr>
        <w:t>。</w:t>
      </w:r>
    </w:p>
    <w:p w14:paraId="6B4DB7CF">
      <w:pPr>
        <w:spacing w:line="360" w:lineRule="auto"/>
        <w:rPr>
          <w:color w:val="auto"/>
          <w:kern w:val="0"/>
          <w:highlight w:val="none"/>
        </w:rPr>
      </w:pPr>
      <w:r>
        <w:rPr>
          <w:color w:val="auto"/>
          <w:highlight w:val="none"/>
        </w:rPr>
        <w:t xml:space="preserve">1.11.4 </w:t>
      </w:r>
      <w:r>
        <w:rPr>
          <w:rFonts w:hint="eastAsia" w:hAnsi="宋体" w:cs="宋体"/>
          <w:color w:val="auto"/>
          <w:highlight w:val="none"/>
        </w:rPr>
        <w:t>承包人在施工过程中所采用的专利、专有技术、技术秘密的使用费的承担方式：</w:t>
      </w:r>
      <w:r>
        <w:rPr>
          <w:rFonts w:ascii="宋体" w:hAnsi="宋体" w:eastAsia="宋体" w:cs="宋体"/>
          <w:color w:val="auto"/>
          <w:spacing w:val="0"/>
          <w:highlight w:val="none"/>
          <w:u w:val="single"/>
        </w:rPr>
        <w:t xml:space="preserve"> 由承包人承担</w:t>
      </w:r>
      <w:r>
        <w:rPr>
          <w:rFonts w:ascii="宋体" w:hAnsi="宋体" w:eastAsia="宋体" w:cs="宋体"/>
          <w:color w:val="auto"/>
          <w:highlight w:val="none"/>
          <w:u w:val="single"/>
        </w:rPr>
        <w:t xml:space="preserve">，已包含在签约合同价中，发包人不再另行支付 </w:t>
      </w:r>
      <w:r>
        <w:rPr>
          <w:rFonts w:hint="eastAsia" w:hAnsi="宋体" w:cs="宋体"/>
          <w:color w:val="auto"/>
          <w:kern w:val="0"/>
          <w:highlight w:val="none"/>
        </w:rPr>
        <w:t>。</w:t>
      </w:r>
    </w:p>
    <w:p w14:paraId="19500DC4">
      <w:pPr>
        <w:pStyle w:val="4"/>
        <w:rPr>
          <w:color w:val="auto"/>
          <w:highlight w:val="none"/>
        </w:rPr>
      </w:pPr>
      <w:bookmarkStart w:id="285" w:name="_Toc407135203"/>
      <w:bookmarkStart w:id="286" w:name="_Toc389065267"/>
      <w:bookmarkStart w:id="287" w:name="_Toc373478348"/>
      <w:bookmarkStart w:id="288" w:name="_Toc373227701"/>
      <w:bookmarkStart w:id="289" w:name="_Toc267680563"/>
      <w:bookmarkStart w:id="290" w:name="_Toc78449789"/>
      <w:bookmarkStart w:id="291" w:name="_Toc1194977599"/>
      <w:bookmarkStart w:id="292" w:name="_Toc15636"/>
      <w:r>
        <w:rPr>
          <w:color w:val="auto"/>
          <w:highlight w:val="none"/>
        </w:rPr>
        <w:t>1.13</w:t>
      </w:r>
      <w:r>
        <w:rPr>
          <w:rFonts w:hint="eastAsia" w:cs="黑体"/>
          <w:color w:val="auto"/>
          <w:highlight w:val="none"/>
        </w:rPr>
        <w:t>工程量清单错误的修正</w:t>
      </w:r>
      <w:bookmarkEnd w:id="285"/>
      <w:bookmarkEnd w:id="286"/>
      <w:bookmarkEnd w:id="287"/>
      <w:bookmarkEnd w:id="288"/>
      <w:bookmarkEnd w:id="289"/>
      <w:bookmarkEnd w:id="290"/>
      <w:bookmarkEnd w:id="291"/>
      <w:bookmarkEnd w:id="292"/>
    </w:p>
    <w:p w14:paraId="3EE4D70A">
      <w:pPr>
        <w:spacing w:line="360" w:lineRule="auto"/>
        <w:ind w:firstLine="420" w:firstLineChars="200"/>
        <w:rPr>
          <w:color w:val="auto"/>
          <w:highlight w:val="none"/>
        </w:rPr>
      </w:pPr>
      <w:r>
        <w:rPr>
          <w:rFonts w:hint="eastAsia" w:hAnsi="宋体" w:cs="宋体"/>
          <w:color w:val="auto"/>
          <w:highlight w:val="none"/>
        </w:rPr>
        <w:t>出现工程量清单工程量偏差时，是否调整合同价格：</w:t>
      </w:r>
      <w:r>
        <w:rPr>
          <w:rFonts w:hint="eastAsia" w:ascii="宋体" w:hAnsi="宋体" w:cs="宋体"/>
          <w:color w:val="auto"/>
          <w:highlight w:val="none"/>
          <w:u w:val="single"/>
        </w:rPr>
        <w:t>□</w:t>
      </w:r>
      <w:r>
        <w:rPr>
          <w:rFonts w:hint="eastAsia" w:hAnsi="宋体" w:cs="宋体"/>
          <w:color w:val="auto"/>
          <w:highlight w:val="none"/>
          <w:u w:val="single"/>
        </w:rPr>
        <w:t xml:space="preserve">是  </w:t>
      </w:r>
      <w:r>
        <w:rPr>
          <w:rFonts w:hint="eastAsia" w:ascii="宋体" w:hAnsi="宋体" w:cs="宋体"/>
          <w:color w:val="auto"/>
          <w:highlight w:val="none"/>
          <w:u w:val="single"/>
          <w:lang w:eastAsia="zh-CN"/>
        </w:rPr>
        <w:t>☑</w:t>
      </w:r>
      <w:r>
        <w:rPr>
          <w:rFonts w:hint="eastAsia" w:hAnsi="宋体" w:cs="宋体"/>
          <w:color w:val="auto"/>
          <w:highlight w:val="none"/>
          <w:u w:val="single"/>
        </w:rPr>
        <w:t>否</w:t>
      </w:r>
      <w:r>
        <w:rPr>
          <w:rFonts w:hint="eastAsia" w:hAnsi="宋体" w:cs="宋体"/>
          <w:color w:val="auto"/>
          <w:kern w:val="0"/>
          <w:highlight w:val="none"/>
        </w:rPr>
        <w:t>。</w:t>
      </w:r>
    </w:p>
    <w:p w14:paraId="6B1ADAA7">
      <w:pPr>
        <w:spacing w:line="360" w:lineRule="auto"/>
        <w:ind w:firstLine="420" w:firstLineChars="200"/>
        <w:rPr>
          <w:rFonts w:hint="eastAsia" w:hAnsi="宋体" w:cs="宋体"/>
          <w:color w:val="auto"/>
          <w:highlight w:val="none"/>
        </w:rPr>
      </w:pPr>
      <w:r>
        <w:rPr>
          <w:rFonts w:hint="eastAsia" w:hAnsi="宋体" w:cs="宋体"/>
          <w:color w:val="auto"/>
          <w:highlight w:val="none"/>
        </w:rPr>
        <w:t>允许调整合同价格的工程量偏差范围及其调整办法：</w:t>
      </w:r>
    </w:p>
    <w:p w14:paraId="6FB18AF8">
      <w:pPr>
        <w:spacing w:line="360" w:lineRule="auto"/>
        <w:ind w:firstLine="420" w:firstLineChars="200"/>
        <w:rPr>
          <w:color w:val="auto"/>
          <w:kern w:val="0"/>
          <w:highlight w:val="none"/>
        </w:rPr>
      </w:pPr>
      <w:r>
        <w:rPr>
          <w:rFonts w:hint="eastAsia" w:ascii="宋体" w:hAnsi="宋体" w:cs="宋体"/>
          <w:color w:val="auto"/>
          <w:highlight w:val="none"/>
        </w:rPr>
        <w:t>□</w:t>
      </w:r>
      <w:r>
        <w:rPr>
          <w:color w:val="auto"/>
          <w:highlight w:val="none"/>
          <w:u w:val="single"/>
        </w:rPr>
        <w:t xml:space="preserve"> </w:t>
      </w:r>
      <w:r>
        <w:rPr>
          <w:rFonts w:hint="eastAsia"/>
          <w:color w:val="auto"/>
          <w:highlight w:val="none"/>
          <w:u w:val="single"/>
        </w:rPr>
        <w:t>除严重不平衡报价外，无论分部分项工程量清单项目中的工程量变化多少均不调整</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hAnsi="宋体" w:cs="宋体"/>
          <w:color w:val="auto"/>
          <w:kern w:val="0"/>
          <w:highlight w:val="none"/>
        </w:rPr>
        <w:t>。</w:t>
      </w:r>
    </w:p>
    <w:p w14:paraId="6D64C709">
      <w:pPr>
        <w:spacing w:line="360" w:lineRule="auto"/>
        <w:ind w:firstLine="420" w:firstLineChars="200"/>
        <w:rPr>
          <w:rFonts w:hint="eastAsia" w:hAnsi="宋体" w:cs="宋体"/>
          <w:color w:val="auto"/>
          <w:highlight w:val="none"/>
          <w:u w:val="single"/>
        </w:rPr>
      </w:pPr>
      <w:r>
        <w:rPr>
          <w:rFonts w:hint="eastAsia" w:ascii="宋体" w:hAnsi="宋体" w:cs="宋体"/>
          <w:color w:val="auto"/>
          <w:highlight w:val="none"/>
        </w:rPr>
        <w:t>□</w:t>
      </w:r>
      <w:r>
        <w:rPr>
          <w:rFonts w:hint="eastAsia" w:ascii="Calibri" w:hAnsi="宋体" w:cs="宋体"/>
          <w:color w:val="auto"/>
          <w:highlight w:val="none"/>
          <w:u w:val="single"/>
        </w:rPr>
        <w:t>承包人实际完成的某单项清单项目工程量与招标工程量清单工程量偏差超过    %且该单项清单造价超过合同总价  %以上的，超过后增加部分工程量或减少后剩余部分工程量的综合单价按以下方法调整：                                    。</w:t>
      </w:r>
    </w:p>
    <w:p w14:paraId="622F34E9">
      <w:pPr>
        <w:pStyle w:val="3"/>
        <w:rPr>
          <w:color w:val="auto"/>
          <w:highlight w:val="none"/>
        </w:rPr>
      </w:pPr>
      <w:bookmarkStart w:id="293" w:name="_Toc78449790"/>
      <w:bookmarkStart w:id="294" w:name="_Toc351203634"/>
      <w:bookmarkStart w:id="295" w:name="_Toc1415467590"/>
      <w:bookmarkStart w:id="296" w:name="_Toc373227702"/>
      <w:bookmarkStart w:id="297" w:name="_Toc407135204"/>
      <w:bookmarkStart w:id="298" w:name="_Toc28277"/>
      <w:bookmarkStart w:id="299" w:name="_Toc143780453"/>
      <w:bookmarkStart w:id="300" w:name="_Toc373478349"/>
      <w:bookmarkStart w:id="301" w:name="_Toc389065268"/>
      <w:r>
        <w:rPr>
          <w:color w:val="auto"/>
          <w:highlight w:val="none"/>
        </w:rPr>
        <w:t>2</w:t>
      </w:r>
      <w:bookmarkStart w:id="302" w:name="_Toc296891197"/>
      <w:bookmarkStart w:id="303" w:name="_Toc296944496"/>
      <w:bookmarkStart w:id="304" w:name="_Toc296890985"/>
      <w:bookmarkStart w:id="305" w:name="_Toc296346658"/>
      <w:bookmarkStart w:id="306" w:name="_Toc297048343"/>
      <w:bookmarkStart w:id="307" w:name="_Toc296503157"/>
      <w:bookmarkStart w:id="308" w:name="_Toc292559867"/>
      <w:bookmarkStart w:id="309" w:name="_Toc297120457"/>
      <w:bookmarkStart w:id="310" w:name="_Toc296347156"/>
      <w:bookmarkStart w:id="311" w:name="_Toc292559362"/>
      <w:r>
        <w:rPr>
          <w:color w:val="auto"/>
          <w:highlight w:val="none"/>
        </w:rPr>
        <w:t xml:space="preserve">. </w:t>
      </w:r>
      <w:r>
        <w:rPr>
          <w:rFonts w:hint="eastAsia" w:hAnsi="宋体" w:cs="黑体"/>
          <w:color w:val="auto"/>
          <w:highlight w:val="none"/>
        </w:rPr>
        <w:t>发包人</w:t>
      </w:r>
      <w:bookmarkEnd w:id="293"/>
      <w:bookmarkEnd w:id="294"/>
      <w:bookmarkEnd w:id="295"/>
      <w:bookmarkEnd w:id="296"/>
      <w:bookmarkEnd w:id="297"/>
      <w:bookmarkEnd w:id="298"/>
      <w:bookmarkEnd w:id="299"/>
      <w:bookmarkEnd w:id="300"/>
      <w:bookmarkEnd w:id="301"/>
    </w:p>
    <w:bookmarkEnd w:id="302"/>
    <w:bookmarkEnd w:id="303"/>
    <w:bookmarkEnd w:id="304"/>
    <w:bookmarkEnd w:id="305"/>
    <w:bookmarkEnd w:id="306"/>
    <w:bookmarkEnd w:id="307"/>
    <w:bookmarkEnd w:id="308"/>
    <w:bookmarkEnd w:id="309"/>
    <w:bookmarkEnd w:id="310"/>
    <w:bookmarkEnd w:id="311"/>
    <w:p w14:paraId="42F7E2BE">
      <w:pPr>
        <w:pStyle w:val="4"/>
        <w:rPr>
          <w:color w:val="auto"/>
          <w:highlight w:val="none"/>
        </w:rPr>
      </w:pPr>
      <w:bookmarkStart w:id="312" w:name="_Toc547644210"/>
      <w:bookmarkStart w:id="313" w:name="_Toc373478350"/>
      <w:bookmarkStart w:id="314" w:name="_Toc78449791"/>
      <w:bookmarkStart w:id="315" w:name="_Toc373227703"/>
      <w:bookmarkStart w:id="316" w:name="_Toc389065269"/>
      <w:bookmarkStart w:id="317" w:name="_Toc971240048"/>
      <w:bookmarkStart w:id="318" w:name="_Toc14776"/>
      <w:bookmarkStart w:id="319" w:name="_Toc407135205"/>
      <w:r>
        <w:rPr>
          <w:color w:val="auto"/>
          <w:highlight w:val="none"/>
        </w:rPr>
        <w:t xml:space="preserve">2.2 </w:t>
      </w:r>
      <w:r>
        <w:rPr>
          <w:rFonts w:hint="eastAsia" w:hAnsi="宋体" w:cs="黑体"/>
          <w:color w:val="auto"/>
          <w:highlight w:val="none"/>
        </w:rPr>
        <w:t>发包人代表</w:t>
      </w:r>
      <w:bookmarkEnd w:id="312"/>
      <w:bookmarkEnd w:id="313"/>
      <w:bookmarkEnd w:id="314"/>
      <w:bookmarkEnd w:id="315"/>
      <w:bookmarkEnd w:id="316"/>
      <w:bookmarkEnd w:id="317"/>
      <w:bookmarkEnd w:id="318"/>
      <w:bookmarkEnd w:id="319"/>
    </w:p>
    <w:p w14:paraId="36FB244A">
      <w:pPr>
        <w:spacing w:line="360" w:lineRule="auto"/>
        <w:ind w:firstLine="420" w:firstLineChars="200"/>
        <w:rPr>
          <w:color w:val="auto"/>
          <w:highlight w:val="none"/>
        </w:rPr>
      </w:pPr>
      <w:r>
        <w:rPr>
          <w:rFonts w:hint="eastAsia" w:hAnsi="宋体" w:cs="宋体"/>
          <w:color w:val="auto"/>
          <w:highlight w:val="none"/>
        </w:rPr>
        <w:t>发包人代表：</w:t>
      </w:r>
    </w:p>
    <w:p w14:paraId="6DDDE0AD">
      <w:pPr>
        <w:spacing w:line="360" w:lineRule="auto"/>
        <w:ind w:firstLine="420" w:firstLineChars="200"/>
        <w:rPr>
          <w:color w:val="auto"/>
          <w:highlight w:val="none"/>
        </w:rPr>
      </w:pPr>
      <w:r>
        <w:rPr>
          <w:rFonts w:hAnsi="宋体"/>
          <w:color w:val="auto"/>
          <w:highlight w:val="none"/>
        </w:rPr>
        <w:t>姓</w:t>
      </w:r>
      <w:r>
        <w:rPr>
          <w:color w:val="auto"/>
          <w:highlight w:val="none"/>
        </w:rPr>
        <w:t xml:space="preserve">    </w:t>
      </w:r>
      <w:r>
        <w:rPr>
          <w:rFonts w:hAnsi="宋体"/>
          <w:color w:val="auto"/>
          <w:highlight w:val="none"/>
        </w:rPr>
        <w:t>名：</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rFonts w:hAnsi="宋体"/>
          <w:color w:val="auto"/>
          <w:highlight w:val="none"/>
        </w:rPr>
        <w:t>；</w:t>
      </w:r>
    </w:p>
    <w:p w14:paraId="60F1B971">
      <w:pPr>
        <w:spacing w:line="360" w:lineRule="auto"/>
        <w:ind w:firstLine="420" w:firstLineChars="200"/>
        <w:rPr>
          <w:color w:val="auto"/>
          <w:highlight w:val="none"/>
        </w:rPr>
      </w:pPr>
      <w:r>
        <w:rPr>
          <w:rFonts w:hAnsi="宋体"/>
          <w:color w:val="auto"/>
          <w:highlight w:val="none"/>
        </w:rPr>
        <w:t>身份证号：</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rFonts w:hAnsi="宋体"/>
          <w:color w:val="auto"/>
          <w:highlight w:val="none"/>
        </w:rPr>
        <w:t>；</w:t>
      </w:r>
    </w:p>
    <w:p w14:paraId="0E8E3677">
      <w:pPr>
        <w:spacing w:line="360" w:lineRule="auto"/>
        <w:ind w:firstLine="420" w:firstLineChars="200"/>
        <w:rPr>
          <w:color w:val="auto"/>
          <w:highlight w:val="none"/>
        </w:rPr>
      </w:pPr>
      <w:r>
        <w:rPr>
          <w:rFonts w:hAnsi="宋体"/>
          <w:color w:val="auto"/>
          <w:highlight w:val="none"/>
        </w:rPr>
        <w:t>职</w:t>
      </w:r>
      <w:r>
        <w:rPr>
          <w:color w:val="auto"/>
          <w:highlight w:val="none"/>
        </w:rPr>
        <w:t xml:space="preserve">    </w:t>
      </w:r>
      <w:r>
        <w:rPr>
          <w:rFonts w:hAnsi="宋体"/>
          <w:color w:val="auto"/>
          <w:highlight w:val="none"/>
        </w:rPr>
        <w:t>务：</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rFonts w:hAnsi="宋体"/>
          <w:color w:val="auto"/>
          <w:highlight w:val="none"/>
        </w:rPr>
        <w:t>；</w:t>
      </w:r>
    </w:p>
    <w:p w14:paraId="33EBE029">
      <w:pPr>
        <w:spacing w:line="360" w:lineRule="auto"/>
        <w:ind w:firstLine="420" w:firstLineChars="200"/>
        <w:rPr>
          <w:color w:val="auto"/>
          <w:highlight w:val="none"/>
        </w:rPr>
      </w:pPr>
      <w:r>
        <w:rPr>
          <w:rFonts w:hAnsi="宋体"/>
          <w:color w:val="auto"/>
          <w:highlight w:val="none"/>
        </w:rPr>
        <w:t>联系电话：</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rFonts w:hAnsi="宋体"/>
          <w:color w:val="auto"/>
          <w:highlight w:val="none"/>
        </w:rPr>
        <w:t>；</w:t>
      </w:r>
    </w:p>
    <w:p w14:paraId="77B6B598">
      <w:pPr>
        <w:spacing w:line="360" w:lineRule="auto"/>
        <w:ind w:firstLine="420" w:firstLineChars="200"/>
        <w:rPr>
          <w:color w:val="auto"/>
          <w:highlight w:val="none"/>
        </w:rPr>
      </w:pPr>
      <w:r>
        <w:rPr>
          <w:rFonts w:hAnsi="宋体"/>
          <w:color w:val="auto"/>
          <w:highlight w:val="none"/>
        </w:rPr>
        <w:t>电子信箱：</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rFonts w:hAnsi="宋体"/>
          <w:color w:val="auto"/>
          <w:highlight w:val="none"/>
        </w:rPr>
        <w:t>；</w:t>
      </w:r>
    </w:p>
    <w:p w14:paraId="70165F0D">
      <w:pPr>
        <w:spacing w:line="360" w:lineRule="auto"/>
        <w:ind w:firstLine="420" w:firstLineChars="200"/>
        <w:rPr>
          <w:color w:val="auto"/>
          <w:highlight w:val="none"/>
        </w:rPr>
      </w:pPr>
      <w:r>
        <w:rPr>
          <w:rFonts w:hAnsi="宋体"/>
          <w:color w:val="auto"/>
          <w:highlight w:val="none"/>
        </w:rPr>
        <w:t>通信地址：</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rFonts w:hAnsi="宋体"/>
          <w:color w:val="auto"/>
          <w:highlight w:val="none"/>
        </w:rPr>
        <w:t>。</w:t>
      </w:r>
    </w:p>
    <w:p w14:paraId="30F2458C">
      <w:pPr>
        <w:spacing w:line="360" w:lineRule="auto"/>
        <w:ind w:firstLine="420" w:firstLineChars="200"/>
        <w:rPr>
          <w:color w:val="auto"/>
          <w:highlight w:val="none"/>
          <w:u w:val="single"/>
        </w:rPr>
      </w:pPr>
      <w:r>
        <w:rPr>
          <w:rFonts w:hint="eastAsia" w:hAnsi="宋体" w:cs="宋体"/>
          <w:color w:val="auto"/>
          <w:highlight w:val="none"/>
        </w:rPr>
        <w:t>发包人对发包人代表的授权范围如下：</w:t>
      </w:r>
      <w:r>
        <w:rPr>
          <w:color w:val="auto"/>
          <w:highlight w:val="none"/>
          <w:u w:val="single"/>
        </w:rPr>
        <w:t xml:space="preserve"> </w:t>
      </w:r>
      <w:r>
        <w:rPr>
          <w:rFonts w:hint="eastAsia"/>
          <w:color w:val="auto"/>
          <w:highlight w:val="none"/>
          <w:u w:val="single"/>
        </w:rPr>
        <w:t>督促指导监理工程师行使职权，协调施工现场各方面的关系，协调工程质量，进度和安全文明施工中存在的问题，解决有关设计和技术签证，办理、签认现场经济技术签证</w:t>
      </w:r>
      <w:r>
        <w:rPr>
          <w:rFonts w:hint="eastAsia"/>
          <w:color w:val="auto"/>
          <w:highlight w:val="none"/>
          <w:u w:val="single"/>
          <w:lang w:eastAsia="zh-CN"/>
        </w:rPr>
        <w:t>（</w:t>
      </w:r>
      <w:r>
        <w:rPr>
          <w:rFonts w:hint="eastAsia"/>
          <w:color w:val="auto"/>
          <w:highlight w:val="none"/>
          <w:u w:val="single"/>
        </w:rPr>
        <w:t>需加盖发包人公章方发生法律效力</w:t>
      </w:r>
      <w:r>
        <w:rPr>
          <w:rFonts w:hint="eastAsia"/>
          <w:color w:val="auto"/>
          <w:highlight w:val="none"/>
          <w:u w:val="single"/>
          <w:lang w:eastAsia="zh-CN"/>
        </w:rPr>
        <w:t>）</w:t>
      </w:r>
      <w:r>
        <w:rPr>
          <w:rFonts w:hint="eastAsia"/>
          <w:color w:val="auto"/>
          <w:highlight w:val="none"/>
          <w:u w:val="single"/>
        </w:rPr>
        <w:t>，审核工程进度报表</w:t>
      </w:r>
      <w:r>
        <w:rPr>
          <w:rFonts w:hint="eastAsia"/>
          <w:color w:val="auto"/>
          <w:highlight w:val="none"/>
          <w:u w:val="single"/>
          <w:lang w:eastAsia="zh-CN"/>
        </w:rPr>
        <w:t>（</w:t>
      </w:r>
      <w:r>
        <w:rPr>
          <w:rFonts w:hint="eastAsia"/>
          <w:color w:val="auto"/>
          <w:highlight w:val="none"/>
          <w:u w:val="single"/>
        </w:rPr>
        <w:t>需加盖发包人公章方发生法律效力</w:t>
      </w:r>
      <w:r>
        <w:rPr>
          <w:rFonts w:hint="eastAsia"/>
          <w:color w:val="auto"/>
          <w:highlight w:val="none"/>
          <w:u w:val="single"/>
          <w:lang w:eastAsia="zh-CN"/>
        </w:rPr>
        <w:t>）</w:t>
      </w:r>
      <w:r>
        <w:rPr>
          <w:rFonts w:hint="eastAsia" w:hAnsi="宋体" w:cs="宋体"/>
          <w:color w:val="auto"/>
          <w:highlight w:val="none"/>
        </w:rPr>
        <w:t>。</w:t>
      </w:r>
    </w:p>
    <w:p w14:paraId="493822C6">
      <w:pPr>
        <w:pStyle w:val="4"/>
        <w:rPr>
          <w:color w:val="auto"/>
          <w:highlight w:val="none"/>
        </w:rPr>
      </w:pPr>
      <w:bookmarkStart w:id="320" w:name="_Toc373227704"/>
      <w:bookmarkStart w:id="321" w:name="_Toc78449792"/>
      <w:bookmarkStart w:id="322" w:name="_Toc407135206"/>
      <w:bookmarkStart w:id="323" w:name="_Toc2066513957"/>
      <w:bookmarkStart w:id="324" w:name="_Toc18280"/>
      <w:bookmarkStart w:id="325" w:name="_Toc373478351"/>
      <w:bookmarkStart w:id="326" w:name="_Toc2077499244"/>
      <w:bookmarkStart w:id="327" w:name="_Toc389065270"/>
      <w:r>
        <w:rPr>
          <w:color w:val="auto"/>
          <w:highlight w:val="none"/>
        </w:rPr>
        <w:t xml:space="preserve">2.4 </w:t>
      </w:r>
      <w:r>
        <w:rPr>
          <w:rFonts w:hint="eastAsia" w:cs="黑体"/>
          <w:color w:val="auto"/>
          <w:highlight w:val="none"/>
        </w:rPr>
        <w:t>施工现场、施工条件和基础资料的提供</w:t>
      </w:r>
      <w:bookmarkEnd w:id="320"/>
      <w:bookmarkEnd w:id="321"/>
      <w:bookmarkEnd w:id="322"/>
      <w:bookmarkEnd w:id="323"/>
      <w:bookmarkEnd w:id="324"/>
      <w:bookmarkEnd w:id="325"/>
      <w:bookmarkEnd w:id="326"/>
      <w:bookmarkEnd w:id="327"/>
    </w:p>
    <w:p w14:paraId="381D0E84">
      <w:pPr>
        <w:spacing w:line="360" w:lineRule="auto"/>
        <w:ind w:firstLine="420" w:firstLineChars="200"/>
        <w:rPr>
          <w:color w:val="auto"/>
          <w:highlight w:val="none"/>
        </w:rPr>
      </w:pPr>
      <w:r>
        <w:rPr>
          <w:color w:val="auto"/>
          <w:highlight w:val="none"/>
        </w:rPr>
        <w:t xml:space="preserve">2.4.1 </w:t>
      </w:r>
      <w:r>
        <w:rPr>
          <w:rFonts w:hint="eastAsia" w:hAnsi="宋体" w:cs="宋体"/>
          <w:color w:val="auto"/>
          <w:highlight w:val="none"/>
        </w:rPr>
        <w:t>提供施工现场</w:t>
      </w:r>
    </w:p>
    <w:p w14:paraId="4FA25803">
      <w:pPr>
        <w:spacing w:line="360" w:lineRule="auto"/>
        <w:ind w:firstLine="420" w:firstLineChars="200"/>
        <w:jc w:val="left"/>
        <w:rPr>
          <w:color w:val="auto"/>
          <w:highlight w:val="none"/>
        </w:rPr>
      </w:pPr>
      <w:r>
        <w:rPr>
          <w:rFonts w:hint="eastAsia" w:hAnsi="宋体" w:cs="宋体"/>
          <w:color w:val="auto"/>
          <w:highlight w:val="none"/>
        </w:rPr>
        <w:t>关于发包人移交施工现场的期限要求：</w:t>
      </w:r>
      <w:r>
        <w:rPr>
          <w:rFonts w:hint="eastAsia"/>
          <w:color w:val="auto"/>
          <w:highlight w:val="none"/>
          <w:u w:val="single"/>
        </w:rPr>
        <w:t>施工场地应当在发包人发出的开工通知中载明的开工日期前三天具备施工条件并移交给承包人</w:t>
      </w:r>
      <w:r>
        <w:rPr>
          <w:rFonts w:hint="eastAsia" w:hAnsi="宋体" w:cs="宋体"/>
          <w:color w:val="auto"/>
          <w:highlight w:val="none"/>
        </w:rPr>
        <w:t>。</w:t>
      </w:r>
    </w:p>
    <w:p w14:paraId="18FF6072">
      <w:pPr>
        <w:spacing w:line="360" w:lineRule="auto"/>
        <w:ind w:firstLine="420" w:firstLineChars="200"/>
        <w:rPr>
          <w:color w:val="auto"/>
          <w:highlight w:val="none"/>
        </w:rPr>
      </w:pPr>
      <w:r>
        <w:rPr>
          <w:color w:val="auto"/>
          <w:highlight w:val="none"/>
        </w:rPr>
        <w:t xml:space="preserve">2.4.2 </w:t>
      </w:r>
      <w:r>
        <w:rPr>
          <w:rFonts w:hint="eastAsia" w:hAnsi="宋体" w:cs="宋体"/>
          <w:color w:val="auto"/>
          <w:highlight w:val="none"/>
        </w:rPr>
        <w:t>提供施工条件</w:t>
      </w:r>
    </w:p>
    <w:p w14:paraId="418678B9">
      <w:pPr>
        <w:spacing w:line="360" w:lineRule="auto"/>
        <w:ind w:firstLine="420" w:firstLineChars="200"/>
        <w:rPr>
          <w:color w:val="auto"/>
          <w:highlight w:val="none"/>
          <w:u w:val="single"/>
        </w:rPr>
      </w:pPr>
      <w:r>
        <w:rPr>
          <w:rFonts w:hint="eastAsia" w:hAnsi="宋体" w:cs="宋体"/>
          <w:color w:val="auto"/>
          <w:highlight w:val="none"/>
        </w:rPr>
        <w:t>关于发包人应负责提供施工所需要的条件，包括：</w:t>
      </w:r>
      <w:r>
        <w:rPr>
          <w:color w:val="auto"/>
          <w:highlight w:val="none"/>
          <w:u w:val="single"/>
        </w:rPr>
        <w:t xml:space="preserve"> </w:t>
      </w:r>
      <w:r>
        <w:rPr>
          <w:rFonts w:hint="eastAsia"/>
          <w:color w:val="auto"/>
          <w:highlight w:val="none"/>
          <w:u w:val="single"/>
        </w:rPr>
        <w:t>施工用水、用电由发包人负责接至项目场地接入点，接入点至施工现场段由承包人根据施工需要自行考虑，施工期间产生的水、电费由承包人承担，在投标报价中自行考虑。若供电、供水部门的原因造成停电、停水，承包人必须自行解决施工用电、用水，费用自理</w:t>
      </w:r>
      <w:r>
        <w:rPr>
          <w:color w:val="auto"/>
          <w:highlight w:val="none"/>
          <w:u w:val="single"/>
        </w:rPr>
        <w:t xml:space="preserve"> </w:t>
      </w:r>
      <w:r>
        <w:rPr>
          <w:rFonts w:hint="eastAsia" w:hAnsi="宋体" w:cs="宋体"/>
          <w:color w:val="auto"/>
          <w:highlight w:val="none"/>
        </w:rPr>
        <w:t>。</w:t>
      </w:r>
    </w:p>
    <w:p w14:paraId="4225B1E4">
      <w:pPr>
        <w:pStyle w:val="4"/>
        <w:rPr>
          <w:color w:val="auto"/>
          <w:highlight w:val="none"/>
        </w:rPr>
      </w:pPr>
      <w:bookmarkStart w:id="328" w:name="_Toc407135207"/>
      <w:bookmarkStart w:id="329" w:name="_Toc1238195908"/>
      <w:bookmarkStart w:id="330" w:name="_Toc373478352"/>
      <w:bookmarkStart w:id="331" w:name="_Toc78449793"/>
      <w:bookmarkStart w:id="332" w:name="_Toc389065271"/>
      <w:bookmarkStart w:id="333" w:name="_Toc26335"/>
      <w:bookmarkStart w:id="334" w:name="_Toc672429943"/>
      <w:bookmarkStart w:id="335" w:name="_Toc373227705"/>
      <w:r>
        <w:rPr>
          <w:color w:val="auto"/>
          <w:highlight w:val="none"/>
        </w:rPr>
        <w:t xml:space="preserve">2.5 </w:t>
      </w:r>
      <w:r>
        <w:rPr>
          <w:rFonts w:hint="eastAsia" w:cs="黑体"/>
          <w:color w:val="auto"/>
          <w:highlight w:val="none"/>
        </w:rPr>
        <w:t>资金来源证明及支付担保</w:t>
      </w:r>
      <w:bookmarkEnd w:id="328"/>
      <w:bookmarkEnd w:id="329"/>
      <w:bookmarkEnd w:id="330"/>
      <w:bookmarkEnd w:id="331"/>
      <w:bookmarkEnd w:id="332"/>
      <w:bookmarkEnd w:id="333"/>
      <w:bookmarkEnd w:id="334"/>
      <w:bookmarkEnd w:id="335"/>
    </w:p>
    <w:p w14:paraId="165F60C3">
      <w:pPr>
        <w:spacing w:line="360" w:lineRule="auto"/>
        <w:ind w:firstLine="420" w:firstLineChars="200"/>
        <w:rPr>
          <w:color w:val="auto"/>
          <w:highlight w:val="none"/>
        </w:rPr>
      </w:pPr>
      <w:r>
        <w:rPr>
          <w:rFonts w:hint="eastAsia" w:hAnsi="宋体" w:cs="宋体"/>
          <w:color w:val="auto"/>
          <w:highlight w:val="none"/>
        </w:rPr>
        <w:t>发包人提供资金来源证明的期限要求：</w:t>
      </w:r>
      <w:r>
        <w:rPr>
          <w:rFonts w:ascii="宋体" w:hAnsi="宋体" w:eastAsia="宋体" w:cs="宋体"/>
          <w:color w:val="auto"/>
          <w:spacing w:val="0"/>
          <w:highlight w:val="none"/>
          <w:u w:val="single"/>
        </w:rPr>
        <w:t xml:space="preserve"> 无 </w:t>
      </w:r>
      <w:r>
        <w:rPr>
          <w:rFonts w:hint="eastAsia" w:hAnsi="宋体" w:cs="宋体"/>
          <w:color w:val="auto"/>
          <w:highlight w:val="none"/>
        </w:rPr>
        <w:t>。</w:t>
      </w:r>
    </w:p>
    <w:p w14:paraId="0108E954">
      <w:pPr>
        <w:spacing w:line="360" w:lineRule="auto"/>
        <w:ind w:firstLine="420" w:firstLineChars="200"/>
        <w:rPr>
          <w:color w:val="auto"/>
          <w:highlight w:val="none"/>
        </w:rPr>
      </w:pPr>
      <w:r>
        <w:rPr>
          <w:rFonts w:hint="eastAsia" w:hAnsi="宋体" w:cs="宋体"/>
          <w:color w:val="auto"/>
          <w:highlight w:val="none"/>
        </w:rPr>
        <w:t>发包人是否提供支付担保：</w:t>
      </w:r>
      <w:r>
        <w:rPr>
          <w:rFonts w:ascii="宋体" w:hAnsi="宋体" w:eastAsia="宋体" w:cs="宋体"/>
          <w:color w:val="auto"/>
          <w:spacing w:val="0"/>
          <w:highlight w:val="none"/>
          <w:u w:val="single"/>
        </w:rPr>
        <w:t xml:space="preserve"> 无 </w:t>
      </w:r>
      <w:r>
        <w:rPr>
          <w:rFonts w:hint="eastAsia" w:ascii="Times New Roman" w:hAnsi="宋体" w:eastAsia="宋体" w:cs="宋体"/>
          <w:color w:val="auto"/>
          <w:highlight w:val="none"/>
        </w:rPr>
        <w:t>。【</w:t>
      </w:r>
      <w:r>
        <w:rPr>
          <w:rFonts w:hint="eastAsia" w:ascii="Times New Roman" w:hAnsi="宋体" w:eastAsia="宋体" w:cs="宋体"/>
          <w:i w:val="0"/>
          <w:caps w:val="0"/>
          <w:color w:val="auto"/>
          <w:spacing w:val="0"/>
          <w:sz w:val="21"/>
          <w:szCs w:val="21"/>
          <w:highlight w:val="none"/>
          <w:lang w:eastAsia="zh-CN"/>
        </w:rPr>
        <w:t>发包</w:t>
      </w:r>
      <w:r>
        <w:rPr>
          <w:rFonts w:hint="eastAsia" w:ascii="Times New Roman" w:hAnsi="宋体" w:eastAsia="宋体" w:cs="宋体"/>
          <w:i w:val="0"/>
          <w:caps w:val="0"/>
          <w:color w:val="auto"/>
          <w:spacing w:val="0"/>
          <w:sz w:val="21"/>
          <w:szCs w:val="21"/>
          <w:highlight w:val="none"/>
        </w:rPr>
        <w:t>人要求</w:t>
      </w:r>
      <w:r>
        <w:rPr>
          <w:rFonts w:hint="eastAsia" w:ascii="Times New Roman" w:hAnsi="宋体" w:eastAsia="宋体" w:cs="宋体"/>
          <w:i w:val="0"/>
          <w:caps w:val="0"/>
          <w:color w:val="auto"/>
          <w:spacing w:val="0"/>
          <w:sz w:val="21"/>
          <w:szCs w:val="21"/>
          <w:highlight w:val="none"/>
          <w:lang w:eastAsia="zh-CN"/>
        </w:rPr>
        <w:t>承包</w:t>
      </w:r>
      <w:r>
        <w:rPr>
          <w:rFonts w:hint="eastAsia" w:ascii="Times New Roman" w:hAnsi="宋体" w:eastAsia="宋体" w:cs="宋体"/>
          <w:i w:val="0"/>
          <w:caps w:val="0"/>
          <w:color w:val="auto"/>
          <w:spacing w:val="0"/>
          <w:sz w:val="21"/>
          <w:szCs w:val="21"/>
          <w:highlight w:val="none"/>
        </w:rPr>
        <w:t>人提供履约担保的，应当同时向</w:t>
      </w:r>
      <w:r>
        <w:rPr>
          <w:rFonts w:hint="eastAsia" w:ascii="Times New Roman" w:hAnsi="宋体" w:eastAsia="宋体" w:cs="宋体"/>
          <w:i w:val="0"/>
          <w:caps w:val="0"/>
          <w:color w:val="auto"/>
          <w:spacing w:val="0"/>
          <w:sz w:val="21"/>
          <w:szCs w:val="21"/>
          <w:highlight w:val="none"/>
          <w:lang w:eastAsia="zh-CN"/>
        </w:rPr>
        <w:t>承包</w:t>
      </w:r>
      <w:r>
        <w:rPr>
          <w:rFonts w:hint="eastAsia" w:ascii="Times New Roman" w:hAnsi="宋体" w:eastAsia="宋体" w:cs="宋体"/>
          <w:i w:val="0"/>
          <w:caps w:val="0"/>
          <w:color w:val="auto"/>
          <w:spacing w:val="0"/>
          <w:sz w:val="21"/>
          <w:szCs w:val="21"/>
          <w:highlight w:val="none"/>
        </w:rPr>
        <w:t>人提供工程款支付担保。工程款支付担保可以全额担保，也可以分阶段担保。分阶段担保的，除保修金以外的全部款项，完成一个阶段清算后再进入下一阶段，有效期截至工程竣工结算款支付完毕。</w:t>
      </w:r>
      <w:r>
        <w:rPr>
          <w:rFonts w:hint="eastAsia" w:ascii="Times New Roman" w:hAnsi="宋体" w:eastAsia="宋体" w:cs="宋体"/>
          <w:i w:val="0"/>
          <w:caps w:val="0"/>
          <w:color w:val="auto"/>
          <w:spacing w:val="0"/>
          <w:sz w:val="21"/>
          <w:szCs w:val="21"/>
          <w:highlight w:val="none"/>
          <w:lang w:eastAsia="zh-CN"/>
        </w:rPr>
        <w:t>发包</w:t>
      </w:r>
      <w:r>
        <w:rPr>
          <w:rFonts w:hint="eastAsia" w:ascii="Times New Roman" w:hAnsi="宋体" w:eastAsia="宋体" w:cs="宋体"/>
          <w:i w:val="0"/>
          <w:caps w:val="0"/>
          <w:color w:val="auto"/>
          <w:spacing w:val="0"/>
          <w:sz w:val="21"/>
          <w:szCs w:val="21"/>
          <w:highlight w:val="none"/>
        </w:rPr>
        <w:t>人未按合同约定及时支付工程款的，工程担保保证人需承担担保责任。对政府投资项目，由建设单位提供落实财政资金来源的证明文件。</w:t>
      </w:r>
      <w:r>
        <w:rPr>
          <w:rFonts w:hint="eastAsia" w:ascii="Times New Roman" w:hAnsi="宋体" w:eastAsia="宋体" w:cs="宋体"/>
          <w:color w:val="auto"/>
          <w:highlight w:val="none"/>
        </w:rPr>
        <w:t>】</w:t>
      </w:r>
    </w:p>
    <w:p w14:paraId="11E97FB4">
      <w:pPr>
        <w:spacing w:line="360" w:lineRule="auto"/>
        <w:ind w:firstLine="420" w:firstLineChars="200"/>
        <w:rPr>
          <w:rFonts w:hint="eastAsia" w:hAnsi="宋体" w:cs="宋体"/>
          <w:color w:val="auto"/>
          <w:highlight w:val="none"/>
          <w:lang w:val="en" w:eastAsia="zh-CN"/>
        </w:rPr>
      </w:pPr>
      <w:r>
        <w:rPr>
          <w:rFonts w:hint="eastAsia" w:hAnsi="宋体" w:cs="宋体"/>
          <w:color w:val="auto"/>
          <w:highlight w:val="none"/>
        </w:rPr>
        <w:t>发包人提供支付担保的形式：</w:t>
      </w:r>
      <w:r>
        <w:rPr>
          <w:rFonts w:hint="eastAsia"/>
          <w:color w:val="auto"/>
          <w:highlight w:val="none"/>
          <w:u w:val="none"/>
          <w:lang w:eastAsia="zh-CN"/>
        </w:rPr>
        <w:t>可以是</w:t>
      </w:r>
      <w:r>
        <w:rPr>
          <w:rFonts w:hint="eastAsia" w:hAnsi="宋体" w:cs="宋体"/>
          <w:color w:val="auto"/>
          <w:highlight w:val="none"/>
        </w:rPr>
        <w:t>银行转账、电汇或网上支付、保函（银行保函、电子</w:t>
      </w:r>
      <w:r>
        <w:rPr>
          <w:rFonts w:hAnsi="宋体" w:cs="宋体"/>
          <w:color w:val="auto"/>
          <w:highlight w:val="none"/>
        </w:rPr>
        <w:t>保函</w:t>
      </w:r>
      <w:r>
        <w:rPr>
          <w:rFonts w:hint="eastAsia" w:hAnsi="宋体" w:cs="宋体"/>
          <w:color w:val="auto"/>
          <w:highlight w:val="none"/>
        </w:rPr>
        <w:t>、保证保险保函、工程担保保函）</w:t>
      </w:r>
      <w:r>
        <w:rPr>
          <w:rFonts w:hint="eastAsia" w:hAnsi="宋体"/>
          <w:color w:val="auto"/>
          <w:highlight w:val="none"/>
        </w:rPr>
        <w:t>等</w:t>
      </w:r>
      <w:r>
        <w:rPr>
          <w:rFonts w:hint="eastAsia" w:hAnsi="宋体" w:cs="宋体"/>
          <w:color w:val="auto"/>
          <w:highlight w:val="none"/>
        </w:rPr>
        <w:t>形</w:t>
      </w:r>
      <w:r>
        <w:rPr>
          <w:rFonts w:hint="eastAsia" w:hAnsi="宋体"/>
          <w:color w:val="auto"/>
          <w:highlight w:val="none"/>
        </w:rPr>
        <w:t>式</w:t>
      </w:r>
      <w:r>
        <w:rPr>
          <w:rFonts w:hint="eastAsia" w:hAnsi="宋体" w:cs="宋体"/>
          <w:color w:val="auto"/>
          <w:highlight w:val="none"/>
        </w:rPr>
        <w:t>。</w:t>
      </w:r>
      <w:r>
        <w:rPr>
          <w:rFonts w:hint="eastAsia" w:hAnsi="宋体" w:cs="宋体"/>
          <w:color w:val="auto"/>
          <w:highlight w:val="none"/>
          <w:lang w:eastAsia="zh-CN"/>
        </w:rPr>
        <w:t>工程担保保证人应将出具的保函相关信息录入“广西建筑市场监管云”平台（http://gxjzsc.caihcloud.com），以实现保函查询及验真功能</w:t>
      </w:r>
      <w:r>
        <w:rPr>
          <w:rFonts w:hint="eastAsia" w:hAnsi="宋体" w:cs="宋体"/>
          <w:color w:val="auto"/>
          <w:highlight w:val="none"/>
          <w:lang w:val="en" w:eastAsia="zh-CN"/>
        </w:rPr>
        <w:t>。</w:t>
      </w:r>
    </w:p>
    <w:p w14:paraId="665E0BAA">
      <w:pPr>
        <w:spacing w:line="360" w:lineRule="auto"/>
        <w:ind w:firstLine="420" w:firstLineChars="200"/>
        <w:rPr>
          <w:color w:val="auto"/>
          <w:highlight w:val="none"/>
          <w:u w:val="single"/>
        </w:rPr>
      </w:pPr>
      <w:r>
        <w:rPr>
          <w:rFonts w:hint="eastAsia" w:hAnsi="宋体" w:cs="宋体"/>
          <w:color w:val="auto"/>
          <w:highlight w:val="none"/>
        </w:rPr>
        <w:t>发包人提供的支付担保格式见合同附件</w:t>
      </w:r>
      <w:r>
        <w:rPr>
          <w:rFonts w:hint="eastAsia" w:hAnsi="宋体"/>
          <w:color w:val="auto"/>
          <w:highlight w:val="none"/>
        </w:rPr>
        <w:t>9</w:t>
      </w:r>
      <w:r>
        <w:rPr>
          <w:rFonts w:hint="eastAsia" w:hAnsi="宋体" w:cs="宋体"/>
          <w:color w:val="auto"/>
          <w:highlight w:val="none"/>
        </w:rPr>
        <w:t>。</w:t>
      </w:r>
    </w:p>
    <w:p w14:paraId="0CFEBF6D">
      <w:pPr>
        <w:pStyle w:val="3"/>
        <w:rPr>
          <w:color w:val="auto"/>
          <w:highlight w:val="none"/>
        </w:rPr>
      </w:pPr>
      <w:bookmarkStart w:id="336" w:name="_Toc78449794"/>
      <w:bookmarkStart w:id="337" w:name="_Toc729657770"/>
      <w:bookmarkStart w:id="338" w:name="_Toc389065272"/>
      <w:bookmarkStart w:id="339" w:name="_Toc373478353"/>
      <w:bookmarkStart w:id="340" w:name="_Toc351203635"/>
      <w:bookmarkStart w:id="341" w:name="_Toc407135208"/>
      <w:bookmarkStart w:id="342" w:name="_Toc1181400362"/>
      <w:bookmarkStart w:id="343" w:name="_Toc10779"/>
      <w:bookmarkStart w:id="344" w:name="_Toc373227706"/>
      <w:r>
        <w:rPr>
          <w:color w:val="auto"/>
          <w:highlight w:val="none"/>
        </w:rPr>
        <w:t>3</w:t>
      </w:r>
      <w:bookmarkStart w:id="345" w:name="_Toc292559363"/>
      <w:bookmarkStart w:id="346" w:name="_Toc296891198"/>
      <w:bookmarkStart w:id="347" w:name="_Toc296890986"/>
      <w:bookmarkStart w:id="348" w:name="_Toc292559868"/>
      <w:bookmarkStart w:id="349" w:name="_Toc296944497"/>
      <w:bookmarkStart w:id="350" w:name="_Toc297120458"/>
      <w:bookmarkStart w:id="351" w:name="_Toc296346659"/>
      <w:bookmarkStart w:id="352" w:name="_Toc296503158"/>
      <w:bookmarkStart w:id="353" w:name="_Toc296347157"/>
      <w:bookmarkStart w:id="354" w:name="_Toc297048344"/>
      <w:r>
        <w:rPr>
          <w:color w:val="auto"/>
          <w:highlight w:val="none"/>
        </w:rPr>
        <w:t xml:space="preserve">. </w:t>
      </w:r>
      <w:r>
        <w:rPr>
          <w:rFonts w:hint="eastAsia" w:hAnsi="宋体" w:cs="黑体"/>
          <w:color w:val="auto"/>
          <w:highlight w:val="none"/>
        </w:rPr>
        <w:t>承包人</w:t>
      </w:r>
      <w:bookmarkEnd w:id="336"/>
      <w:bookmarkEnd w:id="337"/>
      <w:bookmarkEnd w:id="338"/>
      <w:bookmarkEnd w:id="339"/>
      <w:bookmarkEnd w:id="340"/>
      <w:bookmarkEnd w:id="341"/>
      <w:bookmarkEnd w:id="342"/>
      <w:bookmarkEnd w:id="343"/>
      <w:bookmarkEnd w:id="344"/>
    </w:p>
    <w:bookmarkEnd w:id="345"/>
    <w:bookmarkEnd w:id="346"/>
    <w:bookmarkEnd w:id="347"/>
    <w:bookmarkEnd w:id="348"/>
    <w:bookmarkEnd w:id="349"/>
    <w:bookmarkEnd w:id="350"/>
    <w:bookmarkEnd w:id="351"/>
    <w:bookmarkEnd w:id="352"/>
    <w:bookmarkEnd w:id="353"/>
    <w:bookmarkEnd w:id="354"/>
    <w:p w14:paraId="4E8FA492">
      <w:pPr>
        <w:pStyle w:val="4"/>
        <w:rPr>
          <w:color w:val="auto"/>
          <w:highlight w:val="none"/>
        </w:rPr>
      </w:pPr>
      <w:bookmarkStart w:id="355" w:name="_Toc373227707"/>
      <w:bookmarkStart w:id="356" w:name="_Toc962678435"/>
      <w:bookmarkStart w:id="357" w:name="_Toc373478354"/>
      <w:bookmarkStart w:id="358" w:name="_Toc78449795"/>
      <w:bookmarkStart w:id="359" w:name="_Toc18931"/>
      <w:bookmarkStart w:id="360" w:name="_Toc407135209"/>
      <w:bookmarkStart w:id="361" w:name="_Toc1642190822"/>
      <w:bookmarkStart w:id="362" w:name="_Toc389065273"/>
      <w:r>
        <w:rPr>
          <w:color w:val="auto"/>
          <w:highlight w:val="none"/>
        </w:rPr>
        <w:t xml:space="preserve">3.1 </w:t>
      </w:r>
      <w:r>
        <w:rPr>
          <w:rFonts w:hint="eastAsia" w:cs="黑体"/>
          <w:color w:val="auto"/>
          <w:highlight w:val="none"/>
        </w:rPr>
        <w:t>承包人的一般义务</w:t>
      </w:r>
      <w:bookmarkEnd w:id="355"/>
      <w:bookmarkEnd w:id="356"/>
      <w:bookmarkEnd w:id="357"/>
      <w:bookmarkEnd w:id="358"/>
      <w:bookmarkEnd w:id="359"/>
      <w:bookmarkEnd w:id="360"/>
      <w:bookmarkEnd w:id="361"/>
      <w:bookmarkEnd w:id="362"/>
    </w:p>
    <w:p w14:paraId="5FF6AA77">
      <w:pPr>
        <w:spacing w:line="360" w:lineRule="auto"/>
        <w:ind w:firstLine="420" w:firstLineChars="200"/>
        <w:jc w:val="left"/>
        <w:rPr>
          <w:color w:val="auto"/>
          <w:highlight w:val="none"/>
          <w:u w:val="single"/>
        </w:rPr>
      </w:pPr>
      <w:r>
        <w:rPr>
          <w:rFonts w:hint="eastAsia" w:hAnsi="宋体" w:cs="宋体"/>
          <w:color w:val="auto"/>
          <w:kern w:val="0"/>
          <w:highlight w:val="none"/>
        </w:rPr>
        <w:t>（</w:t>
      </w:r>
      <w:r>
        <w:rPr>
          <w:color w:val="auto"/>
          <w:kern w:val="0"/>
          <w:highlight w:val="none"/>
        </w:rPr>
        <w:t>9</w:t>
      </w:r>
      <w:r>
        <w:rPr>
          <w:rFonts w:hint="eastAsia" w:hAnsi="宋体" w:cs="宋体"/>
          <w:color w:val="auto"/>
          <w:kern w:val="0"/>
          <w:highlight w:val="none"/>
        </w:rPr>
        <w:t>）</w:t>
      </w:r>
      <w:r>
        <w:rPr>
          <w:rFonts w:hint="eastAsia" w:hAnsi="宋体" w:cs="宋体"/>
          <w:color w:val="auto"/>
          <w:highlight w:val="none"/>
        </w:rPr>
        <w:t>承包人提交的竣工资料的内容：</w:t>
      </w:r>
      <w:r>
        <w:rPr>
          <w:rFonts w:hint="eastAsia" w:hAnsi="宋体"/>
          <w:color w:val="auto"/>
          <w:highlight w:val="none"/>
          <w:u w:val="single"/>
        </w:rPr>
        <w:t>工程具备竣工验收条件，承包人按工程竣工验收有关规定，向发包人提交完整的竣工资料及竣工验收报告</w:t>
      </w:r>
      <w:r>
        <w:rPr>
          <w:rFonts w:hint="eastAsia" w:hAnsi="宋体" w:cs="宋体"/>
          <w:color w:val="auto"/>
          <w:highlight w:val="none"/>
        </w:rPr>
        <w:t>。</w:t>
      </w:r>
    </w:p>
    <w:p w14:paraId="1F8913D1">
      <w:pPr>
        <w:spacing w:line="360" w:lineRule="auto"/>
        <w:ind w:firstLine="420" w:firstLineChars="200"/>
        <w:jc w:val="left"/>
        <w:rPr>
          <w:color w:val="auto"/>
          <w:highlight w:val="none"/>
        </w:rPr>
      </w:pPr>
      <w:r>
        <w:rPr>
          <w:rFonts w:hint="eastAsia" w:hAnsi="宋体" w:cs="宋体"/>
          <w:color w:val="auto"/>
          <w:highlight w:val="none"/>
        </w:rPr>
        <w:t>承包人需要提交的竣工资料套数：</w:t>
      </w:r>
      <w:r>
        <w:rPr>
          <w:color w:val="auto"/>
          <w:highlight w:val="none"/>
          <w:u w:val="single"/>
        </w:rPr>
        <w:t xml:space="preserve"> </w:t>
      </w:r>
      <w:r>
        <w:rPr>
          <w:rFonts w:hint="eastAsia"/>
          <w:color w:val="auto"/>
          <w:highlight w:val="none"/>
          <w:u w:val="single"/>
        </w:rPr>
        <w:t xml:space="preserve"> 一式六份 </w:t>
      </w:r>
      <w:r>
        <w:rPr>
          <w:color w:val="auto"/>
          <w:highlight w:val="none"/>
          <w:u w:val="single"/>
        </w:rPr>
        <w:t xml:space="preserve"> </w:t>
      </w:r>
      <w:r>
        <w:rPr>
          <w:rFonts w:hint="eastAsia" w:hAnsi="宋体" w:cs="宋体"/>
          <w:color w:val="auto"/>
          <w:highlight w:val="none"/>
        </w:rPr>
        <w:t>。</w:t>
      </w:r>
    </w:p>
    <w:p w14:paraId="0297632F">
      <w:pPr>
        <w:spacing w:line="360" w:lineRule="auto"/>
        <w:ind w:left="424" w:leftChars="202"/>
        <w:jc w:val="left"/>
        <w:rPr>
          <w:color w:val="auto"/>
          <w:highlight w:val="none"/>
        </w:rPr>
      </w:pPr>
      <w:r>
        <w:rPr>
          <w:rFonts w:hint="eastAsia" w:hAnsi="宋体" w:cs="宋体"/>
          <w:color w:val="auto"/>
          <w:highlight w:val="none"/>
        </w:rPr>
        <w:t>承包人提交的竣工资料的费用承担：</w:t>
      </w:r>
      <w:r>
        <w:rPr>
          <w:rFonts w:hint="eastAsia"/>
          <w:color w:val="auto"/>
          <w:highlight w:val="none"/>
          <w:u w:val="single"/>
        </w:rPr>
        <w:t xml:space="preserve">  由承包人承担 </w:t>
      </w:r>
      <w:r>
        <w:rPr>
          <w:rFonts w:hint="eastAsia" w:hAnsi="宋体" w:cs="宋体"/>
          <w:color w:val="auto"/>
          <w:highlight w:val="none"/>
        </w:rPr>
        <w:t>。</w:t>
      </w:r>
    </w:p>
    <w:p w14:paraId="4E5C774B">
      <w:pPr>
        <w:spacing w:line="360" w:lineRule="auto"/>
        <w:ind w:firstLine="420" w:firstLineChars="200"/>
        <w:jc w:val="left"/>
        <w:rPr>
          <w:color w:val="auto"/>
          <w:highlight w:val="none"/>
        </w:rPr>
      </w:pPr>
      <w:r>
        <w:rPr>
          <w:rFonts w:hint="eastAsia" w:hAnsi="宋体" w:cs="宋体"/>
          <w:color w:val="auto"/>
          <w:highlight w:val="none"/>
        </w:rPr>
        <w:t>承包人提交的竣工资料移交时间：</w:t>
      </w:r>
      <w:r>
        <w:rPr>
          <w:rFonts w:ascii="宋体" w:hAnsi="宋体" w:eastAsia="宋体" w:cs="宋体"/>
          <w:color w:val="auto"/>
          <w:highlight w:val="none"/>
          <w:u w:val="single"/>
        </w:rPr>
        <w:t xml:space="preserve"> </w:t>
      </w:r>
      <w:r>
        <w:rPr>
          <w:rFonts w:hint="eastAsia" w:ascii="宋体" w:hAnsi="宋体" w:eastAsia="宋体" w:cs="宋体"/>
          <w:color w:val="auto"/>
          <w:highlight w:val="none"/>
          <w:u w:val="single"/>
        </w:rPr>
        <w:t>竣工验收正式通过后 5 天，提供竣工图的数量分别为6 套</w:t>
      </w:r>
      <w:r>
        <w:rPr>
          <w:rFonts w:ascii="宋体" w:hAnsi="宋体" w:eastAsia="宋体" w:cs="宋体"/>
          <w:color w:val="auto"/>
          <w:highlight w:val="none"/>
          <w:u w:val="single"/>
        </w:rPr>
        <w:t xml:space="preserve"> </w:t>
      </w:r>
      <w:r>
        <w:rPr>
          <w:rFonts w:hint="eastAsia" w:hAnsi="宋体" w:cs="宋体"/>
          <w:color w:val="auto"/>
          <w:highlight w:val="none"/>
        </w:rPr>
        <w:t>。</w:t>
      </w:r>
    </w:p>
    <w:p w14:paraId="14F6CCEF">
      <w:pPr>
        <w:spacing w:line="360" w:lineRule="auto"/>
        <w:ind w:firstLine="420" w:firstLineChars="200"/>
        <w:jc w:val="left"/>
        <w:rPr>
          <w:color w:val="auto"/>
          <w:highlight w:val="none"/>
        </w:rPr>
      </w:pPr>
      <w:r>
        <w:rPr>
          <w:rFonts w:hint="eastAsia" w:hAnsi="宋体" w:cs="宋体"/>
          <w:color w:val="auto"/>
          <w:highlight w:val="none"/>
        </w:rPr>
        <w:t>承包人提交的竣工资料形式要求：</w:t>
      </w:r>
      <w:r>
        <w:rPr>
          <w:rFonts w:hint="eastAsia"/>
          <w:color w:val="auto"/>
          <w:highlight w:val="none"/>
          <w:u w:val="single"/>
        </w:rPr>
        <w:t>完整的经相关部门签字确认并加盖单位公章后的竣工材料纸质版及电子版</w:t>
      </w:r>
      <w:r>
        <w:rPr>
          <w:rFonts w:hint="eastAsia" w:hAnsi="宋体" w:cs="宋体"/>
          <w:color w:val="auto"/>
          <w:highlight w:val="none"/>
        </w:rPr>
        <w:t>。</w:t>
      </w:r>
    </w:p>
    <w:p w14:paraId="3AC37B44">
      <w:pPr>
        <w:spacing w:line="360" w:lineRule="auto"/>
        <w:ind w:firstLine="420" w:firstLineChars="200"/>
        <w:rPr>
          <w:rFonts w:hint="eastAsia" w:hAnsi="宋体" w:cs="宋体"/>
          <w:color w:val="auto"/>
          <w:kern w:val="0"/>
          <w:highlight w:val="none"/>
        </w:rPr>
      </w:pPr>
      <w:r>
        <w:rPr>
          <w:rFonts w:hint="eastAsia" w:hAnsi="宋体" w:cs="宋体"/>
          <w:color w:val="auto"/>
          <w:kern w:val="0"/>
          <w:highlight w:val="none"/>
        </w:rPr>
        <w:t>（</w:t>
      </w:r>
      <w:r>
        <w:rPr>
          <w:color w:val="auto"/>
          <w:kern w:val="0"/>
          <w:highlight w:val="none"/>
        </w:rPr>
        <w:t>10</w:t>
      </w:r>
      <w:r>
        <w:rPr>
          <w:rFonts w:hint="eastAsia" w:hAnsi="宋体" w:cs="宋体"/>
          <w:color w:val="auto"/>
          <w:kern w:val="0"/>
          <w:highlight w:val="none"/>
        </w:rPr>
        <w:t>）承包人应履行的其他义务：</w:t>
      </w:r>
    </w:p>
    <w:p w14:paraId="6C278AF4">
      <w:pPr>
        <w:spacing w:line="360" w:lineRule="auto"/>
        <w:ind w:firstLine="420" w:firstLineChars="200"/>
        <w:rPr>
          <w:rFonts w:hint="eastAsia" w:hAnsi="宋体" w:cs="宋体"/>
          <w:color w:val="auto"/>
          <w:kern w:val="0"/>
          <w:highlight w:val="none"/>
        </w:rPr>
      </w:pPr>
      <w:r>
        <w:rPr>
          <w:rFonts w:hint="eastAsia" w:hAnsi="宋体" w:cs="宋体"/>
          <w:color w:val="auto"/>
          <w:kern w:val="0"/>
          <w:highlight w:val="none"/>
        </w:rPr>
        <w:t>1</w:t>
      </w:r>
      <w:r>
        <w:rPr>
          <w:rFonts w:hint="eastAsia" w:hAnsi="宋体" w:cs="宋体"/>
          <w:color w:val="auto"/>
          <w:kern w:val="0"/>
          <w:highlight w:val="none"/>
          <w:lang w:eastAsia="zh-CN"/>
        </w:rPr>
        <w:t>）</w:t>
      </w:r>
      <w:r>
        <w:rPr>
          <w:rFonts w:hint="eastAsia" w:hAnsi="宋体" w:cs="宋体"/>
          <w:color w:val="auto"/>
          <w:kern w:val="0"/>
          <w:highlight w:val="none"/>
        </w:rPr>
        <w:t>施工场地周围地下管线</w:t>
      </w:r>
      <w:r>
        <w:rPr>
          <w:rFonts w:hint="eastAsia" w:hAnsi="宋体" w:cs="宋体"/>
          <w:color w:val="auto"/>
          <w:kern w:val="0"/>
          <w:highlight w:val="none"/>
          <w:lang w:eastAsia="zh-CN"/>
        </w:rPr>
        <w:t>（</w:t>
      </w:r>
      <w:r>
        <w:rPr>
          <w:rFonts w:hint="eastAsia" w:hAnsi="宋体" w:cs="宋体"/>
          <w:color w:val="auto"/>
          <w:kern w:val="0"/>
          <w:highlight w:val="none"/>
        </w:rPr>
        <w:t>地下管综探测图由发包人提供</w:t>
      </w:r>
      <w:r>
        <w:rPr>
          <w:rFonts w:hint="eastAsia" w:hAnsi="宋体" w:cs="宋体"/>
          <w:color w:val="auto"/>
          <w:kern w:val="0"/>
          <w:highlight w:val="none"/>
          <w:lang w:eastAsia="zh-CN"/>
        </w:rPr>
        <w:t>）</w:t>
      </w:r>
      <w:r>
        <w:rPr>
          <w:rFonts w:hint="eastAsia" w:hAnsi="宋体" w:cs="宋体"/>
          <w:color w:val="auto"/>
          <w:kern w:val="0"/>
          <w:highlight w:val="none"/>
        </w:rPr>
        <w:t>和邻近建筑物、构筑物</w:t>
      </w:r>
      <w:r>
        <w:rPr>
          <w:rFonts w:hint="eastAsia" w:hAnsi="宋体" w:cs="宋体"/>
          <w:color w:val="auto"/>
          <w:kern w:val="0"/>
          <w:highlight w:val="none"/>
          <w:lang w:eastAsia="zh-CN"/>
        </w:rPr>
        <w:t>（</w:t>
      </w:r>
      <w:r>
        <w:rPr>
          <w:rFonts w:hint="eastAsia" w:hAnsi="宋体" w:cs="宋体"/>
          <w:color w:val="auto"/>
          <w:kern w:val="0"/>
          <w:highlight w:val="none"/>
        </w:rPr>
        <w:t>含文物保护建筑</w:t>
      </w:r>
      <w:r>
        <w:rPr>
          <w:rFonts w:hint="eastAsia" w:hAnsi="宋体" w:cs="宋体"/>
          <w:color w:val="auto"/>
          <w:kern w:val="0"/>
          <w:highlight w:val="none"/>
          <w:lang w:eastAsia="zh-CN"/>
        </w:rPr>
        <w:t>）</w:t>
      </w:r>
      <w:r>
        <w:rPr>
          <w:rFonts w:hint="eastAsia" w:hAnsi="宋体" w:cs="宋体"/>
          <w:color w:val="auto"/>
          <w:kern w:val="0"/>
          <w:highlight w:val="none"/>
        </w:rPr>
        <w:t>、古树名木的保护要求及费用承担：</w:t>
      </w:r>
      <w:r>
        <w:rPr>
          <w:rFonts w:hint="eastAsia" w:hAnsi="宋体" w:cs="宋体"/>
          <w:color w:val="auto"/>
          <w:kern w:val="0"/>
          <w:highlight w:val="none"/>
          <w:u w:val="single"/>
        </w:rPr>
        <w:t>承包人施工时应探明并负责保护且承包费用，施工时损坏地下管线、邻近建筑物、构筑物，所发生费用由承包人承担</w:t>
      </w:r>
      <w:r>
        <w:rPr>
          <w:rFonts w:hint="eastAsia" w:hAnsi="宋体" w:cs="宋体"/>
          <w:color w:val="auto"/>
          <w:kern w:val="0"/>
          <w:highlight w:val="none"/>
        </w:rPr>
        <w:t>。</w:t>
      </w:r>
    </w:p>
    <w:p w14:paraId="32EE5CD6">
      <w:pPr>
        <w:spacing w:line="360" w:lineRule="auto"/>
        <w:ind w:firstLine="420" w:firstLineChars="200"/>
        <w:rPr>
          <w:rFonts w:hint="eastAsia" w:hAnsi="宋体" w:cs="宋体"/>
          <w:color w:val="auto"/>
          <w:kern w:val="0"/>
          <w:highlight w:val="none"/>
        </w:rPr>
      </w:pPr>
      <w:r>
        <w:rPr>
          <w:rFonts w:hint="eastAsia" w:hAnsi="宋体" w:cs="宋体"/>
          <w:color w:val="auto"/>
          <w:kern w:val="0"/>
          <w:highlight w:val="none"/>
        </w:rPr>
        <w:t>2</w:t>
      </w:r>
      <w:r>
        <w:rPr>
          <w:rFonts w:hint="eastAsia" w:hAnsi="宋体" w:cs="宋体"/>
          <w:color w:val="auto"/>
          <w:kern w:val="0"/>
          <w:highlight w:val="none"/>
          <w:lang w:eastAsia="zh-CN"/>
        </w:rPr>
        <w:t>）</w:t>
      </w:r>
      <w:r>
        <w:rPr>
          <w:rFonts w:hint="eastAsia" w:hAnsi="宋体" w:cs="宋体"/>
          <w:color w:val="auto"/>
          <w:kern w:val="0"/>
          <w:highlight w:val="none"/>
        </w:rPr>
        <w:t>取土场及弃土场由承包人自行解决。但不得违反相关管理规定，并承担相关费用。</w:t>
      </w:r>
    </w:p>
    <w:p w14:paraId="5E405089">
      <w:pPr>
        <w:spacing w:line="360" w:lineRule="auto"/>
        <w:ind w:firstLine="420" w:firstLineChars="200"/>
        <w:rPr>
          <w:rFonts w:hint="eastAsia" w:hAnsi="宋体" w:cs="宋体"/>
          <w:color w:val="auto"/>
          <w:kern w:val="0"/>
          <w:highlight w:val="none"/>
        </w:rPr>
      </w:pPr>
      <w:r>
        <w:rPr>
          <w:rFonts w:hint="eastAsia" w:hAnsi="宋体" w:cs="宋体"/>
          <w:color w:val="auto"/>
          <w:kern w:val="0"/>
          <w:highlight w:val="none"/>
        </w:rPr>
        <w:t>3</w:t>
      </w:r>
      <w:r>
        <w:rPr>
          <w:rFonts w:hint="eastAsia" w:hAnsi="宋体" w:cs="宋体"/>
          <w:color w:val="auto"/>
          <w:kern w:val="0"/>
          <w:highlight w:val="none"/>
          <w:lang w:eastAsia="zh-CN"/>
        </w:rPr>
        <w:t>）</w:t>
      </w:r>
      <w:r>
        <w:rPr>
          <w:rFonts w:hint="eastAsia" w:hAnsi="宋体" w:cs="宋体"/>
          <w:color w:val="auto"/>
          <w:kern w:val="0"/>
          <w:highlight w:val="none"/>
        </w:rPr>
        <w:t>向发包人提供的办公和生活房屋及设施的要求：向发包人及监理提供办公室和休息室共3 间，费用由承包人承担。</w:t>
      </w:r>
    </w:p>
    <w:p w14:paraId="3BEDCCA2">
      <w:pPr>
        <w:spacing w:line="360" w:lineRule="auto"/>
        <w:ind w:firstLine="420" w:firstLineChars="200"/>
        <w:rPr>
          <w:rFonts w:hint="eastAsia" w:hAnsi="宋体" w:cs="宋体"/>
          <w:color w:val="auto"/>
          <w:kern w:val="0"/>
          <w:highlight w:val="none"/>
        </w:rPr>
      </w:pPr>
      <w:r>
        <w:rPr>
          <w:rFonts w:hint="eastAsia" w:hAnsi="宋体" w:cs="宋体"/>
          <w:color w:val="auto"/>
          <w:kern w:val="0"/>
          <w:highlight w:val="none"/>
        </w:rPr>
        <w:t>4</w:t>
      </w:r>
      <w:r>
        <w:rPr>
          <w:rFonts w:hint="eastAsia" w:hAnsi="宋体" w:cs="宋体"/>
          <w:color w:val="auto"/>
          <w:kern w:val="0"/>
          <w:highlight w:val="none"/>
          <w:lang w:eastAsia="zh-CN"/>
        </w:rPr>
        <w:t>）</w:t>
      </w:r>
      <w:r>
        <w:rPr>
          <w:rFonts w:hint="eastAsia" w:hAnsi="宋体" w:cs="宋体"/>
          <w:color w:val="auto"/>
          <w:kern w:val="0"/>
          <w:highlight w:val="none"/>
        </w:rPr>
        <w:t>已完工程成品保护的特殊要求及费用承担：已竣工工程未交付发包人之前，承包人按协议条款约定负责已完成工程的成品保护工作，保护期间发生损坏，承包人自费予以修复。</w:t>
      </w:r>
    </w:p>
    <w:p w14:paraId="65E02E84">
      <w:pPr>
        <w:spacing w:line="360" w:lineRule="auto"/>
        <w:ind w:firstLine="420" w:firstLineChars="200"/>
        <w:rPr>
          <w:rFonts w:hint="eastAsia" w:hAnsi="宋体" w:cs="宋体"/>
          <w:color w:val="auto"/>
          <w:kern w:val="0"/>
          <w:highlight w:val="none"/>
        </w:rPr>
      </w:pPr>
      <w:r>
        <w:rPr>
          <w:rFonts w:hint="eastAsia" w:hAnsi="宋体" w:cs="宋体"/>
          <w:color w:val="auto"/>
          <w:kern w:val="0"/>
          <w:highlight w:val="none"/>
        </w:rPr>
        <w:t>5</w:t>
      </w:r>
      <w:r>
        <w:rPr>
          <w:rFonts w:hint="eastAsia" w:hAnsi="宋体" w:cs="宋体"/>
          <w:color w:val="auto"/>
          <w:kern w:val="0"/>
          <w:highlight w:val="none"/>
          <w:lang w:eastAsia="zh-CN"/>
        </w:rPr>
        <w:t>）</w:t>
      </w:r>
      <w:r>
        <w:rPr>
          <w:rFonts w:hint="eastAsia" w:hAnsi="宋体" w:cs="宋体"/>
          <w:color w:val="auto"/>
          <w:kern w:val="0"/>
          <w:highlight w:val="none"/>
        </w:rPr>
        <w:t>施工场地、水电运输通道及施工便道的修建和维护、清场等费用：</w:t>
      </w:r>
      <w:r>
        <w:rPr>
          <w:rFonts w:hint="eastAsia" w:hAnsi="宋体" w:cs="宋体"/>
          <w:color w:val="auto"/>
          <w:kern w:val="0"/>
          <w:highlight w:val="none"/>
          <w:u w:val="single"/>
        </w:rPr>
        <w:t>由承包人承担</w:t>
      </w:r>
      <w:r>
        <w:rPr>
          <w:rFonts w:hint="eastAsia" w:hAnsi="宋体" w:cs="宋体"/>
          <w:color w:val="auto"/>
          <w:kern w:val="0"/>
          <w:highlight w:val="none"/>
        </w:rPr>
        <w:t>。</w:t>
      </w:r>
    </w:p>
    <w:p w14:paraId="7B783E27">
      <w:pPr>
        <w:spacing w:line="360" w:lineRule="auto"/>
        <w:ind w:firstLine="420" w:firstLineChars="200"/>
        <w:rPr>
          <w:rFonts w:hint="eastAsia" w:hAnsi="宋体" w:cs="宋体"/>
          <w:color w:val="auto"/>
          <w:kern w:val="0"/>
          <w:highlight w:val="none"/>
        </w:rPr>
      </w:pPr>
      <w:r>
        <w:rPr>
          <w:rFonts w:hint="eastAsia" w:hAnsi="宋体" w:cs="宋体"/>
          <w:color w:val="auto"/>
          <w:kern w:val="0"/>
          <w:highlight w:val="none"/>
        </w:rPr>
        <w:t>6</w:t>
      </w:r>
      <w:r>
        <w:rPr>
          <w:rFonts w:hint="eastAsia" w:hAnsi="宋体" w:cs="宋体"/>
          <w:color w:val="auto"/>
          <w:kern w:val="0"/>
          <w:highlight w:val="none"/>
          <w:lang w:eastAsia="zh-CN"/>
        </w:rPr>
        <w:t>）</w:t>
      </w:r>
      <w:r>
        <w:rPr>
          <w:rFonts w:hint="eastAsia" w:hAnsi="宋体" w:cs="宋体"/>
          <w:color w:val="auto"/>
          <w:kern w:val="0"/>
          <w:highlight w:val="none"/>
        </w:rPr>
        <w:t>本工程施工场地范围内水、电</w:t>
      </w:r>
      <w:r>
        <w:rPr>
          <w:rFonts w:hint="eastAsia" w:hAnsi="宋体" w:cs="宋体"/>
          <w:color w:val="auto"/>
          <w:kern w:val="0"/>
          <w:highlight w:val="none"/>
          <w:lang w:eastAsia="zh-CN"/>
        </w:rPr>
        <w:t>（</w:t>
      </w:r>
      <w:r>
        <w:rPr>
          <w:rFonts w:hint="eastAsia" w:hAnsi="宋体" w:cs="宋体"/>
          <w:color w:val="auto"/>
          <w:kern w:val="0"/>
          <w:highlight w:val="none"/>
        </w:rPr>
        <w:t>含施工过程中发包人所需的供水、供电部分设备</w:t>
      </w:r>
      <w:r>
        <w:rPr>
          <w:rFonts w:hint="eastAsia" w:hAnsi="宋体" w:cs="宋体"/>
          <w:color w:val="auto"/>
          <w:kern w:val="0"/>
          <w:highlight w:val="none"/>
          <w:lang w:eastAsia="zh-CN"/>
        </w:rPr>
        <w:t>）</w:t>
      </w:r>
      <w:r>
        <w:rPr>
          <w:rFonts w:hint="eastAsia" w:hAnsi="宋体" w:cs="宋体"/>
          <w:color w:val="auto"/>
          <w:kern w:val="0"/>
          <w:highlight w:val="none"/>
        </w:rPr>
        <w:t>使用、维护、拆除、恢复等由承包人负责，以上费用在投标报价中综合考虑。</w:t>
      </w:r>
    </w:p>
    <w:p w14:paraId="0BF5B648">
      <w:pPr>
        <w:spacing w:line="360" w:lineRule="auto"/>
        <w:ind w:firstLine="420" w:firstLineChars="200"/>
        <w:rPr>
          <w:rFonts w:hint="eastAsia" w:hAnsi="宋体" w:cs="宋体"/>
          <w:color w:val="auto"/>
          <w:kern w:val="0"/>
          <w:highlight w:val="none"/>
        </w:rPr>
      </w:pPr>
      <w:r>
        <w:rPr>
          <w:rFonts w:hint="eastAsia" w:hAnsi="宋体" w:cs="宋体"/>
          <w:color w:val="auto"/>
          <w:kern w:val="0"/>
          <w:highlight w:val="none"/>
        </w:rPr>
        <w:t>7</w:t>
      </w:r>
      <w:r>
        <w:rPr>
          <w:rFonts w:hint="eastAsia" w:hAnsi="宋体" w:cs="宋体"/>
          <w:color w:val="auto"/>
          <w:kern w:val="0"/>
          <w:highlight w:val="none"/>
          <w:lang w:eastAsia="zh-CN"/>
        </w:rPr>
        <w:t>）</w:t>
      </w:r>
      <w:r>
        <w:rPr>
          <w:rFonts w:hint="eastAsia" w:hAnsi="宋体" w:cs="宋体"/>
          <w:color w:val="auto"/>
          <w:kern w:val="0"/>
          <w:highlight w:val="none"/>
        </w:rPr>
        <w:t>承包人的临时占地</w:t>
      </w:r>
      <w:r>
        <w:rPr>
          <w:rFonts w:hint="eastAsia" w:hAnsi="宋体" w:cs="宋体"/>
          <w:color w:val="auto"/>
          <w:kern w:val="0"/>
          <w:highlight w:val="none"/>
          <w:lang w:eastAsia="zh-CN"/>
        </w:rPr>
        <w:t>（</w:t>
      </w:r>
      <w:r>
        <w:rPr>
          <w:rFonts w:hint="eastAsia" w:hAnsi="宋体" w:cs="宋体"/>
          <w:color w:val="auto"/>
          <w:kern w:val="0"/>
          <w:highlight w:val="none"/>
        </w:rPr>
        <w:t>含项目部驻地等</w:t>
      </w:r>
      <w:r>
        <w:rPr>
          <w:rFonts w:hint="eastAsia" w:hAnsi="宋体" w:cs="宋体"/>
          <w:color w:val="auto"/>
          <w:kern w:val="0"/>
          <w:highlight w:val="none"/>
          <w:lang w:eastAsia="zh-CN"/>
        </w:rPr>
        <w:t>）</w:t>
      </w:r>
      <w:r>
        <w:rPr>
          <w:rFonts w:hint="eastAsia" w:hAnsi="宋体" w:cs="宋体"/>
          <w:color w:val="auto"/>
          <w:kern w:val="0"/>
          <w:highlight w:val="none"/>
        </w:rPr>
        <w:t>租用费</w:t>
      </w:r>
      <w:r>
        <w:rPr>
          <w:rFonts w:hint="eastAsia" w:hAnsi="宋体" w:cs="宋体"/>
          <w:color w:val="auto"/>
          <w:kern w:val="0"/>
          <w:highlight w:val="none"/>
          <w:lang w:eastAsia="zh-CN"/>
        </w:rPr>
        <w:t>（</w:t>
      </w:r>
      <w:r>
        <w:rPr>
          <w:rFonts w:hint="eastAsia" w:hAnsi="宋体" w:cs="宋体"/>
          <w:color w:val="auto"/>
          <w:kern w:val="0"/>
          <w:highlight w:val="none"/>
        </w:rPr>
        <w:t>含拆迁补偿</w:t>
      </w:r>
      <w:r>
        <w:rPr>
          <w:rFonts w:hint="eastAsia" w:hAnsi="宋体" w:cs="宋体"/>
          <w:color w:val="auto"/>
          <w:kern w:val="0"/>
          <w:highlight w:val="none"/>
          <w:lang w:eastAsia="zh-CN"/>
        </w:rPr>
        <w:t>）</w:t>
      </w:r>
      <w:r>
        <w:rPr>
          <w:rFonts w:hint="eastAsia" w:hAnsi="宋体" w:cs="宋体"/>
          <w:color w:val="auto"/>
          <w:kern w:val="0"/>
          <w:highlight w:val="none"/>
        </w:rPr>
        <w:t>、临时用地的环保、恢复及施工范围内临时性占地的地面附着物发生的费用均由承包人负责，发生的一切费用已包含在投标报价中。</w:t>
      </w:r>
    </w:p>
    <w:p w14:paraId="58F93939">
      <w:pPr>
        <w:spacing w:line="360" w:lineRule="auto"/>
        <w:ind w:firstLine="420" w:firstLineChars="200"/>
        <w:rPr>
          <w:rFonts w:hint="eastAsia" w:hAnsi="宋体" w:cs="宋体"/>
          <w:color w:val="auto"/>
          <w:kern w:val="0"/>
          <w:highlight w:val="none"/>
        </w:rPr>
      </w:pPr>
      <w:r>
        <w:rPr>
          <w:rFonts w:hint="eastAsia" w:hAnsi="宋体" w:cs="宋体"/>
          <w:color w:val="auto"/>
          <w:kern w:val="0"/>
          <w:highlight w:val="none"/>
        </w:rPr>
        <w:t>8</w:t>
      </w:r>
      <w:r>
        <w:rPr>
          <w:rFonts w:hint="eastAsia" w:hAnsi="宋体" w:cs="宋体"/>
          <w:color w:val="auto"/>
          <w:kern w:val="0"/>
          <w:highlight w:val="none"/>
          <w:lang w:eastAsia="zh-CN"/>
        </w:rPr>
        <w:t>）</w:t>
      </w:r>
      <w:r>
        <w:rPr>
          <w:rFonts w:hint="eastAsia" w:hAnsi="宋体" w:cs="宋体"/>
          <w:color w:val="auto"/>
          <w:kern w:val="0"/>
          <w:highlight w:val="none"/>
        </w:rPr>
        <w:t>承包人应按监理人的指示负责拆除拆迁残留基础和构筑物等，清除本工程施工范围的零星拆迁垃圾、杂物以及场地中的树根等，结算时以实际发生为准。</w:t>
      </w:r>
    </w:p>
    <w:p w14:paraId="49C28673">
      <w:pPr>
        <w:spacing w:line="360" w:lineRule="auto"/>
        <w:ind w:firstLine="420" w:firstLineChars="200"/>
        <w:rPr>
          <w:rFonts w:hint="eastAsia" w:hAnsi="宋体" w:cs="宋体"/>
          <w:color w:val="auto"/>
          <w:kern w:val="0"/>
          <w:highlight w:val="none"/>
        </w:rPr>
      </w:pPr>
      <w:r>
        <w:rPr>
          <w:rFonts w:hint="eastAsia" w:hAnsi="宋体" w:cs="宋体"/>
          <w:color w:val="auto"/>
          <w:kern w:val="0"/>
          <w:highlight w:val="none"/>
        </w:rPr>
        <w:t>9</w:t>
      </w:r>
      <w:r>
        <w:rPr>
          <w:rFonts w:hint="eastAsia" w:hAnsi="宋体" w:cs="宋体"/>
          <w:color w:val="auto"/>
          <w:kern w:val="0"/>
          <w:highlight w:val="none"/>
          <w:lang w:eastAsia="zh-CN"/>
        </w:rPr>
        <w:t>）</w:t>
      </w:r>
      <w:r>
        <w:rPr>
          <w:rFonts w:hint="eastAsia" w:hAnsi="宋体" w:cs="宋体"/>
          <w:color w:val="auto"/>
          <w:kern w:val="0"/>
          <w:highlight w:val="none"/>
        </w:rPr>
        <w:t>本合同承包人施工场地上架设施工用电线路，线路走向由监理人会同承包人共同协商确定。</w:t>
      </w:r>
    </w:p>
    <w:p w14:paraId="37746859">
      <w:pPr>
        <w:spacing w:line="360" w:lineRule="auto"/>
        <w:ind w:firstLine="420" w:firstLineChars="200"/>
        <w:rPr>
          <w:rFonts w:hint="eastAsia" w:hAnsi="宋体" w:cs="宋体"/>
          <w:color w:val="auto"/>
          <w:kern w:val="0"/>
          <w:highlight w:val="none"/>
        </w:rPr>
      </w:pPr>
      <w:r>
        <w:rPr>
          <w:rFonts w:hint="eastAsia" w:hAnsi="宋体" w:cs="宋体"/>
          <w:color w:val="auto"/>
          <w:kern w:val="0"/>
          <w:highlight w:val="none"/>
        </w:rPr>
        <w:t>10</w:t>
      </w:r>
      <w:r>
        <w:rPr>
          <w:rFonts w:hint="eastAsia" w:hAnsi="宋体" w:cs="宋体"/>
          <w:color w:val="auto"/>
          <w:kern w:val="0"/>
          <w:highlight w:val="none"/>
          <w:lang w:eastAsia="zh-CN"/>
        </w:rPr>
        <w:t>）</w:t>
      </w:r>
      <w:r>
        <w:rPr>
          <w:rFonts w:hint="eastAsia" w:hAnsi="宋体" w:cs="宋体"/>
          <w:color w:val="auto"/>
          <w:kern w:val="0"/>
          <w:highlight w:val="none"/>
        </w:rPr>
        <w:t>承包人应充分理解有一些设施</w:t>
      </w:r>
      <w:r>
        <w:rPr>
          <w:rFonts w:hint="eastAsia" w:hAnsi="宋体" w:cs="宋体"/>
          <w:color w:val="auto"/>
          <w:kern w:val="0"/>
          <w:highlight w:val="none"/>
          <w:lang w:eastAsia="zh-CN"/>
        </w:rPr>
        <w:t>（</w:t>
      </w:r>
      <w:r>
        <w:rPr>
          <w:rFonts w:hint="eastAsia" w:hAnsi="宋体" w:cs="宋体"/>
          <w:color w:val="auto"/>
          <w:kern w:val="0"/>
          <w:highlight w:val="none"/>
        </w:rPr>
        <w:t>如施工道路</w:t>
      </w:r>
      <w:r>
        <w:rPr>
          <w:rFonts w:hint="eastAsia" w:hAnsi="宋体" w:cs="宋体"/>
          <w:color w:val="auto"/>
          <w:kern w:val="0"/>
          <w:highlight w:val="none"/>
          <w:lang w:eastAsia="zh-CN"/>
        </w:rPr>
        <w:t>）</w:t>
      </w:r>
      <w:r>
        <w:rPr>
          <w:rFonts w:hint="eastAsia" w:hAnsi="宋体" w:cs="宋体"/>
          <w:color w:val="auto"/>
          <w:kern w:val="0"/>
          <w:highlight w:val="none"/>
        </w:rPr>
        <w:t>将会由一个以上的承包人使用，如果在使用过程中发生干扰时，应立即通知监理人并服从监理人的决定。</w:t>
      </w:r>
    </w:p>
    <w:p w14:paraId="1D270101">
      <w:pPr>
        <w:spacing w:line="360" w:lineRule="auto"/>
        <w:ind w:firstLine="420" w:firstLineChars="200"/>
        <w:rPr>
          <w:rFonts w:hint="eastAsia" w:hAnsi="宋体" w:cs="宋体"/>
          <w:color w:val="auto"/>
          <w:kern w:val="0"/>
          <w:highlight w:val="none"/>
        </w:rPr>
      </w:pPr>
      <w:r>
        <w:rPr>
          <w:rFonts w:hint="eastAsia" w:hAnsi="宋体" w:cs="宋体"/>
          <w:color w:val="auto"/>
          <w:kern w:val="0"/>
          <w:highlight w:val="none"/>
        </w:rPr>
        <w:t>11</w:t>
      </w:r>
      <w:r>
        <w:rPr>
          <w:rFonts w:hint="eastAsia" w:hAnsi="宋体" w:cs="宋体"/>
          <w:color w:val="auto"/>
          <w:kern w:val="0"/>
          <w:highlight w:val="none"/>
          <w:lang w:eastAsia="zh-CN"/>
        </w:rPr>
        <w:t>）</w:t>
      </w:r>
      <w:r>
        <w:rPr>
          <w:rFonts w:hint="eastAsia" w:hAnsi="宋体" w:cs="宋体"/>
          <w:color w:val="auto"/>
          <w:kern w:val="0"/>
          <w:highlight w:val="none"/>
        </w:rPr>
        <w:t>凡属于承包人交付给其他承包人的工作面以及与其他承包人交叉作业的工作面，承包人必须服从监理人的决定，按规定的完工日期完成并将清理好的工作面移交给发包人，并取得监理人的同意。</w:t>
      </w:r>
    </w:p>
    <w:p w14:paraId="7C9BBF99">
      <w:pPr>
        <w:spacing w:line="360" w:lineRule="auto"/>
        <w:ind w:firstLine="420" w:firstLineChars="200"/>
        <w:rPr>
          <w:rFonts w:hint="eastAsia" w:hAnsi="宋体" w:cs="宋体"/>
          <w:color w:val="auto"/>
          <w:kern w:val="0"/>
          <w:highlight w:val="none"/>
        </w:rPr>
      </w:pPr>
      <w:r>
        <w:rPr>
          <w:rFonts w:hint="eastAsia" w:hAnsi="宋体" w:cs="宋体"/>
          <w:color w:val="auto"/>
          <w:kern w:val="0"/>
          <w:highlight w:val="none"/>
        </w:rPr>
        <w:t>12</w:t>
      </w:r>
      <w:r>
        <w:rPr>
          <w:rFonts w:hint="eastAsia" w:hAnsi="宋体" w:cs="宋体"/>
          <w:color w:val="auto"/>
          <w:kern w:val="0"/>
          <w:highlight w:val="none"/>
          <w:lang w:eastAsia="zh-CN"/>
        </w:rPr>
        <w:t>）</w:t>
      </w:r>
      <w:r>
        <w:rPr>
          <w:rFonts w:hint="eastAsia" w:hAnsi="宋体" w:cs="宋体"/>
          <w:color w:val="auto"/>
          <w:kern w:val="0"/>
          <w:highlight w:val="none"/>
        </w:rPr>
        <w:t>承包人应为监理人、发包人现场代表对施工现场的检查监督提供必要的配合，并对这种配合对施工的影响应有充分的考虑。</w:t>
      </w:r>
    </w:p>
    <w:p w14:paraId="11C325AC">
      <w:pPr>
        <w:spacing w:line="360" w:lineRule="auto"/>
        <w:ind w:firstLine="420" w:firstLineChars="200"/>
        <w:rPr>
          <w:rFonts w:hint="eastAsia" w:hAnsi="宋体" w:cs="宋体"/>
          <w:color w:val="auto"/>
          <w:kern w:val="0"/>
          <w:highlight w:val="none"/>
        </w:rPr>
      </w:pPr>
      <w:r>
        <w:rPr>
          <w:rFonts w:hint="eastAsia" w:hAnsi="宋体" w:cs="宋体"/>
          <w:color w:val="auto"/>
          <w:kern w:val="0"/>
          <w:highlight w:val="none"/>
        </w:rPr>
        <w:t>对上述9</w:t>
      </w:r>
      <w:r>
        <w:rPr>
          <w:rFonts w:hint="eastAsia" w:hAnsi="宋体" w:cs="宋体"/>
          <w:color w:val="auto"/>
          <w:kern w:val="0"/>
          <w:highlight w:val="none"/>
          <w:lang w:eastAsia="zh-CN"/>
        </w:rPr>
        <w:t>）</w:t>
      </w:r>
      <w:r>
        <w:rPr>
          <w:rFonts w:hint="eastAsia" w:hAnsi="宋体" w:cs="宋体"/>
          <w:color w:val="auto"/>
          <w:kern w:val="0"/>
          <w:highlight w:val="none"/>
        </w:rPr>
        <w:t>-12</w:t>
      </w:r>
      <w:r>
        <w:rPr>
          <w:rFonts w:hint="eastAsia" w:hAnsi="宋体" w:cs="宋体"/>
          <w:color w:val="auto"/>
          <w:kern w:val="0"/>
          <w:highlight w:val="none"/>
          <w:lang w:eastAsia="zh-CN"/>
        </w:rPr>
        <w:t>）</w:t>
      </w:r>
      <w:r>
        <w:rPr>
          <w:rFonts w:hint="eastAsia" w:hAnsi="宋体" w:cs="宋体"/>
          <w:color w:val="auto"/>
          <w:kern w:val="0"/>
          <w:highlight w:val="none"/>
        </w:rPr>
        <w:t>项工作，费用已包括在有关单价和总价中，发包人不再另行支付由此所发生的一切费用。</w:t>
      </w:r>
    </w:p>
    <w:p w14:paraId="033535F1">
      <w:pPr>
        <w:spacing w:line="360" w:lineRule="auto"/>
        <w:ind w:firstLine="420" w:firstLineChars="200"/>
        <w:rPr>
          <w:rFonts w:hint="eastAsia" w:hAnsi="宋体" w:cs="宋体"/>
          <w:color w:val="auto"/>
          <w:kern w:val="0"/>
          <w:highlight w:val="none"/>
        </w:rPr>
      </w:pPr>
      <w:r>
        <w:rPr>
          <w:rFonts w:hint="eastAsia" w:hAnsi="宋体" w:cs="宋体"/>
          <w:color w:val="auto"/>
          <w:kern w:val="0"/>
          <w:highlight w:val="none"/>
        </w:rPr>
        <w:t>13</w:t>
      </w:r>
      <w:r>
        <w:rPr>
          <w:rFonts w:hint="eastAsia" w:hAnsi="宋体" w:cs="宋体"/>
          <w:color w:val="auto"/>
          <w:kern w:val="0"/>
          <w:highlight w:val="none"/>
          <w:lang w:eastAsia="zh-CN"/>
        </w:rPr>
        <w:t>）</w:t>
      </w:r>
      <w:r>
        <w:rPr>
          <w:rFonts w:hint="eastAsia" w:hAnsi="宋体" w:cs="宋体"/>
          <w:color w:val="auto"/>
          <w:kern w:val="0"/>
          <w:highlight w:val="none"/>
        </w:rPr>
        <w:t>土料场由承包人自行解决，并负责提供经检测合格的土料。</w:t>
      </w:r>
    </w:p>
    <w:p w14:paraId="36886553">
      <w:pPr>
        <w:spacing w:line="360" w:lineRule="auto"/>
        <w:ind w:firstLine="420" w:firstLineChars="200"/>
        <w:rPr>
          <w:rFonts w:hint="eastAsia" w:hAnsi="宋体" w:cs="宋体"/>
          <w:color w:val="auto"/>
          <w:kern w:val="0"/>
          <w:highlight w:val="none"/>
        </w:rPr>
      </w:pPr>
      <w:r>
        <w:rPr>
          <w:rFonts w:hint="eastAsia" w:hAnsi="宋体" w:cs="宋体"/>
          <w:color w:val="auto"/>
          <w:kern w:val="0"/>
          <w:highlight w:val="none"/>
        </w:rPr>
        <w:t>14</w:t>
      </w:r>
      <w:r>
        <w:rPr>
          <w:rFonts w:hint="eastAsia" w:hAnsi="宋体" w:cs="宋体"/>
          <w:color w:val="auto"/>
          <w:kern w:val="0"/>
          <w:highlight w:val="none"/>
          <w:lang w:eastAsia="zh-CN"/>
        </w:rPr>
        <w:t>）</w:t>
      </w:r>
      <w:r>
        <w:rPr>
          <w:rFonts w:hint="eastAsia" w:hAnsi="宋体" w:cs="宋体"/>
          <w:color w:val="auto"/>
          <w:kern w:val="0"/>
          <w:highlight w:val="none"/>
        </w:rPr>
        <w:t>承包人应负责施工场内交通管制和协调通行工作。连接施工场地内外道路出口处须设洗车场，对从施工场地进入市区道路的所有车辆进行清洗，并派专人在出口处负责看守，严禁与工程施工无关的人员及车辆进出施工场地，所发生的费用由监理人负责协调有关标段共同承担。如承包人违反以上有关规定，由此所造成的一切后果由承包人负责。</w:t>
      </w:r>
    </w:p>
    <w:p w14:paraId="75B1DDA4">
      <w:pPr>
        <w:spacing w:line="360" w:lineRule="auto"/>
        <w:ind w:firstLine="420" w:firstLineChars="200"/>
        <w:rPr>
          <w:rFonts w:hint="eastAsia" w:hAnsi="宋体" w:cs="宋体"/>
          <w:color w:val="auto"/>
          <w:kern w:val="0"/>
          <w:highlight w:val="none"/>
        </w:rPr>
      </w:pPr>
      <w:r>
        <w:rPr>
          <w:rFonts w:hint="eastAsia" w:hAnsi="宋体" w:cs="宋体"/>
          <w:color w:val="auto"/>
          <w:kern w:val="0"/>
          <w:highlight w:val="none"/>
        </w:rPr>
        <w:t>15</w:t>
      </w:r>
      <w:r>
        <w:rPr>
          <w:rFonts w:hint="eastAsia" w:hAnsi="宋体" w:cs="宋体"/>
          <w:color w:val="auto"/>
          <w:kern w:val="0"/>
          <w:highlight w:val="none"/>
          <w:lang w:eastAsia="zh-CN"/>
        </w:rPr>
        <w:t>）</w:t>
      </w:r>
      <w:r>
        <w:rPr>
          <w:rFonts w:hint="eastAsia" w:hAnsi="宋体" w:cs="宋体"/>
          <w:color w:val="auto"/>
          <w:kern w:val="0"/>
          <w:highlight w:val="none"/>
        </w:rPr>
        <w:t>承包人负责其本合同段在合同实施期内临时交通道路</w:t>
      </w:r>
      <w:r>
        <w:rPr>
          <w:rFonts w:hint="eastAsia" w:hAnsi="宋体" w:cs="宋体"/>
          <w:color w:val="auto"/>
          <w:kern w:val="0"/>
          <w:highlight w:val="none"/>
          <w:lang w:eastAsia="zh-CN"/>
        </w:rPr>
        <w:t>（</w:t>
      </w:r>
      <w:r>
        <w:rPr>
          <w:rFonts w:hint="eastAsia" w:hAnsi="宋体" w:cs="宋体"/>
          <w:color w:val="auto"/>
          <w:kern w:val="0"/>
          <w:highlight w:val="none"/>
        </w:rPr>
        <w:t>含场内外连接公共交通道路</w:t>
      </w:r>
      <w:r>
        <w:rPr>
          <w:rFonts w:hint="eastAsia" w:hAnsi="宋体" w:cs="宋体"/>
          <w:color w:val="auto"/>
          <w:kern w:val="0"/>
          <w:highlight w:val="none"/>
          <w:lang w:eastAsia="zh-CN"/>
        </w:rPr>
        <w:t>）</w:t>
      </w:r>
      <w:r>
        <w:rPr>
          <w:rFonts w:hint="eastAsia" w:hAnsi="宋体" w:cs="宋体"/>
          <w:color w:val="auto"/>
          <w:kern w:val="0"/>
          <w:highlight w:val="none"/>
        </w:rPr>
        <w:t>和交通设施的修建、维修、养护和交通管理工作，并承担一切费用。</w:t>
      </w:r>
    </w:p>
    <w:p w14:paraId="284FAAC9">
      <w:pPr>
        <w:spacing w:line="360" w:lineRule="auto"/>
        <w:ind w:firstLine="420" w:firstLineChars="200"/>
        <w:rPr>
          <w:rFonts w:hint="eastAsia" w:hAnsi="宋体" w:cs="宋体"/>
          <w:color w:val="auto"/>
          <w:kern w:val="0"/>
          <w:highlight w:val="none"/>
        </w:rPr>
      </w:pPr>
      <w:r>
        <w:rPr>
          <w:rFonts w:hint="eastAsia" w:hAnsi="宋体" w:cs="宋体"/>
          <w:color w:val="auto"/>
          <w:kern w:val="0"/>
          <w:highlight w:val="none"/>
        </w:rPr>
        <w:t>16</w:t>
      </w:r>
      <w:r>
        <w:rPr>
          <w:rFonts w:hint="eastAsia" w:hAnsi="宋体" w:cs="宋体"/>
          <w:color w:val="auto"/>
          <w:kern w:val="0"/>
          <w:highlight w:val="none"/>
          <w:lang w:eastAsia="zh-CN"/>
        </w:rPr>
        <w:t>）</w:t>
      </w:r>
      <w:r>
        <w:rPr>
          <w:rFonts w:hint="eastAsia" w:hAnsi="宋体" w:cs="宋体"/>
          <w:color w:val="auto"/>
          <w:kern w:val="0"/>
          <w:highlight w:val="none"/>
        </w:rPr>
        <w:t>承包人修建的临时道路和交通设施，应免费提供给发包人、监理人和其他合同段的承包人使用，如共同使用的路基损坏严重，发包人或监理人将负责通知有关承包人共同出资修复，若使用频率相差悬殊，则按比例分摊。</w:t>
      </w:r>
    </w:p>
    <w:p w14:paraId="596459C3">
      <w:pPr>
        <w:spacing w:line="360" w:lineRule="auto"/>
        <w:ind w:firstLine="420" w:firstLineChars="200"/>
        <w:rPr>
          <w:rFonts w:hint="eastAsia" w:hAnsi="宋体" w:cs="宋体"/>
          <w:color w:val="auto"/>
          <w:kern w:val="0"/>
          <w:highlight w:val="none"/>
        </w:rPr>
      </w:pPr>
      <w:r>
        <w:rPr>
          <w:rFonts w:hint="eastAsia" w:hAnsi="宋体" w:cs="宋体"/>
          <w:color w:val="auto"/>
          <w:kern w:val="0"/>
          <w:highlight w:val="none"/>
        </w:rPr>
        <w:t>17</w:t>
      </w:r>
      <w:r>
        <w:rPr>
          <w:rFonts w:hint="eastAsia" w:hAnsi="宋体" w:cs="宋体"/>
          <w:color w:val="auto"/>
          <w:kern w:val="0"/>
          <w:highlight w:val="none"/>
          <w:lang w:eastAsia="zh-CN"/>
        </w:rPr>
        <w:t>）</w:t>
      </w:r>
      <w:r>
        <w:rPr>
          <w:rFonts w:hint="eastAsia" w:hAnsi="宋体" w:cs="宋体"/>
          <w:color w:val="auto"/>
          <w:kern w:val="0"/>
          <w:highlight w:val="none"/>
        </w:rPr>
        <w:t>承包人在实施合同工程所使用公共道路、水源、公共设施等必须保障发包人及其他人的财产、利益和权利免受损害，造成损害的自费负责维修或赔偿。</w:t>
      </w:r>
    </w:p>
    <w:p w14:paraId="45412A3C">
      <w:pPr>
        <w:spacing w:line="360" w:lineRule="auto"/>
        <w:ind w:firstLine="420" w:firstLineChars="200"/>
        <w:rPr>
          <w:rFonts w:hint="eastAsia" w:hAnsi="宋体" w:cs="宋体"/>
          <w:color w:val="auto"/>
          <w:kern w:val="0"/>
          <w:highlight w:val="none"/>
        </w:rPr>
      </w:pPr>
      <w:r>
        <w:rPr>
          <w:rFonts w:hint="eastAsia" w:hAnsi="宋体" w:cs="宋体"/>
          <w:color w:val="auto"/>
          <w:kern w:val="0"/>
          <w:highlight w:val="none"/>
        </w:rPr>
        <w:t>18</w:t>
      </w:r>
      <w:r>
        <w:rPr>
          <w:rFonts w:hint="eastAsia" w:hAnsi="宋体" w:cs="宋体"/>
          <w:color w:val="auto"/>
          <w:kern w:val="0"/>
          <w:highlight w:val="none"/>
          <w:lang w:eastAsia="zh-CN"/>
        </w:rPr>
        <w:t>）</w:t>
      </w:r>
      <w:r>
        <w:rPr>
          <w:rFonts w:hint="eastAsia" w:hAnsi="宋体" w:cs="宋体"/>
          <w:color w:val="auto"/>
          <w:kern w:val="0"/>
          <w:highlight w:val="none"/>
        </w:rPr>
        <w:t>承包人的施工管理区及施工场地应设有临时的污水处理设施和施工排水设施，生活、施工垃圾等处置应妥当，施工材料如涂料、化学品等应妥善存放，并设有防雨、防风等措施，并承担一切费用。</w:t>
      </w:r>
    </w:p>
    <w:p w14:paraId="74E16192">
      <w:pPr>
        <w:spacing w:line="360" w:lineRule="auto"/>
        <w:ind w:firstLine="420" w:firstLineChars="200"/>
        <w:rPr>
          <w:rFonts w:hint="eastAsia" w:hAnsi="宋体" w:cs="宋体"/>
          <w:color w:val="auto"/>
          <w:kern w:val="0"/>
          <w:highlight w:val="none"/>
        </w:rPr>
      </w:pPr>
      <w:r>
        <w:rPr>
          <w:rFonts w:hint="eastAsia" w:hAnsi="宋体" w:cs="宋体"/>
          <w:color w:val="auto"/>
          <w:kern w:val="0"/>
          <w:highlight w:val="none"/>
        </w:rPr>
        <w:t>19</w:t>
      </w:r>
      <w:r>
        <w:rPr>
          <w:rFonts w:hint="eastAsia" w:hAnsi="宋体" w:cs="宋体"/>
          <w:color w:val="auto"/>
          <w:kern w:val="0"/>
          <w:highlight w:val="none"/>
          <w:lang w:eastAsia="zh-CN"/>
        </w:rPr>
        <w:t>）</w:t>
      </w:r>
      <w:r>
        <w:rPr>
          <w:rFonts w:hint="eastAsia" w:hAnsi="宋体" w:cs="宋体"/>
          <w:color w:val="auto"/>
          <w:kern w:val="0"/>
          <w:highlight w:val="none"/>
        </w:rPr>
        <w:t>移交证书签发后，承包人应立即从签发了移交证书的工地上将所有有关的承包人的设备、多余材料、垃圾及各种临时工程清除、移走，并使这一部分工程及工地保持清洁，使发包人满意。</w:t>
      </w:r>
    </w:p>
    <w:p w14:paraId="16F8A56C">
      <w:pPr>
        <w:spacing w:line="360" w:lineRule="auto"/>
        <w:ind w:firstLine="420" w:firstLineChars="200"/>
        <w:rPr>
          <w:rFonts w:hint="eastAsia" w:hAnsi="宋体" w:cs="宋体"/>
          <w:color w:val="auto"/>
          <w:kern w:val="0"/>
          <w:highlight w:val="none"/>
        </w:rPr>
      </w:pPr>
      <w:r>
        <w:rPr>
          <w:rFonts w:hint="eastAsia" w:hAnsi="宋体" w:cs="宋体"/>
          <w:color w:val="auto"/>
          <w:kern w:val="0"/>
          <w:highlight w:val="none"/>
        </w:rPr>
        <w:t>20</w:t>
      </w:r>
      <w:r>
        <w:rPr>
          <w:rFonts w:hint="eastAsia" w:hAnsi="宋体" w:cs="宋体"/>
          <w:color w:val="auto"/>
          <w:kern w:val="0"/>
          <w:highlight w:val="none"/>
          <w:lang w:eastAsia="zh-CN"/>
        </w:rPr>
        <w:t>）</w:t>
      </w:r>
      <w:r>
        <w:rPr>
          <w:rFonts w:hint="eastAsia" w:hAnsi="宋体" w:cs="宋体"/>
          <w:color w:val="auto"/>
          <w:kern w:val="0"/>
          <w:highlight w:val="none"/>
        </w:rPr>
        <w:t>承包人应全权自费负责其劳务及职员的雇佣、工资的支付、房屋、膳食及运输的安排。承包人在任何时候应采取一切合理的预防措施，以防止其职员发生任何违法的、妨碍治安的行为，并维护治安和保护工程附近的单位、个人或财产免遭上述行为的破坏，否则，由此造成的后果和费用均由承包人承担。</w:t>
      </w:r>
    </w:p>
    <w:p w14:paraId="1969332B">
      <w:pPr>
        <w:spacing w:line="360" w:lineRule="auto"/>
        <w:ind w:firstLine="420" w:firstLineChars="200"/>
        <w:rPr>
          <w:rFonts w:hint="eastAsia" w:hAnsi="宋体" w:cs="宋体"/>
          <w:color w:val="auto"/>
          <w:kern w:val="0"/>
          <w:highlight w:val="none"/>
        </w:rPr>
      </w:pPr>
      <w:r>
        <w:rPr>
          <w:rFonts w:hint="eastAsia" w:hAnsi="宋体" w:cs="宋体"/>
          <w:color w:val="auto"/>
          <w:kern w:val="0"/>
          <w:highlight w:val="none"/>
        </w:rPr>
        <w:t>21</w:t>
      </w:r>
      <w:r>
        <w:rPr>
          <w:rFonts w:hint="eastAsia" w:hAnsi="宋体" w:cs="宋体"/>
          <w:color w:val="auto"/>
          <w:kern w:val="0"/>
          <w:highlight w:val="none"/>
          <w:lang w:eastAsia="zh-CN"/>
        </w:rPr>
        <w:t>）</w:t>
      </w:r>
      <w:r>
        <w:rPr>
          <w:rFonts w:hint="eastAsia" w:hAnsi="宋体" w:cs="宋体"/>
          <w:color w:val="auto"/>
          <w:kern w:val="0"/>
          <w:highlight w:val="none"/>
        </w:rPr>
        <w:t>承包人应按安全施工管理有关规定，配备安全管理机构，配备合格的安全管理人员，负责处理全体工作人员和劳务人员的安全保护和防止事故等问题，如因承包人原因造成人员伤亡、财产损失等一切事故，由承包人负全责并承担费用。</w:t>
      </w:r>
    </w:p>
    <w:p w14:paraId="112339B9">
      <w:pPr>
        <w:spacing w:line="360" w:lineRule="auto"/>
        <w:ind w:firstLine="420" w:firstLineChars="200"/>
        <w:rPr>
          <w:rFonts w:hint="eastAsia" w:hAnsi="宋体" w:cs="宋体"/>
          <w:color w:val="auto"/>
          <w:kern w:val="0"/>
          <w:highlight w:val="none"/>
        </w:rPr>
      </w:pPr>
      <w:r>
        <w:rPr>
          <w:rFonts w:hint="eastAsia" w:hAnsi="宋体" w:cs="宋体"/>
          <w:color w:val="auto"/>
          <w:kern w:val="0"/>
          <w:highlight w:val="none"/>
        </w:rPr>
        <w:t>22</w:t>
      </w:r>
      <w:r>
        <w:rPr>
          <w:rFonts w:hint="eastAsia" w:hAnsi="宋体" w:cs="宋体"/>
          <w:color w:val="auto"/>
          <w:kern w:val="0"/>
          <w:highlight w:val="none"/>
          <w:lang w:eastAsia="zh-CN"/>
        </w:rPr>
        <w:t>）</w:t>
      </w:r>
      <w:r>
        <w:rPr>
          <w:rFonts w:hint="eastAsia" w:hAnsi="宋体" w:cs="宋体"/>
          <w:color w:val="auto"/>
          <w:kern w:val="0"/>
          <w:highlight w:val="none"/>
        </w:rPr>
        <w:t>承包人在施工期间应协调好与邻近相关单位</w:t>
      </w:r>
      <w:r>
        <w:rPr>
          <w:rFonts w:hint="eastAsia" w:hAnsi="宋体" w:cs="宋体"/>
          <w:color w:val="auto"/>
          <w:kern w:val="0"/>
          <w:highlight w:val="none"/>
          <w:lang w:eastAsia="zh-CN"/>
        </w:rPr>
        <w:t>（</w:t>
      </w:r>
      <w:r>
        <w:rPr>
          <w:rFonts w:hint="eastAsia" w:hAnsi="宋体" w:cs="宋体"/>
          <w:color w:val="auto"/>
          <w:kern w:val="0"/>
          <w:highlight w:val="none"/>
        </w:rPr>
        <w:t>含居民、农民</w:t>
      </w:r>
      <w:r>
        <w:rPr>
          <w:rFonts w:hint="eastAsia" w:hAnsi="宋体" w:cs="宋体"/>
          <w:color w:val="auto"/>
          <w:kern w:val="0"/>
          <w:highlight w:val="none"/>
          <w:lang w:eastAsia="zh-CN"/>
        </w:rPr>
        <w:t>）</w:t>
      </w:r>
      <w:r>
        <w:rPr>
          <w:rFonts w:hint="eastAsia" w:hAnsi="宋体" w:cs="宋体"/>
          <w:color w:val="auto"/>
          <w:kern w:val="0"/>
          <w:highlight w:val="none"/>
        </w:rPr>
        <w:t>的关系、应避免发生矛盾与冲突，否则，由此造成的一切后果由承包人承担。</w:t>
      </w:r>
    </w:p>
    <w:p w14:paraId="6286ED2B">
      <w:pPr>
        <w:spacing w:line="360" w:lineRule="auto"/>
        <w:ind w:firstLine="420" w:firstLineChars="200"/>
        <w:rPr>
          <w:rFonts w:hint="eastAsia" w:hAnsi="宋体" w:cs="宋体"/>
          <w:color w:val="auto"/>
          <w:kern w:val="0"/>
          <w:highlight w:val="none"/>
        </w:rPr>
      </w:pPr>
      <w:r>
        <w:rPr>
          <w:rFonts w:hint="eastAsia" w:hAnsi="宋体" w:cs="宋体"/>
          <w:color w:val="auto"/>
          <w:kern w:val="0"/>
          <w:highlight w:val="none"/>
        </w:rPr>
        <w:t>23</w:t>
      </w:r>
      <w:r>
        <w:rPr>
          <w:rFonts w:hint="eastAsia" w:hAnsi="宋体" w:cs="宋体"/>
          <w:color w:val="auto"/>
          <w:kern w:val="0"/>
          <w:highlight w:val="none"/>
          <w:lang w:eastAsia="zh-CN"/>
        </w:rPr>
        <w:t>）</w:t>
      </w:r>
      <w:r>
        <w:rPr>
          <w:rFonts w:hint="eastAsia" w:hAnsi="宋体" w:cs="宋体"/>
          <w:color w:val="auto"/>
          <w:kern w:val="0"/>
          <w:highlight w:val="none"/>
        </w:rPr>
        <w:t>按照《中华人民共和国工会法》、《国务院关于进一步做好为农民工服务工作的意见》</w:t>
      </w:r>
      <w:r>
        <w:rPr>
          <w:rFonts w:hint="eastAsia" w:hAnsi="宋体" w:cs="宋体"/>
          <w:color w:val="auto"/>
          <w:kern w:val="0"/>
          <w:highlight w:val="none"/>
        </w:rPr>
        <w:tab/>
      </w:r>
      <w:r>
        <w:rPr>
          <w:rFonts w:hint="eastAsia" w:hAnsi="宋体" w:cs="宋体"/>
          <w:color w:val="auto"/>
          <w:kern w:val="0"/>
          <w:highlight w:val="none"/>
          <w:lang w:eastAsia="zh-CN"/>
        </w:rPr>
        <w:t>（</w:t>
      </w:r>
      <w:r>
        <w:rPr>
          <w:rFonts w:hint="eastAsia" w:hAnsi="宋体" w:cs="宋体"/>
          <w:color w:val="auto"/>
          <w:kern w:val="0"/>
          <w:highlight w:val="none"/>
        </w:rPr>
        <w:t>国发〔2014〕40号</w:t>
      </w:r>
      <w:r>
        <w:rPr>
          <w:rFonts w:hint="eastAsia" w:hAnsi="宋体" w:cs="宋体"/>
          <w:color w:val="auto"/>
          <w:kern w:val="0"/>
          <w:highlight w:val="none"/>
          <w:lang w:eastAsia="zh-CN"/>
        </w:rPr>
        <w:t>）</w:t>
      </w:r>
      <w:r>
        <w:rPr>
          <w:rFonts w:hint="eastAsia" w:hAnsi="宋体" w:cs="宋体"/>
          <w:color w:val="auto"/>
          <w:kern w:val="0"/>
          <w:highlight w:val="none"/>
        </w:rPr>
        <w:t>、《中华全国总工会关于深入贯彻落实&lt;国务院关于进一步做好为农民工服务工作的意见&gt;的实施意见》</w:t>
      </w:r>
      <w:r>
        <w:rPr>
          <w:rFonts w:hint="eastAsia" w:hAnsi="宋体" w:cs="宋体"/>
          <w:color w:val="auto"/>
          <w:kern w:val="0"/>
          <w:highlight w:val="none"/>
          <w:lang w:eastAsia="zh-CN"/>
        </w:rPr>
        <w:t>（</w:t>
      </w:r>
      <w:r>
        <w:rPr>
          <w:rFonts w:hint="eastAsia" w:hAnsi="宋体" w:cs="宋体"/>
          <w:color w:val="auto"/>
          <w:kern w:val="0"/>
          <w:highlight w:val="none"/>
        </w:rPr>
        <w:t>总工发〔2015〕14号</w:t>
      </w:r>
      <w:r>
        <w:rPr>
          <w:rFonts w:hint="eastAsia" w:hAnsi="宋体" w:cs="宋体"/>
          <w:color w:val="auto"/>
          <w:kern w:val="0"/>
          <w:highlight w:val="none"/>
          <w:lang w:eastAsia="zh-CN"/>
        </w:rPr>
        <w:t>）</w:t>
      </w:r>
      <w:r>
        <w:rPr>
          <w:rFonts w:hint="eastAsia" w:hAnsi="宋体" w:cs="宋体"/>
          <w:color w:val="auto"/>
          <w:kern w:val="0"/>
          <w:highlight w:val="none"/>
        </w:rPr>
        <w:t>有关要求，深入开展“农民工入会集中行动”，对开工的项目，须组建项目工会。</w:t>
      </w:r>
    </w:p>
    <w:p w14:paraId="2E71BE27">
      <w:pPr>
        <w:spacing w:line="360" w:lineRule="auto"/>
        <w:ind w:firstLine="420" w:firstLineChars="200"/>
        <w:rPr>
          <w:rFonts w:hint="eastAsia" w:hAnsi="宋体" w:cs="宋体"/>
          <w:color w:val="auto"/>
          <w:kern w:val="0"/>
          <w:highlight w:val="none"/>
        </w:rPr>
      </w:pPr>
      <w:r>
        <w:rPr>
          <w:rFonts w:hint="eastAsia" w:hAnsi="宋体" w:cs="宋体"/>
          <w:color w:val="auto"/>
          <w:kern w:val="0"/>
          <w:highlight w:val="none"/>
        </w:rPr>
        <w:t>24</w:t>
      </w:r>
      <w:r>
        <w:rPr>
          <w:rFonts w:hint="eastAsia" w:hAnsi="宋体" w:cs="宋体"/>
          <w:color w:val="auto"/>
          <w:kern w:val="0"/>
          <w:highlight w:val="none"/>
          <w:lang w:eastAsia="zh-CN"/>
        </w:rPr>
        <w:t>）</w:t>
      </w:r>
      <w:r>
        <w:rPr>
          <w:rFonts w:hint="eastAsia" w:hAnsi="宋体" w:cs="宋体"/>
          <w:color w:val="auto"/>
          <w:kern w:val="0"/>
          <w:highlight w:val="none"/>
        </w:rPr>
        <w:t>承担施工安全保卫工作及非夜间施工照明的责任和要求：在实施和完成本合同过程中，承包人须①时刻关注和采取适当措施保障现场所有工作人员的安全，保证工程施工安全，现场施工要保持有条不紊，避免上述人员的安全受到威胁；②为了保护本合同工程免遭损坏或为了现场附近过往群众的安全与方便，在必要的时候、地方或监理工程师要求或有关部门要求时，承包人应负责提供照明、警卫、护栏、警示标志等安全防护措施，并承担责任，费用已包含在投标报价的安全防护、文明施工措施费中。</w:t>
      </w:r>
    </w:p>
    <w:p w14:paraId="3C9ED8DB">
      <w:pPr>
        <w:spacing w:line="360" w:lineRule="auto"/>
        <w:ind w:firstLine="420" w:firstLineChars="200"/>
        <w:rPr>
          <w:rFonts w:hint="eastAsia" w:hAnsi="宋体" w:cs="宋体"/>
          <w:color w:val="auto"/>
          <w:kern w:val="0"/>
          <w:highlight w:val="none"/>
        </w:rPr>
      </w:pPr>
      <w:r>
        <w:rPr>
          <w:rFonts w:hint="eastAsia" w:hAnsi="宋体" w:cs="宋体"/>
          <w:color w:val="auto"/>
          <w:kern w:val="0"/>
          <w:highlight w:val="none"/>
        </w:rPr>
        <w:t>25</w:t>
      </w:r>
      <w:r>
        <w:rPr>
          <w:rFonts w:hint="eastAsia" w:hAnsi="宋体" w:cs="宋体"/>
          <w:color w:val="auto"/>
          <w:kern w:val="0"/>
          <w:highlight w:val="none"/>
          <w:lang w:eastAsia="zh-CN"/>
        </w:rPr>
        <w:t>）</w:t>
      </w:r>
      <w:r>
        <w:rPr>
          <w:rFonts w:hint="eastAsia" w:hAnsi="宋体" w:cs="宋体"/>
          <w:color w:val="auto"/>
          <w:kern w:val="0"/>
          <w:highlight w:val="none"/>
        </w:rPr>
        <w:t>需承包人办理的有关施工场地交通、环卫和施工噪音管理等手续：遵守政府有关主管部门对施工场地交通、施工噪音、环境保护和安全生产等的管理规定办理相关手续，并承担费用。承包人对道路占道施工，需向交警部门进行报备，并按交警部门意见完善交通疏导方案，承包人应负责在占道施工路段提供照明、警卫、护栏、警示标志等安全防护措施，所发生费用由承包人在投标报价中综合考虑。</w:t>
      </w:r>
    </w:p>
    <w:p w14:paraId="13EF6238">
      <w:pPr>
        <w:spacing w:line="360" w:lineRule="auto"/>
        <w:ind w:firstLine="420" w:firstLineChars="200"/>
        <w:rPr>
          <w:rFonts w:hint="eastAsia" w:hAnsi="宋体" w:cs="宋体"/>
          <w:color w:val="auto"/>
          <w:kern w:val="0"/>
          <w:highlight w:val="none"/>
        </w:rPr>
      </w:pPr>
      <w:r>
        <w:rPr>
          <w:rFonts w:hint="eastAsia" w:hAnsi="宋体" w:cs="宋体"/>
          <w:color w:val="auto"/>
          <w:kern w:val="0"/>
          <w:highlight w:val="none"/>
        </w:rPr>
        <w:t>26</w:t>
      </w:r>
      <w:r>
        <w:rPr>
          <w:rFonts w:hint="eastAsia" w:hAnsi="宋体" w:cs="宋体"/>
          <w:color w:val="auto"/>
          <w:kern w:val="0"/>
          <w:highlight w:val="none"/>
          <w:lang w:eastAsia="zh-CN"/>
        </w:rPr>
        <w:t>）</w:t>
      </w:r>
      <w:r>
        <w:rPr>
          <w:rFonts w:hint="eastAsia" w:hAnsi="宋体" w:cs="宋体"/>
          <w:color w:val="auto"/>
          <w:kern w:val="0"/>
          <w:highlight w:val="none"/>
        </w:rPr>
        <w:t>施工场地清洁卫生的要求：由于施工造成的环境污染，其责任和费用均由承包人承担。</w:t>
      </w:r>
    </w:p>
    <w:p w14:paraId="1602E5A3">
      <w:pPr>
        <w:spacing w:line="360" w:lineRule="auto"/>
        <w:ind w:firstLine="420" w:firstLineChars="200"/>
        <w:rPr>
          <w:rFonts w:hint="eastAsia" w:hAnsi="宋体" w:cs="宋体"/>
          <w:color w:val="auto"/>
          <w:kern w:val="0"/>
          <w:highlight w:val="none"/>
        </w:rPr>
      </w:pPr>
      <w:r>
        <w:rPr>
          <w:rFonts w:hint="eastAsia" w:hAnsi="宋体" w:cs="宋体"/>
          <w:color w:val="auto"/>
          <w:kern w:val="0"/>
          <w:highlight w:val="none"/>
        </w:rPr>
        <w:t>27</w:t>
      </w:r>
      <w:r>
        <w:rPr>
          <w:rFonts w:hint="eastAsia" w:hAnsi="宋体" w:cs="宋体"/>
          <w:color w:val="auto"/>
          <w:kern w:val="0"/>
          <w:highlight w:val="none"/>
          <w:lang w:eastAsia="zh-CN"/>
        </w:rPr>
        <w:t>）</w:t>
      </w:r>
      <w:r>
        <w:rPr>
          <w:rFonts w:hint="eastAsia" w:hAnsi="宋体" w:cs="宋体"/>
          <w:color w:val="auto"/>
          <w:kern w:val="0"/>
          <w:highlight w:val="none"/>
        </w:rPr>
        <w:t>在办理施工许可手续前，承包人须向银行开设农民工工资支付专用账户，通过银行转账方式，确保按月足额发放农民工工资。</w:t>
      </w:r>
    </w:p>
    <w:p w14:paraId="788E71CF">
      <w:pPr>
        <w:spacing w:line="360" w:lineRule="auto"/>
        <w:ind w:firstLine="420" w:firstLineChars="200"/>
        <w:rPr>
          <w:rFonts w:hint="eastAsia" w:hAnsi="宋体" w:cs="宋体"/>
          <w:color w:val="auto"/>
          <w:kern w:val="0"/>
          <w:highlight w:val="none"/>
        </w:rPr>
      </w:pPr>
      <w:r>
        <w:rPr>
          <w:rFonts w:hint="eastAsia" w:hAnsi="宋体" w:cs="宋体"/>
          <w:color w:val="auto"/>
          <w:kern w:val="0"/>
          <w:highlight w:val="none"/>
        </w:rPr>
        <w:t>28</w:t>
      </w:r>
      <w:r>
        <w:rPr>
          <w:rFonts w:hint="eastAsia" w:hAnsi="宋体" w:cs="宋体"/>
          <w:color w:val="auto"/>
          <w:kern w:val="0"/>
          <w:highlight w:val="none"/>
          <w:lang w:eastAsia="zh-CN"/>
        </w:rPr>
        <w:t>）</w:t>
      </w:r>
      <w:r>
        <w:rPr>
          <w:rFonts w:hint="eastAsia" w:hAnsi="宋体" w:cs="宋体"/>
          <w:color w:val="auto"/>
          <w:kern w:val="0"/>
          <w:highlight w:val="none"/>
        </w:rPr>
        <w:t>配合发包人做好安全文明宣传、领导检查宣传等工作，相关费用由承包人承担。</w:t>
      </w:r>
    </w:p>
    <w:p w14:paraId="4A2246DB">
      <w:pPr>
        <w:spacing w:line="360" w:lineRule="auto"/>
        <w:ind w:firstLine="420" w:firstLineChars="200"/>
        <w:rPr>
          <w:rFonts w:hint="eastAsia" w:hAnsi="宋体" w:cs="宋体"/>
          <w:color w:val="auto"/>
          <w:kern w:val="0"/>
          <w:highlight w:val="none"/>
        </w:rPr>
      </w:pPr>
      <w:r>
        <w:rPr>
          <w:rFonts w:hint="eastAsia" w:hAnsi="宋体" w:cs="宋体"/>
          <w:color w:val="auto"/>
          <w:kern w:val="0"/>
          <w:highlight w:val="none"/>
        </w:rPr>
        <w:t>29</w:t>
      </w:r>
      <w:r>
        <w:rPr>
          <w:rFonts w:hint="eastAsia" w:hAnsi="宋体" w:cs="宋体"/>
          <w:color w:val="auto"/>
          <w:kern w:val="0"/>
          <w:highlight w:val="none"/>
          <w:lang w:eastAsia="zh-CN"/>
        </w:rPr>
        <w:t>）</w:t>
      </w:r>
      <w:r>
        <w:rPr>
          <w:rFonts w:hint="eastAsia" w:hAnsi="宋体" w:cs="宋体"/>
          <w:color w:val="auto"/>
          <w:kern w:val="0"/>
          <w:highlight w:val="none"/>
        </w:rPr>
        <w:t>发包人对承包人无进度履约能力的部位和部分进行强制分割而形成的相关费用，须及时完善手续，列入承包人成本。发包人需及时组织监理，实施分割作业的队组负责人、承包人代表等对现场形成的费用等共同确认，但承包人人为或故意对此现场费用的缺席确认，并不能免除承包人责任。</w:t>
      </w:r>
    </w:p>
    <w:p w14:paraId="4C7E4AAE">
      <w:pPr>
        <w:spacing w:line="360" w:lineRule="auto"/>
        <w:ind w:firstLine="420" w:firstLineChars="200"/>
        <w:rPr>
          <w:color w:val="auto"/>
          <w:kern w:val="0"/>
          <w:highlight w:val="none"/>
        </w:rPr>
      </w:pPr>
      <w:r>
        <w:rPr>
          <w:rFonts w:hint="eastAsia" w:hAnsi="宋体" w:cs="宋体"/>
          <w:color w:val="auto"/>
          <w:kern w:val="0"/>
          <w:highlight w:val="none"/>
        </w:rPr>
        <w:t>30</w:t>
      </w:r>
      <w:r>
        <w:rPr>
          <w:rFonts w:hint="eastAsia" w:hAnsi="宋体" w:cs="宋体"/>
          <w:color w:val="auto"/>
          <w:kern w:val="0"/>
          <w:highlight w:val="none"/>
          <w:lang w:eastAsia="zh-CN"/>
        </w:rPr>
        <w:t>）</w:t>
      </w:r>
      <w:r>
        <w:rPr>
          <w:rFonts w:hint="eastAsia" w:hAnsi="宋体" w:cs="宋体"/>
          <w:color w:val="auto"/>
          <w:kern w:val="0"/>
          <w:highlight w:val="none"/>
        </w:rPr>
        <w:t>双方约定承包人应做的其他工作：①发包人现场代表或监理工程师应在承包人约定时间到达现场进行隐蔽工程中间验收工作，如果在约定时间超过两小时后工程师未到现场，承包人可拍照发给监理工程师或发包人现场代表，获准后自行隐蔽继续施工。但在约定时间承包人未到现场及超过约定时间两小时，工程师可另定时间验收，承包人不得有异议且承担由此引发的责任。②承包人在签订合同之前已查看了工地及周围的环境，掌握了所有与工程施工有关或对施工有影响的情况，如征地拆迁、道路、交通流量、劳动力的提供范围等。发包人将施工场地移交给承包人后，承包人有责任和义务保护自身合法权益，应对施工场地上发生的一切负责，若发生非政府原因</w:t>
      </w:r>
      <w:r>
        <w:rPr>
          <w:rFonts w:hint="eastAsia" w:hAnsi="宋体" w:cs="宋体"/>
          <w:color w:val="auto"/>
          <w:kern w:val="0"/>
          <w:highlight w:val="none"/>
          <w:lang w:eastAsia="zh-CN"/>
        </w:rPr>
        <w:t>（</w:t>
      </w:r>
      <w:r>
        <w:rPr>
          <w:rFonts w:hint="eastAsia" w:hAnsi="宋体" w:cs="宋体"/>
          <w:color w:val="auto"/>
          <w:kern w:val="0"/>
          <w:highlight w:val="none"/>
        </w:rPr>
        <w:t>如当地居民干扰施工</w:t>
      </w:r>
      <w:r>
        <w:rPr>
          <w:rFonts w:hint="eastAsia" w:hAnsi="宋体" w:cs="宋体"/>
          <w:color w:val="auto"/>
          <w:kern w:val="0"/>
          <w:highlight w:val="none"/>
          <w:lang w:eastAsia="zh-CN"/>
        </w:rPr>
        <w:t>）</w:t>
      </w:r>
      <w:r>
        <w:rPr>
          <w:rFonts w:hint="eastAsia" w:hAnsi="宋体" w:cs="宋体"/>
          <w:color w:val="auto"/>
          <w:kern w:val="0"/>
          <w:highlight w:val="none"/>
        </w:rPr>
        <w:t>，或非发包人原因而影响施工导致工期拖延及财产损失，发包人概不负责，由承包人自行承担</w:t>
      </w:r>
    </w:p>
    <w:p w14:paraId="4EFAABCF">
      <w:pPr>
        <w:pStyle w:val="4"/>
        <w:rPr>
          <w:color w:val="auto"/>
          <w:highlight w:val="none"/>
        </w:rPr>
      </w:pPr>
      <w:bookmarkStart w:id="363" w:name="_Toc407135210"/>
      <w:bookmarkStart w:id="364" w:name="_Toc373227708"/>
      <w:bookmarkStart w:id="365" w:name="_Toc389065274"/>
      <w:bookmarkStart w:id="366" w:name="_Toc501741485"/>
      <w:bookmarkStart w:id="367" w:name="_Toc78449796"/>
      <w:bookmarkStart w:id="368" w:name="_Toc626"/>
      <w:bookmarkStart w:id="369" w:name="_Toc373478355"/>
      <w:bookmarkStart w:id="370" w:name="_Toc1659520837"/>
      <w:r>
        <w:rPr>
          <w:color w:val="auto"/>
          <w:highlight w:val="none"/>
        </w:rPr>
        <w:t xml:space="preserve">3.2 </w:t>
      </w:r>
      <w:r>
        <w:rPr>
          <w:rFonts w:hint="eastAsia" w:hAnsi="宋体" w:cs="黑体"/>
          <w:color w:val="auto"/>
          <w:highlight w:val="none"/>
        </w:rPr>
        <w:t>项目经理</w:t>
      </w:r>
      <w:bookmarkEnd w:id="363"/>
      <w:bookmarkEnd w:id="364"/>
      <w:bookmarkEnd w:id="365"/>
      <w:bookmarkEnd w:id="366"/>
      <w:bookmarkEnd w:id="367"/>
      <w:bookmarkEnd w:id="368"/>
      <w:bookmarkEnd w:id="369"/>
      <w:bookmarkEnd w:id="370"/>
    </w:p>
    <w:p w14:paraId="190CF229">
      <w:pPr>
        <w:spacing w:line="360" w:lineRule="auto"/>
        <w:ind w:firstLine="420" w:firstLineChars="200"/>
        <w:rPr>
          <w:color w:val="auto"/>
          <w:highlight w:val="none"/>
        </w:rPr>
      </w:pPr>
      <w:r>
        <w:rPr>
          <w:color w:val="auto"/>
          <w:kern w:val="0"/>
          <w:highlight w:val="none"/>
        </w:rPr>
        <w:t xml:space="preserve">3.2.1 </w:t>
      </w:r>
      <w:r>
        <w:rPr>
          <w:rFonts w:hint="eastAsia" w:hAnsi="宋体" w:cs="宋体"/>
          <w:color w:val="auto"/>
          <w:highlight w:val="none"/>
        </w:rPr>
        <w:t>项目经理：</w:t>
      </w:r>
    </w:p>
    <w:p w14:paraId="75757CFD">
      <w:pPr>
        <w:spacing w:line="360" w:lineRule="auto"/>
        <w:ind w:firstLine="420" w:firstLineChars="200"/>
        <w:rPr>
          <w:color w:val="auto"/>
          <w:highlight w:val="none"/>
        </w:rPr>
      </w:pPr>
      <w:r>
        <w:rPr>
          <w:rFonts w:hAnsi="宋体"/>
          <w:color w:val="auto"/>
          <w:highlight w:val="none"/>
        </w:rPr>
        <w:t>姓</w:t>
      </w:r>
      <w:r>
        <w:rPr>
          <w:color w:val="auto"/>
          <w:highlight w:val="none"/>
        </w:rPr>
        <w:t xml:space="preserve">    </w:t>
      </w:r>
      <w:r>
        <w:rPr>
          <w:rFonts w:hAnsi="宋体"/>
          <w:color w:val="auto"/>
          <w:highlight w:val="none"/>
        </w:rPr>
        <w:t>名：</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rFonts w:hAnsi="宋体"/>
          <w:color w:val="auto"/>
          <w:highlight w:val="none"/>
        </w:rPr>
        <w:t>；</w:t>
      </w:r>
    </w:p>
    <w:p w14:paraId="74481839">
      <w:pPr>
        <w:spacing w:line="360" w:lineRule="auto"/>
        <w:ind w:firstLine="420" w:firstLineChars="200"/>
        <w:rPr>
          <w:color w:val="auto"/>
          <w:highlight w:val="none"/>
        </w:rPr>
      </w:pPr>
      <w:r>
        <w:rPr>
          <w:rFonts w:hAnsi="宋体"/>
          <w:color w:val="auto"/>
          <w:highlight w:val="none"/>
        </w:rPr>
        <w:t>身份证号：</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rFonts w:hAnsi="宋体"/>
          <w:color w:val="auto"/>
          <w:highlight w:val="none"/>
        </w:rPr>
        <w:t>；</w:t>
      </w:r>
    </w:p>
    <w:p w14:paraId="646F903C">
      <w:pPr>
        <w:spacing w:line="360" w:lineRule="auto"/>
        <w:ind w:firstLine="420" w:firstLineChars="200"/>
        <w:rPr>
          <w:color w:val="auto"/>
          <w:highlight w:val="none"/>
        </w:rPr>
      </w:pPr>
      <w:r>
        <w:rPr>
          <w:rFonts w:hAnsi="宋体"/>
          <w:color w:val="auto"/>
          <w:highlight w:val="none"/>
        </w:rPr>
        <w:t>建造师执业资格等级：</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rFonts w:hAnsi="宋体"/>
          <w:color w:val="auto"/>
          <w:highlight w:val="none"/>
        </w:rPr>
        <w:t>；</w:t>
      </w:r>
    </w:p>
    <w:p w14:paraId="282D83D5">
      <w:pPr>
        <w:spacing w:line="360" w:lineRule="auto"/>
        <w:ind w:firstLine="420" w:firstLineChars="200"/>
        <w:rPr>
          <w:color w:val="auto"/>
          <w:highlight w:val="none"/>
        </w:rPr>
      </w:pPr>
      <w:r>
        <w:rPr>
          <w:rFonts w:hAnsi="宋体"/>
          <w:color w:val="auto"/>
          <w:highlight w:val="none"/>
        </w:rPr>
        <w:t>建造师注册证书号：</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rFonts w:hAnsi="宋体"/>
          <w:color w:val="auto"/>
          <w:highlight w:val="none"/>
        </w:rPr>
        <w:t>；</w:t>
      </w:r>
    </w:p>
    <w:p w14:paraId="75FB4D56">
      <w:pPr>
        <w:spacing w:line="360" w:lineRule="auto"/>
        <w:ind w:firstLine="420" w:firstLineChars="200"/>
        <w:rPr>
          <w:rFonts w:hAnsi="宋体"/>
          <w:color w:val="auto"/>
          <w:highlight w:val="none"/>
        </w:rPr>
      </w:pPr>
      <w:r>
        <w:rPr>
          <w:rFonts w:hAnsi="宋体"/>
          <w:color w:val="auto"/>
          <w:highlight w:val="none"/>
        </w:rPr>
        <w:t>安全生产考核合格证书号：</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rFonts w:hAnsi="宋体"/>
          <w:color w:val="auto"/>
          <w:highlight w:val="none"/>
        </w:rPr>
        <w:t>；</w:t>
      </w:r>
    </w:p>
    <w:p w14:paraId="460E6B11">
      <w:pPr>
        <w:spacing w:line="360" w:lineRule="auto"/>
        <w:ind w:firstLine="420" w:firstLineChars="200"/>
        <w:rPr>
          <w:color w:val="auto"/>
          <w:highlight w:val="none"/>
        </w:rPr>
      </w:pPr>
      <w:r>
        <w:rPr>
          <w:rFonts w:hAnsi="宋体"/>
          <w:color w:val="auto"/>
          <w:highlight w:val="none"/>
        </w:rPr>
        <w:t>联系电话：</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rFonts w:hAnsi="宋体"/>
          <w:color w:val="auto"/>
          <w:highlight w:val="none"/>
        </w:rPr>
        <w:t>；</w:t>
      </w:r>
    </w:p>
    <w:p w14:paraId="2BF9AA81">
      <w:pPr>
        <w:spacing w:line="360" w:lineRule="auto"/>
        <w:ind w:firstLine="420" w:firstLineChars="200"/>
        <w:rPr>
          <w:color w:val="auto"/>
          <w:highlight w:val="none"/>
        </w:rPr>
      </w:pPr>
      <w:r>
        <w:rPr>
          <w:rFonts w:hAnsi="宋体"/>
          <w:color w:val="auto"/>
          <w:highlight w:val="none"/>
        </w:rPr>
        <w:t>电子信箱：</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rFonts w:hAnsi="宋体"/>
          <w:color w:val="auto"/>
          <w:highlight w:val="none"/>
        </w:rPr>
        <w:t>；</w:t>
      </w:r>
    </w:p>
    <w:p w14:paraId="3F855F84">
      <w:pPr>
        <w:spacing w:line="360" w:lineRule="auto"/>
        <w:ind w:firstLine="420" w:firstLineChars="200"/>
        <w:rPr>
          <w:rFonts w:hint="eastAsia" w:hAnsi="宋体"/>
          <w:color w:val="auto"/>
          <w:highlight w:val="none"/>
        </w:rPr>
      </w:pPr>
      <w:r>
        <w:rPr>
          <w:rFonts w:hAnsi="宋体"/>
          <w:color w:val="auto"/>
          <w:highlight w:val="none"/>
        </w:rPr>
        <w:t>通信地址：</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rFonts w:hAnsi="宋体"/>
          <w:color w:val="auto"/>
          <w:highlight w:val="none"/>
        </w:rPr>
        <w:t>；</w:t>
      </w:r>
    </w:p>
    <w:p w14:paraId="320C9D3C">
      <w:pPr>
        <w:keepNext w:val="0"/>
        <w:keepLines w:val="0"/>
        <w:pageBreakBefore w:val="0"/>
        <w:widowControl w:val="0"/>
        <w:kinsoku/>
        <w:wordWrap/>
        <w:overflowPunct/>
        <w:topLinePunct w:val="0"/>
        <w:autoSpaceDE/>
        <w:autoSpaceDN/>
        <w:bidi w:val="0"/>
        <w:spacing w:line="360" w:lineRule="auto"/>
        <w:ind w:firstLine="420" w:firstLineChars="200"/>
        <w:textAlignment w:val="auto"/>
        <w:rPr>
          <w:color w:val="auto"/>
          <w:highlight w:val="none"/>
        </w:rPr>
      </w:pPr>
      <w:r>
        <w:rPr>
          <w:rFonts w:hint="eastAsia" w:hAnsi="宋体" w:cs="宋体"/>
          <w:color w:val="auto"/>
          <w:highlight w:val="none"/>
        </w:rPr>
        <w:t>承包人对项目经理的授权范围如下：</w:t>
      </w:r>
      <w:r>
        <w:rPr>
          <w:color w:val="auto"/>
          <w:highlight w:val="none"/>
          <w:u w:val="single"/>
        </w:rPr>
        <w:t xml:space="preserve"> </w:t>
      </w:r>
      <w:r>
        <w:rPr>
          <w:rFonts w:hint="eastAsia"/>
          <w:color w:val="auto"/>
          <w:highlight w:val="none"/>
          <w:u w:val="single"/>
        </w:rPr>
        <w:t>项目经理仅限于工程的现场施工管理，但未经承包人盖章同意，不得以承包人名义向外采购材料设备、租用建筑周转材料、雇用劳动力、签订分包合同等从事一切为承包人设立义务或责任的行为 ，其他授权以承包人书面授权书为准</w:t>
      </w:r>
      <w:r>
        <w:rPr>
          <w:color w:val="auto"/>
          <w:highlight w:val="none"/>
          <w:u w:val="single"/>
        </w:rPr>
        <w:t xml:space="preserve"> </w:t>
      </w:r>
      <w:r>
        <w:rPr>
          <w:rFonts w:hint="eastAsia" w:hAnsi="宋体" w:cs="宋体"/>
          <w:color w:val="auto"/>
          <w:highlight w:val="none"/>
        </w:rPr>
        <w:t>。</w:t>
      </w:r>
    </w:p>
    <w:p w14:paraId="4150307D">
      <w:pPr>
        <w:keepNext w:val="0"/>
        <w:keepLines w:val="0"/>
        <w:pageBreakBefore w:val="0"/>
        <w:widowControl w:val="0"/>
        <w:kinsoku/>
        <w:wordWrap/>
        <w:overflowPunct/>
        <w:topLinePunct w:val="0"/>
        <w:autoSpaceDE/>
        <w:autoSpaceDN/>
        <w:bidi w:val="0"/>
        <w:spacing w:line="360" w:lineRule="auto"/>
        <w:ind w:firstLine="420" w:firstLineChars="200"/>
        <w:jc w:val="left"/>
        <w:textAlignment w:val="auto"/>
        <w:rPr>
          <w:color w:val="auto"/>
          <w:kern w:val="0"/>
          <w:highlight w:val="none"/>
        </w:rPr>
      </w:pPr>
      <w:r>
        <w:rPr>
          <w:rFonts w:hint="eastAsia" w:hAnsi="宋体" w:cs="宋体"/>
          <w:color w:val="auto"/>
          <w:kern w:val="0"/>
          <w:highlight w:val="none"/>
        </w:rPr>
        <w:t>关于项目经理每月在施工现场的时间要求：</w:t>
      </w:r>
      <w:r>
        <w:rPr>
          <w:color w:val="auto"/>
          <w:highlight w:val="none"/>
          <w:u w:val="single"/>
        </w:rPr>
        <w:t xml:space="preserve"> </w:t>
      </w:r>
      <w:r>
        <w:rPr>
          <w:rFonts w:hint="eastAsia"/>
          <w:color w:val="auto"/>
          <w:highlight w:val="none"/>
          <w:u w:val="single"/>
        </w:rPr>
        <w:t>项目经理无正当理由不得请假，到施工现场的时间每月不少于22天，无论什么理由不到位的，每少到一天支付违约金1000元</w:t>
      </w:r>
      <w:r>
        <w:rPr>
          <w:rFonts w:hint="eastAsia"/>
          <w:color w:val="auto"/>
          <w:highlight w:val="none"/>
          <w:u w:val="single"/>
          <w:lang w:eastAsia="zh-CN"/>
        </w:rPr>
        <w:t>（</w:t>
      </w:r>
      <w:r>
        <w:rPr>
          <w:rFonts w:hint="eastAsia"/>
          <w:color w:val="auto"/>
          <w:highlight w:val="none"/>
          <w:u w:val="single"/>
        </w:rPr>
        <w:t>人民币</w:t>
      </w:r>
      <w:r>
        <w:rPr>
          <w:rFonts w:hint="eastAsia"/>
          <w:color w:val="auto"/>
          <w:highlight w:val="none"/>
          <w:u w:val="single"/>
          <w:lang w:eastAsia="zh-CN"/>
        </w:rPr>
        <w:t>）</w:t>
      </w:r>
      <w:r>
        <w:rPr>
          <w:rFonts w:hint="eastAsia"/>
          <w:color w:val="auto"/>
          <w:highlight w:val="none"/>
          <w:u w:val="single"/>
        </w:rPr>
        <w:t>，违约金须当月向发包人缴清，否则发包人有权延期支付当月工程进度款</w:t>
      </w:r>
      <w:r>
        <w:rPr>
          <w:rFonts w:hint="eastAsia"/>
          <w:color w:val="auto"/>
          <w:highlight w:val="none"/>
          <w:u w:val="single"/>
          <w:lang w:eastAsia="zh-CN"/>
        </w:rPr>
        <w:t>（</w:t>
      </w:r>
      <w:r>
        <w:rPr>
          <w:rFonts w:hint="eastAsia"/>
          <w:color w:val="auto"/>
          <w:highlight w:val="none"/>
          <w:u w:val="single"/>
        </w:rPr>
        <w:t>由发包人现场代表或监理人员以现场签到的形式确认项目经理到场天数</w:t>
      </w:r>
      <w:r>
        <w:rPr>
          <w:rFonts w:hint="eastAsia"/>
          <w:color w:val="auto"/>
          <w:highlight w:val="none"/>
          <w:u w:val="single"/>
          <w:lang w:eastAsia="zh-CN"/>
        </w:rPr>
        <w:t>）</w:t>
      </w:r>
      <w:r>
        <w:rPr>
          <w:rFonts w:hint="eastAsia"/>
          <w:color w:val="auto"/>
          <w:highlight w:val="none"/>
          <w:u w:val="single"/>
        </w:rPr>
        <w:t xml:space="preserve">，并不承担违约责任。项目经理无故连续七天不到的，发包人将本项目视为挂靠工程，有权解除合同并没收履约保证金，同时发包人有权向承包人追索因此造成的实际损失 </w:t>
      </w:r>
      <w:r>
        <w:rPr>
          <w:rFonts w:hint="eastAsia" w:hAnsi="宋体" w:cs="宋体"/>
          <w:color w:val="auto"/>
          <w:highlight w:val="none"/>
        </w:rPr>
        <w:t>。</w:t>
      </w:r>
    </w:p>
    <w:p w14:paraId="7527E281">
      <w:pPr>
        <w:keepNext w:val="0"/>
        <w:keepLines w:val="0"/>
        <w:pageBreakBefore w:val="0"/>
        <w:widowControl w:val="0"/>
        <w:kinsoku/>
        <w:wordWrap/>
        <w:overflowPunct/>
        <w:topLinePunct w:val="0"/>
        <w:autoSpaceDE/>
        <w:autoSpaceDN/>
        <w:bidi w:val="0"/>
        <w:spacing w:line="360" w:lineRule="auto"/>
        <w:ind w:firstLine="420" w:firstLineChars="200"/>
        <w:textAlignment w:val="auto"/>
        <w:rPr>
          <w:color w:val="auto"/>
          <w:kern w:val="0"/>
          <w:highlight w:val="none"/>
        </w:rPr>
      </w:pPr>
      <w:r>
        <w:rPr>
          <w:rFonts w:hint="eastAsia" w:hAnsi="宋体" w:cs="宋体"/>
          <w:color w:val="auto"/>
          <w:kern w:val="0"/>
          <w:highlight w:val="none"/>
        </w:rPr>
        <w:t>承包人未提交劳动合同，以及没有为项目经理缴纳社会保险证明的违约责任：</w:t>
      </w:r>
      <w:r>
        <w:rPr>
          <w:rFonts w:hint="eastAsia"/>
          <w:color w:val="auto"/>
          <w:highlight w:val="none"/>
          <w:u w:val="single"/>
        </w:rPr>
        <w:t>发包人有权对承包人处违约金1万元，并按照相关规定报行政主管部门处理</w:t>
      </w:r>
      <w:r>
        <w:rPr>
          <w:rFonts w:hint="eastAsia" w:hAnsi="宋体"/>
          <w:color w:val="auto"/>
          <w:highlight w:val="none"/>
          <w:u w:val="single"/>
        </w:rPr>
        <w:t xml:space="preserve"> </w:t>
      </w:r>
      <w:r>
        <w:rPr>
          <w:rFonts w:hint="eastAsia" w:hAnsi="宋体" w:cs="宋体"/>
          <w:color w:val="auto"/>
          <w:highlight w:val="none"/>
        </w:rPr>
        <w:t>。</w:t>
      </w:r>
    </w:p>
    <w:p w14:paraId="7146090C">
      <w:pPr>
        <w:keepNext w:val="0"/>
        <w:keepLines w:val="0"/>
        <w:pageBreakBefore w:val="0"/>
        <w:widowControl w:val="0"/>
        <w:kinsoku/>
        <w:wordWrap/>
        <w:overflowPunct/>
        <w:topLinePunct w:val="0"/>
        <w:autoSpaceDE/>
        <w:autoSpaceDN/>
        <w:bidi w:val="0"/>
        <w:spacing w:line="360" w:lineRule="auto"/>
        <w:ind w:firstLine="420" w:firstLineChars="200"/>
        <w:textAlignment w:val="auto"/>
        <w:rPr>
          <w:color w:val="auto"/>
          <w:highlight w:val="none"/>
          <w:u w:val="single"/>
        </w:rPr>
      </w:pPr>
      <w:r>
        <w:rPr>
          <w:rFonts w:hint="eastAsia" w:hAnsi="宋体" w:cs="宋体"/>
          <w:color w:val="auto"/>
          <w:kern w:val="0"/>
          <w:highlight w:val="none"/>
        </w:rPr>
        <w:t>项目经理未经批准，擅自离开施工现场的违约责任：</w:t>
      </w:r>
      <w:r>
        <w:rPr>
          <w:rFonts w:hint="eastAsia" w:hAnsi="宋体" w:cs="宋体"/>
          <w:color w:val="auto"/>
          <w:highlight w:val="none"/>
          <w:u w:val="single"/>
        </w:rPr>
        <w:t>项目经理每月在岗带班时间不得少于当月施工时间的</w:t>
      </w:r>
      <w:r>
        <w:rPr>
          <w:rFonts w:hAnsi="宋体"/>
          <w:color w:val="auto"/>
          <w:highlight w:val="none"/>
          <w:u w:val="single"/>
        </w:rPr>
        <w:t>80%</w:t>
      </w:r>
      <w:r>
        <w:rPr>
          <w:rFonts w:hint="eastAsia" w:hAnsi="宋体" w:cs="宋体"/>
          <w:color w:val="auto"/>
          <w:highlight w:val="none"/>
          <w:u w:val="single"/>
        </w:rPr>
        <w:t>。未经发包人同意或正当理由，项目经理每月在岗带班时间少于当月施工时间</w:t>
      </w:r>
      <w:r>
        <w:rPr>
          <w:rFonts w:hAnsi="宋体"/>
          <w:color w:val="auto"/>
          <w:highlight w:val="none"/>
          <w:u w:val="single"/>
        </w:rPr>
        <w:t>80%</w:t>
      </w:r>
      <w:r>
        <w:rPr>
          <w:rFonts w:hint="eastAsia" w:hAnsi="宋体" w:cs="宋体"/>
          <w:color w:val="auto"/>
          <w:highlight w:val="none"/>
          <w:u w:val="single"/>
        </w:rPr>
        <w:t>的，少在岗带班一天，发包人有权处违约金</w:t>
      </w:r>
      <w:r>
        <w:rPr>
          <w:rFonts w:hint="eastAsia"/>
          <w:color w:val="auto"/>
          <w:highlight w:val="none"/>
          <w:u w:val="single"/>
          <w:lang w:val="en-US" w:eastAsia="zh-CN"/>
        </w:rPr>
        <w:t>5000</w:t>
      </w:r>
      <w:r>
        <w:rPr>
          <w:rFonts w:hint="eastAsia" w:hAnsi="宋体" w:cs="宋体"/>
          <w:color w:val="auto"/>
          <w:highlight w:val="none"/>
          <w:u w:val="single"/>
        </w:rPr>
        <w:t>元</w:t>
      </w:r>
      <w:r>
        <w:rPr>
          <w:color w:val="auto"/>
          <w:highlight w:val="none"/>
          <w:u w:val="single"/>
        </w:rPr>
        <w:t>/</w:t>
      </w:r>
      <w:r>
        <w:rPr>
          <w:rFonts w:hint="eastAsia" w:cs="宋体"/>
          <w:color w:val="auto"/>
          <w:highlight w:val="none"/>
          <w:u w:val="single"/>
        </w:rPr>
        <w:t>日（</w:t>
      </w:r>
      <w:r>
        <w:rPr>
          <w:rFonts w:hint="eastAsia" w:hAnsi="宋体" w:cs="宋体"/>
          <w:color w:val="auto"/>
          <w:highlight w:val="none"/>
          <w:u w:val="single"/>
        </w:rPr>
        <w:t>人民币</w:t>
      </w:r>
      <w:r>
        <w:rPr>
          <w:rFonts w:hint="eastAsia" w:cs="宋体"/>
          <w:color w:val="auto"/>
          <w:highlight w:val="none"/>
          <w:u w:val="single"/>
        </w:rPr>
        <w:t>）</w:t>
      </w:r>
      <w:r>
        <w:rPr>
          <w:color w:val="auto"/>
          <w:highlight w:val="none"/>
          <w:u w:val="single"/>
        </w:rPr>
        <w:t xml:space="preserve">  </w:t>
      </w:r>
      <w:r>
        <w:rPr>
          <w:rFonts w:hint="eastAsia" w:hAnsi="宋体" w:cs="宋体"/>
          <w:color w:val="auto"/>
          <w:highlight w:val="none"/>
        </w:rPr>
        <w:t>。</w:t>
      </w:r>
    </w:p>
    <w:p w14:paraId="2228C6D4">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ascii="Times New Roman" w:hAnsi="Times New Roman" w:eastAsia="宋体" w:cs="Times New Roman"/>
          <w:color w:val="auto"/>
          <w:highlight w:val="none"/>
        </w:rPr>
      </w:pPr>
      <w:r>
        <w:rPr>
          <w:color w:val="auto"/>
          <w:highlight w:val="none"/>
        </w:rPr>
        <w:t xml:space="preserve">3.2.3 </w:t>
      </w:r>
      <w:r>
        <w:rPr>
          <w:rFonts w:hint="eastAsia" w:hAnsi="宋体" w:cs="宋体"/>
          <w:color w:val="auto"/>
          <w:highlight w:val="none"/>
        </w:rPr>
        <w:t>承包人擅自更换项目经理的违约责任：</w:t>
      </w:r>
      <w:r>
        <w:rPr>
          <w:rFonts w:hint="eastAsia" w:hAnsi="宋体" w:cs="宋体"/>
          <w:color w:val="auto"/>
          <w:highlight w:val="none"/>
          <w:u w:val="single"/>
        </w:rPr>
        <w:t>承包人项目经理必须与承包人投标时所承诺的人员一致，并在</w:t>
      </w:r>
      <w:r>
        <w:rPr>
          <w:color w:val="auto"/>
          <w:highlight w:val="none"/>
          <w:u w:val="single"/>
        </w:rPr>
        <w:t xml:space="preserve">  </w:t>
      </w:r>
      <w:r>
        <w:rPr>
          <w:rFonts w:hint="eastAsia" w:hAnsi="宋体" w:cs="宋体"/>
          <w:color w:val="auto"/>
          <w:highlight w:val="none"/>
          <w:u w:val="single"/>
        </w:rPr>
        <w:t>（开工日期）</w:t>
      </w:r>
      <w:r>
        <w:rPr>
          <w:color w:val="auto"/>
          <w:highlight w:val="none"/>
          <w:u w:val="single"/>
        </w:rPr>
        <w:t xml:space="preserve">  </w:t>
      </w:r>
      <w:r>
        <w:rPr>
          <w:rFonts w:hint="eastAsia" w:hAnsi="宋体" w:cs="宋体"/>
          <w:color w:val="auto"/>
          <w:highlight w:val="none"/>
          <w:u w:val="single"/>
        </w:rPr>
        <w:t>前到</w:t>
      </w:r>
      <w:r>
        <w:rPr>
          <w:rFonts w:hint="default" w:ascii="Times New Roman" w:hAnsi="Times New Roman" w:eastAsia="宋体" w:cs="Times New Roman"/>
          <w:color w:val="auto"/>
          <w:highlight w:val="none"/>
          <w:u w:val="none"/>
        </w:rPr>
        <w:t>任。在监理人向承包人颁发</w:t>
      </w:r>
      <w:r>
        <w:rPr>
          <w:rFonts w:ascii="Times New Roman" w:hAnsi="Times New Roman" w:eastAsia="宋体" w:cs="Times New Roman"/>
          <w:color w:val="auto"/>
          <w:highlight w:val="none"/>
          <w:u w:val="none"/>
        </w:rPr>
        <w:t xml:space="preserve"> </w:t>
      </w:r>
      <w:r>
        <w:rPr>
          <w:rFonts w:ascii="Times New Roman" w:hAnsi="Times New Roman" w:eastAsia="宋体" w:cs="Times New Roman"/>
          <w:color w:val="auto"/>
          <w:highlight w:val="none"/>
          <w:u w:val="single"/>
        </w:rPr>
        <w:t xml:space="preserve">   </w:t>
      </w:r>
      <w:r>
        <w:rPr>
          <w:rFonts w:hint="default" w:ascii="Times New Roman" w:hAnsi="Times New Roman" w:eastAsia="宋体" w:cs="Times New Roman"/>
          <w:color w:val="auto"/>
          <w:highlight w:val="none"/>
          <w:u w:val="single"/>
        </w:rPr>
        <w:t>（竣工证明材料名称）</w:t>
      </w:r>
      <w:r>
        <w:rPr>
          <w:rFonts w:ascii="Times New Roman" w:hAnsi="Times New Roman" w:eastAsia="宋体" w:cs="Times New Roman"/>
          <w:color w:val="auto"/>
          <w:highlight w:val="none"/>
          <w:u w:val="single"/>
        </w:rPr>
        <w:t xml:space="preserve">   </w:t>
      </w:r>
      <w:r>
        <w:rPr>
          <w:rFonts w:ascii="Times New Roman" w:hAnsi="Times New Roman" w:eastAsia="宋体" w:cs="Times New Roman"/>
          <w:color w:val="auto"/>
          <w:highlight w:val="none"/>
          <w:u w:val="none"/>
        </w:rPr>
        <w:t xml:space="preserve"> </w:t>
      </w:r>
      <w:r>
        <w:rPr>
          <w:rFonts w:hint="default" w:ascii="Times New Roman" w:hAnsi="Times New Roman" w:eastAsia="宋体" w:cs="Times New Roman"/>
          <w:color w:val="auto"/>
          <w:highlight w:val="none"/>
          <w:u w:val="none"/>
        </w:rPr>
        <w:t>前，项目经理不得同时兼任其他任何项目的项目经理</w:t>
      </w:r>
      <w:r>
        <w:rPr>
          <w:rFonts w:hint="default" w:ascii="Times New Roman" w:hAnsi="Times New Roman" w:eastAsia="宋体" w:cs="Times New Roman"/>
          <w:color w:val="auto"/>
          <w:kern w:val="2"/>
          <w:highlight w:val="none"/>
          <w:u w:val="none"/>
        </w:rPr>
        <w:t>（</w:t>
      </w:r>
      <w:r>
        <w:rPr>
          <w:rFonts w:hint="default" w:ascii="Times New Roman" w:hAnsi="Times New Roman" w:eastAsia="宋体" w:cs="Times New Roman"/>
          <w:color w:val="auto"/>
          <w:kern w:val="2"/>
          <w:highlight w:val="none"/>
          <w:u w:val="none"/>
          <w:lang w:eastAsia="zh-CN"/>
        </w:rPr>
        <w:t>符合</w:t>
      </w:r>
      <w:r>
        <w:rPr>
          <w:rFonts w:hint="default" w:ascii="Times New Roman" w:hAnsi="Times New Roman" w:eastAsia="宋体" w:cs="Times New Roman"/>
          <w:color w:val="auto"/>
          <w:highlight w:val="none"/>
        </w:rPr>
        <w:t>《广西壮族自治区建筑市场诚信卡管理暂行办法》第十六条第一款及桂建管</w:t>
      </w:r>
      <w:r>
        <w:rPr>
          <w:rFonts w:ascii="Times New Roman" w:hAnsi="Times New Roman" w:eastAsia="宋体" w:cs="Times New Roman"/>
          <w:color w:val="auto"/>
          <w:highlight w:val="none"/>
        </w:rPr>
        <w:t>﹝</w:t>
      </w:r>
      <w:r>
        <w:rPr>
          <w:rFonts w:hint="default" w:ascii="Times New Roman" w:hAnsi="Times New Roman" w:eastAsia="宋体" w:cs="Times New Roman"/>
          <w:color w:val="auto"/>
          <w:kern w:val="2"/>
          <w:highlight w:val="none"/>
        </w:rPr>
        <w:t>2016</w:t>
      </w:r>
      <w:r>
        <w:rPr>
          <w:rFonts w:ascii="Times New Roman" w:hAnsi="Times New Roman" w:eastAsia="宋体" w:cs="Times New Roman"/>
          <w:color w:val="auto"/>
          <w:highlight w:val="none"/>
        </w:rPr>
        <w:t>﹞</w:t>
      </w:r>
      <w:r>
        <w:rPr>
          <w:rFonts w:hint="default" w:ascii="Times New Roman" w:hAnsi="Times New Roman" w:eastAsia="宋体" w:cs="Times New Roman"/>
          <w:color w:val="auto"/>
          <w:highlight w:val="none"/>
        </w:rPr>
        <w:t>70号</w:t>
      </w:r>
      <w:r>
        <w:rPr>
          <w:rFonts w:hint="default" w:ascii="Times New Roman" w:hAnsi="Times New Roman" w:eastAsia="宋体" w:cs="Times New Roman"/>
          <w:color w:val="auto"/>
          <w:highlight w:val="none"/>
          <w:u w:val="none"/>
          <w:lang w:eastAsia="zh-CN"/>
        </w:rPr>
        <w:t>、</w:t>
      </w:r>
      <w:r>
        <w:rPr>
          <w:rFonts w:hint="default" w:ascii="Times New Roman" w:hAnsi="Times New Roman" w:eastAsia="宋体" w:cs="Times New Roman"/>
          <w:color w:val="auto"/>
          <w:sz w:val="21"/>
          <w:szCs w:val="21"/>
          <w:highlight w:val="none"/>
          <w:u w:val="none"/>
        </w:rPr>
        <w:t>桂建管〔2020〕11号</w:t>
      </w:r>
      <w:r>
        <w:rPr>
          <w:rFonts w:hint="default" w:ascii="Times New Roman" w:hAnsi="Times New Roman" w:eastAsia="宋体" w:cs="Times New Roman"/>
          <w:color w:val="auto"/>
          <w:kern w:val="2"/>
          <w:highlight w:val="none"/>
          <w:u w:val="none"/>
        </w:rPr>
        <w:t>文除外）</w:t>
      </w:r>
      <w:r>
        <w:rPr>
          <w:rFonts w:hint="default" w:ascii="Times New Roman" w:hAnsi="Times New Roman" w:eastAsia="宋体" w:cs="Times New Roman"/>
          <w:color w:val="auto"/>
          <w:highlight w:val="none"/>
          <w:u w:val="none"/>
        </w:rPr>
        <w:t>。未经发包人书面同意，承包人擅自更换项目经理的视为违约，违约金处</w:t>
      </w:r>
      <w:r>
        <w:rPr>
          <w:rFonts w:ascii="Times New Roman" w:hAnsi="Times New Roman" w:eastAsia="宋体" w:cs="Times New Roman"/>
          <w:color w:val="auto"/>
          <w:highlight w:val="none"/>
          <w:u w:val="single"/>
        </w:rPr>
        <w:t xml:space="preserve"> </w:t>
      </w:r>
      <w:r>
        <w:rPr>
          <w:rFonts w:hint="eastAsia" w:ascii="Times New Roman" w:hAnsi="Times New Roman" w:eastAsia="宋体" w:cs="Times New Roman"/>
          <w:color w:val="auto"/>
          <w:highlight w:val="none"/>
          <w:u w:val="single"/>
          <w:lang w:val="en-US" w:eastAsia="zh-CN"/>
        </w:rPr>
        <w:t>5000</w:t>
      </w:r>
      <w:r>
        <w:rPr>
          <w:rFonts w:ascii="Times New Roman" w:hAnsi="Times New Roman" w:eastAsia="宋体" w:cs="Times New Roman"/>
          <w:color w:val="auto"/>
          <w:highlight w:val="none"/>
          <w:u w:val="single"/>
        </w:rPr>
        <w:t xml:space="preserve"> </w:t>
      </w:r>
      <w:r>
        <w:rPr>
          <w:rFonts w:hint="default" w:ascii="Times New Roman" w:hAnsi="Times New Roman" w:eastAsia="宋体" w:cs="Times New Roman"/>
          <w:color w:val="auto"/>
          <w:highlight w:val="none"/>
          <w:u w:val="none"/>
        </w:rPr>
        <w:t>元</w:t>
      </w:r>
      <w:r>
        <w:rPr>
          <w:rFonts w:ascii="Times New Roman" w:hAnsi="Times New Roman" w:eastAsia="宋体" w:cs="Times New Roman"/>
          <w:color w:val="auto"/>
          <w:highlight w:val="none"/>
          <w:u w:val="none"/>
        </w:rPr>
        <w:t>/</w:t>
      </w:r>
      <w:r>
        <w:rPr>
          <w:rFonts w:hint="default" w:ascii="Times New Roman" w:hAnsi="Times New Roman" w:eastAsia="宋体" w:cs="Times New Roman"/>
          <w:color w:val="auto"/>
          <w:highlight w:val="none"/>
          <w:u w:val="none"/>
        </w:rPr>
        <w:t>人</w:t>
      </w:r>
      <w:r>
        <w:rPr>
          <w:rFonts w:ascii="Times New Roman" w:hAnsi="Times New Roman" w:eastAsia="宋体" w:cs="Times New Roman"/>
          <w:color w:val="auto"/>
          <w:highlight w:val="none"/>
          <w:u w:val="none"/>
        </w:rPr>
        <w:t>•</w:t>
      </w:r>
      <w:r>
        <w:rPr>
          <w:rFonts w:hint="default" w:ascii="Times New Roman" w:hAnsi="Times New Roman" w:eastAsia="宋体" w:cs="Times New Roman"/>
          <w:color w:val="auto"/>
          <w:highlight w:val="none"/>
          <w:u w:val="none"/>
        </w:rPr>
        <w:t>次（人民币）</w:t>
      </w:r>
      <w:r>
        <w:rPr>
          <w:rFonts w:hint="default" w:ascii="Times New Roman" w:hAnsi="Times New Roman" w:eastAsia="宋体" w:cs="Times New Roman"/>
          <w:color w:val="auto"/>
          <w:highlight w:val="none"/>
        </w:rPr>
        <w:t>。</w:t>
      </w:r>
    </w:p>
    <w:p w14:paraId="12BC4A51">
      <w:pPr>
        <w:keepNext w:val="0"/>
        <w:keepLines w:val="0"/>
        <w:pageBreakBefore w:val="0"/>
        <w:widowControl w:val="0"/>
        <w:kinsoku/>
        <w:wordWrap/>
        <w:overflowPunct/>
        <w:topLinePunct w:val="0"/>
        <w:autoSpaceDE/>
        <w:autoSpaceDN/>
        <w:bidi w:val="0"/>
        <w:spacing w:line="360" w:lineRule="auto"/>
        <w:ind w:firstLine="420" w:firstLineChars="200"/>
        <w:textAlignment w:val="auto"/>
        <w:rPr>
          <w:color w:val="auto"/>
          <w:highlight w:val="none"/>
        </w:rPr>
      </w:pPr>
      <w:r>
        <w:rPr>
          <w:color w:val="auto"/>
          <w:highlight w:val="none"/>
        </w:rPr>
        <w:t xml:space="preserve">3.2.4 </w:t>
      </w:r>
      <w:r>
        <w:rPr>
          <w:rFonts w:hint="eastAsia" w:hAnsi="宋体" w:cs="宋体"/>
          <w:color w:val="auto"/>
          <w:highlight w:val="none"/>
        </w:rPr>
        <w:t>承包人无正当理由拒绝更换项目经理的违约责任：</w:t>
      </w:r>
      <w:r>
        <w:rPr>
          <w:rFonts w:hint="eastAsia" w:hAnsi="宋体" w:cs="宋体"/>
          <w:color w:val="auto"/>
          <w:highlight w:val="none"/>
          <w:u w:val="single"/>
        </w:rPr>
        <w:t>因承包人项目经理不称职，发包人要求调换而未及时调换的，视为承包人违约，必须向发包人交纳处罚金</w:t>
      </w:r>
      <w:r>
        <w:rPr>
          <w:rFonts w:ascii="Times New Roman" w:hAnsi="Times New Roman" w:eastAsia="宋体" w:cs="Times New Roman"/>
          <w:color w:val="auto"/>
          <w:highlight w:val="none"/>
          <w:u w:val="single"/>
        </w:rPr>
        <w:t xml:space="preserve"> </w:t>
      </w:r>
      <w:r>
        <w:rPr>
          <w:rFonts w:hint="eastAsia" w:ascii="Times New Roman" w:hAnsi="Times New Roman" w:eastAsia="宋体" w:cs="Times New Roman"/>
          <w:color w:val="auto"/>
          <w:highlight w:val="none"/>
          <w:u w:val="single"/>
          <w:lang w:val="en-US" w:eastAsia="zh-CN"/>
        </w:rPr>
        <w:t>5000</w:t>
      </w:r>
      <w:r>
        <w:rPr>
          <w:rFonts w:ascii="Times New Roman" w:hAnsi="Times New Roman" w:eastAsia="宋体" w:cs="Times New Roman"/>
          <w:color w:val="auto"/>
          <w:highlight w:val="none"/>
          <w:u w:val="single"/>
        </w:rPr>
        <w:t xml:space="preserve"> </w:t>
      </w:r>
      <w:r>
        <w:rPr>
          <w:rFonts w:hint="eastAsia" w:hAnsi="宋体" w:cs="宋体"/>
          <w:color w:val="auto"/>
          <w:highlight w:val="none"/>
          <w:u w:val="single"/>
        </w:rPr>
        <w:t>元</w:t>
      </w:r>
      <w:r>
        <w:rPr>
          <w:color w:val="auto"/>
          <w:highlight w:val="none"/>
          <w:u w:val="single"/>
        </w:rPr>
        <w:t>/</w:t>
      </w:r>
      <w:r>
        <w:rPr>
          <w:rFonts w:hint="eastAsia" w:hAnsi="宋体" w:cs="宋体"/>
          <w:color w:val="auto"/>
          <w:highlight w:val="none"/>
          <w:u w:val="single"/>
        </w:rPr>
        <w:t>人</w:t>
      </w:r>
      <w:r>
        <w:rPr>
          <w:color w:val="auto"/>
          <w:highlight w:val="none"/>
          <w:u w:val="single"/>
        </w:rPr>
        <w:t>•</w:t>
      </w:r>
      <w:r>
        <w:rPr>
          <w:rFonts w:hint="eastAsia" w:hAnsi="宋体" w:cs="宋体"/>
          <w:color w:val="auto"/>
          <w:highlight w:val="none"/>
          <w:u w:val="single"/>
        </w:rPr>
        <w:t>次</w:t>
      </w:r>
      <w:r>
        <w:rPr>
          <w:rFonts w:hint="eastAsia" w:cs="宋体"/>
          <w:color w:val="auto"/>
          <w:highlight w:val="none"/>
          <w:u w:val="single"/>
        </w:rPr>
        <w:t>（</w:t>
      </w:r>
      <w:r>
        <w:rPr>
          <w:rFonts w:hint="eastAsia" w:hAnsi="宋体" w:cs="宋体"/>
          <w:color w:val="auto"/>
          <w:highlight w:val="none"/>
          <w:u w:val="single"/>
        </w:rPr>
        <w:t>人民币</w:t>
      </w:r>
      <w:r>
        <w:rPr>
          <w:rFonts w:hint="eastAsia" w:cs="宋体"/>
          <w:color w:val="auto"/>
          <w:highlight w:val="none"/>
          <w:u w:val="single"/>
        </w:rPr>
        <w:t>）</w:t>
      </w:r>
      <w:r>
        <w:rPr>
          <w:rFonts w:hint="eastAsia" w:hAnsi="宋体" w:cs="宋体"/>
          <w:color w:val="auto"/>
          <w:highlight w:val="none"/>
        </w:rPr>
        <w:t>。</w:t>
      </w:r>
    </w:p>
    <w:p w14:paraId="63824795">
      <w:pPr>
        <w:pStyle w:val="4"/>
        <w:rPr>
          <w:color w:val="auto"/>
          <w:highlight w:val="none"/>
        </w:rPr>
      </w:pPr>
      <w:bookmarkStart w:id="371" w:name="_Toc78449797"/>
      <w:bookmarkStart w:id="372" w:name="_Toc373478356"/>
      <w:bookmarkStart w:id="373" w:name="_Toc1443830486"/>
      <w:bookmarkStart w:id="374" w:name="_Toc747710271"/>
      <w:bookmarkStart w:id="375" w:name="_Toc21200"/>
      <w:bookmarkStart w:id="376" w:name="_Toc373227709"/>
      <w:bookmarkStart w:id="377" w:name="_Toc407135211"/>
      <w:bookmarkStart w:id="378" w:name="_Toc389065275"/>
      <w:r>
        <w:rPr>
          <w:color w:val="auto"/>
          <w:highlight w:val="none"/>
        </w:rPr>
        <w:t xml:space="preserve">3.3 </w:t>
      </w:r>
      <w:r>
        <w:rPr>
          <w:rFonts w:hint="eastAsia" w:hAnsi="宋体" w:cs="黑体"/>
          <w:color w:val="auto"/>
          <w:highlight w:val="none"/>
        </w:rPr>
        <w:t>承包人人员</w:t>
      </w:r>
      <w:bookmarkEnd w:id="371"/>
      <w:bookmarkEnd w:id="372"/>
      <w:bookmarkEnd w:id="373"/>
      <w:bookmarkEnd w:id="374"/>
      <w:bookmarkEnd w:id="375"/>
      <w:bookmarkEnd w:id="376"/>
      <w:bookmarkEnd w:id="377"/>
      <w:bookmarkEnd w:id="378"/>
    </w:p>
    <w:p w14:paraId="06CD94BB">
      <w:pPr>
        <w:spacing w:line="360" w:lineRule="auto"/>
        <w:ind w:firstLine="420" w:firstLineChars="200"/>
        <w:rPr>
          <w:rFonts w:hAnsi="宋体"/>
          <w:color w:val="auto"/>
          <w:highlight w:val="none"/>
        </w:rPr>
      </w:pPr>
      <w:r>
        <w:rPr>
          <w:color w:val="auto"/>
          <w:highlight w:val="none"/>
        </w:rPr>
        <w:t xml:space="preserve">3.3.1 </w:t>
      </w:r>
      <w:r>
        <w:rPr>
          <w:rFonts w:hint="eastAsia" w:hAnsi="宋体" w:cs="宋体"/>
          <w:color w:val="auto"/>
          <w:highlight w:val="none"/>
        </w:rPr>
        <w:t>承包人提交项目管理机构及施工现场管理人员安排报告（格式见合同附件</w:t>
      </w:r>
      <w:r>
        <w:rPr>
          <w:rFonts w:hint="eastAsia" w:hAnsi="宋体"/>
          <w:color w:val="auto"/>
          <w:highlight w:val="none"/>
        </w:rPr>
        <w:t>5</w:t>
      </w:r>
      <w:r>
        <w:rPr>
          <w:rFonts w:hint="eastAsia" w:hAnsi="宋体" w:cs="宋体"/>
          <w:color w:val="auto"/>
          <w:highlight w:val="none"/>
        </w:rPr>
        <w:t>）的期限：</w:t>
      </w:r>
    </w:p>
    <w:p w14:paraId="0EC09952">
      <w:pPr>
        <w:spacing w:line="360" w:lineRule="auto"/>
        <w:rPr>
          <w:color w:val="auto"/>
          <w:highlight w:val="none"/>
        </w:rPr>
      </w:pPr>
      <w:r>
        <w:rPr>
          <w:color w:val="auto"/>
          <w:highlight w:val="none"/>
          <w:u w:val="single"/>
        </w:rPr>
        <w:t xml:space="preserve"> </w:t>
      </w:r>
      <w:r>
        <w:rPr>
          <w:rFonts w:hint="eastAsia"/>
          <w:color w:val="auto"/>
          <w:highlight w:val="none"/>
          <w:u w:val="single"/>
        </w:rPr>
        <w:t>开工前 7 日内</w:t>
      </w:r>
      <w:r>
        <w:rPr>
          <w:color w:val="auto"/>
          <w:highlight w:val="none"/>
          <w:u w:val="single"/>
        </w:rPr>
        <w:t xml:space="preserve"> </w:t>
      </w:r>
      <w:r>
        <w:rPr>
          <w:rFonts w:hint="eastAsia" w:hAnsi="宋体" w:cs="宋体"/>
          <w:color w:val="auto"/>
          <w:highlight w:val="none"/>
        </w:rPr>
        <w:t>。</w:t>
      </w:r>
    </w:p>
    <w:p w14:paraId="58E2F25F">
      <w:pPr>
        <w:spacing w:line="360" w:lineRule="auto"/>
        <w:ind w:firstLine="420" w:firstLineChars="200"/>
        <w:rPr>
          <w:color w:val="auto"/>
          <w:highlight w:val="none"/>
        </w:rPr>
      </w:pPr>
      <w:r>
        <w:rPr>
          <w:color w:val="auto"/>
          <w:highlight w:val="none"/>
        </w:rPr>
        <w:t xml:space="preserve">3.3.3 </w:t>
      </w:r>
      <w:r>
        <w:rPr>
          <w:rFonts w:hint="eastAsia" w:hAnsi="宋体" w:cs="宋体"/>
          <w:color w:val="auto"/>
          <w:highlight w:val="none"/>
        </w:rPr>
        <w:t>承包人无正当理由拒绝撤换主要施工管理人员的违约责任：</w:t>
      </w:r>
      <w:r>
        <w:rPr>
          <w:rFonts w:hint="eastAsia" w:hAnsi="宋体" w:cs="宋体"/>
          <w:color w:val="auto"/>
          <w:highlight w:val="none"/>
          <w:u w:val="single"/>
        </w:rPr>
        <w:t>因承包人主要施工管理人员不称职，发包人要求调换而无正当理由拒绝撤换或未及时调换的，视为承包人违约，必须向发包人交纳处罚金，处罚标准：技术负责人</w:t>
      </w:r>
      <w:r>
        <w:rPr>
          <w:rFonts w:hint="eastAsia"/>
          <w:color w:val="auto"/>
          <w:highlight w:val="none"/>
          <w:u w:val="single"/>
          <w:lang w:val="en-US" w:eastAsia="zh-CN"/>
        </w:rPr>
        <w:t>3000</w:t>
      </w:r>
      <w:r>
        <w:rPr>
          <w:rFonts w:hint="eastAsia" w:hAnsi="宋体" w:cs="宋体"/>
          <w:color w:val="auto"/>
          <w:highlight w:val="none"/>
          <w:u w:val="single"/>
        </w:rPr>
        <w:t>元</w:t>
      </w:r>
      <w:r>
        <w:rPr>
          <w:color w:val="auto"/>
          <w:highlight w:val="none"/>
          <w:u w:val="single"/>
        </w:rPr>
        <w:t>/</w:t>
      </w:r>
      <w:r>
        <w:rPr>
          <w:rFonts w:hint="eastAsia" w:hAnsi="宋体" w:cs="宋体"/>
          <w:color w:val="auto"/>
          <w:highlight w:val="none"/>
          <w:u w:val="single"/>
        </w:rPr>
        <w:t>人</w:t>
      </w:r>
      <w:r>
        <w:rPr>
          <w:color w:val="auto"/>
          <w:highlight w:val="none"/>
          <w:u w:val="single"/>
        </w:rPr>
        <w:t>•</w:t>
      </w:r>
      <w:r>
        <w:rPr>
          <w:rFonts w:hint="eastAsia" w:hAnsi="宋体" w:cs="宋体"/>
          <w:color w:val="auto"/>
          <w:highlight w:val="none"/>
          <w:u w:val="single"/>
        </w:rPr>
        <w:t>次</w:t>
      </w:r>
      <w:r>
        <w:rPr>
          <w:rFonts w:hint="eastAsia" w:cs="宋体"/>
          <w:color w:val="auto"/>
          <w:highlight w:val="none"/>
          <w:u w:val="single"/>
        </w:rPr>
        <w:t>（</w:t>
      </w:r>
      <w:r>
        <w:rPr>
          <w:rFonts w:hint="eastAsia" w:hAnsi="宋体" w:cs="宋体"/>
          <w:color w:val="auto"/>
          <w:highlight w:val="none"/>
          <w:u w:val="single"/>
        </w:rPr>
        <w:t>人民币</w:t>
      </w:r>
      <w:r>
        <w:rPr>
          <w:rFonts w:hint="eastAsia" w:cs="宋体"/>
          <w:color w:val="auto"/>
          <w:highlight w:val="none"/>
          <w:u w:val="single"/>
        </w:rPr>
        <w:t>）</w:t>
      </w:r>
      <w:r>
        <w:rPr>
          <w:rFonts w:hint="eastAsia" w:hAnsi="宋体" w:cs="宋体"/>
          <w:color w:val="auto"/>
          <w:highlight w:val="none"/>
          <w:u w:val="single"/>
        </w:rPr>
        <w:t>；专业工程师</w:t>
      </w:r>
      <w:r>
        <w:rPr>
          <w:rFonts w:hint="eastAsia"/>
          <w:color w:val="auto"/>
          <w:highlight w:val="none"/>
          <w:u w:val="single"/>
          <w:lang w:val="en-US" w:eastAsia="zh-CN"/>
        </w:rPr>
        <w:t>3000</w:t>
      </w:r>
      <w:r>
        <w:rPr>
          <w:rFonts w:hint="eastAsia" w:hAnsi="宋体" w:cs="宋体"/>
          <w:color w:val="auto"/>
          <w:highlight w:val="none"/>
          <w:u w:val="single"/>
        </w:rPr>
        <w:t>元</w:t>
      </w:r>
      <w:r>
        <w:rPr>
          <w:color w:val="auto"/>
          <w:highlight w:val="none"/>
          <w:u w:val="single"/>
        </w:rPr>
        <w:t>/</w:t>
      </w:r>
      <w:r>
        <w:rPr>
          <w:rFonts w:hint="eastAsia" w:hAnsi="宋体" w:cs="宋体"/>
          <w:color w:val="auto"/>
          <w:highlight w:val="none"/>
          <w:u w:val="single"/>
        </w:rPr>
        <w:t>人</w:t>
      </w:r>
      <w:r>
        <w:rPr>
          <w:color w:val="auto"/>
          <w:highlight w:val="none"/>
          <w:u w:val="single"/>
        </w:rPr>
        <w:t>•</w:t>
      </w:r>
      <w:r>
        <w:rPr>
          <w:rFonts w:hint="eastAsia" w:hAnsi="宋体" w:cs="宋体"/>
          <w:color w:val="auto"/>
          <w:highlight w:val="none"/>
          <w:u w:val="single"/>
        </w:rPr>
        <w:t>次</w:t>
      </w:r>
      <w:r>
        <w:rPr>
          <w:rFonts w:hint="eastAsia" w:cs="宋体"/>
          <w:color w:val="auto"/>
          <w:highlight w:val="none"/>
          <w:u w:val="single"/>
        </w:rPr>
        <w:t>（</w:t>
      </w:r>
      <w:r>
        <w:rPr>
          <w:rFonts w:hint="eastAsia" w:hAnsi="宋体" w:cs="宋体"/>
          <w:color w:val="auto"/>
          <w:highlight w:val="none"/>
          <w:u w:val="single"/>
        </w:rPr>
        <w:t>人民币</w:t>
      </w:r>
      <w:r>
        <w:rPr>
          <w:rFonts w:hint="eastAsia" w:cs="宋体"/>
          <w:color w:val="auto"/>
          <w:highlight w:val="none"/>
          <w:u w:val="single"/>
        </w:rPr>
        <w:t>）</w:t>
      </w:r>
      <w:r>
        <w:rPr>
          <w:rFonts w:hint="eastAsia" w:hAnsi="宋体" w:cs="宋体"/>
          <w:color w:val="auto"/>
          <w:highlight w:val="none"/>
        </w:rPr>
        <w:t>。</w:t>
      </w:r>
    </w:p>
    <w:p w14:paraId="6D7603BB">
      <w:pPr>
        <w:spacing w:line="360" w:lineRule="auto"/>
        <w:ind w:firstLine="420" w:firstLineChars="200"/>
        <w:rPr>
          <w:color w:val="auto"/>
          <w:highlight w:val="none"/>
          <w:u w:val="single"/>
        </w:rPr>
      </w:pPr>
      <w:r>
        <w:rPr>
          <w:color w:val="auto"/>
          <w:highlight w:val="none"/>
        </w:rPr>
        <w:t xml:space="preserve">3.3.4 </w:t>
      </w:r>
      <w:r>
        <w:rPr>
          <w:rFonts w:hint="eastAsia" w:hAnsi="宋体" w:cs="宋体"/>
          <w:color w:val="auto"/>
          <w:highlight w:val="none"/>
        </w:rPr>
        <w:t>承包人主要施工管理人员离开施工现场的批准要求：</w:t>
      </w:r>
      <w:r>
        <w:rPr>
          <w:color w:val="auto"/>
          <w:highlight w:val="none"/>
          <w:u w:val="single"/>
        </w:rPr>
        <w:t xml:space="preserve"> </w:t>
      </w:r>
      <w:r>
        <w:rPr>
          <w:rFonts w:hint="eastAsia"/>
          <w:color w:val="auto"/>
          <w:highlight w:val="none"/>
          <w:u w:val="single"/>
        </w:rPr>
        <w:t>由总监理工程师批准，发包人认可后方可离开</w:t>
      </w:r>
      <w:r>
        <w:rPr>
          <w:color w:val="auto"/>
          <w:highlight w:val="none"/>
          <w:u w:val="single"/>
        </w:rPr>
        <w:t xml:space="preserve"> </w:t>
      </w:r>
      <w:r>
        <w:rPr>
          <w:rFonts w:hint="eastAsia" w:hAnsi="宋体" w:cs="宋体"/>
          <w:color w:val="auto"/>
          <w:highlight w:val="none"/>
        </w:rPr>
        <w:t>。</w:t>
      </w:r>
    </w:p>
    <w:p w14:paraId="667C0420">
      <w:pPr>
        <w:spacing w:line="360" w:lineRule="auto"/>
        <w:ind w:firstLine="420" w:firstLineChars="200"/>
        <w:rPr>
          <w:color w:val="auto"/>
          <w:highlight w:val="none"/>
        </w:rPr>
      </w:pPr>
      <w:r>
        <w:rPr>
          <w:color w:val="auto"/>
          <w:highlight w:val="none"/>
        </w:rPr>
        <w:t xml:space="preserve">3.3.5 </w:t>
      </w:r>
      <w:r>
        <w:rPr>
          <w:rFonts w:hint="eastAsia" w:hAnsi="宋体" w:cs="宋体"/>
          <w:color w:val="auto"/>
          <w:highlight w:val="none"/>
        </w:rPr>
        <w:t>承包人擅自更换主要施工管理人员的违约责任：</w:t>
      </w:r>
      <w:r>
        <w:rPr>
          <w:rFonts w:hint="eastAsia" w:hAnsi="宋体" w:cs="宋体"/>
          <w:color w:val="auto"/>
          <w:highlight w:val="none"/>
          <w:u w:val="single"/>
        </w:rPr>
        <w:t>项目技术负责人、专职安全生产管理人员及其承诺的其它在场管理人员未经发包人书面同意不准擅自更换，擅自更换项目技术负责人处</w:t>
      </w:r>
      <w:r>
        <w:rPr>
          <w:rFonts w:hint="eastAsia"/>
          <w:color w:val="auto"/>
          <w:highlight w:val="none"/>
          <w:u w:val="single"/>
          <w:lang w:val="en-US" w:eastAsia="zh-CN"/>
        </w:rPr>
        <w:t>3000</w:t>
      </w:r>
      <w:r>
        <w:rPr>
          <w:rFonts w:hint="eastAsia" w:hAnsi="宋体" w:cs="宋体"/>
          <w:color w:val="auto"/>
          <w:highlight w:val="none"/>
          <w:u w:val="single"/>
        </w:rPr>
        <w:t>元</w:t>
      </w:r>
      <w:r>
        <w:rPr>
          <w:color w:val="auto"/>
          <w:highlight w:val="none"/>
          <w:u w:val="single"/>
        </w:rPr>
        <w:t>/</w:t>
      </w:r>
      <w:r>
        <w:rPr>
          <w:rFonts w:hint="eastAsia" w:hAnsi="宋体" w:cs="宋体"/>
          <w:color w:val="auto"/>
          <w:highlight w:val="none"/>
          <w:u w:val="single"/>
        </w:rPr>
        <w:t>人</w:t>
      </w:r>
      <w:r>
        <w:rPr>
          <w:color w:val="auto"/>
          <w:highlight w:val="none"/>
          <w:u w:val="single"/>
        </w:rPr>
        <w:t>•</w:t>
      </w:r>
      <w:r>
        <w:rPr>
          <w:rFonts w:hint="eastAsia" w:hAnsi="宋体" w:cs="宋体"/>
          <w:color w:val="auto"/>
          <w:highlight w:val="none"/>
          <w:u w:val="single"/>
        </w:rPr>
        <w:t>次</w:t>
      </w:r>
      <w:r>
        <w:rPr>
          <w:rFonts w:hint="eastAsia" w:cs="宋体"/>
          <w:color w:val="auto"/>
          <w:highlight w:val="none"/>
          <w:u w:val="single"/>
        </w:rPr>
        <w:t>（</w:t>
      </w:r>
      <w:r>
        <w:rPr>
          <w:rFonts w:hint="eastAsia" w:hAnsi="宋体" w:cs="宋体"/>
          <w:color w:val="auto"/>
          <w:highlight w:val="none"/>
          <w:u w:val="single"/>
        </w:rPr>
        <w:t>人民币</w:t>
      </w:r>
      <w:r>
        <w:rPr>
          <w:rFonts w:hint="eastAsia" w:cs="宋体"/>
          <w:color w:val="auto"/>
          <w:highlight w:val="none"/>
          <w:u w:val="single"/>
        </w:rPr>
        <w:t>）</w:t>
      </w:r>
      <w:r>
        <w:rPr>
          <w:rFonts w:hint="eastAsia" w:hAnsi="宋体" w:cs="宋体"/>
          <w:color w:val="auto"/>
          <w:highlight w:val="none"/>
          <w:u w:val="single"/>
        </w:rPr>
        <w:t>违约金；擅自更换专职安全生产管理人员处</w:t>
      </w:r>
      <w:r>
        <w:rPr>
          <w:rFonts w:hint="eastAsia"/>
          <w:color w:val="auto"/>
          <w:highlight w:val="none"/>
          <w:u w:val="single"/>
          <w:lang w:val="en-US" w:eastAsia="zh-CN"/>
        </w:rPr>
        <w:t>3000</w:t>
      </w:r>
      <w:r>
        <w:rPr>
          <w:rFonts w:hint="eastAsia" w:hAnsi="宋体" w:cs="宋体"/>
          <w:color w:val="auto"/>
          <w:highlight w:val="none"/>
          <w:u w:val="single"/>
        </w:rPr>
        <w:t>元</w:t>
      </w:r>
      <w:r>
        <w:rPr>
          <w:color w:val="auto"/>
          <w:highlight w:val="none"/>
          <w:u w:val="single"/>
        </w:rPr>
        <w:t>/</w:t>
      </w:r>
      <w:r>
        <w:rPr>
          <w:rFonts w:hint="eastAsia" w:hAnsi="宋体" w:cs="宋体"/>
          <w:color w:val="auto"/>
          <w:highlight w:val="none"/>
          <w:u w:val="single"/>
        </w:rPr>
        <w:t>人</w:t>
      </w:r>
      <w:r>
        <w:rPr>
          <w:color w:val="auto"/>
          <w:highlight w:val="none"/>
          <w:u w:val="single"/>
        </w:rPr>
        <w:t>•</w:t>
      </w:r>
      <w:r>
        <w:rPr>
          <w:rFonts w:hint="eastAsia" w:hAnsi="宋体" w:cs="宋体"/>
          <w:color w:val="auto"/>
          <w:highlight w:val="none"/>
          <w:u w:val="single"/>
        </w:rPr>
        <w:t>次</w:t>
      </w:r>
      <w:r>
        <w:rPr>
          <w:rFonts w:hint="eastAsia" w:cs="宋体"/>
          <w:color w:val="auto"/>
          <w:highlight w:val="none"/>
          <w:u w:val="single"/>
        </w:rPr>
        <w:t>（</w:t>
      </w:r>
      <w:r>
        <w:rPr>
          <w:rFonts w:hint="eastAsia" w:hAnsi="宋体" w:cs="宋体"/>
          <w:color w:val="auto"/>
          <w:highlight w:val="none"/>
          <w:u w:val="single"/>
        </w:rPr>
        <w:t>人民币</w:t>
      </w:r>
      <w:r>
        <w:rPr>
          <w:rFonts w:hint="eastAsia" w:cs="宋体"/>
          <w:color w:val="auto"/>
          <w:highlight w:val="none"/>
          <w:u w:val="single"/>
        </w:rPr>
        <w:t>）</w:t>
      </w:r>
      <w:r>
        <w:rPr>
          <w:rFonts w:hint="eastAsia" w:hAnsi="宋体" w:cs="宋体"/>
          <w:color w:val="auto"/>
          <w:highlight w:val="none"/>
          <w:u w:val="single"/>
        </w:rPr>
        <w:t>违约金；擅自更换其它在场管理人员处</w:t>
      </w:r>
      <w:r>
        <w:rPr>
          <w:rFonts w:hint="eastAsia"/>
          <w:color w:val="auto"/>
          <w:highlight w:val="none"/>
          <w:u w:val="single"/>
          <w:lang w:val="en-US" w:eastAsia="zh-CN"/>
        </w:rPr>
        <w:t>3000</w:t>
      </w:r>
      <w:r>
        <w:rPr>
          <w:rFonts w:hint="eastAsia" w:hAnsi="宋体" w:cs="宋体"/>
          <w:color w:val="auto"/>
          <w:highlight w:val="none"/>
          <w:u w:val="single"/>
        </w:rPr>
        <w:t>元</w:t>
      </w:r>
      <w:r>
        <w:rPr>
          <w:color w:val="auto"/>
          <w:highlight w:val="none"/>
          <w:u w:val="single"/>
        </w:rPr>
        <w:t>/</w:t>
      </w:r>
      <w:r>
        <w:rPr>
          <w:rFonts w:hint="eastAsia" w:hAnsi="宋体" w:cs="宋体"/>
          <w:color w:val="auto"/>
          <w:highlight w:val="none"/>
          <w:u w:val="single"/>
        </w:rPr>
        <w:t>人</w:t>
      </w:r>
      <w:r>
        <w:rPr>
          <w:color w:val="auto"/>
          <w:highlight w:val="none"/>
          <w:u w:val="single"/>
        </w:rPr>
        <w:t>•</w:t>
      </w:r>
      <w:r>
        <w:rPr>
          <w:rFonts w:hint="eastAsia" w:hAnsi="宋体" w:cs="宋体"/>
          <w:color w:val="auto"/>
          <w:highlight w:val="none"/>
          <w:u w:val="single"/>
        </w:rPr>
        <w:t>次</w:t>
      </w:r>
      <w:r>
        <w:rPr>
          <w:rFonts w:hint="eastAsia" w:cs="宋体"/>
          <w:color w:val="auto"/>
          <w:highlight w:val="none"/>
          <w:u w:val="single"/>
        </w:rPr>
        <w:t>（</w:t>
      </w:r>
      <w:r>
        <w:rPr>
          <w:rFonts w:hint="eastAsia" w:hAnsi="宋体" w:cs="宋体"/>
          <w:color w:val="auto"/>
          <w:highlight w:val="none"/>
          <w:u w:val="single"/>
        </w:rPr>
        <w:t>人民币</w:t>
      </w:r>
      <w:r>
        <w:rPr>
          <w:rFonts w:hint="eastAsia" w:cs="宋体"/>
          <w:color w:val="auto"/>
          <w:highlight w:val="none"/>
          <w:u w:val="single"/>
        </w:rPr>
        <w:t>）</w:t>
      </w:r>
      <w:r>
        <w:rPr>
          <w:rFonts w:hint="eastAsia" w:hAnsi="宋体" w:cs="宋体"/>
          <w:color w:val="auto"/>
          <w:highlight w:val="none"/>
          <w:u w:val="single"/>
        </w:rPr>
        <w:t>违约金</w:t>
      </w:r>
      <w:r>
        <w:rPr>
          <w:rFonts w:hint="eastAsia" w:hAnsi="宋体" w:cs="宋体"/>
          <w:color w:val="auto"/>
          <w:highlight w:val="none"/>
        </w:rPr>
        <w:t>。</w:t>
      </w:r>
    </w:p>
    <w:p w14:paraId="7A55596E">
      <w:pPr>
        <w:spacing w:line="360" w:lineRule="auto"/>
        <w:ind w:firstLine="420" w:firstLineChars="200"/>
        <w:rPr>
          <w:color w:val="auto"/>
          <w:highlight w:val="none"/>
        </w:rPr>
      </w:pPr>
      <w:r>
        <w:rPr>
          <w:rFonts w:hint="eastAsia" w:hAnsi="宋体" w:cs="宋体"/>
          <w:color w:val="auto"/>
          <w:highlight w:val="none"/>
        </w:rPr>
        <w:t>承包人主要施工管理人员擅自离开施工现场的违约责任：</w:t>
      </w:r>
      <w:r>
        <w:rPr>
          <w:rFonts w:hint="eastAsia" w:hAnsi="宋体" w:cs="宋体"/>
          <w:color w:val="auto"/>
          <w:highlight w:val="none"/>
          <w:u w:val="single"/>
        </w:rPr>
        <w:t>未经发包人同意，项目技术负责人擅自离岗的，视为承包人违约，发包人有权处违约金</w:t>
      </w:r>
      <w:r>
        <w:rPr>
          <w:rFonts w:hint="eastAsia"/>
          <w:color w:val="auto"/>
          <w:highlight w:val="none"/>
          <w:u w:val="single"/>
          <w:lang w:val="en-US" w:eastAsia="zh-CN"/>
        </w:rPr>
        <w:t>3000</w:t>
      </w:r>
      <w:r>
        <w:rPr>
          <w:rFonts w:hint="eastAsia" w:hAnsi="宋体" w:cs="宋体"/>
          <w:color w:val="auto"/>
          <w:highlight w:val="none"/>
          <w:u w:val="single"/>
        </w:rPr>
        <w:t>元</w:t>
      </w:r>
      <w:r>
        <w:rPr>
          <w:color w:val="auto"/>
          <w:highlight w:val="none"/>
          <w:u w:val="single"/>
        </w:rPr>
        <w:t>/</w:t>
      </w:r>
      <w:r>
        <w:rPr>
          <w:rFonts w:hint="eastAsia" w:hAnsi="宋体" w:cs="宋体"/>
          <w:color w:val="auto"/>
          <w:highlight w:val="none"/>
          <w:u w:val="single"/>
        </w:rPr>
        <w:t>人</w:t>
      </w:r>
      <w:r>
        <w:rPr>
          <w:color w:val="auto"/>
          <w:highlight w:val="none"/>
          <w:u w:val="single"/>
        </w:rPr>
        <w:t>•</w:t>
      </w:r>
      <w:r>
        <w:rPr>
          <w:rFonts w:hint="eastAsia" w:hAnsi="宋体" w:cs="宋体"/>
          <w:color w:val="auto"/>
          <w:highlight w:val="none"/>
          <w:u w:val="single"/>
        </w:rPr>
        <w:t>次</w:t>
      </w:r>
      <w:r>
        <w:rPr>
          <w:rFonts w:hint="eastAsia" w:cs="宋体"/>
          <w:color w:val="auto"/>
          <w:highlight w:val="none"/>
          <w:u w:val="single"/>
        </w:rPr>
        <w:t>（</w:t>
      </w:r>
      <w:r>
        <w:rPr>
          <w:rFonts w:hint="eastAsia" w:hAnsi="宋体" w:cs="宋体"/>
          <w:color w:val="auto"/>
          <w:highlight w:val="none"/>
          <w:u w:val="single"/>
        </w:rPr>
        <w:t>人民币</w:t>
      </w:r>
      <w:r>
        <w:rPr>
          <w:rFonts w:hint="eastAsia" w:cs="宋体"/>
          <w:color w:val="auto"/>
          <w:highlight w:val="none"/>
          <w:u w:val="single"/>
        </w:rPr>
        <w:t>）</w:t>
      </w:r>
      <w:r>
        <w:rPr>
          <w:rFonts w:hint="eastAsia" w:hAnsi="宋体" w:cs="宋体"/>
          <w:color w:val="auto"/>
          <w:highlight w:val="none"/>
          <w:u w:val="single"/>
        </w:rPr>
        <w:t>；未经发包人同意，专职安全生产管理人员擅自离岗的，视为承包人违约，发包人有权处违约金</w:t>
      </w:r>
      <w:r>
        <w:rPr>
          <w:rFonts w:hint="eastAsia"/>
          <w:color w:val="auto"/>
          <w:highlight w:val="none"/>
          <w:u w:val="single"/>
          <w:lang w:val="en-US" w:eastAsia="zh-CN"/>
        </w:rPr>
        <w:t>2000</w:t>
      </w:r>
      <w:r>
        <w:rPr>
          <w:rFonts w:hint="eastAsia" w:hAnsi="宋体" w:cs="宋体"/>
          <w:color w:val="auto"/>
          <w:highlight w:val="none"/>
          <w:u w:val="single"/>
        </w:rPr>
        <w:t>元</w:t>
      </w:r>
      <w:r>
        <w:rPr>
          <w:color w:val="auto"/>
          <w:highlight w:val="none"/>
          <w:u w:val="single"/>
        </w:rPr>
        <w:t>/</w:t>
      </w:r>
      <w:r>
        <w:rPr>
          <w:rFonts w:hint="eastAsia" w:hAnsi="宋体" w:cs="宋体"/>
          <w:color w:val="auto"/>
          <w:highlight w:val="none"/>
          <w:u w:val="single"/>
        </w:rPr>
        <w:t>人</w:t>
      </w:r>
      <w:r>
        <w:rPr>
          <w:color w:val="auto"/>
          <w:highlight w:val="none"/>
          <w:u w:val="single"/>
        </w:rPr>
        <w:t>•</w:t>
      </w:r>
      <w:r>
        <w:rPr>
          <w:rFonts w:hint="eastAsia" w:hAnsi="宋体" w:cs="宋体"/>
          <w:color w:val="auto"/>
          <w:highlight w:val="none"/>
          <w:u w:val="single"/>
        </w:rPr>
        <w:t>次</w:t>
      </w:r>
      <w:r>
        <w:rPr>
          <w:rFonts w:hint="eastAsia" w:cs="宋体"/>
          <w:color w:val="auto"/>
          <w:highlight w:val="none"/>
          <w:u w:val="single"/>
        </w:rPr>
        <w:t>（</w:t>
      </w:r>
      <w:r>
        <w:rPr>
          <w:rFonts w:hint="eastAsia" w:hAnsi="宋体" w:cs="宋体"/>
          <w:color w:val="auto"/>
          <w:highlight w:val="none"/>
          <w:u w:val="single"/>
        </w:rPr>
        <w:t>人民币</w:t>
      </w:r>
      <w:r>
        <w:rPr>
          <w:rFonts w:hint="eastAsia" w:cs="宋体"/>
          <w:color w:val="auto"/>
          <w:highlight w:val="none"/>
          <w:u w:val="single"/>
        </w:rPr>
        <w:t>）</w:t>
      </w:r>
      <w:r>
        <w:rPr>
          <w:rFonts w:hint="eastAsia" w:hAnsi="宋体" w:cs="宋体"/>
          <w:color w:val="auto"/>
          <w:highlight w:val="none"/>
          <w:u w:val="single"/>
        </w:rPr>
        <w:t>；其它在场管理人员擅自离岗的，视为承包人违约，发包人有权处违约金</w:t>
      </w:r>
      <w:r>
        <w:rPr>
          <w:rFonts w:hint="eastAsia"/>
          <w:color w:val="auto"/>
          <w:highlight w:val="none"/>
          <w:u w:val="single"/>
          <w:lang w:val="en-US" w:eastAsia="zh-CN"/>
        </w:rPr>
        <w:t>1000</w:t>
      </w:r>
      <w:r>
        <w:rPr>
          <w:rFonts w:hint="eastAsia" w:hAnsi="宋体" w:cs="宋体"/>
          <w:color w:val="auto"/>
          <w:highlight w:val="none"/>
          <w:u w:val="single"/>
        </w:rPr>
        <w:t>元</w:t>
      </w:r>
      <w:r>
        <w:rPr>
          <w:color w:val="auto"/>
          <w:highlight w:val="none"/>
          <w:u w:val="single"/>
        </w:rPr>
        <w:t>/</w:t>
      </w:r>
      <w:r>
        <w:rPr>
          <w:rFonts w:hint="eastAsia" w:hAnsi="宋体" w:cs="宋体"/>
          <w:color w:val="auto"/>
          <w:highlight w:val="none"/>
          <w:u w:val="single"/>
        </w:rPr>
        <w:t>人</w:t>
      </w:r>
      <w:r>
        <w:rPr>
          <w:color w:val="auto"/>
          <w:highlight w:val="none"/>
          <w:u w:val="single"/>
        </w:rPr>
        <w:t>•</w:t>
      </w:r>
      <w:r>
        <w:rPr>
          <w:rFonts w:hint="eastAsia" w:hAnsi="宋体" w:cs="宋体"/>
          <w:color w:val="auto"/>
          <w:highlight w:val="none"/>
          <w:u w:val="single"/>
        </w:rPr>
        <w:t>次</w:t>
      </w:r>
      <w:r>
        <w:rPr>
          <w:rFonts w:hint="eastAsia" w:cs="宋体"/>
          <w:color w:val="auto"/>
          <w:highlight w:val="none"/>
          <w:u w:val="single"/>
        </w:rPr>
        <w:t>（</w:t>
      </w:r>
      <w:r>
        <w:rPr>
          <w:rFonts w:hint="eastAsia" w:hAnsi="宋体" w:cs="宋体"/>
          <w:color w:val="auto"/>
          <w:highlight w:val="none"/>
          <w:u w:val="single"/>
        </w:rPr>
        <w:t>人民币</w:t>
      </w:r>
      <w:r>
        <w:rPr>
          <w:rFonts w:hint="eastAsia" w:cs="宋体"/>
          <w:color w:val="auto"/>
          <w:highlight w:val="none"/>
          <w:u w:val="single"/>
        </w:rPr>
        <w:t>）</w:t>
      </w:r>
      <w:r>
        <w:rPr>
          <w:rFonts w:hint="eastAsia" w:hAnsi="宋体" w:cs="宋体"/>
          <w:color w:val="auto"/>
          <w:highlight w:val="none"/>
        </w:rPr>
        <w:t>。</w:t>
      </w:r>
    </w:p>
    <w:p w14:paraId="42B8E09D">
      <w:pPr>
        <w:pStyle w:val="4"/>
        <w:rPr>
          <w:color w:val="auto"/>
          <w:highlight w:val="none"/>
        </w:rPr>
      </w:pPr>
      <w:bookmarkStart w:id="379" w:name="_Toc2025600126"/>
      <w:bookmarkStart w:id="380" w:name="_Toc373478357"/>
      <w:bookmarkStart w:id="381" w:name="_Toc78449798"/>
      <w:bookmarkStart w:id="382" w:name="_Toc28250"/>
      <w:bookmarkStart w:id="383" w:name="_Toc2066279184"/>
      <w:bookmarkStart w:id="384" w:name="_Toc373227710"/>
      <w:bookmarkStart w:id="385" w:name="_Toc389065276"/>
      <w:bookmarkStart w:id="386" w:name="_Toc407135212"/>
      <w:r>
        <w:rPr>
          <w:color w:val="auto"/>
          <w:highlight w:val="none"/>
        </w:rPr>
        <w:t>3</w:t>
      </w:r>
      <w:bookmarkStart w:id="387" w:name="_Toc297120459"/>
      <w:bookmarkStart w:id="388" w:name="_Toc304295523"/>
      <w:bookmarkStart w:id="389" w:name="_Toc312677988"/>
      <w:bookmarkStart w:id="390" w:name="_Toc292559364"/>
      <w:bookmarkStart w:id="391" w:name="_Toc296347158"/>
      <w:bookmarkStart w:id="392" w:name="_Toc296944498"/>
      <w:bookmarkStart w:id="393" w:name="_Toc296890987"/>
      <w:bookmarkStart w:id="394" w:name="_Toc300934945"/>
      <w:bookmarkStart w:id="395" w:name="_Toc296346660"/>
      <w:bookmarkStart w:id="396" w:name="_Toc297048345"/>
      <w:bookmarkStart w:id="397" w:name="_Toc297123492"/>
      <w:bookmarkStart w:id="398" w:name="_Toc297216151"/>
      <w:bookmarkStart w:id="399" w:name="_Toc292559869"/>
      <w:bookmarkStart w:id="400" w:name="_Toc303539102"/>
      <w:bookmarkStart w:id="401" w:name="_Toc296891199"/>
      <w:bookmarkStart w:id="402" w:name="_Toc296503159"/>
      <w:r>
        <w:rPr>
          <w:color w:val="auto"/>
          <w:highlight w:val="none"/>
        </w:rPr>
        <w:t xml:space="preserve">.5 </w:t>
      </w:r>
      <w:r>
        <w:rPr>
          <w:rFonts w:hint="eastAsia" w:hAnsi="宋体" w:cs="黑体"/>
          <w:color w:val="auto"/>
          <w:highlight w:val="none"/>
        </w:rPr>
        <w:t>分包</w:t>
      </w:r>
      <w:bookmarkEnd w:id="379"/>
      <w:bookmarkEnd w:id="380"/>
      <w:bookmarkEnd w:id="381"/>
      <w:bookmarkEnd w:id="382"/>
      <w:bookmarkEnd w:id="383"/>
      <w:bookmarkEnd w:id="384"/>
      <w:bookmarkEnd w:id="385"/>
      <w:bookmarkEnd w:id="386"/>
    </w:p>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p w14:paraId="1BAF495C">
      <w:pPr>
        <w:spacing w:line="360" w:lineRule="auto"/>
        <w:ind w:firstLine="420" w:firstLineChars="200"/>
        <w:rPr>
          <w:color w:val="auto"/>
          <w:highlight w:val="none"/>
        </w:rPr>
      </w:pPr>
      <w:r>
        <w:rPr>
          <w:color w:val="auto"/>
          <w:highlight w:val="none"/>
        </w:rPr>
        <w:t>3</w:t>
      </w:r>
      <w:bookmarkStart w:id="403" w:name="_Toc292559870"/>
      <w:bookmarkStart w:id="404" w:name="_Toc296944499"/>
      <w:bookmarkStart w:id="405" w:name="_Toc296891200"/>
      <w:bookmarkStart w:id="406" w:name="_Toc297120460"/>
      <w:bookmarkStart w:id="407" w:name="_Toc318581158"/>
      <w:bookmarkStart w:id="408" w:name="_Toc297123493"/>
      <w:bookmarkStart w:id="409" w:name="_Toc300934946"/>
      <w:bookmarkStart w:id="410" w:name="_Toc303539103"/>
      <w:bookmarkStart w:id="411" w:name="_Toc297216152"/>
      <w:bookmarkStart w:id="412" w:name="_Toc296503160"/>
      <w:bookmarkStart w:id="413" w:name="_Toc296347159"/>
      <w:bookmarkStart w:id="414" w:name="_Toc297048346"/>
      <w:bookmarkStart w:id="415" w:name="_Toc296346661"/>
      <w:bookmarkStart w:id="416" w:name="_Toc312677989"/>
      <w:bookmarkStart w:id="417" w:name="_Toc292559365"/>
      <w:bookmarkStart w:id="418" w:name="_Toc304295524"/>
      <w:bookmarkStart w:id="419" w:name="_Toc296890988"/>
      <w:r>
        <w:rPr>
          <w:color w:val="auto"/>
          <w:highlight w:val="none"/>
        </w:rPr>
        <w:t xml:space="preserve">.5.1 </w:t>
      </w:r>
      <w:r>
        <w:rPr>
          <w:rFonts w:hint="eastAsia" w:hAnsi="宋体" w:cs="宋体"/>
          <w:color w:val="auto"/>
          <w:highlight w:val="none"/>
        </w:rPr>
        <w:t>分包的一般约定</w:t>
      </w:r>
    </w:p>
    <w:p w14:paraId="561CD61C">
      <w:pPr>
        <w:spacing w:line="360" w:lineRule="auto"/>
        <w:ind w:firstLine="420" w:firstLineChars="200"/>
        <w:jc w:val="left"/>
        <w:rPr>
          <w:color w:val="auto"/>
          <w:highlight w:val="none"/>
        </w:rPr>
      </w:pPr>
      <w:r>
        <w:rPr>
          <w:rFonts w:hint="eastAsia" w:hAnsi="宋体" w:cs="宋体"/>
          <w:color w:val="auto"/>
          <w:highlight w:val="none"/>
        </w:rPr>
        <w:t>禁止分包的工程包括：</w:t>
      </w:r>
      <w:r>
        <w:rPr>
          <w:rFonts w:ascii="宋体" w:hAnsi="宋体" w:eastAsia="宋体" w:cs="宋体"/>
          <w:color w:val="auto"/>
          <w:spacing w:val="0"/>
          <w:highlight w:val="none"/>
          <w:u w:val="single"/>
        </w:rPr>
        <w:t xml:space="preserve"> 本工程不得分包 </w:t>
      </w:r>
      <w:r>
        <w:rPr>
          <w:rFonts w:hint="eastAsia" w:hAnsi="宋体" w:cs="宋体"/>
          <w:color w:val="auto"/>
          <w:highlight w:val="none"/>
        </w:rPr>
        <w:t>。</w:t>
      </w:r>
    </w:p>
    <w:p w14:paraId="56F7CED7">
      <w:pPr>
        <w:spacing w:line="360" w:lineRule="auto"/>
        <w:ind w:firstLine="420" w:firstLineChars="200"/>
        <w:jc w:val="left"/>
        <w:rPr>
          <w:rFonts w:hAnsi="宋体"/>
          <w:color w:val="auto"/>
          <w:highlight w:val="none"/>
        </w:rPr>
      </w:pPr>
      <w:r>
        <w:rPr>
          <w:rFonts w:hint="eastAsia" w:hAnsi="宋体" w:cs="宋体"/>
          <w:color w:val="auto"/>
          <w:highlight w:val="none"/>
        </w:rPr>
        <w:t>主体结构、关键性工作的范围：</w:t>
      </w:r>
      <w:r>
        <w:rPr>
          <w:color w:val="auto"/>
          <w:highlight w:val="none"/>
          <w:u w:val="single"/>
        </w:rPr>
        <w:t xml:space="preserve"> </w:t>
      </w:r>
      <w:r>
        <w:rPr>
          <w:rFonts w:hint="eastAsia"/>
          <w:color w:val="auto"/>
          <w:highlight w:val="none"/>
          <w:u w:val="single"/>
          <w:lang w:val="en-US" w:eastAsia="zh-CN"/>
        </w:rPr>
        <w:t>/</w:t>
      </w:r>
      <w:r>
        <w:rPr>
          <w:color w:val="auto"/>
          <w:highlight w:val="none"/>
          <w:u w:val="single"/>
        </w:rPr>
        <w:t xml:space="preserve"> </w:t>
      </w:r>
      <w:r>
        <w:rPr>
          <w:rFonts w:hint="eastAsia" w:hAnsi="宋体" w:cs="宋体"/>
          <w:color w:val="auto"/>
          <w:highlight w:val="none"/>
        </w:rPr>
        <w:t>。</w:t>
      </w:r>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p>
    <w:p w14:paraId="77CA2B53">
      <w:pPr>
        <w:spacing w:line="360" w:lineRule="auto"/>
        <w:ind w:firstLine="420" w:firstLineChars="200"/>
        <w:jc w:val="left"/>
        <w:rPr>
          <w:color w:val="auto"/>
          <w:highlight w:val="none"/>
        </w:rPr>
      </w:pPr>
      <w:r>
        <w:rPr>
          <w:color w:val="auto"/>
          <w:highlight w:val="none"/>
        </w:rPr>
        <w:t>3</w:t>
      </w:r>
      <w:bookmarkStart w:id="420" w:name="_Toc318581159"/>
      <w:bookmarkStart w:id="421" w:name="_Toc312677990"/>
      <w:r>
        <w:rPr>
          <w:color w:val="auto"/>
          <w:highlight w:val="none"/>
        </w:rPr>
        <w:t xml:space="preserve">.5.2 </w:t>
      </w:r>
      <w:r>
        <w:rPr>
          <w:rFonts w:hint="eastAsia" w:hAnsi="宋体" w:cs="宋体"/>
          <w:color w:val="auto"/>
          <w:highlight w:val="none"/>
        </w:rPr>
        <w:t>分包的确定</w:t>
      </w:r>
    </w:p>
    <w:p w14:paraId="4AFA77DB">
      <w:pPr>
        <w:spacing w:line="360" w:lineRule="auto"/>
        <w:ind w:firstLine="420" w:firstLineChars="200"/>
        <w:rPr>
          <w:color w:val="auto"/>
          <w:highlight w:val="none"/>
          <w:u w:val="single"/>
        </w:rPr>
      </w:pPr>
      <w:r>
        <w:rPr>
          <w:rFonts w:hint="eastAsia" w:hAnsi="宋体" w:cs="宋体"/>
          <w:color w:val="auto"/>
          <w:highlight w:val="none"/>
        </w:rPr>
        <w:t>允许分包的专业工程包括：</w:t>
      </w:r>
      <w:r>
        <w:rPr>
          <w:color w:val="auto"/>
          <w:highlight w:val="none"/>
          <w:u w:val="single"/>
        </w:rPr>
        <w:t xml:space="preserve"> </w:t>
      </w:r>
      <w:r>
        <w:rPr>
          <w:rFonts w:hint="eastAsia"/>
          <w:color w:val="auto"/>
          <w:highlight w:val="none"/>
          <w:u w:val="single"/>
          <w:lang w:val="en-US" w:eastAsia="zh-CN"/>
        </w:rPr>
        <w:t>/</w:t>
      </w:r>
      <w:r>
        <w:rPr>
          <w:color w:val="auto"/>
          <w:highlight w:val="none"/>
          <w:u w:val="single"/>
        </w:rPr>
        <w:t xml:space="preserve"> </w:t>
      </w:r>
      <w:r>
        <w:rPr>
          <w:rFonts w:hint="eastAsia" w:hAnsi="宋体" w:cs="宋体"/>
          <w:color w:val="auto"/>
          <w:highlight w:val="none"/>
        </w:rPr>
        <w:t>。</w:t>
      </w:r>
    </w:p>
    <w:p w14:paraId="1C6C9BE9">
      <w:pPr>
        <w:spacing w:line="360" w:lineRule="auto"/>
        <w:ind w:firstLine="420" w:firstLineChars="200"/>
        <w:rPr>
          <w:color w:val="auto"/>
          <w:highlight w:val="none"/>
        </w:rPr>
      </w:pPr>
      <w:r>
        <w:rPr>
          <w:rFonts w:hint="eastAsia" w:hAnsi="宋体" w:cs="宋体"/>
          <w:color w:val="auto"/>
          <w:highlight w:val="none"/>
        </w:rPr>
        <w:t>其他关于分包的约定：</w:t>
      </w:r>
    </w:p>
    <w:p w14:paraId="4795CAC5">
      <w:pPr>
        <w:spacing w:line="360" w:lineRule="auto"/>
        <w:ind w:firstLine="420" w:firstLineChars="200"/>
        <w:rPr>
          <w:color w:val="auto"/>
          <w:highlight w:val="none"/>
        </w:rPr>
      </w:pPr>
      <w:r>
        <w:rPr>
          <w:rFonts w:hint="eastAsia" w:cs="宋体"/>
          <w:color w:val="auto"/>
          <w:highlight w:val="none"/>
        </w:rPr>
        <w:t>（</w:t>
      </w:r>
      <w:r>
        <w:rPr>
          <w:color w:val="auto"/>
          <w:highlight w:val="none"/>
        </w:rPr>
        <w:t>1</w:t>
      </w:r>
      <w:r>
        <w:rPr>
          <w:rFonts w:hint="eastAsia" w:cs="宋体"/>
          <w:color w:val="auto"/>
          <w:highlight w:val="none"/>
        </w:rPr>
        <w:t>）</w:t>
      </w:r>
      <w:r>
        <w:rPr>
          <w:rFonts w:hint="eastAsia" w:hAnsi="宋体" w:cs="宋体"/>
          <w:color w:val="auto"/>
          <w:highlight w:val="none"/>
        </w:rPr>
        <w:t>除前款约定的分包内容外，经过发包人和监理人同意，承包人可以将其他非主体、非关键性工作分包给第三人，但分包人应当经过发包人和监理人审批。发包人和监理人有权拒绝承包人的分包请求和承包人选择的分包人。本项目分包人主要施工管理人员名单详见合同附件</w:t>
      </w:r>
      <w:r>
        <w:rPr>
          <w:rFonts w:hint="eastAsia" w:hAnsi="宋体"/>
          <w:color w:val="auto"/>
          <w:highlight w:val="none"/>
        </w:rPr>
        <w:t>6</w:t>
      </w:r>
      <w:r>
        <w:rPr>
          <w:rFonts w:hint="eastAsia" w:hAnsi="宋体" w:cs="宋体"/>
          <w:color w:val="auto"/>
          <w:highlight w:val="none"/>
        </w:rPr>
        <w:t>。</w:t>
      </w:r>
    </w:p>
    <w:p w14:paraId="5CB2442F">
      <w:pPr>
        <w:spacing w:line="360" w:lineRule="auto"/>
        <w:ind w:firstLine="420" w:firstLineChars="200"/>
        <w:rPr>
          <w:color w:val="auto"/>
          <w:highlight w:val="none"/>
          <w:u w:val="single"/>
        </w:rPr>
      </w:pPr>
      <w:r>
        <w:rPr>
          <w:rFonts w:hint="eastAsia" w:cs="宋体"/>
          <w:color w:val="auto"/>
          <w:highlight w:val="none"/>
        </w:rPr>
        <w:t>（</w:t>
      </w:r>
      <w:r>
        <w:rPr>
          <w:color w:val="auto"/>
          <w:highlight w:val="none"/>
        </w:rPr>
        <w:t>2</w:t>
      </w:r>
      <w:r>
        <w:rPr>
          <w:rFonts w:hint="eastAsia" w:cs="宋体"/>
          <w:color w:val="auto"/>
          <w:highlight w:val="none"/>
        </w:rPr>
        <w:t>）</w:t>
      </w:r>
      <w:r>
        <w:rPr>
          <w:rFonts w:hint="eastAsia" w:hAnsi="宋体" w:cs="宋体"/>
          <w:color w:val="auto"/>
          <w:highlight w:val="none"/>
        </w:rPr>
        <w:t>在相关分包合同签订并报送有关建设行政主管部门备案后</w:t>
      </w:r>
      <w:r>
        <w:rPr>
          <w:color w:val="auto"/>
          <w:highlight w:val="none"/>
        </w:rPr>
        <w:t>7</w:t>
      </w:r>
      <w:r>
        <w:rPr>
          <w:rFonts w:hint="eastAsia" w:hAnsi="宋体" w:cs="宋体"/>
          <w:color w:val="auto"/>
          <w:highlight w:val="none"/>
        </w:rPr>
        <w:t>天内，承包人应当将一份副本提交给监理人，承包人应保障分包工作不得再次分包。</w:t>
      </w:r>
    </w:p>
    <w:p w14:paraId="14F2FFFE">
      <w:pPr>
        <w:spacing w:line="360" w:lineRule="auto"/>
        <w:ind w:firstLine="420" w:firstLineChars="200"/>
        <w:rPr>
          <w:color w:val="auto"/>
          <w:highlight w:val="none"/>
        </w:rPr>
      </w:pPr>
      <w:r>
        <w:rPr>
          <w:rFonts w:hint="eastAsia" w:cs="宋体"/>
          <w:color w:val="auto"/>
          <w:highlight w:val="none"/>
        </w:rPr>
        <w:t>（</w:t>
      </w:r>
      <w:r>
        <w:rPr>
          <w:color w:val="auto"/>
          <w:highlight w:val="none"/>
        </w:rPr>
        <w:t>3</w:t>
      </w:r>
      <w:r>
        <w:rPr>
          <w:rFonts w:hint="eastAsia" w:cs="宋体"/>
          <w:color w:val="auto"/>
          <w:highlight w:val="none"/>
        </w:rPr>
        <w:t>）</w:t>
      </w:r>
      <w:r>
        <w:rPr>
          <w:rFonts w:hint="eastAsia" w:hAnsi="宋体" w:cs="宋体"/>
          <w:color w:val="auto"/>
          <w:highlight w:val="none"/>
        </w:rPr>
        <w:t>未经承包人和监理人审批同意的分包工程和分包人，承包人有权拒绝验收分包工程和支付相应款项，由此引起的发包人费用增加和</w:t>
      </w:r>
      <w:r>
        <w:rPr>
          <w:rFonts w:hint="eastAsia"/>
          <w:color w:val="auto"/>
          <w:highlight w:val="none"/>
          <w:lang w:eastAsia="zh-CN"/>
        </w:rPr>
        <w:t>（</w:t>
      </w:r>
      <w:r>
        <w:rPr>
          <w:rFonts w:hint="eastAsia" w:hAnsi="宋体" w:cs="宋体"/>
          <w:color w:val="auto"/>
          <w:highlight w:val="none"/>
        </w:rPr>
        <w:t>或</w:t>
      </w:r>
      <w:r>
        <w:rPr>
          <w:rFonts w:hint="eastAsia"/>
          <w:color w:val="auto"/>
          <w:highlight w:val="none"/>
          <w:lang w:eastAsia="zh-CN"/>
        </w:rPr>
        <w:t>）</w:t>
      </w:r>
      <w:r>
        <w:rPr>
          <w:rFonts w:hint="eastAsia" w:hAnsi="宋体" w:cs="宋体"/>
          <w:color w:val="auto"/>
          <w:highlight w:val="none"/>
        </w:rPr>
        <w:t>延误的工期由发包人承担。</w:t>
      </w:r>
    </w:p>
    <w:p w14:paraId="2AEFFD71">
      <w:pPr>
        <w:pStyle w:val="15"/>
        <w:spacing w:line="360" w:lineRule="auto"/>
        <w:ind w:firstLine="420" w:firstLineChars="200"/>
        <w:rPr>
          <w:rFonts w:ascii="Times New Roman" w:hAnsi="Times New Roman"/>
          <w:color w:val="auto"/>
          <w:sz w:val="21"/>
          <w:szCs w:val="21"/>
          <w:highlight w:val="none"/>
        </w:rPr>
      </w:pPr>
      <w:r>
        <w:rPr>
          <w:rFonts w:hint="eastAsia" w:ascii="Times New Roman" w:hAnsi="Times New Roman"/>
          <w:color w:val="auto"/>
          <w:sz w:val="21"/>
          <w:szCs w:val="21"/>
          <w:highlight w:val="none"/>
        </w:rPr>
        <w:t>（</w:t>
      </w:r>
      <w:r>
        <w:rPr>
          <w:rFonts w:ascii="Times New Roman" w:hAnsi="Times New Roman"/>
          <w:color w:val="auto"/>
          <w:sz w:val="21"/>
          <w:szCs w:val="21"/>
          <w:highlight w:val="none"/>
        </w:rPr>
        <w:t>4</w:t>
      </w:r>
      <w:r>
        <w:rPr>
          <w:rFonts w:hint="eastAsia" w:ascii="Times New Roman" w:hAnsi="Times New Roman"/>
          <w:color w:val="auto"/>
          <w:sz w:val="21"/>
          <w:szCs w:val="21"/>
          <w:highlight w:val="none"/>
        </w:rPr>
        <w:t>）</w:t>
      </w:r>
      <w:r>
        <w:rPr>
          <w:rFonts w:hint="eastAsia" w:ascii="Times New Roman" w:hAnsi="宋体"/>
          <w:color w:val="auto"/>
          <w:sz w:val="21"/>
          <w:szCs w:val="21"/>
          <w:highlight w:val="none"/>
        </w:rPr>
        <w:t>承包人有以下情况之一者，发包人有权解除合同，并视情况扣除其履约保证金：</w:t>
      </w:r>
    </w:p>
    <w:p w14:paraId="1AA7C4BE">
      <w:pPr>
        <w:pStyle w:val="15"/>
        <w:spacing w:line="360" w:lineRule="auto"/>
        <w:ind w:firstLine="441" w:firstLineChars="210"/>
        <w:rPr>
          <w:rFonts w:ascii="Times New Roman" w:hAnsi="Times New Roman"/>
          <w:color w:val="auto"/>
          <w:sz w:val="21"/>
          <w:szCs w:val="21"/>
          <w:highlight w:val="none"/>
        </w:rPr>
      </w:pPr>
      <w:r>
        <w:rPr>
          <w:rFonts w:hint="eastAsia" w:ascii="Times New Roman" w:hAnsi="宋体"/>
          <w:color w:val="auto"/>
          <w:sz w:val="21"/>
          <w:szCs w:val="21"/>
          <w:highlight w:val="none"/>
        </w:rPr>
        <w:t>①个人承包工程，包括本人单位及外单位人员承包，发包人不承认其个人拥有任何资质等级及营业许可资格。没收全部履约保证金。</w:t>
      </w:r>
    </w:p>
    <w:p w14:paraId="446568F8">
      <w:pPr>
        <w:pStyle w:val="15"/>
        <w:spacing w:line="360" w:lineRule="auto"/>
        <w:ind w:firstLine="441" w:firstLineChars="210"/>
        <w:rPr>
          <w:rFonts w:ascii="Times New Roman" w:hAnsi="Times New Roman"/>
          <w:color w:val="auto"/>
          <w:sz w:val="21"/>
          <w:szCs w:val="21"/>
          <w:highlight w:val="none"/>
        </w:rPr>
      </w:pPr>
      <w:r>
        <w:rPr>
          <w:rFonts w:hint="eastAsia" w:ascii="Times New Roman" w:hAnsi="宋体"/>
          <w:color w:val="auto"/>
          <w:sz w:val="21"/>
          <w:szCs w:val="21"/>
          <w:highlight w:val="none"/>
        </w:rPr>
        <w:t>②几个人联合承包工程，就地组织暗分包队伍，不具备完成本工程的技术、机械能力，被发包人判定为没有能力履行的承包人。没收全部履约保证金。</w:t>
      </w:r>
    </w:p>
    <w:p w14:paraId="776B56A8">
      <w:pPr>
        <w:pStyle w:val="15"/>
        <w:spacing w:line="360" w:lineRule="auto"/>
        <w:ind w:firstLine="441" w:firstLineChars="210"/>
        <w:rPr>
          <w:rFonts w:ascii="Times New Roman" w:hAnsi="Times New Roman"/>
          <w:color w:val="auto"/>
          <w:sz w:val="21"/>
          <w:szCs w:val="21"/>
          <w:highlight w:val="none"/>
        </w:rPr>
      </w:pPr>
      <w:r>
        <w:rPr>
          <w:rFonts w:hint="eastAsia" w:ascii="Times New Roman" w:hAnsi="宋体"/>
          <w:color w:val="auto"/>
          <w:sz w:val="21"/>
          <w:szCs w:val="21"/>
          <w:highlight w:val="none"/>
        </w:rPr>
        <w:t>③就地转包全部的工程，以谋取高额转让费、管理费的承包人。没收全部履约保证金。</w:t>
      </w:r>
    </w:p>
    <w:p w14:paraId="3E1BE3BD">
      <w:pPr>
        <w:spacing w:line="360" w:lineRule="auto"/>
        <w:ind w:firstLine="420" w:firstLineChars="200"/>
        <w:rPr>
          <w:color w:val="auto"/>
          <w:highlight w:val="none"/>
          <w:u w:val="single"/>
        </w:rPr>
      </w:pPr>
      <w:r>
        <w:rPr>
          <w:rFonts w:hint="eastAsia" w:hAnsi="宋体" w:cs="宋体"/>
          <w:color w:val="auto"/>
          <w:highlight w:val="none"/>
        </w:rPr>
        <w:t>④承包人有部分分包现象（其中包括冒充承包人下属单位的挂勾单位，凭口头协议参与施工的分包人及其他暗分包个体户），一经发现核实，发包人将采取驱逐该暗分包人措施。没收全部履约保证金。</w:t>
      </w:r>
    </w:p>
    <w:p w14:paraId="24D8A6CE">
      <w:pPr>
        <w:spacing w:line="360" w:lineRule="auto"/>
        <w:ind w:firstLine="420" w:firstLineChars="200"/>
        <w:rPr>
          <w:color w:val="auto"/>
          <w:highlight w:val="none"/>
        </w:rPr>
      </w:pPr>
      <w:r>
        <w:rPr>
          <w:color w:val="auto"/>
          <w:highlight w:val="none"/>
        </w:rPr>
        <w:t xml:space="preserve">3.5.4 </w:t>
      </w:r>
      <w:r>
        <w:rPr>
          <w:rFonts w:hint="eastAsia" w:hAnsi="宋体" w:cs="宋体"/>
          <w:color w:val="auto"/>
          <w:highlight w:val="none"/>
        </w:rPr>
        <w:t>分包合同价款</w:t>
      </w:r>
    </w:p>
    <w:bookmarkEnd w:id="420"/>
    <w:bookmarkEnd w:id="421"/>
    <w:p w14:paraId="07CEBD22">
      <w:pPr>
        <w:spacing w:line="360" w:lineRule="auto"/>
        <w:ind w:firstLine="420" w:firstLineChars="200"/>
        <w:rPr>
          <w:color w:val="auto"/>
          <w:highlight w:val="none"/>
        </w:rPr>
      </w:pPr>
      <w:bookmarkStart w:id="422" w:name="_Toc389065277"/>
      <w:bookmarkStart w:id="423" w:name="_Toc373478358"/>
      <w:bookmarkStart w:id="424" w:name="_Toc373227711"/>
      <w:r>
        <w:rPr>
          <w:rFonts w:hint="eastAsia" w:hAnsi="宋体" w:cs="宋体"/>
          <w:color w:val="auto"/>
          <w:highlight w:val="none"/>
        </w:rPr>
        <w:t>关于分包合同价款支付的约定：</w:t>
      </w:r>
      <w:r>
        <w:rPr>
          <w:rFonts w:hint="eastAsia" w:hAnsi="宋体" w:cs="宋体"/>
          <w:color w:val="auto"/>
          <w:highlight w:val="none"/>
          <w:u w:val="single"/>
        </w:rPr>
        <w:t>分包工程价款由承包人与分包人</w:t>
      </w:r>
      <w:r>
        <w:rPr>
          <w:rFonts w:hint="eastAsia" w:cs="宋体"/>
          <w:color w:val="auto"/>
          <w:highlight w:val="none"/>
          <w:u w:val="single"/>
        </w:rPr>
        <w:t>（</w:t>
      </w:r>
      <w:r>
        <w:rPr>
          <w:rFonts w:hint="eastAsia" w:hAnsi="宋体" w:cs="宋体"/>
          <w:color w:val="auto"/>
          <w:highlight w:val="none"/>
          <w:u w:val="single"/>
        </w:rPr>
        <w:t>包括专业分包人</w:t>
      </w:r>
      <w:r>
        <w:rPr>
          <w:rFonts w:hint="eastAsia" w:cs="宋体"/>
          <w:color w:val="auto"/>
          <w:highlight w:val="none"/>
          <w:u w:val="single"/>
        </w:rPr>
        <w:t>）</w:t>
      </w:r>
      <w:r>
        <w:rPr>
          <w:rFonts w:hint="eastAsia" w:hAnsi="宋体" w:cs="宋体"/>
          <w:color w:val="auto"/>
          <w:highlight w:val="none"/>
          <w:u w:val="single"/>
        </w:rPr>
        <w:t>结算。发包人未经承包人同意不得以任何形式向分包人</w:t>
      </w:r>
      <w:r>
        <w:rPr>
          <w:rFonts w:hint="eastAsia" w:cs="宋体"/>
          <w:color w:val="auto"/>
          <w:highlight w:val="none"/>
          <w:u w:val="single"/>
        </w:rPr>
        <w:t>（</w:t>
      </w:r>
      <w:r>
        <w:rPr>
          <w:rFonts w:hint="eastAsia" w:hAnsi="宋体" w:cs="宋体"/>
          <w:color w:val="auto"/>
          <w:highlight w:val="none"/>
          <w:u w:val="single"/>
        </w:rPr>
        <w:t>包括专业分包人</w:t>
      </w:r>
      <w:r>
        <w:rPr>
          <w:rFonts w:hint="eastAsia" w:cs="宋体"/>
          <w:color w:val="auto"/>
          <w:highlight w:val="none"/>
          <w:u w:val="single"/>
        </w:rPr>
        <w:t>）</w:t>
      </w:r>
      <w:r>
        <w:rPr>
          <w:rFonts w:hint="eastAsia" w:hAnsi="宋体" w:cs="宋体"/>
          <w:color w:val="auto"/>
          <w:highlight w:val="none"/>
          <w:u w:val="single"/>
        </w:rPr>
        <w:t>支付相关分包合同项下的任何工程款项。因发包人未经承包人同意直接向分包人</w:t>
      </w:r>
      <w:r>
        <w:rPr>
          <w:rFonts w:hint="eastAsia" w:cs="宋体"/>
          <w:color w:val="auto"/>
          <w:highlight w:val="none"/>
          <w:u w:val="single"/>
        </w:rPr>
        <w:t>（</w:t>
      </w:r>
      <w:r>
        <w:rPr>
          <w:rFonts w:hint="eastAsia" w:hAnsi="宋体" w:cs="宋体"/>
          <w:color w:val="auto"/>
          <w:highlight w:val="none"/>
          <w:u w:val="single"/>
        </w:rPr>
        <w:t>包括专业分包人</w:t>
      </w:r>
      <w:r>
        <w:rPr>
          <w:rFonts w:hint="eastAsia" w:cs="宋体"/>
          <w:color w:val="auto"/>
          <w:highlight w:val="none"/>
          <w:u w:val="single"/>
        </w:rPr>
        <w:t>）</w:t>
      </w:r>
      <w:r>
        <w:rPr>
          <w:rFonts w:hint="eastAsia" w:hAnsi="宋体" w:cs="宋体"/>
          <w:color w:val="auto"/>
          <w:highlight w:val="none"/>
          <w:u w:val="single"/>
        </w:rPr>
        <w:t>支付相关分包合同项下的任何工程款项而影响承包人工作的，所造成的承包人费用增加和</w:t>
      </w:r>
      <w:r>
        <w:rPr>
          <w:rFonts w:hint="eastAsia" w:cs="宋体"/>
          <w:color w:val="auto"/>
          <w:highlight w:val="none"/>
          <w:u w:val="single"/>
        </w:rPr>
        <w:t>（</w:t>
      </w:r>
      <w:r>
        <w:rPr>
          <w:rFonts w:hint="eastAsia" w:hAnsi="宋体" w:cs="宋体"/>
          <w:color w:val="auto"/>
          <w:highlight w:val="none"/>
          <w:u w:val="single"/>
        </w:rPr>
        <w:t>或</w:t>
      </w:r>
      <w:r>
        <w:rPr>
          <w:rFonts w:hint="eastAsia" w:cs="宋体"/>
          <w:color w:val="auto"/>
          <w:highlight w:val="none"/>
          <w:u w:val="single"/>
        </w:rPr>
        <w:t>）</w:t>
      </w:r>
      <w:r>
        <w:rPr>
          <w:rFonts w:hint="eastAsia" w:hAnsi="宋体" w:cs="宋体"/>
          <w:color w:val="auto"/>
          <w:highlight w:val="none"/>
          <w:u w:val="single"/>
        </w:rPr>
        <w:t>延误的工期由发包人承担。</w:t>
      </w:r>
    </w:p>
    <w:p w14:paraId="495B3444">
      <w:pPr>
        <w:pStyle w:val="4"/>
        <w:rPr>
          <w:color w:val="auto"/>
          <w:highlight w:val="none"/>
        </w:rPr>
      </w:pPr>
      <w:bookmarkStart w:id="425" w:name="_Toc78449799"/>
      <w:bookmarkStart w:id="426" w:name="_Toc57329529"/>
      <w:bookmarkStart w:id="427" w:name="_Toc18234"/>
      <w:bookmarkStart w:id="428" w:name="_Toc407135213"/>
      <w:bookmarkStart w:id="429" w:name="_Toc101808609"/>
      <w:r>
        <w:rPr>
          <w:color w:val="auto"/>
          <w:highlight w:val="none"/>
        </w:rPr>
        <w:t xml:space="preserve">3.6 </w:t>
      </w:r>
      <w:r>
        <w:rPr>
          <w:rFonts w:hint="eastAsia" w:cs="黑体"/>
          <w:color w:val="auto"/>
          <w:highlight w:val="none"/>
        </w:rPr>
        <w:t>工程照管与成品、半成品保护</w:t>
      </w:r>
      <w:bookmarkEnd w:id="422"/>
      <w:bookmarkEnd w:id="423"/>
      <w:bookmarkEnd w:id="424"/>
      <w:bookmarkEnd w:id="425"/>
      <w:bookmarkEnd w:id="426"/>
      <w:bookmarkEnd w:id="427"/>
      <w:bookmarkEnd w:id="428"/>
      <w:bookmarkEnd w:id="429"/>
    </w:p>
    <w:p w14:paraId="06E3B017">
      <w:pPr>
        <w:spacing w:line="360" w:lineRule="auto"/>
        <w:ind w:firstLine="420" w:firstLineChars="200"/>
        <w:rPr>
          <w:color w:val="auto"/>
          <w:kern w:val="0"/>
          <w:highlight w:val="none"/>
          <w:u w:val="single"/>
        </w:rPr>
      </w:pPr>
      <w:r>
        <w:rPr>
          <w:rFonts w:hint="eastAsia" w:hAnsi="宋体" w:cs="宋体"/>
          <w:color w:val="auto"/>
          <w:kern w:val="0"/>
          <w:highlight w:val="none"/>
        </w:rPr>
        <w:t>承包人负责照管工程及工程相关的材料、工程设备的起始时间：</w:t>
      </w:r>
      <w:r>
        <w:rPr>
          <w:color w:val="auto"/>
          <w:kern w:val="0"/>
          <w:highlight w:val="none"/>
          <w:u w:val="single"/>
        </w:rPr>
        <w:t xml:space="preserve"> </w:t>
      </w:r>
      <w:r>
        <w:rPr>
          <w:rFonts w:hint="eastAsia"/>
          <w:color w:val="auto"/>
          <w:kern w:val="0"/>
          <w:highlight w:val="none"/>
          <w:u w:val="single"/>
        </w:rPr>
        <w:t>从开工之日起至竣工验收合格交付使用之日止</w:t>
      </w:r>
      <w:r>
        <w:rPr>
          <w:color w:val="auto"/>
          <w:kern w:val="0"/>
          <w:highlight w:val="none"/>
          <w:u w:val="single"/>
        </w:rPr>
        <w:t xml:space="preserve"> </w:t>
      </w:r>
      <w:r>
        <w:rPr>
          <w:rFonts w:hint="eastAsia" w:hAnsi="宋体" w:cs="宋体"/>
          <w:color w:val="auto"/>
          <w:kern w:val="0"/>
          <w:highlight w:val="none"/>
        </w:rPr>
        <w:t>。</w:t>
      </w:r>
    </w:p>
    <w:p w14:paraId="672D399C">
      <w:pPr>
        <w:pStyle w:val="4"/>
        <w:rPr>
          <w:color w:val="auto"/>
          <w:highlight w:val="none"/>
        </w:rPr>
      </w:pPr>
      <w:bookmarkStart w:id="430" w:name="_Toc373478359"/>
      <w:bookmarkStart w:id="431" w:name="_Toc389065278"/>
      <w:bookmarkStart w:id="432" w:name="_Toc373227712"/>
      <w:bookmarkStart w:id="433" w:name="_Toc1649716734"/>
      <w:bookmarkStart w:id="434" w:name="_Toc78449800"/>
      <w:bookmarkStart w:id="435" w:name="_Toc1042049436"/>
      <w:bookmarkStart w:id="436" w:name="_Toc407135214"/>
      <w:bookmarkStart w:id="437" w:name="_Toc1486"/>
      <w:r>
        <w:rPr>
          <w:color w:val="auto"/>
          <w:highlight w:val="none"/>
        </w:rPr>
        <w:t xml:space="preserve">3.7 </w:t>
      </w:r>
      <w:r>
        <w:rPr>
          <w:rFonts w:hint="eastAsia" w:hAnsi="宋体" w:cs="黑体"/>
          <w:color w:val="auto"/>
          <w:highlight w:val="none"/>
        </w:rPr>
        <w:t>履约</w:t>
      </w:r>
      <w:bookmarkEnd w:id="430"/>
      <w:bookmarkEnd w:id="431"/>
      <w:bookmarkEnd w:id="432"/>
      <w:r>
        <w:rPr>
          <w:rFonts w:hint="eastAsia" w:hAnsi="宋体" w:cs="黑体"/>
          <w:color w:val="auto"/>
          <w:highlight w:val="none"/>
        </w:rPr>
        <w:t>保证金</w:t>
      </w:r>
      <w:bookmarkEnd w:id="433"/>
      <w:bookmarkEnd w:id="434"/>
      <w:bookmarkEnd w:id="435"/>
      <w:bookmarkEnd w:id="436"/>
      <w:bookmarkEnd w:id="437"/>
    </w:p>
    <w:p w14:paraId="554FED54">
      <w:pPr>
        <w:spacing w:line="360" w:lineRule="auto"/>
        <w:ind w:firstLine="420" w:firstLineChars="200"/>
        <w:jc w:val="left"/>
        <w:rPr>
          <w:rFonts w:hint="eastAsia" w:hAnsi="宋体" w:cs="宋体"/>
          <w:color w:val="auto"/>
          <w:highlight w:val="none"/>
          <w:u w:val="single"/>
        </w:rPr>
      </w:pPr>
      <w:bookmarkStart w:id="438" w:name="_Toc351203636"/>
      <w:bookmarkStart w:id="439" w:name="_Toc389065279"/>
      <w:bookmarkStart w:id="440" w:name="_Toc373478360"/>
      <w:bookmarkStart w:id="441" w:name="_Toc373227713"/>
      <w:r>
        <w:rPr>
          <w:rFonts w:hint="eastAsia" w:hAnsi="宋体" w:cs="宋体"/>
          <w:color w:val="auto"/>
          <w:highlight w:val="none"/>
        </w:rPr>
        <w:t>承包人提供履约担保的形式、金额及期限的：</w:t>
      </w:r>
      <w:r>
        <w:rPr>
          <w:rFonts w:hint="eastAsia" w:hAnsi="宋体" w:cs="宋体"/>
          <w:color w:val="auto"/>
          <w:highlight w:val="none"/>
          <w:u w:val="single"/>
        </w:rPr>
        <w:t>承包人在收到中标通知书后，须在</w:t>
      </w:r>
      <w:r>
        <w:rPr>
          <w:rFonts w:hint="eastAsia"/>
          <w:color w:val="auto"/>
          <w:highlight w:val="none"/>
          <w:u w:val="single"/>
          <w:lang w:val="en-US" w:eastAsia="zh-CN"/>
        </w:rPr>
        <w:t>10工作</w:t>
      </w:r>
      <w:r>
        <w:rPr>
          <w:rFonts w:hint="eastAsia" w:hAnsi="宋体" w:cs="宋体"/>
          <w:color w:val="auto"/>
          <w:highlight w:val="none"/>
          <w:u w:val="single"/>
        </w:rPr>
        <w:t>日内向发包人提交合同价款扣除发包人材料设备价款、暂估专业工程、暂列金额后的</w:t>
      </w:r>
      <w:r>
        <w:rPr>
          <w:rFonts w:hint="eastAsia"/>
          <w:color w:val="auto"/>
          <w:highlight w:val="none"/>
          <w:u w:val="single"/>
          <w:lang w:val="en-US" w:eastAsia="zh-CN"/>
        </w:rPr>
        <w:t>3</w:t>
      </w:r>
      <w:r>
        <w:rPr>
          <w:color w:val="auto"/>
          <w:highlight w:val="none"/>
          <w:u w:val="single"/>
        </w:rPr>
        <w:t>%</w:t>
      </w:r>
      <w:r>
        <w:rPr>
          <w:rFonts w:hint="eastAsia" w:hAnsi="宋体" w:cs="宋体"/>
          <w:color w:val="auto"/>
          <w:highlight w:val="none"/>
          <w:u w:val="single"/>
        </w:rPr>
        <w:t>的履约担保（格式见合同附件</w:t>
      </w:r>
      <w:r>
        <w:rPr>
          <w:rFonts w:hint="eastAsia" w:hAnsi="宋体"/>
          <w:color w:val="auto"/>
          <w:highlight w:val="none"/>
          <w:u w:val="single"/>
        </w:rPr>
        <w:t>7</w:t>
      </w:r>
      <w:r>
        <w:rPr>
          <w:rFonts w:hint="eastAsia" w:hAnsi="宋体" w:cs="宋体"/>
          <w:color w:val="auto"/>
          <w:highlight w:val="none"/>
          <w:u w:val="single"/>
        </w:rPr>
        <w:t>）。履约担保的有效期应当自本合同生效之日起至发包人签认并由监理人向承包人出具</w:t>
      </w:r>
      <w:r>
        <w:rPr>
          <w:color w:val="auto"/>
          <w:highlight w:val="none"/>
          <w:u w:val="single"/>
        </w:rPr>
        <w:t xml:space="preserve">        </w:t>
      </w:r>
      <w:r>
        <w:rPr>
          <w:rFonts w:hint="eastAsia" w:hAnsi="宋体" w:cs="宋体"/>
          <w:color w:val="auto"/>
          <w:highlight w:val="none"/>
          <w:u w:val="single"/>
        </w:rPr>
        <w:t>（竣工证明材料名称）之日止。如果承包人无法获得一份不带具体截止日期的担保，履约担保中应当有</w:t>
      </w:r>
      <w:r>
        <w:rPr>
          <w:color w:val="auto"/>
          <w:highlight w:val="none"/>
          <w:u w:val="single"/>
        </w:rPr>
        <w:t>“</w:t>
      </w:r>
      <w:r>
        <w:rPr>
          <w:rFonts w:hint="eastAsia" w:hAnsi="宋体" w:cs="宋体"/>
          <w:color w:val="auto"/>
          <w:highlight w:val="none"/>
          <w:u w:val="single"/>
        </w:rPr>
        <w:t>变更工程竣工日期的，保证期间按照变更后的竣工日期做相应调整</w:t>
      </w:r>
      <w:r>
        <w:rPr>
          <w:color w:val="auto"/>
          <w:highlight w:val="none"/>
          <w:u w:val="single"/>
        </w:rPr>
        <w:t>”</w:t>
      </w:r>
      <w:r>
        <w:rPr>
          <w:rFonts w:hint="eastAsia" w:hAnsi="宋体" w:cs="宋体"/>
          <w:color w:val="auto"/>
          <w:highlight w:val="none"/>
          <w:u w:val="single"/>
        </w:rPr>
        <w:t>或类似约定的条款。</w:t>
      </w:r>
    </w:p>
    <w:p w14:paraId="73D7C36B">
      <w:pPr>
        <w:spacing w:line="360" w:lineRule="auto"/>
        <w:ind w:firstLine="420" w:firstLineChars="200"/>
        <w:jc w:val="left"/>
        <w:rPr>
          <w:rFonts w:hint="eastAsia" w:hAnsi="宋体" w:eastAsia="宋体" w:cs="宋体"/>
          <w:color w:val="auto"/>
          <w:highlight w:val="none"/>
          <w:u w:val="single"/>
          <w:lang w:eastAsia="zh-CN"/>
        </w:rPr>
      </w:pPr>
      <w:r>
        <w:rPr>
          <w:rFonts w:hint="eastAsia" w:hAnsi="宋体" w:cs="宋体"/>
          <w:color w:val="auto"/>
          <w:highlight w:val="none"/>
          <w:lang w:eastAsia="zh-CN"/>
        </w:rPr>
        <w:t>承包人</w:t>
      </w:r>
      <w:r>
        <w:rPr>
          <w:rFonts w:hint="eastAsia" w:hAnsi="宋体" w:cs="宋体"/>
          <w:color w:val="auto"/>
          <w:highlight w:val="none"/>
        </w:rPr>
        <w:t>提供</w:t>
      </w:r>
      <w:r>
        <w:rPr>
          <w:rFonts w:hint="eastAsia" w:hAnsi="宋体" w:cs="宋体"/>
          <w:color w:val="auto"/>
          <w:highlight w:val="none"/>
          <w:lang w:eastAsia="zh-CN"/>
        </w:rPr>
        <w:t>履约</w:t>
      </w:r>
      <w:r>
        <w:rPr>
          <w:rFonts w:hint="eastAsia" w:hAnsi="宋体" w:cs="宋体"/>
          <w:color w:val="auto"/>
          <w:highlight w:val="none"/>
        </w:rPr>
        <w:t>担保的形式：</w:t>
      </w:r>
      <w:r>
        <w:rPr>
          <w:rFonts w:hint="eastAsia"/>
          <w:color w:val="auto"/>
          <w:highlight w:val="none"/>
          <w:u w:val="single"/>
          <w:lang w:eastAsia="zh-CN"/>
        </w:rPr>
        <w:t>可以是</w:t>
      </w:r>
      <w:r>
        <w:rPr>
          <w:rFonts w:hint="eastAsia" w:hAnsi="宋体" w:cs="宋体"/>
          <w:color w:val="auto"/>
          <w:highlight w:val="none"/>
        </w:rPr>
        <w:t>银行转账、电汇或网上支付、保函（银行保函、电子</w:t>
      </w:r>
      <w:r>
        <w:rPr>
          <w:rFonts w:hAnsi="宋体" w:cs="宋体"/>
          <w:color w:val="auto"/>
          <w:highlight w:val="none"/>
        </w:rPr>
        <w:t>保函</w:t>
      </w:r>
      <w:r>
        <w:rPr>
          <w:rFonts w:hint="eastAsia" w:hAnsi="宋体" w:cs="宋体"/>
          <w:color w:val="auto"/>
          <w:highlight w:val="none"/>
        </w:rPr>
        <w:t>、保证保险保函、工程担保保函）</w:t>
      </w:r>
      <w:r>
        <w:rPr>
          <w:rFonts w:hint="eastAsia" w:hAnsi="宋体"/>
          <w:color w:val="auto"/>
          <w:highlight w:val="none"/>
        </w:rPr>
        <w:t>等</w:t>
      </w:r>
      <w:r>
        <w:rPr>
          <w:rFonts w:hint="eastAsia" w:hAnsi="宋体" w:cs="宋体"/>
          <w:color w:val="auto"/>
          <w:highlight w:val="none"/>
        </w:rPr>
        <w:t>形</w:t>
      </w:r>
      <w:r>
        <w:rPr>
          <w:rFonts w:hint="eastAsia" w:hAnsi="宋体"/>
          <w:color w:val="auto"/>
          <w:highlight w:val="none"/>
        </w:rPr>
        <w:t>式</w:t>
      </w:r>
      <w:r>
        <w:rPr>
          <w:rFonts w:hint="eastAsia" w:hAnsi="宋体" w:cs="宋体"/>
          <w:color w:val="auto"/>
          <w:highlight w:val="none"/>
        </w:rPr>
        <w:t>。</w:t>
      </w:r>
      <w:r>
        <w:rPr>
          <w:rFonts w:hint="eastAsia" w:hAnsi="宋体" w:cs="宋体"/>
          <w:color w:val="auto"/>
          <w:highlight w:val="none"/>
          <w:u w:val="single"/>
        </w:rPr>
        <w:t>工程担保保证人应将出具的保函相关信息录入“广西建筑市场监管云”平台（http://gxjzsc.caihcloud.com），以实现保函查询及验真功能</w:t>
      </w:r>
      <w:r>
        <w:rPr>
          <w:rFonts w:hint="eastAsia" w:hAnsi="宋体" w:cs="宋体"/>
          <w:color w:val="auto"/>
          <w:highlight w:val="none"/>
          <w:u w:val="single"/>
          <w:lang w:eastAsia="zh-CN"/>
        </w:rPr>
        <w:t>。</w:t>
      </w:r>
    </w:p>
    <w:p w14:paraId="0E7FBEC6">
      <w:pPr>
        <w:spacing w:line="360" w:lineRule="auto"/>
        <w:ind w:firstLine="420" w:firstLineChars="200"/>
        <w:rPr>
          <w:color w:val="auto"/>
          <w:highlight w:val="none"/>
          <w:u w:val="single"/>
        </w:rPr>
      </w:pPr>
      <w:r>
        <w:rPr>
          <w:rFonts w:hint="eastAsia" w:hAnsi="宋体" w:cs="宋体"/>
          <w:color w:val="auto"/>
          <w:highlight w:val="none"/>
          <w:u w:val="single"/>
        </w:rPr>
        <w:t>工程竣工验收合格并对验收发现的问题完成整改后的</w:t>
      </w:r>
      <w:r>
        <w:rPr>
          <w:color w:val="auto"/>
          <w:highlight w:val="none"/>
          <w:u w:val="single"/>
        </w:rPr>
        <w:t>7</w:t>
      </w:r>
      <w:r>
        <w:rPr>
          <w:rFonts w:hint="eastAsia" w:hAnsi="宋体" w:cs="宋体"/>
          <w:color w:val="auto"/>
          <w:highlight w:val="none"/>
          <w:u w:val="single"/>
        </w:rPr>
        <w:t>个日历天内，发包人支付履约保证金的</w:t>
      </w:r>
      <w:r>
        <w:rPr>
          <w:color w:val="auto"/>
          <w:highlight w:val="none"/>
          <w:u w:val="single"/>
        </w:rPr>
        <w:t>50%</w:t>
      </w:r>
      <w:r>
        <w:rPr>
          <w:rFonts w:hint="eastAsia" w:hAnsi="宋体" w:cs="宋体"/>
          <w:color w:val="auto"/>
          <w:highlight w:val="none"/>
          <w:u w:val="single"/>
        </w:rPr>
        <w:t>；承包人向发包人完成（施工）竣工资料移交手续后，可向发包人申请退还剩余履约保证金，发包人应在收到申请之日起</w:t>
      </w:r>
      <w:r>
        <w:rPr>
          <w:color w:val="auto"/>
          <w:highlight w:val="none"/>
          <w:u w:val="single"/>
        </w:rPr>
        <w:t>28</w:t>
      </w:r>
      <w:r>
        <w:rPr>
          <w:rFonts w:hint="eastAsia" w:hAnsi="宋体" w:cs="宋体"/>
          <w:color w:val="auto"/>
          <w:highlight w:val="none"/>
          <w:u w:val="single"/>
        </w:rPr>
        <w:t>个日历天内扣减承包人赔偿金和其他应从承包人扣回的款项后，将履约保证金的余额退还给承包人。</w:t>
      </w:r>
    </w:p>
    <w:p w14:paraId="67AA910B">
      <w:pPr>
        <w:pStyle w:val="3"/>
        <w:rPr>
          <w:color w:val="auto"/>
          <w:highlight w:val="none"/>
        </w:rPr>
      </w:pPr>
      <w:bookmarkStart w:id="442" w:name="_Toc907912356"/>
      <w:bookmarkStart w:id="443" w:name="_Toc19305"/>
      <w:bookmarkStart w:id="444" w:name="_Toc407135215"/>
      <w:bookmarkStart w:id="445" w:name="_Toc78449801"/>
      <w:bookmarkStart w:id="446" w:name="_Toc931514330"/>
      <w:r>
        <w:rPr>
          <w:color w:val="auto"/>
          <w:highlight w:val="none"/>
        </w:rPr>
        <w:t>4</w:t>
      </w:r>
      <w:bookmarkStart w:id="447" w:name="_Toc296890990"/>
      <w:bookmarkStart w:id="448" w:name="_Toc296503162"/>
      <w:bookmarkStart w:id="449" w:name="_Toc296891202"/>
      <w:bookmarkStart w:id="450" w:name="_Toc297120462"/>
      <w:bookmarkStart w:id="451" w:name="_Toc296346663"/>
      <w:bookmarkStart w:id="452" w:name="_Toc297048348"/>
      <w:bookmarkStart w:id="453" w:name="_Toc292559871"/>
      <w:bookmarkStart w:id="454" w:name="_Toc292559366"/>
      <w:bookmarkStart w:id="455" w:name="_Toc267251413"/>
      <w:bookmarkStart w:id="456" w:name="_Toc296347161"/>
      <w:bookmarkStart w:id="457" w:name="_Toc296944501"/>
      <w:r>
        <w:rPr>
          <w:color w:val="auto"/>
          <w:highlight w:val="none"/>
        </w:rPr>
        <w:t xml:space="preserve">. </w:t>
      </w:r>
      <w:r>
        <w:rPr>
          <w:rFonts w:hint="eastAsia" w:hAnsi="宋体" w:cs="黑体"/>
          <w:color w:val="auto"/>
          <w:highlight w:val="none"/>
        </w:rPr>
        <w:t>监</w:t>
      </w:r>
      <w:bookmarkEnd w:id="447"/>
      <w:bookmarkEnd w:id="448"/>
      <w:bookmarkEnd w:id="449"/>
      <w:bookmarkEnd w:id="450"/>
      <w:bookmarkEnd w:id="451"/>
      <w:bookmarkEnd w:id="452"/>
      <w:bookmarkEnd w:id="453"/>
      <w:bookmarkEnd w:id="454"/>
      <w:bookmarkEnd w:id="455"/>
      <w:bookmarkEnd w:id="456"/>
      <w:bookmarkEnd w:id="457"/>
      <w:r>
        <w:rPr>
          <w:rFonts w:hint="eastAsia" w:hAnsi="宋体" w:cs="黑体"/>
          <w:color w:val="auto"/>
          <w:highlight w:val="none"/>
        </w:rPr>
        <w:t>理人</w:t>
      </w:r>
      <w:bookmarkEnd w:id="438"/>
      <w:bookmarkEnd w:id="439"/>
      <w:bookmarkEnd w:id="440"/>
      <w:bookmarkEnd w:id="441"/>
      <w:bookmarkEnd w:id="442"/>
      <w:bookmarkEnd w:id="443"/>
      <w:bookmarkEnd w:id="444"/>
      <w:bookmarkEnd w:id="445"/>
      <w:bookmarkEnd w:id="446"/>
    </w:p>
    <w:p w14:paraId="6BEA835F">
      <w:pPr>
        <w:pStyle w:val="4"/>
        <w:rPr>
          <w:color w:val="auto"/>
          <w:highlight w:val="none"/>
        </w:rPr>
      </w:pPr>
      <w:bookmarkStart w:id="458" w:name="_Toc8127"/>
      <w:bookmarkStart w:id="459" w:name="_Toc373478361"/>
      <w:bookmarkStart w:id="460" w:name="_Toc407135216"/>
      <w:bookmarkStart w:id="461" w:name="_Toc78449802"/>
      <w:bookmarkStart w:id="462" w:name="_Toc1595043148"/>
      <w:bookmarkStart w:id="463" w:name="_Toc373227714"/>
      <w:bookmarkStart w:id="464" w:name="_Toc1008304989"/>
      <w:bookmarkStart w:id="465" w:name="_Toc389065280"/>
      <w:r>
        <w:rPr>
          <w:color w:val="auto"/>
          <w:highlight w:val="none"/>
        </w:rPr>
        <w:t xml:space="preserve">4.1 </w:t>
      </w:r>
      <w:r>
        <w:rPr>
          <w:rFonts w:hint="eastAsia" w:cs="黑体"/>
          <w:color w:val="auto"/>
          <w:highlight w:val="none"/>
        </w:rPr>
        <w:t>监理人的一般规定</w:t>
      </w:r>
      <w:bookmarkEnd w:id="458"/>
      <w:bookmarkEnd w:id="459"/>
      <w:bookmarkEnd w:id="460"/>
      <w:bookmarkEnd w:id="461"/>
      <w:bookmarkEnd w:id="462"/>
      <w:bookmarkEnd w:id="463"/>
      <w:bookmarkEnd w:id="464"/>
      <w:bookmarkEnd w:id="465"/>
    </w:p>
    <w:p w14:paraId="131A366B">
      <w:pPr>
        <w:spacing w:line="360" w:lineRule="auto"/>
        <w:ind w:firstLine="420" w:firstLineChars="200"/>
        <w:jc w:val="left"/>
        <w:rPr>
          <w:color w:val="auto"/>
          <w:highlight w:val="none"/>
        </w:rPr>
      </w:pPr>
      <w:r>
        <w:rPr>
          <w:rFonts w:hint="eastAsia" w:hAnsi="宋体" w:cs="宋体"/>
          <w:color w:val="auto"/>
          <w:highlight w:val="none"/>
        </w:rPr>
        <w:t>关于监理人的监理内容：</w:t>
      </w:r>
      <w:r>
        <w:rPr>
          <w:rFonts w:hint="eastAsia"/>
          <w:color w:val="auto"/>
          <w:highlight w:val="none"/>
          <w:u w:val="single"/>
        </w:rPr>
        <w:t xml:space="preserve"> 按监理合同中约定的条款执行 </w:t>
      </w:r>
      <w:r>
        <w:rPr>
          <w:rFonts w:hint="eastAsia" w:hAnsi="宋体" w:cs="宋体"/>
          <w:color w:val="auto"/>
          <w:highlight w:val="none"/>
        </w:rPr>
        <w:t>。</w:t>
      </w:r>
    </w:p>
    <w:p w14:paraId="63853AD9">
      <w:pPr>
        <w:spacing w:line="360" w:lineRule="auto"/>
        <w:ind w:firstLine="420" w:firstLineChars="200"/>
        <w:jc w:val="left"/>
        <w:rPr>
          <w:color w:val="auto"/>
          <w:highlight w:val="none"/>
        </w:rPr>
      </w:pPr>
      <w:r>
        <w:rPr>
          <w:rFonts w:hint="eastAsia" w:hAnsi="宋体" w:cs="宋体"/>
          <w:color w:val="auto"/>
          <w:highlight w:val="none"/>
        </w:rPr>
        <w:t>关于监理人的监理权限：</w:t>
      </w:r>
      <w:r>
        <w:rPr>
          <w:rFonts w:hint="eastAsia"/>
          <w:color w:val="auto"/>
          <w:highlight w:val="none"/>
          <w:u w:val="single"/>
        </w:rPr>
        <w:t xml:space="preserve"> 按监理合同中约定的条款执行 </w:t>
      </w:r>
      <w:r>
        <w:rPr>
          <w:rFonts w:hint="eastAsia" w:hAnsi="宋体" w:cs="宋体"/>
          <w:color w:val="auto"/>
          <w:highlight w:val="none"/>
        </w:rPr>
        <w:t>。</w:t>
      </w:r>
      <w:r>
        <w:rPr>
          <w:color w:val="auto"/>
          <w:highlight w:val="none"/>
        </w:rPr>
        <w:t xml:space="preserve"> </w:t>
      </w:r>
    </w:p>
    <w:p w14:paraId="4F077D55">
      <w:pPr>
        <w:spacing w:line="360" w:lineRule="auto"/>
        <w:ind w:firstLine="420" w:firstLineChars="200"/>
        <w:rPr>
          <w:color w:val="auto"/>
          <w:highlight w:val="none"/>
        </w:rPr>
      </w:pPr>
      <w:r>
        <w:rPr>
          <w:rFonts w:hint="eastAsia" w:hAnsi="宋体" w:cs="宋体"/>
          <w:color w:val="auto"/>
          <w:highlight w:val="none"/>
        </w:rPr>
        <w:t>关于监理人在施工现场的办公场所、生活场所的提供和费用承担的约定：</w:t>
      </w:r>
      <w:r>
        <w:rPr>
          <w:rFonts w:hint="eastAsia"/>
          <w:color w:val="auto"/>
          <w:highlight w:val="none"/>
          <w:u w:val="single"/>
        </w:rPr>
        <w:t xml:space="preserve"> 按监理合同中约定的条款执行 </w:t>
      </w:r>
      <w:r>
        <w:rPr>
          <w:rFonts w:hint="eastAsia" w:hAnsi="宋体" w:cs="宋体"/>
          <w:color w:val="auto"/>
          <w:highlight w:val="none"/>
        </w:rPr>
        <w:t>。</w:t>
      </w:r>
    </w:p>
    <w:p w14:paraId="30C8EF38">
      <w:pPr>
        <w:pStyle w:val="4"/>
        <w:rPr>
          <w:color w:val="auto"/>
          <w:highlight w:val="none"/>
        </w:rPr>
      </w:pPr>
      <w:bookmarkStart w:id="466" w:name="_Toc407135217"/>
      <w:bookmarkStart w:id="467" w:name="_Toc1350458461"/>
      <w:bookmarkStart w:id="468" w:name="_Toc389065281"/>
      <w:bookmarkStart w:id="469" w:name="_Toc386397261"/>
      <w:bookmarkStart w:id="470" w:name="_Toc78449803"/>
      <w:bookmarkStart w:id="471" w:name="_Toc30651"/>
      <w:bookmarkStart w:id="472" w:name="_Toc373227715"/>
      <w:bookmarkStart w:id="473" w:name="_Toc373478362"/>
      <w:r>
        <w:rPr>
          <w:color w:val="auto"/>
          <w:highlight w:val="none"/>
        </w:rPr>
        <w:t xml:space="preserve">4.2 </w:t>
      </w:r>
      <w:r>
        <w:rPr>
          <w:rFonts w:hint="eastAsia" w:hAnsi="宋体" w:cs="黑体"/>
          <w:color w:val="auto"/>
          <w:highlight w:val="none"/>
        </w:rPr>
        <w:t>监理人员</w:t>
      </w:r>
      <w:bookmarkEnd w:id="466"/>
      <w:bookmarkEnd w:id="467"/>
      <w:bookmarkEnd w:id="468"/>
      <w:bookmarkEnd w:id="469"/>
      <w:bookmarkEnd w:id="470"/>
      <w:bookmarkEnd w:id="471"/>
      <w:bookmarkEnd w:id="472"/>
      <w:bookmarkEnd w:id="473"/>
    </w:p>
    <w:p w14:paraId="65C7263A">
      <w:pPr>
        <w:spacing w:line="360" w:lineRule="auto"/>
        <w:ind w:firstLine="420" w:firstLineChars="200"/>
        <w:rPr>
          <w:color w:val="auto"/>
          <w:highlight w:val="none"/>
        </w:rPr>
      </w:pPr>
      <w:r>
        <w:rPr>
          <w:rFonts w:hint="eastAsia" w:hAnsi="宋体" w:cs="宋体"/>
          <w:color w:val="auto"/>
          <w:highlight w:val="none"/>
        </w:rPr>
        <w:t>总监理工程师：</w:t>
      </w:r>
    </w:p>
    <w:p w14:paraId="2256EA82">
      <w:pPr>
        <w:spacing w:line="360" w:lineRule="auto"/>
        <w:ind w:firstLine="420" w:firstLineChars="200"/>
        <w:rPr>
          <w:color w:val="auto"/>
          <w:highlight w:val="none"/>
        </w:rPr>
      </w:pPr>
      <w:r>
        <w:rPr>
          <w:rFonts w:hAnsi="宋体"/>
          <w:color w:val="auto"/>
          <w:highlight w:val="none"/>
        </w:rPr>
        <w:t>姓</w:t>
      </w:r>
      <w:r>
        <w:rPr>
          <w:color w:val="auto"/>
          <w:highlight w:val="none"/>
        </w:rPr>
        <w:t xml:space="preserve">    </w:t>
      </w:r>
      <w:r>
        <w:rPr>
          <w:rFonts w:hAnsi="宋体"/>
          <w:color w:val="auto"/>
          <w:highlight w:val="none"/>
        </w:rPr>
        <w:t>名：</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rFonts w:hAnsi="宋体"/>
          <w:color w:val="auto"/>
          <w:highlight w:val="none"/>
        </w:rPr>
        <w:t>；</w:t>
      </w:r>
    </w:p>
    <w:p w14:paraId="2666B7E3">
      <w:pPr>
        <w:spacing w:line="360" w:lineRule="auto"/>
        <w:ind w:firstLine="420" w:firstLineChars="200"/>
        <w:rPr>
          <w:color w:val="auto"/>
          <w:highlight w:val="none"/>
        </w:rPr>
      </w:pPr>
      <w:r>
        <w:rPr>
          <w:rFonts w:hAnsi="宋体"/>
          <w:color w:val="auto"/>
          <w:highlight w:val="none"/>
        </w:rPr>
        <w:t>职</w:t>
      </w:r>
      <w:r>
        <w:rPr>
          <w:color w:val="auto"/>
          <w:highlight w:val="none"/>
        </w:rPr>
        <w:t xml:space="preserve">    </w:t>
      </w:r>
      <w:r>
        <w:rPr>
          <w:rFonts w:hAnsi="宋体"/>
          <w:color w:val="auto"/>
          <w:highlight w:val="none"/>
        </w:rPr>
        <w:t>务：</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rFonts w:hAnsi="宋体"/>
          <w:color w:val="auto"/>
          <w:highlight w:val="none"/>
        </w:rPr>
        <w:t>；</w:t>
      </w:r>
    </w:p>
    <w:p w14:paraId="2D359067">
      <w:pPr>
        <w:spacing w:line="360" w:lineRule="auto"/>
        <w:ind w:firstLine="420" w:firstLineChars="200"/>
        <w:rPr>
          <w:rFonts w:hAnsi="宋体"/>
          <w:color w:val="auto"/>
          <w:highlight w:val="none"/>
        </w:rPr>
      </w:pPr>
      <w:r>
        <w:rPr>
          <w:rFonts w:hAnsi="宋体"/>
          <w:color w:val="auto"/>
          <w:highlight w:val="none"/>
        </w:rPr>
        <w:t>监理工程师注册证书号：</w:t>
      </w:r>
      <w:r>
        <w:rPr>
          <w:rFonts w:hAnsi="宋体"/>
          <w:color w:val="auto"/>
          <w:highlight w:val="none"/>
          <w:u w:val="single"/>
        </w:rPr>
        <w:t></w:t>
      </w:r>
      <w:r>
        <w:rPr>
          <w:rFonts w:hint="eastAsia" w:hAnsi="宋体"/>
          <w:color w:val="auto"/>
          <w:highlight w:val="none"/>
          <w:u w:val="single"/>
        </w:rPr>
        <w:t xml:space="preserve">         </w:t>
      </w:r>
      <w:r>
        <w:rPr>
          <w:rFonts w:hAnsi="宋体"/>
          <w:color w:val="auto"/>
          <w:highlight w:val="none"/>
          <w:u w:val="single"/>
        </w:rPr>
        <w:t></w:t>
      </w:r>
      <w:r>
        <w:rPr>
          <w:rFonts w:hAnsi="宋体"/>
          <w:color w:val="auto"/>
          <w:highlight w:val="none"/>
        </w:rPr>
        <w:t>；</w:t>
      </w:r>
    </w:p>
    <w:p w14:paraId="0FF523F6">
      <w:pPr>
        <w:spacing w:line="360" w:lineRule="auto"/>
        <w:ind w:firstLine="420" w:firstLineChars="200"/>
        <w:rPr>
          <w:color w:val="auto"/>
          <w:highlight w:val="none"/>
        </w:rPr>
      </w:pPr>
      <w:r>
        <w:rPr>
          <w:rFonts w:hAnsi="宋体"/>
          <w:color w:val="auto"/>
          <w:highlight w:val="none"/>
        </w:rPr>
        <w:t>联系电话：</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rFonts w:hAnsi="宋体"/>
          <w:color w:val="auto"/>
          <w:highlight w:val="none"/>
        </w:rPr>
        <w:t>；</w:t>
      </w:r>
    </w:p>
    <w:p w14:paraId="3A606DD3">
      <w:pPr>
        <w:spacing w:line="360" w:lineRule="auto"/>
        <w:ind w:firstLine="420" w:firstLineChars="200"/>
        <w:rPr>
          <w:color w:val="auto"/>
          <w:highlight w:val="none"/>
        </w:rPr>
      </w:pPr>
      <w:r>
        <w:rPr>
          <w:rFonts w:hAnsi="宋体"/>
          <w:color w:val="auto"/>
          <w:highlight w:val="none"/>
        </w:rPr>
        <w:t>电子信箱：</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rFonts w:hAnsi="宋体"/>
          <w:color w:val="auto"/>
          <w:highlight w:val="none"/>
        </w:rPr>
        <w:t>；</w:t>
      </w:r>
    </w:p>
    <w:p w14:paraId="1C3C12CA">
      <w:pPr>
        <w:spacing w:line="360" w:lineRule="auto"/>
        <w:ind w:firstLine="420" w:firstLineChars="200"/>
        <w:rPr>
          <w:color w:val="auto"/>
          <w:highlight w:val="none"/>
        </w:rPr>
      </w:pPr>
      <w:r>
        <w:rPr>
          <w:rFonts w:hAnsi="宋体"/>
          <w:color w:val="auto"/>
          <w:highlight w:val="none"/>
        </w:rPr>
        <w:t>通信地址：</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rFonts w:hAnsi="宋体"/>
          <w:color w:val="auto"/>
          <w:highlight w:val="none"/>
        </w:rPr>
        <w:t>；</w:t>
      </w:r>
    </w:p>
    <w:p w14:paraId="7331ADF7">
      <w:pPr>
        <w:spacing w:line="360" w:lineRule="auto"/>
        <w:ind w:firstLine="420" w:firstLineChars="200"/>
        <w:rPr>
          <w:color w:val="auto"/>
          <w:highlight w:val="none"/>
        </w:rPr>
      </w:pPr>
      <w:r>
        <w:rPr>
          <w:rFonts w:hAnsi="宋体"/>
          <w:color w:val="auto"/>
          <w:highlight w:val="none"/>
        </w:rPr>
        <w:t>关于监理人的其他约定：</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rFonts w:hAnsi="宋体"/>
          <w:color w:val="auto"/>
          <w:highlight w:val="none"/>
        </w:rPr>
        <w:t>。</w:t>
      </w:r>
    </w:p>
    <w:p w14:paraId="200F656F">
      <w:pPr>
        <w:pStyle w:val="4"/>
        <w:rPr>
          <w:color w:val="auto"/>
          <w:highlight w:val="none"/>
        </w:rPr>
      </w:pPr>
      <w:bookmarkStart w:id="474" w:name="_Toc25470"/>
      <w:bookmarkStart w:id="475" w:name="_Toc78449804"/>
      <w:bookmarkStart w:id="476" w:name="_Toc373478363"/>
      <w:bookmarkStart w:id="477" w:name="_Toc941562442"/>
      <w:bookmarkStart w:id="478" w:name="_Toc389065282"/>
      <w:bookmarkStart w:id="479" w:name="_Toc407135218"/>
      <w:bookmarkStart w:id="480" w:name="_Toc373227716"/>
      <w:bookmarkStart w:id="481" w:name="_Toc539923186"/>
      <w:r>
        <w:rPr>
          <w:color w:val="auto"/>
          <w:highlight w:val="none"/>
        </w:rPr>
        <w:t xml:space="preserve">4.4 </w:t>
      </w:r>
      <w:r>
        <w:rPr>
          <w:rFonts w:hint="eastAsia" w:hAnsi="宋体" w:cs="黑体"/>
          <w:color w:val="auto"/>
          <w:highlight w:val="none"/>
        </w:rPr>
        <w:t>商定或确定</w:t>
      </w:r>
      <w:bookmarkEnd w:id="474"/>
      <w:bookmarkEnd w:id="475"/>
      <w:bookmarkEnd w:id="476"/>
      <w:bookmarkEnd w:id="477"/>
      <w:bookmarkEnd w:id="478"/>
      <w:bookmarkEnd w:id="479"/>
      <w:bookmarkEnd w:id="480"/>
      <w:bookmarkEnd w:id="481"/>
    </w:p>
    <w:p w14:paraId="5A1E9533">
      <w:pPr>
        <w:spacing w:line="360" w:lineRule="auto"/>
        <w:ind w:firstLine="420" w:firstLineChars="200"/>
        <w:rPr>
          <w:color w:val="auto"/>
          <w:highlight w:val="none"/>
        </w:rPr>
      </w:pPr>
      <w:bookmarkStart w:id="482" w:name="_Toc267251418"/>
      <w:r>
        <w:rPr>
          <w:rFonts w:hint="eastAsia" w:hAnsi="宋体" w:cs="宋体"/>
          <w:color w:val="auto"/>
          <w:highlight w:val="none"/>
        </w:rPr>
        <w:t>在发包人和承包人不能通过协商达成一致意见时，发包人授权监理人对以下事项进行确定：</w:t>
      </w:r>
    </w:p>
    <w:p w14:paraId="1B3AF684">
      <w:pPr>
        <w:autoSpaceDE w:val="0"/>
        <w:autoSpaceDN w:val="0"/>
        <w:adjustRightInd w:val="0"/>
        <w:spacing w:line="360" w:lineRule="auto"/>
        <w:ind w:firstLine="420" w:firstLineChars="200"/>
        <w:jc w:val="left"/>
        <w:rPr>
          <w:color w:val="auto"/>
          <w:kern w:val="0"/>
          <w:highlight w:val="none"/>
        </w:rPr>
      </w:pPr>
      <w:r>
        <w:rPr>
          <w:rFonts w:hint="eastAsia" w:hAnsi="宋体" w:cs="宋体"/>
          <w:color w:val="auto"/>
          <w:kern w:val="0"/>
          <w:highlight w:val="none"/>
        </w:rPr>
        <w:t>（</w:t>
      </w:r>
      <w:r>
        <w:rPr>
          <w:color w:val="auto"/>
          <w:kern w:val="0"/>
          <w:highlight w:val="none"/>
        </w:rPr>
        <w:t>1</w:t>
      </w:r>
      <w:r>
        <w:rPr>
          <w:rFonts w:hint="eastAsia" w:hAnsi="宋体" w:cs="宋体"/>
          <w:color w:val="auto"/>
          <w:kern w:val="0"/>
          <w:highlight w:val="none"/>
        </w:rPr>
        <w:t>）</w:t>
      </w:r>
      <w:r>
        <w:rPr>
          <w:rFonts w:ascii="宋体" w:hAnsi="宋体" w:eastAsia="宋体" w:cs="宋体"/>
          <w:color w:val="auto"/>
          <w:spacing w:val="0"/>
          <w:highlight w:val="none"/>
          <w:u w:val="single"/>
        </w:rPr>
        <w:t xml:space="preserve">           无             </w:t>
      </w:r>
      <w:r>
        <w:rPr>
          <w:rFonts w:hint="eastAsia" w:hAnsi="宋体" w:cs="宋体"/>
          <w:color w:val="auto"/>
          <w:highlight w:val="none"/>
        </w:rPr>
        <w:t>；</w:t>
      </w:r>
    </w:p>
    <w:p w14:paraId="0592886A">
      <w:pPr>
        <w:autoSpaceDE w:val="0"/>
        <w:autoSpaceDN w:val="0"/>
        <w:adjustRightInd w:val="0"/>
        <w:spacing w:line="360" w:lineRule="auto"/>
        <w:ind w:firstLine="420" w:firstLineChars="200"/>
        <w:jc w:val="left"/>
        <w:rPr>
          <w:color w:val="auto"/>
          <w:kern w:val="0"/>
          <w:highlight w:val="none"/>
        </w:rPr>
      </w:pPr>
      <w:r>
        <w:rPr>
          <w:rFonts w:hint="eastAsia" w:hAnsi="宋体" w:cs="宋体"/>
          <w:color w:val="auto"/>
          <w:kern w:val="0"/>
          <w:highlight w:val="none"/>
        </w:rPr>
        <w:t>（</w:t>
      </w:r>
      <w:r>
        <w:rPr>
          <w:color w:val="auto"/>
          <w:kern w:val="0"/>
          <w:highlight w:val="none"/>
        </w:rPr>
        <w:t>2</w:t>
      </w:r>
      <w:r>
        <w:rPr>
          <w:rFonts w:hint="eastAsia" w:hAnsi="宋体" w:cs="宋体"/>
          <w:color w:val="auto"/>
          <w:kern w:val="0"/>
          <w:highlight w:val="none"/>
        </w:rPr>
        <w:t>）</w:t>
      </w:r>
      <w:r>
        <w:rPr>
          <w:rFonts w:ascii="宋体" w:hAnsi="宋体" w:eastAsia="宋体" w:cs="宋体"/>
          <w:color w:val="auto"/>
          <w:spacing w:val="0"/>
          <w:highlight w:val="none"/>
          <w:u w:val="single"/>
        </w:rPr>
        <w:t xml:space="preserve">           无             </w:t>
      </w:r>
      <w:r>
        <w:rPr>
          <w:rFonts w:hint="eastAsia" w:hAnsi="宋体" w:cs="宋体"/>
          <w:color w:val="auto"/>
          <w:highlight w:val="none"/>
        </w:rPr>
        <w:t>；</w:t>
      </w:r>
    </w:p>
    <w:p w14:paraId="7169F4EC">
      <w:pPr>
        <w:autoSpaceDE w:val="0"/>
        <w:autoSpaceDN w:val="0"/>
        <w:adjustRightInd w:val="0"/>
        <w:spacing w:line="360" w:lineRule="auto"/>
        <w:ind w:firstLine="420" w:firstLineChars="200"/>
        <w:jc w:val="left"/>
        <w:rPr>
          <w:color w:val="auto"/>
          <w:kern w:val="0"/>
          <w:highlight w:val="none"/>
        </w:rPr>
      </w:pPr>
      <w:r>
        <w:rPr>
          <w:rFonts w:hint="eastAsia" w:hAnsi="宋体" w:cs="宋体"/>
          <w:color w:val="auto"/>
          <w:kern w:val="0"/>
          <w:highlight w:val="none"/>
        </w:rPr>
        <w:t>（</w:t>
      </w:r>
      <w:r>
        <w:rPr>
          <w:color w:val="auto"/>
          <w:kern w:val="0"/>
          <w:highlight w:val="none"/>
        </w:rPr>
        <w:t>3</w:t>
      </w:r>
      <w:r>
        <w:rPr>
          <w:rFonts w:hint="eastAsia" w:hAnsi="宋体" w:cs="宋体"/>
          <w:color w:val="auto"/>
          <w:kern w:val="0"/>
          <w:highlight w:val="none"/>
        </w:rPr>
        <w:t>）</w:t>
      </w:r>
      <w:r>
        <w:rPr>
          <w:rFonts w:ascii="宋体" w:hAnsi="宋体" w:eastAsia="宋体" w:cs="宋体"/>
          <w:color w:val="auto"/>
          <w:spacing w:val="0"/>
          <w:highlight w:val="none"/>
          <w:u w:val="single"/>
        </w:rPr>
        <w:t xml:space="preserve">           无             </w:t>
      </w:r>
      <w:r>
        <w:rPr>
          <w:rFonts w:hint="eastAsia" w:hAnsi="宋体" w:cs="宋体"/>
          <w:color w:val="auto"/>
          <w:highlight w:val="none"/>
        </w:rPr>
        <w:t>。</w:t>
      </w:r>
    </w:p>
    <w:p w14:paraId="39F5F985">
      <w:pPr>
        <w:pStyle w:val="3"/>
        <w:rPr>
          <w:color w:val="auto"/>
          <w:highlight w:val="none"/>
        </w:rPr>
      </w:pPr>
      <w:bookmarkStart w:id="483" w:name="_Toc1603077308"/>
      <w:bookmarkStart w:id="484" w:name="_Toc389065283"/>
      <w:bookmarkStart w:id="485" w:name="_Toc11514"/>
      <w:bookmarkStart w:id="486" w:name="_Toc373227717"/>
      <w:bookmarkStart w:id="487" w:name="_Toc373478364"/>
      <w:bookmarkStart w:id="488" w:name="_Toc407135219"/>
      <w:bookmarkStart w:id="489" w:name="_Toc1687297496"/>
      <w:bookmarkStart w:id="490" w:name="_Toc351203637"/>
      <w:bookmarkStart w:id="491" w:name="_Toc78449805"/>
      <w:r>
        <w:rPr>
          <w:color w:val="auto"/>
          <w:highlight w:val="none"/>
        </w:rPr>
        <w:t>5</w:t>
      </w:r>
      <w:bookmarkEnd w:id="482"/>
      <w:bookmarkStart w:id="492" w:name="_Toc297120463"/>
      <w:bookmarkStart w:id="493" w:name="_Toc292559872"/>
      <w:bookmarkStart w:id="494" w:name="_Toc296944502"/>
      <w:bookmarkStart w:id="495" w:name="_Toc292559367"/>
      <w:bookmarkStart w:id="496" w:name="_Toc297048349"/>
      <w:bookmarkStart w:id="497" w:name="_Toc296346664"/>
      <w:bookmarkStart w:id="498" w:name="_Toc296890991"/>
      <w:bookmarkStart w:id="499" w:name="_Toc296503163"/>
      <w:bookmarkStart w:id="500" w:name="_Toc296891203"/>
      <w:bookmarkStart w:id="501" w:name="_Toc296347162"/>
      <w:r>
        <w:rPr>
          <w:color w:val="auto"/>
          <w:highlight w:val="none"/>
        </w:rPr>
        <w:t xml:space="preserve">. </w:t>
      </w:r>
      <w:r>
        <w:rPr>
          <w:rFonts w:hint="eastAsia" w:hAnsi="宋体" w:cs="黑体"/>
          <w:color w:val="auto"/>
          <w:highlight w:val="none"/>
        </w:rPr>
        <w:t>工程质量</w:t>
      </w:r>
      <w:bookmarkEnd w:id="483"/>
      <w:bookmarkEnd w:id="484"/>
      <w:bookmarkEnd w:id="485"/>
      <w:bookmarkEnd w:id="486"/>
      <w:bookmarkEnd w:id="487"/>
      <w:bookmarkEnd w:id="488"/>
      <w:bookmarkEnd w:id="489"/>
      <w:bookmarkEnd w:id="490"/>
      <w:bookmarkEnd w:id="491"/>
    </w:p>
    <w:p w14:paraId="149FFEDD">
      <w:pPr>
        <w:pStyle w:val="4"/>
        <w:rPr>
          <w:color w:val="auto"/>
          <w:highlight w:val="none"/>
        </w:rPr>
      </w:pPr>
      <w:bookmarkStart w:id="502" w:name="_Toc373478365"/>
      <w:bookmarkStart w:id="503" w:name="_Toc407135220"/>
      <w:bookmarkStart w:id="504" w:name="_Toc373227718"/>
      <w:bookmarkStart w:id="505" w:name="_Toc1835421345"/>
      <w:bookmarkStart w:id="506" w:name="_Toc78449806"/>
      <w:bookmarkStart w:id="507" w:name="_Toc12906"/>
      <w:bookmarkStart w:id="508" w:name="_Toc389065284"/>
      <w:bookmarkStart w:id="509" w:name="_Toc1952042622"/>
      <w:r>
        <w:rPr>
          <w:color w:val="auto"/>
          <w:highlight w:val="none"/>
        </w:rPr>
        <w:t xml:space="preserve">5.1 </w:t>
      </w:r>
      <w:r>
        <w:rPr>
          <w:rFonts w:hint="eastAsia" w:hAnsi="宋体" w:cs="黑体"/>
          <w:color w:val="auto"/>
          <w:highlight w:val="none"/>
        </w:rPr>
        <w:t>质量要求</w:t>
      </w:r>
      <w:bookmarkEnd w:id="502"/>
      <w:bookmarkEnd w:id="503"/>
      <w:bookmarkEnd w:id="504"/>
      <w:bookmarkEnd w:id="505"/>
      <w:bookmarkEnd w:id="506"/>
      <w:bookmarkEnd w:id="507"/>
      <w:bookmarkEnd w:id="508"/>
      <w:bookmarkEnd w:id="509"/>
    </w:p>
    <w:p w14:paraId="09C71307">
      <w:pPr>
        <w:spacing w:line="360" w:lineRule="auto"/>
        <w:ind w:firstLine="420" w:firstLineChars="200"/>
        <w:jc w:val="left"/>
        <w:rPr>
          <w:color w:val="auto"/>
          <w:highlight w:val="none"/>
          <w:u w:val="single"/>
        </w:rPr>
      </w:pPr>
      <w:r>
        <w:rPr>
          <w:color w:val="auto"/>
          <w:highlight w:val="none"/>
        </w:rPr>
        <w:t>5</w:t>
      </w:r>
      <w:bookmarkStart w:id="510" w:name="_Toc303539106"/>
      <w:bookmarkStart w:id="511" w:name="_Toc304295527"/>
      <w:bookmarkStart w:id="512" w:name="_Toc312677997"/>
      <w:bookmarkStart w:id="513" w:name="_Toc297216155"/>
      <w:bookmarkStart w:id="514" w:name="_Toc300934949"/>
      <w:bookmarkStart w:id="515" w:name="_Toc318581164"/>
      <w:bookmarkStart w:id="516" w:name="_Toc297123496"/>
      <w:r>
        <w:rPr>
          <w:color w:val="auto"/>
          <w:highlight w:val="none"/>
        </w:rPr>
        <w:t xml:space="preserve">.1.1 </w:t>
      </w:r>
      <w:r>
        <w:rPr>
          <w:rFonts w:hint="eastAsia" w:hAnsi="宋体" w:cs="宋体"/>
          <w:color w:val="auto"/>
          <w:highlight w:val="none"/>
        </w:rPr>
        <w:t>特殊质量标准和要求：</w:t>
      </w:r>
      <w:r>
        <w:rPr>
          <w:color w:val="auto"/>
          <w:highlight w:val="none"/>
          <w:u w:val="single"/>
        </w:rPr>
        <w:t xml:space="preserve">                             </w:t>
      </w:r>
      <w:r>
        <w:rPr>
          <w:rFonts w:hint="eastAsia" w:hAnsi="宋体" w:cs="宋体"/>
          <w:color w:val="auto"/>
          <w:highlight w:val="none"/>
        </w:rPr>
        <w:t>。</w:t>
      </w:r>
    </w:p>
    <w:p w14:paraId="12D892EA">
      <w:pPr>
        <w:spacing w:line="360" w:lineRule="auto"/>
        <w:ind w:firstLine="420" w:firstLineChars="200"/>
        <w:jc w:val="left"/>
        <w:rPr>
          <w:color w:val="auto"/>
          <w:highlight w:val="none"/>
        </w:rPr>
      </w:pPr>
      <w:r>
        <w:rPr>
          <w:rFonts w:hint="eastAsia" w:hAnsi="宋体" w:cs="宋体"/>
          <w:color w:val="auto"/>
          <w:highlight w:val="none"/>
        </w:rPr>
        <w:t>关于工程奖项的约定：</w:t>
      </w:r>
      <w:r>
        <w:rPr>
          <w:color w:val="auto"/>
          <w:highlight w:val="none"/>
        </w:rPr>
        <w:t xml:space="preserve"> </w:t>
      </w:r>
      <w:r>
        <w:rPr>
          <w:rFonts w:hint="eastAsia"/>
          <w:color w:val="auto"/>
          <w:highlight w:val="none"/>
        </w:rPr>
        <w:t>如果</w:t>
      </w:r>
      <w:r>
        <w:rPr>
          <w:color w:val="auto"/>
          <w:highlight w:val="none"/>
        </w:rPr>
        <w:t>工程获得</w:t>
      </w:r>
      <w:r>
        <w:rPr>
          <w:rFonts w:hint="eastAsia"/>
          <w:color w:val="auto"/>
          <w:highlight w:val="none"/>
          <w:u w:val="single"/>
        </w:rPr>
        <w:t xml:space="preserve">             （奖项名称）</w:t>
      </w:r>
      <w:r>
        <w:rPr>
          <w:rFonts w:hint="eastAsia"/>
          <w:color w:val="auto"/>
          <w:highlight w:val="none"/>
        </w:rPr>
        <w:t>，</w:t>
      </w:r>
      <w:r>
        <w:rPr>
          <w:color w:val="auto"/>
          <w:highlight w:val="none"/>
        </w:rPr>
        <w:t>给予</w:t>
      </w:r>
      <w:r>
        <w:rPr>
          <w:rFonts w:hint="eastAsia"/>
          <w:color w:val="auto"/>
          <w:highlight w:val="none"/>
        </w:rPr>
        <w:t>承包人</w:t>
      </w:r>
      <w:r>
        <w:rPr>
          <w:color w:val="auto"/>
          <w:highlight w:val="none"/>
        </w:rPr>
        <w:t>合同价</w:t>
      </w:r>
      <w:r>
        <w:rPr>
          <w:rFonts w:hint="eastAsia"/>
          <w:color w:val="auto"/>
          <w:highlight w:val="none"/>
          <w:u w:val="single"/>
        </w:rPr>
        <w:t xml:space="preserve">   </w:t>
      </w:r>
      <w:r>
        <w:rPr>
          <w:color w:val="auto"/>
          <w:highlight w:val="none"/>
        </w:rPr>
        <w:t>%的奖励</w:t>
      </w:r>
      <w:r>
        <w:rPr>
          <w:rFonts w:hint="eastAsia" w:hAnsi="宋体" w:cs="宋体"/>
          <w:color w:val="auto"/>
          <w:highlight w:val="none"/>
        </w:rPr>
        <w:t>。（建设单位创建优质工程的，鼓励在招标控制价和预算中按我区工程建设定额规定计列工程优质费，并在招标文件中明确工程优质费不可竞争。）</w:t>
      </w:r>
    </w:p>
    <w:p w14:paraId="2B0DA43E">
      <w:pPr>
        <w:spacing w:line="360" w:lineRule="auto"/>
        <w:ind w:firstLine="420" w:firstLineChars="200"/>
        <w:jc w:val="left"/>
        <w:rPr>
          <w:color w:val="auto"/>
          <w:highlight w:val="none"/>
        </w:rPr>
      </w:pPr>
      <w:r>
        <w:rPr>
          <w:color w:val="auto"/>
          <w:highlight w:val="none"/>
        </w:rPr>
        <w:t xml:space="preserve">5.3 </w:t>
      </w:r>
      <w:r>
        <w:rPr>
          <w:rFonts w:hint="eastAsia" w:hAnsi="宋体" w:cs="宋体"/>
          <w:color w:val="auto"/>
          <w:highlight w:val="none"/>
        </w:rPr>
        <w:t>隐蔽工程检查</w:t>
      </w:r>
    </w:p>
    <w:p w14:paraId="22302B63">
      <w:pPr>
        <w:spacing w:line="360" w:lineRule="auto"/>
        <w:ind w:firstLine="420" w:firstLineChars="200"/>
        <w:jc w:val="left"/>
        <w:rPr>
          <w:color w:val="auto"/>
          <w:highlight w:val="none"/>
          <w:u w:val="single"/>
        </w:rPr>
      </w:pPr>
      <w:r>
        <w:rPr>
          <w:color w:val="auto"/>
          <w:highlight w:val="none"/>
        </w:rPr>
        <w:t>5.3.2</w:t>
      </w:r>
      <w:r>
        <w:rPr>
          <w:rFonts w:hint="eastAsia" w:hAnsi="宋体" w:cs="宋体"/>
          <w:color w:val="auto"/>
          <w:highlight w:val="none"/>
        </w:rPr>
        <w:t>承包人提前通知监理人隐蔽工程检查的期限的约定：工程隐蔽或中间验收前</w:t>
      </w:r>
      <w:r>
        <w:rPr>
          <w:color w:val="auto"/>
          <w:highlight w:val="none"/>
        </w:rPr>
        <w:t>12</w:t>
      </w:r>
      <w:r>
        <w:rPr>
          <w:rFonts w:hint="eastAsia" w:hAnsi="宋体" w:cs="宋体"/>
          <w:color w:val="auto"/>
          <w:highlight w:val="none"/>
        </w:rPr>
        <w:t>小时以书面形式通知发包人和监理工程师验收的内容、时间、地点，承包人准备验收记录单（最好是印制的表格）由双方签证。验收合格，承包人可进行隐蔽和继续施工；验收不合格，双方商订时限内修改后按上述循序重新验收。</w:t>
      </w:r>
    </w:p>
    <w:p w14:paraId="6031C43C">
      <w:pPr>
        <w:spacing w:line="360" w:lineRule="auto"/>
        <w:ind w:firstLine="420" w:firstLineChars="200"/>
        <w:jc w:val="left"/>
        <w:rPr>
          <w:color w:val="auto"/>
          <w:highlight w:val="none"/>
        </w:rPr>
      </w:pPr>
      <w:r>
        <w:rPr>
          <w:rFonts w:hint="eastAsia" w:hAnsi="宋体" w:cs="宋体"/>
          <w:color w:val="auto"/>
          <w:highlight w:val="none"/>
        </w:rPr>
        <w:t>监理人不能按时进行检查时，应提前</w:t>
      </w:r>
      <w:r>
        <w:rPr>
          <w:color w:val="auto"/>
          <w:highlight w:val="none"/>
          <w:u w:val="single"/>
        </w:rPr>
        <w:t xml:space="preserve">       </w:t>
      </w:r>
      <w:r>
        <w:rPr>
          <w:rFonts w:hint="eastAsia" w:hAnsi="宋体" w:cs="宋体"/>
          <w:color w:val="auto"/>
          <w:highlight w:val="none"/>
        </w:rPr>
        <w:t>小时提交书面延期要求。</w:t>
      </w:r>
    </w:p>
    <w:p w14:paraId="43BEFE7B">
      <w:pPr>
        <w:spacing w:line="360" w:lineRule="auto"/>
        <w:ind w:firstLine="420" w:firstLineChars="200"/>
        <w:jc w:val="left"/>
        <w:rPr>
          <w:color w:val="auto"/>
          <w:highlight w:val="none"/>
        </w:rPr>
      </w:pPr>
      <w:r>
        <w:rPr>
          <w:rFonts w:hint="eastAsia" w:hAnsi="宋体" w:cs="宋体"/>
          <w:color w:val="auto"/>
          <w:highlight w:val="none"/>
        </w:rPr>
        <w:t>关于延期最长不得超过：</w:t>
      </w:r>
      <w:r>
        <w:rPr>
          <w:color w:val="auto"/>
          <w:highlight w:val="none"/>
          <w:u w:val="single"/>
        </w:rPr>
        <w:t xml:space="preserve">         </w:t>
      </w:r>
      <w:r>
        <w:rPr>
          <w:rFonts w:hint="eastAsia" w:hAnsi="宋体" w:cs="宋体"/>
          <w:color w:val="auto"/>
          <w:highlight w:val="none"/>
        </w:rPr>
        <w:t>小时。</w:t>
      </w:r>
    </w:p>
    <w:p w14:paraId="2F32870B">
      <w:pPr>
        <w:pStyle w:val="3"/>
        <w:rPr>
          <w:color w:val="auto"/>
          <w:highlight w:val="none"/>
        </w:rPr>
      </w:pPr>
      <w:bookmarkStart w:id="517" w:name="_Toc1259019817"/>
      <w:bookmarkStart w:id="518" w:name="_Toc373478366"/>
      <w:bookmarkStart w:id="519" w:name="_Toc407135221"/>
      <w:bookmarkStart w:id="520" w:name="_Toc78449807"/>
      <w:bookmarkStart w:id="521" w:name="_Toc703841976"/>
      <w:bookmarkStart w:id="522" w:name="_Toc9183"/>
      <w:bookmarkStart w:id="523" w:name="_Toc351203638"/>
      <w:bookmarkStart w:id="524" w:name="_Toc389065285"/>
      <w:bookmarkStart w:id="525" w:name="_Toc373227719"/>
      <w:r>
        <w:rPr>
          <w:color w:val="auto"/>
          <w:highlight w:val="none"/>
        </w:rPr>
        <w:t xml:space="preserve">6. </w:t>
      </w:r>
      <w:r>
        <w:rPr>
          <w:rFonts w:hint="eastAsia" w:cs="黑体"/>
          <w:color w:val="auto"/>
          <w:highlight w:val="none"/>
        </w:rPr>
        <w:t>安全文明施工与环境保护</w:t>
      </w:r>
      <w:bookmarkEnd w:id="517"/>
      <w:bookmarkEnd w:id="518"/>
      <w:bookmarkEnd w:id="519"/>
      <w:bookmarkEnd w:id="520"/>
      <w:bookmarkEnd w:id="521"/>
      <w:bookmarkEnd w:id="522"/>
      <w:bookmarkEnd w:id="523"/>
      <w:bookmarkEnd w:id="524"/>
      <w:bookmarkEnd w:id="525"/>
    </w:p>
    <w:p w14:paraId="214F3555">
      <w:pPr>
        <w:pStyle w:val="4"/>
        <w:rPr>
          <w:color w:val="auto"/>
          <w:highlight w:val="none"/>
        </w:rPr>
      </w:pPr>
      <w:bookmarkStart w:id="526" w:name="_Toc5084"/>
      <w:bookmarkStart w:id="527" w:name="_Toc389065286"/>
      <w:bookmarkStart w:id="528" w:name="_Toc373478367"/>
      <w:bookmarkStart w:id="529" w:name="_Toc1296292062"/>
      <w:bookmarkStart w:id="530" w:name="_Toc180514231"/>
      <w:bookmarkStart w:id="531" w:name="_Toc373227720"/>
      <w:bookmarkStart w:id="532" w:name="_Toc407135222"/>
      <w:bookmarkStart w:id="533" w:name="_Toc78449808"/>
      <w:r>
        <w:rPr>
          <w:color w:val="auto"/>
          <w:highlight w:val="none"/>
        </w:rPr>
        <w:t xml:space="preserve">6.1 </w:t>
      </w:r>
      <w:r>
        <w:rPr>
          <w:rFonts w:hint="eastAsia" w:cs="黑体"/>
          <w:color w:val="auto"/>
          <w:highlight w:val="none"/>
        </w:rPr>
        <w:t>安全文明施工</w:t>
      </w:r>
      <w:bookmarkEnd w:id="526"/>
      <w:bookmarkEnd w:id="527"/>
      <w:bookmarkEnd w:id="528"/>
      <w:bookmarkEnd w:id="529"/>
      <w:bookmarkEnd w:id="530"/>
      <w:bookmarkEnd w:id="531"/>
      <w:bookmarkEnd w:id="532"/>
      <w:bookmarkEnd w:id="533"/>
    </w:p>
    <w:p w14:paraId="7A8A82CB">
      <w:pPr>
        <w:spacing w:line="360" w:lineRule="auto"/>
        <w:ind w:firstLine="420" w:firstLineChars="200"/>
        <w:jc w:val="left"/>
        <w:rPr>
          <w:rFonts w:hAnsi="宋体"/>
          <w:color w:val="auto"/>
          <w:highlight w:val="none"/>
        </w:rPr>
      </w:pPr>
      <w:r>
        <w:rPr>
          <w:color w:val="auto"/>
          <w:highlight w:val="none"/>
        </w:rPr>
        <w:t xml:space="preserve">6.1.1 </w:t>
      </w:r>
      <w:r>
        <w:rPr>
          <w:rFonts w:hint="eastAsia" w:hAnsi="宋体" w:cs="宋体"/>
          <w:color w:val="auto"/>
          <w:highlight w:val="none"/>
        </w:rPr>
        <w:t>项目安全生产的达标目标及相应事项的约定：</w:t>
      </w:r>
      <w:r>
        <w:rPr>
          <w:rFonts w:hint="eastAsia"/>
          <w:color w:val="auto"/>
          <w:highlight w:val="none"/>
          <w:u w:val="single"/>
        </w:rPr>
        <w:t>要求达到《建筑施工安全检查标准》</w:t>
      </w:r>
      <w:r>
        <w:rPr>
          <w:rFonts w:hint="eastAsia"/>
          <w:color w:val="auto"/>
          <w:highlight w:val="none"/>
          <w:u w:val="single"/>
          <w:lang w:eastAsia="zh-CN"/>
        </w:rPr>
        <w:t>（</w:t>
      </w:r>
      <w:r>
        <w:rPr>
          <w:rFonts w:hint="eastAsia"/>
          <w:color w:val="auto"/>
          <w:highlight w:val="none"/>
          <w:u w:val="single"/>
        </w:rPr>
        <w:t>JGJ59-2011</w:t>
      </w:r>
      <w:r>
        <w:rPr>
          <w:rFonts w:hint="eastAsia"/>
          <w:color w:val="auto"/>
          <w:highlight w:val="none"/>
          <w:u w:val="single"/>
          <w:lang w:eastAsia="zh-CN"/>
        </w:rPr>
        <w:t>）</w:t>
      </w:r>
      <w:r>
        <w:rPr>
          <w:rFonts w:hint="eastAsia"/>
          <w:color w:val="auto"/>
          <w:highlight w:val="none"/>
          <w:u w:val="single"/>
        </w:rPr>
        <w:t>的标准，严格执行《大气污染防治法》</w:t>
      </w:r>
      <w:r>
        <w:rPr>
          <w:rFonts w:hint="eastAsia"/>
          <w:color w:val="auto"/>
          <w:highlight w:val="none"/>
          <w:u w:val="single"/>
          <w:lang w:eastAsia="zh-CN"/>
        </w:rPr>
        <w:t>（</w:t>
      </w:r>
      <w:r>
        <w:rPr>
          <w:rFonts w:hint="eastAsia"/>
          <w:color w:val="auto"/>
          <w:highlight w:val="none"/>
          <w:u w:val="single"/>
        </w:rPr>
        <w:t>主席令第三十一号</w:t>
      </w:r>
      <w:r>
        <w:rPr>
          <w:rFonts w:hint="eastAsia"/>
          <w:color w:val="auto"/>
          <w:highlight w:val="none"/>
          <w:u w:val="single"/>
          <w:lang w:eastAsia="zh-CN"/>
        </w:rPr>
        <w:t>）</w:t>
      </w:r>
      <w:r>
        <w:rPr>
          <w:rFonts w:hint="eastAsia"/>
          <w:color w:val="auto"/>
          <w:highlight w:val="none"/>
          <w:u w:val="single"/>
        </w:rPr>
        <w:t>、《南宁市建设工程质量和安全生产管理办法》</w:t>
      </w:r>
      <w:r>
        <w:rPr>
          <w:rFonts w:hint="eastAsia"/>
          <w:color w:val="auto"/>
          <w:highlight w:val="none"/>
          <w:u w:val="single"/>
          <w:lang w:eastAsia="zh-CN"/>
        </w:rPr>
        <w:t>（</w:t>
      </w:r>
      <w:r>
        <w:rPr>
          <w:rFonts w:hint="eastAsia"/>
          <w:color w:val="auto"/>
          <w:highlight w:val="none"/>
          <w:u w:val="single"/>
        </w:rPr>
        <w:t>南宁市政府令第46号</w:t>
      </w:r>
      <w:r>
        <w:rPr>
          <w:rFonts w:hint="eastAsia"/>
          <w:color w:val="auto"/>
          <w:highlight w:val="none"/>
          <w:u w:val="single"/>
          <w:lang w:eastAsia="zh-CN"/>
        </w:rPr>
        <w:t>）</w:t>
      </w:r>
      <w:r>
        <w:rPr>
          <w:rFonts w:hint="eastAsia"/>
          <w:color w:val="auto"/>
          <w:highlight w:val="none"/>
          <w:u w:val="single"/>
        </w:rPr>
        <w:t>、《关于推进建筑业改革发展提升工程治理水平的若干意见》</w:t>
      </w:r>
      <w:r>
        <w:rPr>
          <w:rFonts w:hint="eastAsia"/>
          <w:color w:val="auto"/>
          <w:highlight w:val="none"/>
          <w:u w:val="single"/>
          <w:lang w:eastAsia="zh-CN"/>
        </w:rPr>
        <w:t>（</w:t>
      </w:r>
      <w:r>
        <w:rPr>
          <w:rFonts w:hint="eastAsia"/>
          <w:color w:val="auto"/>
          <w:highlight w:val="none"/>
          <w:u w:val="single"/>
        </w:rPr>
        <w:t>南府规[2016]24号</w:t>
      </w:r>
      <w:r>
        <w:rPr>
          <w:rFonts w:hint="eastAsia"/>
          <w:color w:val="auto"/>
          <w:highlight w:val="none"/>
          <w:u w:val="single"/>
          <w:lang w:eastAsia="zh-CN"/>
        </w:rPr>
        <w:t>）</w:t>
      </w:r>
      <w:r>
        <w:rPr>
          <w:rFonts w:hint="eastAsia"/>
          <w:color w:val="auto"/>
          <w:highlight w:val="none"/>
          <w:u w:val="single"/>
        </w:rPr>
        <w:t>、《南宁市土方作业文明施工工作导则》、《南宁市建设工程质量安全标准化图集》、《广西壮族自治区建设工程安全文明施工费使用管理细则》</w:t>
      </w:r>
      <w:r>
        <w:rPr>
          <w:rFonts w:hint="eastAsia"/>
          <w:color w:val="auto"/>
          <w:highlight w:val="none"/>
          <w:u w:val="single"/>
          <w:lang w:eastAsia="zh-CN"/>
        </w:rPr>
        <w:t>（</w:t>
      </w:r>
      <w:r>
        <w:rPr>
          <w:rFonts w:hint="eastAsia"/>
          <w:color w:val="auto"/>
          <w:highlight w:val="none"/>
          <w:u w:val="single"/>
        </w:rPr>
        <w:t>桂建质[2015]16号</w:t>
      </w:r>
      <w:r>
        <w:rPr>
          <w:rFonts w:hint="eastAsia"/>
          <w:color w:val="auto"/>
          <w:highlight w:val="none"/>
          <w:u w:val="single"/>
          <w:lang w:eastAsia="zh-CN"/>
        </w:rPr>
        <w:t>）</w:t>
      </w:r>
      <w:r>
        <w:rPr>
          <w:rFonts w:hint="eastAsia"/>
          <w:color w:val="auto"/>
          <w:highlight w:val="none"/>
          <w:u w:val="single"/>
        </w:rPr>
        <w:t>、《南宁市建设工程安全防护、文明施工措施费用管理规定》的有关规定，必须与经城管部门及行业协会核查建立的合法合规运输企业名录当中的企业签订运输合同，保证车辆受管控、服务够专业、利益分配较合理；使用符合密闭规定的合法车辆进行散体物料</w:t>
      </w:r>
      <w:r>
        <w:rPr>
          <w:rFonts w:hint="eastAsia"/>
          <w:color w:val="auto"/>
          <w:highlight w:val="none"/>
          <w:u w:val="single"/>
          <w:lang w:eastAsia="zh-CN"/>
        </w:rPr>
        <w:t>（</w:t>
      </w:r>
      <w:r>
        <w:rPr>
          <w:rFonts w:hint="eastAsia"/>
          <w:color w:val="auto"/>
          <w:highlight w:val="none"/>
          <w:u w:val="single"/>
        </w:rPr>
        <w:t>建筑渣土、垃圾、砂石等</w:t>
      </w:r>
      <w:r>
        <w:rPr>
          <w:rFonts w:hint="eastAsia"/>
          <w:color w:val="auto"/>
          <w:highlight w:val="none"/>
          <w:u w:val="single"/>
          <w:lang w:eastAsia="zh-CN"/>
        </w:rPr>
        <w:t>）</w:t>
      </w:r>
      <w:r>
        <w:rPr>
          <w:rFonts w:hint="eastAsia"/>
          <w:color w:val="auto"/>
          <w:highlight w:val="none"/>
          <w:u w:val="single"/>
        </w:rPr>
        <w:t>的运输，同时与辖区卫生防疫、环卫管理部门或有合法资质资格的企业签订病媒生物消杀协议、生活垃圾清运协议、在线远程监控扬尘监测协议，采取道路硬化、裸土覆盖、洗车出门、保洁路口、在线监测、抑尘喷淋等有效措施，确保建设工程各项安全防护、文明施工措施及其费用在工地一线按标准落实到位</w:t>
      </w:r>
      <w:r>
        <w:rPr>
          <w:rFonts w:hint="eastAsia" w:hAnsi="宋体" w:cs="宋体"/>
          <w:color w:val="auto"/>
          <w:highlight w:val="none"/>
        </w:rPr>
        <w:t>。</w:t>
      </w:r>
    </w:p>
    <w:p w14:paraId="2EAAF54D">
      <w:pPr>
        <w:spacing w:line="360" w:lineRule="auto"/>
        <w:ind w:firstLine="420" w:firstLineChars="200"/>
        <w:jc w:val="left"/>
        <w:rPr>
          <w:color w:val="auto"/>
          <w:highlight w:val="none"/>
        </w:rPr>
      </w:pPr>
      <w:r>
        <w:rPr>
          <w:rFonts w:hint="eastAsia" w:hAnsi="宋体" w:cs="宋体"/>
          <w:color w:val="auto"/>
          <w:highlight w:val="none"/>
        </w:rPr>
        <w:t>关于安全文明施工奖项的约定：</w:t>
      </w:r>
      <w:r>
        <w:rPr>
          <w:rFonts w:hint="eastAsia"/>
          <w:color w:val="auto"/>
          <w:highlight w:val="none"/>
          <w:u w:val="single"/>
        </w:rPr>
        <w:t xml:space="preserve">     无    </w:t>
      </w:r>
      <w:r>
        <w:rPr>
          <w:rFonts w:hint="eastAsia" w:hAnsi="宋体" w:cs="宋体"/>
          <w:color w:val="auto"/>
          <w:highlight w:val="none"/>
        </w:rPr>
        <w:t>。</w:t>
      </w:r>
    </w:p>
    <w:p w14:paraId="0D83CDC5">
      <w:pPr>
        <w:spacing w:line="360" w:lineRule="auto"/>
        <w:ind w:firstLine="420" w:firstLineChars="200"/>
        <w:jc w:val="left"/>
        <w:rPr>
          <w:color w:val="auto"/>
          <w:highlight w:val="none"/>
          <w:u w:val="single"/>
        </w:rPr>
      </w:pPr>
      <w:r>
        <w:rPr>
          <w:color w:val="auto"/>
          <w:highlight w:val="none"/>
        </w:rPr>
        <w:t xml:space="preserve">6.1.4 </w:t>
      </w:r>
      <w:r>
        <w:rPr>
          <w:rFonts w:hint="eastAsia" w:hAnsi="宋体" w:cs="宋体"/>
          <w:color w:val="auto"/>
          <w:highlight w:val="none"/>
        </w:rPr>
        <w:t>关于治安保卫的特别约定：</w:t>
      </w:r>
      <w:r>
        <w:rPr>
          <w:rFonts w:hint="eastAsia" w:hAnsi="宋体" w:cs="宋体"/>
          <w:color w:val="auto"/>
          <w:highlight w:val="none"/>
          <w:u w:val="single"/>
        </w:rPr>
        <w:t>承包人应承担施工安全保卫工作及非夜间施工照明的责任，承包人应采取一切合理的预防措施，防止人员伤亡、财产损失事故，费用由承包人承担。承包人生活设施及施工场应自费配备消防设备，防止火灾发生。</w:t>
      </w:r>
    </w:p>
    <w:p w14:paraId="2B122FE1">
      <w:pPr>
        <w:spacing w:line="360" w:lineRule="auto"/>
        <w:ind w:firstLine="420" w:firstLineChars="200"/>
        <w:jc w:val="left"/>
        <w:rPr>
          <w:color w:val="auto"/>
          <w:highlight w:val="none"/>
        </w:rPr>
      </w:pPr>
      <w:r>
        <w:rPr>
          <w:rFonts w:hint="eastAsia" w:hAnsi="宋体" w:cs="宋体"/>
          <w:color w:val="auto"/>
          <w:highlight w:val="none"/>
        </w:rPr>
        <w:t>关于编制施工场地治安管理计划的约定：</w:t>
      </w:r>
      <w:r>
        <w:rPr>
          <w:rFonts w:ascii="宋体" w:hAnsi="宋体" w:eastAsia="宋体" w:cs="宋体"/>
          <w:color w:val="auto"/>
          <w:highlight w:val="none"/>
          <w:u w:val="single"/>
        </w:rPr>
        <w:t xml:space="preserve">    无    </w:t>
      </w:r>
      <w:r>
        <w:rPr>
          <w:rFonts w:hint="eastAsia" w:hAnsi="宋体" w:cs="宋体"/>
          <w:color w:val="auto"/>
          <w:highlight w:val="none"/>
        </w:rPr>
        <w:t>。</w:t>
      </w:r>
    </w:p>
    <w:p w14:paraId="0FAA061B">
      <w:pPr>
        <w:spacing w:line="360" w:lineRule="auto"/>
        <w:ind w:firstLine="420" w:firstLineChars="200"/>
        <w:jc w:val="left"/>
        <w:rPr>
          <w:color w:val="auto"/>
          <w:highlight w:val="none"/>
        </w:rPr>
      </w:pPr>
      <w:r>
        <w:rPr>
          <w:color w:val="auto"/>
          <w:highlight w:val="none"/>
        </w:rPr>
        <w:t xml:space="preserve">6.1.5 </w:t>
      </w:r>
      <w:r>
        <w:rPr>
          <w:rFonts w:hint="eastAsia" w:hAnsi="宋体" w:cs="宋体"/>
          <w:color w:val="auto"/>
          <w:highlight w:val="none"/>
        </w:rPr>
        <w:t>文明施工</w:t>
      </w:r>
    </w:p>
    <w:p w14:paraId="330FE2F4">
      <w:pPr>
        <w:spacing w:line="360" w:lineRule="auto"/>
        <w:ind w:firstLine="420" w:firstLineChars="200"/>
        <w:jc w:val="left"/>
        <w:rPr>
          <w:color w:val="auto"/>
          <w:highlight w:val="none"/>
        </w:rPr>
      </w:pPr>
      <w:r>
        <w:rPr>
          <w:rFonts w:hint="eastAsia" w:hAnsi="宋体" w:cs="宋体"/>
          <w:color w:val="auto"/>
          <w:highlight w:val="none"/>
        </w:rPr>
        <w:t>合同当事人对文明施工的要求：</w:t>
      </w:r>
      <w:r>
        <w:rPr>
          <w:rFonts w:hint="eastAsia"/>
          <w:color w:val="auto"/>
          <w:highlight w:val="none"/>
          <w:u w:val="single"/>
        </w:rPr>
        <w:t>严格执行《大气污染防治法》</w:t>
      </w:r>
      <w:r>
        <w:rPr>
          <w:rFonts w:hint="eastAsia"/>
          <w:color w:val="auto"/>
          <w:highlight w:val="none"/>
          <w:u w:val="single"/>
          <w:lang w:eastAsia="zh-CN"/>
        </w:rPr>
        <w:t>（</w:t>
      </w:r>
      <w:r>
        <w:rPr>
          <w:rFonts w:hint="eastAsia"/>
          <w:color w:val="auto"/>
          <w:highlight w:val="none"/>
          <w:u w:val="single"/>
        </w:rPr>
        <w:t>主席令第三十一号</w:t>
      </w:r>
      <w:r>
        <w:rPr>
          <w:rFonts w:hint="eastAsia"/>
          <w:color w:val="auto"/>
          <w:highlight w:val="none"/>
          <w:u w:val="single"/>
          <w:lang w:eastAsia="zh-CN"/>
        </w:rPr>
        <w:t>）</w:t>
      </w:r>
      <w:r>
        <w:rPr>
          <w:rFonts w:hint="eastAsia"/>
          <w:color w:val="auto"/>
          <w:highlight w:val="none"/>
          <w:u w:val="single"/>
        </w:rPr>
        <w:t>、《南宁市建设工程质量和安全生产管理办法》</w:t>
      </w:r>
      <w:r>
        <w:rPr>
          <w:rFonts w:hint="eastAsia"/>
          <w:color w:val="auto"/>
          <w:highlight w:val="none"/>
          <w:u w:val="single"/>
          <w:lang w:eastAsia="zh-CN"/>
        </w:rPr>
        <w:t>（</w:t>
      </w:r>
      <w:r>
        <w:rPr>
          <w:rFonts w:hint="eastAsia"/>
          <w:color w:val="auto"/>
          <w:highlight w:val="none"/>
          <w:u w:val="single"/>
        </w:rPr>
        <w:t>南宁市人民政府令第46号</w:t>
      </w:r>
      <w:r>
        <w:rPr>
          <w:rFonts w:hint="eastAsia"/>
          <w:color w:val="auto"/>
          <w:highlight w:val="none"/>
          <w:u w:val="single"/>
          <w:lang w:eastAsia="zh-CN"/>
        </w:rPr>
        <w:t>）</w:t>
      </w:r>
      <w:r>
        <w:rPr>
          <w:rFonts w:hint="eastAsia"/>
          <w:color w:val="auto"/>
          <w:highlight w:val="none"/>
          <w:u w:val="single"/>
        </w:rPr>
        <w:t>、《南宁市建设工程质量安全标准化图集》、《南宁市建设工程施工现场管理若干规定》</w:t>
      </w:r>
      <w:r>
        <w:rPr>
          <w:rFonts w:hint="eastAsia"/>
          <w:color w:val="auto"/>
          <w:highlight w:val="none"/>
          <w:u w:val="single"/>
          <w:lang w:eastAsia="zh-CN"/>
        </w:rPr>
        <w:t>（</w:t>
      </w:r>
      <w:r>
        <w:rPr>
          <w:rFonts w:hint="eastAsia"/>
          <w:color w:val="auto"/>
          <w:highlight w:val="none"/>
          <w:u w:val="single"/>
        </w:rPr>
        <w:t>南宁市人民政府令第8号</w:t>
      </w:r>
      <w:r>
        <w:rPr>
          <w:rFonts w:hint="eastAsia"/>
          <w:color w:val="auto"/>
          <w:highlight w:val="none"/>
          <w:u w:val="single"/>
          <w:lang w:eastAsia="zh-CN"/>
        </w:rPr>
        <w:t>）</w:t>
      </w:r>
      <w:r>
        <w:rPr>
          <w:rFonts w:hint="eastAsia"/>
          <w:color w:val="auto"/>
          <w:highlight w:val="none"/>
          <w:u w:val="single"/>
        </w:rPr>
        <w:t>的有关规定，与辖区卫生防疫、环卫管理部门或有合法资质资格的企业签订病媒生物消杀协议、生活垃圾清运协议、渣土密闭运输协议、在线远程监控扬尘监测协议，遵守“一口两池三包四协议”的有关规定，施工前办理排水许可证，严格执行排水许可，做好工地泥浆水、临时生活污水的排放管理，现场设置三级沉淀池及化粪池，避免生活污水及施工废水直排市政排水管网及内河。采取道路硬化、裸土必盖</w:t>
      </w:r>
      <w:r>
        <w:rPr>
          <w:rFonts w:hint="eastAsia"/>
          <w:color w:val="auto"/>
          <w:highlight w:val="none"/>
          <w:u w:val="single"/>
          <w:lang w:eastAsia="zh-CN"/>
        </w:rPr>
        <w:t>（</w:t>
      </w:r>
      <w:r>
        <w:rPr>
          <w:rFonts w:hint="eastAsia"/>
          <w:color w:val="auto"/>
          <w:highlight w:val="none"/>
          <w:u w:val="single"/>
        </w:rPr>
        <w:t>种草、绿网</w:t>
      </w:r>
      <w:r>
        <w:rPr>
          <w:rFonts w:hint="eastAsia"/>
          <w:color w:val="auto"/>
          <w:highlight w:val="none"/>
          <w:u w:val="single"/>
          <w:lang w:eastAsia="zh-CN"/>
        </w:rPr>
        <w:t>）</w:t>
      </w:r>
      <w:r>
        <w:rPr>
          <w:rFonts w:hint="eastAsia"/>
          <w:color w:val="auto"/>
          <w:highlight w:val="none"/>
          <w:u w:val="single"/>
        </w:rPr>
        <w:t>、洗车出门、保洁路口、在线监测、抑尘喷淋等有效措施，确保建设工程各项安全防护、文明施工措施及其费用在工地一线按标准落实到位</w:t>
      </w:r>
      <w:r>
        <w:rPr>
          <w:rFonts w:hint="eastAsia" w:cs="宋体"/>
          <w:color w:val="auto"/>
          <w:highlight w:val="none"/>
        </w:rPr>
        <w:t>。</w:t>
      </w:r>
    </w:p>
    <w:p w14:paraId="6134A2DF">
      <w:pPr>
        <w:spacing w:line="360" w:lineRule="auto"/>
        <w:ind w:firstLine="420" w:firstLineChars="200"/>
        <w:jc w:val="left"/>
        <w:rPr>
          <w:rFonts w:hAnsi="宋体"/>
          <w:color w:val="auto"/>
          <w:highlight w:val="none"/>
        </w:rPr>
      </w:pPr>
      <w:r>
        <w:rPr>
          <w:color w:val="auto"/>
          <w:highlight w:val="none"/>
        </w:rPr>
        <w:t>6.1.6</w:t>
      </w:r>
      <w:r>
        <w:rPr>
          <w:rFonts w:hAnsi="宋体" w:cs="宋体"/>
          <w:color w:val="auto"/>
          <w:kern w:val="0"/>
          <w:highlight w:val="none"/>
        </w:rPr>
        <w:t>关于安全</w:t>
      </w:r>
      <w:r>
        <w:rPr>
          <w:rFonts w:hint="eastAsia" w:hAnsi="宋体" w:cs="宋体"/>
          <w:color w:val="auto"/>
          <w:kern w:val="0"/>
          <w:highlight w:val="none"/>
        </w:rPr>
        <w:t>生产</w:t>
      </w:r>
      <w:r>
        <w:rPr>
          <w:rFonts w:hAnsi="宋体" w:cs="宋体"/>
          <w:color w:val="auto"/>
          <w:kern w:val="0"/>
          <w:highlight w:val="none"/>
        </w:rPr>
        <w:t>费</w:t>
      </w:r>
      <w:r>
        <w:rPr>
          <w:rFonts w:hint="eastAsia" w:hAnsi="宋体" w:cs="宋体"/>
          <w:color w:val="auto"/>
          <w:kern w:val="0"/>
          <w:highlight w:val="none"/>
        </w:rPr>
        <w:t>总额、</w:t>
      </w:r>
      <w:r>
        <w:rPr>
          <w:rFonts w:hAnsi="宋体" w:cs="宋体"/>
          <w:color w:val="auto"/>
          <w:kern w:val="0"/>
          <w:highlight w:val="none"/>
        </w:rPr>
        <w:t>支付比例</w:t>
      </w:r>
      <w:r>
        <w:rPr>
          <w:rFonts w:hint="eastAsia" w:hAnsi="宋体" w:cs="宋体"/>
          <w:color w:val="auto"/>
          <w:kern w:val="0"/>
          <w:highlight w:val="none"/>
        </w:rPr>
        <w:t>、</w:t>
      </w:r>
      <w:r>
        <w:rPr>
          <w:rFonts w:hAnsi="宋体" w:cs="宋体"/>
          <w:color w:val="auto"/>
          <w:kern w:val="0"/>
          <w:highlight w:val="none"/>
        </w:rPr>
        <w:t>支付期限</w:t>
      </w:r>
      <w:r>
        <w:rPr>
          <w:rFonts w:hint="eastAsia" w:hAnsi="宋体" w:cs="宋体"/>
          <w:color w:val="auto"/>
          <w:kern w:val="0"/>
          <w:highlight w:val="none"/>
        </w:rPr>
        <w:t>、转入和结余收回</w:t>
      </w:r>
      <w:r>
        <w:rPr>
          <w:rFonts w:hAnsi="宋体" w:cs="宋体"/>
          <w:color w:val="auto"/>
          <w:kern w:val="0"/>
          <w:highlight w:val="none"/>
        </w:rPr>
        <w:t>的约定：</w:t>
      </w:r>
    </w:p>
    <w:p w14:paraId="65B7593F">
      <w:pPr>
        <w:autoSpaceDE w:val="0"/>
        <w:autoSpaceDN w:val="0"/>
        <w:adjustRightInd w:val="0"/>
        <w:spacing w:line="360" w:lineRule="auto"/>
        <w:ind w:firstLine="420" w:firstLineChars="200"/>
        <w:jc w:val="left"/>
        <w:rPr>
          <w:rFonts w:hAnsi="宋体"/>
          <w:color w:val="auto"/>
          <w:kern w:val="0"/>
          <w:highlight w:val="none"/>
        </w:rPr>
      </w:pPr>
      <w:r>
        <w:rPr>
          <w:rFonts w:hint="eastAsia" w:hAnsi="宋体" w:cs="宋体"/>
          <w:color w:val="auto"/>
          <w:kern w:val="0"/>
          <w:highlight w:val="none"/>
        </w:rPr>
        <w:t>（</w:t>
      </w:r>
      <w:r>
        <w:rPr>
          <w:rFonts w:hAnsi="宋体"/>
          <w:color w:val="auto"/>
          <w:kern w:val="0"/>
          <w:highlight w:val="none"/>
        </w:rPr>
        <w:t>1</w:t>
      </w:r>
      <w:r>
        <w:rPr>
          <w:rFonts w:hint="eastAsia" w:hAnsi="宋体" w:cs="宋体"/>
          <w:color w:val="auto"/>
          <w:kern w:val="0"/>
          <w:highlight w:val="none"/>
        </w:rPr>
        <w:t>）本合同价款已包含安全文明施工费</w:t>
      </w:r>
      <w:r>
        <w:rPr>
          <w:rFonts w:hAnsi="宋体"/>
          <w:color w:val="auto"/>
          <w:kern w:val="0"/>
          <w:highlight w:val="none"/>
          <w:u w:val="single"/>
        </w:rPr>
        <w:t xml:space="preserve">           </w:t>
      </w:r>
      <w:r>
        <w:rPr>
          <w:rFonts w:hint="eastAsia" w:hAnsi="宋体" w:cs="宋体"/>
          <w:color w:val="auto"/>
          <w:kern w:val="0"/>
          <w:highlight w:val="none"/>
        </w:rPr>
        <w:t>元。</w:t>
      </w:r>
    </w:p>
    <w:p w14:paraId="7C5DD0F7">
      <w:pPr>
        <w:autoSpaceDE w:val="0"/>
        <w:autoSpaceDN w:val="0"/>
        <w:adjustRightInd w:val="0"/>
        <w:spacing w:line="360" w:lineRule="auto"/>
        <w:ind w:firstLine="420" w:firstLineChars="200"/>
        <w:jc w:val="left"/>
        <w:rPr>
          <w:rFonts w:hAnsi="宋体"/>
          <w:color w:val="auto"/>
          <w:kern w:val="0"/>
          <w:highlight w:val="none"/>
        </w:rPr>
      </w:pPr>
      <w:r>
        <w:rPr>
          <w:rFonts w:hint="eastAsia" w:hAnsi="宋体" w:cs="宋体"/>
          <w:color w:val="auto"/>
          <w:kern w:val="0"/>
          <w:highlight w:val="none"/>
        </w:rPr>
        <w:t>（</w:t>
      </w:r>
      <w:r>
        <w:rPr>
          <w:rFonts w:hAnsi="宋体"/>
          <w:color w:val="auto"/>
          <w:kern w:val="0"/>
          <w:highlight w:val="none"/>
        </w:rPr>
        <w:t>2</w:t>
      </w:r>
      <w:r>
        <w:rPr>
          <w:rFonts w:hint="eastAsia" w:hAnsi="宋体" w:cs="宋体"/>
          <w:color w:val="auto"/>
          <w:kern w:val="0"/>
          <w:highlight w:val="none"/>
        </w:rPr>
        <w:t>）使用要求：专款专用。具体按</w:t>
      </w:r>
      <w:r>
        <w:rPr>
          <w:rFonts w:hint="eastAsia" w:hAnsi="宋体" w:cs="宋体"/>
          <w:color w:val="auto"/>
          <w:kern w:val="0"/>
          <w:highlight w:val="none"/>
          <w:u w:val="single"/>
        </w:rPr>
        <w:t>《广西壮族自治区建设工程安全文明施工费使用管理细则》（桂建质〔</w:t>
      </w:r>
      <w:r>
        <w:rPr>
          <w:rFonts w:hAnsi="宋体"/>
          <w:color w:val="auto"/>
          <w:kern w:val="0"/>
          <w:highlight w:val="none"/>
          <w:u w:val="single"/>
        </w:rPr>
        <w:t>2015</w:t>
      </w:r>
      <w:r>
        <w:rPr>
          <w:rFonts w:hint="eastAsia" w:hAnsi="宋体" w:cs="宋体"/>
          <w:color w:val="auto"/>
          <w:kern w:val="0"/>
          <w:highlight w:val="none"/>
          <w:u w:val="single"/>
        </w:rPr>
        <w:t>〕</w:t>
      </w:r>
      <w:r>
        <w:rPr>
          <w:rFonts w:hAnsi="宋体"/>
          <w:color w:val="auto"/>
          <w:kern w:val="0"/>
          <w:highlight w:val="none"/>
          <w:u w:val="single"/>
        </w:rPr>
        <w:t>16</w:t>
      </w:r>
      <w:r>
        <w:rPr>
          <w:rFonts w:hint="eastAsia" w:hAnsi="宋体" w:cs="宋体"/>
          <w:color w:val="auto"/>
          <w:kern w:val="0"/>
          <w:highlight w:val="none"/>
          <w:u w:val="single"/>
        </w:rPr>
        <w:t>号）</w:t>
      </w:r>
      <w:r>
        <w:rPr>
          <w:rFonts w:hint="eastAsia" w:hAnsi="宋体" w:cs="宋体"/>
          <w:color w:val="auto"/>
          <w:kern w:val="0"/>
          <w:highlight w:val="none"/>
        </w:rPr>
        <w:t>和</w:t>
      </w:r>
      <w:r>
        <w:rPr>
          <w:rFonts w:hAnsi="宋体"/>
          <w:color w:val="auto"/>
          <w:kern w:val="0"/>
          <w:highlight w:val="none"/>
          <w:u w:val="single"/>
        </w:rPr>
        <w:t xml:space="preserve"> </w:t>
      </w:r>
      <w:r>
        <w:rPr>
          <w:rFonts w:hint="eastAsia" w:hAnsi="宋体"/>
          <w:color w:val="auto"/>
          <w:kern w:val="0"/>
          <w:highlight w:val="none"/>
          <w:u w:val="single"/>
          <w:lang w:val="en-US" w:eastAsia="zh-CN"/>
        </w:rPr>
        <w:t>南宁</w:t>
      </w:r>
      <w:r>
        <w:rPr>
          <w:rFonts w:hAnsi="宋体"/>
          <w:color w:val="auto"/>
          <w:kern w:val="0"/>
          <w:highlight w:val="none"/>
          <w:u w:val="single"/>
        </w:rPr>
        <w:t xml:space="preserve"> </w:t>
      </w:r>
      <w:r>
        <w:rPr>
          <w:rFonts w:hint="eastAsia" w:hAnsi="宋体" w:cs="宋体"/>
          <w:color w:val="auto"/>
          <w:kern w:val="0"/>
          <w:highlight w:val="none"/>
        </w:rPr>
        <w:t>市相关规定执行。</w:t>
      </w:r>
    </w:p>
    <w:p w14:paraId="63523714">
      <w:pPr>
        <w:autoSpaceDE w:val="0"/>
        <w:autoSpaceDN w:val="0"/>
        <w:adjustRightInd w:val="0"/>
        <w:spacing w:line="360" w:lineRule="auto"/>
        <w:ind w:firstLine="420" w:firstLineChars="200"/>
        <w:jc w:val="left"/>
        <w:rPr>
          <w:rFonts w:hAnsi="宋体" w:cs="宋体"/>
          <w:color w:val="auto"/>
          <w:kern w:val="0"/>
          <w:highlight w:val="none"/>
        </w:rPr>
      </w:pPr>
      <w:r>
        <w:rPr>
          <w:rFonts w:hint="eastAsia" w:hAnsi="宋体" w:cs="宋体"/>
          <w:color w:val="auto"/>
          <w:kern w:val="0"/>
          <w:highlight w:val="none"/>
        </w:rPr>
        <w:t>（</w:t>
      </w:r>
      <w:r>
        <w:rPr>
          <w:rFonts w:hAnsi="宋体"/>
          <w:color w:val="auto"/>
          <w:kern w:val="0"/>
          <w:highlight w:val="none"/>
        </w:rPr>
        <w:t>3</w:t>
      </w:r>
      <w:r>
        <w:rPr>
          <w:rFonts w:hint="eastAsia" w:hAnsi="宋体" w:cs="宋体"/>
          <w:color w:val="auto"/>
          <w:kern w:val="0"/>
          <w:highlight w:val="none"/>
        </w:rPr>
        <w:t>）支付约定：</w:t>
      </w:r>
      <w:r>
        <w:rPr>
          <w:rFonts w:hint="eastAsia" w:cs="宋体"/>
          <w:color w:val="auto"/>
          <w:kern w:val="0"/>
          <w:highlight w:val="none"/>
        </w:rPr>
        <w:t>在本合同签订后</w:t>
      </w:r>
      <w:r>
        <w:rPr>
          <w:color w:val="auto"/>
          <w:kern w:val="0"/>
          <w:highlight w:val="none"/>
        </w:rPr>
        <w:t xml:space="preserve">    </w:t>
      </w:r>
      <w:r>
        <w:rPr>
          <w:rFonts w:hint="eastAsia" w:cs="宋体"/>
          <w:color w:val="auto"/>
          <w:kern w:val="0"/>
          <w:highlight w:val="none"/>
        </w:rPr>
        <w:t>个工作日内，预付安全文明施工费总额的   %，其余部分与进度款同期支付，安全文明施工费预付款在工程进度款累计金额超过合同价的   %时开始起扣，每月从支付给承包商的工程款内按安全文明预付款占合同总价的同一百分比扣回</w:t>
      </w:r>
      <w:r>
        <w:rPr>
          <w:rFonts w:hint="eastAsia" w:hAnsi="宋体" w:cs="宋体"/>
          <w:color w:val="auto"/>
          <w:kern w:val="0"/>
          <w:highlight w:val="none"/>
        </w:rPr>
        <w:t>。</w:t>
      </w:r>
    </w:p>
    <w:p w14:paraId="1C246C86">
      <w:pPr>
        <w:autoSpaceDE w:val="0"/>
        <w:autoSpaceDN w:val="0"/>
        <w:adjustRightInd w:val="0"/>
        <w:spacing w:line="360" w:lineRule="auto"/>
        <w:ind w:firstLine="420" w:firstLineChars="200"/>
        <w:jc w:val="left"/>
        <w:rPr>
          <w:rFonts w:hint="eastAsia" w:hAnsi="宋体" w:cs="宋体"/>
          <w:color w:val="auto"/>
          <w:kern w:val="0"/>
          <w:highlight w:val="none"/>
        </w:rPr>
      </w:pPr>
      <w:r>
        <w:rPr>
          <w:rFonts w:hint="eastAsia" w:hAnsi="宋体" w:cs="宋体"/>
          <w:color w:val="auto"/>
          <w:kern w:val="0"/>
          <w:highlight w:val="none"/>
        </w:rPr>
        <w:t>（4）建设单位按规定将安全生产费用转入施工单位设立的安全生产费用专户。</w:t>
      </w:r>
    </w:p>
    <w:p w14:paraId="1E623077">
      <w:pPr>
        <w:autoSpaceDE w:val="0"/>
        <w:autoSpaceDN w:val="0"/>
        <w:adjustRightInd w:val="0"/>
        <w:spacing w:line="360" w:lineRule="auto"/>
        <w:ind w:firstLine="420" w:firstLineChars="200"/>
        <w:jc w:val="left"/>
        <w:rPr>
          <w:rFonts w:hint="eastAsia" w:hAnsi="宋体" w:cs="宋体"/>
          <w:color w:val="auto"/>
          <w:kern w:val="0"/>
          <w:highlight w:val="none"/>
        </w:rPr>
      </w:pPr>
      <w:r>
        <w:rPr>
          <w:rFonts w:hint="eastAsia" w:hAnsi="宋体" w:cs="宋体"/>
          <w:color w:val="auto"/>
          <w:kern w:val="0"/>
          <w:highlight w:val="none"/>
        </w:rPr>
        <w:t>（5）工程施工完成后安全生产费用尚有结余的，结余部分由建设单位收回。</w:t>
      </w:r>
    </w:p>
    <w:p w14:paraId="34730788">
      <w:pPr>
        <w:autoSpaceDE w:val="0"/>
        <w:autoSpaceDN w:val="0"/>
        <w:adjustRightInd w:val="0"/>
        <w:spacing w:line="360" w:lineRule="auto"/>
        <w:ind w:firstLine="420" w:firstLineChars="200"/>
        <w:jc w:val="left"/>
        <w:rPr>
          <w:rFonts w:hint="eastAsia" w:hAnsi="宋体" w:cs="宋体"/>
          <w:color w:val="auto"/>
          <w:kern w:val="0"/>
          <w:highlight w:val="none"/>
        </w:rPr>
      </w:pPr>
      <w:r>
        <w:rPr>
          <w:rFonts w:hint="eastAsia" w:hAnsi="宋体" w:cs="宋体"/>
          <w:color w:val="auto"/>
          <w:kern w:val="0"/>
          <w:highlight w:val="none"/>
        </w:rPr>
        <w:t>（6）施工单位将安全生产费用使用情况定期报告建设单位和监理单位，并提供相应的材料接受建设行政主管部门对此事项监管。</w:t>
      </w:r>
    </w:p>
    <w:p w14:paraId="5C033FF1">
      <w:pPr>
        <w:autoSpaceDE w:val="0"/>
        <w:autoSpaceDN w:val="0"/>
        <w:adjustRightInd w:val="0"/>
        <w:spacing w:line="360" w:lineRule="auto"/>
        <w:ind w:firstLine="420" w:firstLineChars="200"/>
        <w:jc w:val="left"/>
        <w:rPr>
          <w:rFonts w:hint="eastAsia" w:hAnsi="宋体"/>
          <w:color w:val="auto"/>
          <w:kern w:val="0"/>
          <w:highlight w:val="none"/>
        </w:rPr>
      </w:pPr>
      <w:r>
        <w:rPr>
          <w:rFonts w:hint="eastAsia" w:hAnsi="宋体" w:cs="宋体"/>
          <w:color w:val="auto"/>
          <w:kern w:val="0"/>
          <w:highlight w:val="none"/>
        </w:rPr>
        <w:t>（7）安全生产费用专户：</w:t>
      </w:r>
      <w:r>
        <w:rPr>
          <w:rFonts w:hAnsi="宋体" w:cs="宋体"/>
          <w:color w:val="auto"/>
          <w:kern w:val="0"/>
          <w:highlight w:val="none"/>
        </w:rPr>
        <w:t>××××</w:t>
      </w:r>
      <w:r>
        <w:rPr>
          <w:rFonts w:hint="eastAsia" w:hAnsi="宋体" w:cs="宋体"/>
          <w:color w:val="auto"/>
          <w:kern w:val="0"/>
          <w:highlight w:val="none"/>
        </w:rPr>
        <w:t>公司安全生产费用专户。账号：</w:t>
      </w:r>
      <w:r>
        <w:rPr>
          <w:rFonts w:hAnsi="宋体" w:cs="宋体"/>
          <w:color w:val="auto"/>
          <w:kern w:val="0"/>
          <w:highlight w:val="none"/>
        </w:rPr>
        <w:t xml:space="preserve"> </w:t>
      </w:r>
      <w:r>
        <w:rPr>
          <w:rFonts w:hint="eastAsia" w:hAnsi="宋体" w:cs="宋体"/>
          <w:color w:val="auto"/>
          <w:kern w:val="0"/>
          <w:highlight w:val="none"/>
        </w:rPr>
        <w:t xml:space="preserve">                。</w:t>
      </w:r>
    </w:p>
    <w:p w14:paraId="2BCB1FC7">
      <w:pPr>
        <w:pStyle w:val="4"/>
        <w:rPr>
          <w:color w:val="auto"/>
          <w:highlight w:val="none"/>
        </w:rPr>
      </w:pPr>
      <w:bookmarkStart w:id="534" w:name="_Toc407135223"/>
      <w:bookmarkStart w:id="535" w:name="_Toc373227721"/>
      <w:bookmarkStart w:id="536" w:name="_Toc1922268668"/>
      <w:bookmarkStart w:id="537" w:name="_Toc78449809"/>
      <w:bookmarkStart w:id="538" w:name="_Toc1519050792"/>
      <w:bookmarkStart w:id="539" w:name="_Toc22978"/>
      <w:bookmarkStart w:id="540" w:name="_Toc389065287"/>
      <w:bookmarkStart w:id="541" w:name="_Toc373478368"/>
      <w:r>
        <w:rPr>
          <w:color w:val="auto"/>
          <w:highlight w:val="none"/>
        </w:rPr>
        <w:t xml:space="preserve">6.3 </w:t>
      </w:r>
      <w:r>
        <w:rPr>
          <w:rFonts w:hint="eastAsia" w:hAnsi="宋体" w:cs="黑体"/>
          <w:color w:val="auto"/>
          <w:highlight w:val="none"/>
        </w:rPr>
        <w:t>环境保护</w:t>
      </w:r>
      <w:bookmarkEnd w:id="534"/>
      <w:bookmarkEnd w:id="535"/>
      <w:bookmarkEnd w:id="536"/>
      <w:bookmarkEnd w:id="537"/>
      <w:bookmarkEnd w:id="538"/>
      <w:bookmarkEnd w:id="539"/>
      <w:bookmarkEnd w:id="540"/>
      <w:bookmarkEnd w:id="541"/>
    </w:p>
    <w:p w14:paraId="35689174">
      <w:pPr>
        <w:spacing w:line="360" w:lineRule="auto"/>
        <w:ind w:firstLine="420" w:firstLineChars="200"/>
        <w:jc w:val="left"/>
        <w:rPr>
          <w:color w:val="auto"/>
          <w:highlight w:val="none"/>
          <w:u w:val="single"/>
        </w:rPr>
      </w:pPr>
      <w:r>
        <w:rPr>
          <w:rFonts w:hint="eastAsia" w:hAnsi="宋体" w:cs="宋体"/>
          <w:color w:val="auto"/>
          <w:highlight w:val="none"/>
          <w:u w:val="single"/>
        </w:rPr>
        <w:t>因施工需要，经发包人批准，由承包人办理有关施工场地交通、环卫和施工噪音管理等手续，费用由承包人负责。</w:t>
      </w:r>
    </w:p>
    <w:p w14:paraId="7E1305D6">
      <w:pPr>
        <w:spacing w:line="360" w:lineRule="auto"/>
        <w:ind w:firstLine="420" w:firstLineChars="200"/>
        <w:jc w:val="left"/>
        <w:rPr>
          <w:color w:val="auto"/>
          <w:highlight w:val="none"/>
          <w:u w:val="single"/>
        </w:rPr>
      </w:pPr>
      <w:r>
        <w:rPr>
          <w:rFonts w:hint="eastAsia" w:hAnsi="宋体" w:cs="宋体"/>
          <w:color w:val="auto"/>
          <w:highlight w:val="none"/>
          <w:u w:val="single"/>
        </w:rPr>
        <w:t>经过城市道路的施工车辆，必须按交警、城管、运输等部门相关规定执行。由于施工车辆造成的道路、环境等污染，其责任和费用均由承包人承担。</w:t>
      </w:r>
    </w:p>
    <w:bookmarkEnd w:id="510"/>
    <w:bookmarkEnd w:id="511"/>
    <w:bookmarkEnd w:id="512"/>
    <w:bookmarkEnd w:id="513"/>
    <w:bookmarkEnd w:id="514"/>
    <w:bookmarkEnd w:id="515"/>
    <w:bookmarkEnd w:id="516"/>
    <w:p w14:paraId="24139CD5">
      <w:pPr>
        <w:pStyle w:val="3"/>
        <w:rPr>
          <w:color w:val="auto"/>
          <w:highlight w:val="none"/>
        </w:rPr>
      </w:pPr>
      <w:bookmarkStart w:id="542" w:name="_Toc373227722"/>
      <w:bookmarkStart w:id="543" w:name="_Toc351203639"/>
      <w:bookmarkStart w:id="544" w:name="_Toc23981"/>
      <w:bookmarkStart w:id="545" w:name="_Toc315674767"/>
      <w:bookmarkStart w:id="546" w:name="_Toc407135224"/>
      <w:bookmarkStart w:id="547" w:name="_Toc78449810"/>
      <w:bookmarkStart w:id="548" w:name="_Toc1408286886"/>
      <w:bookmarkStart w:id="549" w:name="_Toc373478369"/>
      <w:bookmarkStart w:id="550" w:name="_Toc389065288"/>
      <w:r>
        <w:rPr>
          <w:color w:val="auto"/>
          <w:highlight w:val="none"/>
        </w:rPr>
        <w:t xml:space="preserve">7. </w:t>
      </w:r>
      <w:r>
        <w:rPr>
          <w:rFonts w:hint="eastAsia" w:cs="黑体"/>
          <w:color w:val="auto"/>
          <w:highlight w:val="none"/>
        </w:rPr>
        <w:t>工期和进度</w:t>
      </w:r>
      <w:bookmarkEnd w:id="542"/>
      <w:bookmarkEnd w:id="543"/>
      <w:bookmarkEnd w:id="544"/>
      <w:bookmarkEnd w:id="545"/>
      <w:bookmarkEnd w:id="546"/>
      <w:bookmarkEnd w:id="547"/>
      <w:bookmarkEnd w:id="548"/>
      <w:bookmarkEnd w:id="549"/>
      <w:bookmarkEnd w:id="550"/>
    </w:p>
    <w:p w14:paraId="47C81FA3">
      <w:pPr>
        <w:pStyle w:val="4"/>
        <w:rPr>
          <w:color w:val="auto"/>
          <w:highlight w:val="none"/>
        </w:rPr>
      </w:pPr>
      <w:bookmarkStart w:id="551" w:name="_Toc407135225"/>
      <w:bookmarkStart w:id="552" w:name="_Toc373227723"/>
      <w:bookmarkStart w:id="553" w:name="_Toc78449811"/>
      <w:bookmarkStart w:id="554" w:name="_Toc389065289"/>
      <w:bookmarkStart w:id="555" w:name="_Toc664905709"/>
      <w:bookmarkStart w:id="556" w:name="_Toc19336"/>
      <w:bookmarkStart w:id="557" w:name="_Toc1194482517"/>
      <w:bookmarkStart w:id="558" w:name="_Toc373478370"/>
      <w:r>
        <w:rPr>
          <w:color w:val="auto"/>
          <w:highlight w:val="none"/>
        </w:rPr>
        <w:t xml:space="preserve">7.1 </w:t>
      </w:r>
      <w:r>
        <w:rPr>
          <w:rFonts w:hint="eastAsia" w:cs="黑体"/>
          <w:color w:val="auto"/>
          <w:highlight w:val="none"/>
        </w:rPr>
        <w:t>施工组织设计</w:t>
      </w:r>
      <w:bookmarkEnd w:id="551"/>
      <w:bookmarkEnd w:id="552"/>
      <w:bookmarkEnd w:id="553"/>
      <w:bookmarkEnd w:id="554"/>
      <w:bookmarkEnd w:id="555"/>
      <w:bookmarkEnd w:id="556"/>
      <w:bookmarkEnd w:id="557"/>
      <w:bookmarkEnd w:id="558"/>
    </w:p>
    <w:p w14:paraId="7132A63D">
      <w:pPr>
        <w:autoSpaceDE w:val="0"/>
        <w:autoSpaceDN w:val="0"/>
        <w:adjustRightInd w:val="0"/>
        <w:spacing w:line="360" w:lineRule="auto"/>
        <w:ind w:firstLine="420" w:firstLineChars="200"/>
        <w:jc w:val="left"/>
        <w:rPr>
          <w:color w:val="auto"/>
          <w:highlight w:val="none"/>
          <w:u w:val="single"/>
        </w:rPr>
      </w:pPr>
      <w:r>
        <w:rPr>
          <w:color w:val="auto"/>
          <w:highlight w:val="none"/>
        </w:rPr>
        <w:t xml:space="preserve">7.1.1 </w:t>
      </w:r>
      <w:r>
        <w:rPr>
          <w:rFonts w:hint="eastAsia" w:hAnsi="宋体" w:cs="宋体"/>
          <w:color w:val="auto"/>
          <w:highlight w:val="none"/>
        </w:rPr>
        <w:t>合</w:t>
      </w:r>
      <w:r>
        <w:rPr>
          <w:rFonts w:hint="eastAsia" w:hAnsi="宋体" w:cs="宋体"/>
          <w:color w:val="auto"/>
          <w:kern w:val="0"/>
          <w:highlight w:val="none"/>
        </w:rPr>
        <w:t>同当事人约定的施工组织设计应包括的其他内容：</w:t>
      </w:r>
      <w:r>
        <w:rPr>
          <w:rFonts w:ascii="宋体" w:hAnsi="宋体" w:eastAsia="宋体" w:cs="宋体"/>
          <w:color w:val="auto"/>
          <w:spacing w:val="0"/>
          <w:highlight w:val="none"/>
          <w:u w:val="single"/>
        </w:rPr>
        <w:t xml:space="preserve"> 按照招标文件约定，招标文件无约定的，按通用</w:t>
      </w:r>
      <w:r>
        <w:rPr>
          <w:rFonts w:ascii="宋体" w:hAnsi="宋体" w:eastAsia="宋体" w:cs="宋体"/>
          <w:color w:val="auto"/>
          <w:highlight w:val="none"/>
          <w:u w:val="single"/>
        </w:rPr>
        <w:t xml:space="preserve">合同条款或双方另行约定 </w:t>
      </w:r>
      <w:r>
        <w:rPr>
          <w:rFonts w:hint="eastAsia" w:hAnsi="宋体" w:cs="宋体"/>
          <w:color w:val="auto"/>
          <w:highlight w:val="none"/>
        </w:rPr>
        <w:t>。</w:t>
      </w:r>
    </w:p>
    <w:p w14:paraId="14E9A779">
      <w:pPr>
        <w:autoSpaceDE w:val="0"/>
        <w:autoSpaceDN w:val="0"/>
        <w:adjustRightInd w:val="0"/>
        <w:spacing w:line="360" w:lineRule="auto"/>
        <w:ind w:firstLine="420" w:firstLineChars="200"/>
        <w:jc w:val="left"/>
        <w:rPr>
          <w:color w:val="auto"/>
          <w:kern w:val="0"/>
          <w:highlight w:val="none"/>
        </w:rPr>
      </w:pPr>
      <w:r>
        <w:rPr>
          <w:color w:val="auto"/>
          <w:highlight w:val="none"/>
        </w:rPr>
        <w:t xml:space="preserve">7.1.2 </w:t>
      </w:r>
      <w:r>
        <w:rPr>
          <w:rFonts w:hint="eastAsia" w:hAnsi="宋体" w:cs="宋体"/>
          <w:color w:val="auto"/>
          <w:kern w:val="0"/>
          <w:highlight w:val="none"/>
        </w:rPr>
        <w:t>施工组织设计的提交和修改</w:t>
      </w:r>
    </w:p>
    <w:p w14:paraId="3972E5F8">
      <w:pPr>
        <w:autoSpaceDE w:val="0"/>
        <w:autoSpaceDN w:val="0"/>
        <w:adjustRightInd w:val="0"/>
        <w:spacing w:line="360" w:lineRule="auto"/>
        <w:ind w:firstLine="420" w:firstLineChars="200"/>
        <w:jc w:val="left"/>
        <w:rPr>
          <w:color w:val="auto"/>
          <w:highlight w:val="none"/>
          <w:u w:val="single"/>
        </w:rPr>
      </w:pPr>
      <w:r>
        <w:rPr>
          <w:rFonts w:hint="eastAsia" w:hAnsi="宋体" w:cs="宋体"/>
          <w:color w:val="auto"/>
          <w:kern w:val="0"/>
          <w:highlight w:val="none"/>
        </w:rPr>
        <w:t>承包人提交详细施工组织设计的期限的约定：</w:t>
      </w:r>
      <w:r>
        <w:rPr>
          <w:rFonts w:ascii="宋体" w:hAnsi="宋体" w:eastAsia="宋体" w:cs="宋体"/>
          <w:color w:val="auto"/>
          <w:spacing w:val="0"/>
          <w:highlight w:val="none"/>
          <w:u w:val="single"/>
        </w:rPr>
        <w:t xml:space="preserve"> 在签订合同后</w:t>
      </w:r>
      <w:r>
        <w:rPr>
          <w:rFonts w:hint="eastAsia" w:ascii="Calibri" w:hAnsi="Calibri" w:eastAsia="宋体" w:cs="Calibri"/>
          <w:color w:val="auto"/>
          <w:spacing w:val="0"/>
          <w:highlight w:val="none"/>
          <w:u w:val="single"/>
          <w:lang w:val="en-US" w:eastAsia="zh-CN"/>
        </w:rPr>
        <w:t>7</w:t>
      </w:r>
      <w:r>
        <w:rPr>
          <w:rFonts w:ascii="宋体" w:hAnsi="宋体" w:eastAsia="宋体" w:cs="宋体"/>
          <w:color w:val="auto"/>
          <w:spacing w:val="0"/>
          <w:highlight w:val="none"/>
          <w:u w:val="single"/>
        </w:rPr>
        <w:t>天内提供施工组织设计</w:t>
      </w:r>
      <w:r>
        <w:rPr>
          <w:rFonts w:hint="eastAsia" w:ascii="宋体" w:hAnsi="宋体" w:eastAsia="宋体" w:cs="宋体"/>
          <w:color w:val="auto"/>
          <w:spacing w:val="0"/>
          <w:highlight w:val="none"/>
          <w:u w:val="single"/>
          <w:lang w:eastAsia="zh-CN"/>
        </w:rPr>
        <w:t>（</w:t>
      </w:r>
      <w:r>
        <w:rPr>
          <w:rFonts w:ascii="宋体" w:hAnsi="宋体" w:eastAsia="宋体" w:cs="宋体"/>
          <w:color w:val="auto"/>
          <w:spacing w:val="0"/>
          <w:highlight w:val="none"/>
          <w:u w:val="single"/>
        </w:rPr>
        <w:t>施工方案</w:t>
      </w:r>
      <w:r>
        <w:rPr>
          <w:rFonts w:hint="eastAsia" w:ascii="宋体" w:hAnsi="宋体" w:eastAsia="宋体" w:cs="宋体"/>
          <w:color w:val="auto"/>
          <w:spacing w:val="0"/>
          <w:highlight w:val="none"/>
          <w:u w:val="single"/>
          <w:lang w:eastAsia="zh-CN"/>
        </w:rPr>
        <w:t>）</w:t>
      </w:r>
      <w:r>
        <w:rPr>
          <w:rFonts w:ascii="宋体" w:hAnsi="宋体" w:eastAsia="宋体" w:cs="宋体"/>
          <w:color w:val="auto"/>
          <w:spacing w:val="0"/>
          <w:highlight w:val="none"/>
          <w:u w:val="single"/>
        </w:rPr>
        <w:t xml:space="preserve">和工程进度计划 </w:t>
      </w:r>
      <w:r>
        <w:rPr>
          <w:rFonts w:hint="eastAsia" w:hAnsi="宋体" w:cs="宋体"/>
          <w:color w:val="auto"/>
          <w:highlight w:val="none"/>
        </w:rPr>
        <w:t>。</w:t>
      </w:r>
    </w:p>
    <w:p w14:paraId="4BDFB414">
      <w:pPr>
        <w:spacing w:line="360" w:lineRule="auto"/>
        <w:ind w:firstLine="420" w:firstLineChars="200"/>
        <w:jc w:val="left"/>
        <w:rPr>
          <w:color w:val="auto"/>
          <w:highlight w:val="none"/>
        </w:rPr>
      </w:pPr>
      <w:r>
        <w:rPr>
          <w:rFonts w:hint="eastAsia" w:hAnsi="宋体" w:cs="宋体"/>
          <w:color w:val="auto"/>
          <w:highlight w:val="none"/>
        </w:rPr>
        <w:t>发包人和监理人在收到详细的施工组织设计后确认或提出修改意见的期限：</w:t>
      </w:r>
      <w:r>
        <w:rPr>
          <w:rFonts w:ascii="宋体" w:hAnsi="宋体" w:eastAsia="宋体" w:cs="宋体"/>
          <w:color w:val="auto"/>
          <w:spacing w:val="0"/>
          <w:highlight w:val="none"/>
        </w:rPr>
        <w:t xml:space="preserve"> </w:t>
      </w:r>
      <w:r>
        <w:rPr>
          <w:rFonts w:ascii="宋体" w:hAnsi="宋体" w:eastAsia="宋体" w:cs="宋体"/>
          <w:color w:val="auto"/>
          <w:spacing w:val="0"/>
          <w:highlight w:val="none"/>
          <w:u w:val="single"/>
        </w:rPr>
        <w:t>于收到之日</w:t>
      </w:r>
      <w:r>
        <w:rPr>
          <w:rFonts w:ascii="宋体" w:hAnsi="宋体" w:eastAsia="宋体" w:cs="宋体"/>
          <w:color w:val="auto"/>
          <w:highlight w:val="none"/>
          <w:u w:val="single"/>
        </w:rPr>
        <w:t>起</w:t>
      </w:r>
      <w:r>
        <w:rPr>
          <w:rFonts w:ascii="Calibri" w:hAnsi="Calibri" w:eastAsia="Calibri" w:cs="Calibri"/>
          <w:color w:val="auto"/>
          <w:spacing w:val="0"/>
          <w:highlight w:val="none"/>
          <w:u w:val="single"/>
        </w:rPr>
        <w:t>7</w:t>
      </w:r>
      <w:r>
        <w:rPr>
          <w:rFonts w:ascii="宋体" w:hAnsi="宋体" w:eastAsia="宋体" w:cs="宋体"/>
          <w:color w:val="auto"/>
          <w:spacing w:val="0"/>
          <w:highlight w:val="none"/>
          <w:u w:val="single"/>
        </w:rPr>
        <w:t>日内确认或提出意见，逾期视为同意</w:t>
      </w:r>
      <w:r>
        <w:rPr>
          <w:rFonts w:hint="eastAsia" w:hAnsi="宋体" w:cs="宋体"/>
          <w:color w:val="auto"/>
          <w:highlight w:val="none"/>
        </w:rPr>
        <w:t>。</w:t>
      </w:r>
    </w:p>
    <w:p w14:paraId="65883A3E">
      <w:pPr>
        <w:pStyle w:val="4"/>
        <w:rPr>
          <w:color w:val="auto"/>
          <w:highlight w:val="none"/>
        </w:rPr>
      </w:pPr>
      <w:bookmarkStart w:id="559" w:name="_Toc1674747833"/>
      <w:bookmarkStart w:id="560" w:name="_Toc407135226"/>
      <w:bookmarkStart w:id="561" w:name="_Toc373227724"/>
      <w:bookmarkStart w:id="562" w:name="_Toc1393005721"/>
      <w:bookmarkStart w:id="563" w:name="_Toc78449812"/>
      <w:bookmarkStart w:id="564" w:name="_Toc389065290"/>
      <w:bookmarkStart w:id="565" w:name="_Toc26065"/>
      <w:bookmarkStart w:id="566" w:name="_Toc373478371"/>
      <w:r>
        <w:rPr>
          <w:color w:val="auto"/>
          <w:highlight w:val="none"/>
        </w:rPr>
        <w:t>7</w:t>
      </w:r>
      <w:bookmarkStart w:id="567" w:name="_Toc304295541"/>
      <w:bookmarkStart w:id="568" w:name="_Toc312678005"/>
      <w:bookmarkStart w:id="569" w:name="_Toc297123514"/>
      <w:bookmarkStart w:id="570" w:name="_Toc300934966"/>
      <w:bookmarkStart w:id="571" w:name="_Toc312677479"/>
      <w:bookmarkStart w:id="572" w:name="_Toc303539123"/>
      <w:bookmarkStart w:id="573" w:name="_Toc297216173"/>
      <w:r>
        <w:rPr>
          <w:color w:val="auto"/>
          <w:highlight w:val="none"/>
        </w:rPr>
        <w:t xml:space="preserve">.2 </w:t>
      </w:r>
      <w:r>
        <w:rPr>
          <w:rFonts w:hint="eastAsia" w:cs="黑体"/>
          <w:color w:val="auto"/>
          <w:highlight w:val="none"/>
        </w:rPr>
        <w:t>施工进度计划</w:t>
      </w:r>
      <w:bookmarkEnd w:id="559"/>
      <w:bookmarkEnd w:id="560"/>
      <w:bookmarkEnd w:id="561"/>
      <w:bookmarkEnd w:id="562"/>
      <w:bookmarkEnd w:id="563"/>
      <w:bookmarkEnd w:id="564"/>
      <w:bookmarkEnd w:id="565"/>
      <w:bookmarkEnd w:id="566"/>
    </w:p>
    <w:p w14:paraId="01088A9C">
      <w:pPr>
        <w:spacing w:line="360" w:lineRule="auto"/>
        <w:ind w:firstLine="420" w:firstLineChars="200"/>
        <w:jc w:val="left"/>
        <w:rPr>
          <w:color w:val="auto"/>
          <w:highlight w:val="none"/>
        </w:rPr>
      </w:pPr>
      <w:r>
        <w:rPr>
          <w:color w:val="auto"/>
          <w:highlight w:val="none"/>
        </w:rPr>
        <w:t xml:space="preserve">7.2.2 </w:t>
      </w:r>
      <w:r>
        <w:rPr>
          <w:rFonts w:hint="eastAsia" w:hAnsi="宋体" w:cs="宋体"/>
          <w:color w:val="auto"/>
          <w:highlight w:val="none"/>
        </w:rPr>
        <w:t>施工进度计划的修订</w:t>
      </w:r>
    </w:p>
    <w:p w14:paraId="75F7B467">
      <w:pPr>
        <w:spacing w:line="360" w:lineRule="auto"/>
        <w:ind w:firstLine="420" w:firstLineChars="200"/>
        <w:jc w:val="left"/>
        <w:rPr>
          <w:color w:val="auto"/>
          <w:highlight w:val="none"/>
        </w:rPr>
      </w:pPr>
      <w:r>
        <w:rPr>
          <w:rFonts w:hint="eastAsia" w:hAnsi="宋体" w:cs="宋体"/>
          <w:color w:val="auto"/>
          <w:highlight w:val="none"/>
        </w:rPr>
        <w:t>发包人和监理人在收到修订的施工进度计划后确认或提出修改意见的期限：</w:t>
      </w:r>
      <w:r>
        <w:rPr>
          <w:rFonts w:ascii="Calibri" w:hAnsi="Calibri" w:eastAsia="Calibri" w:cs="Calibri"/>
          <w:color w:val="auto"/>
          <w:spacing w:val="0"/>
          <w:highlight w:val="none"/>
          <w:u w:val="single"/>
        </w:rPr>
        <w:t xml:space="preserve"> 10 </w:t>
      </w:r>
      <w:r>
        <w:rPr>
          <w:rFonts w:ascii="宋体" w:hAnsi="宋体" w:eastAsia="宋体" w:cs="宋体"/>
          <w:color w:val="auto"/>
          <w:spacing w:val="0"/>
          <w:highlight w:val="none"/>
          <w:u w:val="single"/>
        </w:rPr>
        <w:t xml:space="preserve">个工作日 </w:t>
      </w:r>
      <w:r>
        <w:rPr>
          <w:rFonts w:hint="eastAsia" w:hAnsi="宋体" w:cs="宋体"/>
          <w:color w:val="auto"/>
          <w:highlight w:val="none"/>
        </w:rPr>
        <w:t>。</w:t>
      </w:r>
    </w:p>
    <w:p w14:paraId="25D6E09B">
      <w:pPr>
        <w:pStyle w:val="4"/>
        <w:rPr>
          <w:color w:val="auto"/>
          <w:highlight w:val="none"/>
        </w:rPr>
      </w:pPr>
      <w:bookmarkStart w:id="574" w:name="_Toc407135227"/>
      <w:bookmarkStart w:id="575" w:name="_Toc373227725"/>
      <w:bookmarkStart w:id="576" w:name="_Toc423062567"/>
      <w:bookmarkStart w:id="577" w:name="_Toc373478372"/>
      <w:bookmarkStart w:id="578" w:name="_Toc14679"/>
      <w:bookmarkStart w:id="579" w:name="_Toc78449813"/>
      <w:bookmarkStart w:id="580" w:name="_Toc1498273563"/>
      <w:bookmarkStart w:id="581" w:name="_Toc389065291"/>
      <w:r>
        <w:rPr>
          <w:color w:val="auto"/>
          <w:highlight w:val="none"/>
        </w:rPr>
        <w:t xml:space="preserve">7.3 </w:t>
      </w:r>
      <w:r>
        <w:rPr>
          <w:rFonts w:hint="eastAsia" w:cs="黑体"/>
          <w:color w:val="auto"/>
          <w:highlight w:val="none"/>
        </w:rPr>
        <w:t>开工</w:t>
      </w:r>
      <w:bookmarkEnd w:id="574"/>
      <w:bookmarkEnd w:id="575"/>
      <w:bookmarkEnd w:id="576"/>
      <w:bookmarkEnd w:id="577"/>
      <w:bookmarkEnd w:id="578"/>
      <w:bookmarkEnd w:id="579"/>
      <w:bookmarkEnd w:id="580"/>
      <w:bookmarkEnd w:id="581"/>
    </w:p>
    <w:p w14:paraId="19C4EB44">
      <w:pPr>
        <w:spacing w:line="360" w:lineRule="auto"/>
        <w:ind w:firstLine="420" w:firstLineChars="200"/>
        <w:jc w:val="left"/>
        <w:rPr>
          <w:color w:val="auto"/>
          <w:highlight w:val="none"/>
        </w:rPr>
      </w:pPr>
      <w:r>
        <w:rPr>
          <w:color w:val="auto"/>
          <w:highlight w:val="none"/>
        </w:rPr>
        <w:t xml:space="preserve">7.3.1 </w:t>
      </w:r>
      <w:r>
        <w:rPr>
          <w:rFonts w:hint="eastAsia" w:hAnsi="宋体" w:cs="宋体"/>
          <w:color w:val="auto"/>
          <w:highlight w:val="none"/>
        </w:rPr>
        <w:t>开工准备</w:t>
      </w:r>
    </w:p>
    <w:p w14:paraId="07C20B62">
      <w:pPr>
        <w:spacing w:before="0" w:line="360" w:lineRule="auto"/>
        <w:ind w:left="0" w:firstLine="420" w:firstLineChars="200"/>
        <w:rPr>
          <w:rFonts w:ascii="宋体" w:hAnsi="宋体" w:eastAsia="宋体" w:cs="宋体"/>
          <w:color w:val="auto"/>
          <w:highlight w:val="none"/>
        </w:rPr>
      </w:pPr>
      <w:r>
        <w:rPr>
          <w:rFonts w:ascii="宋体" w:hAnsi="宋体" w:eastAsia="宋体" w:cs="宋体"/>
          <w:color w:val="auto"/>
          <w:spacing w:val="0"/>
          <w:highlight w:val="none"/>
        </w:rPr>
        <w:t xml:space="preserve">关于承包人提交工程开工报审表的期限： </w:t>
      </w:r>
      <w:r>
        <w:rPr>
          <w:rFonts w:ascii="宋体" w:hAnsi="宋体" w:eastAsia="宋体" w:cs="宋体"/>
          <w:color w:val="auto"/>
          <w:spacing w:val="0"/>
          <w:highlight w:val="none"/>
          <w:u w:val="single"/>
        </w:rPr>
        <w:t xml:space="preserve"> 按通用合同条款执行 </w:t>
      </w:r>
      <w:r>
        <w:rPr>
          <w:rFonts w:ascii="宋体" w:hAnsi="宋体" w:eastAsia="宋体" w:cs="宋体"/>
          <w:color w:val="auto"/>
          <w:spacing w:val="0"/>
          <w:highlight w:val="none"/>
        </w:rPr>
        <w:t>。</w:t>
      </w:r>
    </w:p>
    <w:p w14:paraId="3E3D91D2">
      <w:pPr>
        <w:spacing w:before="0" w:line="360" w:lineRule="auto"/>
        <w:ind w:left="0" w:right="0" w:firstLine="420" w:firstLineChars="200"/>
        <w:rPr>
          <w:rFonts w:ascii="宋体" w:hAnsi="宋体" w:eastAsia="宋体" w:cs="宋体"/>
          <w:color w:val="auto"/>
          <w:highlight w:val="none"/>
        </w:rPr>
      </w:pPr>
      <w:r>
        <w:rPr>
          <w:rFonts w:ascii="宋体" w:hAnsi="宋体" w:eastAsia="宋体" w:cs="宋体"/>
          <w:color w:val="auto"/>
          <w:spacing w:val="0"/>
          <w:highlight w:val="none"/>
        </w:rPr>
        <w:t>关于发包人应完成的其他开工准备工作及期限：</w:t>
      </w:r>
      <w:r>
        <w:rPr>
          <w:rFonts w:ascii="宋体" w:hAnsi="宋体" w:eastAsia="宋体" w:cs="宋体"/>
          <w:color w:val="auto"/>
          <w:spacing w:val="0"/>
          <w:highlight w:val="none"/>
          <w:u w:val="single"/>
        </w:rPr>
        <w:t xml:space="preserve"> 办公、住宿等临时用房、用地由承包人自行负责，用电及报装费用由承包人负责，费用均包含在投标报价中，其他按通用合同条款执行 </w:t>
      </w:r>
      <w:r>
        <w:rPr>
          <w:rFonts w:ascii="宋体" w:hAnsi="宋体" w:eastAsia="宋体" w:cs="宋体"/>
          <w:color w:val="auto"/>
          <w:spacing w:val="0"/>
          <w:highlight w:val="none"/>
        </w:rPr>
        <w:t>。</w:t>
      </w:r>
    </w:p>
    <w:p w14:paraId="7E2F9D60">
      <w:pPr>
        <w:spacing w:before="0" w:line="360" w:lineRule="auto"/>
        <w:ind w:left="0" w:right="0" w:firstLine="420" w:firstLineChars="200"/>
        <w:rPr>
          <w:color w:val="auto"/>
          <w:highlight w:val="none"/>
          <w:u w:val="single"/>
        </w:rPr>
      </w:pPr>
      <w:r>
        <w:rPr>
          <w:rFonts w:ascii="宋体" w:hAnsi="宋体" w:eastAsia="宋体" w:cs="宋体"/>
          <w:color w:val="auto"/>
          <w:spacing w:val="0"/>
          <w:highlight w:val="none"/>
        </w:rPr>
        <w:t>关于承包人应完成的其他开工准备工作及期限：</w:t>
      </w:r>
      <w:r>
        <w:rPr>
          <w:rFonts w:ascii="宋体" w:hAnsi="宋体" w:eastAsia="宋体" w:cs="宋体"/>
          <w:color w:val="auto"/>
          <w:spacing w:val="0"/>
          <w:highlight w:val="none"/>
          <w:u w:val="single"/>
        </w:rPr>
        <w:t xml:space="preserve"> 按通用合同条款执行 </w:t>
      </w:r>
      <w:r>
        <w:rPr>
          <w:rFonts w:ascii="宋体" w:hAnsi="宋体" w:eastAsia="宋体" w:cs="宋体"/>
          <w:color w:val="auto"/>
          <w:spacing w:val="0"/>
          <w:highlight w:val="none"/>
        </w:rPr>
        <w:t>。</w:t>
      </w:r>
      <w:r>
        <w:rPr>
          <w:rFonts w:ascii="宋体" w:hAnsi="宋体" w:eastAsia="宋体" w:cs="宋体"/>
          <w:color w:val="auto"/>
          <w:highlight w:val="none"/>
        </w:rPr>
        <w:t xml:space="preserve"> </w:t>
      </w:r>
    </w:p>
    <w:p w14:paraId="5F5D020B">
      <w:pPr>
        <w:spacing w:line="360" w:lineRule="auto"/>
        <w:ind w:firstLine="420" w:firstLineChars="200"/>
        <w:jc w:val="left"/>
        <w:rPr>
          <w:color w:val="auto"/>
          <w:highlight w:val="none"/>
        </w:rPr>
      </w:pPr>
      <w:r>
        <w:rPr>
          <w:color w:val="auto"/>
          <w:highlight w:val="none"/>
        </w:rPr>
        <w:t xml:space="preserve">7.3.2 </w:t>
      </w:r>
      <w:r>
        <w:rPr>
          <w:rFonts w:hint="eastAsia" w:hAnsi="宋体" w:cs="宋体"/>
          <w:color w:val="auto"/>
          <w:highlight w:val="none"/>
        </w:rPr>
        <w:t>开工通知</w:t>
      </w:r>
    </w:p>
    <w:p w14:paraId="64BF4430">
      <w:pPr>
        <w:spacing w:line="360" w:lineRule="auto"/>
        <w:ind w:firstLine="420" w:firstLineChars="200"/>
        <w:jc w:val="left"/>
        <w:rPr>
          <w:color w:val="auto"/>
          <w:highlight w:val="none"/>
        </w:rPr>
      </w:pPr>
      <w:r>
        <w:rPr>
          <w:rFonts w:hint="eastAsia" w:hAnsi="宋体" w:cs="宋体"/>
          <w:color w:val="auto"/>
          <w:highlight w:val="none"/>
        </w:rPr>
        <w:t>因发包人原因造成监理人未能在计划开工日期之日起</w:t>
      </w:r>
      <w:r>
        <w:rPr>
          <w:color w:val="auto"/>
          <w:highlight w:val="none"/>
          <w:u w:val="single"/>
        </w:rPr>
        <w:t xml:space="preserve"> </w:t>
      </w:r>
      <w:r>
        <w:rPr>
          <w:rFonts w:hint="eastAsia"/>
          <w:color w:val="auto"/>
          <w:highlight w:val="none"/>
          <w:u w:val="single"/>
          <w:lang w:val="en-US" w:eastAsia="zh-CN"/>
        </w:rPr>
        <w:t>90</w:t>
      </w:r>
      <w:r>
        <w:rPr>
          <w:color w:val="auto"/>
          <w:highlight w:val="none"/>
          <w:u w:val="single"/>
        </w:rPr>
        <w:t xml:space="preserve"> </w:t>
      </w:r>
      <w:r>
        <w:rPr>
          <w:rFonts w:hint="eastAsia" w:hAnsi="宋体" w:cs="宋体"/>
          <w:color w:val="auto"/>
          <w:highlight w:val="none"/>
        </w:rPr>
        <w:t>天内发出开工通知的，承包人有权提出价格调整要求，或者解除合同。</w:t>
      </w:r>
    </w:p>
    <w:bookmarkEnd w:id="567"/>
    <w:bookmarkEnd w:id="568"/>
    <w:bookmarkEnd w:id="569"/>
    <w:bookmarkEnd w:id="570"/>
    <w:bookmarkEnd w:id="571"/>
    <w:bookmarkEnd w:id="572"/>
    <w:bookmarkEnd w:id="573"/>
    <w:p w14:paraId="508F37C1">
      <w:pPr>
        <w:pStyle w:val="4"/>
        <w:rPr>
          <w:color w:val="auto"/>
          <w:highlight w:val="none"/>
        </w:rPr>
      </w:pPr>
      <w:bookmarkStart w:id="582" w:name="_Toc389065292"/>
      <w:bookmarkStart w:id="583" w:name="_Toc78449814"/>
      <w:bookmarkStart w:id="584" w:name="_Toc11734"/>
      <w:bookmarkStart w:id="585" w:name="_Toc373227726"/>
      <w:bookmarkStart w:id="586" w:name="_Toc373478373"/>
      <w:bookmarkStart w:id="587" w:name="_Toc407135228"/>
      <w:bookmarkStart w:id="588" w:name="_Toc86855608"/>
      <w:bookmarkStart w:id="589" w:name="_Toc741356765"/>
      <w:r>
        <w:rPr>
          <w:color w:val="auto"/>
          <w:highlight w:val="none"/>
        </w:rPr>
        <w:t xml:space="preserve">7.4 </w:t>
      </w:r>
      <w:r>
        <w:rPr>
          <w:rFonts w:hint="eastAsia" w:hAnsi="宋体" w:cs="黑体"/>
          <w:color w:val="auto"/>
          <w:highlight w:val="none"/>
        </w:rPr>
        <w:t>测量放线</w:t>
      </w:r>
      <w:bookmarkEnd w:id="582"/>
      <w:bookmarkEnd w:id="583"/>
      <w:bookmarkEnd w:id="584"/>
      <w:bookmarkEnd w:id="585"/>
      <w:bookmarkEnd w:id="586"/>
      <w:bookmarkEnd w:id="587"/>
      <w:bookmarkEnd w:id="588"/>
      <w:bookmarkEnd w:id="589"/>
    </w:p>
    <w:p w14:paraId="36008221">
      <w:pPr>
        <w:spacing w:line="360" w:lineRule="auto"/>
        <w:ind w:firstLine="420" w:firstLineChars="200"/>
        <w:jc w:val="left"/>
        <w:rPr>
          <w:rFonts w:hAnsi="宋体"/>
          <w:color w:val="auto"/>
          <w:highlight w:val="none"/>
        </w:rPr>
      </w:pPr>
      <w:r>
        <w:rPr>
          <w:color w:val="auto"/>
          <w:highlight w:val="none"/>
        </w:rPr>
        <w:t>7.4.1</w:t>
      </w:r>
      <w:r>
        <w:rPr>
          <w:rFonts w:hint="eastAsia" w:hAnsi="宋体" w:cs="宋体"/>
          <w:color w:val="auto"/>
          <w:highlight w:val="none"/>
        </w:rPr>
        <w:t>发包人通过监理人向承包人提供测量基准点、基准线和水准点及其书面资料的期限：</w:t>
      </w:r>
    </w:p>
    <w:p w14:paraId="6AC7C4CF">
      <w:pPr>
        <w:spacing w:line="360" w:lineRule="auto"/>
        <w:jc w:val="left"/>
        <w:rPr>
          <w:color w:val="auto"/>
          <w:highlight w:val="none"/>
          <w:u w:val="single"/>
        </w:rPr>
      </w:pPr>
      <w:r>
        <w:rPr>
          <w:rFonts w:hint="eastAsia"/>
          <w:color w:val="auto"/>
          <w:highlight w:val="none"/>
          <w:u w:val="single"/>
        </w:rPr>
        <w:t xml:space="preserve">开工日期前 7  天通过监理人向承包人提供测量基准点、基准线和水准点及其书面资料 </w:t>
      </w:r>
      <w:r>
        <w:rPr>
          <w:rFonts w:hint="eastAsia" w:hAnsi="宋体" w:cs="宋体"/>
          <w:color w:val="auto"/>
          <w:highlight w:val="none"/>
        </w:rPr>
        <w:t>。</w:t>
      </w:r>
    </w:p>
    <w:p w14:paraId="3AE970F4">
      <w:pPr>
        <w:pStyle w:val="4"/>
        <w:rPr>
          <w:color w:val="auto"/>
          <w:highlight w:val="none"/>
        </w:rPr>
      </w:pPr>
      <w:bookmarkStart w:id="590" w:name="_Toc389065293"/>
      <w:bookmarkStart w:id="591" w:name="_Toc1863025072"/>
      <w:bookmarkStart w:id="592" w:name="_Toc373227727"/>
      <w:bookmarkStart w:id="593" w:name="_Toc407135229"/>
      <w:bookmarkStart w:id="594" w:name="_Toc1417437583"/>
      <w:bookmarkStart w:id="595" w:name="_Toc78449815"/>
      <w:bookmarkStart w:id="596" w:name="_Toc16536"/>
      <w:bookmarkStart w:id="597" w:name="_Toc373478374"/>
      <w:r>
        <w:rPr>
          <w:color w:val="auto"/>
          <w:highlight w:val="none"/>
        </w:rPr>
        <w:t>7</w:t>
      </w:r>
      <w:bookmarkStart w:id="598" w:name="_Toc312677484"/>
      <w:bookmarkStart w:id="599" w:name="_Toc304295546"/>
      <w:bookmarkStart w:id="600" w:name="_Toc312678010"/>
      <w:bookmarkStart w:id="601" w:name="_Toc300934968"/>
      <w:bookmarkStart w:id="602" w:name="_Toc297216175"/>
      <w:bookmarkStart w:id="603" w:name="_Toc303539125"/>
      <w:bookmarkStart w:id="604" w:name="_Toc297123516"/>
      <w:r>
        <w:rPr>
          <w:color w:val="auto"/>
          <w:highlight w:val="none"/>
        </w:rPr>
        <w:t xml:space="preserve">.5 </w:t>
      </w:r>
      <w:r>
        <w:rPr>
          <w:rFonts w:hint="eastAsia" w:hAnsi="宋体" w:cs="黑体"/>
          <w:color w:val="auto"/>
          <w:highlight w:val="none"/>
        </w:rPr>
        <w:t>工期延误</w:t>
      </w:r>
      <w:bookmarkEnd w:id="590"/>
      <w:bookmarkEnd w:id="591"/>
      <w:bookmarkEnd w:id="592"/>
      <w:bookmarkEnd w:id="593"/>
      <w:bookmarkEnd w:id="594"/>
      <w:bookmarkEnd w:id="595"/>
      <w:bookmarkEnd w:id="596"/>
      <w:bookmarkEnd w:id="597"/>
    </w:p>
    <w:bookmarkEnd w:id="598"/>
    <w:bookmarkEnd w:id="599"/>
    <w:bookmarkEnd w:id="600"/>
    <w:bookmarkEnd w:id="601"/>
    <w:bookmarkEnd w:id="602"/>
    <w:bookmarkEnd w:id="603"/>
    <w:bookmarkEnd w:id="604"/>
    <w:p w14:paraId="1E93E784">
      <w:pPr>
        <w:spacing w:line="360" w:lineRule="auto"/>
        <w:ind w:firstLine="420" w:firstLineChars="200"/>
        <w:jc w:val="left"/>
        <w:rPr>
          <w:color w:val="auto"/>
          <w:highlight w:val="none"/>
        </w:rPr>
      </w:pPr>
      <w:r>
        <w:rPr>
          <w:color w:val="auto"/>
          <w:highlight w:val="none"/>
        </w:rPr>
        <w:t xml:space="preserve">7.5.1 </w:t>
      </w:r>
      <w:r>
        <w:rPr>
          <w:rFonts w:hint="eastAsia" w:hAnsi="宋体" w:cs="宋体"/>
          <w:color w:val="auto"/>
          <w:highlight w:val="none"/>
        </w:rPr>
        <w:t>因发包人原因导致工期延误</w:t>
      </w:r>
    </w:p>
    <w:p w14:paraId="3431E3D2">
      <w:pPr>
        <w:spacing w:line="360" w:lineRule="auto"/>
        <w:ind w:firstLine="420" w:firstLineChars="200"/>
        <w:jc w:val="left"/>
        <w:rPr>
          <w:color w:val="auto"/>
          <w:highlight w:val="none"/>
          <w:u w:val="single"/>
        </w:rPr>
      </w:pPr>
      <w:r>
        <w:rPr>
          <w:rFonts w:hint="eastAsia" w:hAnsi="宋体" w:cs="宋体"/>
          <w:color w:val="auto"/>
          <w:highlight w:val="none"/>
        </w:rPr>
        <w:t>（</w:t>
      </w:r>
      <w:r>
        <w:rPr>
          <w:color w:val="auto"/>
          <w:highlight w:val="none"/>
        </w:rPr>
        <w:t>7</w:t>
      </w:r>
      <w:r>
        <w:rPr>
          <w:rFonts w:hint="eastAsia" w:hAnsi="宋体" w:cs="宋体"/>
          <w:color w:val="auto"/>
          <w:highlight w:val="none"/>
        </w:rPr>
        <w:t>）因发包人原因导致工期延误的其他情形：</w:t>
      </w:r>
      <w:r>
        <w:rPr>
          <w:rFonts w:hint="eastAsia" w:ascii="宋体" w:hAnsi="宋体" w:cs="宋体"/>
          <w:color w:val="auto"/>
          <w:highlight w:val="none"/>
          <w:u w:val="single"/>
        </w:rPr>
        <w:t>①重大图纸变更影响关健线路工序施工；②施工期间如因停电、停水连续</w:t>
      </w:r>
      <w:r>
        <w:rPr>
          <w:rFonts w:ascii="宋体" w:hAnsi="宋体" w:cs="宋体"/>
          <w:color w:val="auto"/>
          <w:highlight w:val="none"/>
          <w:u w:val="single"/>
        </w:rPr>
        <w:t>8</w:t>
      </w:r>
      <w:r>
        <w:rPr>
          <w:rFonts w:hint="eastAsia" w:ascii="宋体" w:hAnsi="宋体" w:cs="宋体"/>
          <w:color w:val="auto"/>
          <w:highlight w:val="none"/>
          <w:u w:val="single"/>
        </w:rPr>
        <w:t>小时以上或一周内间歇性停水、停电累计</w:t>
      </w:r>
      <w:r>
        <w:rPr>
          <w:rFonts w:ascii="宋体" w:hAnsi="宋体" w:cs="宋体"/>
          <w:color w:val="auto"/>
          <w:highlight w:val="none"/>
          <w:u w:val="single"/>
        </w:rPr>
        <w:t>8</w:t>
      </w:r>
      <w:r>
        <w:rPr>
          <w:rFonts w:hint="eastAsia" w:ascii="宋体" w:hAnsi="宋体" w:cs="宋体"/>
          <w:color w:val="auto"/>
          <w:highlight w:val="none"/>
          <w:u w:val="single"/>
        </w:rPr>
        <w:t>小时（含</w:t>
      </w:r>
      <w:r>
        <w:rPr>
          <w:rFonts w:ascii="宋体" w:hAnsi="宋体" w:cs="宋体"/>
          <w:color w:val="auto"/>
          <w:highlight w:val="none"/>
          <w:u w:val="single"/>
        </w:rPr>
        <w:t>8</w:t>
      </w:r>
      <w:r>
        <w:rPr>
          <w:rFonts w:hint="eastAsia" w:ascii="宋体" w:hAnsi="宋体" w:cs="宋体"/>
          <w:color w:val="auto"/>
          <w:highlight w:val="none"/>
          <w:u w:val="single"/>
        </w:rPr>
        <w:t>小时）影响正常施工的。③政府指令性停工。④在施工过程中遇到地下障碍物、溶洞、岩石、文物或地下管线的。⑤因发包人未能及时确认变更价格或甲供材料提供延误的。⑥非承包人的责任造成的工期延误其他情形</w:t>
      </w:r>
      <w:r>
        <w:rPr>
          <w:rFonts w:hAnsi="宋体"/>
          <w:color w:val="auto"/>
          <w:highlight w:val="none"/>
        </w:rPr>
        <w:t xml:space="preserve"> </w:t>
      </w:r>
      <w:r>
        <w:rPr>
          <w:rFonts w:hint="eastAsia" w:hAnsi="宋体" w:cs="宋体"/>
          <w:color w:val="auto"/>
          <w:highlight w:val="none"/>
        </w:rPr>
        <w:t>。</w:t>
      </w:r>
    </w:p>
    <w:p w14:paraId="6C39FC00">
      <w:pPr>
        <w:spacing w:line="360" w:lineRule="auto"/>
        <w:ind w:firstLine="420" w:firstLineChars="200"/>
        <w:jc w:val="left"/>
        <w:rPr>
          <w:color w:val="auto"/>
          <w:highlight w:val="none"/>
        </w:rPr>
      </w:pPr>
      <w:r>
        <w:rPr>
          <w:color w:val="auto"/>
          <w:highlight w:val="none"/>
        </w:rPr>
        <w:t>7</w:t>
      </w:r>
      <w:bookmarkStart w:id="605" w:name="_Toc312678012"/>
      <w:bookmarkStart w:id="606" w:name="_Toc312677486"/>
      <w:bookmarkStart w:id="607" w:name="_Toc318581169"/>
      <w:bookmarkStart w:id="608" w:name="_Toc303539127"/>
      <w:bookmarkStart w:id="609" w:name="_Toc304295548"/>
      <w:bookmarkStart w:id="610" w:name="_Toc297123518"/>
      <w:bookmarkStart w:id="611" w:name="_Toc300934970"/>
      <w:bookmarkStart w:id="612" w:name="_Toc297216177"/>
      <w:r>
        <w:rPr>
          <w:color w:val="auto"/>
          <w:highlight w:val="none"/>
        </w:rPr>
        <w:t xml:space="preserve">.5.2 </w:t>
      </w:r>
      <w:r>
        <w:rPr>
          <w:rFonts w:hint="eastAsia" w:hAnsi="宋体" w:cs="宋体"/>
          <w:color w:val="auto"/>
          <w:highlight w:val="none"/>
        </w:rPr>
        <w:t>因承包人原因导致工期延误</w:t>
      </w:r>
    </w:p>
    <w:bookmarkEnd w:id="605"/>
    <w:bookmarkEnd w:id="606"/>
    <w:bookmarkEnd w:id="607"/>
    <w:p w14:paraId="17055D02">
      <w:pPr>
        <w:spacing w:line="360" w:lineRule="auto"/>
        <w:ind w:firstLine="420" w:firstLineChars="200"/>
        <w:jc w:val="left"/>
        <w:rPr>
          <w:color w:val="auto"/>
          <w:highlight w:val="none"/>
        </w:rPr>
      </w:pPr>
      <w:r>
        <w:rPr>
          <w:rFonts w:hint="eastAsia" w:hAnsi="宋体" w:cs="宋体"/>
          <w:color w:val="auto"/>
          <w:highlight w:val="none"/>
        </w:rPr>
        <w:t>双方约定经监理工程师确认，工期相应顺延的情况：</w:t>
      </w:r>
      <w:r>
        <w:rPr>
          <w:rFonts w:hint="eastAsia"/>
          <w:color w:val="auto"/>
          <w:highlight w:val="none"/>
          <w:u w:val="single"/>
        </w:rPr>
        <w:t xml:space="preserve">按通用条款和第7.5.1条款及以及7.6条约定办理。其他不可抗力的原因，发生工期顺延时应在30日内通知发包方和监理方确认，否则视为工期不延误 </w:t>
      </w:r>
      <w:r>
        <w:rPr>
          <w:rFonts w:hint="eastAsia" w:hAnsi="宋体" w:cs="宋体"/>
          <w:color w:val="auto"/>
          <w:highlight w:val="none"/>
        </w:rPr>
        <w:t>。</w:t>
      </w:r>
    </w:p>
    <w:p w14:paraId="70C6226D">
      <w:pPr>
        <w:spacing w:line="360" w:lineRule="auto"/>
        <w:ind w:firstLine="420" w:firstLineChars="200"/>
        <w:jc w:val="left"/>
        <w:rPr>
          <w:color w:val="auto"/>
          <w:highlight w:val="none"/>
        </w:rPr>
      </w:pPr>
      <w:r>
        <w:rPr>
          <w:rFonts w:hint="eastAsia" w:hAnsi="宋体" w:cs="宋体"/>
          <w:color w:val="auto"/>
          <w:highlight w:val="none"/>
        </w:rPr>
        <w:t>因</w:t>
      </w:r>
      <w:bookmarkStart w:id="613" w:name="_Toc312677487"/>
      <w:bookmarkStart w:id="614" w:name="_Toc318581170"/>
      <w:bookmarkStart w:id="615" w:name="_Toc312678013"/>
      <w:r>
        <w:rPr>
          <w:rFonts w:hint="eastAsia" w:hAnsi="宋体" w:cs="宋体"/>
          <w:color w:val="auto"/>
          <w:highlight w:val="none"/>
        </w:rPr>
        <w:t>承包人原因造成工期延误，逾期竣工违约金的计算方法为：</w:t>
      </w:r>
      <w:r>
        <w:rPr>
          <w:rFonts w:hint="eastAsia" w:ascii="宋体" w:hAnsi="宋体" w:cs="宋体"/>
          <w:color w:val="auto"/>
          <w:highlight w:val="none"/>
          <w:u w:val="single"/>
        </w:rPr>
        <w:t>按逾期竣工的单项工程罚款，每延误一天</w:t>
      </w:r>
      <w:r>
        <w:rPr>
          <w:rFonts w:ascii="宋体" w:cs="宋体"/>
          <w:color w:val="auto"/>
          <w:highlight w:val="none"/>
          <w:u w:val="single"/>
        </w:rPr>
        <w:t>,</w:t>
      </w:r>
      <w:r>
        <w:rPr>
          <w:rFonts w:hint="eastAsia" w:ascii="宋体" w:hAnsi="宋体" w:cs="宋体"/>
          <w:color w:val="auto"/>
          <w:highlight w:val="none"/>
          <w:u w:val="single"/>
        </w:rPr>
        <w:t>按单项工程应支付给承包人的结算造价的万分之</w:t>
      </w:r>
      <w:r>
        <w:rPr>
          <w:rFonts w:ascii="宋体" w:hAnsi="宋体" w:cs="宋体"/>
          <w:color w:val="auto"/>
          <w:highlight w:val="none"/>
          <w:u w:val="single"/>
        </w:rPr>
        <w:t xml:space="preserve">   </w:t>
      </w:r>
      <w:r>
        <w:rPr>
          <w:rFonts w:hint="eastAsia" w:ascii="宋体" w:hAnsi="宋体" w:cs="宋体"/>
          <w:color w:val="auto"/>
          <w:highlight w:val="none"/>
          <w:u w:val="single"/>
        </w:rPr>
        <w:t>处罚</w:t>
      </w:r>
      <w:r>
        <w:rPr>
          <w:rFonts w:ascii="宋体" w:cs="宋体"/>
          <w:color w:val="auto"/>
          <w:highlight w:val="none"/>
          <w:u w:val="single"/>
        </w:rPr>
        <w:t>,</w:t>
      </w:r>
      <w:r>
        <w:rPr>
          <w:rFonts w:hint="eastAsia" w:ascii="宋体" w:hAnsi="宋体" w:cs="宋体"/>
          <w:color w:val="auto"/>
          <w:highlight w:val="none"/>
          <w:u w:val="single"/>
        </w:rPr>
        <w:t>罚款直接从结算款中扣除。</w:t>
      </w:r>
      <w:r>
        <w:rPr>
          <w:rFonts w:hint="eastAsia" w:hAnsi="宋体" w:cs="宋体"/>
          <w:color w:val="auto"/>
          <w:highlight w:val="none"/>
          <w:u w:val="single"/>
        </w:rPr>
        <w:t>误期时间从规定竣工日期起直到实际竣工日期的天数（扣除发包人批准顺延的工期）。</w:t>
      </w:r>
      <w:bookmarkEnd w:id="608"/>
      <w:bookmarkEnd w:id="609"/>
      <w:bookmarkEnd w:id="610"/>
      <w:bookmarkEnd w:id="611"/>
      <w:bookmarkEnd w:id="612"/>
      <w:bookmarkEnd w:id="613"/>
      <w:bookmarkEnd w:id="614"/>
      <w:bookmarkEnd w:id="615"/>
      <w:r>
        <w:rPr>
          <w:rFonts w:hint="eastAsia" w:hAnsi="宋体" w:cs="宋体"/>
          <w:color w:val="auto"/>
          <w:highlight w:val="none"/>
        </w:rPr>
        <w:t>因承包人原因造成工期延误，逾</w:t>
      </w:r>
      <w:bookmarkStart w:id="616" w:name="_Toc318581171"/>
      <w:bookmarkStart w:id="617" w:name="_Toc312678014"/>
      <w:r>
        <w:rPr>
          <w:rFonts w:hint="eastAsia" w:hAnsi="宋体" w:cs="宋体"/>
          <w:color w:val="auto"/>
          <w:highlight w:val="none"/>
        </w:rPr>
        <w:t>期竣工违约金的上限：</w:t>
      </w:r>
      <w:r>
        <w:rPr>
          <w:rFonts w:hint="eastAsia" w:ascii="宋体" w:hAnsi="宋体" w:cs="宋体"/>
          <w:color w:val="auto"/>
          <w:highlight w:val="none"/>
          <w:u w:val="single"/>
        </w:rPr>
        <w:t>逾期竣工的单项工程结算造价</w:t>
      </w:r>
      <w:r>
        <w:rPr>
          <w:rFonts w:hint="eastAsia" w:hAnsi="宋体" w:cs="宋体"/>
          <w:color w:val="auto"/>
          <w:highlight w:val="none"/>
          <w:u w:val="single"/>
        </w:rPr>
        <w:t>的</w:t>
      </w:r>
      <w:r>
        <w:rPr>
          <w:rFonts w:hint="eastAsia"/>
          <w:color w:val="auto"/>
          <w:highlight w:val="none"/>
          <w:u w:val="single"/>
          <w:lang w:val="en-US" w:eastAsia="zh-CN"/>
        </w:rPr>
        <w:t>5</w:t>
      </w:r>
      <w:r>
        <w:rPr>
          <w:color w:val="auto"/>
          <w:highlight w:val="none"/>
          <w:u w:val="single"/>
        </w:rPr>
        <w:t>%</w:t>
      </w:r>
      <w:r>
        <w:rPr>
          <w:rFonts w:hint="eastAsia" w:hAnsi="宋体" w:cs="宋体"/>
          <w:color w:val="auto"/>
          <w:highlight w:val="none"/>
        </w:rPr>
        <w:t>。</w:t>
      </w:r>
    </w:p>
    <w:bookmarkEnd w:id="616"/>
    <w:bookmarkEnd w:id="617"/>
    <w:p w14:paraId="79B10E15">
      <w:pPr>
        <w:pStyle w:val="4"/>
        <w:rPr>
          <w:color w:val="auto"/>
          <w:highlight w:val="none"/>
        </w:rPr>
      </w:pPr>
      <w:bookmarkStart w:id="618" w:name="_Toc373227728"/>
      <w:bookmarkStart w:id="619" w:name="_Toc373478375"/>
      <w:bookmarkStart w:id="620" w:name="_Toc16199"/>
      <w:bookmarkStart w:id="621" w:name="_Toc1954543271"/>
      <w:bookmarkStart w:id="622" w:name="_Toc389065294"/>
      <w:bookmarkStart w:id="623" w:name="_Toc407135230"/>
      <w:bookmarkStart w:id="624" w:name="_Toc78449816"/>
      <w:bookmarkStart w:id="625" w:name="_Toc888037017"/>
      <w:r>
        <w:rPr>
          <w:color w:val="auto"/>
          <w:highlight w:val="none"/>
        </w:rPr>
        <w:t>7</w:t>
      </w:r>
      <w:bookmarkStart w:id="626" w:name="_Toc300934971"/>
      <w:bookmarkStart w:id="627" w:name="_Toc297216178"/>
      <w:bookmarkStart w:id="628" w:name="_Toc304295549"/>
      <w:bookmarkStart w:id="629" w:name="_Toc297123519"/>
      <w:bookmarkStart w:id="630" w:name="_Toc312678015"/>
      <w:bookmarkStart w:id="631" w:name="_Toc303539128"/>
      <w:r>
        <w:rPr>
          <w:color w:val="auto"/>
          <w:highlight w:val="none"/>
        </w:rPr>
        <w:t xml:space="preserve">.6 </w:t>
      </w:r>
      <w:r>
        <w:rPr>
          <w:rFonts w:hint="eastAsia" w:cs="黑体"/>
          <w:color w:val="auto"/>
          <w:highlight w:val="none"/>
        </w:rPr>
        <w:t>不</w:t>
      </w:r>
      <w:bookmarkEnd w:id="626"/>
      <w:bookmarkEnd w:id="627"/>
      <w:bookmarkEnd w:id="628"/>
      <w:bookmarkEnd w:id="629"/>
      <w:bookmarkEnd w:id="630"/>
      <w:bookmarkEnd w:id="631"/>
      <w:r>
        <w:rPr>
          <w:rFonts w:hint="eastAsia" w:cs="黑体"/>
          <w:color w:val="auto"/>
          <w:highlight w:val="none"/>
        </w:rPr>
        <w:t>利物质条件</w:t>
      </w:r>
      <w:bookmarkEnd w:id="618"/>
      <w:bookmarkEnd w:id="619"/>
      <w:bookmarkEnd w:id="620"/>
      <w:bookmarkEnd w:id="621"/>
      <w:bookmarkEnd w:id="622"/>
      <w:bookmarkEnd w:id="623"/>
      <w:bookmarkEnd w:id="624"/>
      <w:bookmarkEnd w:id="625"/>
    </w:p>
    <w:p w14:paraId="0E49C713">
      <w:pPr>
        <w:spacing w:line="360" w:lineRule="auto"/>
        <w:ind w:firstLine="420" w:firstLineChars="200"/>
        <w:jc w:val="left"/>
        <w:rPr>
          <w:color w:val="auto"/>
          <w:highlight w:val="none"/>
          <w:u w:val="single"/>
        </w:rPr>
      </w:pPr>
      <w:bookmarkStart w:id="632" w:name="_Toc297216179"/>
      <w:bookmarkStart w:id="633" w:name="_Toc300934972"/>
      <w:bookmarkStart w:id="634" w:name="_Toc297123520"/>
      <w:bookmarkStart w:id="635" w:name="_Toc304295550"/>
      <w:bookmarkStart w:id="636" w:name="_Toc303539129"/>
      <w:bookmarkStart w:id="637" w:name="_Toc312678016"/>
      <w:bookmarkStart w:id="638" w:name="_Toc318581172"/>
      <w:r>
        <w:rPr>
          <w:rFonts w:hint="eastAsia" w:hAnsi="宋体" w:cs="宋体"/>
          <w:color w:val="auto"/>
          <w:highlight w:val="none"/>
        </w:rPr>
        <w:t>不利物质条件的其他情形和有关约定：</w:t>
      </w:r>
      <w:r>
        <w:rPr>
          <w:rFonts w:ascii="宋体" w:hAnsi="宋体" w:eastAsia="宋体" w:cs="宋体"/>
          <w:color w:val="auto"/>
          <w:highlight w:val="none"/>
          <w:u w:val="single"/>
        </w:rPr>
        <w:t xml:space="preserve"> 以有关部门发布的文告或文件为准 </w:t>
      </w:r>
      <w:r>
        <w:rPr>
          <w:rFonts w:hint="eastAsia" w:hAnsi="宋体" w:cs="宋体"/>
          <w:color w:val="auto"/>
          <w:highlight w:val="none"/>
        </w:rPr>
        <w:t>。</w:t>
      </w:r>
    </w:p>
    <w:bookmarkEnd w:id="632"/>
    <w:bookmarkEnd w:id="633"/>
    <w:bookmarkEnd w:id="634"/>
    <w:bookmarkEnd w:id="635"/>
    <w:bookmarkEnd w:id="636"/>
    <w:bookmarkEnd w:id="637"/>
    <w:bookmarkEnd w:id="638"/>
    <w:p w14:paraId="2FCABB75">
      <w:pPr>
        <w:pStyle w:val="4"/>
        <w:rPr>
          <w:color w:val="auto"/>
          <w:highlight w:val="none"/>
        </w:rPr>
      </w:pPr>
      <w:bookmarkStart w:id="639" w:name="_Toc18248"/>
      <w:bookmarkStart w:id="640" w:name="_Toc78449817"/>
      <w:bookmarkStart w:id="641" w:name="_Toc389065295"/>
      <w:bookmarkStart w:id="642" w:name="_Toc407135231"/>
      <w:bookmarkStart w:id="643" w:name="_Toc373227729"/>
      <w:bookmarkStart w:id="644" w:name="_Toc373478376"/>
      <w:bookmarkStart w:id="645" w:name="_Toc2031116443"/>
      <w:bookmarkStart w:id="646" w:name="_Toc851880484"/>
      <w:r>
        <w:rPr>
          <w:color w:val="auto"/>
          <w:highlight w:val="none"/>
        </w:rPr>
        <w:t>7</w:t>
      </w:r>
      <w:bookmarkStart w:id="647" w:name="_Toc312678017"/>
      <w:bookmarkStart w:id="648" w:name="_Toc297216180"/>
      <w:bookmarkStart w:id="649" w:name="_Toc303539130"/>
      <w:bookmarkStart w:id="650" w:name="_Toc300934973"/>
      <w:bookmarkStart w:id="651" w:name="_Toc304295551"/>
      <w:bookmarkStart w:id="652" w:name="_Toc297123521"/>
      <w:r>
        <w:rPr>
          <w:color w:val="auto"/>
          <w:highlight w:val="none"/>
        </w:rPr>
        <w:t xml:space="preserve">.7 </w:t>
      </w:r>
      <w:r>
        <w:rPr>
          <w:rFonts w:hint="eastAsia" w:cs="黑体"/>
          <w:color w:val="auto"/>
          <w:highlight w:val="none"/>
        </w:rPr>
        <w:t>异常恶劣的气候条件</w:t>
      </w:r>
      <w:bookmarkEnd w:id="639"/>
      <w:bookmarkEnd w:id="640"/>
      <w:bookmarkEnd w:id="641"/>
      <w:bookmarkEnd w:id="642"/>
      <w:bookmarkEnd w:id="643"/>
      <w:bookmarkEnd w:id="644"/>
      <w:bookmarkEnd w:id="645"/>
      <w:bookmarkEnd w:id="646"/>
    </w:p>
    <w:bookmarkEnd w:id="647"/>
    <w:bookmarkEnd w:id="648"/>
    <w:bookmarkEnd w:id="649"/>
    <w:bookmarkEnd w:id="650"/>
    <w:bookmarkEnd w:id="651"/>
    <w:bookmarkEnd w:id="652"/>
    <w:p w14:paraId="11E6E966">
      <w:pPr>
        <w:spacing w:line="360" w:lineRule="auto"/>
        <w:ind w:firstLine="420" w:firstLineChars="200"/>
        <w:jc w:val="left"/>
        <w:rPr>
          <w:color w:val="auto"/>
          <w:highlight w:val="none"/>
        </w:rPr>
      </w:pPr>
      <w:r>
        <w:rPr>
          <w:rFonts w:hint="eastAsia" w:hAnsi="宋体" w:cs="宋体"/>
          <w:color w:val="auto"/>
          <w:highlight w:val="none"/>
        </w:rPr>
        <w:t>发包人和承包人同意以下情形视为异常恶劣的气候条件：</w:t>
      </w:r>
    </w:p>
    <w:p w14:paraId="19A3794B">
      <w:pPr>
        <w:spacing w:line="360" w:lineRule="auto"/>
        <w:ind w:firstLine="420" w:firstLineChars="200"/>
        <w:jc w:val="left"/>
        <w:rPr>
          <w:rFonts w:hint="eastAsia"/>
          <w:color w:val="auto"/>
          <w:highlight w:val="none"/>
          <w:u w:val="none"/>
        </w:rPr>
      </w:pPr>
      <w:r>
        <w:rPr>
          <w:rFonts w:hint="eastAsia"/>
          <w:color w:val="auto"/>
          <w:highlight w:val="none"/>
          <w:u w:val="none"/>
          <w:lang w:eastAsia="zh-CN"/>
        </w:rPr>
        <w:t>（</w:t>
      </w:r>
      <w:r>
        <w:rPr>
          <w:rFonts w:hint="eastAsia"/>
          <w:color w:val="auto"/>
          <w:highlight w:val="none"/>
          <w:u w:val="none"/>
        </w:rPr>
        <w:t>1</w:t>
      </w:r>
      <w:r>
        <w:rPr>
          <w:rFonts w:hint="eastAsia"/>
          <w:color w:val="auto"/>
          <w:highlight w:val="none"/>
          <w:u w:val="none"/>
          <w:lang w:eastAsia="zh-CN"/>
        </w:rPr>
        <w:t>）</w:t>
      </w:r>
      <w:r>
        <w:rPr>
          <w:rFonts w:hint="eastAsia"/>
          <w:color w:val="auto"/>
          <w:highlight w:val="none"/>
          <w:u w:val="none"/>
        </w:rPr>
        <w:t>6级以上地震；</w:t>
      </w:r>
    </w:p>
    <w:p w14:paraId="0B5ACC63">
      <w:pPr>
        <w:spacing w:line="360" w:lineRule="auto"/>
        <w:ind w:firstLine="420" w:firstLineChars="200"/>
        <w:jc w:val="left"/>
        <w:rPr>
          <w:rFonts w:hint="eastAsia"/>
          <w:color w:val="auto"/>
          <w:highlight w:val="none"/>
          <w:u w:val="none"/>
        </w:rPr>
      </w:pPr>
      <w:r>
        <w:rPr>
          <w:rFonts w:hint="eastAsia"/>
          <w:color w:val="auto"/>
          <w:highlight w:val="none"/>
          <w:u w:val="none"/>
          <w:lang w:eastAsia="zh-CN"/>
        </w:rPr>
        <w:t>（</w:t>
      </w:r>
      <w:r>
        <w:rPr>
          <w:rFonts w:hint="eastAsia"/>
          <w:color w:val="auto"/>
          <w:highlight w:val="none"/>
          <w:u w:val="none"/>
        </w:rPr>
        <w:t>2</w:t>
      </w:r>
      <w:r>
        <w:rPr>
          <w:rFonts w:hint="eastAsia"/>
          <w:color w:val="auto"/>
          <w:highlight w:val="none"/>
          <w:u w:val="none"/>
          <w:lang w:eastAsia="zh-CN"/>
        </w:rPr>
        <w:t>）</w:t>
      </w:r>
      <w:r>
        <w:rPr>
          <w:rFonts w:hint="eastAsia"/>
          <w:color w:val="auto"/>
          <w:highlight w:val="none"/>
          <w:u w:val="none"/>
        </w:rPr>
        <w:t>10级以上持续1天的大风；</w:t>
      </w:r>
    </w:p>
    <w:p w14:paraId="0B9187A2">
      <w:pPr>
        <w:spacing w:line="360" w:lineRule="auto"/>
        <w:ind w:firstLine="420" w:firstLineChars="200"/>
        <w:jc w:val="left"/>
        <w:rPr>
          <w:rFonts w:hint="eastAsia"/>
          <w:color w:val="auto"/>
          <w:highlight w:val="none"/>
          <w:u w:val="none"/>
        </w:rPr>
      </w:pPr>
      <w:r>
        <w:rPr>
          <w:rFonts w:hint="eastAsia"/>
          <w:color w:val="auto"/>
          <w:highlight w:val="none"/>
          <w:u w:val="none"/>
          <w:lang w:eastAsia="zh-CN"/>
        </w:rPr>
        <w:t>（</w:t>
      </w:r>
      <w:r>
        <w:rPr>
          <w:rFonts w:hint="eastAsia"/>
          <w:color w:val="auto"/>
          <w:highlight w:val="none"/>
          <w:u w:val="none"/>
        </w:rPr>
        <w:t>3</w:t>
      </w:r>
      <w:r>
        <w:rPr>
          <w:rFonts w:hint="eastAsia"/>
          <w:color w:val="auto"/>
          <w:highlight w:val="none"/>
          <w:u w:val="none"/>
          <w:lang w:eastAsia="zh-CN"/>
        </w:rPr>
        <w:t>）</w:t>
      </w:r>
      <w:r>
        <w:rPr>
          <w:rFonts w:hint="eastAsia"/>
          <w:color w:val="auto"/>
          <w:highlight w:val="none"/>
          <w:u w:val="none"/>
        </w:rPr>
        <w:t>台风及暴雨天级以上持续1天的大雨；</w:t>
      </w:r>
    </w:p>
    <w:p w14:paraId="47A0BC05">
      <w:pPr>
        <w:spacing w:line="360" w:lineRule="auto"/>
        <w:ind w:firstLine="420" w:firstLineChars="200"/>
        <w:jc w:val="left"/>
        <w:rPr>
          <w:rFonts w:hint="eastAsia"/>
          <w:color w:val="auto"/>
          <w:highlight w:val="none"/>
          <w:u w:val="none"/>
        </w:rPr>
      </w:pPr>
      <w:r>
        <w:rPr>
          <w:rFonts w:hint="eastAsia"/>
          <w:color w:val="auto"/>
          <w:highlight w:val="none"/>
          <w:u w:val="none"/>
          <w:lang w:eastAsia="zh-CN"/>
        </w:rPr>
        <w:t>（</w:t>
      </w:r>
      <w:r>
        <w:rPr>
          <w:rFonts w:hint="eastAsia"/>
          <w:color w:val="auto"/>
          <w:highlight w:val="none"/>
          <w:u w:val="none"/>
        </w:rPr>
        <w:t>4</w:t>
      </w:r>
      <w:r>
        <w:rPr>
          <w:rFonts w:hint="eastAsia"/>
          <w:color w:val="auto"/>
          <w:highlight w:val="none"/>
          <w:u w:val="none"/>
          <w:lang w:eastAsia="zh-CN"/>
        </w:rPr>
        <w:t>）</w:t>
      </w:r>
      <w:r>
        <w:rPr>
          <w:rFonts w:hint="eastAsia"/>
          <w:color w:val="auto"/>
          <w:highlight w:val="none"/>
          <w:u w:val="none"/>
        </w:rPr>
        <w:t>50年以上未发生过，持续2天的高温天气；</w:t>
      </w:r>
    </w:p>
    <w:p w14:paraId="36FBF184">
      <w:pPr>
        <w:spacing w:line="360" w:lineRule="auto"/>
        <w:ind w:firstLine="420" w:firstLineChars="200"/>
        <w:jc w:val="left"/>
        <w:rPr>
          <w:rFonts w:hint="eastAsia"/>
          <w:color w:val="auto"/>
          <w:highlight w:val="none"/>
          <w:u w:val="none"/>
        </w:rPr>
      </w:pPr>
      <w:r>
        <w:rPr>
          <w:rFonts w:hint="eastAsia"/>
          <w:color w:val="auto"/>
          <w:highlight w:val="none"/>
          <w:u w:val="none"/>
          <w:lang w:eastAsia="zh-CN"/>
        </w:rPr>
        <w:t>（</w:t>
      </w:r>
      <w:r>
        <w:rPr>
          <w:rFonts w:hint="eastAsia"/>
          <w:color w:val="auto"/>
          <w:highlight w:val="none"/>
          <w:u w:val="none"/>
        </w:rPr>
        <w:t>5</w:t>
      </w:r>
      <w:r>
        <w:rPr>
          <w:rFonts w:hint="eastAsia"/>
          <w:color w:val="auto"/>
          <w:highlight w:val="none"/>
          <w:u w:val="none"/>
          <w:lang w:eastAsia="zh-CN"/>
        </w:rPr>
        <w:t>）</w:t>
      </w:r>
      <w:r>
        <w:rPr>
          <w:rFonts w:hint="eastAsia"/>
          <w:color w:val="auto"/>
          <w:highlight w:val="none"/>
          <w:u w:val="none"/>
        </w:rPr>
        <w:t>50年以上未发生过，持续2天的低温天气；</w:t>
      </w:r>
    </w:p>
    <w:p w14:paraId="143F5DB6">
      <w:pPr>
        <w:spacing w:line="360" w:lineRule="auto"/>
        <w:ind w:firstLine="420" w:firstLineChars="200"/>
        <w:jc w:val="left"/>
        <w:rPr>
          <w:rFonts w:hint="eastAsia"/>
          <w:color w:val="auto"/>
          <w:highlight w:val="none"/>
          <w:u w:val="none"/>
        </w:rPr>
      </w:pPr>
      <w:r>
        <w:rPr>
          <w:rFonts w:hint="eastAsia"/>
          <w:color w:val="auto"/>
          <w:highlight w:val="none"/>
          <w:u w:val="none"/>
          <w:lang w:eastAsia="zh-CN"/>
        </w:rPr>
        <w:t>（</w:t>
      </w:r>
      <w:r>
        <w:rPr>
          <w:rFonts w:hint="eastAsia"/>
          <w:color w:val="auto"/>
          <w:highlight w:val="none"/>
          <w:u w:val="none"/>
        </w:rPr>
        <w:t>6</w:t>
      </w:r>
      <w:r>
        <w:rPr>
          <w:rFonts w:hint="eastAsia"/>
          <w:color w:val="auto"/>
          <w:highlight w:val="none"/>
          <w:u w:val="none"/>
          <w:lang w:eastAsia="zh-CN"/>
        </w:rPr>
        <w:t>）</w:t>
      </w:r>
      <w:r>
        <w:rPr>
          <w:rFonts w:hint="eastAsia"/>
          <w:color w:val="auto"/>
          <w:highlight w:val="none"/>
          <w:u w:val="none"/>
        </w:rPr>
        <w:t>50年以上未发生过的洪水。</w:t>
      </w:r>
    </w:p>
    <w:p w14:paraId="5EDCBEF9">
      <w:pPr>
        <w:spacing w:line="360" w:lineRule="auto"/>
        <w:ind w:firstLine="420" w:firstLineChars="200"/>
        <w:jc w:val="left"/>
        <w:rPr>
          <w:color w:val="auto"/>
          <w:highlight w:val="none"/>
          <w:u w:val="none"/>
        </w:rPr>
      </w:pPr>
      <w:r>
        <w:rPr>
          <w:rFonts w:hint="eastAsia"/>
          <w:color w:val="auto"/>
          <w:highlight w:val="none"/>
          <w:u w:val="none"/>
        </w:rPr>
        <w:t>以上标准均按南宁市气象、地震部门公布为准。</w:t>
      </w:r>
    </w:p>
    <w:p w14:paraId="5A4B5093">
      <w:pPr>
        <w:pStyle w:val="4"/>
        <w:rPr>
          <w:color w:val="auto"/>
          <w:highlight w:val="none"/>
          <w:lang w:val="en-US"/>
        </w:rPr>
      </w:pPr>
      <w:bookmarkStart w:id="653" w:name="_Toc389065296"/>
      <w:bookmarkStart w:id="654" w:name="_Toc26696"/>
      <w:bookmarkStart w:id="655" w:name="_Toc373478377"/>
      <w:bookmarkStart w:id="656" w:name="_Toc78449818"/>
      <w:bookmarkStart w:id="657" w:name="_Toc657185480"/>
      <w:bookmarkStart w:id="658" w:name="_Toc407135232"/>
      <w:bookmarkStart w:id="659" w:name="_Toc373227730"/>
      <w:bookmarkStart w:id="660" w:name="_Toc2087373611"/>
      <w:r>
        <w:rPr>
          <w:color w:val="auto"/>
          <w:highlight w:val="none"/>
          <w:lang w:val="en-US"/>
        </w:rPr>
        <w:t xml:space="preserve">7.9 </w:t>
      </w:r>
      <w:r>
        <w:rPr>
          <w:rFonts w:hint="eastAsia" w:hAnsi="宋体" w:cs="黑体"/>
          <w:color w:val="auto"/>
          <w:highlight w:val="none"/>
        </w:rPr>
        <w:t>提前竣工</w:t>
      </w:r>
      <w:bookmarkEnd w:id="653"/>
      <w:bookmarkEnd w:id="654"/>
      <w:bookmarkEnd w:id="655"/>
      <w:bookmarkEnd w:id="656"/>
      <w:bookmarkEnd w:id="657"/>
      <w:bookmarkEnd w:id="658"/>
      <w:bookmarkEnd w:id="659"/>
      <w:bookmarkEnd w:id="660"/>
    </w:p>
    <w:p w14:paraId="5147C364">
      <w:pPr>
        <w:spacing w:line="360" w:lineRule="auto"/>
        <w:ind w:firstLine="420" w:firstLineChars="200"/>
        <w:jc w:val="left"/>
        <w:rPr>
          <w:rFonts w:hAnsi="宋体"/>
          <w:color w:val="auto"/>
          <w:highlight w:val="none"/>
        </w:rPr>
      </w:pPr>
      <w:r>
        <w:rPr>
          <w:color w:val="auto"/>
          <w:highlight w:val="none"/>
        </w:rPr>
        <w:t>7.9.2</w:t>
      </w:r>
      <w:r>
        <w:rPr>
          <w:rFonts w:hint="eastAsia" w:hAnsi="宋体" w:cs="宋体"/>
          <w:color w:val="auto"/>
          <w:highlight w:val="none"/>
        </w:rPr>
        <w:t>提前竣工（赶工）增加费的计算方法：</w:t>
      </w:r>
      <w:r>
        <w:rPr>
          <w:rFonts w:ascii="宋体" w:hAnsi="宋体" w:eastAsia="宋体" w:cs="宋体"/>
          <w:color w:val="auto"/>
          <w:spacing w:val="0"/>
          <w:highlight w:val="none"/>
          <w:u w:val="single"/>
        </w:rPr>
        <w:t xml:space="preserve"> 无 </w:t>
      </w:r>
      <w:r>
        <w:rPr>
          <w:rFonts w:hint="eastAsia" w:hAnsi="宋体" w:cs="宋体"/>
          <w:color w:val="auto"/>
          <w:highlight w:val="none"/>
        </w:rPr>
        <w:t>。</w:t>
      </w:r>
    </w:p>
    <w:p w14:paraId="16336F4F">
      <w:pPr>
        <w:pStyle w:val="3"/>
        <w:rPr>
          <w:color w:val="auto"/>
          <w:highlight w:val="none"/>
        </w:rPr>
      </w:pPr>
      <w:bookmarkStart w:id="661" w:name="_Toc407135233"/>
      <w:bookmarkStart w:id="662" w:name="_Toc78449819"/>
      <w:bookmarkStart w:id="663" w:name="_Toc373227731"/>
      <w:bookmarkStart w:id="664" w:name="_Toc389065297"/>
      <w:bookmarkStart w:id="665" w:name="_Toc373478378"/>
      <w:bookmarkStart w:id="666" w:name="_Toc1302158431"/>
      <w:bookmarkStart w:id="667" w:name="_Toc1400878670"/>
      <w:bookmarkStart w:id="668" w:name="_Toc19122"/>
      <w:bookmarkStart w:id="669" w:name="_Toc351203640"/>
      <w:r>
        <w:rPr>
          <w:color w:val="auto"/>
          <w:highlight w:val="none"/>
        </w:rPr>
        <w:t xml:space="preserve">8. </w:t>
      </w:r>
      <w:r>
        <w:rPr>
          <w:rFonts w:hint="eastAsia" w:cs="黑体"/>
          <w:color w:val="auto"/>
          <w:highlight w:val="none"/>
        </w:rPr>
        <w:t>材料与设备</w:t>
      </w:r>
      <w:bookmarkEnd w:id="661"/>
      <w:bookmarkEnd w:id="662"/>
      <w:bookmarkEnd w:id="663"/>
      <w:bookmarkEnd w:id="664"/>
      <w:bookmarkEnd w:id="665"/>
      <w:bookmarkEnd w:id="666"/>
      <w:bookmarkEnd w:id="667"/>
      <w:bookmarkEnd w:id="668"/>
      <w:bookmarkEnd w:id="669"/>
    </w:p>
    <w:bookmarkEnd w:id="492"/>
    <w:bookmarkEnd w:id="493"/>
    <w:bookmarkEnd w:id="494"/>
    <w:bookmarkEnd w:id="495"/>
    <w:bookmarkEnd w:id="496"/>
    <w:bookmarkEnd w:id="497"/>
    <w:bookmarkEnd w:id="498"/>
    <w:bookmarkEnd w:id="499"/>
    <w:bookmarkEnd w:id="500"/>
    <w:bookmarkEnd w:id="501"/>
    <w:p w14:paraId="6B739E06">
      <w:pPr>
        <w:pStyle w:val="4"/>
        <w:rPr>
          <w:color w:val="auto"/>
          <w:highlight w:val="none"/>
        </w:rPr>
      </w:pPr>
      <w:bookmarkStart w:id="670" w:name="_Toc16865"/>
      <w:bookmarkStart w:id="671" w:name="_Toc1078610395"/>
      <w:bookmarkStart w:id="672" w:name="_Toc78449820"/>
      <w:bookmarkStart w:id="673" w:name="_Toc407135234"/>
      <w:bookmarkStart w:id="674" w:name="_Toc373227732"/>
      <w:bookmarkStart w:id="675" w:name="_Toc389065298"/>
      <w:bookmarkStart w:id="676" w:name="_Toc373478379"/>
      <w:bookmarkStart w:id="677" w:name="_Toc1119561048"/>
      <w:r>
        <w:rPr>
          <w:color w:val="auto"/>
          <w:highlight w:val="none"/>
        </w:rPr>
        <w:t xml:space="preserve">8.2 </w:t>
      </w:r>
      <w:r>
        <w:rPr>
          <w:rFonts w:hint="eastAsia" w:cs="黑体"/>
          <w:color w:val="auto"/>
          <w:highlight w:val="none"/>
        </w:rPr>
        <w:t>承包人采购材料与工程设备</w:t>
      </w:r>
      <w:bookmarkEnd w:id="670"/>
      <w:bookmarkEnd w:id="671"/>
      <w:bookmarkEnd w:id="672"/>
      <w:bookmarkEnd w:id="673"/>
      <w:bookmarkEnd w:id="674"/>
      <w:bookmarkEnd w:id="675"/>
      <w:bookmarkEnd w:id="676"/>
      <w:bookmarkEnd w:id="677"/>
    </w:p>
    <w:p w14:paraId="29974645">
      <w:pPr>
        <w:autoSpaceDE w:val="0"/>
        <w:autoSpaceDN w:val="0"/>
        <w:adjustRightInd w:val="0"/>
        <w:spacing w:line="360" w:lineRule="auto"/>
        <w:ind w:firstLine="420" w:firstLineChars="200"/>
        <w:jc w:val="left"/>
        <w:rPr>
          <w:rFonts w:hint="eastAsia" w:cs="宋体"/>
          <w:color w:val="auto"/>
          <w:highlight w:val="none"/>
        </w:rPr>
      </w:pPr>
      <w:r>
        <w:rPr>
          <w:rFonts w:hint="eastAsia" w:cs="宋体"/>
          <w:color w:val="auto"/>
          <w:kern w:val="0"/>
          <w:highlight w:val="none"/>
        </w:rPr>
        <w:t>除已标价工程量清单《发包人提供主要材料和工程设备一览表》（表</w:t>
      </w:r>
      <w:r>
        <w:rPr>
          <w:color w:val="auto"/>
          <w:kern w:val="0"/>
          <w:highlight w:val="none"/>
        </w:rPr>
        <w:t>-21</w:t>
      </w:r>
      <w:r>
        <w:rPr>
          <w:rFonts w:hint="eastAsia" w:cs="宋体"/>
          <w:color w:val="auto"/>
          <w:kern w:val="0"/>
          <w:highlight w:val="none"/>
        </w:rPr>
        <w:t>）中明确的材料、工程设备外，由承包人负责材料和工程设备的采购、运输和保管。</w:t>
      </w:r>
      <w:bookmarkStart w:id="678" w:name="_Toc373478380"/>
      <w:bookmarkStart w:id="679" w:name="_Toc373227733"/>
      <w:bookmarkStart w:id="680" w:name="_Toc389065299"/>
    </w:p>
    <w:p w14:paraId="42E27FDB">
      <w:pPr>
        <w:autoSpaceDE w:val="0"/>
        <w:autoSpaceDN w:val="0"/>
        <w:adjustRightInd w:val="0"/>
        <w:spacing w:line="360" w:lineRule="auto"/>
        <w:ind w:firstLine="420" w:firstLineChars="200"/>
        <w:jc w:val="left"/>
        <w:rPr>
          <w:rFonts w:cs="宋体"/>
          <w:color w:val="auto"/>
          <w:highlight w:val="none"/>
        </w:rPr>
      </w:pPr>
      <w:r>
        <w:rPr>
          <w:rFonts w:hint="eastAsia" w:cs="宋体"/>
          <w:color w:val="auto"/>
          <w:highlight w:val="none"/>
        </w:rPr>
        <w:t>对发包人在招标时有“参照或相当于</w:t>
      </w:r>
      <w:r>
        <w:rPr>
          <w:color w:val="auto"/>
          <w:highlight w:val="none"/>
        </w:rPr>
        <w:t>**</w:t>
      </w:r>
      <w:r>
        <w:rPr>
          <w:rFonts w:hint="eastAsia" w:cs="宋体"/>
          <w:color w:val="auto"/>
          <w:highlight w:val="none"/>
        </w:rPr>
        <w:t>品牌、级别”约定的材料或设备，承包人采购时必须按类似于或优于所约定品牌、等级进行采购，施工期间该部分材料或设备如未超过招标约定的风险幅度的，结算时按投标单价支付，不得调整。</w:t>
      </w:r>
    </w:p>
    <w:p w14:paraId="65A4ABE8">
      <w:pPr>
        <w:autoSpaceDE w:val="0"/>
        <w:autoSpaceDN w:val="0"/>
        <w:adjustRightInd w:val="0"/>
        <w:spacing w:line="360" w:lineRule="auto"/>
        <w:ind w:firstLine="420" w:firstLineChars="200"/>
        <w:jc w:val="left"/>
        <w:rPr>
          <w:rFonts w:hint="eastAsia"/>
          <w:color w:val="auto"/>
          <w:highlight w:val="none"/>
        </w:rPr>
      </w:pPr>
      <w:r>
        <w:rPr>
          <w:rFonts w:hint="eastAsia"/>
          <w:color w:val="auto"/>
          <w:highlight w:val="none"/>
        </w:rPr>
        <w:t>禁止使用松木、松木包装材料设备、种子、苗木、花卉及繁殖材料。</w:t>
      </w:r>
    </w:p>
    <w:p w14:paraId="10A8E9D2">
      <w:pPr>
        <w:pStyle w:val="4"/>
        <w:rPr>
          <w:color w:val="auto"/>
          <w:highlight w:val="none"/>
        </w:rPr>
      </w:pPr>
      <w:bookmarkStart w:id="681" w:name="_Toc407135235"/>
      <w:bookmarkStart w:id="682" w:name="_Toc78449821"/>
      <w:bookmarkStart w:id="683" w:name="_Toc29952"/>
      <w:bookmarkStart w:id="684" w:name="_Toc1355357553"/>
      <w:bookmarkStart w:id="685" w:name="_Toc800965933"/>
      <w:r>
        <w:rPr>
          <w:color w:val="auto"/>
          <w:highlight w:val="none"/>
        </w:rPr>
        <w:t>8</w:t>
      </w:r>
      <w:bookmarkStart w:id="686" w:name="_Toc296944506"/>
      <w:bookmarkStart w:id="687" w:name="_Toc296891207"/>
      <w:bookmarkStart w:id="688" w:name="_Toc304295556"/>
      <w:bookmarkStart w:id="689" w:name="_Toc297048353"/>
      <w:bookmarkStart w:id="690" w:name="_Toc280868654"/>
      <w:bookmarkStart w:id="691" w:name="_Toc297123527"/>
      <w:bookmarkStart w:id="692" w:name="_Toc297216186"/>
      <w:bookmarkStart w:id="693" w:name="_Toc296890995"/>
      <w:bookmarkStart w:id="694" w:name="_Toc292559877"/>
      <w:bookmarkStart w:id="695" w:name="_Toc297120467"/>
      <w:bookmarkStart w:id="696" w:name="_Toc296347166"/>
      <w:bookmarkStart w:id="697" w:name="_Toc292559372"/>
      <w:bookmarkStart w:id="698" w:name="_Toc300934979"/>
      <w:bookmarkStart w:id="699" w:name="_Toc296503167"/>
      <w:bookmarkStart w:id="700" w:name="_Toc296346668"/>
      <w:bookmarkStart w:id="701" w:name="_Toc312678019"/>
      <w:bookmarkStart w:id="702" w:name="_Toc303539136"/>
      <w:bookmarkStart w:id="703" w:name="_Toc312677493"/>
      <w:bookmarkStart w:id="704" w:name="_Toc280868656"/>
      <w:bookmarkStart w:id="705" w:name="_Toc280868655"/>
      <w:bookmarkStart w:id="706" w:name="_Toc267251424"/>
      <w:r>
        <w:rPr>
          <w:color w:val="auto"/>
          <w:highlight w:val="none"/>
        </w:rPr>
        <w:t xml:space="preserve">.4 </w:t>
      </w:r>
      <w:r>
        <w:rPr>
          <w:rFonts w:hint="eastAsia" w:cs="黑体"/>
          <w:color w:val="auto"/>
          <w:highlight w:val="none"/>
        </w:rPr>
        <w:t>材料与工程设备的保管与使用</w:t>
      </w:r>
      <w:bookmarkEnd w:id="678"/>
      <w:bookmarkEnd w:id="679"/>
      <w:bookmarkEnd w:id="680"/>
      <w:bookmarkEnd w:id="681"/>
      <w:bookmarkEnd w:id="682"/>
      <w:bookmarkEnd w:id="683"/>
      <w:bookmarkEnd w:id="684"/>
      <w:bookmarkEnd w:id="685"/>
    </w:p>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p w14:paraId="775C5807">
      <w:pPr>
        <w:spacing w:line="360" w:lineRule="auto"/>
        <w:ind w:firstLine="420" w:firstLineChars="200"/>
        <w:jc w:val="left"/>
        <w:rPr>
          <w:color w:val="auto"/>
          <w:highlight w:val="none"/>
          <w:u w:val="single"/>
        </w:rPr>
      </w:pPr>
      <w:r>
        <w:rPr>
          <w:color w:val="auto"/>
          <w:highlight w:val="none"/>
        </w:rPr>
        <w:t>8</w:t>
      </w:r>
      <w:bookmarkStart w:id="707" w:name="_Toc292559878"/>
      <w:bookmarkStart w:id="708" w:name="_Toc292559373"/>
      <w:bookmarkStart w:id="709" w:name="_Toc296503168"/>
      <w:bookmarkStart w:id="710" w:name="_Toc297048354"/>
      <w:bookmarkStart w:id="711" w:name="_Toc296347167"/>
      <w:bookmarkStart w:id="712" w:name="_Toc296890996"/>
      <w:bookmarkStart w:id="713" w:name="_Toc296944507"/>
      <w:bookmarkStart w:id="714" w:name="_Toc312678020"/>
      <w:bookmarkStart w:id="715" w:name="_Toc297123528"/>
      <w:bookmarkStart w:id="716" w:name="_Toc318581173"/>
      <w:bookmarkStart w:id="717" w:name="_Toc297120468"/>
      <w:bookmarkStart w:id="718" w:name="_Toc300934980"/>
      <w:bookmarkStart w:id="719" w:name="_Toc296891208"/>
      <w:bookmarkStart w:id="720" w:name="_Toc297216187"/>
      <w:bookmarkStart w:id="721" w:name="_Toc296346669"/>
      <w:bookmarkStart w:id="722" w:name="_Toc312677494"/>
      <w:bookmarkStart w:id="723" w:name="_Toc304295557"/>
      <w:bookmarkStart w:id="724" w:name="_Toc303539137"/>
      <w:r>
        <w:rPr>
          <w:color w:val="auto"/>
          <w:highlight w:val="none"/>
        </w:rPr>
        <w:t>.4.1</w:t>
      </w:r>
      <w:r>
        <w:rPr>
          <w:rFonts w:hint="eastAsia" w:hAnsi="宋体" w:cs="宋体"/>
          <w:color w:val="auto"/>
          <w:highlight w:val="none"/>
        </w:rPr>
        <w:t>发包人供应的材料设备的保管费用的承担：</w:t>
      </w:r>
      <w:r>
        <w:rPr>
          <w:rFonts w:ascii="宋体" w:hAnsi="宋体" w:eastAsia="宋体" w:cs="宋体"/>
          <w:color w:val="auto"/>
          <w:spacing w:val="0"/>
          <w:highlight w:val="none"/>
          <w:u w:val="single"/>
        </w:rPr>
        <w:t xml:space="preserve"> 移交前由发包人承担，移交后由承包人承担</w:t>
      </w:r>
      <w:r>
        <w:rPr>
          <w:rFonts w:hint="eastAsia" w:hAnsi="宋体" w:cs="宋体"/>
          <w:color w:val="auto"/>
          <w:highlight w:val="none"/>
        </w:rPr>
        <w:t>。</w:t>
      </w:r>
    </w:p>
    <w:bookmarkEnd w:id="707"/>
    <w:bookmarkEnd w:id="708"/>
    <w:p w14:paraId="6440E0A3">
      <w:pPr>
        <w:pStyle w:val="4"/>
        <w:rPr>
          <w:color w:val="auto"/>
          <w:highlight w:val="none"/>
        </w:rPr>
      </w:pPr>
      <w:bookmarkStart w:id="725" w:name="_Toc78449822"/>
      <w:bookmarkStart w:id="726" w:name="_Toc407135236"/>
      <w:bookmarkStart w:id="727" w:name="_Toc30161"/>
      <w:bookmarkStart w:id="728" w:name="_Toc125914831"/>
      <w:bookmarkStart w:id="729" w:name="_Toc389065300"/>
      <w:bookmarkStart w:id="730" w:name="_Toc373227734"/>
      <w:bookmarkStart w:id="731" w:name="_Toc1948522881"/>
      <w:bookmarkStart w:id="732" w:name="_Toc373478381"/>
      <w:r>
        <w:rPr>
          <w:color w:val="auto"/>
          <w:highlight w:val="none"/>
        </w:rPr>
        <w:t xml:space="preserve">8.6 </w:t>
      </w:r>
      <w:r>
        <w:rPr>
          <w:rFonts w:hint="eastAsia" w:hAnsi="宋体" w:cs="黑体"/>
          <w:color w:val="auto"/>
          <w:highlight w:val="none"/>
        </w:rPr>
        <w:t>样品</w:t>
      </w:r>
      <w:bookmarkEnd w:id="725"/>
      <w:bookmarkEnd w:id="726"/>
      <w:bookmarkEnd w:id="727"/>
      <w:bookmarkEnd w:id="728"/>
      <w:bookmarkEnd w:id="729"/>
      <w:bookmarkEnd w:id="730"/>
      <w:bookmarkEnd w:id="731"/>
      <w:bookmarkEnd w:id="732"/>
    </w:p>
    <w:p w14:paraId="1F38D423">
      <w:pPr>
        <w:autoSpaceDE w:val="0"/>
        <w:autoSpaceDN w:val="0"/>
        <w:adjustRightInd w:val="0"/>
        <w:spacing w:line="360" w:lineRule="auto"/>
        <w:ind w:firstLine="420" w:firstLineChars="200"/>
        <w:jc w:val="left"/>
        <w:rPr>
          <w:color w:val="auto"/>
          <w:kern w:val="0"/>
          <w:highlight w:val="none"/>
        </w:rPr>
      </w:pPr>
      <w:r>
        <w:rPr>
          <w:color w:val="auto"/>
          <w:kern w:val="0"/>
          <w:highlight w:val="none"/>
        </w:rPr>
        <w:t xml:space="preserve">8.6.1 </w:t>
      </w:r>
      <w:r>
        <w:rPr>
          <w:rFonts w:hint="eastAsia" w:hAnsi="宋体" w:cs="宋体"/>
          <w:color w:val="auto"/>
          <w:kern w:val="0"/>
          <w:highlight w:val="none"/>
        </w:rPr>
        <w:t>样品的报送与封存</w:t>
      </w:r>
    </w:p>
    <w:p w14:paraId="64895132">
      <w:pPr>
        <w:autoSpaceDE w:val="0"/>
        <w:autoSpaceDN w:val="0"/>
        <w:adjustRightInd w:val="0"/>
        <w:spacing w:line="360" w:lineRule="auto"/>
        <w:ind w:firstLine="420" w:firstLineChars="200"/>
        <w:jc w:val="left"/>
        <w:rPr>
          <w:color w:val="auto"/>
          <w:highlight w:val="none"/>
          <w:u w:val="single"/>
        </w:rPr>
      </w:pPr>
      <w:r>
        <w:rPr>
          <w:rFonts w:hint="eastAsia" w:hAnsi="宋体" w:cs="宋体"/>
          <w:color w:val="auto"/>
          <w:kern w:val="0"/>
          <w:highlight w:val="none"/>
        </w:rPr>
        <w:t>需要承包人报送样品的材料或工程设备，样品的种类、名称、规格、数量要求：</w:t>
      </w:r>
      <w:r>
        <w:rPr>
          <w:rFonts w:hint="eastAsia" w:hAnsi="宋体" w:cs="宋体"/>
          <w:color w:val="auto"/>
          <w:highlight w:val="none"/>
          <w:u w:val="single"/>
        </w:rPr>
        <w:t>主要材料涉及品种、款式、颜色等方面内容的，承包人应提交准备合格的材料样品送发包人选定。</w:t>
      </w:r>
    </w:p>
    <w:p w14:paraId="68814539">
      <w:pPr>
        <w:pStyle w:val="4"/>
        <w:rPr>
          <w:color w:val="auto"/>
          <w:highlight w:val="none"/>
        </w:rPr>
      </w:pPr>
      <w:bookmarkStart w:id="733" w:name="_Toc14404"/>
      <w:bookmarkStart w:id="734" w:name="_Toc373227735"/>
      <w:bookmarkStart w:id="735" w:name="_Toc997640704"/>
      <w:bookmarkStart w:id="736" w:name="_Toc78449823"/>
      <w:bookmarkStart w:id="737" w:name="_Toc1049576644"/>
      <w:bookmarkStart w:id="738" w:name="_Toc373478382"/>
      <w:bookmarkStart w:id="739" w:name="_Toc407135237"/>
      <w:bookmarkStart w:id="740" w:name="_Toc389065301"/>
      <w:r>
        <w:rPr>
          <w:color w:val="auto"/>
          <w:highlight w:val="none"/>
        </w:rPr>
        <w:t xml:space="preserve">8.8 </w:t>
      </w:r>
      <w:r>
        <w:rPr>
          <w:rFonts w:hint="eastAsia" w:cs="黑体"/>
          <w:color w:val="auto"/>
          <w:highlight w:val="none"/>
        </w:rPr>
        <w:t>施工设备和临时设施</w:t>
      </w:r>
      <w:bookmarkEnd w:id="733"/>
      <w:bookmarkEnd w:id="734"/>
      <w:bookmarkEnd w:id="735"/>
      <w:bookmarkEnd w:id="736"/>
      <w:bookmarkEnd w:id="737"/>
      <w:bookmarkEnd w:id="738"/>
      <w:bookmarkEnd w:id="739"/>
      <w:bookmarkEnd w:id="740"/>
    </w:p>
    <w:p w14:paraId="7EEEDA30">
      <w:pPr>
        <w:autoSpaceDE w:val="0"/>
        <w:autoSpaceDN w:val="0"/>
        <w:adjustRightInd w:val="0"/>
        <w:spacing w:line="360" w:lineRule="auto"/>
        <w:ind w:firstLine="420" w:firstLineChars="200"/>
        <w:jc w:val="left"/>
        <w:rPr>
          <w:color w:val="auto"/>
          <w:highlight w:val="none"/>
        </w:rPr>
      </w:pPr>
      <w:r>
        <w:rPr>
          <w:color w:val="auto"/>
          <w:highlight w:val="none"/>
        </w:rPr>
        <w:t xml:space="preserve">8.8.1 </w:t>
      </w:r>
      <w:r>
        <w:rPr>
          <w:rFonts w:hint="eastAsia" w:hAnsi="宋体" w:cs="宋体"/>
          <w:color w:val="auto"/>
          <w:highlight w:val="none"/>
        </w:rPr>
        <w:t>承包人提供的施工设备和临时设施</w:t>
      </w:r>
    </w:p>
    <w:p w14:paraId="602E85A1">
      <w:pPr>
        <w:autoSpaceDE w:val="0"/>
        <w:autoSpaceDN w:val="0"/>
        <w:adjustRightInd w:val="0"/>
        <w:spacing w:line="360" w:lineRule="auto"/>
        <w:ind w:firstLine="420" w:firstLineChars="200"/>
        <w:jc w:val="left"/>
        <w:rPr>
          <w:color w:val="auto"/>
          <w:highlight w:val="none"/>
        </w:rPr>
      </w:pPr>
      <w:r>
        <w:rPr>
          <w:rFonts w:hint="eastAsia" w:hAnsi="宋体" w:cs="宋体"/>
          <w:color w:val="auto"/>
          <w:highlight w:val="none"/>
        </w:rPr>
        <w:t>除专用合同条款另有约定的其他独立承包人和监理人指示的他人提供条件外，承包人运入施工场地的所有施工设备以及在施工场地建设的临时设施仅限于用于合同工程。</w:t>
      </w:r>
      <w:r>
        <w:rPr>
          <w:rFonts w:hint="eastAsia" w:ascii="宋体" w:hAnsi="宋体" w:cs="宋体"/>
          <w:color w:val="auto"/>
          <w:highlight w:val="none"/>
        </w:rPr>
        <w:t>承包人用于本工程的主要机械设备清单见合同附件4。</w:t>
      </w:r>
    </w:p>
    <w:p w14:paraId="465FF82F">
      <w:pPr>
        <w:autoSpaceDE w:val="0"/>
        <w:autoSpaceDN w:val="0"/>
        <w:adjustRightInd w:val="0"/>
        <w:spacing w:line="360" w:lineRule="auto"/>
        <w:ind w:firstLine="420" w:firstLineChars="200"/>
        <w:jc w:val="left"/>
        <w:rPr>
          <w:color w:val="auto"/>
          <w:highlight w:val="none"/>
        </w:rPr>
      </w:pPr>
      <w:r>
        <w:rPr>
          <w:rFonts w:hint="eastAsia" w:hAnsi="宋体" w:cs="宋体"/>
          <w:color w:val="auto"/>
          <w:highlight w:val="none"/>
        </w:rPr>
        <w:t>关于修建临时设施费用承担的约定：</w:t>
      </w:r>
    </w:p>
    <w:p w14:paraId="5A16DFE3">
      <w:pPr>
        <w:autoSpaceDE w:val="0"/>
        <w:autoSpaceDN w:val="0"/>
        <w:adjustRightInd w:val="0"/>
        <w:spacing w:line="360" w:lineRule="auto"/>
        <w:ind w:firstLine="420" w:firstLineChars="200"/>
        <w:jc w:val="left"/>
        <w:rPr>
          <w:rFonts w:hint="eastAsia" w:hAnsi="宋体"/>
          <w:color w:val="auto"/>
          <w:highlight w:val="none"/>
          <w:u w:val="single"/>
        </w:rPr>
      </w:pPr>
      <w:r>
        <w:rPr>
          <w:rFonts w:hint="eastAsia" w:hAnsi="宋体"/>
          <w:color w:val="auto"/>
          <w:highlight w:val="none"/>
          <w:u w:val="single"/>
        </w:rPr>
        <w:t>①承包人的临时用地(含项目部驻地等)租用费(含拆迁补偿)、临时用地的环保、恢复、临时用地的青苗补偿及地面附着物拆除等费用均由承包人负责，以上费用在投标报价中综合考虑。</w:t>
      </w:r>
    </w:p>
    <w:p w14:paraId="4423F778">
      <w:pPr>
        <w:autoSpaceDE w:val="0"/>
        <w:autoSpaceDN w:val="0"/>
        <w:adjustRightInd w:val="0"/>
        <w:spacing w:line="360" w:lineRule="auto"/>
        <w:ind w:firstLine="420" w:firstLineChars="200"/>
        <w:jc w:val="left"/>
        <w:rPr>
          <w:rFonts w:hint="eastAsia" w:hAnsi="宋体"/>
          <w:color w:val="auto"/>
          <w:highlight w:val="none"/>
          <w:u w:val="single"/>
        </w:rPr>
      </w:pPr>
      <w:r>
        <w:rPr>
          <w:rFonts w:hint="eastAsia" w:hAnsi="宋体"/>
          <w:color w:val="auto"/>
          <w:highlight w:val="none"/>
          <w:u w:val="single"/>
        </w:rPr>
        <w:t>②承包人负责合同实施期间其合同段内临时交通道路(含场内外连接公共交通道路)和交通设施的修建、维修、养护和交通管理工作，并承担一切费用。</w:t>
      </w:r>
    </w:p>
    <w:p w14:paraId="1F00586A">
      <w:pPr>
        <w:autoSpaceDE w:val="0"/>
        <w:autoSpaceDN w:val="0"/>
        <w:adjustRightInd w:val="0"/>
        <w:spacing w:line="360" w:lineRule="auto"/>
        <w:ind w:firstLine="420" w:firstLineChars="200"/>
        <w:jc w:val="left"/>
        <w:rPr>
          <w:rFonts w:hint="eastAsia" w:hAnsi="宋体"/>
          <w:color w:val="auto"/>
          <w:highlight w:val="none"/>
          <w:u w:val="single"/>
        </w:rPr>
      </w:pPr>
      <w:r>
        <w:rPr>
          <w:rFonts w:hint="eastAsia" w:hAnsi="宋体"/>
          <w:color w:val="auto"/>
          <w:highlight w:val="none"/>
          <w:u w:val="single"/>
        </w:rPr>
        <w:t>③承包人修建的临时道路和交通设施，应免费提供给发包人、监理工程师和其他合同段的承包人使用，如共同使用的路基损坏严重，发包人或监理工程师将负责通知有关承包人共同出资修复，若使用频率相差悬殊，则按比例分摊。</w:t>
      </w:r>
    </w:p>
    <w:p w14:paraId="5C08D853">
      <w:pPr>
        <w:autoSpaceDE w:val="0"/>
        <w:autoSpaceDN w:val="0"/>
        <w:adjustRightInd w:val="0"/>
        <w:spacing w:line="360" w:lineRule="auto"/>
        <w:ind w:firstLine="420" w:firstLineChars="200"/>
        <w:jc w:val="left"/>
        <w:rPr>
          <w:color w:val="auto"/>
          <w:highlight w:val="none"/>
        </w:rPr>
      </w:pPr>
      <w:r>
        <w:rPr>
          <w:color w:val="auto"/>
          <w:highlight w:val="none"/>
        </w:rPr>
        <w:t xml:space="preserve">8.8.2 </w:t>
      </w:r>
      <w:r>
        <w:rPr>
          <w:rFonts w:hint="eastAsia" w:hAnsi="宋体" w:cs="宋体"/>
          <w:color w:val="auto"/>
          <w:highlight w:val="none"/>
        </w:rPr>
        <w:t>发包人提供的施工设备和临时设施</w:t>
      </w:r>
    </w:p>
    <w:p w14:paraId="0C092660">
      <w:pPr>
        <w:autoSpaceDE w:val="0"/>
        <w:autoSpaceDN w:val="0"/>
        <w:adjustRightInd w:val="0"/>
        <w:spacing w:line="360" w:lineRule="auto"/>
        <w:ind w:firstLine="420" w:firstLineChars="200"/>
        <w:jc w:val="left"/>
        <w:rPr>
          <w:color w:val="auto"/>
          <w:highlight w:val="none"/>
        </w:rPr>
      </w:pPr>
      <w:r>
        <w:rPr>
          <w:rFonts w:hint="eastAsia" w:hAnsi="宋体" w:cs="宋体"/>
          <w:color w:val="auto"/>
          <w:highlight w:val="none"/>
        </w:rPr>
        <w:t>发包人提供的施工设备和临时设施：</w:t>
      </w:r>
      <w:r>
        <w:rPr>
          <w:rFonts w:ascii="宋体" w:hAnsi="宋体" w:eastAsia="宋体" w:cs="宋体"/>
          <w:color w:val="auto"/>
          <w:highlight w:val="none"/>
          <w:u w:val="single"/>
        </w:rPr>
        <w:t xml:space="preserve"> 无 </w:t>
      </w:r>
      <w:r>
        <w:rPr>
          <w:rFonts w:hint="eastAsia" w:hAnsi="宋体" w:cs="宋体"/>
          <w:color w:val="auto"/>
          <w:highlight w:val="none"/>
        </w:rPr>
        <w:t>。</w:t>
      </w:r>
    </w:p>
    <w:p w14:paraId="59826002">
      <w:pPr>
        <w:autoSpaceDE w:val="0"/>
        <w:autoSpaceDN w:val="0"/>
        <w:adjustRightInd w:val="0"/>
        <w:spacing w:line="360" w:lineRule="auto"/>
        <w:ind w:firstLine="420" w:firstLineChars="200"/>
        <w:jc w:val="left"/>
        <w:rPr>
          <w:color w:val="auto"/>
          <w:highlight w:val="none"/>
        </w:rPr>
      </w:pPr>
      <w:r>
        <w:rPr>
          <w:rFonts w:hint="eastAsia" w:hAnsi="宋体" w:cs="宋体"/>
          <w:color w:val="auto"/>
          <w:highlight w:val="none"/>
        </w:rPr>
        <w:t>发包人提供的施工设备和临时设施的运行、维护、拆除、清运费用的承担人：</w:t>
      </w:r>
      <w:r>
        <w:rPr>
          <w:rFonts w:ascii="宋体" w:hAnsi="宋体" w:eastAsia="宋体" w:cs="宋体"/>
          <w:color w:val="auto"/>
          <w:highlight w:val="none"/>
          <w:u w:val="single"/>
        </w:rPr>
        <w:t xml:space="preserve"> 无 </w:t>
      </w:r>
      <w:r>
        <w:rPr>
          <w:rFonts w:hint="eastAsia" w:hAnsi="宋体" w:cs="宋体"/>
          <w:color w:val="auto"/>
          <w:highlight w:val="none"/>
        </w:rPr>
        <w:t>。</w:t>
      </w:r>
    </w:p>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p w14:paraId="1CF8D0DC">
      <w:pPr>
        <w:pStyle w:val="3"/>
        <w:rPr>
          <w:color w:val="auto"/>
          <w:highlight w:val="none"/>
        </w:rPr>
      </w:pPr>
      <w:bookmarkStart w:id="741" w:name="_Toc373227736"/>
      <w:bookmarkStart w:id="742" w:name="_Toc78449824"/>
      <w:bookmarkStart w:id="743" w:name="_Toc351203641"/>
      <w:bookmarkStart w:id="744" w:name="_Toc2039161841"/>
      <w:bookmarkStart w:id="745" w:name="_Toc407135238"/>
      <w:bookmarkStart w:id="746" w:name="_Toc2027787496"/>
      <w:bookmarkStart w:id="747" w:name="_Toc10217"/>
      <w:bookmarkStart w:id="748" w:name="_Toc373478383"/>
      <w:bookmarkStart w:id="749" w:name="_Toc389065302"/>
      <w:r>
        <w:rPr>
          <w:color w:val="auto"/>
          <w:highlight w:val="none"/>
        </w:rPr>
        <w:t>9</w:t>
      </w:r>
      <w:bookmarkEnd w:id="704"/>
      <w:bookmarkEnd w:id="705"/>
      <w:bookmarkEnd w:id="706"/>
      <w:bookmarkStart w:id="750" w:name="_Toc297123533"/>
      <w:bookmarkStart w:id="751" w:name="_Toc312677495"/>
      <w:bookmarkStart w:id="752" w:name="_Toc304295559"/>
      <w:bookmarkStart w:id="753" w:name="_Toc300934982"/>
      <w:bookmarkStart w:id="754" w:name="_Toc312678021"/>
      <w:bookmarkStart w:id="755" w:name="_Toc303539139"/>
      <w:bookmarkStart w:id="756" w:name="_Toc297216192"/>
      <w:bookmarkStart w:id="757" w:name="_Toc297120473"/>
      <w:bookmarkStart w:id="758" w:name="_Toc297048359"/>
      <w:bookmarkStart w:id="759" w:name="_Toc296891001"/>
      <w:bookmarkStart w:id="760" w:name="_Toc296503173"/>
      <w:bookmarkStart w:id="761" w:name="_Toc296347172"/>
      <w:bookmarkStart w:id="762" w:name="_Toc292559378"/>
      <w:bookmarkStart w:id="763" w:name="_Toc296891213"/>
      <w:bookmarkStart w:id="764" w:name="_Toc296944512"/>
      <w:bookmarkStart w:id="765" w:name="_Toc292559883"/>
      <w:bookmarkStart w:id="766" w:name="_Toc267251427"/>
      <w:bookmarkStart w:id="767" w:name="_Toc296346674"/>
      <w:bookmarkStart w:id="768" w:name="_Toc267251428"/>
      <w:r>
        <w:rPr>
          <w:color w:val="auto"/>
          <w:highlight w:val="none"/>
        </w:rPr>
        <w:t xml:space="preserve">. </w:t>
      </w:r>
      <w:r>
        <w:rPr>
          <w:rFonts w:hint="eastAsia" w:cs="黑体"/>
          <w:color w:val="auto"/>
          <w:highlight w:val="none"/>
        </w:rPr>
        <w:t>试验与检验</w:t>
      </w:r>
      <w:bookmarkEnd w:id="741"/>
      <w:bookmarkEnd w:id="742"/>
      <w:bookmarkEnd w:id="743"/>
      <w:bookmarkEnd w:id="744"/>
      <w:bookmarkEnd w:id="745"/>
      <w:bookmarkEnd w:id="746"/>
      <w:bookmarkEnd w:id="747"/>
      <w:bookmarkEnd w:id="748"/>
      <w:bookmarkEnd w:id="749"/>
    </w:p>
    <w:bookmarkEnd w:id="750"/>
    <w:bookmarkEnd w:id="751"/>
    <w:bookmarkEnd w:id="752"/>
    <w:bookmarkEnd w:id="753"/>
    <w:bookmarkEnd w:id="754"/>
    <w:bookmarkEnd w:id="755"/>
    <w:bookmarkEnd w:id="756"/>
    <w:p w14:paraId="5DFD4EF8">
      <w:pPr>
        <w:pStyle w:val="4"/>
        <w:rPr>
          <w:color w:val="auto"/>
          <w:highlight w:val="none"/>
        </w:rPr>
      </w:pPr>
      <w:bookmarkStart w:id="769" w:name="_Toc389065303"/>
      <w:bookmarkStart w:id="770" w:name="_Toc373478384"/>
      <w:bookmarkStart w:id="771" w:name="_Toc25325"/>
      <w:bookmarkStart w:id="772" w:name="_Toc78449825"/>
      <w:bookmarkStart w:id="773" w:name="_Toc373227737"/>
      <w:bookmarkStart w:id="774" w:name="_Toc407135239"/>
      <w:bookmarkStart w:id="775" w:name="_Toc530697003"/>
      <w:bookmarkStart w:id="776" w:name="_Toc1307315193"/>
      <w:r>
        <w:rPr>
          <w:color w:val="auto"/>
          <w:highlight w:val="none"/>
        </w:rPr>
        <w:t>9</w:t>
      </w:r>
      <w:bookmarkStart w:id="777" w:name="_Toc297123534"/>
      <w:bookmarkStart w:id="778" w:name="_Toc304295560"/>
      <w:bookmarkStart w:id="779" w:name="_Toc297216193"/>
      <w:bookmarkStart w:id="780" w:name="_Toc312677496"/>
      <w:bookmarkStart w:id="781" w:name="_Toc300934983"/>
      <w:bookmarkStart w:id="782" w:name="_Toc303539140"/>
      <w:bookmarkStart w:id="783" w:name="_Toc312678022"/>
      <w:r>
        <w:rPr>
          <w:color w:val="auto"/>
          <w:highlight w:val="none"/>
        </w:rPr>
        <w:t xml:space="preserve">.1 </w:t>
      </w:r>
      <w:r>
        <w:rPr>
          <w:rFonts w:hint="eastAsia" w:cs="黑体"/>
          <w:color w:val="auto"/>
          <w:highlight w:val="none"/>
        </w:rPr>
        <w:t>试验设备与试验人员</w:t>
      </w:r>
      <w:bookmarkEnd w:id="769"/>
      <w:bookmarkEnd w:id="770"/>
      <w:bookmarkEnd w:id="771"/>
      <w:bookmarkEnd w:id="772"/>
      <w:bookmarkEnd w:id="773"/>
      <w:bookmarkEnd w:id="774"/>
      <w:bookmarkEnd w:id="775"/>
      <w:bookmarkEnd w:id="776"/>
    </w:p>
    <w:bookmarkEnd w:id="777"/>
    <w:bookmarkEnd w:id="778"/>
    <w:bookmarkEnd w:id="779"/>
    <w:bookmarkEnd w:id="780"/>
    <w:bookmarkEnd w:id="781"/>
    <w:bookmarkEnd w:id="782"/>
    <w:bookmarkEnd w:id="783"/>
    <w:p w14:paraId="7EA7CD4E">
      <w:pPr>
        <w:spacing w:line="360" w:lineRule="auto"/>
        <w:ind w:firstLine="420" w:firstLineChars="200"/>
        <w:jc w:val="left"/>
        <w:rPr>
          <w:color w:val="auto"/>
          <w:highlight w:val="none"/>
        </w:rPr>
      </w:pPr>
      <w:r>
        <w:rPr>
          <w:color w:val="auto"/>
          <w:highlight w:val="none"/>
        </w:rPr>
        <w:t>9</w:t>
      </w:r>
      <w:bookmarkStart w:id="784" w:name="_Toc297123535"/>
      <w:bookmarkStart w:id="785" w:name="_Toc312677497"/>
      <w:bookmarkStart w:id="786" w:name="_Toc297216194"/>
      <w:bookmarkStart w:id="787" w:name="_Toc300934984"/>
      <w:bookmarkStart w:id="788" w:name="_Toc303539141"/>
      <w:bookmarkStart w:id="789" w:name="_Toc304295561"/>
      <w:bookmarkStart w:id="790" w:name="_Toc312678023"/>
      <w:bookmarkStart w:id="791" w:name="_Toc318581174"/>
      <w:r>
        <w:rPr>
          <w:color w:val="auto"/>
          <w:highlight w:val="none"/>
        </w:rPr>
        <w:t xml:space="preserve">.1.2 </w:t>
      </w:r>
      <w:r>
        <w:rPr>
          <w:rFonts w:hint="eastAsia" w:hAnsi="宋体" w:cs="宋体"/>
          <w:color w:val="auto"/>
          <w:highlight w:val="none"/>
        </w:rPr>
        <w:t>试验设备</w:t>
      </w:r>
    </w:p>
    <w:p w14:paraId="53E80396">
      <w:pPr>
        <w:spacing w:line="360" w:lineRule="auto"/>
        <w:ind w:firstLine="420" w:firstLineChars="200"/>
        <w:jc w:val="left"/>
        <w:rPr>
          <w:color w:val="auto"/>
          <w:highlight w:val="none"/>
          <w:u w:val="single"/>
        </w:rPr>
      </w:pPr>
      <w:r>
        <w:rPr>
          <w:rFonts w:hint="eastAsia" w:hAnsi="宋体" w:cs="宋体"/>
          <w:color w:val="auto"/>
          <w:highlight w:val="none"/>
        </w:rPr>
        <w:t>施工现场需要配置的试验场所：</w:t>
      </w:r>
      <w:bookmarkEnd w:id="784"/>
      <w:bookmarkEnd w:id="785"/>
      <w:bookmarkEnd w:id="786"/>
      <w:bookmarkEnd w:id="787"/>
      <w:bookmarkEnd w:id="788"/>
      <w:bookmarkEnd w:id="789"/>
      <w:bookmarkEnd w:id="790"/>
      <w:bookmarkStart w:id="792" w:name="_Toc303539142"/>
      <w:bookmarkStart w:id="793" w:name="_Toc312678024"/>
      <w:bookmarkStart w:id="794" w:name="_Toc304295562"/>
      <w:bookmarkStart w:id="795" w:name="_Toc300934985"/>
      <w:bookmarkStart w:id="796" w:name="_Toc297216195"/>
      <w:bookmarkStart w:id="797" w:name="_Toc297123536"/>
      <w:bookmarkStart w:id="798" w:name="_Toc312677498"/>
      <w:r>
        <w:rPr>
          <w:rFonts w:ascii="宋体" w:hAnsi="宋体" w:eastAsia="宋体" w:cs="宋体"/>
          <w:color w:val="auto"/>
          <w:spacing w:val="0"/>
          <w:highlight w:val="none"/>
          <w:u w:val="single"/>
        </w:rPr>
        <w:t xml:space="preserve"> 承包人根据施工需要自行确定 </w:t>
      </w:r>
      <w:r>
        <w:rPr>
          <w:rFonts w:hint="eastAsia" w:hAnsi="宋体" w:cs="宋体"/>
          <w:color w:val="auto"/>
          <w:highlight w:val="none"/>
        </w:rPr>
        <w:t>。</w:t>
      </w:r>
    </w:p>
    <w:p w14:paraId="1142A491">
      <w:pPr>
        <w:spacing w:line="360" w:lineRule="auto"/>
        <w:ind w:firstLine="420" w:firstLineChars="200"/>
        <w:jc w:val="left"/>
        <w:rPr>
          <w:color w:val="auto"/>
          <w:highlight w:val="none"/>
          <w:u w:val="single"/>
        </w:rPr>
      </w:pPr>
      <w:r>
        <w:rPr>
          <w:rFonts w:hint="eastAsia" w:hAnsi="宋体" w:cs="宋体"/>
          <w:color w:val="auto"/>
          <w:highlight w:val="none"/>
        </w:rPr>
        <w:t>施工现场需要配备的试验设备：</w:t>
      </w:r>
      <w:r>
        <w:rPr>
          <w:rFonts w:ascii="宋体" w:hAnsi="宋体" w:eastAsia="宋体" w:cs="宋体"/>
          <w:color w:val="auto"/>
          <w:spacing w:val="0"/>
          <w:highlight w:val="none"/>
          <w:u w:val="single"/>
        </w:rPr>
        <w:t xml:space="preserve"> 承包人根据施工需要自行确定 </w:t>
      </w:r>
      <w:r>
        <w:rPr>
          <w:rFonts w:hint="eastAsia" w:hAnsi="宋体" w:cs="宋体"/>
          <w:color w:val="auto"/>
          <w:highlight w:val="none"/>
        </w:rPr>
        <w:t>。</w:t>
      </w:r>
    </w:p>
    <w:p w14:paraId="08F8B427">
      <w:pPr>
        <w:spacing w:line="360" w:lineRule="auto"/>
        <w:ind w:firstLine="420" w:firstLineChars="200"/>
        <w:jc w:val="left"/>
        <w:rPr>
          <w:color w:val="auto"/>
          <w:highlight w:val="none"/>
          <w:u w:val="single"/>
        </w:rPr>
      </w:pPr>
      <w:r>
        <w:rPr>
          <w:rFonts w:hint="eastAsia" w:hAnsi="宋体" w:cs="宋体"/>
          <w:color w:val="auto"/>
          <w:highlight w:val="none"/>
        </w:rPr>
        <w:t>施工现场需要具备的其他试验条件：</w:t>
      </w:r>
      <w:r>
        <w:rPr>
          <w:rFonts w:ascii="宋体" w:hAnsi="宋体" w:eastAsia="宋体" w:cs="宋体"/>
          <w:color w:val="auto"/>
          <w:spacing w:val="0"/>
          <w:highlight w:val="none"/>
          <w:u w:val="single"/>
        </w:rPr>
        <w:t xml:space="preserve"> 承包人根据施工需要自行确定 </w:t>
      </w:r>
      <w:r>
        <w:rPr>
          <w:rFonts w:hint="eastAsia" w:hAnsi="宋体" w:cs="宋体"/>
          <w:color w:val="auto"/>
          <w:highlight w:val="none"/>
        </w:rPr>
        <w:t>。</w:t>
      </w:r>
    </w:p>
    <w:p w14:paraId="3481B95C">
      <w:pPr>
        <w:pStyle w:val="4"/>
        <w:rPr>
          <w:color w:val="auto"/>
          <w:highlight w:val="none"/>
        </w:rPr>
      </w:pPr>
      <w:bookmarkStart w:id="799" w:name="_Toc492347879"/>
      <w:bookmarkStart w:id="800" w:name="_Toc373227738"/>
      <w:bookmarkStart w:id="801" w:name="_Toc18231"/>
      <w:bookmarkStart w:id="802" w:name="_Toc389065304"/>
      <w:bookmarkStart w:id="803" w:name="_Toc78449826"/>
      <w:bookmarkStart w:id="804" w:name="_Toc373478385"/>
      <w:bookmarkStart w:id="805" w:name="_Toc2012255079"/>
      <w:bookmarkStart w:id="806" w:name="_Toc407135240"/>
      <w:r>
        <w:rPr>
          <w:color w:val="auto"/>
          <w:highlight w:val="none"/>
        </w:rPr>
        <w:t xml:space="preserve">9.4 </w:t>
      </w:r>
      <w:r>
        <w:rPr>
          <w:rFonts w:hint="eastAsia" w:hAnsi="宋体" w:cs="黑体"/>
          <w:color w:val="auto"/>
          <w:highlight w:val="none"/>
        </w:rPr>
        <w:t>现场工艺试验</w:t>
      </w:r>
      <w:bookmarkEnd w:id="799"/>
      <w:bookmarkEnd w:id="800"/>
      <w:bookmarkEnd w:id="801"/>
      <w:bookmarkEnd w:id="802"/>
      <w:bookmarkEnd w:id="803"/>
      <w:bookmarkEnd w:id="804"/>
      <w:bookmarkEnd w:id="805"/>
      <w:bookmarkEnd w:id="806"/>
      <w:r>
        <w:rPr>
          <w:color w:val="auto"/>
          <w:highlight w:val="none"/>
        </w:rPr>
        <w:t xml:space="preserve"> </w:t>
      </w:r>
    </w:p>
    <w:p w14:paraId="40EFED81">
      <w:pPr>
        <w:spacing w:line="360" w:lineRule="auto"/>
        <w:ind w:firstLine="420" w:firstLineChars="200"/>
        <w:jc w:val="left"/>
        <w:rPr>
          <w:color w:val="auto"/>
          <w:highlight w:val="none"/>
        </w:rPr>
      </w:pPr>
      <w:r>
        <w:rPr>
          <w:rFonts w:hint="eastAsia" w:hAnsi="宋体" w:cs="宋体"/>
          <w:color w:val="auto"/>
          <w:highlight w:val="none"/>
        </w:rPr>
        <w:t>现场工艺试验的有关约定：</w:t>
      </w:r>
      <w:r>
        <w:rPr>
          <w:rFonts w:ascii="宋体" w:hAnsi="宋体" w:eastAsia="宋体" w:cs="宋体"/>
          <w:color w:val="auto"/>
          <w:spacing w:val="0"/>
          <w:highlight w:val="none"/>
          <w:u w:val="single"/>
        </w:rPr>
        <w:t xml:space="preserve"> 需要时双方协商 </w:t>
      </w:r>
      <w:r>
        <w:rPr>
          <w:rFonts w:hint="eastAsia" w:hAnsi="宋体" w:cs="宋体"/>
          <w:color w:val="auto"/>
          <w:highlight w:val="none"/>
        </w:rPr>
        <w:t>。</w:t>
      </w:r>
    </w:p>
    <w:p w14:paraId="75F4B416">
      <w:pPr>
        <w:pStyle w:val="4"/>
        <w:rPr>
          <w:color w:val="auto"/>
          <w:highlight w:val="none"/>
        </w:rPr>
      </w:pPr>
      <w:bookmarkStart w:id="807" w:name="_Toc1539824686"/>
      <w:bookmarkStart w:id="808" w:name="_Toc78449827"/>
      <w:bookmarkStart w:id="809" w:name="_Toc393419678"/>
      <w:bookmarkStart w:id="810" w:name="_Toc407135241"/>
      <w:bookmarkStart w:id="811" w:name="_Toc197"/>
      <w:bookmarkStart w:id="812" w:name="OLE_LINK1"/>
      <w:r>
        <w:rPr>
          <w:color w:val="auto"/>
          <w:highlight w:val="none"/>
        </w:rPr>
        <w:t xml:space="preserve">9.5 </w:t>
      </w:r>
      <w:r>
        <w:rPr>
          <w:rFonts w:hint="eastAsia" w:hAnsi="宋体" w:cs="黑体"/>
          <w:color w:val="auto"/>
          <w:highlight w:val="none"/>
        </w:rPr>
        <w:t>检验费用</w:t>
      </w:r>
      <w:bookmarkEnd w:id="807"/>
      <w:bookmarkEnd w:id="808"/>
      <w:bookmarkEnd w:id="809"/>
      <w:bookmarkEnd w:id="810"/>
      <w:bookmarkEnd w:id="811"/>
    </w:p>
    <w:p w14:paraId="2B2A2C4C">
      <w:pPr>
        <w:spacing w:line="360" w:lineRule="auto"/>
        <w:ind w:firstLine="411" w:firstLineChars="196"/>
        <w:rPr>
          <w:color w:val="auto"/>
          <w:highlight w:val="none"/>
        </w:rPr>
      </w:pPr>
      <w:r>
        <w:rPr>
          <w:rFonts w:hint="eastAsia" w:hAnsi="宋体" w:cs="宋体"/>
          <w:color w:val="auto"/>
          <w:highlight w:val="none"/>
        </w:rPr>
        <w:t>根据《建设工程质量检测管理办法》（建设部令第</w:t>
      </w:r>
      <w:r>
        <w:rPr>
          <w:color w:val="auto"/>
          <w:highlight w:val="none"/>
        </w:rPr>
        <w:t>141</w:t>
      </w:r>
      <w:r>
        <w:rPr>
          <w:rFonts w:hint="eastAsia" w:hAnsi="宋体" w:cs="宋体"/>
          <w:color w:val="auto"/>
          <w:highlight w:val="none"/>
        </w:rPr>
        <w:t>号）以及《广西壮族自治区建设工程质量检测管理规定》</w:t>
      </w:r>
      <w:r>
        <w:rPr>
          <w:rFonts w:hint="eastAsia" w:cs="宋体"/>
          <w:color w:val="auto"/>
          <w:highlight w:val="none"/>
        </w:rPr>
        <w:t>（</w:t>
      </w:r>
      <w:r>
        <w:rPr>
          <w:rFonts w:hint="eastAsia" w:hAnsi="宋体" w:cs="宋体"/>
          <w:color w:val="auto"/>
          <w:highlight w:val="none"/>
        </w:rPr>
        <w:t>桂建管</w:t>
      </w:r>
      <w:r>
        <w:rPr>
          <w:rFonts w:hint="eastAsia" w:cs="宋体"/>
          <w:color w:val="auto"/>
          <w:highlight w:val="none"/>
        </w:rPr>
        <w:t>〔</w:t>
      </w:r>
      <w:r>
        <w:rPr>
          <w:color w:val="auto"/>
          <w:highlight w:val="none"/>
        </w:rPr>
        <w:t>2013</w:t>
      </w:r>
      <w:r>
        <w:rPr>
          <w:rFonts w:hint="eastAsia" w:cs="宋体"/>
          <w:color w:val="auto"/>
          <w:highlight w:val="none"/>
        </w:rPr>
        <w:t>〕</w:t>
      </w:r>
      <w:r>
        <w:rPr>
          <w:color w:val="auto"/>
          <w:highlight w:val="none"/>
        </w:rPr>
        <w:t>11</w:t>
      </w:r>
      <w:r>
        <w:rPr>
          <w:rFonts w:hint="eastAsia" w:hAnsi="宋体" w:cs="宋体"/>
          <w:color w:val="auto"/>
          <w:highlight w:val="none"/>
        </w:rPr>
        <w:t>号</w:t>
      </w:r>
      <w:r>
        <w:rPr>
          <w:rFonts w:hint="eastAsia" w:cs="宋体"/>
          <w:color w:val="auto"/>
          <w:highlight w:val="none"/>
        </w:rPr>
        <w:t>）</w:t>
      </w:r>
      <w:r>
        <w:rPr>
          <w:rFonts w:hint="eastAsia" w:hAnsi="宋体" w:cs="宋体"/>
          <w:color w:val="auto"/>
          <w:highlight w:val="none"/>
        </w:rPr>
        <w:t>规定，工程质量检测业务由发包人委托有相应资质的检测机构检测。费用从发包人的项目建设经费中支出并直接支付给检测机构，不计入合同价款内。</w:t>
      </w:r>
    </w:p>
    <w:bookmarkEnd w:id="791"/>
    <w:bookmarkEnd w:id="792"/>
    <w:bookmarkEnd w:id="793"/>
    <w:bookmarkEnd w:id="794"/>
    <w:bookmarkEnd w:id="795"/>
    <w:bookmarkEnd w:id="796"/>
    <w:bookmarkEnd w:id="797"/>
    <w:bookmarkEnd w:id="798"/>
    <w:bookmarkEnd w:id="812"/>
    <w:p w14:paraId="236D7539">
      <w:pPr>
        <w:pStyle w:val="3"/>
        <w:rPr>
          <w:color w:val="auto"/>
          <w:highlight w:val="none"/>
        </w:rPr>
      </w:pPr>
      <w:bookmarkStart w:id="813" w:name="_Toc1278407274"/>
      <w:bookmarkStart w:id="814" w:name="_Toc351203642"/>
      <w:bookmarkStart w:id="815" w:name="_Toc78449828"/>
      <w:bookmarkStart w:id="816" w:name="_Toc389065305"/>
      <w:bookmarkStart w:id="817" w:name="_Toc603662032"/>
      <w:bookmarkStart w:id="818" w:name="_Toc373227739"/>
      <w:bookmarkStart w:id="819" w:name="_Toc407135242"/>
      <w:bookmarkStart w:id="820" w:name="_Toc28042"/>
      <w:bookmarkStart w:id="821" w:name="_Toc373478386"/>
      <w:r>
        <w:rPr>
          <w:color w:val="auto"/>
          <w:highlight w:val="none"/>
        </w:rPr>
        <w:t>1</w:t>
      </w:r>
      <w:bookmarkEnd w:id="757"/>
      <w:bookmarkEnd w:id="758"/>
      <w:bookmarkEnd w:id="759"/>
      <w:bookmarkEnd w:id="760"/>
      <w:bookmarkEnd w:id="761"/>
      <w:bookmarkEnd w:id="762"/>
      <w:bookmarkEnd w:id="763"/>
      <w:bookmarkEnd w:id="764"/>
      <w:bookmarkEnd w:id="765"/>
      <w:bookmarkEnd w:id="766"/>
      <w:bookmarkEnd w:id="767"/>
      <w:bookmarkEnd w:id="768"/>
      <w:bookmarkStart w:id="822" w:name="_Toc297216199"/>
      <w:bookmarkStart w:id="823" w:name="_Toc296891021"/>
      <w:bookmarkStart w:id="824" w:name="_Toc296503193"/>
      <w:bookmarkStart w:id="825" w:name="_Toc296891233"/>
      <w:bookmarkStart w:id="826" w:name="_Toc292559398"/>
      <w:bookmarkStart w:id="827" w:name="_Toc297120493"/>
      <w:bookmarkStart w:id="828" w:name="_Toc300934989"/>
      <w:bookmarkStart w:id="829" w:name="_Toc296944532"/>
      <w:bookmarkStart w:id="830" w:name="_Toc297123540"/>
      <w:bookmarkStart w:id="831" w:name="_Toc296347192"/>
      <w:bookmarkStart w:id="832" w:name="_Toc297048379"/>
      <w:bookmarkStart w:id="833" w:name="_Toc303539146"/>
      <w:bookmarkStart w:id="834" w:name="_Toc296346694"/>
      <w:bookmarkStart w:id="835" w:name="_Toc292559903"/>
      <w:bookmarkStart w:id="836" w:name="_Toc304295566"/>
      <w:bookmarkStart w:id="837" w:name="_Toc312678025"/>
      <w:bookmarkStart w:id="838" w:name="_Toc312677499"/>
      <w:bookmarkStart w:id="839" w:name="_Toc267251433"/>
      <w:bookmarkStart w:id="840" w:name="_Toc267251435"/>
      <w:bookmarkStart w:id="841" w:name="_Toc267251441"/>
      <w:bookmarkStart w:id="842" w:name="_Toc267251437"/>
      <w:bookmarkStart w:id="843" w:name="_Toc267251440"/>
      <w:bookmarkStart w:id="844" w:name="_Toc267251439"/>
      <w:bookmarkStart w:id="845" w:name="_Toc267251442"/>
      <w:r>
        <w:rPr>
          <w:color w:val="auto"/>
          <w:highlight w:val="none"/>
        </w:rPr>
        <w:t xml:space="preserve">0. </w:t>
      </w:r>
      <w:r>
        <w:rPr>
          <w:rFonts w:hint="eastAsia" w:hAnsi="宋体" w:cs="黑体"/>
          <w:color w:val="auto"/>
          <w:highlight w:val="none"/>
        </w:rPr>
        <w:t>变更</w:t>
      </w:r>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p>
    <w:bookmarkEnd w:id="837"/>
    <w:bookmarkEnd w:id="838"/>
    <w:p w14:paraId="251F62AA">
      <w:pPr>
        <w:pStyle w:val="4"/>
        <w:rPr>
          <w:color w:val="auto"/>
          <w:highlight w:val="none"/>
        </w:rPr>
      </w:pPr>
      <w:bookmarkStart w:id="846" w:name="_Toc13538"/>
      <w:bookmarkStart w:id="847" w:name="_Toc78449829"/>
      <w:bookmarkStart w:id="848" w:name="_Toc389065306"/>
      <w:bookmarkStart w:id="849" w:name="_Toc1890371558"/>
      <w:bookmarkStart w:id="850" w:name="_Toc373227740"/>
      <w:bookmarkStart w:id="851" w:name="_Toc407135243"/>
      <w:bookmarkStart w:id="852" w:name="_Toc411143415"/>
      <w:bookmarkStart w:id="853" w:name="_Toc373478387"/>
      <w:r>
        <w:rPr>
          <w:color w:val="auto"/>
          <w:highlight w:val="none"/>
        </w:rPr>
        <w:t>1</w:t>
      </w:r>
      <w:bookmarkStart w:id="854" w:name="_Toc296346695"/>
      <w:bookmarkStart w:id="855" w:name="_Toc303539147"/>
      <w:bookmarkStart w:id="856" w:name="_Toc304295567"/>
      <w:bookmarkStart w:id="857" w:name="_Toc297120494"/>
      <w:bookmarkStart w:id="858" w:name="_Toc296347193"/>
      <w:bookmarkStart w:id="859" w:name="_Toc300934990"/>
      <w:bookmarkStart w:id="860" w:name="_Toc312677500"/>
      <w:bookmarkStart w:id="861" w:name="_Toc297048380"/>
      <w:bookmarkStart w:id="862" w:name="_Toc296891022"/>
      <w:bookmarkStart w:id="863" w:name="_Toc297123541"/>
      <w:bookmarkStart w:id="864" w:name="_Toc292559904"/>
      <w:bookmarkStart w:id="865" w:name="_Toc297216200"/>
      <w:bookmarkStart w:id="866" w:name="_Toc296944533"/>
      <w:bookmarkStart w:id="867" w:name="_Toc312678026"/>
      <w:bookmarkStart w:id="868" w:name="_Toc296503194"/>
      <w:bookmarkStart w:id="869" w:name="_Toc296891234"/>
      <w:bookmarkStart w:id="870" w:name="_Toc292559399"/>
      <w:r>
        <w:rPr>
          <w:color w:val="auto"/>
          <w:highlight w:val="none"/>
        </w:rPr>
        <w:t xml:space="preserve">0.1 </w:t>
      </w:r>
      <w:r>
        <w:rPr>
          <w:rFonts w:hint="eastAsia" w:hAnsi="宋体" w:cs="黑体"/>
          <w:color w:val="auto"/>
          <w:highlight w:val="none"/>
        </w:rPr>
        <w:t>变更的范围</w:t>
      </w:r>
      <w:bookmarkEnd w:id="846"/>
      <w:bookmarkEnd w:id="847"/>
      <w:bookmarkEnd w:id="848"/>
      <w:bookmarkEnd w:id="849"/>
      <w:bookmarkEnd w:id="850"/>
      <w:bookmarkEnd w:id="851"/>
      <w:bookmarkEnd w:id="852"/>
      <w:bookmarkEnd w:id="853"/>
    </w:p>
    <w:p w14:paraId="44A9CE61">
      <w:pPr>
        <w:spacing w:line="360" w:lineRule="auto"/>
        <w:ind w:firstLine="426"/>
        <w:jc w:val="left"/>
        <w:rPr>
          <w:color w:val="auto"/>
          <w:highlight w:val="none"/>
        </w:rPr>
      </w:pPr>
      <w:r>
        <w:rPr>
          <w:rFonts w:hint="eastAsia" w:hAnsi="宋体" w:cs="宋体"/>
          <w:color w:val="auto"/>
          <w:highlight w:val="none"/>
        </w:rPr>
        <w:t>关于变更的范围的约定：</w:t>
      </w:r>
      <w:r>
        <w:rPr>
          <w:rFonts w:ascii="宋体" w:hAnsi="宋体" w:eastAsia="宋体" w:cs="宋体"/>
          <w:color w:val="auto"/>
          <w:spacing w:val="0"/>
          <w:highlight w:val="none"/>
          <w:u w:val="single"/>
        </w:rPr>
        <w:t xml:space="preserve"> 执行通用合同条款</w:t>
      </w:r>
      <w:r>
        <w:rPr>
          <w:rFonts w:ascii="Calibri" w:hAnsi="Calibri" w:eastAsia="Calibri" w:cs="Calibri"/>
          <w:color w:val="auto"/>
          <w:spacing w:val="0"/>
          <w:highlight w:val="none"/>
          <w:u w:val="single"/>
        </w:rPr>
        <w:t>10.1</w:t>
      </w:r>
      <w:r>
        <w:rPr>
          <w:rFonts w:ascii="宋体" w:hAnsi="宋体" w:eastAsia="宋体" w:cs="宋体"/>
          <w:color w:val="auto"/>
          <w:spacing w:val="0"/>
          <w:highlight w:val="none"/>
          <w:u w:val="single"/>
        </w:rPr>
        <w:t>款并经发包人、监理单位、设计单位等有关单位签字</w:t>
      </w:r>
      <w:r>
        <w:rPr>
          <w:rFonts w:ascii="宋体" w:hAnsi="宋体" w:eastAsia="宋体" w:cs="宋体"/>
          <w:color w:val="auto"/>
          <w:highlight w:val="none"/>
          <w:u w:val="single"/>
        </w:rPr>
        <w:t xml:space="preserve">确认后，方可作为工程结算依据 </w:t>
      </w:r>
      <w:r>
        <w:rPr>
          <w:rFonts w:hint="eastAsia" w:hAnsi="宋体" w:cs="宋体"/>
          <w:color w:val="auto"/>
          <w:highlight w:val="none"/>
        </w:rPr>
        <w:t>。</w:t>
      </w:r>
    </w:p>
    <w:p w14:paraId="23D90F07">
      <w:pPr>
        <w:pStyle w:val="4"/>
        <w:rPr>
          <w:color w:val="auto"/>
          <w:highlight w:val="none"/>
        </w:rPr>
      </w:pPr>
      <w:bookmarkStart w:id="871" w:name="_Toc26644"/>
      <w:bookmarkStart w:id="872" w:name="_Toc78449830"/>
      <w:bookmarkStart w:id="873" w:name="_Toc373227741"/>
      <w:bookmarkStart w:id="874" w:name="_Toc450749207"/>
      <w:bookmarkStart w:id="875" w:name="_Toc407135244"/>
      <w:bookmarkStart w:id="876" w:name="_Toc389065307"/>
      <w:bookmarkStart w:id="877" w:name="_Toc373478388"/>
      <w:bookmarkStart w:id="878" w:name="_Toc1641633295"/>
      <w:r>
        <w:rPr>
          <w:color w:val="auto"/>
          <w:highlight w:val="none"/>
        </w:rPr>
        <w:t xml:space="preserve">10.3 </w:t>
      </w:r>
      <w:r>
        <w:rPr>
          <w:rFonts w:hint="eastAsia" w:hAnsi="宋体" w:cs="黑体"/>
          <w:color w:val="auto"/>
          <w:highlight w:val="none"/>
        </w:rPr>
        <w:t>变更程序</w:t>
      </w:r>
      <w:bookmarkEnd w:id="871"/>
      <w:bookmarkEnd w:id="872"/>
      <w:bookmarkEnd w:id="873"/>
      <w:bookmarkEnd w:id="874"/>
      <w:bookmarkEnd w:id="875"/>
      <w:bookmarkEnd w:id="876"/>
      <w:bookmarkEnd w:id="877"/>
      <w:bookmarkEnd w:id="878"/>
    </w:p>
    <w:p w14:paraId="6B253C3E">
      <w:pPr>
        <w:pStyle w:val="15"/>
        <w:spacing w:line="360" w:lineRule="auto"/>
        <w:ind w:firstLine="441" w:firstLineChars="210"/>
        <w:rPr>
          <w:rFonts w:ascii="Times New Roman" w:hAnsi="Times New Roman"/>
          <w:color w:val="auto"/>
          <w:sz w:val="21"/>
          <w:szCs w:val="21"/>
          <w:highlight w:val="none"/>
        </w:rPr>
      </w:pPr>
      <w:r>
        <w:rPr>
          <w:rFonts w:ascii="Times New Roman" w:hAnsi="Times New Roman"/>
          <w:color w:val="auto"/>
          <w:sz w:val="21"/>
          <w:szCs w:val="21"/>
          <w:highlight w:val="none"/>
        </w:rPr>
        <w:t>10.3.1</w:t>
      </w:r>
      <w:r>
        <w:rPr>
          <w:rFonts w:hint="eastAsia" w:ascii="Times New Roman" w:hAnsi="Times New Roman"/>
          <w:color w:val="auto"/>
          <w:sz w:val="21"/>
          <w:szCs w:val="21"/>
          <w:highlight w:val="none"/>
        </w:rPr>
        <w:t>国有投资项目：</w:t>
      </w:r>
    </w:p>
    <w:p w14:paraId="190439DD">
      <w:pPr>
        <w:pStyle w:val="15"/>
        <w:spacing w:line="360" w:lineRule="auto"/>
        <w:ind w:firstLine="441" w:firstLineChars="210"/>
        <w:rPr>
          <w:rFonts w:ascii="Times New Roman" w:hAnsi="宋体"/>
          <w:bCs/>
          <w:color w:val="auto"/>
          <w:sz w:val="21"/>
          <w:szCs w:val="21"/>
          <w:highlight w:val="none"/>
        </w:rPr>
      </w:pPr>
      <w:r>
        <w:rPr>
          <w:rFonts w:hint="eastAsia" w:ascii="Times New Roman" w:hAnsi="宋体"/>
          <w:bCs/>
          <w:color w:val="auto"/>
          <w:sz w:val="21"/>
          <w:szCs w:val="21"/>
          <w:highlight w:val="none"/>
        </w:rPr>
        <w:t>⑴设计变更和工程签证，按各市政府或相关部门的规定办理。属不可抗力（自然灾害、突发事件等）造成变更的，按特事特办原则予以办理。</w:t>
      </w:r>
    </w:p>
    <w:p w14:paraId="730A99ED">
      <w:pPr>
        <w:pStyle w:val="15"/>
        <w:spacing w:line="360" w:lineRule="auto"/>
        <w:ind w:firstLine="441" w:firstLineChars="210"/>
        <w:rPr>
          <w:rFonts w:ascii="Times New Roman" w:hAnsi="宋体"/>
          <w:bCs/>
          <w:color w:val="auto"/>
          <w:sz w:val="21"/>
          <w:szCs w:val="21"/>
          <w:highlight w:val="none"/>
        </w:rPr>
      </w:pPr>
      <w:r>
        <w:rPr>
          <w:rFonts w:hint="eastAsia" w:ascii="Times New Roman" w:hAnsi="宋体"/>
          <w:bCs/>
          <w:color w:val="auto"/>
          <w:sz w:val="21"/>
          <w:szCs w:val="21"/>
          <w:highlight w:val="none"/>
        </w:rPr>
        <w:t>⑵建设单位在实施项目过程中，若发生单价变动，由发包人、承包人、监理或造价咨询等单位共同商定并签字确认。</w:t>
      </w:r>
    </w:p>
    <w:p w14:paraId="1958059E">
      <w:pPr>
        <w:pStyle w:val="15"/>
        <w:spacing w:line="360" w:lineRule="auto"/>
        <w:ind w:firstLine="441" w:firstLineChars="210"/>
        <w:rPr>
          <w:rFonts w:ascii="Times New Roman" w:hAnsi="宋体"/>
          <w:bCs/>
          <w:color w:val="auto"/>
          <w:sz w:val="21"/>
          <w:szCs w:val="21"/>
          <w:highlight w:val="none"/>
        </w:rPr>
      </w:pPr>
      <w:r>
        <w:rPr>
          <w:rFonts w:hint="eastAsia" w:ascii="Times New Roman" w:hAnsi="宋体"/>
          <w:bCs/>
          <w:color w:val="auto"/>
          <w:sz w:val="21"/>
          <w:szCs w:val="21"/>
          <w:highlight w:val="none"/>
        </w:rPr>
        <w:t>⑶</w:t>
      </w:r>
      <w:r>
        <w:rPr>
          <w:rFonts w:ascii="Times New Roman" w:hAnsi="宋体"/>
          <w:bCs/>
          <w:color w:val="auto"/>
          <w:sz w:val="21"/>
          <w:szCs w:val="21"/>
          <w:highlight w:val="none"/>
        </w:rPr>
        <w:t xml:space="preserve"> </w:t>
      </w:r>
      <w:r>
        <w:rPr>
          <w:rFonts w:hint="eastAsia" w:ascii="Times New Roman" w:hAnsi="宋体"/>
          <w:bCs/>
          <w:color w:val="auto"/>
          <w:sz w:val="21"/>
          <w:szCs w:val="21"/>
          <w:highlight w:val="none"/>
        </w:rPr>
        <w:t>当合同规定的合同价款调整情况发生后，承包人未在规定时间内通知发包人，或者未在规定时间内提出调整报告，发包人可以根据有关资料，决定是否调整和调整的金额，并书面通知承包人。</w:t>
      </w:r>
    </w:p>
    <w:p w14:paraId="047D0555">
      <w:pPr>
        <w:spacing w:line="360" w:lineRule="auto"/>
        <w:ind w:firstLine="420" w:firstLineChars="200"/>
        <w:jc w:val="left"/>
        <w:rPr>
          <w:color w:val="auto"/>
          <w:highlight w:val="none"/>
        </w:rPr>
      </w:pPr>
      <w:r>
        <w:rPr>
          <w:color w:val="auto"/>
          <w:highlight w:val="none"/>
        </w:rPr>
        <w:t xml:space="preserve">10.3.2 </w:t>
      </w:r>
      <w:r>
        <w:rPr>
          <w:rFonts w:hint="eastAsia" w:cs="宋体"/>
          <w:color w:val="auto"/>
          <w:highlight w:val="none"/>
        </w:rPr>
        <w:t>非国有投资项目：</w:t>
      </w:r>
      <w:r>
        <w:rPr>
          <w:color w:val="auto"/>
          <w:highlight w:val="none"/>
        </w:rPr>
        <w:t xml:space="preserve"> </w:t>
      </w:r>
      <w:r>
        <w:rPr>
          <w:rFonts w:hint="eastAsia"/>
          <w:color w:val="auto"/>
          <w:highlight w:val="none"/>
          <w:u w:val="single"/>
          <w:lang w:val="en-US" w:eastAsia="zh-CN"/>
        </w:rPr>
        <w:t xml:space="preserve">  /</w:t>
      </w:r>
      <w:r>
        <w:rPr>
          <w:color w:val="auto"/>
          <w:highlight w:val="none"/>
          <w:u w:val="single"/>
        </w:rPr>
        <w:t xml:space="preserve">  </w:t>
      </w:r>
      <w:r>
        <w:rPr>
          <w:rFonts w:hint="eastAsia" w:hAnsi="宋体" w:cs="宋体"/>
          <w:color w:val="auto"/>
          <w:highlight w:val="none"/>
        </w:rPr>
        <w:t>。</w:t>
      </w:r>
    </w:p>
    <w:p w14:paraId="1ABFFED1">
      <w:pPr>
        <w:pStyle w:val="4"/>
        <w:rPr>
          <w:color w:val="auto"/>
          <w:highlight w:val="none"/>
        </w:rPr>
      </w:pPr>
      <w:bookmarkStart w:id="879" w:name="_Toc23611"/>
      <w:bookmarkStart w:id="880" w:name="_Toc780640360"/>
      <w:bookmarkStart w:id="881" w:name="_Toc78449831"/>
      <w:bookmarkStart w:id="882" w:name="_Toc373478389"/>
      <w:bookmarkStart w:id="883" w:name="_Toc389065308"/>
      <w:bookmarkStart w:id="884" w:name="_Toc407135245"/>
      <w:bookmarkStart w:id="885" w:name="_Toc373227742"/>
      <w:bookmarkStart w:id="886" w:name="_Toc1645711468"/>
      <w:r>
        <w:rPr>
          <w:color w:val="auto"/>
          <w:highlight w:val="none"/>
        </w:rPr>
        <w:t xml:space="preserve">10.4 </w:t>
      </w:r>
      <w:r>
        <w:rPr>
          <w:rFonts w:hint="eastAsia" w:hAnsi="宋体" w:cs="黑体"/>
          <w:color w:val="auto"/>
          <w:highlight w:val="none"/>
        </w:rPr>
        <w:t>变更估价</w:t>
      </w:r>
      <w:bookmarkEnd w:id="879"/>
      <w:bookmarkEnd w:id="880"/>
      <w:bookmarkEnd w:id="881"/>
      <w:bookmarkEnd w:id="882"/>
      <w:bookmarkEnd w:id="883"/>
      <w:bookmarkEnd w:id="884"/>
      <w:bookmarkEnd w:id="885"/>
      <w:bookmarkEnd w:id="886"/>
    </w:p>
    <w:p w14:paraId="4B0A15EB">
      <w:pPr>
        <w:spacing w:line="360" w:lineRule="auto"/>
        <w:ind w:firstLine="420" w:firstLineChars="200"/>
        <w:jc w:val="left"/>
        <w:rPr>
          <w:color w:val="auto"/>
          <w:highlight w:val="none"/>
        </w:rPr>
      </w:pPr>
      <w:r>
        <w:rPr>
          <w:color w:val="auto"/>
          <w:highlight w:val="none"/>
        </w:rPr>
        <w:t xml:space="preserve">10.4.1 </w:t>
      </w:r>
      <w:r>
        <w:rPr>
          <w:rFonts w:hint="eastAsia" w:hAnsi="宋体" w:cs="宋体"/>
          <w:color w:val="auto"/>
          <w:highlight w:val="none"/>
        </w:rPr>
        <w:t>变更估价原则</w:t>
      </w:r>
    </w:p>
    <w:p w14:paraId="38A0D0CE">
      <w:pPr>
        <w:spacing w:line="360" w:lineRule="auto"/>
        <w:ind w:firstLine="420" w:firstLineChars="200"/>
        <w:jc w:val="left"/>
        <w:rPr>
          <w:rFonts w:hAnsi="宋体"/>
          <w:color w:val="auto"/>
          <w:highlight w:val="none"/>
        </w:rPr>
      </w:pPr>
      <w:r>
        <w:rPr>
          <w:rFonts w:hint="eastAsia" w:hAnsi="宋体" w:cs="宋体"/>
          <w:color w:val="auto"/>
          <w:highlight w:val="none"/>
        </w:rPr>
        <w:t>关于变更估价的约定</w:t>
      </w:r>
      <w:r>
        <w:rPr>
          <w:rFonts w:hint="eastAsia"/>
          <w:color w:val="auto"/>
          <w:highlight w:val="none"/>
          <w:lang w:eastAsia="zh-CN"/>
        </w:rPr>
        <w:t>：</w:t>
      </w:r>
      <w:bookmarkStart w:id="887" w:name="_Toc251051742"/>
      <w:r>
        <w:rPr>
          <w:rFonts w:hint="eastAsia" w:hAnsi="宋体" w:cs="宋体"/>
          <w:color w:val="auto"/>
          <w:highlight w:val="none"/>
          <w:u w:val="single"/>
        </w:rPr>
        <w:t>工程变更合同价款按下列方法进行：（</w:t>
      </w:r>
      <w:r>
        <w:rPr>
          <w:color w:val="auto"/>
          <w:highlight w:val="none"/>
          <w:u w:val="single"/>
        </w:rPr>
        <w:t>1</w:t>
      </w:r>
      <w:r>
        <w:rPr>
          <w:rFonts w:hint="eastAsia" w:hAnsi="宋体" w:cs="宋体"/>
          <w:color w:val="auto"/>
          <w:highlight w:val="none"/>
          <w:u w:val="single"/>
        </w:rPr>
        <w:t>）合同中已有相同清单项目的，按合同该清单项目价格进行计算；（</w:t>
      </w:r>
      <w:r>
        <w:rPr>
          <w:color w:val="auto"/>
          <w:highlight w:val="none"/>
          <w:u w:val="single"/>
        </w:rPr>
        <w:t>2</w:t>
      </w:r>
      <w:r>
        <w:rPr>
          <w:rFonts w:hint="eastAsia" w:hAnsi="宋体" w:cs="宋体"/>
          <w:color w:val="auto"/>
          <w:highlight w:val="none"/>
          <w:u w:val="single"/>
        </w:rPr>
        <w:t>）合同中只有类似清单项目的，参照该类似清单项目价格进行计算；（</w:t>
      </w:r>
      <w:r>
        <w:rPr>
          <w:color w:val="auto"/>
          <w:highlight w:val="none"/>
          <w:u w:val="single"/>
        </w:rPr>
        <w:t>3</w:t>
      </w:r>
      <w:r>
        <w:rPr>
          <w:rFonts w:hint="eastAsia" w:hAnsi="宋体" w:cs="宋体"/>
          <w:color w:val="auto"/>
          <w:highlight w:val="none"/>
          <w:u w:val="single"/>
        </w:rPr>
        <w:t>）合同中没有适用或类似清单项目的价格计算方法：有定额的套定额，并（</w:t>
      </w:r>
      <w:r>
        <w:rPr>
          <w:rFonts w:hint="eastAsia" w:cs="宋体"/>
          <w:b/>
          <w:bCs/>
          <w:color w:val="auto"/>
          <w:highlight w:val="none"/>
          <w:u w:val="single"/>
          <w:lang w:eastAsia="zh-CN"/>
        </w:rPr>
        <w:t>☑</w:t>
      </w:r>
      <w:r>
        <w:rPr>
          <w:rFonts w:hint="eastAsia" w:hAnsi="宋体" w:cs="宋体"/>
          <w:color w:val="auto"/>
          <w:highlight w:val="none"/>
          <w:u w:val="single"/>
        </w:rPr>
        <w:t>乘以下浮系数</w:t>
      </w:r>
      <w:r>
        <w:rPr>
          <w:color w:val="auto"/>
          <w:highlight w:val="none"/>
          <w:u w:val="single"/>
        </w:rPr>
        <w:t xml:space="preserve">      %</w:t>
      </w:r>
      <w:r>
        <w:rPr>
          <w:rFonts w:hint="eastAsia" w:cs="宋体"/>
          <w:color w:val="auto"/>
          <w:highlight w:val="none"/>
          <w:u w:val="single"/>
        </w:rPr>
        <w:t>，</w:t>
      </w:r>
      <w:r>
        <w:rPr>
          <w:rFonts w:hint="eastAsia" w:cs="宋体"/>
          <w:b/>
          <w:bCs/>
          <w:color w:val="auto"/>
          <w:highlight w:val="none"/>
          <w:u w:val="single"/>
        </w:rPr>
        <w:t>□</w:t>
      </w:r>
      <w:r>
        <w:rPr>
          <w:rFonts w:hint="eastAsia" w:hAnsi="宋体" w:cs="宋体"/>
          <w:color w:val="auto"/>
          <w:highlight w:val="none"/>
          <w:u w:val="single"/>
        </w:rPr>
        <w:t>不乘下浮系数）计算，其中：材料设备价格按施工期间的《</w:t>
      </w:r>
      <w:r>
        <w:rPr>
          <w:rFonts w:hint="eastAsia"/>
          <w:color w:val="auto"/>
          <w:highlight w:val="none"/>
          <w:u w:val="single"/>
          <w:lang w:val="en-US" w:eastAsia="zh-CN"/>
        </w:rPr>
        <w:t>南宁</w:t>
      </w:r>
      <w:r>
        <w:rPr>
          <w:rFonts w:hint="eastAsia" w:hAnsi="宋体" w:cs="宋体"/>
          <w:color w:val="auto"/>
          <w:highlight w:val="none"/>
          <w:u w:val="single"/>
        </w:rPr>
        <w:t>市建设工程造价信息》相应信息价的加权平均值计算，《</w:t>
      </w:r>
      <w:r>
        <w:rPr>
          <w:rFonts w:hint="eastAsia"/>
          <w:color w:val="auto"/>
          <w:highlight w:val="none"/>
          <w:u w:val="single"/>
          <w:lang w:val="en-US" w:eastAsia="zh-CN"/>
        </w:rPr>
        <w:t>南宁</w:t>
      </w:r>
      <w:r>
        <w:rPr>
          <w:rFonts w:hint="eastAsia" w:hAnsi="宋体" w:cs="宋体"/>
          <w:color w:val="auto"/>
          <w:highlight w:val="none"/>
          <w:u w:val="single"/>
        </w:rPr>
        <w:t>市建设工程造价信息》没有相应信息价的，由建设单位、施工单位、监理单位或造价咨询单位根据市场行情协商确定；无定额可套的，由建设单位、施工单位、监理单位或造价咨询单位根据市场行情协商确定包含除税金以外所有费用的税前综合价格</w:t>
      </w:r>
      <w:bookmarkEnd w:id="887"/>
      <w:r>
        <w:rPr>
          <w:rFonts w:hint="eastAsia" w:hAnsi="宋体" w:cs="宋体"/>
          <w:color w:val="auto"/>
          <w:highlight w:val="none"/>
        </w:rPr>
        <w:t>。以上约定同时适用于招标工程量清单缺项以及工程量清单项目特征与图纸不符时的价款确定。</w:t>
      </w:r>
    </w:p>
    <w:p w14:paraId="12C2686D">
      <w:pPr>
        <w:spacing w:line="360" w:lineRule="auto"/>
        <w:ind w:firstLine="420" w:firstLineChars="200"/>
        <w:jc w:val="left"/>
        <w:rPr>
          <w:rFonts w:hint="eastAsia" w:cs="宋体"/>
          <w:color w:val="auto"/>
          <w:highlight w:val="none"/>
          <w:u w:val="single"/>
        </w:rPr>
      </w:pPr>
      <w:r>
        <w:rPr>
          <w:rFonts w:hint="eastAsia" w:cs="宋体"/>
          <w:color w:val="auto"/>
          <w:highlight w:val="none"/>
          <w:u w:val="single"/>
        </w:rPr>
        <w:t>工程变更导致实际完成的变更工程量与已标价清单或预算书中列明的该项目工程量有偏差时，其综合单价的确定按专用条款“</w:t>
      </w:r>
      <w:r>
        <w:rPr>
          <w:color w:val="auto"/>
          <w:highlight w:val="none"/>
          <w:u w:val="single"/>
        </w:rPr>
        <w:t>1.13</w:t>
      </w:r>
      <w:r>
        <w:rPr>
          <w:rFonts w:hint="eastAsia" w:cs="宋体"/>
          <w:color w:val="auto"/>
          <w:highlight w:val="none"/>
          <w:u w:val="single"/>
        </w:rPr>
        <w:t>工程量清单错误的修正”执行。</w:t>
      </w:r>
    </w:p>
    <w:p w14:paraId="57C2A1E9">
      <w:pPr>
        <w:pStyle w:val="4"/>
        <w:rPr>
          <w:color w:val="auto"/>
          <w:highlight w:val="none"/>
        </w:rPr>
      </w:pPr>
      <w:bookmarkStart w:id="888" w:name="_Toc1342657745"/>
      <w:bookmarkStart w:id="889" w:name="_Toc373227743"/>
      <w:bookmarkStart w:id="890" w:name="_Toc78449832"/>
      <w:bookmarkStart w:id="891" w:name="_Toc650800266"/>
      <w:bookmarkStart w:id="892" w:name="_Toc389065309"/>
      <w:bookmarkStart w:id="893" w:name="_Toc6719"/>
      <w:bookmarkStart w:id="894" w:name="_Toc373478390"/>
      <w:bookmarkStart w:id="895" w:name="_Toc407135246"/>
      <w:r>
        <w:rPr>
          <w:color w:val="auto"/>
          <w:highlight w:val="none"/>
        </w:rPr>
        <w:t>1</w:t>
      </w:r>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Start w:id="896" w:name="_Toc297123544"/>
      <w:bookmarkStart w:id="897" w:name="_Toc296346698"/>
      <w:bookmarkStart w:id="898" w:name="_Toc297048383"/>
      <w:bookmarkStart w:id="899" w:name="_Toc300934993"/>
      <w:bookmarkStart w:id="900" w:name="_Toc296503197"/>
      <w:bookmarkStart w:id="901" w:name="_Toc297120497"/>
      <w:bookmarkStart w:id="902" w:name="_Toc297216203"/>
      <w:bookmarkStart w:id="903" w:name="_Toc303539150"/>
      <w:bookmarkStart w:id="904" w:name="_Toc296891237"/>
      <w:bookmarkStart w:id="905" w:name="_Toc296347196"/>
      <w:bookmarkStart w:id="906" w:name="_Toc296944536"/>
      <w:bookmarkStart w:id="907" w:name="_Toc292559402"/>
      <w:bookmarkStart w:id="908" w:name="_Toc296891025"/>
      <w:bookmarkStart w:id="909" w:name="_Toc292559907"/>
      <w:bookmarkStart w:id="910" w:name="_Toc312677503"/>
      <w:bookmarkStart w:id="911" w:name="_Toc304295570"/>
      <w:bookmarkStart w:id="912" w:name="_Toc312678029"/>
      <w:r>
        <w:rPr>
          <w:color w:val="auto"/>
          <w:highlight w:val="none"/>
        </w:rPr>
        <w:t xml:space="preserve">0.5 </w:t>
      </w:r>
      <w:r>
        <w:rPr>
          <w:rFonts w:hint="eastAsia" w:cs="黑体"/>
          <w:color w:val="auto"/>
          <w:highlight w:val="none"/>
        </w:rPr>
        <w:t>承</w:t>
      </w:r>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Start w:id="913" w:name="_Toc303539151"/>
      <w:bookmarkStart w:id="914" w:name="_Toc296891243"/>
      <w:bookmarkStart w:id="915" w:name="_Toc300934994"/>
      <w:bookmarkStart w:id="916" w:name="_Toc297120503"/>
      <w:bookmarkStart w:id="917" w:name="_Toc296347202"/>
      <w:bookmarkStart w:id="918" w:name="_Toc297216204"/>
      <w:bookmarkStart w:id="919" w:name="_Toc296891031"/>
      <w:bookmarkStart w:id="920" w:name="_Toc296944542"/>
      <w:bookmarkStart w:id="921" w:name="_Toc297123545"/>
      <w:bookmarkStart w:id="922" w:name="_Toc297048389"/>
      <w:bookmarkStart w:id="923" w:name="_Toc296346704"/>
      <w:bookmarkStart w:id="924" w:name="_Toc292559408"/>
      <w:bookmarkStart w:id="925" w:name="_Toc292559913"/>
      <w:bookmarkStart w:id="926" w:name="_Toc296503203"/>
      <w:r>
        <w:rPr>
          <w:rFonts w:hint="eastAsia" w:cs="黑体"/>
          <w:color w:val="auto"/>
          <w:highlight w:val="none"/>
        </w:rPr>
        <w:t>包人的合理化建议</w:t>
      </w:r>
      <w:bookmarkEnd w:id="888"/>
      <w:bookmarkEnd w:id="889"/>
      <w:bookmarkEnd w:id="890"/>
      <w:bookmarkEnd w:id="891"/>
      <w:bookmarkEnd w:id="892"/>
      <w:bookmarkEnd w:id="893"/>
      <w:bookmarkEnd w:id="894"/>
      <w:bookmarkEnd w:id="895"/>
    </w:p>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p w14:paraId="3C3AE56A">
      <w:pPr>
        <w:spacing w:line="360" w:lineRule="auto"/>
        <w:ind w:firstLine="420" w:firstLineChars="200"/>
        <w:jc w:val="left"/>
        <w:rPr>
          <w:color w:val="auto"/>
          <w:highlight w:val="none"/>
        </w:rPr>
      </w:pPr>
      <w:r>
        <w:rPr>
          <w:rFonts w:hint="eastAsia" w:hAnsi="宋体" w:cs="宋体"/>
          <w:color w:val="auto"/>
          <w:highlight w:val="none"/>
        </w:rPr>
        <w:t>监理人审查承包人合理化建议的期限：</w:t>
      </w:r>
      <w:r>
        <w:rPr>
          <w:rFonts w:hint="eastAsia"/>
          <w:color w:val="auto"/>
          <w:highlight w:val="none"/>
          <w:u w:val="single"/>
        </w:rPr>
        <w:t>监理人应在收到承包人提交的合理化建议后7天内审查完毕并报送发包人，发现其中存在技术上的缺陷，应通知承包人修改</w:t>
      </w:r>
      <w:r>
        <w:rPr>
          <w:rFonts w:hint="eastAsia" w:hAnsi="宋体" w:cs="宋体"/>
          <w:color w:val="auto"/>
          <w:highlight w:val="none"/>
        </w:rPr>
        <w:t>。</w:t>
      </w:r>
    </w:p>
    <w:p w14:paraId="668D54EB">
      <w:pPr>
        <w:spacing w:line="360" w:lineRule="auto"/>
        <w:ind w:firstLine="420" w:firstLineChars="200"/>
        <w:jc w:val="left"/>
        <w:rPr>
          <w:color w:val="auto"/>
          <w:highlight w:val="none"/>
        </w:rPr>
      </w:pPr>
      <w:r>
        <w:rPr>
          <w:rFonts w:hint="eastAsia" w:hAnsi="宋体" w:cs="宋体"/>
          <w:color w:val="auto"/>
          <w:highlight w:val="none"/>
        </w:rPr>
        <w:t>发包人审批承包人合理化建议的期限：</w:t>
      </w:r>
      <w:r>
        <w:rPr>
          <w:rFonts w:hint="eastAsia"/>
          <w:color w:val="auto"/>
          <w:highlight w:val="none"/>
          <w:u w:val="single"/>
        </w:rPr>
        <w:t>发包人应在收到监理人报送的合理化建议后7天内审批完毕</w:t>
      </w:r>
      <w:r>
        <w:rPr>
          <w:rFonts w:hint="eastAsia" w:hAnsi="宋体" w:cs="宋体"/>
          <w:color w:val="auto"/>
          <w:highlight w:val="none"/>
        </w:rPr>
        <w:t>。</w:t>
      </w:r>
    </w:p>
    <w:p w14:paraId="3A696729">
      <w:pPr>
        <w:spacing w:line="360" w:lineRule="auto"/>
        <w:ind w:firstLine="420" w:firstLineChars="200"/>
        <w:jc w:val="left"/>
        <w:rPr>
          <w:color w:val="auto"/>
          <w:highlight w:val="none"/>
          <w:u w:val="single"/>
        </w:rPr>
      </w:pPr>
      <w:r>
        <w:rPr>
          <w:rFonts w:hint="eastAsia" w:hAnsi="宋体" w:cs="宋体"/>
          <w:color w:val="auto"/>
          <w:highlight w:val="none"/>
        </w:rPr>
        <w:t>承</w:t>
      </w:r>
      <w:bookmarkStart w:id="927" w:name="_Toc318581175"/>
      <w:bookmarkStart w:id="928" w:name="_Toc296346705"/>
      <w:bookmarkStart w:id="929" w:name="_Toc303539152"/>
      <w:bookmarkStart w:id="930" w:name="_Toc297120504"/>
      <w:bookmarkStart w:id="931" w:name="_Toc296503204"/>
      <w:bookmarkStart w:id="932" w:name="_Toc300934995"/>
      <w:bookmarkStart w:id="933" w:name="_Toc312677504"/>
      <w:bookmarkStart w:id="934" w:name="_Toc296891244"/>
      <w:bookmarkStart w:id="935" w:name="_Toc312678030"/>
      <w:bookmarkStart w:id="936" w:name="_Toc297048390"/>
      <w:bookmarkStart w:id="937" w:name="_Toc292559914"/>
      <w:bookmarkStart w:id="938" w:name="_Toc296891032"/>
      <w:bookmarkStart w:id="939" w:name="_Toc297123546"/>
      <w:bookmarkStart w:id="940" w:name="_Toc296347203"/>
      <w:bookmarkStart w:id="941" w:name="_Toc292559409"/>
      <w:bookmarkStart w:id="942" w:name="_Toc297216205"/>
      <w:bookmarkStart w:id="943" w:name="_Toc296944543"/>
      <w:bookmarkStart w:id="944" w:name="_Toc304295571"/>
      <w:r>
        <w:rPr>
          <w:rFonts w:hint="eastAsia" w:hAnsi="宋体" w:cs="宋体"/>
          <w:color w:val="auto"/>
          <w:highlight w:val="none"/>
        </w:rPr>
        <w:t>包人提出的合理化建议降低了合同价格或者提高了工程经济效益的奖励的方法和金额为：</w:t>
      </w:r>
      <w:r>
        <w:rPr>
          <w:rFonts w:hint="eastAsia"/>
          <w:color w:val="auto"/>
          <w:highlight w:val="none"/>
          <w:u w:val="single"/>
        </w:rPr>
        <w:t>无</w:t>
      </w:r>
      <w:r>
        <w:rPr>
          <w:rFonts w:hint="eastAsia" w:hAnsi="宋体" w:cs="宋体"/>
          <w:color w:val="auto"/>
          <w:highlight w:val="none"/>
        </w:rPr>
        <w:t>。</w:t>
      </w:r>
    </w:p>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p w14:paraId="05917AD8">
      <w:pPr>
        <w:pStyle w:val="4"/>
        <w:rPr>
          <w:color w:val="auto"/>
          <w:highlight w:val="none"/>
        </w:rPr>
      </w:pPr>
      <w:bookmarkStart w:id="945" w:name="_Toc407135247"/>
      <w:bookmarkStart w:id="946" w:name="_Toc78449833"/>
      <w:bookmarkStart w:id="947" w:name="_Toc502454636"/>
      <w:bookmarkStart w:id="948" w:name="_Toc373227744"/>
      <w:bookmarkStart w:id="949" w:name="_Toc389065310"/>
      <w:bookmarkStart w:id="950" w:name="_Toc373478391"/>
      <w:bookmarkStart w:id="951" w:name="_Toc2045792355"/>
      <w:bookmarkStart w:id="952" w:name="_Toc1466"/>
      <w:r>
        <w:rPr>
          <w:color w:val="auto"/>
          <w:highlight w:val="none"/>
        </w:rPr>
        <w:t>1</w:t>
      </w:r>
      <w:bookmarkStart w:id="953" w:name="_Toc300934997"/>
      <w:bookmarkStart w:id="954" w:name="_Toc296347198"/>
      <w:bookmarkStart w:id="955" w:name="_Toc292559909"/>
      <w:bookmarkStart w:id="956" w:name="_Toc296944538"/>
      <w:bookmarkStart w:id="957" w:name="_Toc312678033"/>
      <w:bookmarkStart w:id="958" w:name="_Toc303539154"/>
      <w:bookmarkStart w:id="959" w:name="_Toc297048385"/>
      <w:bookmarkStart w:id="960" w:name="_Toc296891027"/>
      <w:bookmarkStart w:id="961" w:name="_Toc297123548"/>
      <w:bookmarkStart w:id="962" w:name="_Toc292559404"/>
      <w:bookmarkStart w:id="963" w:name="_Toc296503199"/>
      <w:bookmarkStart w:id="964" w:name="_Toc296891239"/>
      <w:bookmarkStart w:id="965" w:name="_Toc304295574"/>
      <w:bookmarkStart w:id="966" w:name="_Toc312677507"/>
      <w:bookmarkStart w:id="967" w:name="_Toc297120499"/>
      <w:bookmarkStart w:id="968" w:name="_Toc296346700"/>
      <w:bookmarkStart w:id="969" w:name="_Toc297216207"/>
      <w:r>
        <w:rPr>
          <w:color w:val="auto"/>
          <w:highlight w:val="none"/>
        </w:rPr>
        <w:t xml:space="preserve">0.7 </w:t>
      </w:r>
      <w:r>
        <w:rPr>
          <w:rFonts w:hint="eastAsia" w:hAnsi="宋体" w:cs="黑体"/>
          <w:color w:val="auto"/>
          <w:highlight w:val="none"/>
        </w:rPr>
        <w:t>暂估价</w:t>
      </w:r>
      <w:bookmarkEnd w:id="945"/>
      <w:bookmarkEnd w:id="946"/>
      <w:bookmarkEnd w:id="947"/>
      <w:bookmarkEnd w:id="948"/>
      <w:bookmarkEnd w:id="949"/>
      <w:bookmarkEnd w:id="950"/>
      <w:bookmarkEnd w:id="951"/>
      <w:bookmarkEnd w:id="952"/>
    </w:p>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p w14:paraId="491A341E">
      <w:pPr>
        <w:spacing w:line="360" w:lineRule="auto"/>
        <w:ind w:firstLine="420" w:firstLineChars="200"/>
        <w:jc w:val="left"/>
        <w:rPr>
          <w:color w:val="auto"/>
          <w:highlight w:val="none"/>
        </w:rPr>
      </w:pPr>
      <w:r>
        <w:rPr>
          <w:rFonts w:hint="eastAsia" w:hAnsi="宋体" w:cs="宋体"/>
          <w:color w:val="auto"/>
          <w:kern w:val="0"/>
          <w:highlight w:val="none"/>
        </w:rPr>
        <w:t>暂</w:t>
      </w:r>
      <w:bookmarkStart w:id="970" w:name="_Toc312678034"/>
      <w:bookmarkStart w:id="971" w:name="_Toc312677508"/>
      <w:bookmarkStart w:id="972" w:name="_Toc318581176"/>
      <w:r>
        <w:rPr>
          <w:rFonts w:hint="eastAsia" w:hAnsi="宋体" w:cs="宋体"/>
          <w:color w:val="auto"/>
          <w:kern w:val="0"/>
          <w:highlight w:val="none"/>
        </w:rPr>
        <w:t>估价材料和工程设备的明细详见已标价工程量清单《</w:t>
      </w:r>
      <w:r>
        <w:rPr>
          <w:rFonts w:hint="eastAsia" w:cs="宋体"/>
          <w:color w:val="auto"/>
          <w:highlight w:val="none"/>
        </w:rPr>
        <w:t>材料（工程设备）暂估价格及调整表》</w:t>
      </w:r>
      <w:r>
        <w:rPr>
          <w:rFonts w:hint="eastAsia" w:hAnsi="宋体" w:cs="宋体"/>
          <w:color w:val="auto"/>
          <w:kern w:val="0"/>
          <w:highlight w:val="none"/>
        </w:rPr>
        <w:t>（表</w:t>
      </w:r>
      <w:r>
        <w:rPr>
          <w:rFonts w:hAnsi="宋体"/>
          <w:color w:val="auto"/>
          <w:kern w:val="0"/>
          <w:highlight w:val="none"/>
        </w:rPr>
        <w:t>12-2</w:t>
      </w:r>
      <w:r>
        <w:rPr>
          <w:rFonts w:hint="eastAsia" w:hAnsi="宋体" w:cs="宋体"/>
          <w:color w:val="auto"/>
          <w:kern w:val="0"/>
          <w:highlight w:val="none"/>
        </w:rPr>
        <w:t>）和《</w:t>
      </w:r>
      <w:r>
        <w:rPr>
          <w:rFonts w:hint="eastAsia" w:cs="宋体"/>
          <w:color w:val="auto"/>
          <w:highlight w:val="none"/>
        </w:rPr>
        <w:t>专业工程暂估价表》（</w:t>
      </w:r>
      <w:r>
        <w:rPr>
          <w:rFonts w:hint="eastAsia" w:hAnsi="宋体" w:cs="宋体"/>
          <w:color w:val="auto"/>
          <w:kern w:val="0"/>
          <w:highlight w:val="none"/>
        </w:rPr>
        <w:t>表</w:t>
      </w:r>
      <w:r>
        <w:rPr>
          <w:rFonts w:hAnsi="宋体"/>
          <w:color w:val="auto"/>
          <w:kern w:val="0"/>
          <w:highlight w:val="none"/>
        </w:rPr>
        <w:t>12-3</w:t>
      </w:r>
      <w:r>
        <w:rPr>
          <w:rFonts w:hint="eastAsia" w:hAnsi="宋体" w:cs="宋体"/>
          <w:color w:val="auto"/>
          <w:kern w:val="0"/>
          <w:highlight w:val="none"/>
        </w:rPr>
        <w:t>）。</w:t>
      </w:r>
    </w:p>
    <w:bookmarkEnd w:id="970"/>
    <w:bookmarkEnd w:id="971"/>
    <w:bookmarkEnd w:id="972"/>
    <w:p w14:paraId="7144491D">
      <w:pPr>
        <w:spacing w:line="360" w:lineRule="auto"/>
        <w:ind w:firstLine="420" w:firstLineChars="200"/>
        <w:jc w:val="left"/>
        <w:rPr>
          <w:color w:val="auto"/>
          <w:highlight w:val="none"/>
        </w:rPr>
      </w:pPr>
      <w:r>
        <w:rPr>
          <w:color w:val="auto"/>
          <w:highlight w:val="none"/>
        </w:rPr>
        <w:t>1</w:t>
      </w:r>
      <w:bookmarkStart w:id="973" w:name="_Toc318581177"/>
      <w:bookmarkStart w:id="974" w:name="_Toc312678035"/>
      <w:bookmarkStart w:id="975" w:name="_Toc312677509"/>
      <w:r>
        <w:rPr>
          <w:color w:val="auto"/>
          <w:highlight w:val="none"/>
        </w:rPr>
        <w:t xml:space="preserve">0.7.1 </w:t>
      </w:r>
      <w:r>
        <w:rPr>
          <w:rFonts w:hint="eastAsia" w:hAnsi="宋体" w:cs="宋体"/>
          <w:color w:val="auto"/>
          <w:highlight w:val="none"/>
        </w:rPr>
        <w:t>依法必须招标的暂估价项目</w:t>
      </w:r>
    </w:p>
    <w:bookmarkEnd w:id="973"/>
    <w:bookmarkEnd w:id="974"/>
    <w:bookmarkEnd w:id="975"/>
    <w:p w14:paraId="7CB07F89">
      <w:pPr>
        <w:spacing w:line="360" w:lineRule="auto"/>
        <w:ind w:firstLine="420" w:firstLineChars="200"/>
        <w:jc w:val="left"/>
        <w:rPr>
          <w:color w:val="auto"/>
          <w:highlight w:val="none"/>
        </w:rPr>
      </w:pPr>
      <w:r>
        <w:rPr>
          <w:rFonts w:hint="eastAsia" w:hAnsi="宋体" w:cs="宋体"/>
          <w:color w:val="auto"/>
          <w:highlight w:val="none"/>
        </w:rPr>
        <w:t>对于依法必须招标的暂估价项目的确认和批准采取第</w:t>
      </w:r>
      <w:r>
        <w:rPr>
          <w:rFonts w:hint="eastAsia"/>
          <w:color w:val="auto"/>
          <w:highlight w:val="none"/>
          <w:u w:val="single"/>
        </w:rPr>
        <w:t xml:space="preserve">    /    </w:t>
      </w:r>
      <w:r>
        <w:rPr>
          <w:rFonts w:hint="eastAsia" w:hAnsi="宋体" w:cs="宋体"/>
          <w:color w:val="auto"/>
          <w:highlight w:val="none"/>
        </w:rPr>
        <w:t>种方式确定。</w:t>
      </w:r>
    </w:p>
    <w:p w14:paraId="468214FC">
      <w:pPr>
        <w:spacing w:line="360" w:lineRule="auto"/>
        <w:ind w:firstLine="420" w:firstLineChars="200"/>
        <w:jc w:val="left"/>
        <w:rPr>
          <w:color w:val="auto"/>
          <w:highlight w:val="none"/>
        </w:rPr>
      </w:pPr>
      <w:r>
        <w:rPr>
          <w:color w:val="auto"/>
          <w:highlight w:val="none"/>
        </w:rPr>
        <w:t xml:space="preserve">10.7.2 </w:t>
      </w:r>
      <w:r>
        <w:rPr>
          <w:rFonts w:hint="eastAsia" w:hAnsi="宋体" w:cs="宋体"/>
          <w:color w:val="auto"/>
          <w:highlight w:val="none"/>
        </w:rPr>
        <w:t>不属于依法必须招标的暂估价项目</w:t>
      </w:r>
    </w:p>
    <w:p w14:paraId="3DD0D412">
      <w:pPr>
        <w:spacing w:line="360" w:lineRule="auto"/>
        <w:ind w:firstLine="420" w:firstLineChars="200"/>
        <w:jc w:val="left"/>
        <w:rPr>
          <w:color w:val="auto"/>
          <w:highlight w:val="none"/>
        </w:rPr>
      </w:pPr>
      <w:r>
        <w:rPr>
          <w:rFonts w:hint="eastAsia" w:hAnsi="宋体" w:cs="宋体"/>
          <w:color w:val="auto"/>
          <w:highlight w:val="none"/>
        </w:rPr>
        <w:t>对于不属于依法必须招标的暂估价项目的确认和批准采取第</w:t>
      </w:r>
      <w:r>
        <w:rPr>
          <w:rFonts w:hint="eastAsia"/>
          <w:color w:val="auto"/>
          <w:highlight w:val="none"/>
          <w:u w:val="single"/>
        </w:rPr>
        <w:t xml:space="preserve">    /    </w:t>
      </w:r>
      <w:r>
        <w:rPr>
          <w:rFonts w:hint="eastAsia" w:hAnsi="宋体" w:cs="宋体"/>
          <w:color w:val="auto"/>
          <w:highlight w:val="none"/>
        </w:rPr>
        <w:t>种方式确定。</w:t>
      </w:r>
    </w:p>
    <w:p w14:paraId="5186DAD0">
      <w:pPr>
        <w:spacing w:line="360" w:lineRule="auto"/>
        <w:ind w:firstLine="420" w:firstLineChars="200"/>
        <w:jc w:val="left"/>
        <w:rPr>
          <w:color w:val="auto"/>
          <w:kern w:val="0"/>
          <w:highlight w:val="none"/>
        </w:rPr>
      </w:pPr>
      <w:r>
        <w:rPr>
          <w:rFonts w:hint="eastAsia" w:hAnsi="宋体" w:cs="宋体"/>
          <w:color w:val="auto"/>
          <w:highlight w:val="none"/>
        </w:rPr>
        <w:t>第</w:t>
      </w:r>
      <w:r>
        <w:rPr>
          <w:color w:val="auto"/>
          <w:highlight w:val="none"/>
        </w:rPr>
        <w:t>3</w:t>
      </w:r>
      <w:r>
        <w:rPr>
          <w:rFonts w:hint="eastAsia" w:hAnsi="宋体" w:cs="宋体"/>
          <w:color w:val="auto"/>
          <w:highlight w:val="none"/>
        </w:rPr>
        <w:t>种方式：</w:t>
      </w:r>
      <w:r>
        <w:rPr>
          <w:rFonts w:hint="eastAsia" w:hAnsi="宋体" w:cs="宋体"/>
          <w:color w:val="auto"/>
          <w:kern w:val="0"/>
          <w:highlight w:val="none"/>
        </w:rPr>
        <w:t>承包人直接实施的暂估价项目</w:t>
      </w:r>
    </w:p>
    <w:p w14:paraId="4678B579">
      <w:pPr>
        <w:spacing w:line="360" w:lineRule="auto"/>
        <w:ind w:firstLine="420" w:firstLineChars="200"/>
        <w:jc w:val="left"/>
        <w:rPr>
          <w:color w:val="auto"/>
          <w:highlight w:val="none"/>
        </w:rPr>
      </w:pPr>
      <w:r>
        <w:rPr>
          <w:rFonts w:hint="eastAsia" w:hAnsi="宋体" w:cs="宋体"/>
          <w:color w:val="auto"/>
          <w:highlight w:val="none"/>
        </w:rPr>
        <w:t>承包人直接实施的暂估价项目的约定：</w:t>
      </w:r>
      <w:r>
        <w:rPr>
          <w:rFonts w:hint="eastAsia"/>
          <w:color w:val="auto"/>
          <w:highlight w:val="none"/>
          <w:u w:val="single"/>
        </w:rPr>
        <w:t xml:space="preserve">    /    </w:t>
      </w:r>
      <w:r>
        <w:rPr>
          <w:rFonts w:hint="eastAsia" w:hAnsi="宋体" w:cs="宋体"/>
          <w:color w:val="auto"/>
          <w:highlight w:val="none"/>
        </w:rPr>
        <w:t>。</w:t>
      </w:r>
    </w:p>
    <w:p w14:paraId="59917244">
      <w:pPr>
        <w:pStyle w:val="4"/>
        <w:rPr>
          <w:color w:val="auto"/>
          <w:highlight w:val="none"/>
        </w:rPr>
      </w:pPr>
      <w:bookmarkStart w:id="976" w:name="_Toc78449834"/>
      <w:bookmarkStart w:id="977" w:name="_Toc2131098822"/>
      <w:bookmarkStart w:id="978" w:name="_Toc373227745"/>
      <w:bookmarkStart w:id="979" w:name="_Toc373478392"/>
      <w:bookmarkStart w:id="980" w:name="_Toc389065311"/>
      <w:bookmarkStart w:id="981" w:name="_Toc407135248"/>
      <w:bookmarkStart w:id="982" w:name="_Toc13284"/>
      <w:bookmarkStart w:id="983" w:name="_Toc2032108729"/>
      <w:r>
        <w:rPr>
          <w:color w:val="auto"/>
          <w:highlight w:val="none"/>
        </w:rPr>
        <w:t xml:space="preserve">10.8 </w:t>
      </w:r>
      <w:r>
        <w:rPr>
          <w:rFonts w:hint="eastAsia" w:hAnsi="宋体" w:cs="黑体"/>
          <w:color w:val="auto"/>
          <w:highlight w:val="none"/>
        </w:rPr>
        <w:t>暂列金额</w:t>
      </w:r>
      <w:bookmarkEnd w:id="976"/>
      <w:bookmarkEnd w:id="977"/>
      <w:bookmarkEnd w:id="978"/>
      <w:bookmarkEnd w:id="979"/>
      <w:bookmarkEnd w:id="980"/>
      <w:bookmarkEnd w:id="981"/>
      <w:bookmarkEnd w:id="982"/>
      <w:bookmarkEnd w:id="983"/>
    </w:p>
    <w:p w14:paraId="7BBD7DFB">
      <w:pPr>
        <w:autoSpaceDE w:val="0"/>
        <w:autoSpaceDN w:val="0"/>
        <w:adjustRightInd w:val="0"/>
        <w:spacing w:line="360" w:lineRule="auto"/>
        <w:ind w:firstLine="420" w:firstLineChars="200"/>
        <w:jc w:val="left"/>
        <w:rPr>
          <w:color w:val="auto"/>
          <w:highlight w:val="none"/>
          <w:u w:val="single"/>
        </w:rPr>
      </w:pPr>
      <w:r>
        <w:rPr>
          <w:rFonts w:hint="eastAsia" w:hAnsi="宋体" w:cs="宋体"/>
          <w:color w:val="auto"/>
          <w:kern w:val="0"/>
          <w:highlight w:val="none"/>
        </w:rPr>
        <w:t>合同当事人关于暂列金额使用的约定：</w:t>
      </w:r>
      <w:r>
        <w:rPr>
          <w:rFonts w:hint="eastAsia"/>
          <w:color w:val="auto"/>
          <w:highlight w:val="none"/>
          <w:u w:val="single"/>
        </w:rPr>
        <w:t>暂列金额是指发包人为可能发生工程变更而暂列的金额，包括因发包人提供的工程量清单漏项、清单有误引起的工程数量增加引起新的清单项目或工程数量增加等需要增加的金额，发包人委托具有建设行政主管部门颁发资质的造价咨询机构审定后，按照审定造价支付部分暂列金。暂列金额是发包人自行确定设立的，承包人无权使用此笔费用。此费用按实际发生经发包人签证后确定全部使用、部分使用或不使用，不足部分发包人另行支付。暂列金额不计入工程款付款的基数。发包人按照规定所作支付后，暂列金额如有余额归发包人</w:t>
      </w:r>
      <w:r>
        <w:rPr>
          <w:rFonts w:hint="eastAsia" w:hAnsi="宋体" w:cs="宋体"/>
          <w:color w:val="auto"/>
          <w:kern w:val="0"/>
          <w:highlight w:val="none"/>
        </w:rPr>
        <w:t>。</w:t>
      </w:r>
    </w:p>
    <w:p w14:paraId="7552464B">
      <w:pPr>
        <w:pStyle w:val="3"/>
        <w:numPr>
          <w:ilvl w:val="0"/>
          <w:numId w:val="6"/>
        </w:numPr>
        <w:rPr>
          <w:color w:val="auto"/>
          <w:highlight w:val="none"/>
        </w:rPr>
      </w:pPr>
      <w:bookmarkStart w:id="984" w:name="_Toc136736539"/>
      <w:bookmarkStart w:id="985" w:name="_Toc407135249"/>
      <w:bookmarkStart w:id="986" w:name="_Toc1190723452"/>
      <w:bookmarkStart w:id="987" w:name="_Toc78449835"/>
      <w:bookmarkStart w:id="988" w:name="_Toc373227746"/>
      <w:bookmarkStart w:id="989" w:name="_Toc373478393"/>
      <w:bookmarkStart w:id="990" w:name="_Toc351203643"/>
      <w:bookmarkStart w:id="991" w:name="_Toc389065312"/>
      <w:bookmarkStart w:id="992" w:name="_Toc29697"/>
      <w:r>
        <w:rPr>
          <w:rFonts w:hint="eastAsia" w:hAnsi="宋体" w:cs="黑体"/>
          <w:color w:val="auto"/>
          <w:highlight w:val="none"/>
        </w:rPr>
        <w:t>价格调整</w:t>
      </w:r>
      <w:bookmarkEnd w:id="984"/>
      <w:bookmarkEnd w:id="985"/>
      <w:bookmarkEnd w:id="986"/>
      <w:bookmarkEnd w:id="987"/>
      <w:bookmarkEnd w:id="988"/>
      <w:bookmarkEnd w:id="989"/>
      <w:bookmarkEnd w:id="990"/>
      <w:bookmarkEnd w:id="991"/>
      <w:bookmarkEnd w:id="992"/>
    </w:p>
    <w:p w14:paraId="22463824">
      <w:pPr>
        <w:pStyle w:val="4"/>
        <w:rPr>
          <w:color w:val="auto"/>
          <w:highlight w:val="none"/>
        </w:rPr>
      </w:pPr>
      <w:bookmarkStart w:id="993" w:name="_Toc373227747"/>
      <w:bookmarkStart w:id="994" w:name="_Toc1501386015"/>
      <w:bookmarkStart w:id="995" w:name="_Toc389065313"/>
      <w:bookmarkStart w:id="996" w:name="_Toc78449836"/>
      <w:bookmarkStart w:id="997" w:name="_Toc42268484"/>
      <w:bookmarkStart w:id="998" w:name="_Toc373478394"/>
      <w:bookmarkStart w:id="999" w:name="_Toc407135250"/>
      <w:bookmarkStart w:id="1000" w:name="_Toc16011"/>
      <w:bookmarkStart w:id="1001" w:name="_Toc292559911"/>
      <w:bookmarkStart w:id="1002" w:name="_Toc297123550"/>
      <w:bookmarkStart w:id="1003" w:name="_Toc304295577"/>
      <w:bookmarkStart w:id="1004" w:name="_Toc296347200"/>
      <w:bookmarkStart w:id="1005" w:name="_Toc296891029"/>
      <w:bookmarkStart w:id="1006" w:name="_Toc296944540"/>
      <w:bookmarkStart w:id="1007" w:name="_Toc296891241"/>
      <w:bookmarkStart w:id="1008" w:name="_Toc292559406"/>
      <w:bookmarkStart w:id="1009" w:name="_Toc297216209"/>
      <w:bookmarkStart w:id="1010" w:name="_Toc300935000"/>
      <w:bookmarkStart w:id="1011" w:name="_Toc297048387"/>
      <w:bookmarkStart w:id="1012" w:name="_Toc296503201"/>
      <w:bookmarkStart w:id="1013" w:name="_Toc303539157"/>
      <w:bookmarkStart w:id="1014" w:name="_Toc297120501"/>
      <w:bookmarkStart w:id="1015" w:name="_Toc296346702"/>
      <w:bookmarkStart w:id="1016" w:name="_Toc312678039"/>
      <w:r>
        <w:rPr>
          <w:color w:val="auto"/>
          <w:highlight w:val="none"/>
        </w:rPr>
        <w:t xml:space="preserve">11.1 </w:t>
      </w:r>
      <w:r>
        <w:rPr>
          <w:rFonts w:hint="eastAsia" w:cs="黑体"/>
          <w:color w:val="auto"/>
          <w:highlight w:val="none"/>
        </w:rPr>
        <w:t>市场价格波动引起的调整</w:t>
      </w:r>
      <w:bookmarkEnd w:id="993"/>
      <w:bookmarkEnd w:id="994"/>
      <w:bookmarkEnd w:id="995"/>
      <w:bookmarkEnd w:id="996"/>
      <w:bookmarkEnd w:id="997"/>
      <w:bookmarkEnd w:id="998"/>
      <w:bookmarkEnd w:id="999"/>
      <w:bookmarkEnd w:id="1000"/>
    </w:p>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p w14:paraId="402170FA">
      <w:pPr>
        <w:spacing w:line="360" w:lineRule="auto"/>
        <w:ind w:firstLine="420" w:firstLineChars="200"/>
        <w:jc w:val="left"/>
        <w:rPr>
          <w:color w:val="auto"/>
          <w:highlight w:val="none"/>
        </w:rPr>
      </w:pPr>
      <w:r>
        <w:rPr>
          <w:rFonts w:hint="eastAsia" w:hAnsi="宋体" w:cs="宋体"/>
          <w:color w:val="auto"/>
          <w:kern w:val="0"/>
          <w:highlight w:val="none"/>
        </w:rPr>
        <w:t>市场价格波动是否调整合同价格的约定：</w:t>
      </w:r>
      <w:r>
        <w:rPr>
          <w:rFonts w:hint="eastAsia"/>
          <w:color w:val="auto"/>
          <w:highlight w:val="none"/>
          <w:u w:val="single"/>
        </w:rPr>
        <w:t>非施工单位原因造成的主要材料价差在 5%以内（含 5%）的，由施工单位承担；超过 5%部分的价差，由建设单位承担</w:t>
      </w:r>
      <w:r>
        <w:rPr>
          <w:rFonts w:hint="eastAsia"/>
          <w:color w:val="auto"/>
          <w:highlight w:val="none"/>
          <w:u w:val="single"/>
          <w:lang w:eastAsia="zh-CN"/>
        </w:rPr>
        <w:t>；</w:t>
      </w:r>
      <w:r>
        <w:rPr>
          <w:rFonts w:hint="eastAsia"/>
          <w:color w:val="auto"/>
          <w:highlight w:val="none"/>
          <w:u w:val="single"/>
          <w:lang w:val="en-US" w:eastAsia="zh-CN"/>
        </w:rPr>
        <w:t xml:space="preserve">         </w:t>
      </w:r>
      <w:r>
        <w:rPr>
          <w:color w:val="auto"/>
          <w:highlight w:val="none"/>
          <w:u w:val="single"/>
        </w:rPr>
        <w:t xml:space="preserve">    </w:t>
      </w:r>
      <w:r>
        <w:rPr>
          <w:rFonts w:hint="eastAsia" w:hAnsi="宋体" w:cs="宋体"/>
          <w:color w:val="auto"/>
          <w:highlight w:val="none"/>
        </w:rPr>
        <w:t>。</w:t>
      </w:r>
    </w:p>
    <w:p w14:paraId="72AFE9FF">
      <w:pPr>
        <w:spacing w:line="360" w:lineRule="auto"/>
        <w:ind w:firstLine="420" w:firstLineChars="200"/>
        <w:jc w:val="left"/>
        <w:rPr>
          <w:color w:val="auto"/>
          <w:highlight w:val="none"/>
        </w:rPr>
      </w:pPr>
      <w:r>
        <w:rPr>
          <w:rFonts w:hint="eastAsia" w:hAnsi="宋体" w:cs="宋体"/>
          <w:color w:val="auto"/>
          <w:highlight w:val="none"/>
        </w:rPr>
        <w:t>因市场价格波动调整合同价格，采用以下第</w:t>
      </w:r>
      <w:r>
        <w:rPr>
          <w:color w:val="auto"/>
          <w:highlight w:val="none"/>
          <w:u w:val="single"/>
        </w:rPr>
        <w:t xml:space="preserve"> </w:t>
      </w:r>
      <w:r>
        <w:rPr>
          <w:rFonts w:hint="eastAsia"/>
          <w:color w:val="auto"/>
          <w:highlight w:val="none"/>
          <w:u w:val="single"/>
          <w:lang w:val="en-US" w:eastAsia="zh-CN"/>
        </w:rPr>
        <w:t>2</w:t>
      </w:r>
      <w:r>
        <w:rPr>
          <w:color w:val="auto"/>
          <w:highlight w:val="none"/>
          <w:u w:val="single"/>
        </w:rPr>
        <w:t xml:space="preserve"> </w:t>
      </w:r>
      <w:r>
        <w:rPr>
          <w:rFonts w:hint="eastAsia" w:hAnsi="宋体" w:cs="宋体"/>
          <w:color w:val="auto"/>
          <w:highlight w:val="none"/>
        </w:rPr>
        <w:t>种方式对合同价格进行调整：</w:t>
      </w:r>
    </w:p>
    <w:p w14:paraId="29756D37">
      <w:pPr>
        <w:spacing w:line="360" w:lineRule="auto"/>
        <w:ind w:firstLine="420" w:firstLineChars="200"/>
        <w:jc w:val="left"/>
        <w:rPr>
          <w:color w:val="auto"/>
          <w:highlight w:val="none"/>
        </w:rPr>
      </w:pPr>
      <w:r>
        <w:rPr>
          <w:rFonts w:hint="eastAsia" w:hAnsi="宋体" w:cs="宋体"/>
          <w:color w:val="auto"/>
          <w:highlight w:val="none"/>
        </w:rPr>
        <w:t>第</w:t>
      </w:r>
      <w:r>
        <w:rPr>
          <w:color w:val="auto"/>
          <w:highlight w:val="none"/>
        </w:rPr>
        <w:t>1</w:t>
      </w:r>
      <w:r>
        <w:rPr>
          <w:rFonts w:hint="eastAsia" w:hAnsi="宋体" w:cs="宋体"/>
          <w:color w:val="auto"/>
          <w:highlight w:val="none"/>
        </w:rPr>
        <w:t>种方式：采用价格指数进行价格调整。</w:t>
      </w:r>
    </w:p>
    <w:p w14:paraId="50AD6C72">
      <w:pPr>
        <w:spacing w:line="360" w:lineRule="auto"/>
        <w:ind w:firstLine="420" w:firstLineChars="200"/>
        <w:jc w:val="left"/>
        <w:rPr>
          <w:color w:val="auto"/>
          <w:highlight w:val="none"/>
          <w:u w:val="single"/>
        </w:rPr>
      </w:pPr>
      <w:r>
        <w:rPr>
          <w:rFonts w:hint="eastAsia" w:hAnsi="宋体" w:cs="宋体"/>
          <w:color w:val="auto"/>
          <w:highlight w:val="none"/>
        </w:rPr>
        <w:t>关于各可调因子、定值和变值权重，以及基本价格指数及其来源的约定：</w:t>
      </w:r>
      <w:r>
        <w:rPr>
          <w:rFonts w:ascii="宋体" w:hAnsi="宋体" w:eastAsia="宋体" w:cs="宋体"/>
          <w:color w:val="auto"/>
          <w:spacing w:val="0"/>
          <w:highlight w:val="none"/>
          <w:u w:val="single"/>
        </w:rPr>
        <w:t xml:space="preserve">       </w:t>
      </w:r>
      <w:r>
        <w:rPr>
          <w:rFonts w:hint="eastAsia" w:ascii="宋体" w:hAnsi="宋体" w:eastAsia="宋体" w:cs="宋体"/>
          <w:color w:val="auto"/>
          <w:spacing w:val="0"/>
          <w:highlight w:val="none"/>
          <w:u w:val="single"/>
          <w:lang w:val="en-US" w:eastAsia="zh-CN"/>
        </w:rPr>
        <w:t>/</w:t>
      </w:r>
      <w:r>
        <w:rPr>
          <w:rFonts w:ascii="宋体" w:hAnsi="宋体" w:eastAsia="宋体" w:cs="宋体"/>
          <w:color w:val="auto"/>
          <w:spacing w:val="0"/>
          <w:highlight w:val="none"/>
          <w:u w:val="single"/>
        </w:rPr>
        <w:t xml:space="preserve">       </w:t>
      </w:r>
      <w:r>
        <w:rPr>
          <w:rFonts w:hint="eastAsia" w:hAnsi="宋体" w:cs="宋体"/>
          <w:color w:val="auto"/>
          <w:highlight w:val="none"/>
        </w:rPr>
        <w:t>；</w:t>
      </w:r>
      <w:r>
        <w:rPr>
          <w:color w:val="auto"/>
          <w:highlight w:val="none"/>
        </w:rPr>
        <w:t xml:space="preserve">  </w:t>
      </w:r>
    </w:p>
    <w:p w14:paraId="34F7E224">
      <w:pPr>
        <w:spacing w:line="360" w:lineRule="auto"/>
        <w:ind w:firstLine="420" w:firstLineChars="200"/>
        <w:jc w:val="left"/>
        <w:rPr>
          <w:rFonts w:hAnsi="宋体"/>
          <w:color w:val="auto"/>
          <w:highlight w:val="none"/>
        </w:rPr>
      </w:pPr>
      <w:r>
        <w:rPr>
          <w:rFonts w:hint="eastAsia" w:hAnsi="宋体" w:cs="宋体"/>
          <w:color w:val="auto"/>
          <w:highlight w:val="none"/>
        </w:rPr>
        <w:t>第</w:t>
      </w:r>
      <w:r>
        <w:rPr>
          <w:color w:val="auto"/>
          <w:highlight w:val="none"/>
        </w:rPr>
        <w:t>2</w:t>
      </w:r>
      <w:r>
        <w:rPr>
          <w:rFonts w:hint="eastAsia" w:hAnsi="宋体" w:cs="宋体"/>
          <w:color w:val="auto"/>
          <w:highlight w:val="none"/>
        </w:rPr>
        <w:t>种方式：采用造价信息进行价格调整。</w:t>
      </w:r>
    </w:p>
    <w:p w14:paraId="38550589">
      <w:pPr>
        <w:spacing w:line="360" w:lineRule="auto"/>
        <w:ind w:firstLine="420" w:firstLineChars="200"/>
        <w:jc w:val="left"/>
        <w:rPr>
          <w:rFonts w:hAnsi="宋体"/>
          <w:color w:val="auto"/>
          <w:highlight w:val="none"/>
        </w:rPr>
      </w:pPr>
      <w:r>
        <w:rPr>
          <w:rFonts w:hint="eastAsia" w:hAnsi="宋体" w:cs="宋体"/>
          <w:color w:val="auto"/>
          <w:highlight w:val="none"/>
        </w:rPr>
        <w:t>（</w:t>
      </w:r>
      <w:r>
        <w:rPr>
          <w:color w:val="auto"/>
          <w:highlight w:val="none"/>
        </w:rPr>
        <w:t>1</w:t>
      </w:r>
      <w:r>
        <w:rPr>
          <w:rFonts w:hint="eastAsia" w:hAnsi="宋体" w:cs="宋体"/>
          <w:color w:val="auto"/>
          <w:highlight w:val="none"/>
        </w:rPr>
        <w:t>）允许调整主要材料和</w:t>
      </w:r>
      <w:r>
        <w:rPr>
          <w:rFonts w:hint="default" w:hAnsi="宋体" w:cs="宋体"/>
          <w:color w:val="auto"/>
          <w:highlight w:val="none"/>
          <w:lang w:val="en"/>
        </w:rPr>
        <w:t>工程</w:t>
      </w:r>
      <w:r>
        <w:rPr>
          <w:rFonts w:hint="eastAsia" w:hAnsi="宋体" w:cs="宋体"/>
          <w:color w:val="auto"/>
          <w:highlight w:val="none"/>
        </w:rPr>
        <w:t>设备、基期价格、风险系数、投标报价详见《</w:t>
      </w:r>
      <w:r>
        <w:rPr>
          <w:rFonts w:hint="default" w:hAnsi="宋体" w:cs="宋体"/>
          <w:color w:val="auto"/>
          <w:highlight w:val="none"/>
          <w:lang w:val="en" w:eastAsia="zh-CN"/>
        </w:rPr>
        <w:t>允许调整</w:t>
      </w:r>
      <w:r>
        <w:rPr>
          <w:rFonts w:hint="eastAsia" w:hAnsi="宋体" w:cs="宋体"/>
          <w:color w:val="auto"/>
          <w:highlight w:val="none"/>
        </w:rPr>
        <w:t>主要材料和</w:t>
      </w:r>
      <w:r>
        <w:rPr>
          <w:rFonts w:hint="default" w:hAnsi="宋体" w:cs="宋体"/>
          <w:color w:val="auto"/>
          <w:highlight w:val="none"/>
          <w:lang w:val="en"/>
        </w:rPr>
        <w:t>工程</w:t>
      </w:r>
      <w:r>
        <w:rPr>
          <w:rFonts w:hint="eastAsia" w:hAnsi="宋体" w:cs="宋体"/>
          <w:color w:val="auto"/>
          <w:highlight w:val="none"/>
        </w:rPr>
        <w:t>设备一览表》</w:t>
      </w:r>
      <w:r>
        <w:rPr>
          <w:rFonts w:hint="eastAsia" w:ascii="宋体" w:hAnsi="宋体"/>
          <w:color w:val="auto"/>
          <w:kern w:val="0"/>
          <w:sz w:val="20"/>
          <w:highlight w:val="none"/>
        </w:rPr>
        <w:t>（表</w:t>
      </w:r>
      <w:r>
        <w:rPr>
          <w:rFonts w:ascii="宋体" w:hAnsi="宋体"/>
          <w:color w:val="auto"/>
          <w:kern w:val="0"/>
          <w:sz w:val="20"/>
          <w:highlight w:val="none"/>
        </w:rPr>
        <w:t>-22</w:t>
      </w:r>
      <w:r>
        <w:rPr>
          <w:rFonts w:hint="eastAsia" w:ascii="宋体" w:hAnsi="宋体"/>
          <w:color w:val="auto"/>
          <w:kern w:val="0"/>
          <w:sz w:val="20"/>
          <w:highlight w:val="none"/>
        </w:rPr>
        <w:t>）</w:t>
      </w:r>
      <w:r>
        <w:rPr>
          <w:rFonts w:hint="eastAsia" w:hAnsi="宋体" w:cs="宋体"/>
          <w:color w:val="auto"/>
          <w:highlight w:val="none"/>
        </w:rPr>
        <w:t>,价</w:t>
      </w:r>
      <w:r>
        <w:rPr>
          <w:rFonts w:hAnsi="宋体" w:cs="宋体"/>
          <w:color w:val="auto"/>
          <w:highlight w:val="none"/>
        </w:rPr>
        <w:t>差</w:t>
      </w:r>
      <w:r>
        <w:rPr>
          <w:rFonts w:hint="eastAsia" w:ascii="Calibri" w:hAnsi="宋体" w:cs="宋体"/>
          <w:color w:val="auto"/>
          <w:highlight w:val="none"/>
        </w:rPr>
        <w:t>调整部分仅计算税金，除此表列明的材料、设备外，其余材料设备价差原则上不予调整。</w:t>
      </w:r>
    </w:p>
    <w:p w14:paraId="62C5D6B9">
      <w:pPr>
        <w:spacing w:line="360" w:lineRule="auto"/>
        <w:ind w:firstLine="420" w:firstLineChars="200"/>
        <w:jc w:val="left"/>
        <w:rPr>
          <w:rFonts w:hAnsi="宋体"/>
          <w:color w:val="auto"/>
          <w:highlight w:val="none"/>
        </w:rPr>
      </w:pPr>
      <w:r>
        <w:rPr>
          <w:rFonts w:hint="eastAsia" w:hAnsi="宋体" w:cs="宋体"/>
          <w:color w:val="auto"/>
          <w:highlight w:val="none"/>
        </w:rPr>
        <w:t>（</w:t>
      </w:r>
      <w:r>
        <w:rPr>
          <w:color w:val="auto"/>
          <w:highlight w:val="none"/>
        </w:rPr>
        <w:t>2</w:t>
      </w:r>
      <w:r>
        <w:rPr>
          <w:rFonts w:hint="eastAsia" w:hAnsi="宋体" w:cs="宋体"/>
          <w:color w:val="auto"/>
          <w:highlight w:val="none"/>
        </w:rPr>
        <w:t>）主要材料和</w:t>
      </w:r>
      <w:r>
        <w:rPr>
          <w:rFonts w:hint="default" w:hAnsi="宋体" w:cs="宋体"/>
          <w:color w:val="auto"/>
          <w:highlight w:val="none"/>
          <w:lang w:val="en"/>
        </w:rPr>
        <w:t>工程</w:t>
      </w:r>
      <w:r>
        <w:rPr>
          <w:rFonts w:hint="eastAsia" w:hAnsi="宋体" w:cs="宋体"/>
          <w:color w:val="auto"/>
          <w:highlight w:val="none"/>
        </w:rPr>
        <w:t>设备确认价：</w:t>
      </w:r>
    </w:p>
    <w:p w14:paraId="4081F921">
      <w:pPr>
        <w:spacing w:line="360" w:lineRule="auto"/>
        <w:ind w:firstLine="420" w:firstLineChars="200"/>
        <w:jc w:val="left"/>
        <w:rPr>
          <w:color w:val="auto"/>
          <w:highlight w:val="none"/>
        </w:rPr>
      </w:pPr>
      <w:r>
        <w:rPr>
          <w:rFonts w:hint="eastAsia" w:hAnsi="宋体" w:cs="宋体"/>
          <w:color w:val="auto"/>
          <w:highlight w:val="none"/>
        </w:rPr>
        <w:t>按施工期间《</w:t>
      </w:r>
      <w:r>
        <w:rPr>
          <w:color w:val="auto"/>
          <w:highlight w:val="none"/>
          <w:u w:val="single"/>
        </w:rPr>
        <w:t xml:space="preserve"> </w:t>
      </w:r>
      <w:r>
        <w:rPr>
          <w:rFonts w:hint="eastAsia"/>
          <w:color w:val="auto"/>
          <w:highlight w:val="none"/>
          <w:u w:val="single"/>
          <w:lang w:val="en-US" w:eastAsia="zh-CN"/>
        </w:rPr>
        <w:t>南宁</w:t>
      </w:r>
      <w:r>
        <w:rPr>
          <w:color w:val="auto"/>
          <w:highlight w:val="none"/>
          <w:u w:val="single"/>
        </w:rPr>
        <w:t xml:space="preserve"> </w:t>
      </w:r>
      <w:r>
        <w:rPr>
          <w:rFonts w:hint="eastAsia" w:hAnsi="宋体" w:cs="宋体"/>
          <w:color w:val="auto"/>
          <w:highlight w:val="none"/>
        </w:rPr>
        <w:t>市建设工程造价信息》材料信息价的加权平均价计算，信息价没有的按通用条款规定确定。</w:t>
      </w:r>
    </w:p>
    <w:p w14:paraId="268ED6F2">
      <w:pPr>
        <w:spacing w:line="360" w:lineRule="auto"/>
        <w:ind w:firstLine="420" w:firstLineChars="200"/>
        <w:jc w:val="left"/>
        <w:rPr>
          <w:rFonts w:hAnsi="宋体"/>
          <w:color w:val="auto"/>
          <w:highlight w:val="none"/>
        </w:rPr>
      </w:pPr>
      <w:r>
        <w:rPr>
          <w:rFonts w:hint="eastAsia" w:hAnsi="宋体" w:cs="宋体"/>
          <w:color w:val="auto"/>
          <w:highlight w:val="none"/>
        </w:rPr>
        <w:t>（</w:t>
      </w:r>
      <w:r>
        <w:rPr>
          <w:color w:val="auto"/>
          <w:highlight w:val="none"/>
        </w:rPr>
        <w:t>3</w:t>
      </w:r>
      <w:r>
        <w:rPr>
          <w:rFonts w:hint="eastAsia" w:hAnsi="宋体" w:cs="宋体"/>
          <w:color w:val="auto"/>
          <w:highlight w:val="none"/>
        </w:rPr>
        <w:t>）价差计算方法：</w:t>
      </w:r>
    </w:p>
    <w:p w14:paraId="6EA5FD99">
      <w:pPr>
        <w:spacing w:line="360" w:lineRule="auto"/>
        <w:ind w:firstLine="420" w:firstLineChars="200"/>
        <w:jc w:val="left"/>
        <w:rPr>
          <w:rFonts w:hAnsi="宋体"/>
          <w:color w:val="auto"/>
          <w:highlight w:val="none"/>
        </w:rPr>
      </w:pPr>
      <w:r>
        <w:rPr>
          <w:rFonts w:hint="eastAsia" w:hAnsi="宋体" w:cs="宋体"/>
          <w:color w:val="auto"/>
          <w:highlight w:val="none"/>
        </w:rPr>
        <w:t>①《</w:t>
      </w:r>
      <w:r>
        <w:rPr>
          <w:rFonts w:hint="default" w:hAnsi="宋体" w:cs="宋体"/>
          <w:color w:val="auto"/>
          <w:highlight w:val="none"/>
          <w:lang w:val="en" w:eastAsia="zh-CN"/>
        </w:rPr>
        <w:t>允许调整</w:t>
      </w:r>
      <w:r>
        <w:rPr>
          <w:rFonts w:hint="eastAsia" w:hAnsi="宋体" w:cs="宋体"/>
          <w:color w:val="auto"/>
          <w:highlight w:val="none"/>
        </w:rPr>
        <w:t>主要材料和</w:t>
      </w:r>
      <w:r>
        <w:rPr>
          <w:rFonts w:hint="eastAsia" w:hAnsi="宋体" w:cs="宋体"/>
          <w:color w:val="auto"/>
          <w:highlight w:val="none"/>
          <w:lang w:eastAsia="zh-CN"/>
        </w:rPr>
        <w:t>工程</w:t>
      </w:r>
      <w:r>
        <w:rPr>
          <w:rFonts w:hint="eastAsia" w:hAnsi="宋体" w:cs="宋体"/>
          <w:color w:val="auto"/>
          <w:highlight w:val="none"/>
        </w:rPr>
        <w:t>设备一览表》中载明的材料和设备投标报价低于基准价格的：合同履行期间材料和设备单价涨幅以基准价格为基础超过约定的风险范围时，或材料和设备单价跌幅以投标报价为基础超过约定的风险范围时，对其超过部分进行价差调整，价差计算公式：价格上涨价差=确认价-基准价*（1+风险系数），价格下跌价差=确认价-投标报价*（1+风险系数）。</w:t>
      </w:r>
    </w:p>
    <w:p w14:paraId="070E9D61">
      <w:pPr>
        <w:spacing w:line="360" w:lineRule="auto"/>
        <w:ind w:firstLine="420" w:firstLineChars="200"/>
        <w:jc w:val="left"/>
        <w:rPr>
          <w:rFonts w:hAnsi="宋体"/>
          <w:color w:val="auto"/>
          <w:highlight w:val="none"/>
        </w:rPr>
      </w:pPr>
      <w:r>
        <w:rPr>
          <w:rFonts w:hint="eastAsia" w:hAnsi="宋体" w:cs="宋体"/>
          <w:color w:val="auto"/>
          <w:highlight w:val="none"/>
        </w:rPr>
        <w:t>②承包人在《</w:t>
      </w:r>
      <w:r>
        <w:rPr>
          <w:rFonts w:hint="default" w:hAnsi="宋体" w:cs="宋体"/>
          <w:color w:val="auto"/>
          <w:highlight w:val="none"/>
          <w:lang w:val="en" w:eastAsia="zh-CN"/>
        </w:rPr>
        <w:t>允许调整</w:t>
      </w:r>
      <w:r>
        <w:rPr>
          <w:rFonts w:hint="eastAsia" w:hAnsi="宋体" w:cs="宋体"/>
          <w:color w:val="auto"/>
          <w:highlight w:val="none"/>
        </w:rPr>
        <w:t>主要材料和</w:t>
      </w:r>
      <w:r>
        <w:rPr>
          <w:rFonts w:hint="eastAsia" w:hAnsi="宋体" w:cs="宋体"/>
          <w:color w:val="auto"/>
          <w:highlight w:val="none"/>
          <w:lang w:eastAsia="zh-CN"/>
        </w:rPr>
        <w:t>工程</w:t>
      </w:r>
      <w:r>
        <w:rPr>
          <w:rFonts w:hint="eastAsia" w:hAnsi="宋体" w:cs="宋体"/>
          <w:color w:val="auto"/>
          <w:highlight w:val="none"/>
        </w:rPr>
        <w:t>设备一览表》中载明的材料和设备投标报价高于基准价格的：合同履行期间材料和设备单价跌幅以基准价格为基础超过约定的风险范围时，或材料和设备单价涨幅以投标报价为基础超过约定的风险范围时，对其超过部分进行价差调整。价差计算公式：价格上涨价差=确认价-投标报价*（1+风险系数），价格下跌价差=确认价-基准价*（1+风险系数。）</w:t>
      </w:r>
    </w:p>
    <w:p w14:paraId="229B9663">
      <w:pPr>
        <w:spacing w:line="360" w:lineRule="auto"/>
        <w:ind w:firstLine="420" w:firstLineChars="200"/>
        <w:jc w:val="left"/>
        <w:rPr>
          <w:color w:val="auto"/>
          <w:highlight w:val="none"/>
        </w:rPr>
      </w:pPr>
      <w:r>
        <w:rPr>
          <w:rFonts w:hint="eastAsia" w:hAnsi="宋体" w:cs="宋体"/>
          <w:color w:val="auto"/>
          <w:highlight w:val="none"/>
        </w:rPr>
        <w:t>③承包人在《</w:t>
      </w:r>
      <w:r>
        <w:rPr>
          <w:rFonts w:hint="default" w:hAnsi="宋体" w:cs="宋体"/>
          <w:color w:val="auto"/>
          <w:highlight w:val="none"/>
          <w:lang w:val="en" w:eastAsia="zh-CN"/>
        </w:rPr>
        <w:t>允许调整</w:t>
      </w:r>
      <w:r>
        <w:rPr>
          <w:rFonts w:hint="eastAsia" w:hAnsi="宋体" w:cs="宋体"/>
          <w:color w:val="auto"/>
          <w:highlight w:val="none"/>
        </w:rPr>
        <w:t>主要材料和</w:t>
      </w:r>
      <w:r>
        <w:rPr>
          <w:rFonts w:hint="eastAsia" w:hAnsi="宋体" w:cs="宋体"/>
          <w:color w:val="auto"/>
          <w:highlight w:val="none"/>
          <w:lang w:eastAsia="zh-CN"/>
        </w:rPr>
        <w:t>工程</w:t>
      </w:r>
      <w:r>
        <w:rPr>
          <w:rFonts w:hint="eastAsia" w:hAnsi="宋体" w:cs="宋体"/>
          <w:color w:val="auto"/>
          <w:highlight w:val="none"/>
        </w:rPr>
        <w:t>设备一览表》中载明的材料和设备单价等于基准单价的：合同履行期间材料和设备单价涨跌幅以基准单价为基础超过约定的风险范围时，对其超过部分进行价差调整。价差计算公式：上涨或下跌价差=确认价-基准单价*（1+风险系数））</w:t>
      </w:r>
    </w:p>
    <w:p w14:paraId="61C91036">
      <w:pPr>
        <w:spacing w:line="360" w:lineRule="auto"/>
        <w:ind w:firstLine="645"/>
        <w:jc w:val="left"/>
        <w:rPr>
          <w:color w:val="auto"/>
          <w:highlight w:val="none"/>
        </w:rPr>
      </w:pPr>
      <w:r>
        <w:rPr>
          <w:rFonts w:hint="eastAsia" w:hAnsi="宋体" w:cs="宋体"/>
          <w:color w:val="auto"/>
          <w:highlight w:val="none"/>
        </w:rPr>
        <w:t>第</w:t>
      </w:r>
      <w:r>
        <w:rPr>
          <w:rFonts w:hAnsi="宋体"/>
          <w:color w:val="auto"/>
          <w:highlight w:val="none"/>
        </w:rPr>
        <w:t>3</w:t>
      </w:r>
      <w:r>
        <w:rPr>
          <w:rFonts w:hint="eastAsia" w:hAnsi="宋体" w:cs="宋体"/>
          <w:color w:val="auto"/>
          <w:highlight w:val="none"/>
        </w:rPr>
        <w:t>种方式：</w:t>
      </w:r>
      <w:r>
        <w:rPr>
          <w:rFonts w:ascii="Calibri" w:hAnsi="Calibri" w:eastAsia="Calibri" w:cs="Calibri"/>
          <w:color w:val="auto"/>
          <w:spacing w:val="0"/>
          <w:highlight w:val="none"/>
          <w:u w:val="single"/>
        </w:rPr>
        <w:t xml:space="preserve">        /        </w:t>
      </w:r>
      <w:r>
        <w:rPr>
          <w:rFonts w:hint="eastAsia" w:cs="宋体"/>
          <w:color w:val="auto"/>
          <w:highlight w:val="none"/>
        </w:rPr>
        <w:t>。</w:t>
      </w:r>
    </w:p>
    <w:bookmarkEnd w:id="839"/>
    <w:bookmarkEnd w:id="840"/>
    <w:bookmarkEnd w:id="841"/>
    <w:bookmarkEnd w:id="842"/>
    <w:bookmarkEnd w:id="843"/>
    <w:bookmarkEnd w:id="844"/>
    <w:p w14:paraId="6D1882E5">
      <w:pPr>
        <w:pStyle w:val="3"/>
        <w:rPr>
          <w:color w:val="auto"/>
          <w:highlight w:val="none"/>
        </w:rPr>
      </w:pPr>
      <w:bookmarkStart w:id="1017" w:name="_Toc297120505"/>
      <w:bookmarkStart w:id="1018" w:name="_Toc296891033"/>
      <w:bookmarkStart w:id="1019" w:name="_Toc296347204"/>
      <w:bookmarkStart w:id="1020" w:name="_Toc296944544"/>
      <w:bookmarkStart w:id="1021" w:name="_Toc296891245"/>
      <w:bookmarkStart w:id="1022" w:name="_Toc297048391"/>
      <w:bookmarkStart w:id="1023" w:name="_Toc292559915"/>
      <w:bookmarkStart w:id="1024" w:name="_Toc296503205"/>
      <w:bookmarkStart w:id="1025" w:name="_Toc292559410"/>
      <w:bookmarkStart w:id="1026" w:name="_Toc296346706"/>
      <w:bookmarkStart w:id="1027" w:name="_Toc15935"/>
      <w:bookmarkStart w:id="1028" w:name="_Toc78449837"/>
      <w:bookmarkStart w:id="1029" w:name="_Toc351203644"/>
      <w:bookmarkStart w:id="1030" w:name="_Toc373478395"/>
      <w:bookmarkStart w:id="1031" w:name="_Toc407135251"/>
      <w:bookmarkStart w:id="1032" w:name="_Toc1720046426"/>
      <w:bookmarkStart w:id="1033" w:name="_Toc1935657796"/>
      <w:bookmarkStart w:id="1034" w:name="_Toc373227748"/>
      <w:bookmarkStart w:id="1035" w:name="_Toc304295579"/>
      <w:bookmarkStart w:id="1036" w:name="_Toc297123552"/>
      <w:bookmarkStart w:id="1037" w:name="_Toc297216211"/>
      <w:bookmarkStart w:id="1038" w:name="_Toc300935002"/>
      <w:bookmarkStart w:id="1039" w:name="_Toc312678040"/>
      <w:bookmarkStart w:id="1040" w:name="_Toc303539159"/>
      <w:r>
        <w:rPr>
          <w:color w:val="auto"/>
          <w:highlight w:val="none"/>
        </w:rPr>
        <w:t xml:space="preserve">12. </w:t>
      </w:r>
      <w:bookmarkEnd w:id="1017"/>
      <w:bookmarkEnd w:id="1018"/>
      <w:bookmarkEnd w:id="1019"/>
      <w:bookmarkEnd w:id="1020"/>
      <w:bookmarkEnd w:id="1021"/>
      <w:bookmarkEnd w:id="1022"/>
      <w:bookmarkEnd w:id="1023"/>
      <w:bookmarkEnd w:id="1024"/>
      <w:bookmarkEnd w:id="1025"/>
      <w:bookmarkEnd w:id="1026"/>
      <w:r>
        <w:rPr>
          <w:rFonts w:hint="eastAsia" w:cs="黑体"/>
          <w:color w:val="auto"/>
          <w:highlight w:val="none"/>
        </w:rPr>
        <w:t>合同价格、计量与支付</w:t>
      </w:r>
      <w:bookmarkEnd w:id="1027"/>
      <w:bookmarkEnd w:id="1028"/>
      <w:bookmarkEnd w:id="1029"/>
      <w:bookmarkEnd w:id="1030"/>
      <w:bookmarkEnd w:id="1031"/>
      <w:bookmarkEnd w:id="1032"/>
      <w:bookmarkEnd w:id="1033"/>
      <w:bookmarkEnd w:id="1034"/>
    </w:p>
    <w:bookmarkEnd w:id="1035"/>
    <w:bookmarkEnd w:id="1036"/>
    <w:bookmarkEnd w:id="1037"/>
    <w:bookmarkEnd w:id="1038"/>
    <w:bookmarkEnd w:id="1039"/>
    <w:bookmarkEnd w:id="1040"/>
    <w:p w14:paraId="737C370F">
      <w:pPr>
        <w:pStyle w:val="4"/>
        <w:rPr>
          <w:color w:val="auto"/>
          <w:highlight w:val="none"/>
        </w:rPr>
      </w:pPr>
      <w:bookmarkStart w:id="1041" w:name="_Toc292559916"/>
      <w:bookmarkStart w:id="1042" w:name="_Toc292559411"/>
      <w:bookmarkStart w:id="1043" w:name="_Toc267251461"/>
      <w:bookmarkStart w:id="1044" w:name="_Toc297120506"/>
      <w:bookmarkStart w:id="1045" w:name="_Toc296944545"/>
      <w:bookmarkStart w:id="1046" w:name="_Toc297048392"/>
      <w:bookmarkStart w:id="1047" w:name="_Toc296346707"/>
      <w:bookmarkStart w:id="1048" w:name="_Toc296891246"/>
      <w:bookmarkStart w:id="1049" w:name="_Toc296503206"/>
      <w:bookmarkStart w:id="1050" w:name="_Toc296891034"/>
      <w:bookmarkStart w:id="1051" w:name="_Toc296347205"/>
      <w:bookmarkStart w:id="1052" w:name="_Toc24925"/>
      <w:bookmarkStart w:id="1053" w:name="_Toc389065314"/>
      <w:bookmarkStart w:id="1054" w:name="_Toc78449838"/>
      <w:bookmarkStart w:id="1055" w:name="_Toc373227749"/>
      <w:bookmarkStart w:id="1056" w:name="_Toc407135252"/>
      <w:bookmarkStart w:id="1057" w:name="_Toc1894565429"/>
      <w:bookmarkStart w:id="1058" w:name="_Toc1395756356"/>
      <w:bookmarkStart w:id="1059" w:name="_Toc373478396"/>
      <w:bookmarkStart w:id="1060" w:name="_Toc303539160"/>
      <w:bookmarkStart w:id="1061" w:name="_Toc304295580"/>
      <w:bookmarkStart w:id="1062" w:name="_Toc297123553"/>
      <w:bookmarkStart w:id="1063" w:name="_Toc312678041"/>
      <w:bookmarkStart w:id="1064" w:name="_Toc300935003"/>
      <w:bookmarkStart w:id="1065" w:name="_Toc297216212"/>
      <w:r>
        <w:rPr>
          <w:color w:val="auto"/>
          <w:highlight w:val="none"/>
        </w:rPr>
        <w:t xml:space="preserve">12.1 </w:t>
      </w:r>
      <w:r>
        <w:rPr>
          <w:rFonts w:hint="eastAsia" w:hAnsi="宋体" w:cs="黑体"/>
          <w:color w:val="auto"/>
          <w:highlight w:val="none"/>
        </w:rPr>
        <w:t>合</w:t>
      </w:r>
      <w:bookmarkEnd w:id="1041"/>
      <w:bookmarkEnd w:id="1042"/>
      <w:bookmarkEnd w:id="1043"/>
      <w:r>
        <w:rPr>
          <w:rFonts w:hint="eastAsia" w:hAnsi="宋体" w:cs="黑体"/>
          <w:color w:val="auto"/>
          <w:highlight w:val="none"/>
        </w:rPr>
        <w:t>同价</w:t>
      </w:r>
      <w:bookmarkEnd w:id="1044"/>
      <w:bookmarkEnd w:id="1045"/>
      <w:bookmarkEnd w:id="1046"/>
      <w:bookmarkEnd w:id="1047"/>
      <w:bookmarkEnd w:id="1048"/>
      <w:bookmarkEnd w:id="1049"/>
      <w:bookmarkEnd w:id="1050"/>
      <w:bookmarkEnd w:id="1051"/>
      <w:r>
        <w:rPr>
          <w:rFonts w:hint="eastAsia" w:hAnsi="宋体" w:cs="黑体"/>
          <w:color w:val="auto"/>
          <w:highlight w:val="none"/>
        </w:rPr>
        <w:t>格形式</w:t>
      </w:r>
      <w:bookmarkEnd w:id="1052"/>
      <w:bookmarkEnd w:id="1053"/>
      <w:bookmarkEnd w:id="1054"/>
      <w:bookmarkEnd w:id="1055"/>
      <w:bookmarkEnd w:id="1056"/>
      <w:bookmarkEnd w:id="1057"/>
      <w:bookmarkEnd w:id="1058"/>
      <w:bookmarkEnd w:id="1059"/>
    </w:p>
    <w:bookmarkEnd w:id="1060"/>
    <w:bookmarkEnd w:id="1061"/>
    <w:bookmarkEnd w:id="1062"/>
    <w:bookmarkEnd w:id="1063"/>
    <w:bookmarkEnd w:id="1064"/>
    <w:bookmarkEnd w:id="1065"/>
    <w:p w14:paraId="0DC001BD">
      <w:pPr>
        <w:spacing w:line="360" w:lineRule="auto"/>
        <w:ind w:firstLine="420" w:firstLineChars="200"/>
        <w:jc w:val="left"/>
        <w:rPr>
          <w:rFonts w:hAnsi="宋体"/>
          <w:color w:val="auto"/>
          <w:highlight w:val="none"/>
        </w:rPr>
      </w:pPr>
      <w:bookmarkStart w:id="1066" w:name="_Toc389065315"/>
      <w:bookmarkStart w:id="1067" w:name="_Toc373478397"/>
      <w:bookmarkStart w:id="1068" w:name="_Toc373227750"/>
      <w:bookmarkStart w:id="1069" w:name="_Toc312678042"/>
      <w:bookmarkStart w:id="1070" w:name="_Toc297216213"/>
      <w:bookmarkStart w:id="1071" w:name="_Toc300935004"/>
      <w:bookmarkStart w:id="1072" w:name="_Toc303539161"/>
      <w:bookmarkStart w:id="1073" w:name="_Toc304295581"/>
      <w:bookmarkStart w:id="1074" w:name="_Toc297123554"/>
      <w:bookmarkStart w:id="1075" w:name="_Toc297048393"/>
      <w:bookmarkStart w:id="1076" w:name="_Toc296891247"/>
      <w:bookmarkStart w:id="1077" w:name="_Toc296346708"/>
      <w:bookmarkStart w:id="1078" w:name="_Toc292559917"/>
      <w:bookmarkStart w:id="1079" w:name="_Toc296944546"/>
      <w:bookmarkStart w:id="1080" w:name="_Toc296891035"/>
      <w:bookmarkStart w:id="1081" w:name="_Toc297120507"/>
      <w:bookmarkStart w:id="1082" w:name="_Toc296503207"/>
      <w:bookmarkStart w:id="1083" w:name="_Toc292559412"/>
      <w:bookmarkStart w:id="1084" w:name="_Toc296347206"/>
      <w:r>
        <w:rPr>
          <w:rFonts w:hint="eastAsia" w:hAnsi="宋体" w:cs="宋体"/>
          <w:color w:val="auto"/>
          <w:highlight w:val="none"/>
        </w:rPr>
        <w:t>本工程采用</w:t>
      </w:r>
      <w:r>
        <w:rPr>
          <w:rFonts w:hAnsi="宋体"/>
          <w:color w:val="auto"/>
          <w:highlight w:val="none"/>
          <w:u w:val="single"/>
        </w:rPr>
        <w:t xml:space="preserve"> </w:t>
      </w:r>
      <w:r>
        <w:rPr>
          <w:rFonts w:hint="eastAsia" w:hAnsi="宋体"/>
          <w:color w:val="auto"/>
          <w:highlight w:val="none"/>
          <w:u w:val="single"/>
        </w:rPr>
        <w:t>总价</w:t>
      </w:r>
      <w:r>
        <w:rPr>
          <w:rFonts w:hAnsi="宋体"/>
          <w:color w:val="auto"/>
          <w:highlight w:val="none"/>
          <w:u w:val="single"/>
        </w:rPr>
        <w:t xml:space="preserve"> </w:t>
      </w:r>
      <w:r>
        <w:rPr>
          <w:rFonts w:hint="eastAsia" w:hAnsi="宋体" w:cs="宋体"/>
          <w:color w:val="auto"/>
          <w:highlight w:val="none"/>
        </w:rPr>
        <w:t>合同价格形式，合同价格包含增值税，本工程计价时采用的增值税计税方法为：</w:t>
      </w:r>
      <w:r>
        <w:rPr>
          <w:rFonts w:hint="eastAsia" w:ascii="宋体" w:hAnsi="宋体" w:cs="宋体"/>
          <w:color w:val="auto"/>
          <w:highlight w:val="none"/>
          <w:lang w:eastAsia="zh-CN"/>
        </w:rPr>
        <w:t>☑</w:t>
      </w:r>
      <w:r>
        <w:rPr>
          <w:rFonts w:hint="eastAsia" w:hAnsi="宋体" w:cs="宋体"/>
          <w:color w:val="auto"/>
          <w:highlight w:val="none"/>
        </w:rPr>
        <w:t xml:space="preserve">一般计税法   </w:t>
      </w:r>
      <w:r>
        <w:rPr>
          <w:rFonts w:hint="eastAsia" w:ascii="宋体" w:hAnsi="宋体" w:cs="宋体"/>
          <w:color w:val="auto"/>
          <w:highlight w:val="none"/>
        </w:rPr>
        <w:t>□</w:t>
      </w:r>
      <w:r>
        <w:rPr>
          <w:rFonts w:hint="eastAsia" w:hAnsi="宋体" w:cs="宋体"/>
          <w:color w:val="auto"/>
          <w:highlight w:val="none"/>
        </w:rPr>
        <w:t>简易计税法。</w:t>
      </w:r>
    </w:p>
    <w:p w14:paraId="0B6EDC85">
      <w:pPr>
        <w:spacing w:line="360" w:lineRule="auto"/>
        <w:ind w:firstLine="420" w:firstLineChars="200"/>
        <w:jc w:val="left"/>
        <w:rPr>
          <w:rFonts w:hAnsi="宋体"/>
          <w:color w:val="auto"/>
          <w:highlight w:val="none"/>
        </w:rPr>
      </w:pPr>
      <w:r>
        <w:rPr>
          <w:rFonts w:hint="eastAsia" w:hAnsi="宋体" w:cs="宋体"/>
          <w:color w:val="auto"/>
          <w:highlight w:val="none"/>
        </w:rPr>
        <w:t>（</w:t>
      </w:r>
      <w:r>
        <w:rPr>
          <w:rFonts w:hAnsi="宋体"/>
          <w:color w:val="auto"/>
          <w:highlight w:val="none"/>
        </w:rPr>
        <w:t>1</w:t>
      </w:r>
      <w:r>
        <w:rPr>
          <w:rFonts w:hint="eastAsia" w:hAnsi="宋体" w:cs="宋体"/>
          <w:color w:val="auto"/>
          <w:highlight w:val="none"/>
        </w:rPr>
        <w:t>）单价合同。</w:t>
      </w:r>
    </w:p>
    <w:p w14:paraId="40094495">
      <w:pPr>
        <w:spacing w:line="360" w:lineRule="auto"/>
        <w:ind w:firstLine="420" w:firstLineChars="200"/>
        <w:jc w:val="left"/>
        <w:rPr>
          <w:rFonts w:hAnsi="宋体"/>
          <w:color w:val="auto"/>
          <w:highlight w:val="none"/>
        </w:rPr>
      </w:pPr>
      <w:r>
        <w:rPr>
          <w:rFonts w:hint="eastAsia" w:hAnsi="宋体" w:cs="宋体"/>
          <w:color w:val="auto"/>
          <w:highlight w:val="none"/>
        </w:rPr>
        <w:t>采用综合单价合同方式时，工程量按建设单位、监理单位、施工单位三方确认的竣工图结算。</w:t>
      </w:r>
    </w:p>
    <w:p w14:paraId="79F235D2">
      <w:pPr>
        <w:spacing w:line="360" w:lineRule="auto"/>
        <w:ind w:firstLine="420" w:firstLineChars="200"/>
        <w:jc w:val="left"/>
        <w:rPr>
          <w:rFonts w:hAnsi="宋体"/>
          <w:color w:val="auto"/>
          <w:highlight w:val="none"/>
        </w:rPr>
      </w:pPr>
      <w:r>
        <w:rPr>
          <w:rFonts w:hint="eastAsia" w:hAnsi="宋体" w:cs="宋体"/>
          <w:color w:val="auto"/>
          <w:highlight w:val="none"/>
        </w:rPr>
        <w:t>综合单价包含的风险范围：</w:t>
      </w:r>
      <w:r>
        <w:rPr>
          <w:rFonts w:hint="eastAsia" w:hAnsi="宋体" w:cs="宋体"/>
          <w:color w:val="auto"/>
          <w:highlight w:val="none"/>
          <w:u w:val="single"/>
        </w:rPr>
        <w:t>除工程变更、项目特征不符、工程量清单缺项、工程量偏差、政策性调整、市场价格波动。</w:t>
      </w:r>
    </w:p>
    <w:p w14:paraId="6EEC9396">
      <w:pPr>
        <w:spacing w:line="360" w:lineRule="auto"/>
        <w:ind w:firstLine="420" w:firstLineChars="200"/>
        <w:jc w:val="left"/>
        <w:rPr>
          <w:rFonts w:hAnsi="宋体" w:cs="宋体"/>
          <w:color w:val="auto"/>
          <w:highlight w:val="none"/>
        </w:rPr>
      </w:pPr>
      <w:r>
        <w:rPr>
          <w:rFonts w:hint="eastAsia" w:hAnsi="宋体" w:cs="宋体"/>
          <w:color w:val="auto"/>
          <w:highlight w:val="none"/>
        </w:rPr>
        <w:t>风险范围以外合同价格的调整方法：</w:t>
      </w:r>
    </w:p>
    <w:p w14:paraId="398E8973">
      <w:pPr>
        <w:spacing w:line="360" w:lineRule="auto"/>
        <w:ind w:firstLine="420" w:firstLineChars="200"/>
        <w:jc w:val="left"/>
        <w:rPr>
          <w:rFonts w:hint="eastAsia" w:hAnsi="宋体" w:cs="宋体"/>
          <w:color w:val="auto"/>
          <w:highlight w:val="none"/>
        </w:rPr>
      </w:pPr>
      <w:r>
        <w:rPr>
          <w:rFonts w:hint="eastAsia" w:hAnsi="宋体" w:cs="宋体"/>
          <w:color w:val="auto"/>
          <w:highlight w:val="none"/>
        </w:rPr>
        <w:t>①工程变更</w:t>
      </w:r>
      <w:r>
        <w:rPr>
          <w:rFonts w:hint="eastAsia" w:ascii="Calibri" w:hAnsi="宋体" w:cs="宋体"/>
          <w:color w:val="auto"/>
          <w:highlight w:val="none"/>
        </w:rPr>
        <w:t>、项目特征不符、工程量清单缺项</w:t>
      </w:r>
      <w:r>
        <w:rPr>
          <w:rFonts w:hint="eastAsia" w:hAnsi="宋体" w:cs="宋体"/>
          <w:color w:val="auto"/>
          <w:highlight w:val="none"/>
        </w:rPr>
        <w:t>：按</w:t>
      </w:r>
      <w:r>
        <w:rPr>
          <w:rFonts w:hAnsi="宋体" w:cs="宋体"/>
          <w:color w:val="auto"/>
          <w:highlight w:val="none"/>
        </w:rPr>
        <w:t>10.4.1</w:t>
      </w:r>
      <w:r>
        <w:rPr>
          <w:rFonts w:hint="eastAsia" w:hAnsi="宋体" w:cs="宋体"/>
          <w:color w:val="auto"/>
          <w:highlight w:val="none"/>
        </w:rPr>
        <w:t>变更估价原则的约定调整。</w:t>
      </w:r>
    </w:p>
    <w:p w14:paraId="6DA4BA45">
      <w:pPr>
        <w:spacing w:line="360" w:lineRule="auto"/>
        <w:ind w:firstLine="420" w:firstLineChars="200"/>
        <w:jc w:val="left"/>
        <w:rPr>
          <w:rFonts w:hint="eastAsia" w:hAnsi="宋体" w:cs="宋体"/>
          <w:color w:val="auto"/>
          <w:highlight w:val="none"/>
        </w:rPr>
      </w:pPr>
      <w:r>
        <w:rPr>
          <w:rFonts w:hint="eastAsia" w:hAnsi="宋体" w:cs="宋体"/>
          <w:color w:val="auto"/>
          <w:highlight w:val="none"/>
        </w:rPr>
        <w:t>②</w:t>
      </w:r>
      <w:r>
        <w:rPr>
          <w:rFonts w:hint="eastAsia" w:ascii="Calibri" w:hAnsi="宋体" w:cs="宋体"/>
          <w:color w:val="auto"/>
          <w:highlight w:val="none"/>
        </w:rPr>
        <w:t>工程量偏差：按1.13工程量清单错误修正的约定调整。</w:t>
      </w:r>
    </w:p>
    <w:p w14:paraId="01132043">
      <w:pPr>
        <w:spacing w:line="360" w:lineRule="auto"/>
        <w:ind w:firstLine="420" w:firstLineChars="200"/>
        <w:jc w:val="left"/>
        <w:rPr>
          <w:rFonts w:hAnsi="宋体" w:cs="宋体"/>
          <w:color w:val="auto"/>
          <w:highlight w:val="none"/>
        </w:rPr>
      </w:pPr>
      <w:r>
        <w:rPr>
          <w:rFonts w:hint="eastAsia" w:hAnsi="宋体" w:cs="宋体"/>
          <w:color w:val="auto"/>
          <w:highlight w:val="none"/>
        </w:rPr>
        <w:t>③政策性调整：</w:t>
      </w:r>
      <w:r>
        <w:rPr>
          <w:rFonts w:hint="eastAsia" w:ascii="仿宋_GB2312" w:hAnsi="宋体"/>
          <w:color w:val="auto"/>
          <w:highlight w:val="none"/>
        </w:rPr>
        <w:t>按国家、自治区住房城乡建设厅或工程所在地</w:t>
      </w:r>
      <w:r>
        <w:rPr>
          <w:rFonts w:hint="eastAsia" w:ascii="仿宋_GB2312" w:hAnsi="宋体" w:eastAsia="宋体"/>
          <w:color w:val="auto"/>
          <w:sz w:val="21"/>
          <w:szCs w:val="21"/>
          <w:highlight w:val="none"/>
        </w:rPr>
        <w:t>市级</w:t>
      </w:r>
      <w:r>
        <w:rPr>
          <w:rFonts w:hint="eastAsia" w:ascii="仿宋_GB2312" w:hAnsi="宋体"/>
          <w:color w:val="auto"/>
          <w:highlight w:val="none"/>
        </w:rPr>
        <w:t>住房城乡建设主管部门颁布的文件执行</w:t>
      </w:r>
      <w:r>
        <w:rPr>
          <w:rFonts w:hint="eastAsia" w:hAnsi="宋体" w:cs="宋体"/>
          <w:color w:val="auto"/>
          <w:highlight w:val="none"/>
        </w:rPr>
        <w:t>。</w:t>
      </w:r>
    </w:p>
    <w:p w14:paraId="00C0F06D">
      <w:pPr>
        <w:spacing w:line="360" w:lineRule="auto"/>
        <w:ind w:firstLine="420" w:firstLineChars="200"/>
        <w:jc w:val="left"/>
        <w:rPr>
          <w:rFonts w:hAnsi="宋体" w:cs="宋体"/>
          <w:color w:val="auto"/>
          <w:highlight w:val="none"/>
        </w:rPr>
      </w:pPr>
      <w:r>
        <w:rPr>
          <w:rFonts w:hint="eastAsia" w:hAnsi="宋体" w:cs="宋体"/>
          <w:color w:val="auto"/>
          <w:highlight w:val="none"/>
        </w:rPr>
        <w:t>④市场波动引起的调整：按</w:t>
      </w:r>
      <w:r>
        <w:rPr>
          <w:rFonts w:hAnsi="宋体" w:cs="宋体"/>
          <w:color w:val="auto"/>
          <w:highlight w:val="none"/>
        </w:rPr>
        <w:t>11.1</w:t>
      </w:r>
      <w:r>
        <w:rPr>
          <w:rFonts w:hint="eastAsia" w:hAnsi="宋体" w:cs="宋体"/>
          <w:color w:val="auto"/>
          <w:highlight w:val="none"/>
        </w:rPr>
        <w:t>的约定调整。</w:t>
      </w:r>
    </w:p>
    <w:p w14:paraId="13E1B75A">
      <w:pPr>
        <w:spacing w:line="360" w:lineRule="auto"/>
        <w:ind w:firstLine="420" w:firstLineChars="200"/>
        <w:jc w:val="left"/>
        <w:rPr>
          <w:rFonts w:hAnsi="宋体"/>
          <w:color w:val="auto"/>
          <w:highlight w:val="none"/>
        </w:rPr>
      </w:pPr>
      <w:r>
        <w:rPr>
          <w:rFonts w:hint="eastAsia" w:hAnsi="宋体" w:cs="宋体"/>
          <w:color w:val="auto"/>
          <w:highlight w:val="none"/>
        </w:rPr>
        <w:t>⑤其它：</w:t>
      </w:r>
      <w:r>
        <w:rPr>
          <w:rFonts w:ascii="宋体" w:hAnsi="宋体" w:eastAsia="宋体" w:cs="宋体"/>
          <w:color w:val="auto"/>
          <w:spacing w:val="0"/>
          <w:highlight w:val="none"/>
          <w:u w:val="single"/>
        </w:rPr>
        <w:t xml:space="preserve">   无  </w:t>
      </w:r>
      <w:r>
        <w:rPr>
          <w:rFonts w:hint="eastAsia" w:hAnsi="宋体" w:cs="宋体"/>
          <w:color w:val="auto"/>
          <w:highlight w:val="none"/>
        </w:rPr>
        <w:t>。</w:t>
      </w:r>
    </w:p>
    <w:p w14:paraId="79F77175">
      <w:pPr>
        <w:spacing w:line="360" w:lineRule="auto"/>
        <w:ind w:firstLine="420" w:firstLineChars="200"/>
        <w:jc w:val="left"/>
        <w:rPr>
          <w:rFonts w:hAnsi="宋体"/>
          <w:color w:val="auto"/>
          <w:highlight w:val="none"/>
        </w:rPr>
      </w:pPr>
      <w:r>
        <w:rPr>
          <w:rFonts w:hint="eastAsia" w:hAnsi="宋体" w:cs="宋体"/>
          <w:color w:val="auto"/>
          <w:highlight w:val="none"/>
        </w:rPr>
        <w:t>（</w:t>
      </w:r>
      <w:r>
        <w:rPr>
          <w:rFonts w:hAnsi="宋体"/>
          <w:color w:val="auto"/>
          <w:highlight w:val="none"/>
        </w:rPr>
        <w:t>2</w:t>
      </w:r>
      <w:r>
        <w:rPr>
          <w:rFonts w:hint="eastAsia" w:hAnsi="宋体" w:cs="宋体"/>
          <w:color w:val="auto"/>
          <w:highlight w:val="none"/>
        </w:rPr>
        <w:t>）总价合同。</w:t>
      </w:r>
    </w:p>
    <w:p w14:paraId="55076EF2">
      <w:pPr>
        <w:spacing w:line="360" w:lineRule="auto"/>
        <w:ind w:firstLine="420" w:firstLineChars="200"/>
        <w:jc w:val="left"/>
        <w:rPr>
          <w:rFonts w:hAnsi="宋体"/>
          <w:color w:val="auto"/>
          <w:highlight w:val="none"/>
        </w:rPr>
      </w:pPr>
      <w:r>
        <w:rPr>
          <w:rFonts w:hint="eastAsia" w:hAnsi="宋体" w:cs="宋体"/>
          <w:color w:val="auto"/>
          <w:highlight w:val="none"/>
        </w:rPr>
        <w:t>总价包含的风险范围：包含除工程变更、政策性调整、</w:t>
      </w:r>
      <w:r>
        <w:rPr>
          <w:rFonts w:hint="eastAsia" w:hAnsi="宋体" w:cs="宋体"/>
          <w:color w:val="auto"/>
          <w:highlight w:val="none"/>
          <w:u w:val="single"/>
        </w:rPr>
        <w:t>市场价格波动。除工程变更外，结算时不再对招标施工图对应的工程量重新计量</w:t>
      </w:r>
      <w:r>
        <w:rPr>
          <w:rFonts w:hAnsi="宋体"/>
          <w:color w:val="auto"/>
          <w:highlight w:val="none"/>
          <w:u w:val="single"/>
        </w:rPr>
        <w:t xml:space="preserve">    </w:t>
      </w:r>
      <w:r>
        <w:rPr>
          <w:rFonts w:hint="eastAsia" w:hAnsi="宋体" w:cs="宋体"/>
          <w:color w:val="auto"/>
          <w:highlight w:val="none"/>
        </w:rPr>
        <w:t>。</w:t>
      </w:r>
    </w:p>
    <w:p w14:paraId="32138ACB">
      <w:pPr>
        <w:spacing w:line="360" w:lineRule="auto"/>
        <w:ind w:firstLine="420" w:firstLineChars="200"/>
        <w:jc w:val="left"/>
        <w:rPr>
          <w:rFonts w:hint="eastAsia" w:cs="宋体"/>
          <w:color w:val="auto"/>
          <w:highlight w:val="none"/>
        </w:rPr>
      </w:pPr>
      <w:r>
        <w:rPr>
          <w:rFonts w:hint="eastAsia" w:cs="宋体"/>
          <w:color w:val="auto"/>
          <w:highlight w:val="none"/>
        </w:rPr>
        <w:t>风险范围以外合同价格的调整方法：</w:t>
      </w:r>
    </w:p>
    <w:p w14:paraId="639C4720">
      <w:pPr>
        <w:numPr>
          <w:ilvl w:val="0"/>
          <w:numId w:val="0"/>
        </w:numPr>
        <w:spacing w:line="360" w:lineRule="auto"/>
        <w:ind w:firstLine="420" w:firstLineChars="200"/>
        <w:jc w:val="left"/>
        <w:rPr>
          <w:rFonts w:hint="eastAsia" w:hAnsi="宋体" w:cs="宋体"/>
          <w:color w:val="auto"/>
          <w:highlight w:val="none"/>
        </w:rPr>
      </w:pPr>
      <w:r>
        <w:rPr>
          <w:rFonts w:hint="eastAsia" w:hAnsi="宋体" w:cs="宋体"/>
          <w:color w:val="auto"/>
          <w:highlight w:val="none"/>
        </w:rPr>
        <w:t>①工程变更：按</w:t>
      </w:r>
      <w:r>
        <w:rPr>
          <w:rFonts w:hAnsi="宋体" w:cs="宋体"/>
          <w:color w:val="auto"/>
          <w:highlight w:val="none"/>
        </w:rPr>
        <w:t>10.4.1</w:t>
      </w:r>
      <w:r>
        <w:rPr>
          <w:rFonts w:hint="eastAsia" w:hAnsi="宋体" w:cs="宋体"/>
          <w:color w:val="auto"/>
          <w:highlight w:val="none"/>
        </w:rPr>
        <w:t>变更估价原则的约定调整。</w:t>
      </w:r>
    </w:p>
    <w:p w14:paraId="4D1E1C52">
      <w:pPr>
        <w:spacing w:line="360" w:lineRule="auto"/>
        <w:ind w:firstLine="420" w:firstLineChars="200"/>
        <w:jc w:val="left"/>
        <w:rPr>
          <w:rFonts w:hAnsi="宋体" w:cs="宋体"/>
          <w:color w:val="auto"/>
          <w:highlight w:val="none"/>
        </w:rPr>
      </w:pPr>
      <w:r>
        <w:rPr>
          <w:rFonts w:hint="eastAsia" w:hAnsi="宋体" w:cs="宋体"/>
          <w:color w:val="auto"/>
          <w:highlight w:val="none"/>
        </w:rPr>
        <w:t>②政策性调整：</w:t>
      </w:r>
      <w:r>
        <w:rPr>
          <w:rFonts w:hint="eastAsia" w:ascii="仿宋_GB2312" w:hAnsi="宋体"/>
          <w:color w:val="auto"/>
          <w:highlight w:val="none"/>
        </w:rPr>
        <w:t>按国</w:t>
      </w:r>
      <w:r>
        <w:rPr>
          <w:rFonts w:ascii="仿宋_GB2312" w:hAnsi="宋体"/>
          <w:color w:val="auto"/>
          <w:highlight w:val="none"/>
        </w:rPr>
        <w:t>家、</w:t>
      </w:r>
      <w:r>
        <w:rPr>
          <w:rFonts w:hint="eastAsia" w:ascii="仿宋_GB2312" w:hAnsi="宋体"/>
          <w:color w:val="auto"/>
          <w:highlight w:val="none"/>
        </w:rPr>
        <w:t>自治区住房城乡建设厅或工程所在地市级住房城乡建设主管部门颁布的文件执行</w:t>
      </w:r>
      <w:r>
        <w:rPr>
          <w:rFonts w:hint="eastAsia" w:hAnsi="宋体" w:cs="宋体"/>
          <w:color w:val="auto"/>
          <w:highlight w:val="none"/>
        </w:rPr>
        <w:t>。</w:t>
      </w:r>
    </w:p>
    <w:p w14:paraId="4BB2B105">
      <w:pPr>
        <w:spacing w:line="360" w:lineRule="auto"/>
        <w:ind w:firstLine="420" w:firstLineChars="200"/>
        <w:jc w:val="left"/>
        <w:rPr>
          <w:rFonts w:hAnsi="宋体" w:cs="宋体"/>
          <w:color w:val="auto"/>
          <w:highlight w:val="none"/>
        </w:rPr>
      </w:pPr>
      <w:r>
        <w:rPr>
          <w:rFonts w:hint="eastAsia" w:hAnsi="宋体" w:cs="宋体"/>
          <w:color w:val="auto"/>
          <w:highlight w:val="none"/>
        </w:rPr>
        <w:t>③市场波动引起的调整：按</w:t>
      </w:r>
      <w:r>
        <w:rPr>
          <w:rFonts w:hAnsi="宋体" w:cs="宋体"/>
          <w:color w:val="auto"/>
          <w:highlight w:val="none"/>
        </w:rPr>
        <w:t>11.1</w:t>
      </w:r>
      <w:r>
        <w:rPr>
          <w:rFonts w:hint="eastAsia" w:hAnsi="宋体" w:cs="宋体"/>
          <w:color w:val="auto"/>
          <w:highlight w:val="none"/>
        </w:rPr>
        <w:t>的约定调整。</w:t>
      </w:r>
    </w:p>
    <w:p w14:paraId="6933C8B2">
      <w:pPr>
        <w:spacing w:line="360" w:lineRule="auto"/>
        <w:ind w:firstLine="420" w:firstLineChars="200"/>
        <w:jc w:val="left"/>
        <w:rPr>
          <w:rFonts w:hAnsi="宋体"/>
          <w:color w:val="auto"/>
          <w:highlight w:val="none"/>
        </w:rPr>
      </w:pPr>
      <w:r>
        <w:rPr>
          <w:rFonts w:hAnsi="宋体" w:cs="宋体"/>
          <w:color w:val="auto"/>
          <w:highlight w:val="none"/>
        </w:rPr>
        <w:fldChar w:fldCharType="begin"/>
      </w:r>
      <w:r>
        <w:rPr>
          <w:rFonts w:hAnsi="宋体" w:cs="宋体"/>
          <w:color w:val="auto"/>
          <w:highlight w:val="none"/>
        </w:rPr>
        <w:instrText xml:space="preserve"> </w:instrText>
      </w:r>
      <w:r>
        <w:rPr>
          <w:rFonts w:hint="eastAsia" w:hAnsi="宋体" w:cs="宋体"/>
          <w:color w:val="auto"/>
          <w:highlight w:val="none"/>
        </w:rPr>
        <w:instrText xml:space="preserve">= 4 \* GB3</w:instrText>
      </w:r>
      <w:r>
        <w:rPr>
          <w:rFonts w:hAnsi="宋体" w:cs="宋体"/>
          <w:color w:val="auto"/>
          <w:highlight w:val="none"/>
        </w:rPr>
        <w:instrText xml:space="preserve"> </w:instrText>
      </w:r>
      <w:r>
        <w:rPr>
          <w:rFonts w:hAnsi="宋体" w:cs="宋体"/>
          <w:color w:val="auto"/>
          <w:highlight w:val="none"/>
        </w:rPr>
        <w:fldChar w:fldCharType="separate"/>
      </w:r>
      <w:r>
        <w:rPr>
          <w:rFonts w:hint="eastAsia" w:hAnsi="宋体" w:cs="宋体"/>
          <w:color w:val="auto"/>
          <w:highlight w:val="none"/>
        </w:rPr>
        <w:t>④</w:t>
      </w:r>
      <w:r>
        <w:rPr>
          <w:rFonts w:hAnsi="宋体" w:cs="宋体"/>
          <w:color w:val="auto"/>
          <w:highlight w:val="none"/>
        </w:rPr>
        <w:fldChar w:fldCharType="end"/>
      </w:r>
      <w:r>
        <w:rPr>
          <w:rFonts w:hint="eastAsia" w:hAnsi="宋体" w:cs="宋体"/>
          <w:color w:val="auto"/>
          <w:highlight w:val="none"/>
        </w:rPr>
        <w:t>其它：</w:t>
      </w:r>
      <w:r>
        <w:rPr>
          <w:rFonts w:ascii="宋体" w:hAnsi="宋体" w:eastAsia="宋体" w:cs="宋体"/>
          <w:color w:val="auto"/>
          <w:spacing w:val="0"/>
          <w:highlight w:val="none"/>
          <w:u w:val="single"/>
        </w:rPr>
        <w:t xml:space="preserve">  无  </w:t>
      </w:r>
      <w:r>
        <w:rPr>
          <w:rFonts w:hint="eastAsia" w:hAnsi="宋体" w:cs="宋体"/>
          <w:color w:val="auto"/>
          <w:highlight w:val="none"/>
        </w:rPr>
        <w:t>。</w:t>
      </w:r>
    </w:p>
    <w:p w14:paraId="29482935">
      <w:pPr>
        <w:spacing w:line="360" w:lineRule="auto"/>
        <w:ind w:firstLine="420" w:firstLineChars="200"/>
        <w:jc w:val="left"/>
        <w:rPr>
          <w:color w:val="auto"/>
          <w:highlight w:val="none"/>
        </w:rPr>
      </w:pPr>
      <w:r>
        <w:rPr>
          <w:rFonts w:hint="eastAsia" w:cs="宋体"/>
          <w:color w:val="auto"/>
          <w:highlight w:val="none"/>
        </w:rPr>
        <w:t>（</w:t>
      </w:r>
      <w:r>
        <w:rPr>
          <w:color w:val="auto"/>
          <w:highlight w:val="none"/>
        </w:rPr>
        <w:t>3</w:t>
      </w:r>
      <w:r>
        <w:rPr>
          <w:rFonts w:hint="eastAsia" w:cs="宋体"/>
          <w:color w:val="auto"/>
          <w:highlight w:val="none"/>
        </w:rPr>
        <w:t>）其他价格方式：</w:t>
      </w:r>
      <w:r>
        <w:rPr>
          <w:rFonts w:ascii="宋体" w:hAnsi="宋体" w:eastAsia="宋体" w:cs="宋体"/>
          <w:color w:val="auto"/>
          <w:spacing w:val="0"/>
          <w:highlight w:val="none"/>
          <w:u w:val="single"/>
        </w:rPr>
        <w:t xml:space="preserve">  无  </w:t>
      </w:r>
      <w:r>
        <w:rPr>
          <w:rFonts w:hint="eastAsia" w:cs="宋体"/>
          <w:color w:val="auto"/>
          <w:highlight w:val="none"/>
        </w:rPr>
        <w:t>。</w:t>
      </w:r>
    </w:p>
    <w:p w14:paraId="724987F7">
      <w:pPr>
        <w:pStyle w:val="4"/>
        <w:rPr>
          <w:color w:val="auto"/>
          <w:highlight w:val="none"/>
        </w:rPr>
      </w:pPr>
      <w:bookmarkStart w:id="1085" w:name="_Toc407135253"/>
      <w:bookmarkStart w:id="1086" w:name="_Toc1338560546"/>
      <w:bookmarkStart w:id="1087" w:name="_Toc78449839"/>
      <w:bookmarkStart w:id="1088" w:name="_Toc1681900246"/>
      <w:bookmarkStart w:id="1089" w:name="_Toc4295"/>
      <w:r>
        <w:rPr>
          <w:color w:val="auto"/>
          <w:highlight w:val="none"/>
        </w:rPr>
        <w:t xml:space="preserve">12.2 </w:t>
      </w:r>
      <w:r>
        <w:rPr>
          <w:rFonts w:hint="eastAsia" w:hAnsi="宋体" w:cs="黑体"/>
          <w:color w:val="auto"/>
          <w:highlight w:val="none"/>
        </w:rPr>
        <w:t>预付款</w:t>
      </w:r>
      <w:bookmarkEnd w:id="1066"/>
      <w:bookmarkEnd w:id="1067"/>
      <w:bookmarkEnd w:id="1068"/>
      <w:bookmarkEnd w:id="1085"/>
      <w:bookmarkEnd w:id="1086"/>
      <w:bookmarkEnd w:id="1087"/>
      <w:bookmarkEnd w:id="1088"/>
      <w:bookmarkEnd w:id="1089"/>
    </w:p>
    <w:bookmarkEnd w:id="1069"/>
    <w:bookmarkEnd w:id="1070"/>
    <w:bookmarkEnd w:id="1071"/>
    <w:bookmarkEnd w:id="1072"/>
    <w:bookmarkEnd w:id="1073"/>
    <w:bookmarkEnd w:id="1074"/>
    <w:p w14:paraId="3699C7ED">
      <w:pPr>
        <w:spacing w:line="360" w:lineRule="auto"/>
        <w:ind w:firstLine="420" w:firstLineChars="200"/>
        <w:jc w:val="left"/>
        <w:rPr>
          <w:color w:val="auto"/>
          <w:highlight w:val="none"/>
        </w:rPr>
      </w:pPr>
      <w:r>
        <w:rPr>
          <w:color w:val="auto"/>
          <w:highlight w:val="none"/>
        </w:rPr>
        <w:t xml:space="preserve">12.2.1 </w:t>
      </w:r>
      <w:r>
        <w:rPr>
          <w:rFonts w:hint="eastAsia" w:hAnsi="宋体" w:cs="宋体"/>
          <w:color w:val="auto"/>
          <w:highlight w:val="none"/>
        </w:rPr>
        <w:t>预付款的支付</w:t>
      </w:r>
    </w:p>
    <w:p w14:paraId="09AAAC20">
      <w:pPr>
        <w:spacing w:line="360" w:lineRule="auto"/>
        <w:ind w:firstLine="420" w:firstLineChars="200"/>
        <w:jc w:val="left"/>
        <w:rPr>
          <w:color w:val="auto"/>
          <w:highlight w:val="none"/>
        </w:rPr>
      </w:pPr>
      <w:r>
        <w:rPr>
          <w:rFonts w:hint="eastAsia" w:hAnsi="宋体" w:cs="宋体"/>
          <w:color w:val="auto"/>
          <w:highlight w:val="none"/>
        </w:rPr>
        <w:t>预付款支付比例或金额：</w:t>
      </w:r>
      <w:r>
        <w:rPr>
          <w:rFonts w:hint="eastAsia"/>
          <w:color w:val="auto"/>
          <w:highlight w:val="none"/>
          <w:u w:val="single"/>
        </w:rPr>
        <w:t>合同总价（扣除暂列金额）的</w:t>
      </w:r>
      <w:r>
        <w:rPr>
          <w:rFonts w:hint="eastAsia"/>
          <w:color w:val="auto"/>
          <w:highlight w:val="none"/>
          <w:u w:val="single"/>
          <w:lang w:val="en-US" w:eastAsia="zh-CN"/>
        </w:rPr>
        <w:t>30</w:t>
      </w:r>
      <w:r>
        <w:rPr>
          <w:rFonts w:hint="eastAsia"/>
          <w:color w:val="auto"/>
          <w:highlight w:val="none"/>
          <w:u w:val="single"/>
        </w:rPr>
        <w:t>%</w:t>
      </w:r>
      <w:r>
        <w:rPr>
          <w:rFonts w:hint="eastAsia" w:hAnsi="宋体" w:cs="宋体"/>
          <w:color w:val="auto"/>
          <w:highlight w:val="none"/>
        </w:rPr>
        <w:t>。</w:t>
      </w:r>
    </w:p>
    <w:p w14:paraId="248752C4">
      <w:pPr>
        <w:spacing w:line="360" w:lineRule="auto"/>
        <w:ind w:firstLine="420" w:firstLineChars="200"/>
        <w:jc w:val="left"/>
        <w:rPr>
          <w:color w:val="auto"/>
          <w:highlight w:val="none"/>
        </w:rPr>
      </w:pPr>
      <w:r>
        <w:rPr>
          <w:rFonts w:hint="eastAsia" w:hAnsi="宋体" w:cs="宋体"/>
          <w:color w:val="auto"/>
          <w:highlight w:val="none"/>
        </w:rPr>
        <w:t>预付款支付期限：</w:t>
      </w:r>
      <w:r>
        <w:rPr>
          <w:color w:val="auto"/>
          <w:highlight w:val="none"/>
          <w:u w:val="single"/>
        </w:rPr>
        <w:t xml:space="preserve"> </w:t>
      </w:r>
      <w:r>
        <w:rPr>
          <w:rFonts w:hint="eastAsia"/>
          <w:color w:val="auto"/>
          <w:highlight w:val="none"/>
          <w:u w:val="single"/>
          <w:lang w:val="en-US" w:eastAsia="zh-CN"/>
        </w:rPr>
        <w:t>施工</w:t>
      </w:r>
      <w:r>
        <w:rPr>
          <w:rFonts w:hint="eastAsia"/>
          <w:color w:val="auto"/>
          <w:highlight w:val="none"/>
          <w:u w:val="single"/>
        </w:rPr>
        <w:t>合同签订后</w:t>
      </w:r>
      <w:r>
        <w:rPr>
          <w:rFonts w:hint="eastAsia"/>
          <w:color w:val="auto"/>
          <w:highlight w:val="none"/>
          <w:u w:val="single"/>
          <w:lang w:val="en-US" w:eastAsia="zh-CN"/>
        </w:rPr>
        <w:t>20</w:t>
      </w:r>
      <w:r>
        <w:rPr>
          <w:rFonts w:hint="eastAsia"/>
          <w:color w:val="auto"/>
          <w:highlight w:val="none"/>
          <w:u w:val="single"/>
        </w:rPr>
        <w:t>天之内</w:t>
      </w:r>
      <w:r>
        <w:rPr>
          <w:color w:val="auto"/>
          <w:highlight w:val="none"/>
          <w:u w:val="single"/>
        </w:rPr>
        <w:t xml:space="preserve"> </w:t>
      </w:r>
      <w:r>
        <w:rPr>
          <w:rFonts w:hint="eastAsia" w:hAnsi="宋体" w:cs="宋体"/>
          <w:color w:val="auto"/>
          <w:highlight w:val="none"/>
        </w:rPr>
        <w:t>。</w:t>
      </w:r>
    </w:p>
    <w:p w14:paraId="697758D1">
      <w:pPr>
        <w:spacing w:line="360" w:lineRule="auto"/>
        <w:ind w:firstLine="420" w:firstLineChars="200"/>
        <w:jc w:val="left"/>
        <w:rPr>
          <w:color w:val="auto"/>
          <w:highlight w:val="none"/>
        </w:rPr>
      </w:pPr>
      <w:r>
        <w:rPr>
          <w:rFonts w:hint="eastAsia" w:hAnsi="宋体" w:cs="宋体"/>
          <w:color w:val="auto"/>
          <w:highlight w:val="none"/>
        </w:rPr>
        <w:t>预付款扣回的方式：</w:t>
      </w:r>
      <w:r>
        <w:rPr>
          <w:rFonts w:hint="eastAsia"/>
          <w:color w:val="auto"/>
          <w:highlight w:val="none"/>
          <w:u w:val="single"/>
        </w:rPr>
        <w:t>进度款达到</w:t>
      </w:r>
      <w:r>
        <w:rPr>
          <w:rFonts w:hint="eastAsia"/>
          <w:color w:val="auto"/>
          <w:highlight w:val="none"/>
          <w:u w:val="single"/>
          <w:lang w:val="en-US" w:eastAsia="zh-CN"/>
        </w:rPr>
        <w:t>20</w:t>
      </w:r>
      <w:r>
        <w:rPr>
          <w:rFonts w:hint="eastAsia"/>
          <w:color w:val="auto"/>
          <w:highlight w:val="none"/>
          <w:u w:val="single"/>
        </w:rPr>
        <w:t>%作为预付款起扣点，从此之后的每个月进度款中按预付款支付比例扣回</w:t>
      </w:r>
      <w:r>
        <w:rPr>
          <w:rFonts w:hint="eastAsia" w:hAnsi="宋体" w:cs="宋体"/>
          <w:color w:val="auto"/>
          <w:highlight w:val="none"/>
        </w:rPr>
        <w:t>。</w:t>
      </w:r>
    </w:p>
    <w:p w14:paraId="5A11DF93">
      <w:pPr>
        <w:spacing w:line="360" w:lineRule="auto"/>
        <w:ind w:firstLine="420" w:firstLineChars="200"/>
        <w:jc w:val="left"/>
        <w:rPr>
          <w:color w:val="auto"/>
          <w:highlight w:val="none"/>
        </w:rPr>
      </w:pPr>
      <w:r>
        <w:rPr>
          <w:color w:val="auto"/>
          <w:highlight w:val="none"/>
        </w:rPr>
        <w:t xml:space="preserve">12.2.2 </w:t>
      </w:r>
      <w:r>
        <w:rPr>
          <w:rFonts w:hint="eastAsia" w:hAnsi="宋体" w:cs="宋体"/>
          <w:color w:val="auto"/>
          <w:highlight w:val="none"/>
        </w:rPr>
        <w:t>预付款担保</w:t>
      </w:r>
    </w:p>
    <w:p w14:paraId="4B93CC0C">
      <w:pPr>
        <w:spacing w:line="360" w:lineRule="auto"/>
        <w:ind w:firstLine="420" w:firstLineChars="200"/>
        <w:jc w:val="left"/>
        <w:rPr>
          <w:color w:val="auto"/>
          <w:highlight w:val="none"/>
        </w:rPr>
      </w:pPr>
      <w:r>
        <w:rPr>
          <w:rFonts w:hint="eastAsia" w:hAnsi="宋体" w:cs="宋体"/>
          <w:color w:val="auto"/>
          <w:highlight w:val="none"/>
        </w:rPr>
        <w:t>承包人提交预付款担保的期限：</w:t>
      </w:r>
      <w:r>
        <w:rPr>
          <w:rFonts w:ascii="宋体" w:hAnsi="宋体" w:eastAsia="宋体" w:cs="宋体"/>
          <w:color w:val="auto"/>
          <w:spacing w:val="0"/>
          <w:highlight w:val="none"/>
          <w:u w:val="single"/>
        </w:rPr>
        <w:t xml:space="preserve">  无  </w:t>
      </w:r>
      <w:r>
        <w:rPr>
          <w:rFonts w:hint="eastAsia" w:hAnsi="宋体" w:cs="宋体"/>
          <w:color w:val="auto"/>
          <w:highlight w:val="none"/>
        </w:rPr>
        <w:t>。</w:t>
      </w:r>
    </w:p>
    <w:p w14:paraId="50AF9B44">
      <w:pPr>
        <w:spacing w:line="360" w:lineRule="auto"/>
        <w:ind w:firstLine="420" w:firstLineChars="200"/>
        <w:jc w:val="left"/>
        <w:rPr>
          <w:rFonts w:hint="eastAsia" w:ascii="Times New Roman" w:hAnsi="宋体" w:eastAsia="宋体" w:cs="宋体"/>
          <w:color w:val="auto"/>
          <w:highlight w:val="none"/>
        </w:rPr>
      </w:pPr>
      <w:r>
        <w:rPr>
          <w:rFonts w:hint="eastAsia" w:hAnsi="宋体" w:cs="宋体"/>
          <w:color w:val="auto"/>
          <w:highlight w:val="none"/>
        </w:rPr>
        <w:t>预付款担保的形式为：</w:t>
      </w:r>
      <w:r>
        <w:rPr>
          <w:rFonts w:hint="eastAsia"/>
          <w:color w:val="auto"/>
          <w:highlight w:val="none"/>
          <w:u w:val="none"/>
          <w:lang w:eastAsia="zh-CN"/>
        </w:rPr>
        <w:t>可以是</w:t>
      </w:r>
      <w:r>
        <w:rPr>
          <w:rFonts w:hint="eastAsia" w:ascii="Times New Roman" w:hAnsi="宋体" w:eastAsia="宋体" w:cs="宋体"/>
          <w:color w:val="auto"/>
          <w:highlight w:val="none"/>
        </w:rPr>
        <w:t>银行转账、电汇或网上支付、保函（银行保函、电子保函、保证保险保函、工程担保保函）等</w:t>
      </w:r>
      <w:r>
        <w:rPr>
          <w:rFonts w:hint="eastAsia" w:ascii="Times New Roman" w:hAnsi="宋体" w:eastAsia="宋体" w:cs="宋体"/>
          <w:color w:val="auto"/>
          <w:highlight w:val="none"/>
          <w:lang w:eastAsia="zh-CN"/>
        </w:rPr>
        <w:t>形</w:t>
      </w:r>
      <w:r>
        <w:rPr>
          <w:rFonts w:hint="eastAsia" w:ascii="Times New Roman" w:hAnsi="宋体" w:eastAsia="宋体" w:cs="宋体"/>
          <w:color w:val="auto"/>
          <w:highlight w:val="none"/>
        </w:rPr>
        <w:t>式。工程担保保证人应将出具的保函相关信息录入“广西建筑市场监管云”平台（http://gxjzsc.caihcloud.com），以实现保函查询及验真功能</w:t>
      </w:r>
      <w:r>
        <w:rPr>
          <w:rFonts w:hint="eastAsia" w:ascii="Times New Roman" w:hAnsi="宋体" w:eastAsia="宋体" w:cs="宋体"/>
          <w:color w:val="auto"/>
          <w:highlight w:val="none"/>
          <w:lang w:eastAsia="zh-CN"/>
        </w:rPr>
        <w:t>。</w:t>
      </w:r>
    </w:p>
    <w:p w14:paraId="571F4EAE">
      <w:pPr>
        <w:spacing w:line="360" w:lineRule="auto"/>
        <w:ind w:firstLine="420" w:firstLineChars="200"/>
        <w:jc w:val="left"/>
        <w:rPr>
          <w:color w:val="auto"/>
          <w:highlight w:val="none"/>
        </w:rPr>
      </w:pPr>
      <w:r>
        <w:rPr>
          <w:rFonts w:hint="eastAsia" w:ascii="宋体" w:hAnsi="宋体" w:cs="宋体"/>
          <w:color w:val="auto"/>
          <w:highlight w:val="none"/>
        </w:rPr>
        <w:t>预付款担保格式见合同附件8。预付款支付申请（核准）表见合同附件10</w:t>
      </w:r>
    </w:p>
    <w:bookmarkEnd w:id="1075"/>
    <w:bookmarkEnd w:id="1076"/>
    <w:bookmarkEnd w:id="1077"/>
    <w:bookmarkEnd w:id="1078"/>
    <w:bookmarkEnd w:id="1079"/>
    <w:bookmarkEnd w:id="1080"/>
    <w:bookmarkEnd w:id="1081"/>
    <w:bookmarkEnd w:id="1082"/>
    <w:bookmarkEnd w:id="1083"/>
    <w:bookmarkEnd w:id="1084"/>
    <w:p w14:paraId="61CAF3BB">
      <w:pPr>
        <w:pStyle w:val="4"/>
        <w:rPr>
          <w:color w:val="auto"/>
          <w:highlight w:val="none"/>
        </w:rPr>
      </w:pPr>
      <w:bookmarkStart w:id="1090" w:name="_Toc1494831447"/>
      <w:bookmarkStart w:id="1091" w:name="_Toc407135254"/>
      <w:bookmarkStart w:id="1092" w:name="_Toc78449840"/>
      <w:bookmarkStart w:id="1093" w:name="_Toc389065316"/>
      <w:bookmarkStart w:id="1094" w:name="_Toc1307224940"/>
      <w:bookmarkStart w:id="1095" w:name="_Toc373478398"/>
      <w:bookmarkStart w:id="1096" w:name="_Toc373227751"/>
      <w:bookmarkStart w:id="1097" w:name="_Toc31211"/>
      <w:r>
        <w:rPr>
          <w:color w:val="auto"/>
          <w:highlight w:val="none"/>
        </w:rPr>
        <w:t xml:space="preserve">12.3 </w:t>
      </w:r>
      <w:r>
        <w:rPr>
          <w:rFonts w:hint="eastAsia" w:hAnsi="宋体" w:cs="黑体"/>
          <w:color w:val="auto"/>
          <w:highlight w:val="none"/>
        </w:rPr>
        <w:t>计量</w:t>
      </w:r>
      <w:bookmarkEnd w:id="1090"/>
      <w:bookmarkEnd w:id="1091"/>
      <w:bookmarkEnd w:id="1092"/>
      <w:bookmarkEnd w:id="1093"/>
      <w:bookmarkEnd w:id="1094"/>
      <w:bookmarkEnd w:id="1095"/>
      <w:bookmarkEnd w:id="1096"/>
      <w:bookmarkEnd w:id="1097"/>
    </w:p>
    <w:p w14:paraId="0E473DF9">
      <w:pPr>
        <w:spacing w:line="360" w:lineRule="auto"/>
        <w:ind w:firstLine="420" w:firstLineChars="200"/>
        <w:jc w:val="left"/>
        <w:rPr>
          <w:color w:val="auto"/>
          <w:highlight w:val="none"/>
        </w:rPr>
      </w:pPr>
      <w:r>
        <w:rPr>
          <w:color w:val="auto"/>
          <w:highlight w:val="none"/>
        </w:rPr>
        <w:t xml:space="preserve">12.3.1 </w:t>
      </w:r>
      <w:r>
        <w:rPr>
          <w:rFonts w:hint="eastAsia" w:hAnsi="宋体" w:cs="宋体"/>
          <w:color w:val="auto"/>
          <w:highlight w:val="none"/>
        </w:rPr>
        <w:t>计量原则</w:t>
      </w:r>
    </w:p>
    <w:p w14:paraId="2D85E247">
      <w:pPr>
        <w:spacing w:line="360" w:lineRule="auto"/>
        <w:ind w:firstLine="420" w:firstLineChars="200"/>
        <w:jc w:val="left"/>
        <w:rPr>
          <w:color w:val="auto"/>
          <w:highlight w:val="none"/>
        </w:rPr>
      </w:pPr>
      <w:r>
        <w:rPr>
          <w:rFonts w:hint="eastAsia" w:hAnsi="宋体" w:cs="宋体"/>
          <w:color w:val="auto"/>
          <w:highlight w:val="none"/>
        </w:rPr>
        <w:t>工程量计算规则：</w:t>
      </w:r>
      <w:r>
        <w:rPr>
          <w:rFonts w:hint="eastAsia" w:hAnsi="宋体" w:cs="宋体"/>
          <w:color w:val="auto"/>
          <w:highlight w:val="none"/>
          <w:u w:val="single"/>
        </w:rPr>
        <w:t>工程的计量均以《建设工程工程量清单计价规范》（</w:t>
      </w:r>
      <w:r>
        <w:rPr>
          <w:color w:val="auto"/>
          <w:highlight w:val="none"/>
          <w:u w:val="single"/>
        </w:rPr>
        <w:t>GB50500</w:t>
      </w:r>
      <w:r>
        <w:rPr>
          <w:rFonts w:hint="eastAsia" w:hAnsi="宋体" w:cs="宋体"/>
          <w:color w:val="auto"/>
          <w:highlight w:val="none"/>
          <w:u w:val="single"/>
        </w:rPr>
        <w:t>－</w:t>
      </w:r>
      <w:r>
        <w:rPr>
          <w:color w:val="auto"/>
          <w:highlight w:val="none"/>
          <w:u w:val="single"/>
        </w:rPr>
        <w:t>2013</w:t>
      </w:r>
      <w:r>
        <w:rPr>
          <w:rFonts w:hint="eastAsia" w:hAnsi="宋体" w:cs="宋体"/>
          <w:color w:val="auto"/>
          <w:highlight w:val="none"/>
          <w:u w:val="single"/>
        </w:rPr>
        <w:t>）及广西壮族自治区实施细则、《建设工程工程量清单计算规范》（</w:t>
      </w:r>
      <w:r>
        <w:rPr>
          <w:color w:val="auto"/>
          <w:highlight w:val="none"/>
          <w:u w:val="single"/>
        </w:rPr>
        <w:t>GB50854~50862</w:t>
      </w:r>
      <w:r>
        <w:rPr>
          <w:rFonts w:hint="eastAsia" w:hAnsi="宋体" w:cs="宋体"/>
          <w:color w:val="auto"/>
          <w:highlight w:val="none"/>
          <w:u w:val="single"/>
        </w:rPr>
        <w:t>－</w:t>
      </w:r>
      <w:r>
        <w:rPr>
          <w:color w:val="auto"/>
          <w:highlight w:val="none"/>
          <w:u w:val="single"/>
        </w:rPr>
        <w:t>2013</w:t>
      </w:r>
      <w:r>
        <w:rPr>
          <w:rFonts w:hint="eastAsia" w:hAnsi="宋体" w:cs="宋体"/>
          <w:color w:val="auto"/>
          <w:highlight w:val="none"/>
          <w:u w:val="single"/>
        </w:rPr>
        <w:t>）及广西实施细则、本工程补充项目清单为准。</w:t>
      </w:r>
    </w:p>
    <w:p w14:paraId="5B391616">
      <w:pPr>
        <w:spacing w:line="360" w:lineRule="auto"/>
        <w:ind w:firstLine="420" w:firstLineChars="200"/>
        <w:jc w:val="left"/>
        <w:rPr>
          <w:color w:val="auto"/>
          <w:highlight w:val="none"/>
        </w:rPr>
      </w:pPr>
      <w:r>
        <w:rPr>
          <w:color w:val="auto"/>
          <w:highlight w:val="none"/>
        </w:rPr>
        <w:t xml:space="preserve">12.3.2 </w:t>
      </w:r>
      <w:r>
        <w:rPr>
          <w:rFonts w:hint="eastAsia" w:hAnsi="宋体" w:cs="宋体"/>
          <w:color w:val="auto"/>
          <w:highlight w:val="none"/>
        </w:rPr>
        <w:t>计量周期</w:t>
      </w:r>
    </w:p>
    <w:p w14:paraId="67EBF9FE">
      <w:pPr>
        <w:spacing w:line="360" w:lineRule="auto"/>
        <w:ind w:firstLine="420" w:firstLineChars="200"/>
        <w:jc w:val="left"/>
        <w:rPr>
          <w:color w:val="auto"/>
          <w:highlight w:val="none"/>
        </w:rPr>
      </w:pPr>
      <w:r>
        <w:rPr>
          <w:rFonts w:hint="eastAsia" w:hAnsi="宋体" w:cs="宋体"/>
          <w:color w:val="auto"/>
          <w:highlight w:val="none"/>
        </w:rPr>
        <w:t>关于计量周期的约定：</w:t>
      </w:r>
      <w:r>
        <w:rPr>
          <w:rFonts w:hint="eastAsia" w:hAnsi="宋体" w:cs="宋体"/>
          <w:color w:val="auto"/>
          <w:highlight w:val="none"/>
          <w:u w:val="single"/>
        </w:rPr>
        <w:t>每月</w:t>
      </w:r>
      <w:r>
        <w:rPr>
          <w:color w:val="auto"/>
          <w:highlight w:val="none"/>
          <w:u w:val="single"/>
        </w:rPr>
        <w:t>25</w:t>
      </w:r>
      <w:r>
        <w:rPr>
          <w:rFonts w:hint="eastAsia" w:hAnsi="宋体" w:cs="宋体"/>
          <w:color w:val="auto"/>
          <w:highlight w:val="none"/>
          <w:u w:val="single"/>
        </w:rPr>
        <w:t>日前</w:t>
      </w:r>
      <w:r>
        <w:rPr>
          <w:rFonts w:hint="eastAsia" w:hAnsi="宋体" w:cs="宋体"/>
          <w:color w:val="auto"/>
          <w:highlight w:val="none"/>
        </w:rPr>
        <w:t>。</w:t>
      </w:r>
    </w:p>
    <w:p w14:paraId="0448EB39">
      <w:pPr>
        <w:spacing w:line="360" w:lineRule="auto"/>
        <w:ind w:firstLine="420" w:firstLineChars="200"/>
        <w:jc w:val="left"/>
        <w:outlineLvl w:val="0"/>
        <w:rPr>
          <w:color w:val="auto"/>
          <w:highlight w:val="none"/>
        </w:rPr>
      </w:pPr>
      <w:bookmarkStart w:id="1098" w:name="_Toc21322"/>
      <w:r>
        <w:rPr>
          <w:color w:val="auto"/>
          <w:highlight w:val="none"/>
        </w:rPr>
        <w:t xml:space="preserve">12.3.3 </w:t>
      </w:r>
      <w:r>
        <w:rPr>
          <w:rFonts w:hint="eastAsia" w:hAnsi="宋体" w:cs="宋体"/>
          <w:color w:val="auto"/>
          <w:highlight w:val="none"/>
        </w:rPr>
        <w:t>单价合同的计量</w:t>
      </w:r>
      <w:bookmarkEnd w:id="1098"/>
    </w:p>
    <w:p w14:paraId="515DFFB6">
      <w:pPr>
        <w:spacing w:line="360" w:lineRule="auto"/>
        <w:ind w:firstLine="420" w:firstLineChars="200"/>
        <w:jc w:val="left"/>
        <w:rPr>
          <w:color w:val="auto"/>
          <w:highlight w:val="none"/>
        </w:rPr>
      </w:pPr>
      <w:r>
        <w:rPr>
          <w:rFonts w:hint="eastAsia" w:hAnsi="宋体" w:cs="宋体"/>
          <w:color w:val="auto"/>
          <w:highlight w:val="none"/>
        </w:rPr>
        <w:t>关于单价合同计量的约定：</w:t>
      </w:r>
    </w:p>
    <w:p w14:paraId="2DED9910">
      <w:pPr>
        <w:spacing w:line="360" w:lineRule="auto"/>
        <w:ind w:firstLine="441" w:firstLineChars="210"/>
        <w:rPr>
          <w:color w:val="auto"/>
          <w:highlight w:val="none"/>
        </w:rPr>
      </w:pPr>
      <w:r>
        <w:rPr>
          <w:rFonts w:hint="eastAsia"/>
          <w:color w:val="auto"/>
          <w:highlight w:val="none"/>
          <w:lang w:eastAsia="zh-CN"/>
        </w:rPr>
        <w:t>（</w:t>
      </w:r>
      <w:r>
        <w:rPr>
          <w:color w:val="auto"/>
          <w:highlight w:val="none"/>
        </w:rPr>
        <w:t>1</w:t>
      </w:r>
      <w:r>
        <w:rPr>
          <w:rFonts w:hint="eastAsia"/>
          <w:color w:val="auto"/>
          <w:highlight w:val="none"/>
          <w:lang w:eastAsia="zh-CN"/>
        </w:rPr>
        <w:t>）</w:t>
      </w:r>
      <w:r>
        <w:rPr>
          <w:rFonts w:hint="eastAsia" w:hAnsi="宋体" w:cs="宋体"/>
          <w:color w:val="auto"/>
          <w:highlight w:val="none"/>
        </w:rPr>
        <w:t>工程量清单所列的工程量，不能作为承包人按合同履行其责任依据，实际施工中发生的工程量增加或减少并不影响承包人履行合同的责任，工程结算以完成的实际工程量为准。</w:t>
      </w:r>
    </w:p>
    <w:p w14:paraId="74D3749B">
      <w:pPr>
        <w:spacing w:line="360" w:lineRule="auto"/>
        <w:ind w:firstLine="441" w:firstLineChars="210"/>
        <w:rPr>
          <w:color w:val="auto"/>
          <w:highlight w:val="none"/>
        </w:rPr>
      </w:pPr>
      <w:r>
        <w:rPr>
          <w:rFonts w:hint="eastAsia"/>
          <w:color w:val="auto"/>
          <w:highlight w:val="none"/>
          <w:lang w:eastAsia="zh-CN"/>
        </w:rPr>
        <w:t>（</w:t>
      </w:r>
      <w:r>
        <w:rPr>
          <w:color w:val="auto"/>
          <w:highlight w:val="none"/>
        </w:rPr>
        <w:t>2</w:t>
      </w:r>
      <w:r>
        <w:rPr>
          <w:rFonts w:hint="eastAsia"/>
          <w:color w:val="auto"/>
          <w:highlight w:val="none"/>
          <w:lang w:eastAsia="zh-CN"/>
        </w:rPr>
        <w:t>）</w:t>
      </w:r>
      <w:r>
        <w:rPr>
          <w:rFonts w:hint="eastAsia" w:hAnsi="宋体" w:cs="宋体"/>
          <w:color w:val="auto"/>
          <w:highlight w:val="none"/>
        </w:rPr>
        <w:t>除另有规定外，工程师应按照合同通过计量来核实确定已完成的工程量和价款，承包人应得到该价款扣除保留金后的金额。当工程师要对已完工的工程量进行计量时，应适时地通知承包人参加。</w:t>
      </w:r>
    </w:p>
    <w:p w14:paraId="48D45C69">
      <w:pPr>
        <w:spacing w:line="360" w:lineRule="auto"/>
        <w:ind w:firstLine="420" w:firstLineChars="200"/>
        <w:jc w:val="left"/>
        <w:rPr>
          <w:color w:val="auto"/>
          <w:highlight w:val="none"/>
        </w:rPr>
      </w:pPr>
      <w:r>
        <w:rPr>
          <w:color w:val="auto"/>
          <w:highlight w:val="none"/>
        </w:rPr>
        <w:t xml:space="preserve">12.3.4 </w:t>
      </w:r>
      <w:r>
        <w:rPr>
          <w:rFonts w:hint="eastAsia" w:hAnsi="宋体" w:cs="宋体"/>
          <w:color w:val="auto"/>
          <w:highlight w:val="none"/>
        </w:rPr>
        <w:t>总价合同的计量</w:t>
      </w:r>
    </w:p>
    <w:p w14:paraId="3BDB8F3A">
      <w:pPr>
        <w:spacing w:line="360" w:lineRule="auto"/>
        <w:ind w:firstLine="420" w:firstLineChars="200"/>
        <w:jc w:val="left"/>
        <w:rPr>
          <w:rFonts w:cs="宋体"/>
          <w:color w:val="auto"/>
          <w:highlight w:val="none"/>
        </w:rPr>
      </w:pPr>
      <w:r>
        <w:rPr>
          <w:rFonts w:hint="eastAsia" w:ascii="Calibri" w:hAnsi="宋体" w:cs="宋体"/>
          <w:color w:val="auto"/>
          <w:highlight w:val="none"/>
        </w:rPr>
        <w:t>（1）总价合同计量约定：</w:t>
      </w:r>
      <w:r>
        <w:rPr>
          <w:rFonts w:hint="eastAsia" w:hAnsi="宋体" w:cs="宋体"/>
          <w:color w:val="auto"/>
          <w:highlight w:val="none"/>
        </w:rPr>
        <w:t>进度款按支付分解表支付</w:t>
      </w:r>
      <w:r>
        <w:rPr>
          <w:rFonts w:hint="eastAsia" w:ascii="宋体" w:hAnsi="宋体" w:cs="宋体"/>
          <w:color w:val="auto"/>
          <w:kern w:val="0"/>
          <w:highlight w:val="none"/>
        </w:rPr>
        <w:t>，</w:t>
      </w:r>
      <w:r>
        <w:rPr>
          <w:rFonts w:hint="eastAsia" w:cs="宋体"/>
          <w:color w:val="auto"/>
          <w:highlight w:val="none"/>
        </w:rPr>
        <w:t>支付分解表在招标完成后签合同之前制定，具体详见本专用合同条款12.4.6。</w:t>
      </w:r>
    </w:p>
    <w:p w14:paraId="3416228D">
      <w:pPr>
        <w:spacing w:line="360" w:lineRule="auto"/>
        <w:ind w:firstLine="420" w:firstLineChars="200"/>
        <w:jc w:val="left"/>
        <w:rPr>
          <w:color w:val="auto"/>
          <w:highlight w:val="none"/>
        </w:rPr>
      </w:pPr>
      <w:r>
        <w:rPr>
          <w:color w:val="auto"/>
          <w:highlight w:val="none"/>
        </w:rPr>
        <w:t xml:space="preserve">12.3.6 </w:t>
      </w:r>
      <w:r>
        <w:rPr>
          <w:rFonts w:hint="eastAsia" w:hAnsi="宋体" w:cs="宋体"/>
          <w:color w:val="auto"/>
          <w:highlight w:val="none"/>
        </w:rPr>
        <w:t>其他价格形式合同的计量</w:t>
      </w:r>
    </w:p>
    <w:p w14:paraId="7C9CDFE8">
      <w:pPr>
        <w:spacing w:line="360" w:lineRule="auto"/>
        <w:ind w:firstLine="420" w:firstLineChars="200"/>
        <w:jc w:val="left"/>
        <w:rPr>
          <w:color w:val="auto"/>
          <w:highlight w:val="none"/>
          <w:u w:val="single"/>
        </w:rPr>
      </w:pPr>
      <w:r>
        <w:rPr>
          <w:rFonts w:hint="eastAsia" w:hAnsi="宋体" w:cs="宋体"/>
          <w:color w:val="auto"/>
          <w:highlight w:val="none"/>
        </w:rPr>
        <w:t>其他价格形式的计量方式和程序：</w:t>
      </w:r>
      <w:r>
        <w:rPr>
          <w:rFonts w:ascii="宋体" w:hAnsi="宋体" w:eastAsia="宋体" w:cs="宋体"/>
          <w:color w:val="auto"/>
          <w:highlight w:val="none"/>
          <w:u w:val="single"/>
        </w:rPr>
        <w:t xml:space="preserve">     无     </w:t>
      </w:r>
      <w:r>
        <w:rPr>
          <w:rFonts w:hint="eastAsia" w:hAnsi="宋体" w:cs="宋体"/>
          <w:color w:val="auto"/>
          <w:highlight w:val="none"/>
        </w:rPr>
        <w:t>。</w:t>
      </w:r>
    </w:p>
    <w:p w14:paraId="49E5362A">
      <w:pPr>
        <w:pStyle w:val="4"/>
        <w:rPr>
          <w:color w:val="auto"/>
          <w:highlight w:val="none"/>
        </w:rPr>
      </w:pPr>
      <w:bookmarkStart w:id="1099" w:name="_Toc1155368667"/>
      <w:bookmarkStart w:id="1100" w:name="_Toc1711431123"/>
      <w:bookmarkStart w:id="1101" w:name="_Toc373478399"/>
      <w:bookmarkStart w:id="1102" w:name="_Toc389065317"/>
      <w:bookmarkStart w:id="1103" w:name="_Toc407135255"/>
      <w:bookmarkStart w:id="1104" w:name="_Toc22527"/>
      <w:bookmarkStart w:id="1105" w:name="_Toc78449841"/>
      <w:bookmarkStart w:id="1106" w:name="_Toc373227752"/>
      <w:r>
        <w:rPr>
          <w:color w:val="auto"/>
          <w:highlight w:val="none"/>
        </w:rPr>
        <w:t xml:space="preserve">12.4 </w:t>
      </w:r>
      <w:r>
        <w:rPr>
          <w:rFonts w:hint="eastAsia" w:cs="黑体"/>
          <w:color w:val="auto"/>
          <w:highlight w:val="none"/>
        </w:rPr>
        <w:t>工程进度款支付</w:t>
      </w:r>
      <w:bookmarkEnd w:id="1099"/>
      <w:bookmarkEnd w:id="1100"/>
      <w:bookmarkEnd w:id="1101"/>
      <w:bookmarkEnd w:id="1102"/>
      <w:bookmarkEnd w:id="1103"/>
      <w:bookmarkEnd w:id="1104"/>
      <w:bookmarkEnd w:id="1105"/>
      <w:bookmarkEnd w:id="1106"/>
    </w:p>
    <w:p w14:paraId="5FB297F9">
      <w:pPr>
        <w:spacing w:line="400" w:lineRule="exact"/>
        <w:ind w:firstLine="440" w:firstLineChars="200"/>
        <w:jc w:val="left"/>
        <w:rPr>
          <w:color w:val="auto"/>
          <w:highlight w:val="none"/>
        </w:rPr>
      </w:pPr>
      <w:bookmarkStart w:id="1107" w:name="_Toc292559416"/>
      <w:bookmarkStart w:id="1108" w:name="_Toc292559921"/>
      <w:bookmarkStart w:id="1109" w:name="_Toc296944550"/>
      <w:bookmarkStart w:id="1110" w:name="_Toc300935006"/>
      <w:bookmarkStart w:id="1111" w:name="_Toc296503211"/>
      <w:bookmarkStart w:id="1112" w:name="_Toc303539163"/>
      <w:bookmarkStart w:id="1113" w:name="_Toc297048397"/>
      <w:bookmarkStart w:id="1114" w:name="_Toc296346712"/>
      <w:bookmarkStart w:id="1115" w:name="_Toc297123556"/>
      <w:bookmarkStart w:id="1116" w:name="_Toc296891039"/>
      <w:bookmarkStart w:id="1117" w:name="_Toc296347210"/>
      <w:bookmarkStart w:id="1118" w:name="_Toc297216215"/>
      <w:bookmarkStart w:id="1119" w:name="_Toc296891251"/>
      <w:bookmarkStart w:id="1120" w:name="_Toc297120511"/>
      <w:r>
        <w:rPr>
          <w:rFonts w:ascii="宋体" w:hAnsi="宋体" w:eastAsia="宋体" w:cs="宋体"/>
          <w:color w:val="auto"/>
          <w:kern w:val="0"/>
          <w:sz w:val="22"/>
          <w:szCs w:val="22"/>
          <w:highlight w:val="none"/>
          <w:lang w:val="en-US" w:eastAsia="zh-CN" w:bidi="ar"/>
        </w:rPr>
        <w:t>政府机关、事业单位、国有企业建设工程进度款支付应不低于已完成工程价款的80%；同时，在确保不超出工程总概（预）算以及工程决（结）算工作顺利开展的前提下，除按合同约定保留不超过工程价款总额3%的质量保证金外，进度款支付比例可由发承包双方根据项目实际情况自行确定。在结算过程中，若发生进度款支付超出实际已完成工程价款的情况，承包单位应按规定在结算后30日内向发包单位返还多收到的工程进度款</w:t>
      </w:r>
      <w:r>
        <w:rPr>
          <w:rFonts w:hint="eastAsia" w:ascii="宋体" w:hAnsi="宋体" w:eastAsia="宋体" w:cs="宋体"/>
          <w:color w:val="auto"/>
          <w:kern w:val="0"/>
          <w:sz w:val="22"/>
          <w:szCs w:val="22"/>
          <w:highlight w:val="none"/>
          <w:lang w:val="en-US" w:eastAsia="zh-CN" w:bidi="ar"/>
        </w:rPr>
        <w:t>。</w:t>
      </w:r>
    </w:p>
    <w:p w14:paraId="7AEF1745">
      <w:pPr>
        <w:spacing w:line="360" w:lineRule="auto"/>
        <w:ind w:firstLine="420" w:firstLineChars="200"/>
        <w:jc w:val="left"/>
        <w:rPr>
          <w:color w:val="auto"/>
          <w:highlight w:val="none"/>
        </w:rPr>
      </w:pPr>
      <w:r>
        <w:rPr>
          <w:color w:val="auto"/>
          <w:highlight w:val="none"/>
        </w:rPr>
        <w:t xml:space="preserve">12.4.1 </w:t>
      </w:r>
      <w:r>
        <w:rPr>
          <w:rFonts w:hint="eastAsia" w:hAnsi="宋体" w:cs="宋体"/>
          <w:color w:val="auto"/>
          <w:highlight w:val="none"/>
        </w:rPr>
        <w:t>付款周期</w:t>
      </w:r>
    </w:p>
    <w:p w14:paraId="1C71BECD">
      <w:pPr>
        <w:spacing w:line="360" w:lineRule="auto"/>
        <w:ind w:firstLine="420" w:firstLineChars="200"/>
        <w:jc w:val="left"/>
        <w:rPr>
          <w:rFonts w:hint="eastAsia" w:hAnsi="宋体" w:cs="宋体"/>
          <w:color w:val="auto"/>
          <w:highlight w:val="none"/>
          <w:u w:val="single"/>
        </w:rPr>
      </w:pPr>
      <w:r>
        <w:rPr>
          <w:rFonts w:hAnsi="宋体" w:cs="宋体"/>
          <w:color w:val="auto"/>
          <w:highlight w:val="none"/>
        </w:rPr>
        <w:fldChar w:fldCharType="begin"/>
      </w:r>
      <w:r>
        <w:rPr>
          <w:rFonts w:hAnsi="宋体" w:cs="宋体"/>
          <w:color w:val="auto"/>
          <w:highlight w:val="none"/>
        </w:rPr>
        <w:instrText xml:space="preserve"> </w:instrText>
      </w:r>
      <w:r>
        <w:rPr>
          <w:rFonts w:hint="eastAsia" w:hAnsi="宋体" w:cs="宋体"/>
          <w:color w:val="auto"/>
          <w:highlight w:val="none"/>
        </w:rPr>
        <w:instrText xml:space="preserve">= 1 \* GB3</w:instrText>
      </w:r>
      <w:r>
        <w:rPr>
          <w:rFonts w:hAnsi="宋体" w:cs="宋体"/>
          <w:color w:val="auto"/>
          <w:highlight w:val="none"/>
        </w:rPr>
        <w:instrText xml:space="preserve"> </w:instrText>
      </w:r>
      <w:r>
        <w:rPr>
          <w:rFonts w:hAnsi="宋体" w:cs="宋体"/>
          <w:color w:val="auto"/>
          <w:highlight w:val="none"/>
        </w:rPr>
        <w:fldChar w:fldCharType="separate"/>
      </w:r>
      <w:r>
        <w:rPr>
          <w:rFonts w:hint="eastAsia" w:hAnsi="宋体" w:cs="宋体"/>
          <w:color w:val="auto"/>
          <w:highlight w:val="none"/>
        </w:rPr>
        <w:t>①</w:t>
      </w:r>
      <w:r>
        <w:rPr>
          <w:rFonts w:hAnsi="宋体" w:cs="宋体"/>
          <w:color w:val="auto"/>
          <w:highlight w:val="none"/>
        </w:rPr>
        <w:fldChar w:fldCharType="end"/>
      </w:r>
      <w:r>
        <w:rPr>
          <w:rFonts w:hint="eastAsia" w:hAnsi="宋体" w:cs="宋体"/>
          <w:color w:val="auto"/>
          <w:highlight w:val="none"/>
          <w:u w:val="single"/>
        </w:rPr>
        <w:t>工程款原则上按月支付，工程进度款支付限额为已完成工程量的</w:t>
      </w:r>
      <w:r>
        <w:rPr>
          <w:rFonts w:hint="eastAsia" w:hAnsi="宋体" w:cs="宋体"/>
          <w:color w:val="auto"/>
          <w:highlight w:val="none"/>
          <w:u w:val="single"/>
          <w:lang w:val="en-US" w:eastAsia="zh-CN"/>
        </w:rPr>
        <w:t>90</w:t>
      </w:r>
      <w:r>
        <w:rPr>
          <w:rFonts w:hint="eastAsia" w:hAnsi="宋体" w:cs="宋体"/>
          <w:color w:val="auto"/>
          <w:highlight w:val="none"/>
          <w:u w:val="single"/>
        </w:rPr>
        <w:t>%，累计不超过合同价的</w:t>
      </w:r>
      <w:r>
        <w:rPr>
          <w:rFonts w:hint="eastAsia" w:hAnsi="宋体" w:cs="宋体"/>
          <w:color w:val="auto"/>
          <w:highlight w:val="none"/>
          <w:u w:val="single"/>
          <w:lang w:val="en-US" w:eastAsia="zh-CN"/>
        </w:rPr>
        <w:t>90</w:t>
      </w:r>
      <w:r>
        <w:rPr>
          <w:rFonts w:hint="eastAsia" w:hAnsi="宋体" w:cs="宋体"/>
          <w:color w:val="auto"/>
          <w:highlight w:val="none"/>
          <w:u w:val="single"/>
        </w:rPr>
        <w:t>%；合同外(设计变更)部分进度款支付限额为：累计增加的变更金额在合同价10%以内(含10%)按照当期计量的60%支付，累计增加的变更金额超出合同价的10%部分不进行进度款计量支付，留待工程结算时一并支付</w:t>
      </w:r>
      <w:r>
        <w:rPr>
          <w:rFonts w:hint="eastAsia" w:hAnsi="宋体" w:cs="宋体"/>
          <w:color w:val="auto"/>
          <w:highlight w:val="none"/>
          <w:u w:val="single"/>
          <w:lang w:eastAsia="zh-CN"/>
        </w:rPr>
        <w:t>。</w:t>
      </w:r>
      <w:r>
        <w:rPr>
          <w:rFonts w:hint="eastAsia" w:hAnsi="宋体" w:cs="宋体"/>
          <w:color w:val="auto"/>
          <w:highlight w:val="none"/>
          <w:u w:val="none"/>
        </w:rPr>
        <w:t>（</w:t>
      </w:r>
      <w:r>
        <w:rPr>
          <w:rFonts w:ascii="宋体" w:hAnsi="宋体" w:eastAsia="宋体" w:cs="宋体"/>
          <w:color w:val="auto"/>
          <w:kern w:val="0"/>
          <w:sz w:val="21"/>
          <w:szCs w:val="21"/>
          <w:highlight w:val="none"/>
          <w:u w:val="none"/>
          <w:lang w:val="en-US" w:eastAsia="zh-CN" w:bidi="ar"/>
        </w:rPr>
        <w:t>政府机关、事业单位、国有企业建设工程进度款支付应不低于已完成工程价款的</w:t>
      </w:r>
      <w:r>
        <w:rPr>
          <w:rFonts w:hAnsi="宋体" w:cs="宋体"/>
          <w:color w:val="auto"/>
          <w:highlight w:val="none"/>
          <w:u w:val="none"/>
        </w:rPr>
        <w:t>80</w:t>
      </w:r>
      <w:r>
        <w:rPr>
          <w:color w:val="auto"/>
          <w:highlight w:val="none"/>
          <w:u w:val="none"/>
        </w:rPr>
        <w:t>%</w:t>
      </w:r>
      <w:r>
        <w:rPr>
          <w:rFonts w:hint="eastAsia" w:hAnsi="宋体" w:cs="宋体"/>
          <w:color w:val="auto"/>
          <w:highlight w:val="none"/>
          <w:u w:val="none"/>
        </w:rPr>
        <w:t>）</w:t>
      </w:r>
    </w:p>
    <w:p w14:paraId="07C8C706">
      <w:pPr>
        <w:spacing w:line="360" w:lineRule="auto"/>
        <w:ind w:firstLine="420" w:firstLineChars="200"/>
        <w:jc w:val="left"/>
        <w:rPr>
          <w:rFonts w:hint="eastAsia" w:hAnsi="宋体" w:cs="宋体"/>
          <w:color w:val="auto"/>
          <w:highlight w:val="none"/>
          <w:u w:val="single"/>
        </w:rPr>
      </w:pPr>
      <w:r>
        <w:rPr>
          <w:rFonts w:hAnsi="宋体" w:cs="宋体"/>
          <w:color w:val="auto"/>
          <w:highlight w:val="none"/>
          <w:u w:val="single"/>
        </w:rPr>
        <w:fldChar w:fldCharType="begin"/>
      </w:r>
      <w:r>
        <w:rPr>
          <w:rFonts w:hAnsi="宋体" w:cs="宋体"/>
          <w:color w:val="auto"/>
          <w:highlight w:val="none"/>
          <w:u w:val="single"/>
        </w:rPr>
        <w:instrText xml:space="preserve"> </w:instrText>
      </w:r>
      <w:r>
        <w:rPr>
          <w:rFonts w:hint="eastAsia" w:hAnsi="宋体" w:cs="宋体"/>
          <w:color w:val="auto"/>
          <w:highlight w:val="none"/>
          <w:u w:val="single"/>
        </w:rPr>
        <w:instrText xml:space="preserve">= 2 \* GB3</w:instrText>
      </w:r>
      <w:r>
        <w:rPr>
          <w:rFonts w:hAnsi="宋体" w:cs="宋体"/>
          <w:color w:val="auto"/>
          <w:highlight w:val="none"/>
          <w:u w:val="single"/>
        </w:rPr>
        <w:instrText xml:space="preserve"> </w:instrText>
      </w:r>
      <w:r>
        <w:rPr>
          <w:rFonts w:hAnsi="宋体" w:cs="宋体"/>
          <w:color w:val="auto"/>
          <w:highlight w:val="none"/>
          <w:u w:val="single"/>
        </w:rPr>
        <w:fldChar w:fldCharType="separate"/>
      </w:r>
      <w:r>
        <w:rPr>
          <w:rFonts w:hint="eastAsia" w:hAnsi="宋体" w:cs="宋体"/>
          <w:color w:val="auto"/>
          <w:highlight w:val="none"/>
          <w:u w:val="single"/>
        </w:rPr>
        <w:t>②</w:t>
      </w:r>
      <w:r>
        <w:rPr>
          <w:rFonts w:hAnsi="宋体" w:cs="宋体"/>
          <w:color w:val="auto"/>
          <w:highlight w:val="none"/>
          <w:u w:val="single"/>
        </w:rPr>
        <w:fldChar w:fldCharType="end"/>
      </w:r>
      <w:r>
        <w:rPr>
          <w:rFonts w:hint="eastAsia" w:hAnsi="宋体" w:cs="宋体"/>
          <w:color w:val="auto"/>
          <w:highlight w:val="none"/>
          <w:u w:val="single"/>
        </w:rPr>
        <w:t>工程完工验收达到质量要求，结算经业主及合同约定的财政或审计部门（如有）审定后，工程款支付至结算总价的</w:t>
      </w:r>
      <w:r>
        <w:rPr>
          <w:rFonts w:hint="eastAsia" w:hAnsi="宋体" w:cs="宋体"/>
          <w:color w:val="auto"/>
          <w:highlight w:val="none"/>
          <w:u w:val="single"/>
          <w:lang w:val="en-US" w:eastAsia="zh-CN"/>
        </w:rPr>
        <w:t>97</w:t>
      </w:r>
      <w:r>
        <w:rPr>
          <w:color w:val="auto"/>
          <w:highlight w:val="none"/>
          <w:u w:val="single"/>
        </w:rPr>
        <w:t>%</w:t>
      </w:r>
      <w:r>
        <w:rPr>
          <w:rFonts w:hint="eastAsia" w:cs="宋体"/>
          <w:color w:val="auto"/>
          <w:highlight w:val="none"/>
          <w:u w:val="single"/>
        </w:rPr>
        <w:t>。</w:t>
      </w:r>
      <w:r>
        <w:rPr>
          <w:rFonts w:hint="eastAsia" w:hAnsi="宋体" w:cs="宋体"/>
          <w:color w:val="auto"/>
          <w:highlight w:val="none"/>
          <w:u w:val="single"/>
        </w:rPr>
        <w:t>发包人按工程价款结算总额的</w:t>
      </w:r>
      <w:r>
        <w:rPr>
          <w:rFonts w:hint="eastAsia"/>
          <w:color w:val="auto"/>
          <w:highlight w:val="none"/>
          <w:u w:val="single"/>
          <w:lang w:val="en-US" w:eastAsia="zh-CN"/>
        </w:rPr>
        <w:t>3</w:t>
      </w:r>
      <w:r>
        <w:rPr>
          <w:color w:val="auto"/>
          <w:highlight w:val="none"/>
          <w:u w:val="single"/>
        </w:rPr>
        <w:t xml:space="preserve"> %</w:t>
      </w:r>
      <w:r>
        <w:rPr>
          <w:rFonts w:hint="eastAsia" w:hAnsi="宋体" w:cs="宋体"/>
          <w:color w:val="auto"/>
          <w:highlight w:val="none"/>
          <w:u w:val="single"/>
        </w:rPr>
        <w:t>预留工程质量保证金。</w:t>
      </w:r>
    </w:p>
    <w:p w14:paraId="2CCEDF9E">
      <w:pPr>
        <w:spacing w:line="360" w:lineRule="auto"/>
        <w:ind w:firstLine="420" w:firstLineChars="200"/>
        <w:jc w:val="left"/>
        <w:rPr>
          <w:rFonts w:hint="eastAsia" w:hAnsi="宋体" w:cs="宋体"/>
          <w:color w:val="auto"/>
          <w:highlight w:val="none"/>
          <w:u w:val="single"/>
        </w:rPr>
      </w:pPr>
      <w:r>
        <w:rPr>
          <w:rFonts w:hint="eastAsia" w:hAnsi="宋体" w:cs="宋体"/>
          <w:color w:val="auto"/>
          <w:highlight w:val="none"/>
          <w:u w:val="single"/>
          <w:lang w:val="en-US" w:eastAsia="zh-CN"/>
        </w:rPr>
        <w:t>注：</w:t>
      </w:r>
      <w:r>
        <w:rPr>
          <w:rFonts w:hint="eastAsia" w:hAnsi="宋体" w:cs="宋体"/>
          <w:color w:val="auto"/>
          <w:highlight w:val="none"/>
          <w:u w:val="single"/>
        </w:rPr>
        <w:t>如</w:t>
      </w:r>
      <w:r>
        <w:rPr>
          <w:rFonts w:hint="eastAsia" w:hAnsi="宋体" w:cs="宋体"/>
          <w:color w:val="auto"/>
          <w:highlight w:val="none"/>
          <w:u w:val="single"/>
          <w:lang w:val="en-US" w:eastAsia="zh-CN"/>
        </w:rPr>
        <w:t>以上</w:t>
      </w:r>
      <w:r>
        <w:rPr>
          <w:rFonts w:hAnsi="宋体" w:cs="宋体"/>
          <w:color w:val="auto"/>
          <w:highlight w:val="none"/>
          <w:u w:val="single"/>
        </w:rPr>
        <w:fldChar w:fldCharType="begin"/>
      </w:r>
      <w:r>
        <w:rPr>
          <w:rFonts w:hAnsi="宋体" w:cs="宋体"/>
          <w:color w:val="auto"/>
          <w:highlight w:val="none"/>
          <w:u w:val="single"/>
        </w:rPr>
        <w:instrText xml:space="preserve"> </w:instrText>
      </w:r>
      <w:r>
        <w:rPr>
          <w:rFonts w:hint="eastAsia" w:hAnsi="宋体" w:cs="宋体"/>
          <w:color w:val="auto"/>
          <w:highlight w:val="none"/>
          <w:u w:val="single"/>
        </w:rPr>
        <w:instrText xml:space="preserve">= 1 \* GB3</w:instrText>
      </w:r>
      <w:r>
        <w:rPr>
          <w:rFonts w:hAnsi="宋体" w:cs="宋体"/>
          <w:color w:val="auto"/>
          <w:highlight w:val="none"/>
          <w:u w:val="single"/>
        </w:rPr>
        <w:instrText xml:space="preserve"> </w:instrText>
      </w:r>
      <w:r>
        <w:rPr>
          <w:rFonts w:hAnsi="宋体" w:cs="宋体"/>
          <w:color w:val="auto"/>
          <w:highlight w:val="none"/>
          <w:u w:val="single"/>
        </w:rPr>
        <w:fldChar w:fldCharType="separate"/>
      </w:r>
      <w:r>
        <w:rPr>
          <w:rFonts w:hint="eastAsia" w:hAnsi="宋体" w:cs="宋体"/>
          <w:color w:val="auto"/>
          <w:highlight w:val="none"/>
          <w:u w:val="single"/>
        </w:rPr>
        <w:t>①</w:t>
      </w:r>
      <w:r>
        <w:rPr>
          <w:rFonts w:hAnsi="宋体" w:cs="宋体"/>
          <w:color w:val="auto"/>
          <w:highlight w:val="none"/>
          <w:u w:val="single"/>
        </w:rPr>
        <w:fldChar w:fldCharType="end"/>
      </w:r>
      <w:r>
        <w:rPr>
          <w:rFonts w:hAnsi="宋体" w:cs="宋体"/>
          <w:color w:val="auto"/>
          <w:highlight w:val="none"/>
          <w:u w:val="single"/>
        </w:rPr>
        <w:fldChar w:fldCharType="begin"/>
      </w:r>
      <w:r>
        <w:rPr>
          <w:rFonts w:hAnsi="宋体" w:cs="宋体"/>
          <w:color w:val="auto"/>
          <w:highlight w:val="none"/>
          <w:u w:val="single"/>
        </w:rPr>
        <w:instrText xml:space="preserve"> </w:instrText>
      </w:r>
      <w:r>
        <w:rPr>
          <w:rFonts w:hint="eastAsia" w:hAnsi="宋体" w:cs="宋体"/>
          <w:color w:val="auto"/>
          <w:highlight w:val="none"/>
          <w:u w:val="single"/>
        </w:rPr>
        <w:instrText xml:space="preserve">= 2 \* GB3</w:instrText>
      </w:r>
      <w:r>
        <w:rPr>
          <w:rFonts w:hAnsi="宋体" w:cs="宋体"/>
          <w:color w:val="auto"/>
          <w:highlight w:val="none"/>
          <w:u w:val="single"/>
        </w:rPr>
        <w:instrText xml:space="preserve"> </w:instrText>
      </w:r>
      <w:r>
        <w:rPr>
          <w:rFonts w:hAnsi="宋体" w:cs="宋体"/>
          <w:color w:val="auto"/>
          <w:highlight w:val="none"/>
          <w:u w:val="single"/>
        </w:rPr>
        <w:fldChar w:fldCharType="separate"/>
      </w:r>
      <w:r>
        <w:rPr>
          <w:rFonts w:hint="eastAsia" w:hAnsi="宋体" w:cs="宋体"/>
          <w:color w:val="auto"/>
          <w:highlight w:val="none"/>
          <w:u w:val="single"/>
        </w:rPr>
        <w:t>②</w:t>
      </w:r>
      <w:r>
        <w:rPr>
          <w:rFonts w:hAnsi="宋体" w:cs="宋体"/>
          <w:color w:val="auto"/>
          <w:highlight w:val="none"/>
          <w:u w:val="single"/>
        </w:rPr>
        <w:fldChar w:fldCharType="end"/>
      </w:r>
      <w:r>
        <w:rPr>
          <w:rFonts w:hint="eastAsia" w:hAnsi="宋体" w:cs="宋体"/>
          <w:color w:val="auto"/>
          <w:highlight w:val="none"/>
          <w:u w:val="single"/>
          <w:lang w:val="en-US" w:eastAsia="zh-CN"/>
        </w:rPr>
        <w:t>付款</w:t>
      </w:r>
      <w:r>
        <w:rPr>
          <w:rFonts w:hint="eastAsia" w:hAnsi="宋体" w:cs="宋体"/>
          <w:color w:val="auto"/>
          <w:highlight w:val="none"/>
          <w:u w:val="single"/>
        </w:rPr>
        <w:t>与南宁市江南区衔接推进乡村振兴补助资金管理办法支付要求不一致的，按照南宁市江南区衔接推进乡村振兴补助资金管理办法支付要求为准。</w:t>
      </w:r>
    </w:p>
    <w:p w14:paraId="032C6D8A">
      <w:pPr>
        <w:spacing w:line="360" w:lineRule="auto"/>
        <w:ind w:firstLine="420" w:firstLineChars="200"/>
        <w:jc w:val="left"/>
        <w:rPr>
          <w:rFonts w:hint="eastAsia"/>
          <w:color w:val="auto"/>
          <w:highlight w:val="none"/>
        </w:rPr>
      </w:pPr>
      <w:r>
        <w:rPr>
          <w:rFonts w:hAnsi="宋体" w:cs="宋体"/>
          <w:color w:val="auto"/>
          <w:highlight w:val="none"/>
          <w:u w:val="single"/>
        </w:rPr>
        <w:fldChar w:fldCharType="begin"/>
      </w:r>
      <w:r>
        <w:rPr>
          <w:rFonts w:hAnsi="宋体" w:cs="宋体"/>
          <w:color w:val="auto"/>
          <w:highlight w:val="none"/>
          <w:u w:val="single"/>
        </w:rPr>
        <w:instrText xml:space="preserve"> </w:instrText>
      </w:r>
      <w:r>
        <w:rPr>
          <w:rFonts w:hint="eastAsia" w:hAnsi="宋体" w:cs="宋体"/>
          <w:color w:val="auto"/>
          <w:highlight w:val="none"/>
          <w:u w:val="single"/>
        </w:rPr>
        <w:instrText xml:space="preserve">= 3 \* GB3</w:instrText>
      </w:r>
      <w:r>
        <w:rPr>
          <w:rFonts w:hAnsi="宋体" w:cs="宋体"/>
          <w:color w:val="auto"/>
          <w:highlight w:val="none"/>
          <w:u w:val="single"/>
        </w:rPr>
        <w:instrText xml:space="preserve"> </w:instrText>
      </w:r>
      <w:r>
        <w:rPr>
          <w:rFonts w:hAnsi="宋体" w:cs="宋体"/>
          <w:color w:val="auto"/>
          <w:highlight w:val="none"/>
          <w:u w:val="single"/>
        </w:rPr>
        <w:fldChar w:fldCharType="separate"/>
      </w:r>
      <w:r>
        <w:rPr>
          <w:rFonts w:hint="eastAsia" w:hAnsi="宋体" w:cs="宋体"/>
          <w:color w:val="auto"/>
          <w:highlight w:val="none"/>
          <w:u w:val="single"/>
        </w:rPr>
        <w:t>③</w:t>
      </w:r>
      <w:r>
        <w:rPr>
          <w:rFonts w:hAnsi="宋体" w:cs="宋体"/>
          <w:color w:val="auto"/>
          <w:highlight w:val="none"/>
          <w:u w:val="single"/>
        </w:rPr>
        <w:fldChar w:fldCharType="end"/>
      </w:r>
      <w:r>
        <w:rPr>
          <w:rFonts w:hint="eastAsia" w:hAnsi="宋体" w:cs="宋体"/>
          <w:color w:val="auto"/>
          <w:highlight w:val="none"/>
          <w:u w:val="single"/>
        </w:rPr>
        <w:t>合同约定的工程质量缺陷责任期（最长不超过</w:t>
      </w:r>
      <w:r>
        <w:rPr>
          <w:rFonts w:hint="eastAsia" w:hAnsi="宋体" w:cs="宋体"/>
          <w:color w:val="auto"/>
          <w:highlight w:val="none"/>
          <w:u w:val="single"/>
          <w:lang w:val="en-US" w:eastAsia="zh-CN"/>
        </w:rPr>
        <w:t>1</w:t>
      </w:r>
      <w:r>
        <w:rPr>
          <w:rFonts w:hint="eastAsia" w:hAnsi="宋体" w:cs="宋体"/>
          <w:color w:val="auto"/>
          <w:highlight w:val="none"/>
          <w:u w:val="single"/>
        </w:rPr>
        <w:t>年）满后由承包人向发包人提出返还保证金的申请，</w:t>
      </w:r>
      <w:r>
        <w:rPr>
          <w:rFonts w:hAnsi="宋体" w:cs="宋体"/>
          <w:color w:val="auto"/>
          <w:highlight w:val="none"/>
          <w:u w:val="single"/>
        </w:rPr>
        <w:t>发包人</w:t>
      </w:r>
      <w:r>
        <w:rPr>
          <w:rFonts w:hint="eastAsia" w:hAnsi="宋体" w:cs="宋体"/>
          <w:color w:val="auto"/>
          <w:highlight w:val="none"/>
          <w:u w:val="single"/>
        </w:rPr>
        <w:t>在</w:t>
      </w:r>
      <w:r>
        <w:rPr>
          <w:rFonts w:hAnsi="宋体" w:cs="宋体"/>
          <w:color w:val="auto"/>
          <w:highlight w:val="none"/>
          <w:u w:val="single"/>
        </w:rPr>
        <w:t>接到承包人返还保证金申请后，于</w:t>
      </w:r>
      <w:r>
        <w:rPr>
          <w:rFonts w:hint="eastAsia" w:hAnsi="宋体" w:cs="宋体"/>
          <w:color w:val="auto"/>
          <w:highlight w:val="none"/>
          <w:u w:val="single"/>
        </w:rPr>
        <w:t>14天</w:t>
      </w:r>
      <w:r>
        <w:rPr>
          <w:rFonts w:hAnsi="宋体" w:cs="宋体"/>
          <w:color w:val="auto"/>
          <w:highlight w:val="none"/>
          <w:u w:val="single"/>
        </w:rPr>
        <w:t>内会同承包人按照合同约定的内容进行核实。如</w:t>
      </w:r>
      <w:r>
        <w:rPr>
          <w:rFonts w:hint="eastAsia" w:hAnsi="宋体" w:cs="宋体"/>
          <w:color w:val="auto"/>
          <w:highlight w:val="none"/>
          <w:u w:val="single"/>
        </w:rPr>
        <w:t>无异</w:t>
      </w:r>
      <w:r>
        <w:rPr>
          <w:rFonts w:hAnsi="宋体" w:cs="宋体"/>
          <w:color w:val="auto"/>
          <w:highlight w:val="none"/>
          <w:u w:val="single"/>
        </w:rPr>
        <w:t>议，发包人在核实后</w:t>
      </w:r>
      <w:r>
        <w:rPr>
          <w:rFonts w:hint="eastAsia" w:hAnsi="宋体" w:cs="宋体"/>
          <w:color w:val="auto"/>
          <w:highlight w:val="none"/>
          <w:u w:val="single"/>
        </w:rPr>
        <w:t>14天</w:t>
      </w:r>
      <w:r>
        <w:rPr>
          <w:rFonts w:hAnsi="宋体" w:cs="宋体"/>
          <w:color w:val="auto"/>
          <w:highlight w:val="none"/>
          <w:u w:val="single"/>
        </w:rPr>
        <w:t>内将保证金</w:t>
      </w:r>
      <w:r>
        <w:rPr>
          <w:rFonts w:hint="eastAsia" w:hAnsi="宋体" w:cs="宋体"/>
          <w:color w:val="auto"/>
          <w:highlight w:val="none"/>
          <w:u w:val="single"/>
        </w:rPr>
        <w:t>返还承包</w:t>
      </w:r>
      <w:r>
        <w:rPr>
          <w:rFonts w:hAnsi="宋体" w:cs="宋体"/>
          <w:color w:val="auto"/>
          <w:highlight w:val="none"/>
          <w:u w:val="single"/>
        </w:rPr>
        <w:t>人，逾期未返还的，依法承</w:t>
      </w:r>
      <w:r>
        <w:rPr>
          <w:rFonts w:hint="eastAsia" w:hAnsi="宋体" w:cs="宋体"/>
          <w:color w:val="auto"/>
          <w:highlight w:val="none"/>
          <w:u w:val="single"/>
        </w:rPr>
        <w:t>担</w:t>
      </w:r>
      <w:r>
        <w:rPr>
          <w:rFonts w:hAnsi="宋体" w:cs="宋体"/>
          <w:color w:val="auto"/>
          <w:highlight w:val="none"/>
          <w:u w:val="single"/>
        </w:rPr>
        <w:t>违约责任</w:t>
      </w:r>
      <w:r>
        <w:rPr>
          <w:rFonts w:hint="eastAsia" w:hAnsi="宋体" w:cs="宋体"/>
          <w:color w:val="auto"/>
          <w:highlight w:val="none"/>
          <w:u w:val="single"/>
        </w:rPr>
        <w:t>。发</w:t>
      </w:r>
      <w:r>
        <w:rPr>
          <w:rFonts w:hAnsi="宋体" w:cs="宋体"/>
          <w:color w:val="auto"/>
          <w:highlight w:val="none"/>
          <w:u w:val="single"/>
        </w:rPr>
        <w:t>包人在接到承包人返还保证金申请后</w:t>
      </w:r>
      <w:r>
        <w:rPr>
          <w:rFonts w:hint="eastAsia" w:hAnsi="宋体" w:cs="宋体"/>
          <w:color w:val="auto"/>
          <w:highlight w:val="none"/>
          <w:u w:val="single"/>
        </w:rPr>
        <w:t>14天</w:t>
      </w:r>
      <w:r>
        <w:rPr>
          <w:rFonts w:hAnsi="宋体" w:cs="宋体"/>
          <w:color w:val="auto"/>
          <w:highlight w:val="none"/>
          <w:u w:val="single"/>
        </w:rPr>
        <w:t>内不予答复，经催告后</w:t>
      </w:r>
      <w:r>
        <w:rPr>
          <w:rFonts w:hint="eastAsia" w:hAnsi="宋体" w:cs="宋体"/>
          <w:color w:val="auto"/>
          <w:highlight w:val="none"/>
          <w:u w:val="single"/>
        </w:rPr>
        <w:t>14天</w:t>
      </w:r>
      <w:r>
        <w:rPr>
          <w:rFonts w:hAnsi="宋体" w:cs="宋体"/>
          <w:color w:val="auto"/>
          <w:highlight w:val="none"/>
          <w:u w:val="single"/>
        </w:rPr>
        <w:t>内仍不</w:t>
      </w:r>
      <w:r>
        <w:rPr>
          <w:rFonts w:hint="eastAsia" w:hAnsi="宋体" w:cs="宋体"/>
          <w:color w:val="auto"/>
          <w:highlight w:val="none"/>
          <w:u w:val="single"/>
        </w:rPr>
        <w:t>予</w:t>
      </w:r>
      <w:r>
        <w:rPr>
          <w:rFonts w:hAnsi="宋体" w:cs="宋体"/>
          <w:color w:val="auto"/>
          <w:highlight w:val="none"/>
          <w:u w:val="single"/>
        </w:rPr>
        <w:t>答复，</w:t>
      </w:r>
      <w:r>
        <w:rPr>
          <w:rFonts w:hint="eastAsia" w:hAnsi="宋体" w:cs="宋体"/>
          <w:color w:val="auto"/>
          <w:highlight w:val="none"/>
          <w:u w:val="single"/>
        </w:rPr>
        <w:t>视</w:t>
      </w:r>
      <w:r>
        <w:rPr>
          <w:rFonts w:hAnsi="宋体" w:cs="宋体"/>
          <w:color w:val="auto"/>
          <w:highlight w:val="none"/>
          <w:u w:val="single"/>
        </w:rPr>
        <w:t>同认可承包人的返还保证金申请。</w:t>
      </w:r>
    </w:p>
    <w:p w14:paraId="37EA3C27">
      <w:pPr>
        <w:spacing w:line="360" w:lineRule="auto"/>
        <w:ind w:firstLine="420" w:firstLineChars="200"/>
        <w:jc w:val="left"/>
        <w:rPr>
          <w:color w:val="auto"/>
          <w:highlight w:val="none"/>
        </w:rPr>
      </w:pPr>
      <w:r>
        <w:rPr>
          <w:color w:val="auto"/>
          <w:highlight w:val="none"/>
        </w:rPr>
        <w:t xml:space="preserve">12.4.2 </w:t>
      </w:r>
      <w:r>
        <w:rPr>
          <w:rFonts w:hint="eastAsia" w:hAnsi="宋体" w:cs="宋体"/>
          <w:color w:val="auto"/>
          <w:highlight w:val="none"/>
        </w:rPr>
        <w:t>进度付款申请单的编制</w:t>
      </w:r>
    </w:p>
    <w:p w14:paraId="458422C6">
      <w:pPr>
        <w:spacing w:line="360" w:lineRule="auto"/>
        <w:ind w:firstLine="420" w:firstLineChars="200"/>
        <w:jc w:val="left"/>
        <w:rPr>
          <w:color w:val="auto"/>
          <w:highlight w:val="none"/>
          <w:u w:val="single"/>
        </w:rPr>
      </w:pPr>
      <w:r>
        <w:rPr>
          <w:rFonts w:hint="eastAsia" w:hAnsi="宋体" w:cs="宋体"/>
          <w:color w:val="auto"/>
          <w:highlight w:val="none"/>
        </w:rPr>
        <w:t>关于进度付款申请单编制的约定：</w:t>
      </w:r>
      <w:r>
        <w:rPr>
          <w:rFonts w:hint="eastAsia"/>
          <w:color w:val="auto"/>
          <w:highlight w:val="none"/>
          <w:u w:val="single"/>
        </w:rPr>
        <w:t xml:space="preserve">  按发包人要求版本进行编制  </w:t>
      </w:r>
      <w:r>
        <w:rPr>
          <w:rFonts w:hint="eastAsia" w:hAnsi="宋体" w:cs="宋体"/>
          <w:color w:val="auto"/>
          <w:highlight w:val="none"/>
        </w:rPr>
        <w:t>。</w:t>
      </w:r>
    </w:p>
    <w:p w14:paraId="4FFB5995">
      <w:pPr>
        <w:spacing w:line="360" w:lineRule="auto"/>
        <w:ind w:firstLine="420" w:firstLineChars="200"/>
        <w:jc w:val="left"/>
        <w:rPr>
          <w:color w:val="auto"/>
          <w:highlight w:val="none"/>
        </w:rPr>
      </w:pPr>
      <w:r>
        <w:rPr>
          <w:color w:val="auto"/>
          <w:highlight w:val="none"/>
        </w:rPr>
        <w:t>1</w:t>
      </w:r>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r>
        <w:rPr>
          <w:color w:val="auto"/>
          <w:highlight w:val="none"/>
        </w:rPr>
        <w:t xml:space="preserve">2.4.3 </w:t>
      </w:r>
      <w:r>
        <w:rPr>
          <w:rFonts w:hint="eastAsia" w:hAnsi="宋体" w:cs="宋体"/>
          <w:color w:val="auto"/>
          <w:highlight w:val="none"/>
        </w:rPr>
        <w:t>进度付款申请单的提交</w:t>
      </w:r>
    </w:p>
    <w:p w14:paraId="4486B0A5">
      <w:pPr>
        <w:spacing w:line="360" w:lineRule="auto"/>
        <w:ind w:firstLine="420" w:firstLineChars="200"/>
        <w:jc w:val="left"/>
        <w:rPr>
          <w:color w:val="auto"/>
          <w:highlight w:val="none"/>
        </w:rPr>
      </w:pPr>
      <w:r>
        <w:rPr>
          <w:rFonts w:hint="eastAsia" w:hAnsi="宋体" w:cs="宋体"/>
          <w:color w:val="auto"/>
          <w:highlight w:val="none"/>
        </w:rPr>
        <w:t>（</w:t>
      </w:r>
      <w:r>
        <w:rPr>
          <w:color w:val="auto"/>
          <w:highlight w:val="none"/>
        </w:rPr>
        <w:t>1</w:t>
      </w:r>
      <w:r>
        <w:rPr>
          <w:rFonts w:hint="eastAsia" w:hAnsi="宋体" w:cs="宋体"/>
          <w:color w:val="auto"/>
          <w:highlight w:val="none"/>
        </w:rPr>
        <w:t>）单价合同进度付款申请单提交的约定：</w:t>
      </w:r>
      <w:r>
        <w:rPr>
          <w:rFonts w:ascii="宋体" w:hAnsi="宋体" w:eastAsia="宋体" w:cs="宋体"/>
          <w:color w:val="auto"/>
          <w:spacing w:val="0"/>
          <w:highlight w:val="none"/>
          <w:u w:val="single"/>
        </w:rPr>
        <w:t xml:space="preserve"> 承包人应配合发包人提供以下资料：①工程项目资金申请审批表；②监理支付凭证；③工程量计量报表；④《施工形象进度现场核实表》；⑤新增项目需提交审核后的新增预算书；⑥合同复印件；⑦经监理单位确认的工程质保证明</w:t>
      </w:r>
      <w:r>
        <w:rPr>
          <w:rFonts w:ascii="宋体" w:hAnsi="宋体" w:eastAsia="宋体" w:cs="宋体"/>
          <w:color w:val="auto"/>
          <w:highlight w:val="none"/>
          <w:u w:val="single"/>
        </w:rPr>
        <w:t>材</w:t>
      </w:r>
      <w:r>
        <w:rPr>
          <w:rFonts w:ascii="宋体" w:hAnsi="宋体" w:eastAsia="宋体" w:cs="宋体"/>
          <w:color w:val="auto"/>
          <w:spacing w:val="0"/>
          <w:highlight w:val="none"/>
          <w:u w:val="single"/>
        </w:rPr>
        <w:t>料；⑧开具与应付金额等额的发包人指定的增值税发票；⑨发包人要求的其他材料或其他需</w:t>
      </w:r>
      <w:r>
        <w:rPr>
          <w:rFonts w:ascii="宋体" w:hAnsi="宋体" w:eastAsia="宋体" w:cs="宋体"/>
          <w:color w:val="auto"/>
          <w:highlight w:val="none"/>
          <w:u w:val="single"/>
        </w:rPr>
        <w:t>要</w:t>
      </w:r>
      <w:r>
        <w:rPr>
          <w:rFonts w:ascii="宋体" w:hAnsi="宋体" w:eastAsia="宋体" w:cs="宋体"/>
          <w:color w:val="auto"/>
          <w:spacing w:val="0"/>
          <w:highlight w:val="none"/>
          <w:u w:val="single"/>
        </w:rPr>
        <w:t>补充说明的</w:t>
      </w:r>
      <w:r>
        <w:rPr>
          <w:rFonts w:ascii="宋体" w:hAnsi="宋体" w:eastAsia="宋体" w:cs="宋体"/>
          <w:color w:val="auto"/>
          <w:highlight w:val="none"/>
          <w:u w:val="single"/>
        </w:rPr>
        <w:t xml:space="preserve">材料 </w:t>
      </w:r>
      <w:r>
        <w:rPr>
          <w:rFonts w:hint="eastAsia" w:hAnsi="宋体" w:cs="宋体"/>
          <w:color w:val="auto"/>
          <w:highlight w:val="none"/>
        </w:rPr>
        <w:t>。</w:t>
      </w:r>
    </w:p>
    <w:p w14:paraId="07ED9516">
      <w:pPr>
        <w:spacing w:line="360" w:lineRule="auto"/>
        <w:ind w:firstLine="420" w:firstLineChars="200"/>
        <w:jc w:val="left"/>
        <w:rPr>
          <w:color w:val="auto"/>
          <w:highlight w:val="none"/>
        </w:rPr>
      </w:pPr>
      <w:r>
        <w:rPr>
          <w:rFonts w:hint="eastAsia" w:hAnsi="宋体" w:cs="宋体"/>
          <w:color w:val="auto"/>
          <w:highlight w:val="none"/>
        </w:rPr>
        <w:t>（</w:t>
      </w:r>
      <w:r>
        <w:rPr>
          <w:color w:val="auto"/>
          <w:highlight w:val="none"/>
        </w:rPr>
        <w:t>2</w:t>
      </w:r>
      <w:r>
        <w:rPr>
          <w:rFonts w:hint="eastAsia" w:hAnsi="宋体" w:cs="宋体"/>
          <w:color w:val="auto"/>
          <w:highlight w:val="none"/>
        </w:rPr>
        <w:t>）总价合同进度付款申请单提交的约定：</w:t>
      </w:r>
      <w:r>
        <w:rPr>
          <w:rFonts w:ascii="宋体" w:hAnsi="宋体" w:eastAsia="宋体" w:cs="宋体"/>
          <w:color w:val="auto"/>
          <w:spacing w:val="0"/>
          <w:highlight w:val="none"/>
          <w:u w:val="single"/>
        </w:rPr>
        <w:t xml:space="preserve">  无</w:t>
      </w:r>
      <w:r>
        <w:rPr>
          <w:rFonts w:hint="eastAsia" w:ascii="宋体" w:hAnsi="宋体" w:eastAsia="宋体" w:cs="宋体"/>
          <w:color w:val="auto"/>
          <w:spacing w:val="0"/>
          <w:highlight w:val="none"/>
          <w:u w:val="single"/>
          <w:lang w:val="en-US" w:eastAsia="zh-CN"/>
        </w:rPr>
        <w:t xml:space="preserve"> </w:t>
      </w:r>
      <w:r>
        <w:rPr>
          <w:rFonts w:ascii="宋体" w:hAnsi="宋体" w:eastAsia="宋体" w:cs="宋体"/>
          <w:color w:val="auto"/>
          <w:spacing w:val="0"/>
          <w:highlight w:val="none"/>
          <w:u w:val="single"/>
        </w:rPr>
        <w:t xml:space="preserve"> </w:t>
      </w:r>
      <w:r>
        <w:rPr>
          <w:rFonts w:hint="eastAsia" w:hAnsi="宋体" w:cs="宋体"/>
          <w:color w:val="auto"/>
          <w:highlight w:val="none"/>
        </w:rPr>
        <w:t>。</w:t>
      </w:r>
    </w:p>
    <w:p w14:paraId="198B3C7F">
      <w:pPr>
        <w:spacing w:line="360" w:lineRule="auto"/>
        <w:ind w:firstLine="420" w:firstLineChars="200"/>
        <w:jc w:val="left"/>
        <w:rPr>
          <w:color w:val="auto"/>
          <w:highlight w:val="none"/>
          <w:u w:val="single"/>
        </w:rPr>
      </w:pPr>
      <w:r>
        <w:rPr>
          <w:rFonts w:hint="eastAsia" w:hAnsi="宋体" w:cs="宋体"/>
          <w:color w:val="auto"/>
          <w:highlight w:val="none"/>
        </w:rPr>
        <w:t>（</w:t>
      </w:r>
      <w:r>
        <w:rPr>
          <w:color w:val="auto"/>
          <w:highlight w:val="none"/>
        </w:rPr>
        <w:t>3</w:t>
      </w:r>
      <w:r>
        <w:rPr>
          <w:rFonts w:hint="eastAsia" w:hAnsi="宋体" w:cs="宋体"/>
          <w:color w:val="auto"/>
          <w:highlight w:val="none"/>
        </w:rPr>
        <w:t>）其他价格形式合同进度付款申请单提交的约定：</w:t>
      </w:r>
      <w:r>
        <w:rPr>
          <w:rFonts w:ascii="宋体" w:hAnsi="宋体" w:eastAsia="宋体" w:cs="宋体"/>
          <w:color w:val="auto"/>
          <w:spacing w:val="0"/>
          <w:highlight w:val="none"/>
          <w:u w:val="single"/>
        </w:rPr>
        <w:t xml:space="preserve">  无</w:t>
      </w:r>
      <w:r>
        <w:rPr>
          <w:rFonts w:hint="eastAsia" w:ascii="宋体" w:hAnsi="宋体" w:eastAsia="宋体" w:cs="宋体"/>
          <w:color w:val="auto"/>
          <w:spacing w:val="0"/>
          <w:highlight w:val="none"/>
          <w:u w:val="single"/>
          <w:lang w:val="en-US" w:eastAsia="zh-CN"/>
        </w:rPr>
        <w:t xml:space="preserve"> </w:t>
      </w:r>
      <w:r>
        <w:rPr>
          <w:rFonts w:ascii="宋体" w:hAnsi="宋体" w:eastAsia="宋体" w:cs="宋体"/>
          <w:color w:val="auto"/>
          <w:spacing w:val="0"/>
          <w:highlight w:val="none"/>
          <w:u w:val="single"/>
        </w:rPr>
        <w:t xml:space="preserve"> </w:t>
      </w:r>
      <w:r>
        <w:rPr>
          <w:rFonts w:hint="eastAsia" w:hAnsi="宋体" w:cs="宋体"/>
          <w:color w:val="auto"/>
          <w:highlight w:val="none"/>
        </w:rPr>
        <w:t>。</w:t>
      </w:r>
    </w:p>
    <w:p w14:paraId="6A03AC79">
      <w:pPr>
        <w:spacing w:line="360" w:lineRule="auto"/>
        <w:ind w:firstLine="420" w:firstLineChars="200"/>
        <w:jc w:val="left"/>
        <w:rPr>
          <w:color w:val="auto"/>
          <w:highlight w:val="none"/>
        </w:rPr>
      </w:pPr>
      <w:r>
        <w:rPr>
          <w:color w:val="auto"/>
          <w:highlight w:val="none"/>
        </w:rPr>
        <w:t xml:space="preserve">12.4.4 </w:t>
      </w:r>
      <w:r>
        <w:rPr>
          <w:rFonts w:hint="eastAsia" w:hAnsi="宋体" w:cs="宋体"/>
          <w:color w:val="auto"/>
          <w:highlight w:val="none"/>
        </w:rPr>
        <w:t>进度款审核和支付</w:t>
      </w:r>
    </w:p>
    <w:p w14:paraId="790F0B50">
      <w:pPr>
        <w:spacing w:line="360" w:lineRule="auto"/>
        <w:ind w:firstLine="420" w:firstLineChars="200"/>
        <w:jc w:val="left"/>
        <w:rPr>
          <w:color w:val="auto"/>
          <w:highlight w:val="none"/>
          <w:u w:val="single"/>
        </w:rPr>
      </w:pPr>
      <w:r>
        <w:rPr>
          <w:rFonts w:hint="eastAsia" w:hAnsi="宋体" w:cs="宋体"/>
          <w:color w:val="auto"/>
          <w:highlight w:val="none"/>
        </w:rPr>
        <w:t>（</w:t>
      </w:r>
      <w:r>
        <w:rPr>
          <w:color w:val="auto"/>
          <w:highlight w:val="none"/>
        </w:rPr>
        <w:t>1</w:t>
      </w:r>
      <w:r>
        <w:rPr>
          <w:rFonts w:hint="eastAsia" w:hAnsi="宋体" w:cs="宋体"/>
          <w:color w:val="auto"/>
          <w:highlight w:val="none"/>
        </w:rPr>
        <w:t>）监理人审查并报送发包人的期限：</w:t>
      </w:r>
      <w:r>
        <w:rPr>
          <w:rFonts w:ascii="宋体" w:hAnsi="宋体" w:eastAsia="宋体" w:cs="宋体"/>
          <w:color w:val="auto"/>
          <w:spacing w:val="0"/>
          <w:highlight w:val="none"/>
          <w:u w:val="single"/>
        </w:rPr>
        <w:t xml:space="preserve"> 监理人应在收到承包人进度付款申请单以及相关资料后</w:t>
      </w:r>
      <w:r>
        <w:rPr>
          <w:rFonts w:ascii="Calibri" w:hAnsi="Calibri" w:eastAsia="Calibri" w:cs="Calibri"/>
          <w:color w:val="auto"/>
          <w:spacing w:val="0"/>
          <w:highlight w:val="none"/>
          <w:u w:val="single"/>
        </w:rPr>
        <w:t>3</w:t>
      </w:r>
      <w:r>
        <w:rPr>
          <w:rFonts w:ascii="宋体" w:hAnsi="宋体" w:eastAsia="宋体" w:cs="宋体"/>
          <w:color w:val="auto"/>
          <w:highlight w:val="none"/>
          <w:u w:val="single"/>
        </w:rPr>
        <w:t xml:space="preserve">天内完成审查并报送发包人 </w:t>
      </w:r>
      <w:r>
        <w:rPr>
          <w:rFonts w:hint="eastAsia" w:hAnsi="宋体" w:cs="宋体"/>
          <w:color w:val="auto"/>
          <w:highlight w:val="none"/>
        </w:rPr>
        <w:t>。</w:t>
      </w:r>
    </w:p>
    <w:p w14:paraId="72137D8E">
      <w:pPr>
        <w:spacing w:line="360" w:lineRule="auto"/>
        <w:ind w:firstLine="420" w:firstLineChars="200"/>
        <w:jc w:val="left"/>
        <w:rPr>
          <w:color w:val="auto"/>
          <w:highlight w:val="none"/>
          <w:u w:val="single"/>
        </w:rPr>
      </w:pPr>
      <w:r>
        <w:rPr>
          <w:rFonts w:hint="eastAsia" w:hAnsi="宋体" w:cs="宋体"/>
          <w:color w:val="auto"/>
          <w:highlight w:val="none"/>
        </w:rPr>
        <w:t>发包人完成审批并签发进度款支付证书的期限：</w:t>
      </w:r>
      <w:r>
        <w:rPr>
          <w:rFonts w:ascii="宋体" w:hAnsi="宋体" w:eastAsia="宋体" w:cs="宋体"/>
          <w:color w:val="auto"/>
          <w:spacing w:val="0"/>
          <w:highlight w:val="none"/>
          <w:u w:val="single"/>
        </w:rPr>
        <w:t xml:space="preserve"> 发包人应在收到后 </w:t>
      </w:r>
      <w:r>
        <w:rPr>
          <w:rFonts w:ascii="Calibri" w:hAnsi="Calibri" w:eastAsia="Calibri" w:cs="Calibri"/>
          <w:color w:val="auto"/>
          <w:spacing w:val="0"/>
          <w:highlight w:val="none"/>
          <w:u w:val="single"/>
        </w:rPr>
        <w:t xml:space="preserve">15 </w:t>
      </w:r>
      <w:r>
        <w:rPr>
          <w:rFonts w:ascii="宋体" w:hAnsi="宋体" w:eastAsia="宋体" w:cs="宋体"/>
          <w:color w:val="auto"/>
          <w:spacing w:val="0"/>
          <w:highlight w:val="none"/>
          <w:u w:val="single"/>
        </w:rPr>
        <w:t xml:space="preserve">天内完成审批并签发进度款支付证书 </w:t>
      </w:r>
      <w:r>
        <w:rPr>
          <w:rFonts w:hint="eastAsia" w:hAnsi="宋体" w:cs="宋体"/>
          <w:color w:val="auto"/>
          <w:highlight w:val="none"/>
        </w:rPr>
        <w:t>。</w:t>
      </w:r>
    </w:p>
    <w:p w14:paraId="6B0EE5E5">
      <w:pPr>
        <w:spacing w:line="360" w:lineRule="auto"/>
        <w:ind w:firstLine="420" w:firstLineChars="200"/>
        <w:jc w:val="left"/>
        <w:rPr>
          <w:color w:val="auto"/>
          <w:highlight w:val="none"/>
        </w:rPr>
      </w:pPr>
      <w:r>
        <w:rPr>
          <w:rFonts w:hint="eastAsia" w:hAnsi="宋体" w:cs="宋体"/>
          <w:color w:val="auto"/>
          <w:highlight w:val="none"/>
        </w:rPr>
        <w:t>（</w:t>
      </w:r>
      <w:r>
        <w:rPr>
          <w:color w:val="auto"/>
          <w:highlight w:val="none"/>
        </w:rPr>
        <w:t>2</w:t>
      </w:r>
      <w:r>
        <w:rPr>
          <w:rFonts w:hint="eastAsia" w:hAnsi="宋体" w:cs="宋体"/>
          <w:color w:val="auto"/>
          <w:highlight w:val="none"/>
        </w:rPr>
        <w:t>）发包人支付进度款的期限：</w:t>
      </w:r>
      <w:r>
        <w:rPr>
          <w:rFonts w:ascii="宋体" w:hAnsi="宋体" w:eastAsia="宋体" w:cs="宋体"/>
          <w:color w:val="auto"/>
          <w:spacing w:val="0"/>
          <w:highlight w:val="none"/>
          <w:u w:val="single"/>
        </w:rPr>
        <w:t xml:space="preserve"> 收到承包人递交的申请单并报送财政审核通过后</w:t>
      </w:r>
      <w:r>
        <w:rPr>
          <w:rFonts w:ascii="Calibri" w:hAnsi="Calibri" w:eastAsia="Calibri" w:cs="Calibri"/>
          <w:color w:val="auto"/>
          <w:highlight w:val="none"/>
          <w:u w:val="single"/>
        </w:rPr>
        <w:t>15</w:t>
      </w:r>
      <w:r>
        <w:rPr>
          <w:rFonts w:ascii="宋体" w:hAnsi="宋体" w:eastAsia="宋体" w:cs="宋体"/>
          <w:color w:val="auto"/>
          <w:highlight w:val="none"/>
          <w:u w:val="single"/>
        </w:rPr>
        <w:t>个工作日内(注：资金支付需要财政审核，承包人需提供相关结算资料报发包人，由发包人向</w:t>
      </w:r>
      <w:r>
        <w:rPr>
          <w:rFonts w:ascii="宋体" w:hAnsi="宋体" w:eastAsia="宋体" w:cs="宋体"/>
          <w:color w:val="auto"/>
          <w:spacing w:val="0"/>
          <w:highlight w:val="none"/>
          <w:u w:val="single"/>
        </w:rPr>
        <w:t>财政申请资金支付审核，审核通过后</w:t>
      </w:r>
      <w:r>
        <w:rPr>
          <w:rFonts w:ascii="Calibri" w:hAnsi="Calibri" w:eastAsia="Calibri" w:cs="Calibri"/>
          <w:color w:val="auto"/>
          <w:spacing w:val="0"/>
          <w:highlight w:val="none"/>
          <w:u w:val="single"/>
        </w:rPr>
        <w:t>15</w:t>
      </w:r>
      <w:r>
        <w:rPr>
          <w:rFonts w:ascii="宋体" w:hAnsi="宋体" w:eastAsia="宋体" w:cs="宋体"/>
          <w:color w:val="auto"/>
          <w:spacing w:val="0"/>
          <w:highlight w:val="none"/>
          <w:u w:val="single"/>
        </w:rPr>
        <w:t xml:space="preserve">个工作日内，由发包人支付给承包人) </w:t>
      </w:r>
      <w:r>
        <w:rPr>
          <w:rFonts w:hint="eastAsia" w:hAnsi="宋体" w:cs="宋体"/>
          <w:color w:val="auto"/>
          <w:highlight w:val="none"/>
        </w:rPr>
        <w:t>。</w:t>
      </w:r>
    </w:p>
    <w:p w14:paraId="4C4F6B16">
      <w:pPr>
        <w:spacing w:line="360" w:lineRule="auto"/>
        <w:ind w:firstLine="525" w:firstLineChars="250"/>
        <w:jc w:val="left"/>
        <w:rPr>
          <w:color w:val="auto"/>
          <w:highlight w:val="none"/>
        </w:rPr>
      </w:pPr>
      <w:r>
        <w:rPr>
          <w:rFonts w:hint="eastAsia" w:hAnsi="宋体" w:cs="宋体"/>
          <w:color w:val="auto"/>
          <w:highlight w:val="none"/>
        </w:rPr>
        <w:t>发包人逾期支付进度款的违约金的计算方式：</w:t>
      </w:r>
      <w:r>
        <w:rPr>
          <w:rFonts w:ascii="宋体" w:hAnsi="宋体" w:eastAsia="宋体" w:cs="宋体"/>
          <w:color w:val="auto"/>
          <w:spacing w:val="0"/>
          <w:highlight w:val="none"/>
          <w:u w:val="single"/>
        </w:rPr>
        <w:t xml:space="preserve">    无     </w:t>
      </w:r>
      <w:r>
        <w:rPr>
          <w:rFonts w:hint="eastAsia" w:hAnsi="宋体" w:cs="宋体"/>
          <w:color w:val="auto"/>
          <w:highlight w:val="none"/>
        </w:rPr>
        <w:t>。</w:t>
      </w:r>
    </w:p>
    <w:p w14:paraId="29AB34C7">
      <w:pPr>
        <w:spacing w:line="360" w:lineRule="auto"/>
        <w:ind w:firstLine="630" w:firstLineChars="300"/>
        <w:rPr>
          <w:rFonts w:hAnsi="宋体" w:cs="宋体"/>
          <w:color w:val="auto"/>
          <w:highlight w:val="none"/>
        </w:rPr>
      </w:pPr>
      <w:r>
        <w:rPr>
          <w:rFonts w:hint="eastAsia" w:hAnsi="宋体" w:cs="宋体"/>
          <w:color w:val="auto"/>
          <w:highlight w:val="none"/>
        </w:rPr>
        <w:t>进度款支付方式：</w:t>
      </w:r>
      <w:r>
        <w:rPr>
          <w:rFonts w:hint="eastAsia" w:hAnsi="宋体" w:cs="宋体"/>
          <w:color w:val="auto"/>
          <w:highlight w:val="none"/>
          <w:u w:val="single"/>
        </w:rPr>
        <w:t>银行转账</w:t>
      </w:r>
      <w:r>
        <w:rPr>
          <w:rFonts w:hint="eastAsia" w:hAnsi="宋体" w:cs="宋体"/>
          <w:color w:val="auto"/>
          <w:highlight w:val="none"/>
        </w:rPr>
        <w:t>。</w:t>
      </w:r>
      <w:r>
        <w:rPr>
          <w:rFonts w:hint="eastAsia"/>
          <w:color w:val="auto"/>
          <w:highlight w:val="none"/>
        </w:rPr>
        <w:t>进度款支付申请（核准）表见合同附件11。</w:t>
      </w:r>
    </w:p>
    <w:p w14:paraId="6BF4E916">
      <w:pPr>
        <w:spacing w:line="360" w:lineRule="auto"/>
        <w:ind w:firstLine="525" w:firstLineChars="250"/>
        <w:jc w:val="left"/>
        <w:rPr>
          <w:rFonts w:hint="eastAsia" w:hAnsi="宋体"/>
          <w:color w:val="auto"/>
          <w:highlight w:val="none"/>
        </w:rPr>
      </w:pPr>
      <w:r>
        <w:rPr>
          <w:rFonts w:hint="eastAsia" w:hAnsi="宋体"/>
          <w:color w:val="auto"/>
          <w:highlight w:val="none"/>
        </w:rPr>
        <w:t>（3） 农民工工资支付</w:t>
      </w:r>
    </w:p>
    <w:p w14:paraId="5496B60A">
      <w:pPr>
        <w:spacing w:line="360" w:lineRule="auto"/>
        <w:ind w:firstLine="525" w:firstLineChars="250"/>
        <w:jc w:val="left"/>
        <w:rPr>
          <w:rFonts w:hint="eastAsia" w:hAnsi="宋体" w:cs="宋体"/>
          <w:color w:val="auto"/>
          <w:kern w:val="0"/>
          <w:highlight w:val="none"/>
        </w:rPr>
      </w:pPr>
      <w:r>
        <w:rPr>
          <w:rFonts w:hint="eastAsia" w:hAnsi="宋体" w:cs="宋体"/>
          <w:color w:val="auto"/>
          <w:kern w:val="0"/>
          <w:highlight w:val="none"/>
        </w:rPr>
        <w:t>1）人工费用是指发包人向承包人专用账户拨付的专项用于支付农民工工资的工程款。农民工工资专用账户是指承包人在工程建设项目所在地银行业金融机构（简称银行）开立的，专项用于支付农民工工资的专用存款账户。</w:t>
      </w:r>
    </w:p>
    <w:p w14:paraId="5F34E712">
      <w:pPr>
        <w:spacing w:line="360" w:lineRule="auto"/>
        <w:ind w:firstLine="525" w:firstLineChars="250"/>
        <w:jc w:val="left"/>
        <w:rPr>
          <w:rFonts w:hint="eastAsia" w:hAnsi="宋体" w:cs="宋体"/>
          <w:color w:val="auto"/>
          <w:kern w:val="0"/>
          <w:highlight w:val="none"/>
        </w:rPr>
      </w:pPr>
      <w:r>
        <w:rPr>
          <w:rFonts w:hint="eastAsia" w:hAnsi="宋体" w:cs="宋体"/>
          <w:color w:val="auto"/>
          <w:kern w:val="0"/>
          <w:highlight w:val="none"/>
        </w:rPr>
        <w:t>2）人工费应应与工程进度款分帐管理。必须按时足额支付，人工费拨付周期不得超过1个月，最少每月支付一次，无工程款申请的月份，承包人单独上报人工费划拨申请；若因发包人未按照合同约定划拨工程款项导致拖欠工资的，由发包人以未结清的工程款项为限先行垫付所拖欠的工资；承包人向发包人申请工程进度款时必须把农民工工资部分单独列明，如果未单独列明，监理单位不得签支付证书等支付工程款的手续，发包人单位不得审批和支付工程款。发包人必须把工程款分帐出来的人工费转入承包人农民工工资支付专用账户，转入农民工工资支付专用账户环节必须有银行流水凭证。</w:t>
      </w:r>
    </w:p>
    <w:p w14:paraId="6826482D">
      <w:pPr>
        <w:spacing w:line="360" w:lineRule="auto"/>
        <w:ind w:firstLine="525" w:firstLineChars="250"/>
        <w:jc w:val="left"/>
        <w:rPr>
          <w:rFonts w:hint="eastAsia" w:hAnsi="宋体" w:cs="宋体"/>
          <w:color w:val="auto"/>
          <w:kern w:val="0"/>
          <w:highlight w:val="none"/>
        </w:rPr>
      </w:pPr>
      <w:r>
        <w:rPr>
          <w:rFonts w:hint="eastAsia" w:hAnsi="宋体" w:cs="宋体"/>
          <w:color w:val="auto"/>
          <w:kern w:val="0"/>
          <w:highlight w:val="none"/>
        </w:rPr>
        <w:t xml:space="preserve">3）发包人依据工程进度，审核承包人申报的工程进度款，按照与承包人约定的人工费支付比例 </w:t>
      </w:r>
      <w:r>
        <w:rPr>
          <w:rFonts w:hint="eastAsia" w:hAnsi="宋体" w:cs="宋体"/>
          <w:color w:val="auto"/>
          <w:kern w:val="0"/>
          <w:highlight w:val="none"/>
          <w:lang w:val="en-US" w:eastAsia="zh-CN"/>
        </w:rPr>
        <w:t>20</w:t>
      </w:r>
      <w:r>
        <w:rPr>
          <w:rFonts w:hint="eastAsia" w:hAnsi="宋体" w:cs="宋体"/>
          <w:color w:val="auto"/>
          <w:kern w:val="0"/>
          <w:highlight w:val="none"/>
        </w:rPr>
        <w:t>%</w:t>
      </w:r>
      <w:r>
        <w:rPr>
          <w:rFonts w:hint="eastAsia" w:hAnsi="宋体" w:cs="宋体"/>
          <w:color w:val="auto"/>
          <w:kern w:val="0"/>
          <w:highlight w:val="none"/>
          <w:lang w:eastAsia="zh-CN"/>
        </w:rPr>
        <w:t>（房建项目不少于</w:t>
      </w:r>
      <w:r>
        <w:rPr>
          <w:rFonts w:hint="eastAsia" w:hAnsi="宋体" w:cs="宋体"/>
          <w:color w:val="auto"/>
          <w:kern w:val="0"/>
          <w:highlight w:val="none"/>
          <w:lang w:val="en-US" w:eastAsia="zh-CN"/>
        </w:rPr>
        <w:t>20%，市政项目不少于15%）</w:t>
      </w:r>
      <w:r>
        <w:rPr>
          <w:rFonts w:hint="eastAsia" w:hAnsi="宋体" w:cs="宋体"/>
          <w:color w:val="auto"/>
          <w:kern w:val="0"/>
          <w:highlight w:val="none"/>
        </w:rPr>
        <w:t>，将人工费及时足额拨付至承包人的农民工工资专用账户，其余工程进度款项由发包人支付到承包人的单位基本户。</w:t>
      </w:r>
    </w:p>
    <w:p w14:paraId="3D71DEFF">
      <w:pPr>
        <w:spacing w:line="360" w:lineRule="auto"/>
        <w:ind w:firstLine="525" w:firstLineChars="250"/>
        <w:jc w:val="left"/>
        <w:rPr>
          <w:rFonts w:hint="eastAsia" w:hAnsi="宋体" w:cs="宋体"/>
          <w:color w:val="auto"/>
          <w:kern w:val="0"/>
          <w:highlight w:val="none"/>
        </w:rPr>
      </w:pPr>
      <w:r>
        <w:rPr>
          <w:rFonts w:hint="eastAsia" w:hAnsi="宋体" w:cs="宋体"/>
          <w:color w:val="auto"/>
          <w:kern w:val="0"/>
          <w:highlight w:val="none"/>
        </w:rPr>
        <w:t xml:space="preserve">4）工程建设领域总包单位对农民工工资支付负总责，推行分包单位农民工工资委托总包单位代发制度（以下简称总包代发制度）。工程建设项目施行总包代发制度的，总包单位与分包单位签订委托工资支付协议。 </w:t>
      </w:r>
    </w:p>
    <w:p w14:paraId="4DCFDA3B">
      <w:pPr>
        <w:spacing w:line="360" w:lineRule="auto"/>
        <w:ind w:firstLine="525" w:firstLineChars="250"/>
        <w:jc w:val="left"/>
        <w:rPr>
          <w:rFonts w:hint="eastAsia" w:hAnsi="宋体" w:cs="宋体"/>
          <w:color w:val="auto"/>
          <w:kern w:val="0"/>
          <w:highlight w:val="none"/>
        </w:rPr>
      </w:pPr>
      <w:r>
        <w:rPr>
          <w:rFonts w:hint="eastAsia" w:hAnsi="宋体" w:cs="宋体"/>
          <w:color w:val="auto"/>
          <w:kern w:val="0"/>
          <w:highlight w:val="none"/>
        </w:rPr>
        <w:t>5）凡未向付款单位提供农民工工资专用账户的，或者请款单位在申请工程进度款时未将人工费单列的，付款单位有权拒绝支付工程进度款。</w:t>
      </w:r>
    </w:p>
    <w:p w14:paraId="227C3A0E">
      <w:pPr>
        <w:spacing w:line="360" w:lineRule="auto"/>
        <w:ind w:firstLine="525" w:firstLineChars="250"/>
        <w:jc w:val="left"/>
        <w:rPr>
          <w:rFonts w:hint="eastAsia" w:hAnsi="宋体" w:cs="宋体"/>
          <w:color w:val="auto"/>
          <w:kern w:val="0"/>
          <w:highlight w:val="none"/>
        </w:rPr>
      </w:pPr>
      <w:r>
        <w:rPr>
          <w:rFonts w:hint="eastAsia" w:hAnsi="宋体" w:cs="宋体"/>
          <w:color w:val="auto"/>
          <w:kern w:val="0"/>
          <w:highlight w:val="none"/>
        </w:rPr>
        <w:t>6）人工费使用要求：专款专用，除发放农民工工资外，不得用于其他用途。</w:t>
      </w:r>
    </w:p>
    <w:p w14:paraId="2969D5A1">
      <w:pPr>
        <w:spacing w:line="360" w:lineRule="auto"/>
        <w:ind w:firstLine="525" w:firstLineChars="250"/>
        <w:jc w:val="left"/>
        <w:rPr>
          <w:rFonts w:hint="eastAsia" w:hAnsi="宋体" w:cs="宋体"/>
          <w:color w:val="auto"/>
          <w:kern w:val="0"/>
          <w:highlight w:val="none"/>
        </w:rPr>
      </w:pPr>
      <w:r>
        <w:rPr>
          <w:rFonts w:hint="eastAsia" w:hAnsi="宋体" w:cs="宋体"/>
          <w:color w:val="auto"/>
          <w:kern w:val="0"/>
          <w:highlight w:val="none"/>
        </w:rPr>
        <w:t>7）承包人将人工费支付情况定期报告发包人和监理单位，并提供相应的材料接受建设行政主管部门和劳动保障行政主管部门对此事项监管。</w:t>
      </w:r>
    </w:p>
    <w:p w14:paraId="1DCB3D70">
      <w:pPr>
        <w:spacing w:line="360" w:lineRule="auto"/>
        <w:ind w:firstLine="525" w:firstLineChars="250"/>
        <w:jc w:val="left"/>
        <w:rPr>
          <w:rFonts w:hint="eastAsia" w:hAnsi="宋体" w:cs="宋体"/>
          <w:color w:val="auto"/>
          <w:kern w:val="0"/>
          <w:highlight w:val="none"/>
        </w:rPr>
      </w:pPr>
      <w:r>
        <w:rPr>
          <w:rFonts w:hint="eastAsia" w:hAnsi="宋体" w:cs="宋体"/>
          <w:color w:val="auto"/>
          <w:kern w:val="0"/>
          <w:highlight w:val="none"/>
        </w:rPr>
        <w:t>8）人工费支付专用账户：××××公司农民工工资支付专用账户。账号：</w:t>
      </w:r>
      <w:r>
        <w:rPr>
          <w:rFonts w:hint="eastAsia" w:hAnsi="宋体" w:cs="宋体"/>
          <w:color w:val="auto"/>
          <w:kern w:val="0"/>
          <w:highlight w:val="none"/>
          <w:u w:val="single"/>
        </w:rPr>
        <w:t xml:space="preserve">       </w:t>
      </w:r>
      <w:r>
        <w:rPr>
          <w:rFonts w:hint="eastAsia" w:hAnsi="宋体" w:cs="宋体"/>
          <w:color w:val="auto"/>
          <w:kern w:val="0"/>
          <w:highlight w:val="none"/>
        </w:rPr>
        <w:t>。</w:t>
      </w:r>
    </w:p>
    <w:p w14:paraId="080F62BA">
      <w:pPr>
        <w:spacing w:line="360" w:lineRule="auto"/>
        <w:ind w:firstLine="525" w:firstLineChars="250"/>
        <w:jc w:val="left"/>
        <w:rPr>
          <w:rFonts w:hAnsi="宋体"/>
          <w:color w:val="auto"/>
          <w:highlight w:val="none"/>
        </w:rPr>
      </w:pPr>
      <w:r>
        <w:rPr>
          <w:color w:val="auto"/>
          <w:highlight w:val="none"/>
        </w:rPr>
        <w:t xml:space="preserve">12.4.6 </w:t>
      </w:r>
      <w:r>
        <w:rPr>
          <w:rFonts w:hint="eastAsia" w:hAnsi="宋体" w:cs="宋体"/>
          <w:color w:val="auto"/>
          <w:highlight w:val="none"/>
        </w:rPr>
        <w:t>支付分解表的编制</w:t>
      </w:r>
    </w:p>
    <w:p w14:paraId="36C3F8D9">
      <w:pPr>
        <w:spacing w:line="360" w:lineRule="auto"/>
        <w:ind w:firstLine="525" w:firstLineChars="250"/>
        <w:jc w:val="left"/>
        <w:rPr>
          <w:color w:val="auto"/>
          <w:highlight w:val="none"/>
          <w:u w:val="single"/>
        </w:rPr>
      </w:pPr>
      <w:r>
        <w:rPr>
          <w:rFonts w:hint="eastAsia"/>
          <w:color w:val="auto"/>
          <w:highlight w:val="none"/>
        </w:rPr>
        <w:t>（</w:t>
      </w:r>
      <w:r>
        <w:rPr>
          <w:color w:val="auto"/>
          <w:highlight w:val="none"/>
        </w:rPr>
        <w:t>1</w:t>
      </w:r>
      <w:r>
        <w:rPr>
          <w:rFonts w:hint="eastAsia"/>
          <w:color w:val="auto"/>
          <w:highlight w:val="none"/>
        </w:rPr>
        <w:t>）</w:t>
      </w:r>
      <w:r>
        <w:rPr>
          <w:rFonts w:hAnsi="宋体"/>
          <w:color w:val="auto"/>
          <w:highlight w:val="none"/>
        </w:rPr>
        <w:t xml:space="preserve"> </w:t>
      </w:r>
      <w:r>
        <w:rPr>
          <w:rFonts w:hint="eastAsia" w:hAnsi="宋体" w:cs="宋体"/>
          <w:color w:val="auto"/>
          <w:highlight w:val="none"/>
        </w:rPr>
        <w:t>总价合同支付分解表的编制与审批：</w:t>
      </w:r>
      <w:r>
        <w:rPr>
          <w:color w:val="auto"/>
          <w:highlight w:val="none"/>
          <w:u w:val="single"/>
        </w:rPr>
        <w:t xml:space="preserve">  </w:t>
      </w:r>
      <w:r>
        <w:rPr>
          <w:rFonts w:hint="eastAsia"/>
          <w:color w:val="auto"/>
          <w:highlight w:val="none"/>
          <w:u w:val="single"/>
        </w:rPr>
        <w:t>总价合同支付分分解表在招标完成后由发包人和承包人共同编制，发包人审批，并作为本合同内容，具体详见合同附件14</w:t>
      </w:r>
      <w:r>
        <w:rPr>
          <w:rFonts w:hint="eastAsia"/>
          <w:color w:val="auto"/>
          <w:highlight w:val="none"/>
          <w:u w:val="single"/>
          <w:lang w:val="en-US" w:eastAsia="zh-CN"/>
        </w:rPr>
        <w:t xml:space="preserve"> </w:t>
      </w:r>
      <w:r>
        <w:rPr>
          <w:rFonts w:hint="eastAsia"/>
          <w:color w:val="auto"/>
          <w:highlight w:val="none"/>
          <w:u w:val="none"/>
        </w:rPr>
        <w:t>。</w:t>
      </w:r>
    </w:p>
    <w:p w14:paraId="49B14F88">
      <w:pPr>
        <w:spacing w:line="360" w:lineRule="auto"/>
        <w:ind w:firstLine="525" w:firstLineChars="250"/>
        <w:jc w:val="left"/>
        <w:rPr>
          <w:color w:val="auto"/>
          <w:highlight w:val="none"/>
          <w:u w:val="single"/>
        </w:rPr>
      </w:pPr>
      <w:r>
        <w:rPr>
          <w:rFonts w:hint="eastAsia"/>
          <w:color w:val="auto"/>
          <w:highlight w:val="none"/>
        </w:rPr>
        <w:t>（2）</w:t>
      </w:r>
      <w:r>
        <w:rPr>
          <w:rFonts w:hint="eastAsia" w:hAnsi="宋体" w:cs="宋体"/>
          <w:color w:val="auto"/>
          <w:highlight w:val="none"/>
        </w:rPr>
        <w:t>单价合同的总价项目支付分解表的编制与审批：总价项目不采用支付分解表的方式计算，而按《建设工程工程量清单计价规范（</w:t>
      </w:r>
      <w:r>
        <w:rPr>
          <w:rFonts w:hAnsi="宋体"/>
          <w:color w:val="auto"/>
          <w:highlight w:val="none"/>
        </w:rPr>
        <w:t>GB50500-2013</w:t>
      </w:r>
      <w:r>
        <w:rPr>
          <w:rFonts w:hint="eastAsia" w:hAnsi="宋体" w:cs="宋体"/>
          <w:color w:val="auto"/>
          <w:highlight w:val="none"/>
        </w:rPr>
        <w:t>）广西壮族自治区实施细则》的规定执行。</w:t>
      </w:r>
    </w:p>
    <w:bookmarkEnd w:id="845"/>
    <w:p w14:paraId="4D3845EA">
      <w:pPr>
        <w:pStyle w:val="3"/>
        <w:rPr>
          <w:color w:val="auto"/>
          <w:highlight w:val="none"/>
        </w:rPr>
      </w:pPr>
      <w:bookmarkStart w:id="1121" w:name="_Toc407135256"/>
      <w:bookmarkStart w:id="1122" w:name="_Toc373227753"/>
      <w:bookmarkStart w:id="1123" w:name="_Toc2003466256"/>
      <w:bookmarkStart w:id="1124" w:name="_Toc373478400"/>
      <w:bookmarkStart w:id="1125" w:name="_Toc351203645"/>
      <w:bookmarkStart w:id="1126" w:name="_Toc389065318"/>
      <w:bookmarkStart w:id="1127" w:name="_Toc728899116"/>
      <w:bookmarkStart w:id="1128" w:name="_Toc78449842"/>
      <w:bookmarkStart w:id="1129" w:name="_Toc27098"/>
      <w:bookmarkStart w:id="1130" w:name="_Toc292559929"/>
      <w:bookmarkStart w:id="1131" w:name="_Toc297123564"/>
      <w:bookmarkStart w:id="1132" w:name="_Toc292559424"/>
      <w:bookmarkStart w:id="1133" w:name="_Toc304295593"/>
      <w:bookmarkStart w:id="1134" w:name="_Toc312678053"/>
      <w:bookmarkStart w:id="1135" w:name="_Toc297048405"/>
      <w:bookmarkStart w:id="1136" w:name="_Toc296891259"/>
      <w:bookmarkStart w:id="1137" w:name="_Toc296944558"/>
      <w:bookmarkStart w:id="1138" w:name="_Toc297120519"/>
      <w:bookmarkStart w:id="1139" w:name="_Toc296347218"/>
      <w:bookmarkStart w:id="1140" w:name="_Toc300935015"/>
      <w:bookmarkStart w:id="1141" w:name="_Toc296891047"/>
      <w:bookmarkStart w:id="1142" w:name="_Toc297216223"/>
      <w:bookmarkStart w:id="1143" w:name="_Toc296503219"/>
      <w:bookmarkStart w:id="1144" w:name="_Toc296346720"/>
      <w:bookmarkStart w:id="1145" w:name="_Toc303539172"/>
      <w:r>
        <w:rPr>
          <w:color w:val="auto"/>
          <w:highlight w:val="none"/>
        </w:rPr>
        <w:t xml:space="preserve">13. </w:t>
      </w:r>
      <w:r>
        <w:rPr>
          <w:rFonts w:hint="eastAsia" w:cs="黑体"/>
          <w:color w:val="auto"/>
          <w:highlight w:val="none"/>
        </w:rPr>
        <w:t>验收和工程试车</w:t>
      </w:r>
      <w:bookmarkEnd w:id="1121"/>
      <w:bookmarkEnd w:id="1122"/>
      <w:bookmarkEnd w:id="1123"/>
      <w:bookmarkEnd w:id="1124"/>
      <w:bookmarkEnd w:id="1125"/>
      <w:bookmarkEnd w:id="1126"/>
      <w:bookmarkEnd w:id="1127"/>
      <w:bookmarkEnd w:id="1128"/>
      <w:bookmarkEnd w:id="1129"/>
    </w:p>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p w14:paraId="28623A58">
      <w:pPr>
        <w:pStyle w:val="4"/>
        <w:rPr>
          <w:color w:val="auto"/>
          <w:highlight w:val="none"/>
        </w:rPr>
      </w:pPr>
      <w:bookmarkStart w:id="1146" w:name="_Toc7433"/>
      <w:bookmarkStart w:id="1147" w:name="_Toc389065319"/>
      <w:bookmarkStart w:id="1148" w:name="_Toc373227754"/>
      <w:bookmarkStart w:id="1149" w:name="_Toc78449843"/>
      <w:bookmarkStart w:id="1150" w:name="_Toc834489126"/>
      <w:bookmarkStart w:id="1151" w:name="_Toc373478401"/>
      <w:bookmarkStart w:id="1152" w:name="_Toc407135257"/>
      <w:bookmarkStart w:id="1153" w:name="_Toc740353520"/>
      <w:r>
        <w:rPr>
          <w:color w:val="auto"/>
          <w:highlight w:val="none"/>
        </w:rPr>
        <w:t xml:space="preserve">13.1 </w:t>
      </w:r>
      <w:r>
        <w:rPr>
          <w:rFonts w:hint="eastAsia" w:cs="黑体"/>
          <w:color w:val="auto"/>
          <w:highlight w:val="none"/>
        </w:rPr>
        <w:t>分部分项工程验收</w:t>
      </w:r>
      <w:bookmarkEnd w:id="1146"/>
      <w:bookmarkEnd w:id="1147"/>
      <w:bookmarkEnd w:id="1148"/>
      <w:bookmarkEnd w:id="1149"/>
      <w:bookmarkEnd w:id="1150"/>
      <w:bookmarkEnd w:id="1151"/>
      <w:bookmarkEnd w:id="1152"/>
      <w:bookmarkEnd w:id="1153"/>
    </w:p>
    <w:p w14:paraId="5AD18BCF">
      <w:pPr>
        <w:spacing w:line="360" w:lineRule="auto"/>
        <w:ind w:firstLine="420" w:firstLineChars="200"/>
        <w:jc w:val="left"/>
        <w:rPr>
          <w:color w:val="auto"/>
          <w:highlight w:val="none"/>
        </w:rPr>
      </w:pPr>
      <w:r>
        <w:rPr>
          <w:color w:val="auto"/>
          <w:highlight w:val="none"/>
        </w:rPr>
        <w:t>13.1.2</w:t>
      </w:r>
      <w:r>
        <w:rPr>
          <w:rFonts w:hint="eastAsia" w:hAnsi="宋体" w:cs="宋体"/>
          <w:color w:val="auto"/>
          <w:highlight w:val="none"/>
        </w:rPr>
        <w:t>监理人不能按时进行验收时，应提前</w:t>
      </w:r>
      <w:r>
        <w:rPr>
          <w:color w:val="auto"/>
          <w:highlight w:val="none"/>
          <w:u w:val="single"/>
        </w:rPr>
        <w:t xml:space="preserve">  </w:t>
      </w:r>
      <w:r>
        <w:rPr>
          <w:rFonts w:hint="eastAsia"/>
          <w:color w:val="auto"/>
          <w:highlight w:val="none"/>
          <w:u w:val="single"/>
          <w:lang w:val="en-US" w:eastAsia="zh-CN"/>
        </w:rPr>
        <w:t>24</w:t>
      </w:r>
      <w:r>
        <w:rPr>
          <w:color w:val="auto"/>
          <w:highlight w:val="none"/>
          <w:u w:val="single"/>
        </w:rPr>
        <w:t xml:space="preserve">  </w:t>
      </w:r>
      <w:r>
        <w:rPr>
          <w:rFonts w:hint="eastAsia" w:hAnsi="宋体" w:cs="宋体"/>
          <w:color w:val="auto"/>
          <w:highlight w:val="none"/>
        </w:rPr>
        <w:t>小时提交书面延期要求。</w:t>
      </w:r>
    </w:p>
    <w:p w14:paraId="3298153F">
      <w:pPr>
        <w:spacing w:line="360" w:lineRule="auto"/>
        <w:ind w:firstLine="420" w:firstLineChars="200"/>
        <w:jc w:val="left"/>
        <w:rPr>
          <w:b/>
          <w:bCs/>
          <w:color w:val="auto"/>
          <w:highlight w:val="none"/>
        </w:rPr>
      </w:pPr>
      <w:r>
        <w:rPr>
          <w:rFonts w:hint="eastAsia" w:hAnsi="宋体" w:cs="宋体"/>
          <w:color w:val="auto"/>
          <w:highlight w:val="none"/>
        </w:rPr>
        <w:t>关于延期最长不得超过：</w:t>
      </w:r>
      <w:r>
        <w:rPr>
          <w:color w:val="auto"/>
          <w:highlight w:val="none"/>
          <w:u w:val="single"/>
        </w:rPr>
        <w:t xml:space="preserve">  </w:t>
      </w:r>
      <w:r>
        <w:rPr>
          <w:rFonts w:hint="eastAsia"/>
          <w:color w:val="auto"/>
          <w:highlight w:val="none"/>
          <w:u w:val="single"/>
          <w:lang w:val="en-US" w:eastAsia="zh-CN"/>
        </w:rPr>
        <w:t>48</w:t>
      </w:r>
      <w:r>
        <w:rPr>
          <w:color w:val="auto"/>
          <w:highlight w:val="none"/>
          <w:u w:val="single"/>
        </w:rPr>
        <w:t xml:space="preserve">  </w:t>
      </w:r>
      <w:r>
        <w:rPr>
          <w:rFonts w:hint="eastAsia" w:hAnsi="宋体" w:cs="宋体"/>
          <w:color w:val="auto"/>
          <w:highlight w:val="none"/>
        </w:rPr>
        <w:t>小时。</w:t>
      </w:r>
    </w:p>
    <w:p w14:paraId="6EE174B6">
      <w:pPr>
        <w:pStyle w:val="4"/>
        <w:rPr>
          <w:color w:val="auto"/>
          <w:highlight w:val="none"/>
        </w:rPr>
      </w:pPr>
      <w:bookmarkStart w:id="1154" w:name="_Toc389065320"/>
      <w:bookmarkStart w:id="1155" w:name="_Toc12075"/>
      <w:bookmarkStart w:id="1156" w:name="_Toc1578431234"/>
      <w:bookmarkStart w:id="1157" w:name="_Toc1062221039"/>
      <w:bookmarkStart w:id="1158" w:name="_Toc78449844"/>
      <w:bookmarkStart w:id="1159" w:name="_Toc373227755"/>
      <w:bookmarkStart w:id="1160" w:name="_Toc373478402"/>
      <w:bookmarkStart w:id="1161" w:name="_Toc407135258"/>
      <w:bookmarkStart w:id="1162" w:name="_Toc296891263"/>
      <w:bookmarkStart w:id="1163" w:name="_Toc296347222"/>
      <w:bookmarkStart w:id="1164" w:name="_Toc296944562"/>
      <w:bookmarkStart w:id="1165" w:name="_Toc297120523"/>
      <w:bookmarkStart w:id="1166" w:name="_Toc297123565"/>
      <w:bookmarkStart w:id="1167" w:name="_Toc296346724"/>
      <w:bookmarkStart w:id="1168" w:name="_Toc312678056"/>
      <w:bookmarkStart w:id="1169" w:name="_Toc303539173"/>
      <w:bookmarkStart w:id="1170" w:name="_Toc297048409"/>
      <w:bookmarkStart w:id="1171" w:name="_Toc292559933"/>
      <w:bookmarkStart w:id="1172" w:name="_Toc292559428"/>
      <w:bookmarkStart w:id="1173" w:name="_Toc296891051"/>
      <w:bookmarkStart w:id="1174" w:name="_Toc304295596"/>
      <w:bookmarkStart w:id="1175" w:name="_Toc296503223"/>
      <w:bookmarkStart w:id="1176" w:name="_Toc300935016"/>
      <w:bookmarkStart w:id="1177" w:name="_Toc297216224"/>
      <w:bookmarkStart w:id="1178" w:name="_Toc267251475"/>
      <w:bookmarkStart w:id="1179" w:name="_Toc267251473"/>
      <w:bookmarkStart w:id="1180" w:name="_Toc267251471"/>
      <w:bookmarkStart w:id="1181" w:name="_Toc267251472"/>
      <w:bookmarkStart w:id="1182" w:name="_Toc267251476"/>
      <w:bookmarkStart w:id="1183" w:name="_Toc267251470"/>
      <w:bookmarkStart w:id="1184" w:name="_Toc267251474"/>
      <w:r>
        <w:rPr>
          <w:color w:val="auto"/>
          <w:highlight w:val="none"/>
        </w:rPr>
        <w:t xml:space="preserve">13.2 </w:t>
      </w:r>
      <w:r>
        <w:rPr>
          <w:rFonts w:hint="eastAsia" w:hAnsi="宋体" w:cs="黑体"/>
          <w:color w:val="auto"/>
          <w:highlight w:val="none"/>
        </w:rPr>
        <w:t>竣工验收</w:t>
      </w:r>
      <w:bookmarkEnd w:id="1154"/>
      <w:bookmarkEnd w:id="1155"/>
      <w:bookmarkEnd w:id="1156"/>
      <w:bookmarkEnd w:id="1157"/>
      <w:bookmarkEnd w:id="1158"/>
      <w:bookmarkEnd w:id="1159"/>
      <w:bookmarkEnd w:id="1160"/>
      <w:bookmarkEnd w:id="1161"/>
    </w:p>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p w14:paraId="20A29F41">
      <w:pPr>
        <w:spacing w:line="360" w:lineRule="auto"/>
        <w:ind w:firstLine="420" w:firstLineChars="200"/>
        <w:jc w:val="left"/>
        <w:rPr>
          <w:color w:val="auto"/>
          <w:highlight w:val="none"/>
        </w:rPr>
      </w:pPr>
      <w:bookmarkStart w:id="1185" w:name="_Toc280868704"/>
      <w:bookmarkStart w:id="1186" w:name="_Toc280868705"/>
      <w:bookmarkStart w:id="1187" w:name="_Toc280868706"/>
      <w:bookmarkStart w:id="1188" w:name="_Toc280868707"/>
      <w:bookmarkStart w:id="1189" w:name="_Toc280868708"/>
      <w:bookmarkStart w:id="1190" w:name="_Toc280868709"/>
      <w:r>
        <w:rPr>
          <w:color w:val="auto"/>
          <w:highlight w:val="none"/>
        </w:rPr>
        <w:t>13.2.1</w:t>
      </w:r>
      <w:r>
        <w:rPr>
          <w:rFonts w:hint="eastAsia" w:hAnsi="宋体" w:cs="宋体"/>
          <w:color w:val="auto"/>
          <w:highlight w:val="none"/>
        </w:rPr>
        <w:t>竣工验收条件</w:t>
      </w:r>
    </w:p>
    <w:p w14:paraId="1E620B3D">
      <w:pPr>
        <w:spacing w:line="360" w:lineRule="auto"/>
        <w:ind w:firstLine="420" w:firstLineChars="200"/>
        <w:rPr>
          <w:color w:val="auto"/>
          <w:highlight w:val="none"/>
        </w:rPr>
      </w:pPr>
      <w:r>
        <w:rPr>
          <w:rFonts w:hint="eastAsia" w:cs="宋体"/>
          <w:color w:val="auto"/>
          <w:highlight w:val="none"/>
        </w:rPr>
        <w:t>（</w:t>
      </w:r>
      <w:r>
        <w:rPr>
          <w:color w:val="auto"/>
          <w:highlight w:val="none"/>
        </w:rPr>
        <w:t>3</w:t>
      </w:r>
      <w:r>
        <w:rPr>
          <w:rFonts w:hint="eastAsia" w:cs="宋体"/>
          <w:color w:val="auto"/>
          <w:highlight w:val="none"/>
        </w:rPr>
        <w:t>）</w:t>
      </w:r>
      <w:r>
        <w:rPr>
          <w:rFonts w:hint="eastAsia" w:hAnsi="宋体" w:cs="宋体"/>
          <w:color w:val="auto"/>
          <w:highlight w:val="none"/>
        </w:rPr>
        <w:t>承包人负责整理和提交的竣工验收资料应当符合工程所在地建设行政主管部门和</w:t>
      </w:r>
      <w:r>
        <w:rPr>
          <w:rFonts w:hint="eastAsia"/>
          <w:color w:val="auto"/>
          <w:highlight w:val="none"/>
          <w:lang w:eastAsia="zh-CN"/>
        </w:rPr>
        <w:t>（</w:t>
      </w:r>
      <w:r>
        <w:rPr>
          <w:rFonts w:hint="eastAsia" w:hAnsi="宋体" w:cs="宋体"/>
          <w:color w:val="auto"/>
          <w:highlight w:val="none"/>
        </w:rPr>
        <w:t>或</w:t>
      </w:r>
      <w:r>
        <w:rPr>
          <w:rFonts w:hint="eastAsia"/>
          <w:color w:val="auto"/>
          <w:highlight w:val="none"/>
          <w:lang w:eastAsia="zh-CN"/>
        </w:rPr>
        <w:t>）</w:t>
      </w:r>
      <w:r>
        <w:rPr>
          <w:rFonts w:hint="eastAsia" w:hAnsi="宋体" w:cs="宋体"/>
          <w:color w:val="auto"/>
          <w:highlight w:val="none"/>
        </w:rPr>
        <w:t>城市建设档案管理机构有关施工资料的要求，具体内容包括：</w:t>
      </w:r>
      <w:r>
        <w:rPr>
          <w:rFonts w:hint="eastAsia"/>
          <w:color w:val="auto"/>
          <w:highlight w:val="none"/>
          <w:u w:val="single"/>
        </w:rPr>
        <w:t xml:space="preserve"> 按通用条款 13.2.1  条及施工竣工图、设计变更、施工日记、各项质保资料及相关竣工资料等满足发包人要求 </w:t>
      </w:r>
      <w:r>
        <w:rPr>
          <w:rFonts w:hint="eastAsia" w:hAnsi="宋体" w:cs="宋体"/>
          <w:color w:val="auto"/>
          <w:highlight w:val="none"/>
        </w:rPr>
        <w:t>。</w:t>
      </w:r>
    </w:p>
    <w:p w14:paraId="5C341CC2">
      <w:pPr>
        <w:spacing w:line="360" w:lineRule="auto"/>
        <w:ind w:firstLine="420" w:firstLineChars="200"/>
        <w:rPr>
          <w:color w:val="auto"/>
          <w:highlight w:val="none"/>
        </w:rPr>
      </w:pPr>
      <w:r>
        <w:rPr>
          <w:rFonts w:hint="eastAsia" w:hAnsi="宋体" w:cs="宋体"/>
          <w:color w:val="auto"/>
          <w:highlight w:val="none"/>
        </w:rPr>
        <w:t>竣工验收资料的份数：</w:t>
      </w:r>
      <w:r>
        <w:rPr>
          <w:rFonts w:hint="eastAsia" w:hAnsi="宋体" w:cs="宋体"/>
          <w:color w:val="auto"/>
          <w:highlight w:val="none"/>
          <w:u w:val="single"/>
        </w:rPr>
        <w:t xml:space="preserve"> </w:t>
      </w:r>
      <w:r>
        <w:rPr>
          <w:rFonts w:hint="eastAsia" w:hAnsi="宋体" w:cs="宋体"/>
          <w:color w:val="auto"/>
          <w:highlight w:val="none"/>
          <w:u w:val="single"/>
          <w:lang w:val="en-US" w:eastAsia="zh-CN"/>
        </w:rPr>
        <w:t xml:space="preserve"> </w:t>
      </w:r>
      <w:r>
        <w:rPr>
          <w:rFonts w:hint="eastAsia" w:hAnsi="宋体" w:cs="宋体"/>
          <w:color w:val="auto"/>
          <w:highlight w:val="none"/>
          <w:u w:val="single"/>
        </w:rPr>
        <w:t>6 套</w:t>
      </w:r>
      <w:r>
        <w:rPr>
          <w:rFonts w:hint="eastAsia" w:hAnsi="宋体" w:cs="宋体"/>
          <w:color w:val="auto"/>
          <w:highlight w:val="none"/>
        </w:rPr>
        <w:t>。</w:t>
      </w:r>
    </w:p>
    <w:p w14:paraId="7BAE043E">
      <w:pPr>
        <w:spacing w:line="360" w:lineRule="auto"/>
        <w:ind w:firstLine="420" w:firstLineChars="200"/>
        <w:jc w:val="left"/>
        <w:rPr>
          <w:color w:val="auto"/>
          <w:highlight w:val="none"/>
        </w:rPr>
      </w:pPr>
      <w:r>
        <w:rPr>
          <w:rFonts w:hint="eastAsia" w:hAnsi="宋体" w:cs="宋体"/>
          <w:color w:val="auto"/>
          <w:highlight w:val="none"/>
        </w:rPr>
        <w:t>承包人提供竣工图的约定：</w:t>
      </w:r>
      <w:r>
        <w:rPr>
          <w:rFonts w:hint="eastAsia" w:hAnsi="宋体" w:cs="宋体"/>
          <w:color w:val="auto"/>
          <w:highlight w:val="none"/>
          <w:u w:val="single"/>
        </w:rPr>
        <w:t>竣工验收正式通过后</w:t>
      </w:r>
      <w:r>
        <w:rPr>
          <w:color w:val="auto"/>
          <w:highlight w:val="none"/>
          <w:u w:val="single"/>
        </w:rPr>
        <w:t>5</w:t>
      </w:r>
      <w:r>
        <w:rPr>
          <w:rFonts w:hint="eastAsia" w:hAnsi="宋体" w:cs="宋体"/>
          <w:color w:val="auto"/>
          <w:highlight w:val="none"/>
          <w:u w:val="single"/>
        </w:rPr>
        <w:t>天，提供竣工图的数量分别为</w:t>
      </w:r>
      <w:r>
        <w:rPr>
          <w:color w:val="auto"/>
          <w:highlight w:val="none"/>
          <w:u w:val="single"/>
        </w:rPr>
        <w:t>6</w:t>
      </w:r>
      <w:r>
        <w:rPr>
          <w:rFonts w:hint="eastAsia" w:hAnsi="宋体" w:cs="宋体"/>
          <w:color w:val="auto"/>
          <w:highlight w:val="none"/>
          <w:u w:val="single"/>
        </w:rPr>
        <w:t>套。</w:t>
      </w:r>
    </w:p>
    <w:p w14:paraId="2EB3C185">
      <w:pPr>
        <w:spacing w:line="360" w:lineRule="auto"/>
        <w:ind w:firstLine="420" w:firstLineChars="200"/>
        <w:jc w:val="left"/>
        <w:rPr>
          <w:color w:val="auto"/>
          <w:highlight w:val="none"/>
        </w:rPr>
      </w:pPr>
      <w:r>
        <w:rPr>
          <w:color w:val="auto"/>
          <w:highlight w:val="none"/>
        </w:rPr>
        <w:t>13.2.2</w:t>
      </w:r>
      <w:r>
        <w:rPr>
          <w:rFonts w:hint="eastAsia" w:hAnsi="宋体" w:cs="宋体"/>
          <w:color w:val="auto"/>
          <w:highlight w:val="none"/>
        </w:rPr>
        <w:t>竣工验收程序</w:t>
      </w:r>
    </w:p>
    <w:bookmarkEnd w:id="1185"/>
    <w:p w14:paraId="27D22E40">
      <w:pPr>
        <w:spacing w:line="360" w:lineRule="auto"/>
        <w:ind w:firstLine="420" w:firstLineChars="200"/>
        <w:jc w:val="left"/>
        <w:rPr>
          <w:color w:val="auto"/>
          <w:highlight w:val="none"/>
          <w:u w:val="single"/>
        </w:rPr>
      </w:pPr>
      <w:r>
        <w:rPr>
          <w:rFonts w:hint="eastAsia" w:hAnsi="宋体" w:cs="宋体"/>
          <w:color w:val="auto"/>
          <w:kern w:val="0"/>
          <w:highlight w:val="none"/>
        </w:rPr>
        <w:t>关于竣工验收程序的约定：</w:t>
      </w:r>
      <w:r>
        <w:rPr>
          <w:rFonts w:ascii="宋体" w:hAnsi="宋体" w:eastAsia="宋体" w:cs="宋体"/>
          <w:color w:val="auto"/>
          <w:spacing w:val="0"/>
          <w:highlight w:val="none"/>
          <w:u w:val="single"/>
        </w:rPr>
        <w:t xml:space="preserve"> 按通用条款执行 </w:t>
      </w:r>
      <w:r>
        <w:rPr>
          <w:rFonts w:hint="eastAsia" w:hAnsi="宋体" w:cs="宋体"/>
          <w:color w:val="auto"/>
          <w:highlight w:val="none"/>
        </w:rPr>
        <w:t>。</w:t>
      </w:r>
    </w:p>
    <w:p w14:paraId="6832299F">
      <w:pPr>
        <w:spacing w:line="360" w:lineRule="auto"/>
        <w:jc w:val="left"/>
        <w:rPr>
          <w:color w:val="auto"/>
          <w:highlight w:val="none"/>
        </w:rPr>
      </w:pPr>
      <w:r>
        <w:rPr>
          <w:rFonts w:hint="eastAsia" w:hAnsi="宋体" w:cs="宋体"/>
          <w:color w:val="auto"/>
          <w:kern w:val="0"/>
          <w:highlight w:val="none"/>
        </w:rPr>
        <w:t>发包人不按照本项约定组织竣工验收、颁发工程接收证书的违约金的计算方法：</w:t>
      </w:r>
      <w:r>
        <w:rPr>
          <w:rFonts w:ascii="宋体" w:hAnsi="宋体" w:eastAsia="宋体" w:cs="宋体"/>
          <w:color w:val="auto"/>
          <w:highlight w:val="none"/>
          <w:u w:val="single"/>
        </w:rPr>
        <w:t xml:space="preserve"> 无 </w:t>
      </w:r>
      <w:r>
        <w:rPr>
          <w:rFonts w:hint="eastAsia" w:hAnsi="宋体" w:cs="宋体"/>
          <w:color w:val="auto"/>
          <w:highlight w:val="none"/>
        </w:rPr>
        <w:t>。</w:t>
      </w:r>
    </w:p>
    <w:bookmarkEnd w:id="1186"/>
    <w:p w14:paraId="32ADBEE2">
      <w:pPr>
        <w:spacing w:line="360" w:lineRule="auto"/>
        <w:ind w:firstLine="420" w:firstLineChars="200"/>
        <w:jc w:val="left"/>
        <w:rPr>
          <w:color w:val="auto"/>
          <w:highlight w:val="none"/>
        </w:rPr>
      </w:pPr>
      <w:r>
        <w:rPr>
          <w:color w:val="auto"/>
          <w:highlight w:val="none"/>
        </w:rPr>
        <w:t>13.2.5</w:t>
      </w:r>
      <w:r>
        <w:rPr>
          <w:rFonts w:hint="eastAsia" w:hAnsi="宋体" w:cs="宋体"/>
          <w:color w:val="auto"/>
          <w:highlight w:val="none"/>
        </w:rPr>
        <w:t>移交、接收全部与部分工程</w:t>
      </w:r>
    </w:p>
    <w:bookmarkEnd w:id="1187"/>
    <w:p w14:paraId="30CC474E">
      <w:pPr>
        <w:spacing w:line="360" w:lineRule="auto"/>
        <w:ind w:firstLine="420" w:firstLineChars="200"/>
        <w:jc w:val="left"/>
        <w:rPr>
          <w:color w:val="auto"/>
          <w:kern w:val="0"/>
          <w:highlight w:val="none"/>
        </w:rPr>
      </w:pPr>
      <w:r>
        <w:rPr>
          <w:rFonts w:hint="eastAsia" w:hAnsi="宋体" w:cs="宋体"/>
          <w:color w:val="auto"/>
          <w:kern w:val="0"/>
          <w:highlight w:val="none"/>
        </w:rPr>
        <w:t>承包人向发包人移交工程的期限：</w:t>
      </w:r>
      <w:r>
        <w:rPr>
          <w:color w:val="auto"/>
          <w:highlight w:val="none"/>
          <w:u w:val="single"/>
        </w:rPr>
        <w:t xml:space="preserve"> </w:t>
      </w:r>
      <w:r>
        <w:rPr>
          <w:rFonts w:hint="eastAsia"/>
          <w:color w:val="auto"/>
          <w:highlight w:val="none"/>
          <w:u w:val="single"/>
        </w:rPr>
        <w:t>颁发工程接收合格证书后 7 天内</w:t>
      </w:r>
      <w:r>
        <w:rPr>
          <w:color w:val="auto"/>
          <w:highlight w:val="none"/>
          <w:u w:val="single"/>
        </w:rPr>
        <w:t xml:space="preserve"> </w:t>
      </w:r>
      <w:r>
        <w:rPr>
          <w:rFonts w:hint="eastAsia" w:hAnsi="宋体" w:cs="宋体"/>
          <w:color w:val="auto"/>
          <w:highlight w:val="none"/>
        </w:rPr>
        <w:t>。</w:t>
      </w:r>
    </w:p>
    <w:p w14:paraId="41FA63B2">
      <w:pPr>
        <w:spacing w:line="360" w:lineRule="auto"/>
        <w:ind w:firstLine="420" w:firstLineChars="200"/>
        <w:jc w:val="left"/>
        <w:rPr>
          <w:color w:val="auto"/>
          <w:highlight w:val="none"/>
          <w:u w:val="single"/>
        </w:rPr>
      </w:pPr>
      <w:r>
        <w:rPr>
          <w:rFonts w:hint="eastAsia" w:hAnsi="宋体" w:cs="宋体"/>
          <w:color w:val="auto"/>
          <w:kern w:val="0"/>
          <w:highlight w:val="none"/>
        </w:rPr>
        <w:t>发包人未按本合同约定接收全部或部分工程的，违约金的计算方法为：</w:t>
      </w:r>
      <w:r>
        <w:rPr>
          <w:rFonts w:ascii="宋体" w:hAnsi="宋体" w:eastAsia="宋体" w:cs="宋体"/>
          <w:color w:val="auto"/>
          <w:highlight w:val="none"/>
          <w:u w:val="single"/>
        </w:rPr>
        <w:t xml:space="preserve"> 无 </w:t>
      </w:r>
      <w:r>
        <w:rPr>
          <w:rFonts w:hint="eastAsia" w:hAnsi="宋体" w:cs="宋体"/>
          <w:color w:val="auto"/>
          <w:highlight w:val="none"/>
        </w:rPr>
        <w:t>。</w:t>
      </w:r>
    </w:p>
    <w:bookmarkEnd w:id="1188"/>
    <w:p w14:paraId="4404629C">
      <w:pPr>
        <w:spacing w:line="360" w:lineRule="auto"/>
        <w:ind w:firstLine="420" w:firstLineChars="200"/>
        <w:jc w:val="left"/>
        <w:rPr>
          <w:color w:val="auto"/>
          <w:highlight w:val="none"/>
          <w:u w:val="single"/>
        </w:rPr>
      </w:pPr>
      <w:r>
        <w:rPr>
          <w:rFonts w:hint="eastAsia" w:hAnsi="宋体" w:cs="宋体"/>
          <w:color w:val="auto"/>
          <w:highlight w:val="none"/>
        </w:rPr>
        <w:t>承包人未按时移交工程的，违约金的计算方法为：</w:t>
      </w:r>
      <w:r>
        <w:rPr>
          <w:color w:val="auto"/>
          <w:highlight w:val="none"/>
          <w:u w:val="single"/>
        </w:rPr>
        <w:t xml:space="preserve"> </w:t>
      </w:r>
      <w:r>
        <w:rPr>
          <w:rFonts w:hint="eastAsia"/>
          <w:color w:val="auto"/>
          <w:highlight w:val="none"/>
          <w:u w:val="single"/>
        </w:rPr>
        <w:t>承包人应承担工程照管、成品保护、保管等与工程有关的各项费用，每逾期一天，承包人向发包人支付0.5万/天，总金额不超过10万元</w:t>
      </w:r>
      <w:r>
        <w:rPr>
          <w:color w:val="auto"/>
          <w:highlight w:val="none"/>
          <w:u w:val="single"/>
        </w:rPr>
        <w:t xml:space="preserve"> </w:t>
      </w:r>
      <w:r>
        <w:rPr>
          <w:rFonts w:hint="eastAsia" w:hAnsi="宋体" w:cs="宋体"/>
          <w:color w:val="auto"/>
          <w:highlight w:val="none"/>
        </w:rPr>
        <w:t>。</w:t>
      </w:r>
    </w:p>
    <w:p w14:paraId="75B2234C">
      <w:pPr>
        <w:pStyle w:val="4"/>
        <w:rPr>
          <w:color w:val="auto"/>
          <w:highlight w:val="none"/>
        </w:rPr>
      </w:pPr>
      <w:bookmarkStart w:id="1191" w:name="_Toc78449845"/>
      <w:bookmarkStart w:id="1192" w:name="_Toc1003"/>
      <w:bookmarkStart w:id="1193" w:name="_Toc1470255881"/>
      <w:bookmarkStart w:id="1194" w:name="_Toc407135259"/>
      <w:bookmarkStart w:id="1195" w:name="_Toc389065321"/>
      <w:bookmarkStart w:id="1196" w:name="_Toc2090321864"/>
      <w:bookmarkStart w:id="1197" w:name="_Toc373227756"/>
      <w:bookmarkStart w:id="1198" w:name="_Toc373478403"/>
      <w:r>
        <w:rPr>
          <w:color w:val="auto"/>
          <w:highlight w:val="none"/>
        </w:rPr>
        <w:t xml:space="preserve">13.3 </w:t>
      </w:r>
      <w:r>
        <w:rPr>
          <w:rFonts w:hint="eastAsia" w:hAnsi="宋体" w:cs="黑体"/>
          <w:color w:val="auto"/>
          <w:highlight w:val="none"/>
        </w:rPr>
        <w:t>工程试车</w:t>
      </w:r>
      <w:bookmarkEnd w:id="1191"/>
      <w:bookmarkEnd w:id="1192"/>
      <w:bookmarkEnd w:id="1193"/>
      <w:bookmarkEnd w:id="1194"/>
      <w:bookmarkEnd w:id="1195"/>
      <w:bookmarkEnd w:id="1196"/>
      <w:bookmarkEnd w:id="1197"/>
      <w:bookmarkEnd w:id="1198"/>
    </w:p>
    <w:bookmarkEnd w:id="1189"/>
    <w:p w14:paraId="162150CB">
      <w:pPr>
        <w:spacing w:line="360" w:lineRule="auto"/>
        <w:ind w:firstLine="420" w:firstLineChars="200"/>
        <w:jc w:val="left"/>
        <w:rPr>
          <w:color w:val="auto"/>
          <w:kern w:val="0"/>
          <w:highlight w:val="none"/>
        </w:rPr>
      </w:pPr>
      <w:r>
        <w:rPr>
          <w:color w:val="auto"/>
          <w:kern w:val="0"/>
          <w:highlight w:val="none"/>
        </w:rPr>
        <w:t xml:space="preserve">13.3.1 </w:t>
      </w:r>
      <w:r>
        <w:rPr>
          <w:rFonts w:hint="eastAsia" w:hAnsi="宋体" w:cs="宋体"/>
          <w:color w:val="auto"/>
          <w:kern w:val="0"/>
          <w:highlight w:val="none"/>
        </w:rPr>
        <w:t>试车程序</w:t>
      </w:r>
    </w:p>
    <w:p w14:paraId="00AEFCA3">
      <w:pPr>
        <w:spacing w:line="360" w:lineRule="auto"/>
        <w:ind w:firstLine="420" w:firstLineChars="200"/>
        <w:jc w:val="left"/>
        <w:rPr>
          <w:color w:val="auto"/>
          <w:highlight w:val="none"/>
          <w:u w:val="single"/>
        </w:rPr>
      </w:pPr>
      <w:r>
        <w:rPr>
          <w:rFonts w:hint="eastAsia" w:hAnsi="宋体" w:cs="宋体"/>
          <w:color w:val="auto"/>
          <w:kern w:val="0"/>
          <w:highlight w:val="none"/>
        </w:rPr>
        <w:t>工程试车内容：</w:t>
      </w:r>
      <w:r>
        <w:rPr>
          <w:color w:val="auto"/>
          <w:highlight w:val="none"/>
          <w:u w:val="single"/>
        </w:rPr>
        <w:t xml:space="preserve"> </w:t>
      </w:r>
      <w:r>
        <w:rPr>
          <w:rFonts w:hint="eastAsia"/>
          <w:color w:val="auto"/>
          <w:highlight w:val="none"/>
          <w:u w:val="single"/>
        </w:rPr>
        <w:t>按通用条款 13.3.1  条执行</w:t>
      </w:r>
      <w:r>
        <w:rPr>
          <w:color w:val="auto"/>
          <w:highlight w:val="none"/>
          <w:u w:val="single"/>
        </w:rPr>
        <w:t xml:space="preserve"> </w:t>
      </w:r>
      <w:r>
        <w:rPr>
          <w:rFonts w:hint="eastAsia" w:hAnsi="宋体" w:cs="宋体"/>
          <w:color w:val="auto"/>
          <w:highlight w:val="none"/>
        </w:rPr>
        <w:t>。</w:t>
      </w:r>
    </w:p>
    <w:p w14:paraId="2B9564E9">
      <w:pPr>
        <w:spacing w:line="360" w:lineRule="auto"/>
        <w:ind w:firstLine="420" w:firstLineChars="200"/>
        <w:jc w:val="left"/>
        <w:rPr>
          <w:color w:val="auto"/>
          <w:kern w:val="0"/>
          <w:highlight w:val="none"/>
        </w:rPr>
      </w:pPr>
      <w:r>
        <w:rPr>
          <w:rFonts w:hint="eastAsia" w:hAnsi="宋体" w:cs="宋体"/>
          <w:color w:val="auto"/>
          <w:kern w:val="0"/>
          <w:highlight w:val="none"/>
        </w:rPr>
        <w:t>（</w:t>
      </w:r>
      <w:r>
        <w:rPr>
          <w:color w:val="auto"/>
          <w:kern w:val="0"/>
          <w:highlight w:val="none"/>
        </w:rPr>
        <w:t>1</w:t>
      </w:r>
      <w:r>
        <w:rPr>
          <w:rFonts w:hint="eastAsia" w:hAnsi="宋体" w:cs="宋体"/>
          <w:color w:val="auto"/>
          <w:kern w:val="0"/>
          <w:highlight w:val="none"/>
        </w:rPr>
        <w:t>）单机无负荷试车费用由</w:t>
      </w:r>
      <w:r>
        <w:rPr>
          <w:rFonts w:ascii="宋体" w:hAnsi="宋体" w:eastAsia="宋体" w:cs="宋体"/>
          <w:color w:val="auto"/>
          <w:spacing w:val="0"/>
          <w:highlight w:val="none"/>
          <w:u w:val="single"/>
        </w:rPr>
        <w:t xml:space="preserve">  承包人 </w:t>
      </w:r>
      <w:r>
        <w:rPr>
          <w:rFonts w:hint="eastAsia" w:hAnsi="宋体" w:cs="宋体"/>
          <w:color w:val="auto"/>
          <w:kern w:val="0"/>
          <w:highlight w:val="none"/>
        </w:rPr>
        <w:t>承担；</w:t>
      </w:r>
    </w:p>
    <w:p w14:paraId="19CA5E80">
      <w:pPr>
        <w:spacing w:line="360" w:lineRule="auto"/>
        <w:ind w:firstLine="420" w:firstLineChars="200"/>
        <w:jc w:val="left"/>
        <w:rPr>
          <w:color w:val="auto"/>
          <w:kern w:val="0"/>
          <w:highlight w:val="none"/>
        </w:rPr>
      </w:pPr>
      <w:r>
        <w:rPr>
          <w:rFonts w:hint="eastAsia" w:hAnsi="宋体" w:cs="宋体"/>
          <w:color w:val="auto"/>
          <w:kern w:val="0"/>
          <w:highlight w:val="none"/>
        </w:rPr>
        <w:t>（</w:t>
      </w:r>
      <w:r>
        <w:rPr>
          <w:color w:val="auto"/>
          <w:kern w:val="0"/>
          <w:highlight w:val="none"/>
        </w:rPr>
        <w:t>2</w:t>
      </w:r>
      <w:r>
        <w:rPr>
          <w:rFonts w:hint="eastAsia" w:hAnsi="宋体" w:cs="宋体"/>
          <w:color w:val="auto"/>
          <w:kern w:val="0"/>
          <w:highlight w:val="none"/>
        </w:rPr>
        <w:t>）无负荷联动试车费用由</w:t>
      </w:r>
      <w:r>
        <w:rPr>
          <w:rFonts w:ascii="宋体" w:hAnsi="宋体" w:eastAsia="宋体" w:cs="宋体"/>
          <w:color w:val="auto"/>
          <w:spacing w:val="0"/>
          <w:highlight w:val="none"/>
          <w:u w:val="single"/>
        </w:rPr>
        <w:t xml:space="preserve">  承包人 </w:t>
      </w:r>
      <w:r>
        <w:rPr>
          <w:rFonts w:hint="eastAsia" w:hAnsi="宋体" w:cs="宋体"/>
          <w:color w:val="auto"/>
          <w:kern w:val="0"/>
          <w:highlight w:val="none"/>
        </w:rPr>
        <w:t>承担。</w:t>
      </w:r>
    </w:p>
    <w:p w14:paraId="3A061140">
      <w:pPr>
        <w:spacing w:line="360" w:lineRule="auto"/>
        <w:ind w:firstLine="420" w:firstLineChars="200"/>
        <w:jc w:val="left"/>
        <w:rPr>
          <w:color w:val="auto"/>
          <w:kern w:val="0"/>
          <w:highlight w:val="none"/>
        </w:rPr>
      </w:pPr>
      <w:r>
        <w:rPr>
          <w:color w:val="auto"/>
          <w:kern w:val="0"/>
          <w:highlight w:val="none"/>
        </w:rPr>
        <w:t xml:space="preserve">13.3.3 </w:t>
      </w:r>
      <w:r>
        <w:rPr>
          <w:rFonts w:hint="eastAsia" w:hAnsi="宋体" w:cs="宋体"/>
          <w:color w:val="auto"/>
          <w:kern w:val="0"/>
          <w:highlight w:val="none"/>
        </w:rPr>
        <w:t>投料试车</w:t>
      </w:r>
    </w:p>
    <w:p w14:paraId="24EAB73F">
      <w:pPr>
        <w:spacing w:line="360" w:lineRule="auto"/>
        <w:ind w:firstLine="420" w:firstLineChars="200"/>
        <w:jc w:val="left"/>
        <w:rPr>
          <w:color w:val="auto"/>
          <w:highlight w:val="none"/>
          <w:u w:val="single"/>
        </w:rPr>
      </w:pPr>
      <w:r>
        <w:rPr>
          <w:rFonts w:hint="eastAsia" w:hAnsi="宋体" w:cs="宋体"/>
          <w:color w:val="auto"/>
          <w:kern w:val="0"/>
          <w:highlight w:val="none"/>
        </w:rPr>
        <w:t>关于投料试车相关事项的约定：</w:t>
      </w:r>
      <w:r>
        <w:rPr>
          <w:rFonts w:hint="eastAsia" w:hAnsi="宋体" w:cs="宋体"/>
          <w:color w:val="auto"/>
          <w:kern w:val="0"/>
          <w:highlight w:val="none"/>
          <w:u w:val="single"/>
        </w:rPr>
        <w:t xml:space="preserve"> 按通用条款第 13.3 条执行 </w:t>
      </w:r>
      <w:r>
        <w:rPr>
          <w:rFonts w:hint="eastAsia" w:hAnsi="宋体" w:cs="宋体"/>
          <w:color w:val="auto"/>
          <w:highlight w:val="none"/>
        </w:rPr>
        <w:t>。</w:t>
      </w:r>
    </w:p>
    <w:p w14:paraId="0715EA80">
      <w:pPr>
        <w:pStyle w:val="4"/>
        <w:rPr>
          <w:color w:val="auto"/>
          <w:highlight w:val="none"/>
        </w:rPr>
      </w:pPr>
      <w:bookmarkStart w:id="1199" w:name="_Toc550030550"/>
      <w:bookmarkStart w:id="1200" w:name="_Toc10307455"/>
      <w:bookmarkStart w:id="1201" w:name="_Toc373478404"/>
      <w:bookmarkStart w:id="1202" w:name="_Toc31142"/>
      <w:bookmarkStart w:id="1203" w:name="_Toc389065322"/>
      <w:bookmarkStart w:id="1204" w:name="_Toc407135260"/>
      <w:bookmarkStart w:id="1205" w:name="_Toc373227757"/>
      <w:bookmarkStart w:id="1206" w:name="_Toc78449846"/>
      <w:r>
        <w:rPr>
          <w:color w:val="auto"/>
          <w:highlight w:val="none"/>
        </w:rPr>
        <w:t xml:space="preserve">13.6 </w:t>
      </w:r>
      <w:r>
        <w:rPr>
          <w:rFonts w:hint="eastAsia" w:hAnsi="宋体" w:cs="黑体"/>
          <w:color w:val="auto"/>
          <w:highlight w:val="none"/>
        </w:rPr>
        <w:t>竣工退场</w:t>
      </w:r>
      <w:bookmarkEnd w:id="1199"/>
      <w:bookmarkEnd w:id="1200"/>
      <w:bookmarkEnd w:id="1201"/>
      <w:bookmarkEnd w:id="1202"/>
      <w:bookmarkEnd w:id="1203"/>
      <w:bookmarkEnd w:id="1204"/>
      <w:bookmarkEnd w:id="1205"/>
      <w:bookmarkEnd w:id="1206"/>
    </w:p>
    <w:p w14:paraId="54D68A52">
      <w:pPr>
        <w:spacing w:line="360" w:lineRule="auto"/>
        <w:ind w:firstLine="420" w:firstLineChars="200"/>
        <w:jc w:val="left"/>
        <w:outlineLvl w:val="0"/>
        <w:rPr>
          <w:color w:val="auto"/>
          <w:kern w:val="0"/>
          <w:highlight w:val="none"/>
        </w:rPr>
      </w:pPr>
      <w:bookmarkStart w:id="1207" w:name="_Toc15410"/>
      <w:r>
        <w:rPr>
          <w:color w:val="auto"/>
          <w:kern w:val="0"/>
          <w:highlight w:val="none"/>
        </w:rPr>
        <w:t xml:space="preserve">13.6.1 </w:t>
      </w:r>
      <w:r>
        <w:rPr>
          <w:rFonts w:hint="eastAsia" w:hAnsi="宋体" w:cs="宋体"/>
          <w:color w:val="auto"/>
          <w:kern w:val="0"/>
          <w:highlight w:val="none"/>
        </w:rPr>
        <w:t>竣工退场</w:t>
      </w:r>
      <w:bookmarkEnd w:id="1207"/>
    </w:p>
    <w:p w14:paraId="297D4077">
      <w:pPr>
        <w:spacing w:line="360" w:lineRule="auto"/>
        <w:ind w:firstLine="420" w:firstLineChars="200"/>
        <w:jc w:val="left"/>
        <w:rPr>
          <w:color w:val="auto"/>
          <w:kern w:val="0"/>
          <w:highlight w:val="none"/>
        </w:rPr>
      </w:pPr>
      <w:r>
        <w:rPr>
          <w:rFonts w:hint="eastAsia" w:hAnsi="宋体" w:cs="宋体"/>
          <w:color w:val="auto"/>
          <w:kern w:val="0"/>
          <w:highlight w:val="none"/>
        </w:rPr>
        <w:t>承包人完成竣工退场的期限：</w:t>
      </w:r>
      <w:r>
        <w:rPr>
          <w:color w:val="auto"/>
          <w:highlight w:val="none"/>
          <w:u w:val="single"/>
        </w:rPr>
        <w:t xml:space="preserve"> </w:t>
      </w:r>
      <w:r>
        <w:rPr>
          <w:rFonts w:hint="eastAsia"/>
          <w:color w:val="auto"/>
          <w:highlight w:val="none"/>
          <w:u w:val="single"/>
        </w:rPr>
        <w:t>监理人颁发(出具)工程接收证书后，承包人负责按照通用合同条款本项约定的要求对施工场地进行清理并承担相关费用，直至监理人检验合格后7日内，如承包人到期后不退场，发包人有权安排其他人员进行清理，费用从承包人工程款中扣除</w:t>
      </w:r>
      <w:r>
        <w:rPr>
          <w:color w:val="auto"/>
          <w:highlight w:val="none"/>
          <w:u w:val="single"/>
        </w:rPr>
        <w:t xml:space="preserve">  </w:t>
      </w:r>
      <w:r>
        <w:rPr>
          <w:rFonts w:hint="eastAsia" w:hAnsi="宋体" w:cs="宋体"/>
          <w:color w:val="auto"/>
          <w:kern w:val="0"/>
          <w:highlight w:val="none"/>
        </w:rPr>
        <w:t>。</w:t>
      </w:r>
    </w:p>
    <w:p w14:paraId="2A994570">
      <w:pPr>
        <w:pStyle w:val="3"/>
        <w:rPr>
          <w:color w:val="auto"/>
          <w:highlight w:val="none"/>
        </w:rPr>
      </w:pPr>
      <w:bookmarkStart w:id="1208" w:name="_Toc1385490858"/>
      <w:bookmarkStart w:id="1209" w:name="_Toc351203646"/>
      <w:bookmarkStart w:id="1210" w:name="_Toc407135261"/>
      <w:bookmarkStart w:id="1211" w:name="_Toc373227758"/>
      <w:bookmarkStart w:id="1212" w:name="_Toc19018"/>
      <w:bookmarkStart w:id="1213" w:name="_Toc78449847"/>
      <w:bookmarkStart w:id="1214" w:name="_Toc373478405"/>
      <w:bookmarkStart w:id="1215" w:name="_Toc1950258056"/>
      <w:bookmarkStart w:id="1216" w:name="_Toc389065323"/>
      <w:r>
        <w:rPr>
          <w:color w:val="auto"/>
          <w:highlight w:val="none"/>
        </w:rPr>
        <w:t xml:space="preserve">14. </w:t>
      </w:r>
      <w:r>
        <w:rPr>
          <w:rFonts w:hint="eastAsia" w:hAnsi="宋体" w:cs="黑体"/>
          <w:color w:val="auto"/>
          <w:highlight w:val="none"/>
        </w:rPr>
        <w:t>竣工结算</w:t>
      </w:r>
      <w:bookmarkEnd w:id="1208"/>
      <w:bookmarkEnd w:id="1209"/>
      <w:bookmarkEnd w:id="1210"/>
      <w:bookmarkEnd w:id="1211"/>
      <w:bookmarkEnd w:id="1212"/>
      <w:bookmarkEnd w:id="1213"/>
      <w:bookmarkEnd w:id="1214"/>
      <w:bookmarkEnd w:id="1215"/>
      <w:bookmarkEnd w:id="1216"/>
    </w:p>
    <w:p w14:paraId="13579196">
      <w:pPr>
        <w:pStyle w:val="4"/>
        <w:rPr>
          <w:color w:val="auto"/>
          <w:highlight w:val="none"/>
        </w:rPr>
      </w:pPr>
      <w:bookmarkStart w:id="1217" w:name="_Toc1973954660"/>
      <w:bookmarkStart w:id="1218" w:name="_Toc407135262"/>
      <w:bookmarkStart w:id="1219" w:name="_Toc373227759"/>
      <w:bookmarkStart w:id="1220" w:name="_Toc174652718"/>
      <w:bookmarkStart w:id="1221" w:name="_Toc7160"/>
      <w:bookmarkStart w:id="1222" w:name="_Toc373478406"/>
      <w:bookmarkStart w:id="1223" w:name="_Toc78449848"/>
      <w:bookmarkStart w:id="1224" w:name="_Toc389065324"/>
      <w:r>
        <w:rPr>
          <w:color w:val="auto"/>
          <w:highlight w:val="none"/>
        </w:rPr>
        <w:t xml:space="preserve">14.1 </w:t>
      </w:r>
      <w:r>
        <w:rPr>
          <w:rFonts w:hint="eastAsia" w:hAnsi="宋体" w:cs="黑体"/>
          <w:color w:val="auto"/>
          <w:highlight w:val="none"/>
        </w:rPr>
        <w:t>竣工付款申请</w:t>
      </w:r>
      <w:bookmarkEnd w:id="1217"/>
      <w:bookmarkEnd w:id="1218"/>
      <w:bookmarkEnd w:id="1219"/>
      <w:bookmarkEnd w:id="1220"/>
      <w:bookmarkEnd w:id="1221"/>
      <w:bookmarkEnd w:id="1222"/>
      <w:bookmarkEnd w:id="1223"/>
      <w:bookmarkEnd w:id="1224"/>
    </w:p>
    <w:p w14:paraId="76D16C1D">
      <w:pPr>
        <w:spacing w:line="360" w:lineRule="auto"/>
        <w:ind w:firstLine="420" w:firstLineChars="200"/>
        <w:jc w:val="left"/>
        <w:rPr>
          <w:color w:val="auto"/>
          <w:highlight w:val="none"/>
        </w:rPr>
      </w:pPr>
      <w:r>
        <w:rPr>
          <w:rFonts w:hint="eastAsia" w:hAnsi="宋体" w:cs="宋体"/>
          <w:color w:val="auto"/>
          <w:highlight w:val="none"/>
        </w:rPr>
        <w:t>承包人提交竣工付款申请单的期限：</w:t>
      </w:r>
      <w:r>
        <w:rPr>
          <w:color w:val="auto"/>
          <w:highlight w:val="none"/>
          <w:u w:val="single"/>
        </w:rPr>
        <w:t xml:space="preserve">  </w:t>
      </w:r>
      <w:r>
        <w:rPr>
          <w:rFonts w:hint="eastAsia"/>
          <w:color w:val="auto"/>
          <w:highlight w:val="none"/>
          <w:u w:val="single"/>
        </w:rPr>
        <w:t>承包人应在工程竣工验收合格后28天内向发包人和监理人提交竣工结算申请单，并提交完整的结算资料</w:t>
      </w:r>
      <w:r>
        <w:rPr>
          <w:color w:val="auto"/>
          <w:highlight w:val="none"/>
          <w:u w:val="single"/>
        </w:rPr>
        <w:t xml:space="preserve"> </w:t>
      </w:r>
      <w:r>
        <w:rPr>
          <w:rFonts w:hint="eastAsia" w:hAnsi="宋体" w:cs="宋体"/>
          <w:color w:val="auto"/>
          <w:highlight w:val="none"/>
        </w:rPr>
        <w:t>。</w:t>
      </w:r>
    </w:p>
    <w:p w14:paraId="4AA26C67">
      <w:pPr>
        <w:spacing w:line="360" w:lineRule="auto"/>
        <w:ind w:firstLine="420" w:firstLineChars="200"/>
        <w:jc w:val="left"/>
        <w:rPr>
          <w:color w:val="auto"/>
          <w:highlight w:val="none"/>
          <w:u w:val="single"/>
        </w:rPr>
      </w:pPr>
      <w:r>
        <w:rPr>
          <w:rFonts w:hint="eastAsia" w:hAnsi="宋体" w:cs="宋体"/>
          <w:color w:val="auto"/>
          <w:highlight w:val="none"/>
        </w:rPr>
        <w:t>竣工付款申请单应包括的内容：</w:t>
      </w:r>
      <w:r>
        <w:rPr>
          <w:color w:val="auto"/>
          <w:highlight w:val="none"/>
          <w:u w:val="single"/>
        </w:rPr>
        <w:t xml:space="preserve"> </w:t>
      </w:r>
      <w:r>
        <w:rPr>
          <w:rFonts w:hint="eastAsia"/>
          <w:color w:val="auto"/>
          <w:highlight w:val="none"/>
          <w:u w:val="single"/>
        </w:rPr>
        <w:t>按通用条款 14.1 执行</w:t>
      </w:r>
      <w:r>
        <w:rPr>
          <w:color w:val="auto"/>
          <w:highlight w:val="none"/>
          <w:u w:val="single"/>
        </w:rPr>
        <w:t xml:space="preserve">  </w:t>
      </w:r>
      <w:r>
        <w:rPr>
          <w:rFonts w:hint="eastAsia" w:hAnsi="宋体" w:cs="宋体"/>
          <w:color w:val="auto"/>
          <w:highlight w:val="none"/>
        </w:rPr>
        <w:t>。竣工结算款支付申请（核准）表见合同附件12。</w:t>
      </w:r>
    </w:p>
    <w:p w14:paraId="2283E38D">
      <w:pPr>
        <w:pStyle w:val="4"/>
        <w:rPr>
          <w:color w:val="auto"/>
          <w:highlight w:val="none"/>
        </w:rPr>
      </w:pPr>
      <w:bookmarkStart w:id="1225" w:name="_Toc78449849"/>
      <w:bookmarkStart w:id="1226" w:name="_Toc407135263"/>
      <w:bookmarkStart w:id="1227" w:name="_Toc389065325"/>
      <w:bookmarkStart w:id="1228" w:name="_Toc373478407"/>
      <w:bookmarkStart w:id="1229" w:name="_Toc667492935"/>
      <w:bookmarkStart w:id="1230" w:name="_Toc31609"/>
      <w:bookmarkStart w:id="1231" w:name="_Toc489920513"/>
      <w:bookmarkStart w:id="1232" w:name="_Toc373227760"/>
      <w:r>
        <w:rPr>
          <w:color w:val="auto"/>
          <w:highlight w:val="none"/>
        </w:rPr>
        <w:t xml:space="preserve">14.2 </w:t>
      </w:r>
      <w:r>
        <w:rPr>
          <w:rFonts w:hint="eastAsia" w:hAnsi="宋体" w:cs="黑体"/>
          <w:color w:val="auto"/>
          <w:highlight w:val="none"/>
        </w:rPr>
        <w:t>竣工结算审核</w:t>
      </w:r>
      <w:bookmarkEnd w:id="1225"/>
      <w:bookmarkEnd w:id="1226"/>
      <w:bookmarkEnd w:id="1227"/>
      <w:bookmarkEnd w:id="1228"/>
      <w:bookmarkEnd w:id="1229"/>
      <w:bookmarkEnd w:id="1230"/>
      <w:bookmarkEnd w:id="1231"/>
      <w:bookmarkEnd w:id="1232"/>
    </w:p>
    <w:p w14:paraId="41D3725C">
      <w:pPr>
        <w:spacing w:line="360" w:lineRule="auto"/>
        <w:ind w:firstLine="420" w:firstLineChars="200"/>
        <w:jc w:val="left"/>
        <w:rPr>
          <w:color w:val="auto"/>
          <w:highlight w:val="none"/>
        </w:rPr>
      </w:pPr>
      <w:r>
        <w:rPr>
          <w:rFonts w:hint="eastAsia" w:hAnsi="宋体" w:cs="宋体"/>
          <w:color w:val="auto"/>
          <w:highlight w:val="none"/>
        </w:rPr>
        <w:t>发包人审批竣工付款申请单的期限：</w:t>
      </w:r>
    </w:p>
    <w:tbl>
      <w:tblPr>
        <w:tblStyle w:val="26"/>
        <w:tblW w:w="9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2466"/>
        <w:gridCol w:w="5967"/>
      </w:tblGrid>
      <w:tr w14:paraId="36CC8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14:paraId="50E84059">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color w:val="auto"/>
                <w:highlight w:val="none"/>
              </w:rPr>
            </w:pPr>
          </w:p>
        </w:tc>
        <w:tc>
          <w:tcPr>
            <w:tcW w:w="2466" w:type="dxa"/>
            <w:noWrap w:val="0"/>
            <w:vAlign w:val="center"/>
          </w:tcPr>
          <w:p w14:paraId="43E02A6F">
            <w:pPr>
              <w:keepNext w:val="0"/>
              <w:keepLines w:val="0"/>
              <w:pageBreakBefore w:val="0"/>
              <w:widowControl w:val="0"/>
              <w:kinsoku/>
              <w:wordWrap/>
              <w:overflowPunct/>
              <w:topLinePunct w:val="0"/>
              <w:autoSpaceDE/>
              <w:autoSpaceDN/>
              <w:bidi w:val="0"/>
              <w:adjustRightInd/>
              <w:snapToGrid/>
              <w:spacing w:line="360" w:lineRule="atLeast"/>
              <w:ind w:firstLine="27" w:firstLineChars="13"/>
              <w:jc w:val="center"/>
              <w:textAlignment w:val="auto"/>
              <w:rPr>
                <w:color w:val="auto"/>
                <w:highlight w:val="none"/>
              </w:rPr>
            </w:pPr>
            <w:r>
              <w:rPr>
                <w:rFonts w:hint="eastAsia" w:hAnsi="宋体" w:cs="宋体"/>
                <w:color w:val="auto"/>
                <w:highlight w:val="none"/>
              </w:rPr>
              <w:t>工程竣工结算报告金额</w:t>
            </w:r>
          </w:p>
        </w:tc>
        <w:tc>
          <w:tcPr>
            <w:tcW w:w="5967" w:type="dxa"/>
            <w:noWrap w:val="0"/>
            <w:vAlign w:val="center"/>
          </w:tcPr>
          <w:p w14:paraId="5337041D">
            <w:pPr>
              <w:keepNext w:val="0"/>
              <w:keepLines w:val="0"/>
              <w:pageBreakBefore w:val="0"/>
              <w:widowControl w:val="0"/>
              <w:kinsoku/>
              <w:wordWrap/>
              <w:overflowPunct/>
              <w:topLinePunct w:val="0"/>
              <w:autoSpaceDE/>
              <w:autoSpaceDN/>
              <w:bidi w:val="0"/>
              <w:adjustRightInd/>
              <w:snapToGrid/>
              <w:spacing w:line="360" w:lineRule="atLeast"/>
              <w:ind w:firstLine="441" w:firstLineChars="210"/>
              <w:jc w:val="center"/>
              <w:textAlignment w:val="auto"/>
              <w:rPr>
                <w:color w:val="auto"/>
                <w:highlight w:val="none"/>
              </w:rPr>
            </w:pPr>
            <w:r>
              <w:rPr>
                <w:rFonts w:hint="eastAsia" w:hAnsi="宋体" w:cs="宋体"/>
                <w:color w:val="auto"/>
                <w:highlight w:val="none"/>
              </w:rPr>
              <w:t>发包人审查时间</w:t>
            </w:r>
          </w:p>
        </w:tc>
      </w:tr>
      <w:tr w14:paraId="08134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14:paraId="6A8A2CB6">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color w:val="auto"/>
                <w:highlight w:val="none"/>
              </w:rPr>
            </w:pPr>
            <w:r>
              <w:rPr>
                <w:color w:val="auto"/>
                <w:highlight w:val="none"/>
              </w:rPr>
              <w:t>1</w:t>
            </w:r>
          </w:p>
        </w:tc>
        <w:tc>
          <w:tcPr>
            <w:tcW w:w="2466" w:type="dxa"/>
            <w:noWrap w:val="0"/>
            <w:vAlign w:val="center"/>
          </w:tcPr>
          <w:p w14:paraId="04788ED0">
            <w:pPr>
              <w:keepNext w:val="0"/>
              <w:keepLines w:val="0"/>
              <w:pageBreakBefore w:val="0"/>
              <w:widowControl w:val="0"/>
              <w:kinsoku/>
              <w:wordWrap/>
              <w:overflowPunct/>
              <w:topLinePunct w:val="0"/>
              <w:autoSpaceDE/>
              <w:autoSpaceDN/>
              <w:bidi w:val="0"/>
              <w:adjustRightInd/>
              <w:snapToGrid/>
              <w:spacing w:line="360" w:lineRule="atLeast"/>
              <w:ind w:firstLine="27" w:firstLineChars="13"/>
              <w:jc w:val="center"/>
              <w:textAlignment w:val="auto"/>
              <w:rPr>
                <w:color w:val="auto"/>
                <w:highlight w:val="none"/>
              </w:rPr>
            </w:pPr>
            <w:r>
              <w:rPr>
                <w:color w:val="auto"/>
                <w:highlight w:val="none"/>
              </w:rPr>
              <w:t>500</w:t>
            </w:r>
            <w:r>
              <w:rPr>
                <w:rFonts w:hint="eastAsia" w:hAnsi="宋体" w:cs="宋体"/>
                <w:color w:val="auto"/>
                <w:highlight w:val="none"/>
              </w:rPr>
              <w:t>万元以下</w:t>
            </w:r>
          </w:p>
        </w:tc>
        <w:tc>
          <w:tcPr>
            <w:tcW w:w="5967" w:type="dxa"/>
            <w:noWrap w:val="0"/>
            <w:vAlign w:val="center"/>
          </w:tcPr>
          <w:p w14:paraId="1CAF72D5">
            <w:pPr>
              <w:keepNext w:val="0"/>
              <w:keepLines w:val="0"/>
              <w:pageBreakBefore w:val="0"/>
              <w:widowControl w:val="0"/>
              <w:kinsoku/>
              <w:wordWrap/>
              <w:overflowPunct/>
              <w:topLinePunct w:val="0"/>
              <w:autoSpaceDE/>
              <w:autoSpaceDN/>
              <w:bidi w:val="0"/>
              <w:adjustRightInd/>
              <w:snapToGrid/>
              <w:spacing w:line="360" w:lineRule="atLeast"/>
              <w:ind w:firstLine="441" w:firstLineChars="210"/>
              <w:jc w:val="center"/>
              <w:textAlignment w:val="auto"/>
              <w:rPr>
                <w:color w:val="auto"/>
                <w:highlight w:val="none"/>
              </w:rPr>
            </w:pPr>
            <w:r>
              <w:rPr>
                <w:rFonts w:hint="eastAsia" w:hAnsi="宋体" w:cs="宋体"/>
                <w:color w:val="auto"/>
                <w:highlight w:val="none"/>
              </w:rPr>
              <w:t>从接到竣工结算报告和完整的竣工结算资料之日起</w:t>
            </w:r>
            <w:r>
              <w:rPr>
                <w:color w:val="auto"/>
                <w:highlight w:val="none"/>
              </w:rPr>
              <w:t>20</w:t>
            </w:r>
            <w:r>
              <w:rPr>
                <w:rFonts w:hint="eastAsia" w:hAnsi="宋体" w:cs="宋体"/>
                <w:color w:val="auto"/>
                <w:highlight w:val="none"/>
              </w:rPr>
              <w:t>天</w:t>
            </w:r>
          </w:p>
        </w:tc>
      </w:tr>
      <w:tr w14:paraId="1B83A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14:paraId="20CDC72C">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color w:val="auto"/>
                <w:highlight w:val="none"/>
              </w:rPr>
            </w:pPr>
            <w:r>
              <w:rPr>
                <w:color w:val="auto"/>
                <w:highlight w:val="none"/>
              </w:rPr>
              <w:t>2</w:t>
            </w:r>
          </w:p>
        </w:tc>
        <w:tc>
          <w:tcPr>
            <w:tcW w:w="2466" w:type="dxa"/>
            <w:noWrap w:val="0"/>
            <w:vAlign w:val="center"/>
          </w:tcPr>
          <w:p w14:paraId="6EEEA401">
            <w:pPr>
              <w:keepNext w:val="0"/>
              <w:keepLines w:val="0"/>
              <w:pageBreakBefore w:val="0"/>
              <w:widowControl w:val="0"/>
              <w:kinsoku/>
              <w:wordWrap/>
              <w:overflowPunct/>
              <w:topLinePunct w:val="0"/>
              <w:autoSpaceDE/>
              <w:autoSpaceDN/>
              <w:bidi w:val="0"/>
              <w:adjustRightInd/>
              <w:snapToGrid/>
              <w:spacing w:line="360" w:lineRule="atLeast"/>
              <w:ind w:firstLine="27" w:firstLineChars="13"/>
              <w:jc w:val="center"/>
              <w:textAlignment w:val="auto"/>
              <w:rPr>
                <w:color w:val="auto"/>
                <w:highlight w:val="none"/>
              </w:rPr>
            </w:pPr>
            <w:r>
              <w:rPr>
                <w:color w:val="auto"/>
                <w:highlight w:val="none"/>
              </w:rPr>
              <w:t>500</w:t>
            </w:r>
            <w:r>
              <w:rPr>
                <w:rFonts w:hint="eastAsia" w:hAnsi="宋体" w:cs="宋体"/>
                <w:color w:val="auto"/>
                <w:highlight w:val="none"/>
              </w:rPr>
              <w:t>万元</w:t>
            </w:r>
            <w:r>
              <w:rPr>
                <w:color w:val="auto"/>
                <w:highlight w:val="none"/>
              </w:rPr>
              <w:t>-2000</w:t>
            </w:r>
            <w:r>
              <w:rPr>
                <w:rFonts w:hint="eastAsia" w:hAnsi="宋体" w:cs="宋体"/>
                <w:color w:val="auto"/>
                <w:highlight w:val="none"/>
              </w:rPr>
              <w:t>万元</w:t>
            </w:r>
          </w:p>
        </w:tc>
        <w:tc>
          <w:tcPr>
            <w:tcW w:w="5967" w:type="dxa"/>
            <w:noWrap w:val="0"/>
            <w:vAlign w:val="center"/>
          </w:tcPr>
          <w:p w14:paraId="4164F182">
            <w:pPr>
              <w:keepNext w:val="0"/>
              <w:keepLines w:val="0"/>
              <w:pageBreakBefore w:val="0"/>
              <w:widowControl w:val="0"/>
              <w:kinsoku/>
              <w:wordWrap/>
              <w:overflowPunct/>
              <w:topLinePunct w:val="0"/>
              <w:autoSpaceDE/>
              <w:autoSpaceDN/>
              <w:bidi w:val="0"/>
              <w:adjustRightInd/>
              <w:snapToGrid/>
              <w:spacing w:line="360" w:lineRule="atLeast"/>
              <w:ind w:firstLine="441" w:firstLineChars="210"/>
              <w:jc w:val="center"/>
              <w:textAlignment w:val="auto"/>
              <w:rPr>
                <w:color w:val="auto"/>
                <w:highlight w:val="none"/>
              </w:rPr>
            </w:pPr>
            <w:r>
              <w:rPr>
                <w:rFonts w:hint="eastAsia" w:hAnsi="宋体" w:cs="宋体"/>
                <w:color w:val="auto"/>
                <w:highlight w:val="none"/>
              </w:rPr>
              <w:t>从接到竣工结算报告和完整的竣工结算资料之日起</w:t>
            </w:r>
            <w:r>
              <w:rPr>
                <w:color w:val="auto"/>
                <w:highlight w:val="none"/>
              </w:rPr>
              <w:t>30</w:t>
            </w:r>
            <w:r>
              <w:rPr>
                <w:rFonts w:hint="eastAsia" w:hAnsi="宋体" w:cs="宋体"/>
                <w:color w:val="auto"/>
                <w:highlight w:val="none"/>
              </w:rPr>
              <w:t>天</w:t>
            </w:r>
          </w:p>
        </w:tc>
      </w:tr>
      <w:tr w14:paraId="57255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14:paraId="310C1F7A">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color w:val="auto"/>
                <w:highlight w:val="none"/>
              </w:rPr>
            </w:pPr>
            <w:r>
              <w:rPr>
                <w:color w:val="auto"/>
                <w:highlight w:val="none"/>
              </w:rPr>
              <w:t>3</w:t>
            </w:r>
          </w:p>
        </w:tc>
        <w:tc>
          <w:tcPr>
            <w:tcW w:w="2466" w:type="dxa"/>
            <w:noWrap w:val="0"/>
            <w:vAlign w:val="center"/>
          </w:tcPr>
          <w:p w14:paraId="2B947BA0">
            <w:pPr>
              <w:keepNext w:val="0"/>
              <w:keepLines w:val="0"/>
              <w:pageBreakBefore w:val="0"/>
              <w:widowControl w:val="0"/>
              <w:kinsoku/>
              <w:wordWrap/>
              <w:overflowPunct/>
              <w:topLinePunct w:val="0"/>
              <w:autoSpaceDE/>
              <w:autoSpaceDN/>
              <w:bidi w:val="0"/>
              <w:adjustRightInd/>
              <w:snapToGrid/>
              <w:spacing w:line="360" w:lineRule="atLeast"/>
              <w:ind w:firstLine="27" w:firstLineChars="13"/>
              <w:jc w:val="center"/>
              <w:textAlignment w:val="auto"/>
              <w:rPr>
                <w:color w:val="auto"/>
                <w:highlight w:val="none"/>
              </w:rPr>
            </w:pPr>
            <w:r>
              <w:rPr>
                <w:color w:val="auto"/>
                <w:highlight w:val="none"/>
              </w:rPr>
              <w:t>2000</w:t>
            </w:r>
            <w:r>
              <w:rPr>
                <w:rFonts w:hint="eastAsia" w:hAnsi="宋体" w:cs="宋体"/>
                <w:color w:val="auto"/>
                <w:highlight w:val="none"/>
              </w:rPr>
              <w:t>万元</w:t>
            </w:r>
            <w:r>
              <w:rPr>
                <w:color w:val="auto"/>
                <w:highlight w:val="none"/>
              </w:rPr>
              <w:t>-5000</w:t>
            </w:r>
            <w:r>
              <w:rPr>
                <w:rFonts w:hint="eastAsia" w:hAnsi="宋体" w:cs="宋体"/>
                <w:color w:val="auto"/>
                <w:highlight w:val="none"/>
              </w:rPr>
              <w:t>万元</w:t>
            </w:r>
          </w:p>
        </w:tc>
        <w:tc>
          <w:tcPr>
            <w:tcW w:w="5967" w:type="dxa"/>
            <w:noWrap w:val="0"/>
            <w:vAlign w:val="center"/>
          </w:tcPr>
          <w:p w14:paraId="2093F4F7">
            <w:pPr>
              <w:keepNext w:val="0"/>
              <w:keepLines w:val="0"/>
              <w:pageBreakBefore w:val="0"/>
              <w:widowControl w:val="0"/>
              <w:kinsoku/>
              <w:wordWrap/>
              <w:overflowPunct/>
              <w:topLinePunct w:val="0"/>
              <w:autoSpaceDE/>
              <w:autoSpaceDN/>
              <w:bidi w:val="0"/>
              <w:adjustRightInd/>
              <w:snapToGrid/>
              <w:spacing w:line="360" w:lineRule="atLeast"/>
              <w:ind w:firstLine="441" w:firstLineChars="210"/>
              <w:jc w:val="center"/>
              <w:textAlignment w:val="auto"/>
              <w:rPr>
                <w:color w:val="auto"/>
                <w:highlight w:val="none"/>
              </w:rPr>
            </w:pPr>
            <w:r>
              <w:rPr>
                <w:rFonts w:hint="eastAsia" w:hAnsi="宋体" w:cs="宋体"/>
                <w:color w:val="auto"/>
                <w:highlight w:val="none"/>
              </w:rPr>
              <w:t>从接到竣工结算报告和完整的竣工结算资料之日起</w:t>
            </w:r>
            <w:r>
              <w:rPr>
                <w:color w:val="auto"/>
                <w:highlight w:val="none"/>
              </w:rPr>
              <w:t>45</w:t>
            </w:r>
            <w:r>
              <w:rPr>
                <w:rFonts w:hint="eastAsia" w:hAnsi="宋体" w:cs="宋体"/>
                <w:color w:val="auto"/>
                <w:highlight w:val="none"/>
              </w:rPr>
              <w:t>天</w:t>
            </w:r>
          </w:p>
        </w:tc>
      </w:tr>
      <w:tr w14:paraId="10EF4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14:paraId="63406FFB">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color w:val="auto"/>
                <w:highlight w:val="none"/>
              </w:rPr>
            </w:pPr>
            <w:r>
              <w:rPr>
                <w:color w:val="auto"/>
                <w:highlight w:val="none"/>
              </w:rPr>
              <w:t>4</w:t>
            </w:r>
          </w:p>
        </w:tc>
        <w:tc>
          <w:tcPr>
            <w:tcW w:w="2466" w:type="dxa"/>
            <w:noWrap w:val="0"/>
            <w:vAlign w:val="center"/>
          </w:tcPr>
          <w:p w14:paraId="4388623F">
            <w:pPr>
              <w:keepNext w:val="0"/>
              <w:keepLines w:val="0"/>
              <w:pageBreakBefore w:val="0"/>
              <w:widowControl w:val="0"/>
              <w:kinsoku/>
              <w:wordWrap/>
              <w:overflowPunct/>
              <w:topLinePunct w:val="0"/>
              <w:autoSpaceDE/>
              <w:autoSpaceDN/>
              <w:bidi w:val="0"/>
              <w:adjustRightInd/>
              <w:snapToGrid/>
              <w:spacing w:line="360" w:lineRule="atLeast"/>
              <w:ind w:firstLine="27" w:firstLineChars="13"/>
              <w:jc w:val="center"/>
              <w:textAlignment w:val="auto"/>
              <w:rPr>
                <w:color w:val="auto"/>
                <w:highlight w:val="none"/>
              </w:rPr>
            </w:pPr>
            <w:r>
              <w:rPr>
                <w:color w:val="auto"/>
                <w:highlight w:val="none"/>
              </w:rPr>
              <w:t>5000</w:t>
            </w:r>
            <w:r>
              <w:rPr>
                <w:rFonts w:hint="eastAsia" w:hAnsi="宋体" w:cs="宋体"/>
                <w:color w:val="auto"/>
                <w:highlight w:val="none"/>
              </w:rPr>
              <w:t>万元以上</w:t>
            </w:r>
          </w:p>
        </w:tc>
        <w:tc>
          <w:tcPr>
            <w:tcW w:w="5967" w:type="dxa"/>
            <w:noWrap w:val="0"/>
            <w:vAlign w:val="center"/>
          </w:tcPr>
          <w:p w14:paraId="1D57EC97">
            <w:pPr>
              <w:keepNext w:val="0"/>
              <w:keepLines w:val="0"/>
              <w:pageBreakBefore w:val="0"/>
              <w:widowControl w:val="0"/>
              <w:kinsoku/>
              <w:wordWrap/>
              <w:overflowPunct/>
              <w:topLinePunct w:val="0"/>
              <w:autoSpaceDE/>
              <w:autoSpaceDN/>
              <w:bidi w:val="0"/>
              <w:adjustRightInd/>
              <w:snapToGrid/>
              <w:spacing w:line="360" w:lineRule="atLeast"/>
              <w:ind w:firstLine="441" w:firstLineChars="210"/>
              <w:jc w:val="center"/>
              <w:textAlignment w:val="auto"/>
              <w:rPr>
                <w:color w:val="auto"/>
                <w:highlight w:val="none"/>
              </w:rPr>
            </w:pPr>
            <w:r>
              <w:rPr>
                <w:rFonts w:hint="eastAsia" w:hAnsi="宋体" w:cs="宋体"/>
                <w:color w:val="auto"/>
                <w:highlight w:val="none"/>
              </w:rPr>
              <w:t>从接到竣工结算报告和完整的竣工结算资料之日起</w:t>
            </w:r>
            <w:r>
              <w:rPr>
                <w:color w:val="auto"/>
                <w:highlight w:val="none"/>
              </w:rPr>
              <w:t>60</w:t>
            </w:r>
            <w:r>
              <w:rPr>
                <w:rFonts w:hint="eastAsia" w:hAnsi="宋体" w:cs="宋体"/>
                <w:color w:val="auto"/>
                <w:highlight w:val="none"/>
              </w:rPr>
              <w:t>天</w:t>
            </w:r>
          </w:p>
        </w:tc>
      </w:tr>
      <w:tr w14:paraId="59B58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14:paraId="0E7B50FA">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color w:val="auto"/>
                <w:highlight w:val="none"/>
              </w:rPr>
            </w:pPr>
            <w:r>
              <w:rPr>
                <w:rFonts w:hint="eastAsia"/>
                <w:color w:val="auto"/>
                <w:highlight w:val="none"/>
              </w:rPr>
              <w:t>5</w:t>
            </w:r>
          </w:p>
        </w:tc>
        <w:tc>
          <w:tcPr>
            <w:tcW w:w="2466" w:type="dxa"/>
            <w:noWrap w:val="0"/>
            <w:vAlign w:val="center"/>
          </w:tcPr>
          <w:p w14:paraId="33D370BE">
            <w:pPr>
              <w:keepNext w:val="0"/>
              <w:keepLines w:val="0"/>
              <w:pageBreakBefore w:val="0"/>
              <w:widowControl w:val="0"/>
              <w:kinsoku/>
              <w:wordWrap/>
              <w:overflowPunct/>
              <w:topLinePunct w:val="0"/>
              <w:autoSpaceDE/>
              <w:autoSpaceDN/>
              <w:bidi w:val="0"/>
              <w:adjustRightInd/>
              <w:snapToGrid/>
              <w:spacing w:line="360" w:lineRule="atLeast"/>
              <w:ind w:firstLine="27" w:firstLineChars="13"/>
              <w:jc w:val="center"/>
              <w:textAlignment w:val="auto"/>
              <w:rPr>
                <w:rFonts w:hint="eastAsia" w:eastAsia="宋体"/>
                <w:color w:val="auto"/>
                <w:highlight w:val="none"/>
                <w:lang w:eastAsia="zh-CN"/>
              </w:rPr>
            </w:pPr>
            <w:r>
              <w:rPr>
                <w:rFonts w:hint="eastAsia"/>
                <w:color w:val="auto"/>
                <w:highlight w:val="none"/>
              </w:rPr>
              <w:t>5000万以上每增加</w:t>
            </w:r>
            <w:r>
              <w:rPr>
                <w:color w:val="auto"/>
                <w:highlight w:val="none"/>
              </w:rPr>
              <w:t>0.5</w:t>
            </w:r>
            <w:r>
              <w:rPr>
                <w:rFonts w:hint="eastAsia"/>
                <w:color w:val="auto"/>
                <w:highlight w:val="none"/>
              </w:rPr>
              <w:t>亿</w:t>
            </w:r>
            <w:r>
              <w:rPr>
                <w:rFonts w:hint="eastAsia"/>
                <w:color w:val="auto"/>
                <w:highlight w:val="none"/>
                <w:lang w:eastAsia="zh-CN"/>
              </w:rPr>
              <w:t>（</w:t>
            </w:r>
            <w:r>
              <w:rPr>
                <w:rFonts w:hint="eastAsia"/>
                <w:color w:val="auto"/>
                <w:highlight w:val="none"/>
              </w:rPr>
              <w:t>不足0.5亿不增加</w:t>
            </w:r>
            <w:r>
              <w:rPr>
                <w:rFonts w:hint="eastAsia"/>
                <w:color w:val="auto"/>
                <w:highlight w:val="none"/>
                <w:lang w:eastAsia="zh-CN"/>
              </w:rPr>
              <w:t>）</w:t>
            </w:r>
          </w:p>
        </w:tc>
        <w:tc>
          <w:tcPr>
            <w:tcW w:w="5967" w:type="dxa"/>
            <w:noWrap w:val="0"/>
            <w:vAlign w:val="center"/>
          </w:tcPr>
          <w:p w14:paraId="24BF3F8C">
            <w:pPr>
              <w:keepNext w:val="0"/>
              <w:keepLines w:val="0"/>
              <w:pageBreakBefore w:val="0"/>
              <w:widowControl w:val="0"/>
              <w:kinsoku/>
              <w:wordWrap/>
              <w:overflowPunct/>
              <w:topLinePunct w:val="0"/>
              <w:autoSpaceDE/>
              <w:autoSpaceDN/>
              <w:bidi w:val="0"/>
              <w:adjustRightInd/>
              <w:snapToGrid/>
              <w:spacing w:line="360" w:lineRule="atLeast"/>
              <w:ind w:firstLine="441" w:firstLineChars="210"/>
              <w:jc w:val="center"/>
              <w:textAlignment w:val="auto"/>
              <w:rPr>
                <w:rFonts w:hint="eastAsia" w:hAnsi="宋体" w:cs="宋体"/>
                <w:color w:val="auto"/>
                <w:highlight w:val="none"/>
              </w:rPr>
            </w:pPr>
            <w:r>
              <w:rPr>
                <w:rFonts w:hint="eastAsia" w:hAnsi="宋体" w:cs="宋体"/>
                <w:color w:val="auto"/>
                <w:highlight w:val="none"/>
              </w:rPr>
              <w:t>增加10天</w:t>
            </w:r>
          </w:p>
        </w:tc>
      </w:tr>
    </w:tbl>
    <w:p w14:paraId="44B22F1F">
      <w:pPr>
        <w:keepNext w:val="0"/>
        <w:keepLines w:val="0"/>
        <w:pageBreakBefore w:val="0"/>
        <w:widowControl w:val="0"/>
        <w:kinsoku/>
        <w:wordWrap/>
        <w:overflowPunct/>
        <w:topLinePunct w:val="0"/>
        <w:autoSpaceDE/>
        <w:autoSpaceDN/>
        <w:bidi w:val="0"/>
        <w:adjustRightInd/>
        <w:snapToGrid/>
        <w:spacing w:line="360" w:lineRule="atLeast"/>
        <w:ind w:firstLine="420" w:firstLineChars="200"/>
        <w:jc w:val="left"/>
        <w:textAlignment w:val="auto"/>
        <w:rPr>
          <w:rFonts w:hint="eastAsia" w:hAnsi="宋体" w:cs="宋体"/>
          <w:color w:val="auto"/>
          <w:highlight w:val="none"/>
        </w:rPr>
      </w:pPr>
    </w:p>
    <w:p w14:paraId="1CC40C62">
      <w:pPr>
        <w:spacing w:line="360" w:lineRule="auto"/>
        <w:ind w:firstLine="420" w:firstLineChars="200"/>
        <w:jc w:val="left"/>
        <w:rPr>
          <w:rFonts w:hAnsi="宋体"/>
          <w:color w:val="auto"/>
          <w:highlight w:val="none"/>
        </w:rPr>
      </w:pPr>
      <w:r>
        <w:rPr>
          <w:rFonts w:hint="eastAsia" w:hAnsi="宋体" w:cs="宋体"/>
          <w:color w:val="auto"/>
          <w:highlight w:val="none"/>
        </w:rPr>
        <w:t>因承包人提供的结算资料不完整而需要补充或承包人不按时对账耽误时间时，审查时间应相应顺延。</w:t>
      </w:r>
    </w:p>
    <w:p w14:paraId="6C018B9A">
      <w:pPr>
        <w:spacing w:line="400" w:lineRule="exact"/>
        <w:ind w:firstLine="411" w:firstLineChars="196"/>
        <w:rPr>
          <w:rFonts w:hint="eastAsia" w:ascii="Times New Roman" w:hAnsi="宋体" w:eastAsia="宋体" w:cs="宋体"/>
          <w:i w:val="0"/>
          <w:caps w:val="0"/>
          <w:color w:val="auto"/>
          <w:spacing w:val="0"/>
          <w:sz w:val="21"/>
          <w:szCs w:val="21"/>
          <w:highlight w:val="none"/>
        </w:rPr>
      </w:pPr>
      <w:r>
        <w:rPr>
          <w:rFonts w:hint="eastAsia" w:hAnsi="宋体" w:cs="宋体"/>
          <w:color w:val="auto"/>
          <w:highlight w:val="none"/>
        </w:rPr>
        <w:t>竣工结算审核约定：</w:t>
      </w:r>
      <w:r>
        <w:rPr>
          <w:rFonts w:hint="eastAsia" w:ascii="Times New Roman" w:hAnsi="宋体" w:eastAsia="宋体" w:cs="宋体"/>
          <w:i w:val="0"/>
          <w:caps w:val="0"/>
          <w:color w:val="auto"/>
          <w:spacing w:val="0"/>
          <w:sz w:val="21"/>
          <w:szCs w:val="21"/>
          <w:highlight w:val="none"/>
        </w:rPr>
        <w:t>发承包双方在合同中对施工过程结算的期限应有明确约定；没有约定的，可认定其约定期限均为28天。经发承包双方签署确认的施工过程结算文件作为竣工结算文件的组成部分。未经另一方同意，一方不得就已生效的结算文件进行重复审核。对施工合同中约定竣工结算以财政评审意见为准的项目，财政部门应在施工合同约定期限内对项目过程结算文件进行审核确认。</w:t>
      </w:r>
    </w:p>
    <w:p w14:paraId="72281824">
      <w:pPr>
        <w:spacing w:line="400" w:lineRule="exact"/>
        <w:ind w:firstLine="431" w:firstLineChars="196"/>
        <w:rPr>
          <w:rFonts w:hint="eastAsia" w:ascii="Times New Roman" w:hAnsi="宋体" w:eastAsia="宋体" w:cs="宋体"/>
          <w:color w:val="auto"/>
          <w:highlight w:val="none"/>
        </w:rPr>
      </w:pPr>
      <w:r>
        <w:rPr>
          <w:rFonts w:ascii="宋体" w:hAnsi="宋体" w:eastAsia="宋体" w:cs="宋体"/>
          <w:color w:val="auto"/>
          <w:kern w:val="0"/>
          <w:sz w:val="22"/>
          <w:szCs w:val="22"/>
          <w:highlight w:val="none"/>
          <w:lang w:val="en-US" w:eastAsia="zh-CN" w:bidi="ar"/>
        </w:rPr>
        <w:t>当年开工、当年不能竣工的新开工项目可以推行过程结算。发承包双方通过合同约定，将施工过程按时间或进度节点划分施工周期，对周期内已完成且无争议的工程量（含变更、签证、索赔等）进行价款计算、确认和支付，支付金额不得超出已完工部分对应的批复（预）算。经双方确认的过程结算文件作为竣工结算文件的组成部分，竣工后原则上不再重复审核。</w:t>
      </w:r>
    </w:p>
    <w:p w14:paraId="4B39A6FA">
      <w:pPr>
        <w:spacing w:line="400" w:lineRule="exact"/>
        <w:ind w:firstLine="411" w:firstLineChars="196"/>
        <w:rPr>
          <w:rFonts w:hAnsi="宋体"/>
          <w:color w:val="auto"/>
          <w:highlight w:val="none"/>
          <w:u w:val="single"/>
        </w:rPr>
      </w:pPr>
      <w:r>
        <w:rPr>
          <w:rFonts w:hAnsi="宋体"/>
          <w:color w:val="auto"/>
          <w:highlight w:val="none"/>
          <w:u w:val="single"/>
        </w:rPr>
        <w:t>1</w:t>
      </w:r>
      <w:r>
        <w:rPr>
          <w:rFonts w:hint="eastAsia" w:hAnsi="宋体" w:cs="宋体"/>
          <w:color w:val="auto"/>
          <w:highlight w:val="none"/>
          <w:u w:val="single"/>
        </w:rPr>
        <w:t>、工程竣工验收报告经发包人认可后</w:t>
      </w:r>
      <w:r>
        <w:rPr>
          <w:rFonts w:hint="eastAsia" w:hAnsi="宋体"/>
          <w:color w:val="auto"/>
          <w:highlight w:val="none"/>
          <w:u w:val="single"/>
          <w:lang w:val="en-US" w:eastAsia="zh-CN"/>
        </w:rPr>
        <w:t>20</w:t>
      </w:r>
      <w:r>
        <w:rPr>
          <w:rFonts w:hint="eastAsia" w:hAnsi="宋体" w:cs="宋体"/>
          <w:color w:val="auto"/>
          <w:highlight w:val="none"/>
          <w:u w:val="single"/>
        </w:rPr>
        <w:t>天内，承包人向发包人递交竣工验收合格资料及完整的结算资料和报告，双方按照本工程合同约定的价格形式及价款调整办法进行工程竣工结算。</w:t>
      </w:r>
      <w:r>
        <w:rPr>
          <w:rFonts w:hAnsi="宋体"/>
          <w:color w:val="auto"/>
          <w:highlight w:val="none"/>
          <w:u w:val="single"/>
        </w:rPr>
        <w:t>2</w:t>
      </w:r>
      <w:r>
        <w:rPr>
          <w:rFonts w:hint="eastAsia" w:hAnsi="宋体" w:cs="宋体"/>
          <w:color w:val="auto"/>
          <w:highlight w:val="none"/>
          <w:u w:val="single"/>
        </w:rPr>
        <w:t>、发包人收到承包人递交的竣工结算报告及结算资料之日起</w:t>
      </w:r>
      <w:r>
        <w:rPr>
          <w:rFonts w:hint="eastAsia" w:hAnsi="宋体"/>
          <w:color w:val="auto"/>
          <w:highlight w:val="none"/>
          <w:u w:val="single"/>
          <w:lang w:val="en-US" w:eastAsia="zh-CN"/>
        </w:rPr>
        <w:t>60</w:t>
      </w:r>
      <w:r>
        <w:rPr>
          <w:rFonts w:hint="eastAsia" w:hAnsi="宋体" w:cs="宋体"/>
          <w:color w:val="auto"/>
          <w:highlight w:val="none"/>
          <w:u w:val="single"/>
        </w:rPr>
        <w:t>天内进行审核，并给予确认或者提出审核意见。发包人逾期未完成审核且未提出异议的视为发包人已同意承包人提交的竣工结算报告及结算价款，并以此作为竣工结算的依据。承包人对发包人确认的结算价款或审核意见有异议的，应在收到发包人确认的价款或审核意见之日起</w:t>
      </w:r>
      <w:r>
        <w:rPr>
          <w:rFonts w:hint="eastAsia" w:hAnsi="宋体" w:cs="宋体"/>
          <w:color w:val="auto"/>
          <w:highlight w:val="none"/>
          <w:u w:val="single"/>
          <w:lang w:val="en-US" w:eastAsia="zh-CN"/>
        </w:rPr>
        <w:t>7</w:t>
      </w:r>
      <w:r>
        <w:rPr>
          <w:rFonts w:hint="eastAsia" w:hAnsi="宋体" w:cs="宋体"/>
          <w:color w:val="auto"/>
          <w:highlight w:val="none"/>
          <w:u w:val="single"/>
        </w:rPr>
        <w:t>天内提出异议，必要时合同当事人要当面核对，直至完成工程竣工结算。除非有特殊情形，否则从承包人递交竣工结算报告到完成竣工结算的时间应控制在“发包人审核竣工付款申请单的期限”要求的时间范围内。3.自竣工结算完毕之日起</w:t>
      </w:r>
      <w:r>
        <w:rPr>
          <w:rFonts w:hint="eastAsia" w:hAnsi="宋体"/>
          <w:color w:val="auto"/>
          <w:highlight w:val="none"/>
          <w:u w:val="single"/>
          <w:lang w:val="en-US" w:eastAsia="zh-CN"/>
        </w:rPr>
        <w:t>20</w:t>
      </w:r>
      <w:r>
        <w:rPr>
          <w:rFonts w:hint="eastAsia" w:hAnsi="宋体" w:cs="宋体"/>
          <w:color w:val="auto"/>
          <w:highlight w:val="none"/>
          <w:u w:val="single"/>
        </w:rPr>
        <w:t>天内，发包人按审定后的竣工结算价款，通知经办银行向承包人支付结算价款。</w:t>
      </w:r>
    </w:p>
    <w:p w14:paraId="10DB55A1">
      <w:pPr>
        <w:spacing w:line="360" w:lineRule="auto"/>
        <w:ind w:firstLine="420" w:firstLineChars="200"/>
        <w:jc w:val="left"/>
        <w:rPr>
          <w:color w:val="auto"/>
          <w:highlight w:val="none"/>
          <w:u w:val="single"/>
        </w:rPr>
      </w:pPr>
      <w:r>
        <w:rPr>
          <w:rFonts w:hint="eastAsia" w:hAnsi="宋体" w:cs="宋体"/>
          <w:color w:val="auto"/>
          <w:highlight w:val="none"/>
        </w:rPr>
        <w:t>备注：对于国有投资项目结算审核约定，双方可结合各地政府或有关部门出台的管理规定进行局部调整</w:t>
      </w:r>
    </w:p>
    <w:p w14:paraId="6B768FBA">
      <w:pPr>
        <w:pStyle w:val="4"/>
        <w:rPr>
          <w:color w:val="auto"/>
          <w:highlight w:val="none"/>
        </w:rPr>
      </w:pPr>
      <w:bookmarkStart w:id="1233" w:name="_Toc373478408"/>
      <w:bookmarkStart w:id="1234" w:name="_Toc540165641"/>
      <w:bookmarkStart w:id="1235" w:name="_Toc78449850"/>
      <w:bookmarkStart w:id="1236" w:name="_Toc407135264"/>
      <w:bookmarkStart w:id="1237" w:name="_Toc17930"/>
      <w:bookmarkStart w:id="1238" w:name="_Toc373227761"/>
      <w:bookmarkStart w:id="1239" w:name="_Toc389065326"/>
      <w:bookmarkStart w:id="1240" w:name="_Toc1203653078"/>
      <w:r>
        <w:rPr>
          <w:color w:val="auto"/>
          <w:highlight w:val="none"/>
        </w:rPr>
        <w:t xml:space="preserve">14.4 </w:t>
      </w:r>
      <w:r>
        <w:rPr>
          <w:rFonts w:hint="eastAsia" w:hAnsi="宋体" w:cs="黑体"/>
          <w:color w:val="auto"/>
          <w:highlight w:val="none"/>
        </w:rPr>
        <w:t>最终结清</w:t>
      </w:r>
      <w:bookmarkEnd w:id="1233"/>
      <w:bookmarkEnd w:id="1234"/>
      <w:bookmarkEnd w:id="1235"/>
      <w:bookmarkEnd w:id="1236"/>
      <w:bookmarkEnd w:id="1237"/>
      <w:bookmarkEnd w:id="1238"/>
      <w:bookmarkEnd w:id="1239"/>
      <w:bookmarkEnd w:id="1240"/>
    </w:p>
    <w:p w14:paraId="04B16661">
      <w:pPr>
        <w:spacing w:line="360" w:lineRule="auto"/>
        <w:ind w:firstLine="420" w:firstLineChars="200"/>
        <w:jc w:val="left"/>
        <w:rPr>
          <w:color w:val="auto"/>
          <w:kern w:val="0"/>
          <w:highlight w:val="none"/>
        </w:rPr>
      </w:pPr>
      <w:r>
        <w:rPr>
          <w:color w:val="auto"/>
          <w:kern w:val="0"/>
          <w:highlight w:val="none"/>
        </w:rPr>
        <w:t xml:space="preserve">14.4.1 </w:t>
      </w:r>
      <w:r>
        <w:rPr>
          <w:rFonts w:hint="eastAsia" w:hAnsi="宋体" w:cs="宋体"/>
          <w:color w:val="auto"/>
          <w:kern w:val="0"/>
          <w:highlight w:val="none"/>
        </w:rPr>
        <w:t>最终结清申请单</w:t>
      </w:r>
    </w:p>
    <w:p w14:paraId="7D0ABEE1">
      <w:pPr>
        <w:spacing w:line="360" w:lineRule="auto"/>
        <w:ind w:firstLine="420" w:firstLineChars="200"/>
        <w:jc w:val="left"/>
        <w:rPr>
          <w:color w:val="auto"/>
          <w:kern w:val="0"/>
          <w:highlight w:val="none"/>
        </w:rPr>
      </w:pPr>
      <w:r>
        <w:rPr>
          <w:rFonts w:hint="eastAsia" w:hAnsi="宋体" w:cs="宋体"/>
          <w:color w:val="auto"/>
          <w:kern w:val="0"/>
          <w:highlight w:val="none"/>
        </w:rPr>
        <w:t>承包人提交最终结清申请单的份数：</w:t>
      </w:r>
      <w:r>
        <w:rPr>
          <w:rFonts w:ascii="宋体" w:hAnsi="宋体" w:eastAsia="宋体" w:cs="宋体"/>
          <w:color w:val="auto"/>
          <w:spacing w:val="0"/>
          <w:highlight w:val="none"/>
          <w:u w:val="single"/>
        </w:rPr>
        <w:t>一式六份</w:t>
      </w:r>
      <w:r>
        <w:rPr>
          <w:rFonts w:hint="eastAsia" w:hAnsi="宋体" w:cs="宋体"/>
          <w:color w:val="auto"/>
          <w:highlight w:val="none"/>
        </w:rPr>
        <w:t>。</w:t>
      </w:r>
    </w:p>
    <w:p w14:paraId="131DAB8A">
      <w:pPr>
        <w:spacing w:line="360" w:lineRule="auto"/>
        <w:ind w:firstLine="420" w:firstLineChars="200"/>
        <w:jc w:val="left"/>
        <w:rPr>
          <w:color w:val="auto"/>
          <w:highlight w:val="none"/>
        </w:rPr>
      </w:pPr>
      <w:r>
        <w:rPr>
          <w:rFonts w:hint="eastAsia" w:hAnsi="宋体" w:cs="宋体"/>
          <w:color w:val="auto"/>
          <w:kern w:val="0"/>
          <w:highlight w:val="none"/>
        </w:rPr>
        <w:t>承包人提交最终结算申请单的期限：</w:t>
      </w:r>
      <w:r>
        <w:rPr>
          <w:rFonts w:ascii="宋体" w:hAnsi="宋体" w:eastAsia="宋体" w:cs="宋体"/>
          <w:color w:val="auto"/>
          <w:spacing w:val="0"/>
          <w:highlight w:val="none"/>
          <w:u w:val="single"/>
        </w:rPr>
        <w:t>质量保修期期满后 14 天内</w:t>
      </w:r>
      <w:r>
        <w:rPr>
          <w:rFonts w:hint="eastAsia" w:hAnsi="宋体" w:cs="宋体"/>
          <w:color w:val="auto"/>
          <w:highlight w:val="none"/>
        </w:rPr>
        <w:t>。</w:t>
      </w:r>
      <w:r>
        <w:rPr>
          <w:color w:val="auto"/>
          <w:highlight w:val="none"/>
        </w:rPr>
        <w:t xml:space="preserve"> </w:t>
      </w:r>
    </w:p>
    <w:p w14:paraId="3BB5CB64">
      <w:pPr>
        <w:spacing w:line="360" w:lineRule="auto"/>
        <w:ind w:firstLine="420" w:firstLineChars="200"/>
        <w:jc w:val="left"/>
        <w:rPr>
          <w:color w:val="auto"/>
          <w:highlight w:val="none"/>
        </w:rPr>
      </w:pPr>
      <w:r>
        <w:rPr>
          <w:rFonts w:hint="eastAsia"/>
          <w:color w:val="auto"/>
          <w:highlight w:val="none"/>
        </w:rPr>
        <w:t>最终结算款支付申请（核准）表见合同附件13。</w:t>
      </w:r>
    </w:p>
    <w:p w14:paraId="4CEFBDB7">
      <w:pPr>
        <w:spacing w:line="360" w:lineRule="auto"/>
        <w:ind w:firstLine="420" w:firstLineChars="200"/>
        <w:jc w:val="left"/>
        <w:rPr>
          <w:color w:val="auto"/>
          <w:highlight w:val="none"/>
        </w:rPr>
      </w:pPr>
      <w:r>
        <w:rPr>
          <w:color w:val="auto"/>
          <w:highlight w:val="none"/>
        </w:rPr>
        <w:t xml:space="preserve">14.4.2 </w:t>
      </w:r>
      <w:r>
        <w:rPr>
          <w:rFonts w:hint="eastAsia" w:hAnsi="宋体" w:cs="宋体"/>
          <w:color w:val="auto"/>
          <w:highlight w:val="none"/>
        </w:rPr>
        <w:t>最终结清证书和支付</w:t>
      </w:r>
    </w:p>
    <w:p w14:paraId="5BF51EFC">
      <w:pPr>
        <w:spacing w:line="360" w:lineRule="auto"/>
        <w:ind w:firstLine="420" w:firstLineChars="200"/>
        <w:jc w:val="left"/>
        <w:rPr>
          <w:color w:val="auto"/>
          <w:highlight w:val="none"/>
        </w:rPr>
      </w:pPr>
      <w:r>
        <w:rPr>
          <w:rFonts w:hint="eastAsia" w:hAnsi="宋体" w:cs="宋体"/>
          <w:color w:val="auto"/>
          <w:highlight w:val="none"/>
        </w:rPr>
        <w:t>（</w:t>
      </w:r>
      <w:r>
        <w:rPr>
          <w:color w:val="auto"/>
          <w:highlight w:val="none"/>
        </w:rPr>
        <w:t>1</w:t>
      </w:r>
      <w:r>
        <w:rPr>
          <w:rFonts w:hint="eastAsia" w:hAnsi="宋体" w:cs="宋体"/>
          <w:color w:val="auto"/>
          <w:highlight w:val="none"/>
        </w:rPr>
        <w:t>）发包人完成最终结清申请单的审批并颁发最终结清证书的期限：</w:t>
      </w:r>
      <w:r>
        <w:rPr>
          <w:rFonts w:hint="eastAsia"/>
          <w:color w:val="auto"/>
          <w:highlight w:val="none"/>
          <w:u w:val="single"/>
        </w:rPr>
        <w:t>收到该申请 14</w:t>
      </w:r>
      <w:r>
        <w:rPr>
          <w:rFonts w:hint="eastAsia"/>
          <w:color w:val="auto"/>
          <w:highlight w:val="none"/>
          <w:u w:val="single"/>
          <w:lang w:val="en-US" w:eastAsia="zh-CN"/>
        </w:rPr>
        <w:t>天内</w:t>
      </w:r>
      <w:r>
        <w:rPr>
          <w:rFonts w:hint="eastAsia" w:hAnsi="宋体" w:cs="宋体"/>
          <w:color w:val="auto"/>
          <w:highlight w:val="none"/>
        </w:rPr>
        <w:t>。</w:t>
      </w:r>
    </w:p>
    <w:p w14:paraId="725C18F9">
      <w:pPr>
        <w:spacing w:line="360" w:lineRule="auto"/>
        <w:ind w:firstLine="420" w:firstLineChars="200"/>
        <w:jc w:val="left"/>
        <w:rPr>
          <w:color w:val="auto"/>
          <w:highlight w:val="none"/>
        </w:rPr>
      </w:pPr>
      <w:r>
        <w:rPr>
          <w:rFonts w:hint="eastAsia" w:hAnsi="宋体" w:cs="宋体"/>
          <w:color w:val="auto"/>
          <w:highlight w:val="none"/>
        </w:rPr>
        <w:t>（</w:t>
      </w:r>
      <w:r>
        <w:rPr>
          <w:color w:val="auto"/>
          <w:highlight w:val="none"/>
        </w:rPr>
        <w:t>2</w:t>
      </w:r>
      <w:r>
        <w:rPr>
          <w:rFonts w:hint="eastAsia" w:hAnsi="宋体" w:cs="宋体"/>
          <w:color w:val="auto"/>
          <w:highlight w:val="none"/>
        </w:rPr>
        <w:t>）发包人完成支付的期限：</w:t>
      </w:r>
      <w:r>
        <w:rPr>
          <w:color w:val="auto"/>
          <w:highlight w:val="none"/>
          <w:u w:val="single"/>
        </w:rPr>
        <w:t xml:space="preserve"> </w:t>
      </w:r>
      <w:r>
        <w:rPr>
          <w:rFonts w:hint="eastAsia"/>
          <w:color w:val="auto"/>
          <w:highlight w:val="none"/>
          <w:u w:val="single"/>
        </w:rPr>
        <w:t>如无质量问题，在质量保修期期满2年后，退付工程质量保修金70%(无息)；质量保修期期满5年后，退付至工程质量保修金100% (无息)</w:t>
      </w:r>
      <w:r>
        <w:rPr>
          <w:color w:val="auto"/>
          <w:highlight w:val="none"/>
          <w:u w:val="single"/>
        </w:rPr>
        <w:t xml:space="preserve"> </w:t>
      </w:r>
      <w:r>
        <w:rPr>
          <w:rFonts w:hint="eastAsia" w:hAnsi="宋体" w:cs="宋体"/>
          <w:color w:val="auto"/>
          <w:highlight w:val="none"/>
        </w:rPr>
        <w:t>。</w:t>
      </w:r>
    </w:p>
    <w:bookmarkEnd w:id="1178"/>
    <w:bookmarkEnd w:id="1179"/>
    <w:bookmarkEnd w:id="1180"/>
    <w:bookmarkEnd w:id="1181"/>
    <w:bookmarkEnd w:id="1182"/>
    <w:bookmarkEnd w:id="1183"/>
    <w:bookmarkEnd w:id="1184"/>
    <w:bookmarkEnd w:id="1190"/>
    <w:p w14:paraId="2A7C171F">
      <w:pPr>
        <w:pStyle w:val="3"/>
        <w:rPr>
          <w:color w:val="auto"/>
          <w:highlight w:val="none"/>
        </w:rPr>
      </w:pPr>
      <w:bookmarkStart w:id="1241" w:name="_Toc1294213766"/>
      <w:bookmarkStart w:id="1242" w:name="_Toc78449851"/>
      <w:bookmarkStart w:id="1243" w:name="_Toc351203647"/>
      <w:bookmarkStart w:id="1244" w:name="_Toc373227762"/>
      <w:bookmarkStart w:id="1245" w:name="_Toc389065327"/>
      <w:bookmarkStart w:id="1246" w:name="_Toc407135265"/>
      <w:bookmarkStart w:id="1247" w:name="_Toc905081407"/>
      <w:bookmarkStart w:id="1248" w:name="_Toc373478409"/>
      <w:bookmarkStart w:id="1249" w:name="_Toc14095"/>
      <w:bookmarkStart w:id="1250" w:name="_Toc267251483"/>
      <w:bookmarkStart w:id="1251" w:name="_Toc267251482"/>
      <w:bookmarkStart w:id="1252" w:name="_Toc267251484"/>
      <w:bookmarkStart w:id="1253" w:name="_Toc267251485"/>
      <w:bookmarkStart w:id="1254" w:name="_Toc267251489"/>
      <w:bookmarkStart w:id="1255" w:name="_Toc267251486"/>
      <w:bookmarkStart w:id="1256" w:name="_Toc267251490"/>
      <w:bookmarkStart w:id="1257" w:name="_Toc267251488"/>
      <w:bookmarkStart w:id="1258" w:name="_Toc267251494"/>
      <w:bookmarkStart w:id="1259" w:name="_Toc267251491"/>
      <w:bookmarkStart w:id="1260" w:name="_Toc267251493"/>
      <w:bookmarkStart w:id="1261" w:name="_Toc267251495"/>
      <w:bookmarkStart w:id="1262" w:name="_Toc267251499"/>
      <w:bookmarkStart w:id="1263" w:name="_Toc267251502"/>
      <w:bookmarkStart w:id="1264" w:name="_Toc267251496"/>
      <w:bookmarkStart w:id="1265" w:name="_Toc267251498"/>
      <w:bookmarkStart w:id="1266" w:name="_Toc267251492"/>
      <w:bookmarkStart w:id="1267" w:name="_Toc267251501"/>
      <w:bookmarkStart w:id="1268" w:name="_Toc267251503"/>
      <w:bookmarkStart w:id="1269" w:name="_Toc267251497"/>
      <w:bookmarkStart w:id="1270" w:name="_Toc267251506"/>
      <w:bookmarkStart w:id="1271" w:name="_Toc267251504"/>
      <w:bookmarkStart w:id="1272" w:name="_Toc267251507"/>
      <w:bookmarkStart w:id="1273" w:name="_Toc267251508"/>
      <w:bookmarkStart w:id="1274" w:name="_Toc267251511"/>
      <w:bookmarkStart w:id="1275" w:name="_Toc267251510"/>
      <w:bookmarkStart w:id="1276" w:name="_Toc267251514"/>
      <w:bookmarkStart w:id="1277" w:name="_Toc267251513"/>
      <w:bookmarkStart w:id="1278" w:name="_Toc267251515"/>
      <w:bookmarkStart w:id="1279" w:name="_Toc267251509"/>
      <w:r>
        <w:rPr>
          <w:color w:val="auto"/>
          <w:highlight w:val="none"/>
        </w:rPr>
        <w:t xml:space="preserve">15. </w:t>
      </w:r>
      <w:r>
        <w:rPr>
          <w:rFonts w:hint="eastAsia" w:cs="黑体"/>
          <w:color w:val="auto"/>
          <w:highlight w:val="none"/>
        </w:rPr>
        <w:t>缺陷责任期与保修</w:t>
      </w:r>
      <w:bookmarkEnd w:id="1241"/>
      <w:bookmarkEnd w:id="1242"/>
      <w:bookmarkEnd w:id="1243"/>
      <w:bookmarkEnd w:id="1244"/>
      <w:bookmarkEnd w:id="1245"/>
      <w:bookmarkEnd w:id="1246"/>
      <w:bookmarkEnd w:id="1247"/>
      <w:bookmarkEnd w:id="1248"/>
      <w:bookmarkEnd w:id="1249"/>
    </w:p>
    <w:p w14:paraId="10EA656B">
      <w:pPr>
        <w:pStyle w:val="4"/>
        <w:rPr>
          <w:color w:val="auto"/>
          <w:highlight w:val="none"/>
        </w:rPr>
      </w:pPr>
      <w:bookmarkStart w:id="1280" w:name="_Toc3588"/>
      <w:bookmarkStart w:id="1281" w:name="_Toc389065328"/>
      <w:bookmarkStart w:id="1282" w:name="_Toc373227763"/>
      <w:bookmarkStart w:id="1283" w:name="_Toc1845278067"/>
      <w:bookmarkStart w:id="1284" w:name="_Toc1468458868"/>
      <w:bookmarkStart w:id="1285" w:name="_Toc78449852"/>
      <w:bookmarkStart w:id="1286" w:name="_Toc373478410"/>
      <w:bookmarkStart w:id="1287" w:name="_Toc407135266"/>
      <w:r>
        <w:rPr>
          <w:color w:val="auto"/>
          <w:highlight w:val="none"/>
        </w:rPr>
        <w:t xml:space="preserve">15.2 </w:t>
      </w:r>
      <w:r>
        <w:rPr>
          <w:rFonts w:hint="eastAsia" w:hAnsi="宋体" w:cs="黑体"/>
          <w:color w:val="auto"/>
          <w:highlight w:val="none"/>
        </w:rPr>
        <w:t>缺陷责任期</w:t>
      </w:r>
      <w:bookmarkEnd w:id="1250"/>
      <w:bookmarkEnd w:id="1280"/>
      <w:bookmarkEnd w:id="1281"/>
      <w:bookmarkEnd w:id="1282"/>
      <w:bookmarkEnd w:id="1283"/>
      <w:bookmarkEnd w:id="1284"/>
      <w:bookmarkEnd w:id="1285"/>
      <w:bookmarkEnd w:id="1286"/>
      <w:bookmarkEnd w:id="1287"/>
    </w:p>
    <w:p w14:paraId="0F5DE17D">
      <w:pPr>
        <w:spacing w:line="360" w:lineRule="auto"/>
        <w:ind w:firstLine="420" w:firstLineChars="200"/>
        <w:jc w:val="left"/>
        <w:rPr>
          <w:color w:val="auto"/>
          <w:highlight w:val="none"/>
          <w:u w:val="single"/>
        </w:rPr>
      </w:pPr>
      <w:r>
        <w:rPr>
          <w:rFonts w:hint="eastAsia" w:hAnsi="宋体" w:cs="宋体"/>
          <w:color w:val="auto"/>
          <w:highlight w:val="none"/>
        </w:rPr>
        <w:t>缺陷责任期的具体期限：</w:t>
      </w:r>
      <w:r>
        <w:rPr>
          <w:color w:val="auto"/>
          <w:highlight w:val="none"/>
          <w:u w:val="single"/>
        </w:rPr>
        <w:t xml:space="preserve">  </w:t>
      </w:r>
      <w:r>
        <w:rPr>
          <w:rFonts w:hint="eastAsia"/>
          <w:color w:val="auto"/>
          <w:highlight w:val="none"/>
          <w:u w:val="single"/>
        </w:rPr>
        <w:t xml:space="preserve"> </w:t>
      </w:r>
      <w:r>
        <w:rPr>
          <w:rFonts w:hint="eastAsia"/>
          <w:color w:val="auto"/>
          <w:highlight w:val="none"/>
          <w:u w:val="single"/>
          <w:lang w:val="en-US" w:eastAsia="zh-CN"/>
        </w:rPr>
        <w:t>12</w:t>
      </w:r>
      <w:r>
        <w:rPr>
          <w:rFonts w:hint="eastAsia"/>
          <w:color w:val="auto"/>
          <w:highlight w:val="none"/>
          <w:u w:val="single"/>
        </w:rPr>
        <w:t xml:space="preserve"> 个月 </w:t>
      </w:r>
      <w:r>
        <w:rPr>
          <w:color w:val="auto"/>
          <w:highlight w:val="none"/>
          <w:u w:val="single"/>
        </w:rPr>
        <w:t xml:space="preserve"> </w:t>
      </w:r>
      <w:r>
        <w:rPr>
          <w:rFonts w:hint="eastAsia" w:hAnsi="宋体" w:cs="宋体"/>
          <w:color w:val="auto"/>
          <w:highlight w:val="none"/>
        </w:rPr>
        <w:t>。</w:t>
      </w:r>
    </w:p>
    <w:p w14:paraId="0D22877F">
      <w:pPr>
        <w:pStyle w:val="4"/>
        <w:rPr>
          <w:color w:val="auto"/>
          <w:highlight w:val="none"/>
        </w:rPr>
      </w:pPr>
      <w:bookmarkStart w:id="1288" w:name="_Toc407135267"/>
      <w:bookmarkStart w:id="1289" w:name="_Toc666080472"/>
      <w:bookmarkStart w:id="1290" w:name="_Toc389065329"/>
      <w:bookmarkStart w:id="1291" w:name="_Toc30345"/>
      <w:bookmarkStart w:id="1292" w:name="_Toc1004692311"/>
      <w:bookmarkStart w:id="1293" w:name="_Toc373227764"/>
      <w:bookmarkStart w:id="1294" w:name="_Toc373478411"/>
      <w:bookmarkStart w:id="1295" w:name="_Toc78449853"/>
      <w:r>
        <w:rPr>
          <w:color w:val="auto"/>
          <w:highlight w:val="none"/>
        </w:rPr>
        <w:t xml:space="preserve">15.3 </w:t>
      </w:r>
      <w:r>
        <w:rPr>
          <w:rFonts w:hint="eastAsia" w:hAnsi="宋体" w:cs="黑体"/>
          <w:color w:val="auto"/>
          <w:highlight w:val="none"/>
        </w:rPr>
        <w:t>质量保证金</w:t>
      </w:r>
      <w:bookmarkEnd w:id="1288"/>
      <w:bookmarkEnd w:id="1289"/>
      <w:bookmarkEnd w:id="1290"/>
      <w:bookmarkEnd w:id="1291"/>
      <w:bookmarkEnd w:id="1292"/>
      <w:bookmarkEnd w:id="1293"/>
      <w:bookmarkEnd w:id="1294"/>
      <w:bookmarkEnd w:id="1295"/>
    </w:p>
    <w:p w14:paraId="5C4E09EA">
      <w:pPr>
        <w:spacing w:line="360" w:lineRule="auto"/>
        <w:ind w:firstLine="420" w:firstLineChars="200"/>
        <w:jc w:val="left"/>
        <w:rPr>
          <w:rFonts w:hint="eastAsia" w:hAnsi="宋体" w:cs="宋体"/>
          <w:color w:val="auto"/>
          <w:highlight w:val="none"/>
        </w:rPr>
      </w:pPr>
      <w:r>
        <w:rPr>
          <w:rFonts w:hint="eastAsia" w:hAnsi="宋体" w:cs="宋体"/>
          <w:color w:val="auto"/>
          <w:highlight w:val="none"/>
        </w:rPr>
        <w:t>关于是否扣留质量保证金的约定：</w:t>
      </w:r>
      <w:r>
        <w:rPr>
          <w:rFonts w:hint="eastAsia"/>
          <w:color w:val="auto"/>
          <w:highlight w:val="none"/>
          <w:u w:val="single"/>
        </w:rPr>
        <w:t>承包人按工程价款结算总额的3%缴纳工程质量保证金至发包人指定账户</w:t>
      </w:r>
      <w:r>
        <w:rPr>
          <w:rFonts w:hint="eastAsia" w:hAnsi="宋体" w:cs="宋体"/>
          <w:color w:val="auto"/>
          <w:highlight w:val="none"/>
        </w:rPr>
        <w:t>。</w:t>
      </w:r>
    </w:p>
    <w:p w14:paraId="305CAFF1">
      <w:pPr>
        <w:spacing w:line="360" w:lineRule="auto"/>
        <w:ind w:firstLine="420" w:firstLineChars="200"/>
        <w:jc w:val="left"/>
        <w:rPr>
          <w:color w:val="auto"/>
          <w:highlight w:val="none"/>
        </w:rPr>
      </w:pPr>
      <w:r>
        <w:rPr>
          <w:rFonts w:hint="eastAsia" w:hAnsi="宋体" w:cs="宋体"/>
          <w:color w:val="auto"/>
          <w:highlight w:val="none"/>
        </w:rPr>
        <w:t>在工程项目竣工前，承包人按专用合同条款第3.7条提供履约担保的，发包人不得同时预留工程质量保证金。</w:t>
      </w:r>
    </w:p>
    <w:p w14:paraId="79A9ECAD">
      <w:pPr>
        <w:spacing w:line="360" w:lineRule="auto"/>
        <w:ind w:firstLine="420" w:firstLineChars="200"/>
        <w:jc w:val="left"/>
        <w:outlineLvl w:val="0"/>
        <w:rPr>
          <w:color w:val="auto"/>
          <w:highlight w:val="none"/>
        </w:rPr>
      </w:pPr>
      <w:bookmarkStart w:id="1296" w:name="_Toc29310"/>
      <w:r>
        <w:rPr>
          <w:color w:val="auto"/>
          <w:highlight w:val="none"/>
        </w:rPr>
        <w:t xml:space="preserve">15.3.1 </w:t>
      </w:r>
      <w:r>
        <w:rPr>
          <w:rFonts w:hint="eastAsia" w:hAnsi="宋体" w:cs="宋体"/>
          <w:color w:val="auto"/>
          <w:highlight w:val="none"/>
        </w:rPr>
        <w:t>承包人提供质量保证金的方式</w:t>
      </w:r>
      <w:bookmarkEnd w:id="1296"/>
    </w:p>
    <w:p w14:paraId="276D31A3">
      <w:pPr>
        <w:spacing w:line="360" w:lineRule="auto"/>
        <w:ind w:firstLine="420" w:firstLineChars="200"/>
        <w:jc w:val="left"/>
        <w:rPr>
          <w:color w:val="auto"/>
          <w:highlight w:val="none"/>
        </w:rPr>
      </w:pPr>
      <w:r>
        <w:rPr>
          <w:rFonts w:hint="eastAsia" w:hAnsi="宋体" w:cs="宋体"/>
          <w:color w:val="auto"/>
          <w:highlight w:val="none"/>
        </w:rPr>
        <w:t>质量保证金采用以下第</w:t>
      </w:r>
      <w:r>
        <w:rPr>
          <w:color w:val="auto"/>
          <w:highlight w:val="none"/>
          <w:u w:val="single"/>
        </w:rPr>
        <w:t xml:space="preserve"> </w:t>
      </w:r>
      <w:r>
        <w:rPr>
          <w:rFonts w:hint="eastAsia"/>
          <w:color w:val="auto"/>
          <w:highlight w:val="none"/>
          <w:u w:val="single"/>
          <w:lang w:eastAsia="zh-CN"/>
        </w:rPr>
        <w:t>（</w:t>
      </w:r>
      <w:r>
        <w:rPr>
          <w:rFonts w:hint="eastAsia"/>
          <w:color w:val="auto"/>
          <w:highlight w:val="none"/>
          <w:u w:val="single"/>
          <w:lang w:val="en-US" w:eastAsia="zh-CN"/>
        </w:rPr>
        <w:t>3</w:t>
      </w:r>
      <w:r>
        <w:rPr>
          <w:rFonts w:hint="eastAsia"/>
          <w:color w:val="auto"/>
          <w:highlight w:val="none"/>
          <w:u w:val="single"/>
          <w:lang w:eastAsia="zh-CN"/>
        </w:rPr>
        <w:t>）</w:t>
      </w:r>
      <w:r>
        <w:rPr>
          <w:color w:val="auto"/>
          <w:highlight w:val="none"/>
          <w:u w:val="single"/>
        </w:rPr>
        <w:t xml:space="preserve"> </w:t>
      </w:r>
      <w:r>
        <w:rPr>
          <w:rFonts w:hint="eastAsia" w:hAnsi="宋体" w:cs="宋体"/>
          <w:color w:val="auto"/>
          <w:highlight w:val="none"/>
        </w:rPr>
        <w:t>种方式：</w:t>
      </w:r>
    </w:p>
    <w:p w14:paraId="00B14E56">
      <w:pPr>
        <w:autoSpaceDE w:val="0"/>
        <w:autoSpaceDN w:val="0"/>
        <w:adjustRightInd w:val="0"/>
        <w:spacing w:line="360" w:lineRule="auto"/>
        <w:ind w:firstLine="420" w:firstLineChars="200"/>
        <w:jc w:val="left"/>
        <w:rPr>
          <w:color w:val="auto"/>
          <w:kern w:val="0"/>
          <w:highlight w:val="none"/>
        </w:rPr>
      </w:pPr>
      <w:r>
        <w:rPr>
          <w:rFonts w:hint="eastAsia" w:hAnsi="宋体" w:cs="宋体"/>
          <w:color w:val="auto"/>
          <w:kern w:val="0"/>
          <w:highlight w:val="none"/>
        </w:rPr>
        <w:t>（</w:t>
      </w:r>
      <w:r>
        <w:rPr>
          <w:color w:val="auto"/>
          <w:kern w:val="0"/>
          <w:highlight w:val="none"/>
        </w:rPr>
        <w:t>1</w:t>
      </w:r>
      <w:r>
        <w:rPr>
          <w:rFonts w:hint="eastAsia" w:hAnsi="宋体" w:cs="宋体"/>
          <w:color w:val="auto"/>
          <w:kern w:val="0"/>
          <w:highlight w:val="none"/>
        </w:rPr>
        <w:t>）质量保证金保函</w:t>
      </w:r>
      <w:r>
        <w:rPr>
          <w:rFonts w:hint="eastAsia" w:ascii="Times New Roman" w:hAnsi="宋体" w:eastAsia="宋体" w:cs="宋体"/>
          <w:color w:val="auto"/>
          <w:highlight w:val="none"/>
        </w:rPr>
        <w:t>（银行保函、电子保函、保证保险保函、工程担保保函</w:t>
      </w:r>
      <w:r>
        <w:rPr>
          <w:rFonts w:hint="eastAsia" w:ascii="Times New Roman" w:hAnsi="宋体" w:eastAsia="宋体" w:cs="宋体"/>
          <w:color w:val="auto"/>
          <w:highlight w:val="none"/>
          <w:lang w:eastAsia="zh-CN"/>
        </w:rPr>
        <w:t>，</w:t>
      </w:r>
      <w:r>
        <w:rPr>
          <w:rFonts w:hint="eastAsia" w:hAnsi="宋体" w:cs="宋体"/>
          <w:color w:val="auto"/>
          <w:kern w:val="0"/>
          <w:highlight w:val="none"/>
        </w:rPr>
        <w:t>工程担保保证人应将出具的保函相关信息录入“广西建筑市场监管云”平台（http://gxjzsc.caihcloud.com），以实现保函查询及验真功能</w:t>
      </w:r>
      <w:r>
        <w:rPr>
          <w:rFonts w:hint="eastAsia" w:hAnsi="宋体" w:cs="宋体"/>
          <w:color w:val="auto"/>
          <w:kern w:val="0"/>
          <w:highlight w:val="none"/>
          <w:lang w:eastAsia="zh-CN"/>
        </w:rPr>
        <w:t>。</w:t>
      </w:r>
      <w:r>
        <w:rPr>
          <w:rFonts w:hint="eastAsia" w:ascii="Times New Roman" w:hAnsi="宋体" w:eastAsia="宋体" w:cs="宋体"/>
          <w:color w:val="auto"/>
          <w:highlight w:val="none"/>
        </w:rPr>
        <w:t>）</w:t>
      </w:r>
      <w:r>
        <w:rPr>
          <w:rFonts w:hint="eastAsia" w:hAnsi="宋体" w:cs="宋体"/>
          <w:color w:val="auto"/>
          <w:kern w:val="0"/>
          <w:highlight w:val="none"/>
        </w:rPr>
        <w:t>，保证金额为：</w:t>
      </w:r>
      <w:r>
        <w:rPr>
          <w:color w:val="auto"/>
          <w:kern w:val="0"/>
          <w:highlight w:val="none"/>
          <w:u w:val="single"/>
        </w:rPr>
        <w:t xml:space="preserve">                   </w:t>
      </w:r>
      <w:r>
        <w:rPr>
          <w:rFonts w:hint="eastAsia" w:hAnsi="宋体" w:cs="宋体"/>
          <w:color w:val="auto"/>
          <w:kern w:val="0"/>
          <w:highlight w:val="none"/>
        </w:rPr>
        <w:t>；</w:t>
      </w:r>
    </w:p>
    <w:p w14:paraId="3A10D9D1">
      <w:pPr>
        <w:autoSpaceDE w:val="0"/>
        <w:autoSpaceDN w:val="0"/>
        <w:adjustRightInd w:val="0"/>
        <w:spacing w:line="360" w:lineRule="auto"/>
        <w:ind w:firstLine="420" w:firstLineChars="200"/>
        <w:jc w:val="left"/>
        <w:rPr>
          <w:color w:val="auto"/>
          <w:kern w:val="0"/>
          <w:highlight w:val="none"/>
        </w:rPr>
      </w:pPr>
      <w:r>
        <w:rPr>
          <w:rFonts w:hint="eastAsia" w:hAnsi="宋体" w:cs="宋体"/>
          <w:color w:val="auto"/>
          <w:kern w:val="0"/>
          <w:highlight w:val="none"/>
        </w:rPr>
        <w:t>（</w:t>
      </w:r>
      <w:r>
        <w:rPr>
          <w:color w:val="auto"/>
          <w:kern w:val="0"/>
          <w:highlight w:val="none"/>
        </w:rPr>
        <w:t>2</w:t>
      </w:r>
      <w:r>
        <w:rPr>
          <w:rFonts w:hint="eastAsia" w:hAnsi="宋体" w:cs="宋体"/>
          <w:color w:val="auto"/>
          <w:kern w:val="0"/>
          <w:highlight w:val="none"/>
        </w:rPr>
        <w:t>）</w:t>
      </w:r>
      <w:r>
        <w:rPr>
          <w:rFonts w:hint="eastAsia" w:hAnsi="宋体" w:cs="宋体"/>
          <w:color w:val="auto"/>
          <w:highlight w:val="none"/>
        </w:rPr>
        <w:t>发包人按工程价款结算总额的</w:t>
      </w:r>
      <w:r>
        <w:rPr>
          <w:rFonts w:hAnsi="宋体"/>
          <w:color w:val="auto"/>
          <w:highlight w:val="none"/>
          <w:u w:val="single"/>
        </w:rPr>
        <w:t xml:space="preserve">   </w:t>
      </w:r>
      <w:r>
        <w:rPr>
          <w:color w:val="auto"/>
          <w:highlight w:val="none"/>
        </w:rPr>
        <w:t>%</w:t>
      </w:r>
      <w:r>
        <w:rPr>
          <w:rFonts w:hint="eastAsia" w:cs="宋体"/>
          <w:color w:val="auto"/>
          <w:highlight w:val="none"/>
        </w:rPr>
        <w:t>（不得超过</w:t>
      </w:r>
      <w:r>
        <w:rPr>
          <w:color w:val="auto"/>
          <w:highlight w:val="none"/>
        </w:rPr>
        <w:t>3%</w:t>
      </w:r>
      <w:r>
        <w:rPr>
          <w:rFonts w:hint="eastAsia" w:cs="宋体"/>
          <w:color w:val="auto"/>
          <w:highlight w:val="none"/>
        </w:rPr>
        <w:t>）</w:t>
      </w:r>
      <w:r>
        <w:rPr>
          <w:rFonts w:hint="eastAsia" w:hAnsi="宋体" w:cs="宋体"/>
          <w:color w:val="auto"/>
          <w:highlight w:val="none"/>
        </w:rPr>
        <w:t>预留工程质量保证金，待缺陷责任期满后返还，是否付息及利息计算方式为：</w:t>
      </w:r>
      <w:r>
        <w:rPr>
          <w:rFonts w:hint="eastAsia" w:hAnsi="宋体" w:cs="宋体"/>
          <w:color w:val="auto"/>
          <w:highlight w:val="none"/>
          <w:u w:val="single"/>
        </w:rPr>
        <w:t xml:space="preserve">                                      </w:t>
      </w:r>
      <w:r>
        <w:rPr>
          <w:rFonts w:hint="eastAsia" w:hAnsi="宋体" w:cs="宋体"/>
          <w:color w:val="auto"/>
          <w:kern w:val="0"/>
          <w:highlight w:val="none"/>
        </w:rPr>
        <w:t>；</w:t>
      </w:r>
    </w:p>
    <w:p w14:paraId="58D3CC52">
      <w:pPr>
        <w:autoSpaceDE w:val="0"/>
        <w:autoSpaceDN w:val="0"/>
        <w:adjustRightInd w:val="0"/>
        <w:spacing w:line="360" w:lineRule="auto"/>
        <w:ind w:firstLine="420" w:firstLineChars="200"/>
        <w:jc w:val="left"/>
        <w:rPr>
          <w:color w:val="auto"/>
          <w:kern w:val="0"/>
          <w:highlight w:val="none"/>
        </w:rPr>
      </w:pPr>
      <w:r>
        <w:rPr>
          <w:rFonts w:hint="eastAsia" w:hAnsi="宋体" w:cs="宋体"/>
          <w:color w:val="auto"/>
          <w:kern w:val="0"/>
          <w:highlight w:val="none"/>
        </w:rPr>
        <w:t>（</w:t>
      </w:r>
      <w:r>
        <w:rPr>
          <w:color w:val="auto"/>
          <w:kern w:val="0"/>
          <w:highlight w:val="none"/>
        </w:rPr>
        <w:t>3</w:t>
      </w:r>
      <w:r>
        <w:rPr>
          <w:rFonts w:hint="eastAsia" w:hAnsi="宋体" w:cs="宋体"/>
          <w:color w:val="auto"/>
          <w:kern w:val="0"/>
          <w:highlight w:val="none"/>
        </w:rPr>
        <w:t>）其他方式</w:t>
      </w:r>
      <w:r>
        <w:rPr>
          <w:rFonts w:hint="eastAsia" w:cs="宋体"/>
          <w:color w:val="auto"/>
          <w:kern w:val="0"/>
          <w:highlight w:val="none"/>
        </w:rPr>
        <w:t>：</w:t>
      </w:r>
      <w:r>
        <w:rPr>
          <w:rFonts w:hint="eastAsia" w:ascii="Times New Roman" w:hAnsi="宋体" w:eastAsia="宋体" w:cs="宋体"/>
          <w:color w:val="auto"/>
          <w:highlight w:val="none"/>
        </w:rPr>
        <w:t>银行转账、电汇或网上支付等</w:t>
      </w:r>
      <w:r>
        <w:rPr>
          <w:rFonts w:hint="eastAsia" w:ascii="Times New Roman" w:hAnsi="宋体" w:eastAsia="宋体" w:cs="宋体"/>
          <w:color w:val="auto"/>
          <w:highlight w:val="none"/>
          <w:lang w:eastAsia="zh-CN"/>
        </w:rPr>
        <w:t>形</w:t>
      </w:r>
      <w:r>
        <w:rPr>
          <w:rFonts w:hint="eastAsia" w:ascii="Times New Roman" w:hAnsi="宋体" w:eastAsia="宋体" w:cs="宋体"/>
          <w:color w:val="auto"/>
          <w:highlight w:val="none"/>
        </w:rPr>
        <w:t>式</w:t>
      </w:r>
      <w:r>
        <w:rPr>
          <w:rFonts w:hint="eastAsia" w:hAnsi="宋体" w:cs="宋体"/>
          <w:color w:val="auto"/>
          <w:highlight w:val="none"/>
        </w:rPr>
        <w:t>。</w:t>
      </w:r>
    </w:p>
    <w:p w14:paraId="0EC3C449">
      <w:pPr>
        <w:spacing w:line="360" w:lineRule="auto"/>
        <w:ind w:firstLine="420" w:firstLineChars="200"/>
        <w:jc w:val="left"/>
        <w:rPr>
          <w:color w:val="auto"/>
          <w:highlight w:val="none"/>
        </w:rPr>
      </w:pPr>
      <w:r>
        <w:rPr>
          <w:color w:val="auto"/>
          <w:highlight w:val="none"/>
        </w:rPr>
        <w:t xml:space="preserve">15.3.2 </w:t>
      </w:r>
      <w:r>
        <w:rPr>
          <w:rFonts w:hint="eastAsia" w:hAnsi="宋体" w:cs="宋体"/>
          <w:color w:val="auto"/>
          <w:highlight w:val="none"/>
        </w:rPr>
        <w:t>质量保证金的扣留</w:t>
      </w:r>
    </w:p>
    <w:p w14:paraId="61F7E7D5">
      <w:pPr>
        <w:spacing w:line="360" w:lineRule="auto"/>
        <w:ind w:firstLine="420" w:firstLineChars="200"/>
        <w:jc w:val="left"/>
        <w:rPr>
          <w:color w:val="auto"/>
          <w:highlight w:val="none"/>
        </w:rPr>
      </w:pPr>
      <w:r>
        <w:rPr>
          <w:rFonts w:hint="eastAsia" w:hAnsi="宋体" w:cs="宋体"/>
          <w:color w:val="auto"/>
          <w:highlight w:val="none"/>
        </w:rPr>
        <w:t>质量保证金的扣留采取以下第</w:t>
      </w:r>
      <w:r>
        <w:rPr>
          <w:color w:val="auto"/>
          <w:highlight w:val="none"/>
          <w:u w:val="single"/>
        </w:rPr>
        <w:t xml:space="preserve"> </w:t>
      </w:r>
      <w:r>
        <w:rPr>
          <w:rFonts w:hint="eastAsia"/>
          <w:color w:val="auto"/>
          <w:highlight w:val="none"/>
          <w:u w:val="single"/>
          <w:lang w:eastAsia="zh-CN"/>
        </w:rPr>
        <w:t>（</w:t>
      </w:r>
      <w:r>
        <w:rPr>
          <w:rFonts w:hint="eastAsia"/>
          <w:color w:val="auto"/>
          <w:highlight w:val="none"/>
          <w:u w:val="single"/>
          <w:lang w:val="en-US" w:eastAsia="zh-CN"/>
        </w:rPr>
        <w:t>2</w:t>
      </w:r>
      <w:r>
        <w:rPr>
          <w:rFonts w:hint="eastAsia"/>
          <w:color w:val="auto"/>
          <w:highlight w:val="none"/>
          <w:u w:val="single"/>
          <w:lang w:eastAsia="zh-CN"/>
        </w:rPr>
        <w:t>）</w:t>
      </w:r>
      <w:r>
        <w:rPr>
          <w:color w:val="auto"/>
          <w:highlight w:val="none"/>
          <w:u w:val="single"/>
        </w:rPr>
        <w:t xml:space="preserve"> </w:t>
      </w:r>
      <w:r>
        <w:rPr>
          <w:rFonts w:hint="eastAsia" w:hAnsi="宋体" w:cs="宋体"/>
          <w:color w:val="auto"/>
          <w:highlight w:val="none"/>
        </w:rPr>
        <w:t>种方式：</w:t>
      </w:r>
    </w:p>
    <w:p w14:paraId="5F915427">
      <w:pPr>
        <w:autoSpaceDE w:val="0"/>
        <w:autoSpaceDN w:val="0"/>
        <w:adjustRightInd w:val="0"/>
        <w:spacing w:line="360" w:lineRule="auto"/>
        <w:ind w:firstLine="420" w:firstLineChars="200"/>
        <w:jc w:val="left"/>
        <w:rPr>
          <w:color w:val="auto"/>
          <w:kern w:val="0"/>
          <w:highlight w:val="none"/>
        </w:rPr>
      </w:pPr>
      <w:r>
        <w:rPr>
          <w:rFonts w:hint="eastAsia" w:hAnsi="宋体" w:cs="宋体"/>
          <w:color w:val="auto"/>
          <w:kern w:val="0"/>
          <w:highlight w:val="none"/>
        </w:rPr>
        <w:t>（</w:t>
      </w:r>
      <w:r>
        <w:rPr>
          <w:color w:val="auto"/>
          <w:kern w:val="0"/>
          <w:highlight w:val="none"/>
        </w:rPr>
        <w:t>1</w:t>
      </w:r>
      <w:r>
        <w:rPr>
          <w:rFonts w:hint="eastAsia" w:hAnsi="宋体" w:cs="宋体"/>
          <w:color w:val="auto"/>
          <w:kern w:val="0"/>
          <w:highlight w:val="none"/>
        </w:rPr>
        <w:t>）在</w:t>
      </w:r>
      <w:r>
        <w:rPr>
          <w:rFonts w:hAnsi="宋体" w:cs="宋体"/>
          <w:color w:val="auto"/>
          <w:kern w:val="0"/>
          <w:highlight w:val="none"/>
        </w:rPr>
        <w:t>不缴纳履</w:t>
      </w:r>
      <w:r>
        <w:rPr>
          <w:rFonts w:hint="eastAsia" w:hAnsi="宋体" w:cs="宋体"/>
          <w:color w:val="auto"/>
          <w:kern w:val="0"/>
          <w:highlight w:val="none"/>
        </w:rPr>
        <w:t>保</w:t>
      </w:r>
      <w:r>
        <w:rPr>
          <w:rFonts w:hAnsi="宋体" w:cs="宋体"/>
          <w:color w:val="auto"/>
          <w:kern w:val="0"/>
          <w:highlight w:val="none"/>
        </w:rPr>
        <w:t>证金情况下</w:t>
      </w:r>
      <w:r>
        <w:rPr>
          <w:rFonts w:hint="eastAsia" w:hAnsi="宋体" w:cs="宋体"/>
          <w:color w:val="auto"/>
          <w:kern w:val="0"/>
          <w:highlight w:val="none"/>
        </w:rPr>
        <w:t>，按支付工程进度款时逐次扣留，质量保证金的计算基数不包括预付款的支付、扣回以及价格调整的金额；</w:t>
      </w:r>
    </w:p>
    <w:p w14:paraId="5BB24155">
      <w:pPr>
        <w:autoSpaceDE w:val="0"/>
        <w:autoSpaceDN w:val="0"/>
        <w:adjustRightInd w:val="0"/>
        <w:spacing w:line="360" w:lineRule="auto"/>
        <w:ind w:firstLine="420" w:firstLineChars="200"/>
        <w:jc w:val="left"/>
        <w:rPr>
          <w:color w:val="auto"/>
          <w:kern w:val="0"/>
          <w:highlight w:val="none"/>
        </w:rPr>
      </w:pPr>
      <w:r>
        <w:rPr>
          <w:rFonts w:hint="eastAsia" w:hAnsi="宋体" w:cs="宋体"/>
          <w:color w:val="auto"/>
          <w:kern w:val="0"/>
          <w:highlight w:val="none"/>
        </w:rPr>
        <w:t>（</w:t>
      </w:r>
      <w:r>
        <w:rPr>
          <w:color w:val="auto"/>
          <w:kern w:val="0"/>
          <w:highlight w:val="none"/>
        </w:rPr>
        <w:t>2</w:t>
      </w:r>
      <w:r>
        <w:rPr>
          <w:rFonts w:hint="eastAsia" w:hAnsi="宋体" w:cs="宋体"/>
          <w:color w:val="auto"/>
          <w:kern w:val="0"/>
          <w:highlight w:val="none"/>
        </w:rPr>
        <w:t>）工程竣工结算时，一次性扣留质量保证金，</w:t>
      </w:r>
      <w:r>
        <w:rPr>
          <w:rFonts w:hAnsi="宋体" w:cs="宋体"/>
          <w:color w:val="auto"/>
          <w:kern w:val="0"/>
          <w:highlight w:val="none"/>
        </w:rPr>
        <w:t>由承包人以银行保函</w:t>
      </w:r>
      <w:r>
        <w:rPr>
          <w:rFonts w:hint="eastAsia" w:hAnsi="宋体" w:cs="宋体"/>
          <w:color w:val="auto"/>
          <w:kern w:val="0"/>
          <w:highlight w:val="none"/>
        </w:rPr>
        <w:t>、保证保险</w:t>
      </w:r>
      <w:r>
        <w:rPr>
          <w:rFonts w:hAnsi="宋体" w:cs="宋体"/>
          <w:color w:val="auto"/>
          <w:kern w:val="0"/>
          <w:highlight w:val="none"/>
        </w:rPr>
        <w:t>替代预留</w:t>
      </w:r>
      <w:r>
        <w:rPr>
          <w:rFonts w:hint="eastAsia" w:hAnsi="宋体" w:cs="宋体"/>
          <w:color w:val="auto"/>
          <w:kern w:val="0"/>
          <w:highlight w:val="none"/>
        </w:rPr>
        <w:t>质量</w:t>
      </w:r>
      <w:r>
        <w:rPr>
          <w:rFonts w:hAnsi="宋体" w:cs="宋体"/>
          <w:color w:val="auto"/>
          <w:kern w:val="0"/>
          <w:highlight w:val="none"/>
        </w:rPr>
        <w:t>保证金</w:t>
      </w:r>
      <w:r>
        <w:rPr>
          <w:rFonts w:hint="eastAsia" w:hAnsi="宋体" w:cs="宋体"/>
          <w:color w:val="auto"/>
          <w:kern w:val="0"/>
          <w:highlight w:val="none"/>
        </w:rPr>
        <w:t>，</w:t>
      </w:r>
      <w:r>
        <w:rPr>
          <w:rFonts w:hAnsi="宋体" w:cs="宋体"/>
          <w:color w:val="auto"/>
          <w:kern w:val="0"/>
          <w:highlight w:val="none"/>
        </w:rPr>
        <w:t>保函金额不得高</w:t>
      </w:r>
      <w:r>
        <w:rPr>
          <w:rFonts w:hint="eastAsia" w:hAnsi="宋体" w:cs="宋体"/>
          <w:color w:val="auto"/>
          <w:kern w:val="0"/>
          <w:highlight w:val="none"/>
        </w:rPr>
        <w:t>于</w:t>
      </w:r>
      <w:r>
        <w:rPr>
          <w:rFonts w:hAnsi="宋体" w:cs="宋体"/>
          <w:color w:val="auto"/>
          <w:kern w:val="0"/>
          <w:highlight w:val="none"/>
        </w:rPr>
        <w:t>工程价款结算总额的</w:t>
      </w:r>
      <w:r>
        <w:rPr>
          <w:rFonts w:hint="eastAsia" w:hAnsi="宋体" w:cs="宋体"/>
          <w:color w:val="auto"/>
          <w:kern w:val="0"/>
          <w:highlight w:val="none"/>
        </w:rPr>
        <w:t>3</w:t>
      </w:r>
      <w:r>
        <w:rPr>
          <w:rFonts w:hAnsi="宋体" w:cs="宋体"/>
          <w:color w:val="auto"/>
          <w:kern w:val="0"/>
          <w:highlight w:val="none"/>
        </w:rPr>
        <w:t>%</w:t>
      </w:r>
      <w:r>
        <w:rPr>
          <w:rFonts w:hint="eastAsia" w:hAnsi="宋体" w:cs="宋体"/>
          <w:color w:val="auto"/>
          <w:kern w:val="0"/>
          <w:highlight w:val="none"/>
        </w:rPr>
        <w:t>；</w:t>
      </w:r>
    </w:p>
    <w:p w14:paraId="24F1E694">
      <w:pPr>
        <w:autoSpaceDE w:val="0"/>
        <w:autoSpaceDN w:val="0"/>
        <w:adjustRightInd w:val="0"/>
        <w:spacing w:line="360" w:lineRule="auto"/>
        <w:ind w:firstLine="420" w:firstLineChars="200"/>
        <w:jc w:val="left"/>
        <w:rPr>
          <w:color w:val="auto"/>
          <w:kern w:val="0"/>
          <w:highlight w:val="none"/>
        </w:rPr>
      </w:pPr>
      <w:r>
        <w:rPr>
          <w:rFonts w:hint="eastAsia" w:hAnsi="宋体" w:cs="宋体"/>
          <w:color w:val="auto"/>
          <w:kern w:val="0"/>
          <w:highlight w:val="none"/>
        </w:rPr>
        <w:t>（</w:t>
      </w:r>
      <w:r>
        <w:rPr>
          <w:color w:val="auto"/>
          <w:kern w:val="0"/>
          <w:highlight w:val="none"/>
        </w:rPr>
        <w:t>3</w:t>
      </w:r>
      <w:r>
        <w:rPr>
          <w:rFonts w:hint="eastAsia" w:hAnsi="宋体" w:cs="宋体"/>
          <w:color w:val="auto"/>
          <w:kern w:val="0"/>
          <w:highlight w:val="none"/>
        </w:rPr>
        <w:t>）其他扣留方式</w:t>
      </w:r>
      <w:r>
        <w:rPr>
          <w:rFonts w:hint="eastAsia"/>
          <w:color w:val="auto"/>
          <w:kern w:val="0"/>
          <w:highlight w:val="none"/>
          <w:lang w:eastAsia="zh-CN"/>
        </w:rPr>
        <w:t>：</w:t>
      </w:r>
      <w:r>
        <w:rPr>
          <w:rFonts w:hint="eastAsia" w:ascii="Times New Roman" w:hAnsi="宋体" w:eastAsia="宋体" w:cs="宋体"/>
          <w:color w:val="auto"/>
          <w:highlight w:val="none"/>
        </w:rPr>
        <w:t>银行转账、电汇或网上支付、保函（银行保函、电子保函、保证保险保函、工程担保保函）等</w:t>
      </w:r>
      <w:r>
        <w:rPr>
          <w:rFonts w:hint="eastAsia" w:ascii="Times New Roman" w:hAnsi="宋体" w:eastAsia="宋体" w:cs="宋体"/>
          <w:color w:val="auto"/>
          <w:highlight w:val="none"/>
          <w:lang w:eastAsia="zh-CN"/>
        </w:rPr>
        <w:t>形</w:t>
      </w:r>
      <w:r>
        <w:rPr>
          <w:rFonts w:hint="eastAsia" w:ascii="Times New Roman" w:hAnsi="宋体" w:eastAsia="宋体" w:cs="宋体"/>
          <w:color w:val="auto"/>
          <w:highlight w:val="none"/>
        </w:rPr>
        <w:t>式</w:t>
      </w:r>
      <w:r>
        <w:rPr>
          <w:rFonts w:hint="eastAsia" w:hAnsi="宋体" w:cs="宋体"/>
          <w:color w:val="auto"/>
          <w:kern w:val="0"/>
          <w:highlight w:val="none"/>
        </w:rPr>
        <w:t>。</w:t>
      </w:r>
    </w:p>
    <w:p w14:paraId="1A75599A">
      <w:pPr>
        <w:spacing w:line="360" w:lineRule="auto"/>
        <w:ind w:firstLine="420" w:firstLineChars="200"/>
        <w:jc w:val="left"/>
        <w:rPr>
          <w:color w:val="auto"/>
          <w:kern w:val="0"/>
          <w:highlight w:val="none"/>
          <w:u w:val="single"/>
        </w:rPr>
      </w:pPr>
      <w:r>
        <w:rPr>
          <w:rFonts w:hint="eastAsia" w:hAnsi="宋体" w:cs="宋体"/>
          <w:color w:val="auto"/>
          <w:highlight w:val="none"/>
        </w:rPr>
        <w:t>关于质量保证金的补充约定：</w:t>
      </w:r>
      <w:r>
        <w:rPr>
          <w:color w:val="auto"/>
          <w:kern w:val="0"/>
          <w:highlight w:val="none"/>
          <w:u w:val="single"/>
        </w:rPr>
        <w:t xml:space="preserve">                            </w:t>
      </w:r>
      <w:r>
        <w:rPr>
          <w:rFonts w:hint="eastAsia" w:hAnsi="宋体" w:cs="宋体"/>
          <w:color w:val="auto"/>
          <w:kern w:val="0"/>
          <w:highlight w:val="none"/>
        </w:rPr>
        <w:t>。</w:t>
      </w:r>
    </w:p>
    <w:bookmarkEnd w:id="1251"/>
    <w:bookmarkEnd w:id="1252"/>
    <w:p w14:paraId="032C1D38">
      <w:pPr>
        <w:pStyle w:val="4"/>
        <w:rPr>
          <w:color w:val="auto"/>
          <w:highlight w:val="none"/>
        </w:rPr>
      </w:pPr>
      <w:bookmarkStart w:id="1297" w:name="_Toc1902722111"/>
      <w:bookmarkStart w:id="1298" w:name="_Toc389065330"/>
      <w:bookmarkStart w:id="1299" w:name="_Toc78449854"/>
      <w:bookmarkStart w:id="1300" w:name="_Toc373478412"/>
      <w:bookmarkStart w:id="1301" w:name="_Toc196306762"/>
      <w:bookmarkStart w:id="1302" w:name="_Toc373227765"/>
      <w:bookmarkStart w:id="1303" w:name="_Toc407135268"/>
      <w:bookmarkStart w:id="1304" w:name="_Toc9472"/>
      <w:r>
        <w:rPr>
          <w:color w:val="auto"/>
          <w:highlight w:val="none"/>
        </w:rPr>
        <w:t xml:space="preserve">15.4 </w:t>
      </w:r>
      <w:r>
        <w:rPr>
          <w:rFonts w:hint="eastAsia" w:hAnsi="宋体" w:cs="黑体"/>
          <w:color w:val="auto"/>
          <w:highlight w:val="none"/>
        </w:rPr>
        <w:t>保修</w:t>
      </w:r>
      <w:bookmarkEnd w:id="1297"/>
      <w:bookmarkEnd w:id="1298"/>
      <w:bookmarkEnd w:id="1299"/>
      <w:bookmarkEnd w:id="1300"/>
      <w:bookmarkEnd w:id="1301"/>
      <w:bookmarkEnd w:id="1302"/>
      <w:bookmarkEnd w:id="1303"/>
      <w:bookmarkEnd w:id="1304"/>
    </w:p>
    <w:bookmarkEnd w:id="1253"/>
    <w:p w14:paraId="7B176C81">
      <w:pPr>
        <w:spacing w:line="360" w:lineRule="auto"/>
        <w:ind w:firstLine="409" w:firstLineChars="195"/>
        <w:jc w:val="left"/>
        <w:outlineLvl w:val="0"/>
        <w:rPr>
          <w:color w:val="auto"/>
          <w:highlight w:val="none"/>
        </w:rPr>
      </w:pPr>
      <w:bookmarkStart w:id="1305" w:name="_Toc1416"/>
      <w:r>
        <w:rPr>
          <w:color w:val="auto"/>
          <w:highlight w:val="none"/>
        </w:rPr>
        <w:t xml:space="preserve">15.4.1 </w:t>
      </w:r>
      <w:r>
        <w:rPr>
          <w:rFonts w:hint="eastAsia" w:hAnsi="宋体" w:cs="宋体"/>
          <w:color w:val="auto"/>
          <w:highlight w:val="none"/>
        </w:rPr>
        <w:t>保修责任</w:t>
      </w:r>
      <w:bookmarkEnd w:id="1305"/>
    </w:p>
    <w:p w14:paraId="59DBD199">
      <w:pPr>
        <w:spacing w:line="360" w:lineRule="auto"/>
        <w:ind w:firstLine="409" w:firstLineChars="195"/>
        <w:jc w:val="left"/>
        <w:rPr>
          <w:rFonts w:hAnsi="宋体"/>
          <w:color w:val="auto"/>
          <w:kern w:val="0"/>
          <w:highlight w:val="none"/>
        </w:rPr>
      </w:pPr>
      <w:r>
        <w:rPr>
          <w:rFonts w:hint="eastAsia" w:hAnsi="宋体" w:cs="宋体"/>
          <w:color w:val="auto"/>
          <w:highlight w:val="none"/>
        </w:rPr>
        <w:t>工程保修期为：</w:t>
      </w:r>
      <w:r>
        <w:rPr>
          <w:rFonts w:hint="eastAsia"/>
          <w:color w:val="auto"/>
          <w:kern w:val="0"/>
          <w:highlight w:val="none"/>
          <w:u w:val="single"/>
        </w:rPr>
        <w:t xml:space="preserve">见工程质量保修书 </w:t>
      </w:r>
      <w:r>
        <w:rPr>
          <w:rFonts w:hint="eastAsia" w:hAnsi="宋体" w:cs="宋体"/>
          <w:color w:val="auto"/>
          <w:kern w:val="0"/>
          <w:highlight w:val="none"/>
        </w:rPr>
        <w:t>。</w:t>
      </w:r>
    </w:p>
    <w:p w14:paraId="6820F607">
      <w:pPr>
        <w:spacing w:line="360" w:lineRule="auto"/>
        <w:ind w:firstLine="409" w:firstLineChars="195"/>
        <w:jc w:val="left"/>
        <w:rPr>
          <w:color w:val="auto"/>
          <w:kern w:val="0"/>
          <w:highlight w:val="none"/>
          <w:u w:val="single"/>
        </w:rPr>
      </w:pPr>
      <w:r>
        <w:rPr>
          <w:rFonts w:hint="eastAsia" w:ascii="宋体" w:hAnsi="宋体" w:cs="宋体"/>
          <w:color w:val="auto"/>
          <w:highlight w:val="none"/>
        </w:rPr>
        <w:t>工程保修书具体内容见合同附件2。</w:t>
      </w:r>
    </w:p>
    <w:p w14:paraId="183C0689">
      <w:pPr>
        <w:spacing w:line="360" w:lineRule="auto"/>
        <w:ind w:firstLine="409" w:firstLineChars="195"/>
        <w:jc w:val="left"/>
        <w:rPr>
          <w:color w:val="auto"/>
          <w:highlight w:val="none"/>
        </w:rPr>
      </w:pPr>
      <w:r>
        <w:rPr>
          <w:color w:val="auto"/>
          <w:highlight w:val="none"/>
        </w:rPr>
        <w:t xml:space="preserve">15.4.3 </w:t>
      </w:r>
      <w:r>
        <w:rPr>
          <w:rFonts w:hint="eastAsia" w:hAnsi="宋体" w:cs="宋体"/>
          <w:color w:val="auto"/>
          <w:highlight w:val="none"/>
        </w:rPr>
        <w:t>修复通知</w:t>
      </w:r>
    </w:p>
    <w:p w14:paraId="657243AF">
      <w:pPr>
        <w:spacing w:line="360" w:lineRule="auto"/>
        <w:ind w:firstLine="409" w:firstLineChars="195"/>
        <w:jc w:val="left"/>
        <w:rPr>
          <w:color w:val="auto"/>
          <w:kern w:val="0"/>
          <w:highlight w:val="none"/>
          <w:u w:val="single"/>
        </w:rPr>
      </w:pPr>
      <w:r>
        <w:rPr>
          <w:rFonts w:hint="eastAsia" w:hAnsi="宋体" w:cs="宋体"/>
          <w:color w:val="auto"/>
          <w:kern w:val="0"/>
          <w:highlight w:val="none"/>
        </w:rPr>
        <w:t>承包人收到保修通知并到达工程现场的合理时间：</w:t>
      </w:r>
      <w:r>
        <w:rPr>
          <w:rFonts w:hint="eastAsia"/>
          <w:color w:val="auto"/>
          <w:kern w:val="0"/>
          <w:highlight w:val="none"/>
          <w:u w:val="single"/>
        </w:rPr>
        <w:t xml:space="preserve"> 收到通知后 24 小时内 </w:t>
      </w:r>
      <w:r>
        <w:rPr>
          <w:rFonts w:hint="eastAsia" w:hAnsi="宋体" w:cs="宋体"/>
          <w:color w:val="auto"/>
          <w:kern w:val="0"/>
          <w:highlight w:val="none"/>
        </w:rPr>
        <w:t>。</w:t>
      </w:r>
    </w:p>
    <w:bookmarkEnd w:id="1254"/>
    <w:bookmarkEnd w:id="1255"/>
    <w:bookmarkEnd w:id="1256"/>
    <w:bookmarkEnd w:id="1257"/>
    <w:p w14:paraId="6C890483">
      <w:pPr>
        <w:pStyle w:val="3"/>
        <w:rPr>
          <w:color w:val="auto"/>
          <w:highlight w:val="none"/>
        </w:rPr>
      </w:pPr>
      <w:bookmarkStart w:id="1306" w:name="_Toc373478413"/>
      <w:bookmarkStart w:id="1307" w:name="_Toc78449855"/>
      <w:bookmarkStart w:id="1308" w:name="_Toc407135269"/>
      <w:bookmarkStart w:id="1309" w:name="_Toc373227766"/>
      <w:bookmarkStart w:id="1310" w:name="_Toc1360137061"/>
      <w:bookmarkStart w:id="1311" w:name="_Toc389065331"/>
      <w:bookmarkStart w:id="1312" w:name="_Toc31289"/>
      <w:bookmarkStart w:id="1313" w:name="_Toc351203648"/>
      <w:bookmarkStart w:id="1314" w:name="_Toc1725581915"/>
      <w:bookmarkStart w:id="1315" w:name="_Toc280868717"/>
      <w:bookmarkStart w:id="1316" w:name="_Toc280868718"/>
      <w:r>
        <w:rPr>
          <w:color w:val="auto"/>
          <w:highlight w:val="none"/>
        </w:rPr>
        <w:t xml:space="preserve">16. </w:t>
      </w:r>
      <w:r>
        <w:rPr>
          <w:rFonts w:hint="eastAsia" w:hAnsi="宋体" w:cs="黑体"/>
          <w:color w:val="auto"/>
          <w:highlight w:val="none"/>
        </w:rPr>
        <w:t>违约</w:t>
      </w:r>
      <w:bookmarkEnd w:id="1306"/>
      <w:bookmarkEnd w:id="1307"/>
      <w:bookmarkEnd w:id="1308"/>
      <w:bookmarkEnd w:id="1309"/>
      <w:bookmarkEnd w:id="1310"/>
      <w:bookmarkEnd w:id="1311"/>
      <w:bookmarkEnd w:id="1312"/>
      <w:bookmarkEnd w:id="1313"/>
      <w:bookmarkEnd w:id="1314"/>
    </w:p>
    <w:p w14:paraId="4A7AB0BE">
      <w:pPr>
        <w:pStyle w:val="4"/>
        <w:rPr>
          <w:color w:val="auto"/>
          <w:highlight w:val="none"/>
        </w:rPr>
      </w:pPr>
      <w:bookmarkStart w:id="1317" w:name="_Toc78449856"/>
      <w:bookmarkStart w:id="1318" w:name="_Toc373478414"/>
      <w:bookmarkStart w:id="1319" w:name="_Toc1973395665"/>
      <w:bookmarkStart w:id="1320" w:name="_Toc1535389315"/>
      <w:bookmarkStart w:id="1321" w:name="_Toc389065332"/>
      <w:bookmarkStart w:id="1322" w:name="_Toc373227767"/>
      <w:bookmarkStart w:id="1323" w:name="_Toc7675"/>
      <w:bookmarkStart w:id="1324" w:name="_Toc407135270"/>
      <w:r>
        <w:rPr>
          <w:color w:val="auto"/>
          <w:highlight w:val="none"/>
        </w:rPr>
        <w:t xml:space="preserve">16.1 </w:t>
      </w:r>
      <w:r>
        <w:rPr>
          <w:rFonts w:hint="eastAsia" w:hAnsi="宋体" w:cs="黑体"/>
          <w:color w:val="auto"/>
          <w:highlight w:val="none"/>
        </w:rPr>
        <w:t>发包人违约</w:t>
      </w:r>
      <w:bookmarkEnd w:id="1317"/>
      <w:bookmarkEnd w:id="1318"/>
      <w:bookmarkEnd w:id="1319"/>
      <w:bookmarkEnd w:id="1320"/>
      <w:bookmarkEnd w:id="1321"/>
      <w:bookmarkEnd w:id="1322"/>
      <w:bookmarkEnd w:id="1323"/>
      <w:bookmarkEnd w:id="1324"/>
    </w:p>
    <w:p w14:paraId="6D634DC6">
      <w:pPr>
        <w:spacing w:line="360" w:lineRule="auto"/>
        <w:ind w:firstLine="420" w:firstLineChars="200"/>
        <w:jc w:val="left"/>
        <w:rPr>
          <w:color w:val="auto"/>
          <w:highlight w:val="none"/>
        </w:rPr>
      </w:pPr>
      <w:r>
        <w:rPr>
          <w:color w:val="auto"/>
          <w:highlight w:val="none"/>
        </w:rPr>
        <w:t>16.1.1</w:t>
      </w:r>
      <w:r>
        <w:rPr>
          <w:rFonts w:hint="eastAsia" w:hAnsi="宋体" w:cs="宋体"/>
          <w:color w:val="auto"/>
          <w:highlight w:val="none"/>
        </w:rPr>
        <w:t>发包人违约的情形</w:t>
      </w:r>
    </w:p>
    <w:p w14:paraId="51727732">
      <w:pPr>
        <w:spacing w:line="360" w:lineRule="auto"/>
        <w:ind w:firstLine="420" w:firstLineChars="200"/>
        <w:jc w:val="left"/>
        <w:rPr>
          <w:rFonts w:hAnsi="宋体"/>
          <w:color w:val="auto"/>
          <w:kern w:val="0"/>
          <w:highlight w:val="none"/>
        </w:rPr>
      </w:pPr>
      <w:r>
        <w:rPr>
          <w:rFonts w:hint="eastAsia" w:hAnsi="宋体" w:cs="宋体"/>
          <w:color w:val="auto"/>
          <w:kern w:val="0"/>
          <w:highlight w:val="none"/>
        </w:rPr>
        <w:t>发包人违约的其他情形：</w:t>
      </w:r>
      <w:r>
        <w:rPr>
          <w:rFonts w:hint="eastAsia"/>
          <w:color w:val="auto"/>
          <w:kern w:val="0"/>
          <w:highlight w:val="none"/>
          <w:u w:val="single"/>
        </w:rPr>
        <w:t xml:space="preserve">    无   </w:t>
      </w:r>
      <w:r>
        <w:rPr>
          <w:rFonts w:hint="eastAsia" w:hAnsi="宋体" w:cs="宋体"/>
          <w:color w:val="auto"/>
          <w:kern w:val="0"/>
          <w:highlight w:val="none"/>
        </w:rPr>
        <w:t>。</w:t>
      </w:r>
    </w:p>
    <w:p w14:paraId="5C976FAF">
      <w:pPr>
        <w:spacing w:line="360" w:lineRule="auto"/>
        <w:ind w:firstLine="420" w:firstLineChars="200"/>
        <w:jc w:val="left"/>
        <w:outlineLvl w:val="0"/>
        <w:rPr>
          <w:color w:val="auto"/>
          <w:kern w:val="0"/>
          <w:highlight w:val="none"/>
        </w:rPr>
      </w:pPr>
      <w:bookmarkStart w:id="1325" w:name="_Toc7977"/>
      <w:r>
        <w:rPr>
          <w:color w:val="auto"/>
          <w:kern w:val="0"/>
          <w:highlight w:val="none"/>
        </w:rPr>
        <w:t xml:space="preserve">16.1.2 </w:t>
      </w:r>
      <w:r>
        <w:rPr>
          <w:rFonts w:hint="eastAsia" w:hAnsi="宋体" w:cs="宋体"/>
          <w:color w:val="auto"/>
          <w:kern w:val="0"/>
          <w:highlight w:val="none"/>
        </w:rPr>
        <w:t>发包人违约的责任</w:t>
      </w:r>
      <w:bookmarkEnd w:id="1325"/>
    </w:p>
    <w:p w14:paraId="66BED18C">
      <w:pPr>
        <w:spacing w:line="360" w:lineRule="auto"/>
        <w:ind w:firstLine="420" w:firstLineChars="200"/>
        <w:jc w:val="left"/>
        <w:rPr>
          <w:color w:val="auto"/>
          <w:kern w:val="0"/>
          <w:highlight w:val="none"/>
        </w:rPr>
      </w:pPr>
      <w:r>
        <w:rPr>
          <w:rFonts w:hint="eastAsia" w:hAnsi="宋体" w:cs="宋体"/>
          <w:color w:val="auto"/>
          <w:kern w:val="0"/>
          <w:highlight w:val="none"/>
        </w:rPr>
        <w:t>发包人违约责任的承担方式和计算方法：</w:t>
      </w:r>
    </w:p>
    <w:p w14:paraId="508BF8F2">
      <w:pPr>
        <w:spacing w:line="360" w:lineRule="auto"/>
        <w:ind w:firstLine="420" w:firstLineChars="200"/>
        <w:jc w:val="left"/>
        <w:rPr>
          <w:color w:val="auto"/>
          <w:kern w:val="0"/>
          <w:highlight w:val="none"/>
          <w:u w:val="single"/>
        </w:rPr>
      </w:pPr>
      <w:r>
        <w:rPr>
          <w:rFonts w:hint="eastAsia" w:hAnsi="宋体" w:cs="宋体"/>
          <w:color w:val="auto"/>
          <w:kern w:val="0"/>
          <w:highlight w:val="none"/>
        </w:rPr>
        <w:t>（</w:t>
      </w:r>
      <w:r>
        <w:rPr>
          <w:color w:val="auto"/>
          <w:kern w:val="0"/>
          <w:highlight w:val="none"/>
        </w:rPr>
        <w:t>1</w:t>
      </w:r>
      <w:r>
        <w:rPr>
          <w:rFonts w:hint="eastAsia" w:hAnsi="宋体" w:cs="宋体"/>
          <w:color w:val="auto"/>
          <w:kern w:val="0"/>
          <w:highlight w:val="none"/>
        </w:rPr>
        <w:t>）因发包人原因未能在计划开工日期前</w:t>
      </w:r>
      <w:r>
        <w:rPr>
          <w:color w:val="auto"/>
          <w:kern w:val="0"/>
          <w:highlight w:val="none"/>
        </w:rPr>
        <w:t>7</w:t>
      </w:r>
      <w:r>
        <w:rPr>
          <w:rFonts w:hint="eastAsia" w:hAnsi="宋体" w:cs="宋体"/>
          <w:color w:val="auto"/>
          <w:kern w:val="0"/>
          <w:highlight w:val="none"/>
        </w:rPr>
        <w:t>天内下达开工通知的违约责任：</w:t>
      </w:r>
      <w:r>
        <w:rPr>
          <w:rFonts w:ascii="宋体" w:hAnsi="宋体" w:eastAsia="宋体" w:cs="宋体"/>
          <w:color w:val="auto"/>
          <w:spacing w:val="0"/>
          <w:highlight w:val="none"/>
          <w:u w:val="single"/>
        </w:rPr>
        <w:t xml:space="preserve"> 顺延工期 </w:t>
      </w:r>
      <w:r>
        <w:rPr>
          <w:rFonts w:hint="eastAsia" w:hAnsi="宋体" w:cs="宋体"/>
          <w:color w:val="auto"/>
          <w:kern w:val="0"/>
          <w:highlight w:val="none"/>
        </w:rPr>
        <w:t>。</w:t>
      </w:r>
    </w:p>
    <w:p w14:paraId="20745FFE">
      <w:pPr>
        <w:spacing w:line="360" w:lineRule="auto"/>
        <w:ind w:firstLine="420" w:firstLineChars="200"/>
        <w:jc w:val="left"/>
        <w:rPr>
          <w:color w:val="auto"/>
          <w:kern w:val="0"/>
          <w:highlight w:val="none"/>
        </w:rPr>
      </w:pPr>
      <w:r>
        <w:rPr>
          <w:rFonts w:hint="eastAsia" w:hAnsi="宋体" w:cs="宋体"/>
          <w:color w:val="auto"/>
          <w:kern w:val="0"/>
          <w:highlight w:val="none"/>
        </w:rPr>
        <w:t>（</w:t>
      </w:r>
      <w:r>
        <w:rPr>
          <w:color w:val="auto"/>
          <w:kern w:val="0"/>
          <w:highlight w:val="none"/>
        </w:rPr>
        <w:t>2</w:t>
      </w:r>
      <w:r>
        <w:rPr>
          <w:rFonts w:hint="eastAsia" w:hAnsi="宋体" w:cs="宋体"/>
          <w:color w:val="auto"/>
          <w:kern w:val="0"/>
          <w:highlight w:val="none"/>
        </w:rPr>
        <w:t>）因发包人原因未能按合同约定支付合同价款的违约责任：</w:t>
      </w:r>
      <w:r>
        <w:rPr>
          <w:color w:val="auto"/>
          <w:kern w:val="0"/>
          <w:highlight w:val="none"/>
          <w:u w:val="single"/>
        </w:rPr>
        <w:t xml:space="preserve"> </w:t>
      </w:r>
      <w:r>
        <w:rPr>
          <w:rFonts w:ascii="宋体" w:hAnsi="宋体" w:eastAsia="宋体" w:cs="宋体"/>
          <w:color w:val="auto"/>
          <w:spacing w:val="0"/>
          <w:highlight w:val="none"/>
          <w:u w:val="single"/>
        </w:rPr>
        <w:t>承包人与发包人签订延期付款协议，延期付款协议须经承包人认可</w:t>
      </w:r>
      <w:r>
        <w:rPr>
          <w:color w:val="auto"/>
          <w:kern w:val="0"/>
          <w:highlight w:val="none"/>
          <w:u w:val="single"/>
        </w:rPr>
        <w:t xml:space="preserve"> </w:t>
      </w:r>
      <w:r>
        <w:rPr>
          <w:rFonts w:hint="eastAsia" w:hAnsi="宋体" w:cs="宋体"/>
          <w:color w:val="auto"/>
          <w:kern w:val="0"/>
          <w:highlight w:val="none"/>
        </w:rPr>
        <w:t>。</w:t>
      </w:r>
    </w:p>
    <w:p w14:paraId="768A5C82">
      <w:pPr>
        <w:spacing w:line="360" w:lineRule="auto"/>
        <w:ind w:firstLine="420" w:firstLineChars="200"/>
        <w:jc w:val="left"/>
        <w:rPr>
          <w:color w:val="auto"/>
          <w:kern w:val="0"/>
          <w:highlight w:val="none"/>
        </w:rPr>
      </w:pPr>
      <w:r>
        <w:rPr>
          <w:rFonts w:hint="eastAsia" w:hAnsi="宋体" w:cs="宋体"/>
          <w:color w:val="auto"/>
          <w:kern w:val="0"/>
          <w:highlight w:val="none"/>
        </w:rPr>
        <w:t>（</w:t>
      </w:r>
      <w:r>
        <w:rPr>
          <w:color w:val="auto"/>
          <w:kern w:val="0"/>
          <w:highlight w:val="none"/>
        </w:rPr>
        <w:t>3</w:t>
      </w:r>
      <w:r>
        <w:rPr>
          <w:rFonts w:hint="eastAsia" w:hAnsi="宋体" w:cs="宋体"/>
          <w:color w:val="auto"/>
          <w:kern w:val="0"/>
          <w:highlight w:val="none"/>
        </w:rPr>
        <w:t>）发包人违反第</w:t>
      </w:r>
      <w:r>
        <w:rPr>
          <w:color w:val="auto"/>
          <w:kern w:val="0"/>
          <w:highlight w:val="none"/>
        </w:rPr>
        <w:t>10.1</w:t>
      </w:r>
      <w:r>
        <w:rPr>
          <w:rFonts w:hint="eastAsia" w:hAnsi="宋体" w:cs="宋体"/>
          <w:color w:val="auto"/>
          <w:kern w:val="0"/>
          <w:highlight w:val="none"/>
        </w:rPr>
        <w:t>款〔变更的范围〕第（</w:t>
      </w:r>
      <w:r>
        <w:rPr>
          <w:color w:val="auto"/>
          <w:kern w:val="0"/>
          <w:highlight w:val="none"/>
        </w:rPr>
        <w:t>2</w:t>
      </w:r>
      <w:r>
        <w:rPr>
          <w:rFonts w:hint="eastAsia" w:hAnsi="宋体" w:cs="宋体"/>
          <w:color w:val="auto"/>
          <w:kern w:val="0"/>
          <w:highlight w:val="none"/>
        </w:rPr>
        <w:t>）项约定，自行实施被取消的工作或转由他人实施的违约责任：</w:t>
      </w:r>
      <w:r>
        <w:rPr>
          <w:color w:val="auto"/>
          <w:kern w:val="0"/>
          <w:highlight w:val="none"/>
          <w:u w:val="single"/>
        </w:rPr>
        <w:t xml:space="preserve"> </w:t>
      </w:r>
      <w:r>
        <w:rPr>
          <w:rFonts w:ascii="宋体" w:hAnsi="宋体" w:eastAsia="宋体" w:cs="宋体"/>
          <w:color w:val="auto"/>
          <w:highlight w:val="none"/>
          <w:u w:val="single"/>
        </w:rPr>
        <w:t>双方另行协商</w:t>
      </w:r>
      <w:r>
        <w:rPr>
          <w:color w:val="auto"/>
          <w:kern w:val="0"/>
          <w:highlight w:val="none"/>
          <w:u w:val="single"/>
        </w:rPr>
        <w:t xml:space="preserve"> </w:t>
      </w:r>
      <w:r>
        <w:rPr>
          <w:rFonts w:hint="eastAsia" w:hAnsi="宋体" w:cs="宋体"/>
          <w:color w:val="auto"/>
          <w:kern w:val="0"/>
          <w:highlight w:val="none"/>
        </w:rPr>
        <w:t>。</w:t>
      </w:r>
    </w:p>
    <w:p w14:paraId="4EC76B07">
      <w:pPr>
        <w:spacing w:line="360" w:lineRule="auto"/>
        <w:ind w:firstLine="420" w:firstLineChars="200"/>
        <w:jc w:val="left"/>
        <w:rPr>
          <w:color w:val="auto"/>
          <w:kern w:val="0"/>
          <w:highlight w:val="none"/>
        </w:rPr>
      </w:pPr>
      <w:r>
        <w:rPr>
          <w:rFonts w:hint="eastAsia" w:hAnsi="宋体" w:cs="宋体"/>
          <w:color w:val="auto"/>
          <w:kern w:val="0"/>
          <w:highlight w:val="none"/>
        </w:rPr>
        <w:t>（</w:t>
      </w:r>
      <w:r>
        <w:rPr>
          <w:color w:val="auto"/>
          <w:kern w:val="0"/>
          <w:highlight w:val="none"/>
        </w:rPr>
        <w:t>4</w:t>
      </w:r>
      <w:r>
        <w:rPr>
          <w:rFonts w:hint="eastAsia" w:hAnsi="宋体" w:cs="宋体"/>
          <w:color w:val="auto"/>
          <w:kern w:val="0"/>
          <w:highlight w:val="none"/>
        </w:rPr>
        <w:t>）发包人提供的材料、工程设备的规格、数量或质量不符合合同约定，或因发包人原因导致交货日期延误或交货地点变更等情况的违约责任：</w:t>
      </w:r>
      <w:r>
        <w:rPr>
          <w:color w:val="auto"/>
          <w:kern w:val="0"/>
          <w:highlight w:val="none"/>
          <w:u w:val="single"/>
        </w:rPr>
        <w:t xml:space="preserve"> </w:t>
      </w:r>
      <w:r>
        <w:rPr>
          <w:rFonts w:ascii="宋体" w:hAnsi="宋体" w:eastAsia="宋体" w:cs="宋体"/>
          <w:color w:val="auto"/>
          <w:spacing w:val="0"/>
          <w:highlight w:val="none"/>
          <w:u w:val="single"/>
        </w:rPr>
        <w:t>工期相应顺延</w:t>
      </w:r>
      <w:r>
        <w:rPr>
          <w:color w:val="auto"/>
          <w:kern w:val="0"/>
          <w:highlight w:val="none"/>
          <w:u w:val="single"/>
        </w:rPr>
        <w:t xml:space="preserve"> </w:t>
      </w:r>
      <w:r>
        <w:rPr>
          <w:rFonts w:hint="eastAsia" w:hAnsi="宋体" w:cs="宋体"/>
          <w:color w:val="auto"/>
          <w:kern w:val="0"/>
          <w:highlight w:val="none"/>
        </w:rPr>
        <w:t>。</w:t>
      </w:r>
    </w:p>
    <w:p w14:paraId="5E6AD4CD">
      <w:pPr>
        <w:spacing w:line="360" w:lineRule="auto"/>
        <w:ind w:firstLine="420" w:firstLineChars="200"/>
        <w:jc w:val="left"/>
        <w:rPr>
          <w:color w:val="auto"/>
          <w:kern w:val="0"/>
          <w:highlight w:val="none"/>
          <w:u w:val="single"/>
        </w:rPr>
      </w:pPr>
      <w:r>
        <w:rPr>
          <w:rFonts w:hint="eastAsia" w:hAnsi="宋体" w:cs="宋体"/>
          <w:color w:val="auto"/>
          <w:kern w:val="0"/>
          <w:highlight w:val="none"/>
        </w:rPr>
        <w:t>（</w:t>
      </w:r>
      <w:r>
        <w:rPr>
          <w:color w:val="auto"/>
          <w:kern w:val="0"/>
          <w:highlight w:val="none"/>
        </w:rPr>
        <w:t>5</w:t>
      </w:r>
      <w:r>
        <w:rPr>
          <w:rFonts w:hint="eastAsia" w:hAnsi="宋体" w:cs="宋体"/>
          <w:color w:val="auto"/>
          <w:kern w:val="0"/>
          <w:highlight w:val="none"/>
        </w:rPr>
        <w:t>）因发包人违反合同约定造成暂停施工的违约责任：</w:t>
      </w:r>
      <w:r>
        <w:rPr>
          <w:color w:val="auto"/>
          <w:kern w:val="0"/>
          <w:highlight w:val="none"/>
          <w:u w:val="single"/>
        </w:rPr>
        <w:t xml:space="preserve"> </w:t>
      </w:r>
      <w:r>
        <w:rPr>
          <w:rFonts w:ascii="宋体" w:hAnsi="宋体" w:eastAsia="宋体" w:cs="宋体"/>
          <w:color w:val="auto"/>
          <w:spacing w:val="0"/>
          <w:highlight w:val="none"/>
          <w:u w:val="single"/>
        </w:rPr>
        <w:t>工期相应顺延</w:t>
      </w:r>
      <w:r>
        <w:rPr>
          <w:color w:val="auto"/>
          <w:kern w:val="0"/>
          <w:highlight w:val="none"/>
          <w:u w:val="single"/>
        </w:rPr>
        <w:t xml:space="preserve"> </w:t>
      </w:r>
      <w:r>
        <w:rPr>
          <w:rFonts w:hint="eastAsia" w:hAnsi="宋体" w:cs="宋体"/>
          <w:color w:val="auto"/>
          <w:kern w:val="0"/>
          <w:highlight w:val="none"/>
        </w:rPr>
        <w:t>。</w:t>
      </w:r>
    </w:p>
    <w:p w14:paraId="588B3BC3">
      <w:pPr>
        <w:spacing w:line="360" w:lineRule="auto"/>
        <w:ind w:firstLine="420" w:firstLineChars="200"/>
        <w:jc w:val="left"/>
        <w:rPr>
          <w:color w:val="auto"/>
          <w:kern w:val="0"/>
          <w:highlight w:val="none"/>
        </w:rPr>
      </w:pPr>
      <w:r>
        <w:rPr>
          <w:rFonts w:hint="eastAsia" w:hAnsi="宋体" w:cs="宋体"/>
          <w:color w:val="auto"/>
          <w:kern w:val="0"/>
          <w:highlight w:val="none"/>
        </w:rPr>
        <w:t>（</w:t>
      </w:r>
      <w:r>
        <w:rPr>
          <w:color w:val="auto"/>
          <w:kern w:val="0"/>
          <w:highlight w:val="none"/>
        </w:rPr>
        <w:t>6</w:t>
      </w:r>
      <w:r>
        <w:rPr>
          <w:rFonts w:hint="eastAsia" w:hAnsi="宋体" w:cs="宋体"/>
          <w:color w:val="auto"/>
          <w:kern w:val="0"/>
          <w:highlight w:val="none"/>
        </w:rPr>
        <w:t>）发包人无正当理由没有在约定期限内发出复工指示，导致承包人无法复工的违约责任：</w:t>
      </w:r>
      <w:r>
        <w:rPr>
          <w:color w:val="auto"/>
          <w:kern w:val="0"/>
          <w:highlight w:val="none"/>
          <w:u w:val="single"/>
        </w:rPr>
        <w:t xml:space="preserve">  </w:t>
      </w:r>
      <w:r>
        <w:rPr>
          <w:rFonts w:ascii="宋体" w:hAnsi="宋体" w:eastAsia="宋体" w:cs="宋体"/>
          <w:color w:val="auto"/>
          <w:spacing w:val="0"/>
          <w:highlight w:val="none"/>
          <w:u w:val="single"/>
        </w:rPr>
        <w:t>工期相应顺延</w:t>
      </w:r>
      <w:r>
        <w:rPr>
          <w:color w:val="auto"/>
          <w:kern w:val="0"/>
          <w:highlight w:val="none"/>
          <w:u w:val="single"/>
        </w:rPr>
        <w:t xml:space="preserve"> </w:t>
      </w:r>
      <w:r>
        <w:rPr>
          <w:rFonts w:hint="eastAsia" w:hAnsi="宋体" w:cs="宋体"/>
          <w:color w:val="auto"/>
          <w:kern w:val="0"/>
          <w:highlight w:val="none"/>
        </w:rPr>
        <w:t>。</w:t>
      </w:r>
    </w:p>
    <w:p w14:paraId="1D5B4D4F">
      <w:pPr>
        <w:spacing w:line="360" w:lineRule="auto"/>
        <w:ind w:firstLine="420" w:firstLineChars="200"/>
        <w:jc w:val="left"/>
        <w:rPr>
          <w:color w:val="auto"/>
          <w:kern w:val="0"/>
          <w:highlight w:val="none"/>
        </w:rPr>
      </w:pPr>
      <w:r>
        <w:rPr>
          <w:rFonts w:hint="eastAsia" w:hAnsi="宋体" w:cs="宋体"/>
          <w:color w:val="auto"/>
          <w:kern w:val="0"/>
          <w:highlight w:val="none"/>
        </w:rPr>
        <w:t>（</w:t>
      </w:r>
      <w:r>
        <w:rPr>
          <w:color w:val="auto"/>
          <w:kern w:val="0"/>
          <w:highlight w:val="none"/>
        </w:rPr>
        <w:t>7</w:t>
      </w:r>
      <w:r>
        <w:rPr>
          <w:rFonts w:hint="eastAsia" w:hAnsi="宋体" w:cs="宋体"/>
          <w:color w:val="auto"/>
          <w:kern w:val="0"/>
          <w:highlight w:val="none"/>
        </w:rPr>
        <w:t>）其他：</w:t>
      </w:r>
      <w:r>
        <w:rPr>
          <w:color w:val="auto"/>
          <w:kern w:val="0"/>
          <w:highlight w:val="none"/>
          <w:u w:val="single"/>
        </w:rPr>
        <w:t xml:space="preserve"> </w:t>
      </w:r>
      <w:r>
        <w:rPr>
          <w:rFonts w:hint="eastAsia"/>
          <w:color w:val="auto"/>
          <w:kern w:val="0"/>
          <w:highlight w:val="none"/>
          <w:u w:val="single"/>
        </w:rPr>
        <w:t>按本合同《通用合同条款》的相关规定执行</w:t>
      </w:r>
      <w:r>
        <w:rPr>
          <w:color w:val="auto"/>
          <w:kern w:val="0"/>
          <w:highlight w:val="none"/>
          <w:u w:val="single"/>
        </w:rPr>
        <w:t xml:space="preserve"> </w:t>
      </w:r>
      <w:r>
        <w:rPr>
          <w:rFonts w:hint="eastAsia" w:hAnsi="宋体" w:cs="宋体"/>
          <w:color w:val="auto"/>
          <w:kern w:val="0"/>
          <w:highlight w:val="none"/>
        </w:rPr>
        <w:t>。</w:t>
      </w:r>
    </w:p>
    <w:p w14:paraId="03C74F4E">
      <w:pPr>
        <w:spacing w:line="360" w:lineRule="auto"/>
        <w:ind w:firstLine="420" w:firstLineChars="200"/>
        <w:jc w:val="left"/>
        <w:rPr>
          <w:color w:val="auto"/>
          <w:highlight w:val="none"/>
        </w:rPr>
      </w:pPr>
      <w:r>
        <w:rPr>
          <w:color w:val="auto"/>
          <w:highlight w:val="none"/>
        </w:rPr>
        <w:t xml:space="preserve">16.1.3 </w:t>
      </w:r>
      <w:r>
        <w:rPr>
          <w:rFonts w:hint="eastAsia" w:hAnsi="宋体" w:cs="宋体"/>
          <w:color w:val="auto"/>
          <w:highlight w:val="none"/>
        </w:rPr>
        <w:t>因发包人违约解除合同</w:t>
      </w:r>
    </w:p>
    <w:p w14:paraId="566322CB">
      <w:pPr>
        <w:autoSpaceDE w:val="0"/>
        <w:autoSpaceDN w:val="0"/>
        <w:adjustRightInd w:val="0"/>
        <w:spacing w:line="360" w:lineRule="auto"/>
        <w:ind w:firstLine="420" w:firstLineChars="200"/>
        <w:jc w:val="left"/>
        <w:rPr>
          <w:color w:val="auto"/>
          <w:kern w:val="0"/>
          <w:highlight w:val="none"/>
        </w:rPr>
      </w:pPr>
      <w:r>
        <w:rPr>
          <w:rFonts w:hint="eastAsia" w:hAnsi="宋体" w:cs="宋体"/>
          <w:color w:val="auto"/>
          <w:kern w:val="0"/>
          <w:highlight w:val="none"/>
        </w:rPr>
        <w:t>承包人按</w:t>
      </w:r>
      <w:r>
        <w:rPr>
          <w:color w:val="auto"/>
          <w:kern w:val="0"/>
          <w:highlight w:val="none"/>
        </w:rPr>
        <w:t>16.1.1</w:t>
      </w:r>
      <w:r>
        <w:rPr>
          <w:rFonts w:hint="eastAsia" w:hAnsi="宋体" w:cs="宋体"/>
          <w:color w:val="auto"/>
          <w:kern w:val="0"/>
          <w:highlight w:val="none"/>
        </w:rPr>
        <w:t>项〔发包人违约的情形〕约定暂停施工满</w:t>
      </w:r>
      <w:r>
        <w:rPr>
          <w:color w:val="auto"/>
          <w:kern w:val="0"/>
          <w:highlight w:val="none"/>
          <w:u w:val="single"/>
        </w:rPr>
        <w:t xml:space="preserve"> </w:t>
      </w:r>
      <w:r>
        <w:rPr>
          <w:rFonts w:hint="eastAsia"/>
          <w:color w:val="auto"/>
          <w:kern w:val="0"/>
          <w:highlight w:val="none"/>
          <w:u w:val="single"/>
          <w:lang w:val="en-US" w:eastAsia="zh-CN"/>
        </w:rPr>
        <w:t>28</w:t>
      </w:r>
      <w:r>
        <w:rPr>
          <w:color w:val="auto"/>
          <w:kern w:val="0"/>
          <w:highlight w:val="none"/>
          <w:u w:val="single"/>
        </w:rPr>
        <w:t xml:space="preserve"> </w:t>
      </w:r>
      <w:r>
        <w:rPr>
          <w:rFonts w:hint="eastAsia" w:hAnsi="宋体" w:cs="宋体"/>
          <w:color w:val="auto"/>
          <w:kern w:val="0"/>
          <w:highlight w:val="none"/>
        </w:rPr>
        <w:t>天后发包人仍不纠正其违约行为并致使合同目的不能实现的，承包人有权解除合同。</w:t>
      </w:r>
    </w:p>
    <w:p w14:paraId="43E9501D">
      <w:pPr>
        <w:pStyle w:val="4"/>
        <w:rPr>
          <w:color w:val="auto"/>
          <w:highlight w:val="none"/>
        </w:rPr>
      </w:pPr>
      <w:bookmarkStart w:id="1326" w:name="_Toc78449857"/>
      <w:bookmarkStart w:id="1327" w:name="_Toc373227768"/>
      <w:bookmarkStart w:id="1328" w:name="_Toc247586342"/>
      <w:bookmarkStart w:id="1329" w:name="_Toc389065333"/>
      <w:bookmarkStart w:id="1330" w:name="_Toc373478415"/>
      <w:bookmarkStart w:id="1331" w:name="_Toc407135271"/>
      <w:bookmarkStart w:id="1332" w:name="_Toc61078193"/>
      <w:bookmarkStart w:id="1333" w:name="_Toc16495"/>
      <w:r>
        <w:rPr>
          <w:color w:val="auto"/>
          <w:highlight w:val="none"/>
        </w:rPr>
        <w:t xml:space="preserve">16.2 </w:t>
      </w:r>
      <w:r>
        <w:rPr>
          <w:rFonts w:hint="eastAsia" w:hAnsi="宋体" w:cs="黑体"/>
          <w:color w:val="auto"/>
          <w:highlight w:val="none"/>
        </w:rPr>
        <w:t>承包人违约</w:t>
      </w:r>
      <w:bookmarkEnd w:id="1326"/>
      <w:bookmarkEnd w:id="1327"/>
      <w:bookmarkEnd w:id="1328"/>
      <w:bookmarkEnd w:id="1329"/>
      <w:bookmarkEnd w:id="1330"/>
      <w:bookmarkEnd w:id="1331"/>
      <w:bookmarkEnd w:id="1332"/>
      <w:bookmarkEnd w:id="1333"/>
    </w:p>
    <w:p w14:paraId="6E139202">
      <w:pPr>
        <w:spacing w:line="360" w:lineRule="auto"/>
        <w:ind w:firstLine="420" w:firstLineChars="200"/>
        <w:jc w:val="left"/>
        <w:rPr>
          <w:color w:val="auto"/>
          <w:kern w:val="0"/>
          <w:highlight w:val="none"/>
        </w:rPr>
      </w:pPr>
      <w:r>
        <w:rPr>
          <w:color w:val="auto"/>
          <w:kern w:val="0"/>
          <w:highlight w:val="none"/>
        </w:rPr>
        <w:t xml:space="preserve">16.2.1 </w:t>
      </w:r>
      <w:r>
        <w:rPr>
          <w:rFonts w:hint="eastAsia" w:hAnsi="宋体" w:cs="宋体"/>
          <w:color w:val="auto"/>
          <w:kern w:val="0"/>
          <w:highlight w:val="none"/>
        </w:rPr>
        <w:t>承包人违约的情形</w:t>
      </w:r>
    </w:p>
    <w:p w14:paraId="6CC436E4">
      <w:pPr>
        <w:spacing w:line="360" w:lineRule="auto"/>
        <w:ind w:firstLine="420" w:firstLineChars="200"/>
        <w:jc w:val="left"/>
        <w:outlineLvl w:val="0"/>
        <w:rPr>
          <w:rFonts w:hint="eastAsia" w:hAnsi="宋体" w:cs="宋体"/>
          <w:color w:val="auto"/>
          <w:kern w:val="0"/>
          <w:highlight w:val="none"/>
        </w:rPr>
      </w:pPr>
      <w:bookmarkStart w:id="1334" w:name="_Toc28568"/>
      <w:r>
        <w:rPr>
          <w:rFonts w:hint="eastAsia" w:hAnsi="宋体" w:cs="宋体"/>
          <w:color w:val="auto"/>
          <w:kern w:val="0"/>
          <w:highlight w:val="none"/>
        </w:rPr>
        <w:t>承包人除本合同通用条款 16.2.1 约定的承包人违约的情形外违约的其他情形：</w:t>
      </w:r>
      <w:bookmarkEnd w:id="1334"/>
    </w:p>
    <w:p w14:paraId="4B2D877E">
      <w:pPr>
        <w:spacing w:line="360" w:lineRule="auto"/>
        <w:ind w:firstLine="420" w:firstLineChars="200"/>
        <w:jc w:val="left"/>
        <w:outlineLvl w:val="0"/>
        <w:rPr>
          <w:rFonts w:hint="eastAsia" w:hAnsi="宋体" w:cs="宋体"/>
          <w:color w:val="auto"/>
          <w:kern w:val="0"/>
          <w:highlight w:val="none"/>
        </w:rPr>
      </w:pPr>
      <w:r>
        <w:rPr>
          <w:rFonts w:hint="eastAsia" w:hAnsi="宋体" w:cs="宋体"/>
          <w:color w:val="auto"/>
          <w:kern w:val="0"/>
          <w:highlight w:val="none"/>
        </w:rPr>
        <w:tab/>
      </w:r>
      <w:bookmarkStart w:id="1335" w:name="_Toc25821"/>
      <w:r>
        <w:rPr>
          <w:rFonts w:hint="eastAsia" w:hAnsi="宋体" w:cs="宋体"/>
          <w:color w:val="auto"/>
          <w:kern w:val="0"/>
          <w:highlight w:val="none"/>
        </w:rPr>
        <w:t>(1) 承包人在保修期内拒绝按规定进行修复，或经监理人或发包人检验认为修复质量不合格而承包人拒绝再进行修补的，发包人将扣除承包人全部质量保修金；</w:t>
      </w:r>
      <w:bookmarkEnd w:id="1335"/>
      <w:r>
        <w:rPr>
          <w:rFonts w:hint="eastAsia" w:hAnsi="宋体" w:cs="宋体"/>
          <w:color w:val="auto"/>
          <w:kern w:val="0"/>
          <w:highlight w:val="none"/>
        </w:rPr>
        <w:t xml:space="preserve">  </w:t>
      </w:r>
    </w:p>
    <w:p w14:paraId="75761C1D">
      <w:pPr>
        <w:spacing w:line="360" w:lineRule="auto"/>
        <w:ind w:firstLine="420" w:firstLineChars="200"/>
        <w:jc w:val="left"/>
        <w:outlineLvl w:val="0"/>
        <w:rPr>
          <w:rFonts w:hint="eastAsia" w:hAnsi="宋体" w:cs="宋体"/>
          <w:color w:val="auto"/>
          <w:kern w:val="0"/>
          <w:highlight w:val="none"/>
        </w:rPr>
      </w:pPr>
      <w:r>
        <w:rPr>
          <w:rFonts w:hint="eastAsia" w:hAnsi="宋体" w:cs="宋体"/>
          <w:color w:val="auto"/>
          <w:kern w:val="0"/>
          <w:highlight w:val="none"/>
        </w:rPr>
        <w:tab/>
      </w:r>
      <w:bookmarkStart w:id="1336" w:name="_Toc2497"/>
      <w:r>
        <w:rPr>
          <w:rFonts w:hint="eastAsia" w:hAnsi="宋体" w:cs="宋体"/>
          <w:color w:val="auto"/>
          <w:kern w:val="0"/>
          <w:highlight w:val="none"/>
        </w:rPr>
        <w:t>(2) 承包人违约有以下情况之一者，发包人有权采取合同规定的以下措施处理，并视情节轻重予以罚款：</w:t>
      </w:r>
      <w:bookmarkEnd w:id="1336"/>
      <w:r>
        <w:rPr>
          <w:rFonts w:hint="eastAsia" w:hAnsi="宋体" w:cs="宋体"/>
          <w:color w:val="auto"/>
          <w:kern w:val="0"/>
          <w:highlight w:val="none"/>
        </w:rPr>
        <w:t xml:space="preserve">  </w:t>
      </w:r>
    </w:p>
    <w:p w14:paraId="0C3722A7">
      <w:pPr>
        <w:spacing w:line="360" w:lineRule="auto"/>
        <w:ind w:firstLine="420" w:firstLineChars="200"/>
        <w:jc w:val="left"/>
        <w:outlineLvl w:val="0"/>
        <w:rPr>
          <w:rFonts w:hint="eastAsia" w:hAnsi="宋体" w:cs="宋体"/>
          <w:color w:val="auto"/>
          <w:kern w:val="0"/>
          <w:highlight w:val="none"/>
        </w:rPr>
      </w:pPr>
      <w:bookmarkStart w:id="1337" w:name="_Toc9769"/>
      <w:r>
        <w:rPr>
          <w:rFonts w:hint="eastAsia" w:hAnsi="宋体" w:cs="宋体"/>
          <w:color w:val="auto"/>
          <w:kern w:val="0"/>
          <w:highlight w:val="none"/>
        </w:rPr>
        <w:t>a、未经监理工程师审查批准，施工期内自行调走主要施工机械，经发现不及时调回的，视为承包人违约，发包人有权收取违约金，金额为履约保证金的10％~50％(视情节严重而定)。</w:t>
      </w:r>
      <w:bookmarkEnd w:id="1337"/>
    </w:p>
    <w:p w14:paraId="034BD358">
      <w:pPr>
        <w:spacing w:line="360" w:lineRule="auto"/>
        <w:ind w:firstLine="420" w:firstLineChars="200"/>
        <w:jc w:val="left"/>
        <w:outlineLvl w:val="0"/>
        <w:rPr>
          <w:rFonts w:hint="eastAsia" w:hAnsi="宋体" w:cs="宋体"/>
          <w:color w:val="auto"/>
          <w:kern w:val="0"/>
          <w:highlight w:val="none"/>
        </w:rPr>
      </w:pPr>
      <w:bookmarkStart w:id="1338" w:name="_Toc9258"/>
      <w:r>
        <w:rPr>
          <w:rFonts w:hint="eastAsia" w:hAnsi="宋体" w:cs="宋体"/>
          <w:color w:val="auto"/>
          <w:kern w:val="0"/>
          <w:highlight w:val="none"/>
        </w:rPr>
        <w:t>b、所有违约金金额均在承包人的履约保证金及计量支付款内扣除。监理工程师预先下发含有罚款意向的指令，如承包人不及时采取措施纠正，则在指令下达后15天内下发罚款通知书</w:t>
      </w:r>
      <w:r>
        <w:rPr>
          <w:rFonts w:hint="eastAsia" w:hAnsi="宋体" w:cs="宋体"/>
          <w:color w:val="auto"/>
          <w:kern w:val="0"/>
          <w:highlight w:val="none"/>
        </w:rPr>
        <w:tab/>
      </w:r>
      <w:r>
        <w:rPr>
          <w:rFonts w:hint="eastAsia" w:hAnsi="宋体" w:cs="宋体"/>
          <w:color w:val="auto"/>
          <w:kern w:val="0"/>
          <w:highlight w:val="none"/>
        </w:rPr>
        <w:t>(不再陈述罚款理由)，承包人履约保证金被罚款后由发包人从最后一次计量支付时扣相应金额补足履约保证金。</w:t>
      </w:r>
      <w:bookmarkEnd w:id="1338"/>
    </w:p>
    <w:p w14:paraId="6AAE5B96">
      <w:pPr>
        <w:spacing w:line="360" w:lineRule="auto"/>
        <w:ind w:firstLine="420" w:firstLineChars="200"/>
        <w:jc w:val="left"/>
        <w:outlineLvl w:val="0"/>
        <w:rPr>
          <w:rFonts w:hint="eastAsia" w:hAnsi="宋体" w:cs="宋体"/>
          <w:color w:val="auto"/>
          <w:kern w:val="0"/>
          <w:highlight w:val="none"/>
        </w:rPr>
      </w:pPr>
      <w:bookmarkStart w:id="1339" w:name="_Toc4907"/>
      <w:r>
        <w:rPr>
          <w:rFonts w:hint="eastAsia" w:hAnsi="宋体" w:cs="宋体"/>
          <w:color w:val="auto"/>
          <w:kern w:val="0"/>
          <w:highlight w:val="none"/>
        </w:rPr>
        <w:t>C、承包人在合同期内完成合同规定的全部工程且质量合格,可于工程竣工验收后15天内申请返还全部或部分罚款，返还金额由监理工程师审核，发包人批准，罚款金额返还时不包括银行利息。</w:t>
      </w:r>
      <w:bookmarkEnd w:id="1339"/>
    </w:p>
    <w:p w14:paraId="6EBB4F01">
      <w:pPr>
        <w:spacing w:line="360" w:lineRule="auto"/>
        <w:ind w:firstLine="420" w:firstLineChars="200"/>
        <w:jc w:val="left"/>
        <w:outlineLvl w:val="0"/>
        <w:rPr>
          <w:color w:val="auto"/>
          <w:kern w:val="0"/>
          <w:highlight w:val="none"/>
        </w:rPr>
      </w:pPr>
      <w:bookmarkStart w:id="1340" w:name="_Toc8970"/>
      <w:r>
        <w:rPr>
          <w:color w:val="auto"/>
          <w:kern w:val="0"/>
          <w:highlight w:val="none"/>
        </w:rPr>
        <w:t>16.2.2</w:t>
      </w:r>
      <w:r>
        <w:rPr>
          <w:rFonts w:hint="eastAsia" w:hAnsi="宋体" w:cs="宋体"/>
          <w:color w:val="auto"/>
          <w:kern w:val="0"/>
          <w:highlight w:val="none"/>
        </w:rPr>
        <w:t>承包人违约的责任</w:t>
      </w:r>
      <w:bookmarkEnd w:id="1340"/>
    </w:p>
    <w:p w14:paraId="4C081E3A">
      <w:pPr>
        <w:spacing w:line="360" w:lineRule="auto"/>
        <w:ind w:firstLine="420" w:firstLineChars="200"/>
        <w:jc w:val="left"/>
        <w:rPr>
          <w:color w:val="auto"/>
          <w:kern w:val="0"/>
          <w:highlight w:val="none"/>
        </w:rPr>
      </w:pPr>
      <w:r>
        <w:rPr>
          <w:rFonts w:hint="eastAsia" w:hAnsi="宋体" w:cs="宋体"/>
          <w:color w:val="auto"/>
          <w:kern w:val="0"/>
          <w:highlight w:val="none"/>
        </w:rPr>
        <w:t>承包人违约责任的承担方式和计算方法：</w:t>
      </w:r>
    </w:p>
    <w:p w14:paraId="688E16A1">
      <w:pPr>
        <w:spacing w:line="360" w:lineRule="auto"/>
        <w:ind w:firstLine="420" w:firstLineChars="200"/>
        <w:jc w:val="left"/>
        <w:rPr>
          <w:rFonts w:hAnsi="宋体"/>
          <w:color w:val="auto"/>
          <w:kern w:val="0"/>
          <w:highlight w:val="none"/>
        </w:rPr>
      </w:pPr>
      <w:r>
        <w:rPr>
          <w:rFonts w:hint="eastAsia" w:hAnsi="宋体" w:cs="宋体"/>
          <w:color w:val="auto"/>
          <w:kern w:val="0"/>
          <w:highlight w:val="none"/>
        </w:rPr>
        <w:t>（</w:t>
      </w:r>
      <w:r>
        <w:rPr>
          <w:color w:val="auto"/>
          <w:kern w:val="0"/>
          <w:highlight w:val="none"/>
        </w:rPr>
        <w:t>1</w:t>
      </w:r>
      <w:r>
        <w:rPr>
          <w:rFonts w:hint="eastAsia" w:hAnsi="宋体" w:cs="宋体"/>
          <w:color w:val="auto"/>
          <w:kern w:val="0"/>
          <w:highlight w:val="none"/>
        </w:rPr>
        <w:t>）承包人有本合同通用条款第</w:t>
      </w:r>
      <w:r>
        <w:rPr>
          <w:color w:val="auto"/>
          <w:kern w:val="0"/>
          <w:highlight w:val="none"/>
        </w:rPr>
        <w:t>16.2.1</w:t>
      </w:r>
      <w:r>
        <w:rPr>
          <w:rFonts w:hint="eastAsia" w:hAnsi="宋体" w:cs="宋体"/>
          <w:color w:val="auto"/>
          <w:kern w:val="0"/>
          <w:highlight w:val="none"/>
        </w:rPr>
        <w:t>（</w:t>
      </w:r>
      <w:r>
        <w:rPr>
          <w:color w:val="auto"/>
          <w:kern w:val="0"/>
          <w:highlight w:val="none"/>
        </w:rPr>
        <w:t>2</w:t>
      </w:r>
      <w:r>
        <w:rPr>
          <w:rFonts w:hint="eastAsia" w:hAnsi="宋体" w:cs="宋体"/>
          <w:color w:val="auto"/>
          <w:kern w:val="0"/>
          <w:highlight w:val="none"/>
        </w:rPr>
        <w:t>）、（</w:t>
      </w:r>
      <w:r>
        <w:rPr>
          <w:color w:val="auto"/>
          <w:kern w:val="0"/>
          <w:highlight w:val="none"/>
        </w:rPr>
        <w:t>3</w:t>
      </w:r>
      <w:r>
        <w:rPr>
          <w:rFonts w:hint="eastAsia" w:hAnsi="宋体" w:cs="宋体"/>
          <w:color w:val="auto"/>
          <w:kern w:val="0"/>
          <w:highlight w:val="none"/>
        </w:rPr>
        <w:t>）条内容情形的，承包人无条件返工处理，修复至工程质量要求并承担相关费用，并在发包人规定的时间内完成返工，否则发包人有权扣罚该分项工程</w:t>
      </w:r>
      <w:r>
        <w:rPr>
          <w:color w:val="auto"/>
          <w:kern w:val="0"/>
          <w:highlight w:val="none"/>
        </w:rPr>
        <w:t>10%</w:t>
      </w:r>
      <w:r>
        <w:rPr>
          <w:rFonts w:hint="eastAsia" w:hAnsi="宋体" w:cs="宋体"/>
          <w:color w:val="auto"/>
          <w:kern w:val="0"/>
          <w:highlight w:val="none"/>
        </w:rPr>
        <w:t>的工程款作为处罚。</w:t>
      </w:r>
    </w:p>
    <w:p w14:paraId="09F0B3ED">
      <w:pPr>
        <w:spacing w:line="360" w:lineRule="auto"/>
        <w:ind w:firstLine="420" w:firstLineChars="200"/>
        <w:jc w:val="left"/>
        <w:rPr>
          <w:rFonts w:hAnsi="宋体"/>
          <w:color w:val="auto"/>
          <w:kern w:val="0"/>
          <w:highlight w:val="none"/>
        </w:rPr>
      </w:pPr>
      <w:r>
        <w:rPr>
          <w:rFonts w:hint="eastAsia" w:hAnsi="宋体" w:cs="宋体"/>
          <w:color w:val="auto"/>
          <w:kern w:val="0"/>
          <w:highlight w:val="none"/>
        </w:rPr>
        <w:t>（</w:t>
      </w:r>
      <w:r>
        <w:rPr>
          <w:color w:val="auto"/>
          <w:kern w:val="0"/>
          <w:highlight w:val="none"/>
        </w:rPr>
        <w:t>2</w:t>
      </w:r>
      <w:r>
        <w:rPr>
          <w:rFonts w:hint="eastAsia" w:hAnsi="宋体" w:cs="宋体"/>
          <w:color w:val="auto"/>
          <w:kern w:val="0"/>
          <w:highlight w:val="none"/>
        </w:rPr>
        <w:t>）承包人有本合同通用条款第</w:t>
      </w:r>
      <w:r>
        <w:rPr>
          <w:color w:val="auto"/>
          <w:kern w:val="0"/>
          <w:highlight w:val="none"/>
        </w:rPr>
        <w:t>16.2.1</w:t>
      </w:r>
      <w:r>
        <w:rPr>
          <w:rFonts w:hint="eastAsia" w:hAnsi="宋体" w:cs="宋体"/>
          <w:color w:val="auto"/>
          <w:kern w:val="0"/>
          <w:highlight w:val="none"/>
        </w:rPr>
        <w:t>（</w:t>
      </w:r>
      <w:r>
        <w:rPr>
          <w:color w:val="auto"/>
          <w:kern w:val="0"/>
          <w:highlight w:val="none"/>
        </w:rPr>
        <w:t>6</w:t>
      </w:r>
      <w:r>
        <w:rPr>
          <w:rFonts w:hint="eastAsia" w:hAnsi="宋体" w:cs="宋体"/>
          <w:color w:val="auto"/>
          <w:kern w:val="0"/>
          <w:highlight w:val="none"/>
        </w:rPr>
        <w:t>）条情形的，或经监理人检验认为修复质量不合格而承包人拒绝再进行修补的，发包人将扣除承包人全部质量保证金。</w:t>
      </w:r>
    </w:p>
    <w:p w14:paraId="191130B1">
      <w:pPr>
        <w:spacing w:line="360" w:lineRule="auto"/>
        <w:ind w:firstLine="420" w:firstLineChars="200"/>
        <w:jc w:val="left"/>
        <w:rPr>
          <w:rFonts w:hAnsi="宋体"/>
          <w:color w:val="auto"/>
          <w:kern w:val="0"/>
          <w:highlight w:val="none"/>
        </w:rPr>
      </w:pPr>
      <w:r>
        <w:rPr>
          <w:rFonts w:hint="eastAsia" w:hAnsi="宋体" w:cs="宋体"/>
          <w:color w:val="auto"/>
          <w:kern w:val="0"/>
          <w:highlight w:val="none"/>
        </w:rPr>
        <w:t>（</w:t>
      </w:r>
      <w:r>
        <w:rPr>
          <w:color w:val="auto"/>
          <w:kern w:val="0"/>
          <w:highlight w:val="none"/>
        </w:rPr>
        <w:t>3</w:t>
      </w:r>
      <w:r>
        <w:rPr>
          <w:rFonts w:hint="eastAsia" w:hAnsi="宋体" w:cs="宋体"/>
          <w:color w:val="auto"/>
          <w:kern w:val="0"/>
          <w:highlight w:val="none"/>
        </w:rPr>
        <w:t>）承包人有本专用合同条款</w:t>
      </w:r>
      <w:r>
        <w:rPr>
          <w:color w:val="auto"/>
          <w:kern w:val="0"/>
          <w:highlight w:val="none"/>
        </w:rPr>
        <w:t>3.2</w:t>
      </w:r>
      <w:r>
        <w:rPr>
          <w:rFonts w:hint="eastAsia" w:hAnsi="宋体" w:cs="宋体"/>
          <w:color w:val="auto"/>
          <w:kern w:val="0"/>
          <w:highlight w:val="none"/>
        </w:rPr>
        <w:t>、</w:t>
      </w:r>
      <w:r>
        <w:rPr>
          <w:color w:val="auto"/>
          <w:kern w:val="0"/>
          <w:highlight w:val="none"/>
        </w:rPr>
        <w:t>3.3</w:t>
      </w:r>
      <w:r>
        <w:rPr>
          <w:rFonts w:hint="eastAsia" w:hAnsi="宋体" w:cs="宋体"/>
          <w:color w:val="auto"/>
          <w:kern w:val="0"/>
          <w:highlight w:val="none"/>
        </w:rPr>
        <w:t>条违约责任的，发包人有权扣除承包人的违约金。违约金金额均在承包人的履约保证金及计量支付款内扣除。监理人预先下发含有罚款意向的指令，如承包人不及时采取措施纠正，则在指令下达后十五天下发罚款通知书（不再陈述罚款理由）。承包人履约保证金被罚款后由发包人从最后一次计量支付时扣除相应金额补足履约保证金。承包人在合同期内，完成合同规定的全部工程，且质量合格，在本工程施工竣工验收后十五天内可申请返还全部或部分罚款，返还金额由监理人审核，发包人批准。罚款金额返还时不包括银行利息。</w:t>
      </w:r>
    </w:p>
    <w:p w14:paraId="56959D42">
      <w:pPr>
        <w:spacing w:line="360" w:lineRule="auto"/>
        <w:ind w:firstLine="420" w:firstLineChars="200"/>
        <w:jc w:val="left"/>
        <w:rPr>
          <w:rFonts w:hAnsi="宋体"/>
          <w:color w:val="auto"/>
          <w:highlight w:val="none"/>
        </w:rPr>
      </w:pPr>
      <w:r>
        <w:rPr>
          <w:color w:val="auto"/>
          <w:highlight w:val="none"/>
        </w:rPr>
        <w:t xml:space="preserve">16.2.3 </w:t>
      </w:r>
      <w:r>
        <w:rPr>
          <w:rFonts w:hint="eastAsia" w:hAnsi="宋体" w:cs="宋体"/>
          <w:color w:val="auto"/>
          <w:highlight w:val="none"/>
        </w:rPr>
        <w:t>因承包人违约解除合同</w:t>
      </w:r>
    </w:p>
    <w:p w14:paraId="2F315AE6">
      <w:pPr>
        <w:spacing w:line="360" w:lineRule="auto"/>
        <w:ind w:firstLine="420" w:firstLineChars="200"/>
        <w:jc w:val="left"/>
        <w:rPr>
          <w:rFonts w:hAnsi="宋体"/>
          <w:color w:val="auto"/>
          <w:kern w:val="0"/>
          <w:highlight w:val="none"/>
        </w:rPr>
      </w:pPr>
      <w:r>
        <w:rPr>
          <w:rFonts w:hint="eastAsia" w:hAnsi="宋体" w:cs="宋体"/>
          <w:color w:val="auto"/>
          <w:kern w:val="0"/>
          <w:highlight w:val="none"/>
        </w:rPr>
        <w:t>关于承包人违约解除合同的特别约定：</w:t>
      </w:r>
      <w:r>
        <w:rPr>
          <w:rFonts w:hint="eastAsia" w:hAnsi="宋体" w:cs="宋体"/>
          <w:color w:val="auto"/>
          <w:kern w:val="0"/>
          <w:highlight w:val="none"/>
          <w:u w:val="single"/>
        </w:rPr>
        <w:t>承包人有违反以下情况之一的，发包人有权解除合同，并没收其全部履约保证金</w:t>
      </w:r>
      <w:r>
        <w:rPr>
          <w:rFonts w:hint="eastAsia" w:hAnsi="宋体" w:cs="宋体"/>
          <w:color w:val="auto"/>
          <w:kern w:val="0"/>
          <w:highlight w:val="none"/>
        </w:rPr>
        <w:t>。</w:t>
      </w:r>
    </w:p>
    <w:p w14:paraId="1D47BF8A">
      <w:pPr>
        <w:spacing w:line="360" w:lineRule="auto"/>
        <w:ind w:firstLine="420" w:firstLineChars="200"/>
        <w:jc w:val="left"/>
        <w:rPr>
          <w:rFonts w:hAnsi="宋体"/>
          <w:color w:val="auto"/>
          <w:kern w:val="0"/>
          <w:highlight w:val="none"/>
        </w:rPr>
      </w:pPr>
      <w:r>
        <w:rPr>
          <w:rFonts w:hint="eastAsia"/>
          <w:color w:val="auto"/>
          <w:kern w:val="0"/>
          <w:highlight w:val="none"/>
          <w:lang w:eastAsia="zh-CN"/>
        </w:rPr>
        <w:t>（</w:t>
      </w:r>
      <w:r>
        <w:rPr>
          <w:color w:val="auto"/>
          <w:kern w:val="0"/>
          <w:highlight w:val="none"/>
        </w:rPr>
        <w:t>1</w:t>
      </w:r>
      <w:r>
        <w:rPr>
          <w:rFonts w:hint="eastAsia"/>
          <w:color w:val="auto"/>
          <w:kern w:val="0"/>
          <w:highlight w:val="none"/>
          <w:lang w:eastAsia="zh-CN"/>
        </w:rPr>
        <w:t>）</w:t>
      </w:r>
      <w:r>
        <w:rPr>
          <w:rFonts w:hint="eastAsia" w:hAnsi="宋体" w:cs="宋体"/>
          <w:color w:val="auto"/>
          <w:kern w:val="0"/>
          <w:highlight w:val="none"/>
        </w:rPr>
        <w:t>承包人无正当理由不按开工通知的要求及时进场组织施工和不按签订协议书时商定的进度计划有效地开展施工准备，造成工期延误的；</w:t>
      </w:r>
    </w:p>
    <w:p w14:paraId="0CDE2A0F">
      <w:pPr>
        <w:spacing w:line="360" w:lineRule="auto"/>
        <w:ind w:firstLine="420" w:firstLineChars="200"/>
        <w:jc w:val="left"/>
        <w:rPr>
          <w:rFonts w:hAnsi="宋体"/>
          <w:color w:val="auto"/>
          <w:kern w:val="0"/>
          <w:highlight w:val="none"/>
        </w:rPr>
      </w:pPr>
      <w:r>
        <w:rPr>
          <w:rFonts w:hint="eastAsia"/>
          <w:color w:val="auto"/>
          <w:kern w:val="0"/>
          <w:highlight w:val="none"/>
          <w:lang w:eastAsia="zh-CN"/>
        </w:rPr>
        <w:t>（</w:t>
      </w:r>
      <w:r>
        <w:rPr>
          <w:color w:val="auto"/>
          <w:kern w:val="0"/>
          <w:highlight w:val="none"/>
        </w:rPr>
        <w:t>2</w:t>
      </w:r>
      <w:r>
        <w:rPr>
          <w:rFonts w:hint="eastAsia"/>
          <w:color w:val="auto"/>
          <w:kern w:val="0"/>
          <w:highlight w:val="none"/>
          <w:lang w:eastAsia="zh-CN"/>
        </w:rPr>
        <w:t>）</w:t>
      </w:r>
      <w:r>
        <w:rPr>
          <w:rFonts w:hint="eastAsia" w:hAnsi="宋体" w:cs="宋体"/>
          <w:color w:val="auto"/>
          <w:kern w:val="0"/>
          <w:highlight w:val="none"/>
        </w:rPr>
        <w:t>承包人违反本合同通用条款第</w:t>
      </w:r>
      <w:r>
        <w:rPr>
          <w:color w:val="auto"/>
          <w:kern w:val="0"/>
          <w:highlight w:val="none"/>
        </w:rPr>
        <w:t>3.5</w:t>
      </w:r>
      <w:r>
        <w:rPr>
          <w:rFonts w:hint="eastAsia" w:hAnsi="宋体" w:cs="宋体"/>
          <w:color w:val="auto"/>
          <w:kern w:val="0"/>
          <w:highlight w:val="none"/>
        </w:rPr>
        <w:t>条规定私自将合同或合同的任何部分或任何权利转让给其他人，或私自将工程或工程的一部分分包出去的；</w:t>
      </w:r>
    </w:p>
    <w:p w14:paraId="0AB75400">
      <w:pPr>
        <w:spacing w:line="360" w:lineRule="auto"/>
        <w:ind w:firstLine="420" w:firstLineChars="200"/>
        <w:jc w:val="left"/>
        <w:rPr>
          <w:rFonts w:hAnsi="宋体"/>
          <w:color w:val="auto"/>
          <w:kern w:val="0"/>
          <w:highlight w:val="none"/>
        </w:rPr>
      </w:pPr>
      <w:r>
        <w:rPr>
          <w:rFonts w:hint="eastAsia"/>
          <w:color w:val="auto"/>
          <w:kern w:val="0"/>
          <w:highlight w:val="none"/>
          <w:lang w:eastAsia="zh-CN"/>
        </w:rPr>
        <w:t>（</w:t>
      </w:r>
      <w:r>
        <w:rPr>
          <w:color w:val="auto"/>
          <w:kern w:val="0"/>
          <w:highlight w:val="none"/>
        </w:rPr>
        <w:t>3</w:t>
      </w:r>
      <w:r>
        <w:rPr>
          <w:rFonts w:hint="eastAsia"/>
          <w:color w:val="auto"/>
          <w:kern w:val="0"/>
          <w:highlight w:val="none"/>
          <w:lang w:eastAsia="zh-CN"/>
        </w:rPr>
        <w:t>）</w:t>
      </w:r>
      <w:r>
        <w:rPr>
          <w:rFonts w:hint="eastAsia" w:hAnsi="宋体" w:cs="宋体"/>
          <w:color w:val="auto"/>
          <w:kern w:val="0"/>
          <w:highlight w:val="none"/>
        </w:rPr>
        <w:t>未经监理人批准，承包人私自将已按投标文件承诺进入工地的工程设备、施工设备、临时工程或材料撤离工地的；</w:t>
      </w:r>
    </w:p>
    <w:p w14:paraId="26EF5022">
      <w:pPr>
        <w:spacing w:line="360" w:lineRule="auto"/>
        <w:ind w:firstLine="420" w:firstLineChars="200"/>
        <w:jc w:val="left"/>
        <w:rPr>
          <w:color w:val="auto"/>
          <w:kern w:val="0"/>
          <w:highlight w:val="none"/>
        </w:rPr>
      </w:pPr>
      <w:r>
        <w:rPr>
          <w:rFonts w:hint="eastAsia"/>
          <w:color w:val="auto"/>
          <w:kern w:val="0"/>
          <w:highlight w:val="none"/>
          <w:lang w:eastAsia="zh-CN"/>
        </w:rPr>
        <w:t>（</w:t>
      </w:r>
      <w:r>
        <w:rPr>
          <w:color w:val="auto"/>
          <w:kern w:val="0"/>
          <w:highlight w:val="none"/>
        </w:rPr>
        <w:t>4</w:t>
      </w:r>
      <w:r>
        <w:rPr>
          <w:rFonts w:hint="eastAsia"/>
          <w:color w:val="auto"/>
          <w:kern w:val="0"/>
          <w:highlight w:val="none"/>
          <w:lang w:eastAsia="zh-CN"/>
        </w:rPr>
        <w:t>）</w:t>
      </w:r>
      <w:r>
        <w:rPr>
          <w:rFonts w:hint="eastAsia" w:hAnsi="宋体" w:cs="宋体"/>
          <w:color w:val="auto"/>
          <w:kern w:val="0"/>
          <w:highlight w:val="none"/>
        </w:rPr>
        <w:t>由于承包人原因拒绝按合同进度计划及时完成合同规定的工程，而又未采取有效措施赶上进度，造成工期严重延误的；</w:t>
      </w:r>
    </w:p>
    <w:p w14:paraId="6711FB9E">
      <w:pPr>
        <w:spacing w:line="360" w:lineRule="auto"/>
        <w:ind w:firstLine="420" w:firstLineChars="200"/>
        <w:rPr>
          <w:color w:val="auto"/>
          <w:kern w:val="0"/>
          <w:highlight w:val="none"/>
        </w:rPr>
      </w:pPr>
      <w:r>
        <w:rPr>
          <w:rFonts w:hint="eastAsia"/>
          <w:color w:val="auto"/>
          <w:kern w:val="0"/>
          <w:highlight w:val="none"/>
          <w:lang w:eastAsia="zh-CN"/>
        </w:rPr>
        <w:t>（</w:t>
      </w:r>
      <w:r>
        <w:rPr>
          <w:color w:val="auto"/>
          <w:kern w:val="0"/>
          <w:highlight w:val="none"/>
        </w:rPr>
        <w:t>5</w:t>
      </w:r>
      <w:r>
        <w:rPr>
          <w:rFonts w:hint="eastAsia"/>
          <w:color w:val="auto"/>
          <w:kern w:val="0"/>
          <w:highlight w:val="none"/>
          <w:lang w:eastAsia="zh-CN"/>
        </w:rPr>
        <w:t>）</w:t>
      </w:r>
      <w:r>
        <w:rPr>
          <w:rFonts w:hint="eastAsia" w:hAnsi="宋体" w:cs="宋体"/>
          <w:color w:val="auto"/>
          <w:kern w:val="0"/>
          <w:highlight w:val="none"/>
        </w:rPr>
        <w:t>承包人否认合同有效或拒绝履行合同规定的承包人义务，或由于法律、财务等原因导致承包人无法继续履行或实质上已停止履行合同的义务的；</w:t>
      </w:r>
    </w:p>
    <w:p w14:paraId="0662CAB5">
      <w:pPr>
        <w:spacing w:line="360" w:lineRule="auto"/>
        <w:ind w:firstLine="420" w:firstLineChars="200"/>
        <w:rPr>
          <w:color w:val="auto"/>
          <w:kern w:val="0"/>
          <w:highlight w:val="none"/>
        </w:rPr>
      </w:pPr>
      <w:r>
        <w:rPr>
          <w:rFonts w:hint="eastAsia"/>
          <w:color w:val="auto"/>
          <w:kern w:val="0"/>
          <w:highlight w:val="none"/>
          <w:lang w:eastAsia="zh-CN"/>
        </w:rPr>
        <w:t>（</w:t>
      </w:r>
      <w:r>
        <w:rPr>
          <w:color w:val="auto"/>
          <w:kern w:val="0"/>
          <w:highlight w:val="none"/>
        </w:rPr>
        <w:t>6</w:t>
      </w:r>
      <w:r>
        <w:rPr>
          <w:rFonts w:hint="eastAsia"/>
          <w:color w:val="auto"/>
          <w:kern w:val="0"/>
          <w:highlight w:val="none"/>
          <w:lang w:eastAsia="zh-CN"/>
        </w:rPr>
        <w:t>）</w:t>
      </w:r>
      <w:r>
        <w:rPr>
          <w:rFonts w:hint="eastAsia" w:hAnsi="宋体" w:cs="宋体"/>
          <w:color w:val="auto"/>
          <w:kern w:val="0"/>
          <w:highlight w:val="none"/>
        </w:rPr>
        <w:t>合同签订</w:t>
      </w:r>
      <w:r>
        <w:rPr>
          <w:rFonts w:hint="eastAsia" w:ascii="仿宋_GB2312" w:hAnsi="宋体" w:cs="宋体"/>
          <w:color w:val="auto"/>
          <w:highlight w:val="none"/>
        </w:rPr>
        <w:t>且具备法定开工条件后</w:t>
      </w:r>
      <w:r>
        <w:rPr>
          <w:rFonts w:hint="eastAsia" w:hAnsi="宋体" w:cs="宋体"/>
          <w:color w:val="auto"/>
          <w:kern w:val="0"/>
          <w:highlight w:val="none"/>
        </w:rPr>
        <w:t>之日起十五日内，承包人无法按合同规定及投标文件的承诺进场经监理工程师认可的该</w:t>
      </w:r>
      <w:r>
        <w:rPr>
          <w:rFonts w:hAnsi="宋体" w:cs="宋体"/>
          <w:color w:val="auto"/>
          <w:kern w:val="0"/>
          <w:highlight w:val="none"/>
        </w:rPr>
        <w:t>施工</w:t>
      </w:r>
      <w:r>
        <w:rPr>
          <w:rFonts w:hint="eastAsia" w:hAnsi="宋体" w:cs="宋体"/>
          <w:color w:val="auto"/>
          <w:kern w:val="0"/>
          <w:highlight w:val="none"/>
        </w:rPr>
        <w:t>阶段</w:t>
      </w:r>
      <w:r>
        <w:rPr>
          <w:rFonts w:hAnsi="宋体" w:cs="宋体"/>
          <w:color w:val="auto"/>
          <w:kern w:val="0"/>
          <w:highlight w:val="none"/>
        </w:rPr>
        <w:t>应有的</w:t>
      </w:r>
      <w:r>
        <w:rPr>
          <w:rFonts w:hint="eastAsia" w:hAnsi="宋体" w:cs="宋体"/>
          <w:color w:val="auto"/>
          <w:kern w:val="0"/>
          <w:highlight w:val="none"/>
        </w:rPr>
        <w:t>全部人员和机械的。</w:t>
      </w:r>
    </w:p>
    <w:p w14:paraId="0877945A">
      <w:pPr>
        <w:spacing w:line="360" w:lineRule="auto"/>
        <w:ind w:firstLine="420" w:firstLineChars="200"/>
        <w:rPr>
          <w:color w:val="auto"/>
          <w:kern w:val="0"/>
          <w:highlight w:val="none"/>
        </w:rPr>
      </w:pPr>
      <w:r>
        <w:rPr>
          <w:rFonts w:hint="eastAsia" w:hAnsi="宋体" w:cs="宋体"/>
          <w:color w:val="auto"/>
          <w:kern w:val="0"/>
          <w:highlight w:val="none"/>
        </w:rPr>
        <w:t>发包人继续使用承包人在施工现场的材料、设备、临时工程、承包人文件和由承包人或以其名义编制的其他文件的费用承担方式：</w:t>
      </w:r>
      <w:r>
        <w:rPr>
          <w:rFonts w:hint="eastAsia" w:hAnsi="宋体" w:cs="宋体"/>
          <w:color w:val="auto"/>
          <w:kern w:val="0"/>
          <w:highlight w:val="none"/>
          <w:u w:val="single"/>
          <w:lang w:val="en-US" w:eastAsia="zh-CN"/>
        </w:rPr>
        <w:t xml:space="preserve"> </w:t>
      </w:r>
      <w:r>
        <w:rPr>
          <w:rFonts w:hint="eastAsia"/>
          <w:color w:val="auto"/>
          <w:kern w:val="0"/>
          <w:highlight w:val="none"/>
          <w:u w:val="single"/>
        </w:rPr>
        <w:t xml:space="preserve">承包人承担 </w:t>
      </w:r>
      <w:r>
        <w:rPr>
          <w:rFonts w:hint="eastAsia" w:hAnsi="宋体" w:cs="宋体"/>
          <w:color w:val="auto"/>
          <w:kern w:val="0"/>
          <w:highlight w:val="none"/>
        </w:rPr>
        <w:t>。</w:t>
      </w:r>
    </w:p>
    <w:p w14:paraId="2D003BDE">
      <w:pPr>
        <w:pStyle w:val="3"/>
        <w:rPr>
          <w:color w:val="auto"/>
          <w:highlight w:val="none"/>
        </w:rPr>
      </w:pPr>
      <w:bookmarkStart w:id="1341" w:name="_Toc21755"/>
      <w:bookmarkStart w:id="1342" w:name="_Toc1117922953"/>
      <w:bookmarkStart w:id="1343" w:name="_Toc389065334"/>
      <w:bookmarkStart w:id="1344" w:name="_Toc373227769"/>
      <w:bookmarkStart w:id="1345" w:name="_Toc351203649"/>
      <w:bookmarkStart w:id="1346" w:name="_Toc1753556740"/>
      <w:bookmarkStart w:id="1347" w:name="_Toc407135272"/>
      <w:bookmarkStart w:id="1348" w:name="_Toc78449858"/>
      <w:bookmarkStart w:id="1349" w:name="_Toc373478416"/>
      <w:r>
        <w:rPr>
          <w:color w:val="auto"/>
          <w:highlight w:val="none"/>
        </w:rPr>
        <w:t xml:space="preserve">17. </w:t>
      </w:r>
      <w:r>
        <w:rPr>
          <w:rFonts w:hint="eastAsia" w:hAnsi="宋体" w:cs="黑体"/>
          <w:color w:val="auto"/>
          <w:highlight w:val="none"/>
        </w:rPr>
        <w:t>不可抗力</w:t>
      </w:r>
      <w:bookmarkEnd w:id="1341"/>
      <w:bookmarkEnd w:id="1342"/>
      <w:bookmarkEnd w:id="1343"/>
      <w:bookmarkEnd w:id="1344"/>
      <w:bookmarkEnd w:id="1345"/>
      <w:bookmarkEnd w:id="1346"/>
      <w:bookmarkEnd w:id="1347"/>
      <w:bookmarkEnd w:id="1348"/>
      <w:bookmarkEnd w:id="1349"/>
      <w:r>
        <w:rPr>
          <w:color w:val="auto"/>
          <w:highlight w:val="none"/>
        </w:rPr>
        <w:t xml:space="preserve"> </w:t>
      </w:r>
      <w:bookmarkEnd w:id="1315"/>
    </w:p>
    <w:p w14:paraId="5919D684">
      <w:pPr>
        <w:pStyle w:val="4"/>
        <w:rPr>
          <w:color w:val="auto"/>
          <w:highlight w:val="none"/>
        </w:rPr>
      </w:pPr>
      <w:bookmarkStart w:id="1350" w:name="_Toc373478417"/>
      <w:bookmarkStart w:id="1351" w:name="_Toc389065335"/>
      <w:bookmarkStart w:id="1352" w:name="_Toc78449859"/>
      <w:bookmarkStart w:id="1353" w:name="_Toc429574049"/>
      <w:bookmarkStart w:id="1354" w:name="_Toc373227770"/>
      <w:bookmarkStart w:id="1355" w:name="_Toc407135273"/>
      <w:bookmarkStart w:id="1356" w:name="_Toc29164"/>
      <w:bookmarkStart w:id="1357" w:name="_Toc666312941"/>
      <w:r>
        <w:rPr>
          <w:color w:val="auto"/>
          <w:highlight w:val="none"/>
        </w:rPr>
        <w:t xml:space="preserve">17.1 </w:t>
      </w:r>
      <w:r>
        <w:rPr>
          <w:rFonts w:hint="eastAsia" w:cs="黑体"/>
          <w:color w:val="auto"/>
          <w:highlight w:val="none"/>
        </w:rPr>
        <w:t>不可抗力的确认</w:t>
      </w:r>
      <w:bookmarkEnd w:id="1350"/>
      <w:bookmarkEnd w:id="1351"/>
      <w:bookmarkEnd w:id="1352"/>
      <w:bookmarkEnd w:id="1353"/>
      <w:bookmarkEnd w:id="1354"/>
      <w:bookmarkEnd w:id="1355"/>
      <w:bookmarkEnd w:id="1356"/>
      <w:bookmarkEnd w:id="1357"/>
    </w:p>
    <w:p w14:paraId="2D476B02">
      <w:pPr>
        <w:spacing w:line="360" w:lineRule="auto"/>
        <w:ind w:firstLine="420" w:firstLineChars="200"/>
        <w:jc w:val="left"/>
        <w:rPr>
          <w:color w:val="auto"/>
          <w:kern w:val="0"/>
          <w:highlight w:val="none"/>
          <w:u w:val="single"/>
        </w:rPr>
      </w:pPr>
      <w:r>
        <w:rPr>
          <w:rFonts w:hint="eastAsia" w:hAnsi="宋体" w:cs="宋体"/>
          <w:color w:val="auto"/>
          <w:highlight w:val="none"/>
        </w:rPr>
        <w:t>除通用合同条款约定的不可抗力事件之外，视为不可抗力的其他情形：</w:t>
      </w:r>
      <w:r>
        <w:rPr>
          <w:color w:val="auto"/>
          <w:kern w:val="0"/>
          <w:highlight w:val="none"/>
          <w:u w:val="single"/>
        </w:rPr>
        <w:t xml:space="preserve"> </w:t>
      </w:r>
      <w:r>
        <w:rPr>
          <w:rFonts w:hint="eastAsia"/>
          <w:color w:val="auto"/>
          <w:kern w:val="0"/>
          <w:highlight w:val="none"/>
          <w:u w:val="single"/>
        </w:rPr>
        <w:t>(1)不可抗力的自然灾害认定标准，以政府有关部门的规定为准且必须得到相关权威部门的书面认定方可视为有效；(2)因政府或相关主管部门要求导致项目中断施工</w:t>
      </w:r>
      <w:r>
        <w:rPr>
          <w:color w:val="auto"/>
          <w:kern w:val="0"/>
          <w:highlight w:val="none"/>
          <w:u w:val="single"/>
        </w:rPr>
        <w:t xml:space="preserve"> </w:t>
      </w:r>
      <w:r>
        <w:rPr>
          <w:rFonts w:hint="eastAsia" w:hAnsi="宋体" w:cs="宋体"/>
          <w:color w:val="auto"/>
          <w:kern w:val="0"/>
          <w:highlight w:val="none"/>
        </w:rPr>
        <w:t>。</w:t>
      </w:r>
    </w:p>
    <w:p w14:paraId="6E9DAE9A">
      <w:pPr>
        <w:pStyle w:val="4"/>
        <w:rPr>
          <w:color w:val="auto"/>
          <w:highlight w:val="none"/>
        </w:rPr>
      </w:pPr>
      <w:bookmarkStart w:id="1358" w:name="_Toc373227771"/>
      <w:bookmarkStart w:id="1359" w:name="_Toc15489"/>
      <w:bookmarkStart w:id="1360" w:name="_Toc373478418"/>
      <w:bookmarkStart w:id="1361" w:name="_Toc407135274"/>
      <w:bookmarkStart w:id="1362" w:name="_Toc389065336"/>
      <w:bookmarkStart w:id="1363" w:name="_Toc78449860"/>
      <w:bookmarkStart w:id="1364" w:name="_Toc1951449751"/>
      <w:bookmarkStart w:id="1365" w:name="_Toc658729758"/>
      <w:r>
        <w:rPr>
          <w:color w:val="auto"/>
          <w:highlight w:val="none"/>
        </w:rPr>
        <w:t xml:space="preserve">17.4 </w:t>
      </w:r>
      <w:r>
        <w:rPr>
          <w:rFonts w:hint="eastAsia" w:cs="黑体"/>
          <w:color w:val="auto"/>
          <w:highlight w:val="none"/>
        </w:rPr>
        <w:t>因不可抗力解除合同</w:t>
      </w:r>
      <w:bookmarkEnd w:id="1358"/>
      <w:bookmarkEnd w:id="1359"/>
      <w:bookmarkEnd w:id="1360"/>
      <w:bookmarkEnd w:id="1361"/>
      <w:bookmarkEnd w:id="1362"/>
      <w:bookmarkEnd w:id="1363"/>
      <w:bookmarkEnd w:id="1364"/>
      <w:bookmarkEnd w:id="1365"/>
    </w:p>
    <w:p w14:paraId="27E0CF3E">
      <w:pPr>
        <w:spacing w:line="360" w:lineRule="auto"/>
        <w:ind w:firstLine="420" w:firstLineChars="200"/>
        <w:jc w:val="left"/>
        <w:rPr>
          <w:color w:val="auto"/>
          <w:highlight w:val="none"/>
        </w:rPr>
      </w:pPr>
      <w:r>
        <w:rPr>
          <w:rFonts w:hint="eastAsia" w:hAnsi="宋体" w:cs="宋体"/>
          <w:color w:val="auto"/>
          <w:highlight w:val="none"/>
        </w:rPr>
        <w:t>合同解除后，发包人应在商定或确定发包人应支付款项后</w:t>
      </w:r>
      <w:r>
        <w:rPr>
          <w:color w:val="auto"/>
          <w:highlight w:val="none"/>
          <w:u w:val="single"/>
        </w:rPr>
        <w:t xml:space="preserve"> </w:t>
      </w:r>
      <w:r>
        <w:rPr>
          <w:rFonts w:hint="eastAsia"/>
          <w:color w:val="auto"/>
          <w:highlight w:val="none"/>
          <w:u w:val="single"/>
          <w:lang w:val="en-US" w:eastAsia="zh-CN"/>
        </w:rPr>
        <w:t>28</w:t>
      </w:r>
      <w:r>
        <w:rPr>
          <w:color w:val="auto"/>
          <w:highlight w:val="none"/>
          <w:u w:val="single"/>
        </w:rPr>
        <w:t xml:space="preserve"> </w:t>
      </w:r>
      <w:r>
        <w:rPr>
          <w:rFonts w:hint="eastAsia" w:hAnsi="宋体" w:cs="宋体"/>
          <w:color w:val="auto"/>
          <w:highlight w:val="none"/>
        </w:rPr>
        <w:t>天内完成款项的支付。</w:t>
      </w:r>
    </w:p>
    <w:p w14:paraId="46BE01B9">
      <w:pPr>
        <w:pStyle w:val="3"/>
        <w:rPr>
          <w:color w:val="auto"/>
          <w:highlight w:val="none"/>
        </w:rPr>
      </w:pPr>
      <w:bookmarkStart w:id="1366" w:name="_Toc389065337"/>
      <w:bookmarkStart w:id="1367" w:name="_Toc78449861"/>
      <w:bookmarkStart w:id="1368" w:name="_Toc351203650"/>
      <w:bookmarkStart w:id="1369" w:name="_Toc373478419"/>
      <w:bookmarkStart w:id="1370" w:name="_Toc56822299"/>
      <w:bookmarkStart w:id="1371" w:name="_Toc407135275"/>
      <w:bookmarkStart w:id="1372" w:name="_Toc612072600"/>
      <w:bookmarkStart w:id="1373" w:name="_Toc373227772"/>
      <w:bookmarkStart w:id="1374" w:name="_Toc2937"/>
      <w:r>
        <w:rPr>
          <w:color w:val="auto"/>
          <w:highlight w:val="none"/>
        </w:rPr>
        <w:t xml:space="preserve">18. </w:t>
      </w:r>
      <w:r>
        <w:rPr>
          <w:rFonts w:hint="eastAsia" w:hAnsi="宋体" w:cs="黑体"/>
          <w:color w:val="auto"/>
          <w:highlight w:val="none"/>
        </w:rPr>
        <w:t>保险</w:t>
      </w:r>
      <w:bookmarkEnd w:id="1366"/>
      <w:bookmarkEnd w:id="1367"/>
      <w:bookmarkEnd w:id="1368"/>
      <w:bookmarkEnd w:id="1369"/>
      <w:bookmarkEnd w:id="1370"/>
      <w:bookmarkEnd w:id="1371"/>
      <w:bookmarkEnd w:id="1372"/>
      <w:bookmarkEnd w:id="1373"/>
      <w:bookmarkEnd w:id="1374"/>
    </w:p>
    <w:bookmarkEnd w:id="1316"/>
    <w:p w14:paraId="0B0D3ED5">
      <w:pPr>
        <w:pStyle w:val="4"/>
        <w:rPr>
          <w:color w:val="auto"/>
          <w:highlight w:val="none"/>
        </w:rPr>
      </w:pPr>
      <w:bookmarkStart w:id="1375" w:name="_Toc389065338"/>
      <w:bookmarkStart w:id="1376" w:name="_Toc78449862"/>
      <w:bookmarkStart w:id="1377" w:name="_Toc1446953302"/>
      <w:bookmarkStart w:id="1378" w:name="_Toc6553"/>
      <w:bookmarkStart w:id="1379" w:name="_Toc373227773"/>
      <w:bookmarkStart w:id="1380" w:name="_Toc373478420"/>
      <w:bookmarkStart w:id="1381" w:name="_Toc2075285517"/>
      <w:bookmarkStart w:id="1382" w:name="_Toc407135276"/>
      <w:r>
        <w:rPr>
          <w:color w:val="auto"/>
          <w:highlight w:val="none"/>
        </w:rPr>
        <w:t xml:space="preserve">18.1 </w:t>
      </w:r>
      <w:r>
        <w:rPr>
          <w:rFonts w:hint="eastAsia" w:hAnsi="宋体" w:cs="黑体"/>
          <w:color w:val="auto"/>
          <w:highlight w:val="none"/>
        </w:rPr>
        <w:t>工程保险</w:t>
      </w:r>
      <w:bookmarkEnd w:id="1375"/>
      <w:bookmarkEnd w:id="1376"/>
      <w:bookmarkEnd w:id="1377"/>
      <w:bookmarkEnd w:id="1378"/>
      <w:bookmarkEnd w:id="1379"/>
      <w:bookmarkEnd w:id="1380"/>
      <w:bookmarkEnd w:id="1381"/>
      <w:bookmarkEnd w:id="1382"/>
    </w:p>
    <w:p w14:paraId="476D9849">
      <w:pPr>
        <w:spacing w:line="360" w:lineRule="auto"/>
        <w:ind w:firstLine="420" w:firstLineChars="200"/>
        <w:jc w:val="left"/>
        <w:rPr>
          <w:color w:val="auto"/>
          <w:highlight w:val="none"/>
        </w:rPr>
      </w:pPr>
      <w:r>
        <w:rPr>
          <w:rFonts w:hint="eastAsia" w:hAnsi="宋体" w:cs="宋体"/>
          <w:color w:val="auto"/>
          <w:highlight w:val="none"/>
        </w:rPr>
        <w:t>关于工程保险的特别约定：</w:t>
      </w:r>
      <w:r>
        <w:rPr>
          <w:rFonts w:ascii="宋体" w:hAnsi="宋体" w:eastAsia="宋体" w:cs="宋体"/>
          <w:color w:val="auto"/>
          <w:spacing w:val="0"/>
          <w:highlight w:val="none"/>
          <w:u w:val="single"/>
        </w:rPr>
        <w:t xml:space="preserve"> 由承包人根据需要自行办理，费用由承包人负责 </w:t>
      </w:r>
      <w:r>
        <w:rPr>
          <w:rFonts w:hint="eastAsia" w:hAnsi="宋体" w:cs="宋体"/>
          <w:color w:val="auto"/>
          <w:kern w:val="0"/>
          <w:highlight w:val="none"/>
        </w:rPr>
        <w:t>。</w:t>
      </w:r>
    </w:p>
    <w:p w14:paraId="79729189">
      <w:pPr>
        <w:pStyle w:val="4"/>
        <w:rPr>
          <w:color w:val="auto"/>
          <w:highlight w:val="none"/>
        </w:rPr>
      </w:pPr>
      <w:bookmarkStart w:id="1383" w:name="_Toc2001387503"/>
      <w:bookmarkStart w:id="1384" w:name="_Toc389065339"/>
      <w:bookmarkStart w:id="1385" w:name="_Toc10386"/>
      <w:bookmarkStart w:id="1386" w:name="_Toc373478421"/>
      <w:bookmarkStart w:id="1387" w:name="_Toc78449863"/>
      <w:bookmarkStart w:id="1388" w:name="_Toc454766369"/>
      <w:bookmarkStart w:id="1389" w:name="_Toc407135277"/>
      <w:bookmarkStart w:id="1390" w:name="_Toc373227774"/>
      <w:r>
        <w:rPr>
          <w:color w:val="auto"/>
          <w:highlight w:val="none"/>
        </w:rPr>
        <w:t xml:space="preserve">18.3 </w:t>
      </w:r>
      <w:r>
        <w:rPr>
          <w:rFonts w:hint="eastAsia" w:hAnsi="宋体" w:cs="黑体"/>
          <w:color w:val="auto"/>
          <w:highlight w:val="none"/>
        </w:rPr>
        <w:t>其他保险</w:t>
      </w:r>
      <w:bookmarkEnd w:id="1383"/>
      <w:bookmarkEnd w:id="1384"/>
      <w:bookmarkEnd w:id="1385"/>
      <w:bookmarkEnd w:id="1386"/>
      <w:bookmarkEnd w:id="1387"/>
      <w:bookmarkEnd w:id="1388"/>
      <w:bookmarkEnd w:id="1389"/>
      <w:bookmarkEnd w:id="1390"/>
    </w:p>
    <w:p w14:paraId="49296EB7">
      <w:pPr>
        <w:spacing w:line="360" w:lineRule="auto"/>
        <w:ind w:firstLine="420" w:firstLineChars="200"/>
        <w:jc w:val="left"/>
        <w:rPr>
          <w:rFonts w:hint="eastAsia" w:hAnsi="宋体" w:cs="宋体"/>
          <w:color w:val="auto"/>
          <w:highlight w:val="none"/>
        </w:rPr>
      </w:pPr>
      <w:r>
        <w:rPr>
          <w:rFonts w:hint="eastAsia" w:hAnsi="宋体" w:cs="宋体"/>
          <w:color w:val="auto"/>
          <w:highlight w:val="none"/>
        </w:rPr>
        <w:t>关于其他保险的约定：</w:t>
      </w:r>
      <w:r>
        <w:rPr>
          <w:rFonts w:ascii="宋体" w:hAnsi="宋体" w:eastAsia="宋体" w:cs="宋体"/>
          <w:color w:val="auto"/>
          <w:spacing w:val="0"/>
          <w:highlight w:val="none"/>
          <w:u w:val="single"/>
        </w:rPr>
        <w:t xml:space="preserve"> 承包人必须为施工现场从事施工的所有作业人员和管理人员办理意外伤害保险或工伤保险，并支付保险费 </w:t>
      </w:r>
      <w:r>
        <w:rPr>
          <w:rFonts w:hint="eastAsia" w:hAnsi="宋体" w:cs="宋体"/>
          <w:color w:val="auto"/>
          <w:highlight w:val="none"/>
        </w:rPr>
        <w:t>。</w:t>
      </w:r>
    </w:p>
    <w:p w14:paraId="11ACE81D">
      <w:pPr>
        <w:spacing w:line="360" w:lineRule="auto"/>
        <w:ind w:firstLine="420" w:firstLineChars="200"/>
        <w:jc w:val="left"/>
        <w:rPr>
          <w:color w:val="auto"/>
          <w:kern w:val="0"/>
          <w:highlight w:val="none"/>
        </w:rPr>
      </w:pPr>
      <w:r>
        <w:rPr>
          <w:rFonts w:hint="eastAsia" w:hAnsi="宋体" w:cs="宋体"/>
          <w:color w:val="auto"/>
          <w:highlight w:val="none"/>
          <w:u w:val="single"/>
        </w:rPr>
        <w:t>承包人根据《自治区住房城乡建设厅关于印发广西壮族自治区房屋建筑和市政基础设施工程安全生产责任保险计价规定的通知》（桂建发〔2023〕6号）相关条款，以工程项目为单元参保安全生产责任保险费，并承担相关保险费用</w:t>
      </w:r>
      <w:r>
        <w:rPr>
          <w:rFonts w:hint="eastAsia" w:hAnsi="宋体" w:cs="宋体"/>
          <w:color w:val="auto"/>
          <w:highlight w:val="none"/>
        </w:rPr>
        <w:t>。</w:t>
      </w:r>
    </w:p>
    <w:p w14:paraId="6E061457">
      <w:pPr>
        <w:spacing w:line="360" w:lineRule="auto"/>
        <w:ind w:firstLine="420" w:firstLineChars="200"/>
        <w:jc w:val="left"/>
        <w:rPr>
          <w:color w:val="auto"/>
          <w:highlight w:val="none"/>
          <w:u w:val="single"/>
        </w:rPr>
      </w:pPr>
      <w:r>
        <w:rPr>
          <w:rFonts w:hint="eastAsia" w:hAnsi="宋体" w:cs="宋体"/>
          <w:color w:val="auto"/>
          <w:highlight w:val="none"/>
        </w:rPr>
        <w:t>承包人是否应为其施工设备等办理财产保险：</w:t>
      </w:r>
      <w:r>
        <w:rPr>
          <w:rFonts w:ascii="宋体" w:hAnsi="宋体" w:eastAsia="宋体" w:cs="宋体"/>
          <w:color w:val="auto"/>
          <w:spacing w:val="0"/>
          <w:highlight w:val="none"/>
          <w:u w:val="single"/>
        </w:rPr>
        <w:t xml:space="preserve"> 由承包人自行考虑 </w:t>
      </w:r>
      <w:r>
        <w:rPr>
          <w:rFonts w:hint="eastAsia" w:hAnsi="宋体" w:cs="宋体"/>
          <w:color w:val="auto"/>
          <w:highlight w:val="none"/>
        </w:rPr>
        <w:t>。</w:t>
      </w:r>
    </w:p>
    <w:p w14:paraId="75064F87">
      <w:pPr>
        <w:pStyle w:val="4"/>
        <w:rPr>
          <w:color w:val="auto"/>
          <w:highlight w:val="none"/>
        </w:rPr>
      </w:pPr>
      <w:bookmarkStart w:id="1391" w:name="_Toc2102614655"/>
      <w:bookmarkStart w:id="1392" w:name="_Toc4173"/>
      <w:bookmarkStart w:id="1393" w:name="_Toc373227775"/>
      <w:bookmarkStart w:id="1394" w:name="_Toc407135278"/>
      <w:bookmarkStart w:id="1395" w:name="_Toc1114527236"/>
      <w:bookmarkStart w:id="1396" w:name="_Toc389065340"/>
      <w:bookmarkStart w:id="1397" w:name="_Toc78449864"/>
      <w:bookmarkStart w:id="1398" w:name="_Toc373478422"/>
      <w:r>
        <w:rPr>
          <w:color w:val="auto"/>
          <w:highlight w:val="none"/>
        </w:rPr>
        <w:t xml:space="preserve">18.7 </w:t>
      </w:r>
      <w:r>
        <w:rPr>
          <w:rFonts w:hint="eastAsia" w:hAnsi="宋体" w:cs="黑体"/>
          <w:color w:val="auto"/>
          <w:highlight w:val="none"/>
        </w:rPr>
        <w:t>通知义务</w:t>
      </w:r>
      <w:bookmarkEnd w:id="1391"/>
      <w:bookmarkEnd w:id="1392"/>
      <w:bookmarkEnd w:id="1393"/>
      <w:bookmarkEnd w:id="1394"/>
      <w:bookmarkEnd w:id="1395"/>
      <w:bookmarkEnd w:id="1396"/>
      <w:bookmarkEnd w:id="1397"/>
      <w:bookmarkEnd w:id="1398"/>
    </w:p>
    <w:p w14:paraId="2E90F680">
      <w:pPr>
        <w:spacing w:line="360" w:lineRule="auto"/>
        <w:ind w:firstLine="420" w:firstLineChars="200"/>
        <w:jc w:val="left"/>
        <w:rPr>
          <w:color w:val="auto"/>
          <w:highlight w:val="none"/>
          <w:u w:val="single"/>
        </w:rPr>
      </w:pPr>
      <w:r>
        <w:rPr>
          <w:rFonts w:hint="eastAsia" w:hAnsi="宋体" w:cs="宋体"/>
          <w:color w:val="auto"/>
          <w:kern w:val="0"/>
          <w:highlight w:val="none"/>
        </w:rPr>
        <w:t>关于变更保险合同时的通知义务的约定：</w:t>
      </w:r>
      <w:r>
        <w:rPr>
          <w:rFonts w:ascii="宋体" w:hAnsi="宋体" w:eastAsia="宋体" w:cs="宋体"/>
          <w:color w:val="auto"/>
          <w:highlight w:val="none"/>
          <w:u w:val="single"/>
        </w:rPr>
        <w:t xml:space="preserve">  无  </w:t>
      </w:r>
      <w:r>
        <w:rPr>
          <w:rFonts w:hint="eastAsia" w:hAnsi="宋体" w:cs="宋体"/>
          <w:color w:val="auto"/>
          <w:highlight w:val="none"/>
        </w:rPr>
        <w:t>。</w:t>
      </w:r>
    </w:p>
    <w:bookmarkEnd w:id="1258"/>
    <w:bookmarkEnd w:id="1259"/>
    <w:bookmarkEnd w:id="1260"/>
    <w:bookmarkEnd w:id="1261"/>
    <w:bookmarkEnd w:id="1262"/>
    <w:bookmarkEnd w:id="1263"/>
    <w:bookmarkEnd w:id="1264"/>
    <w:bookmarkEnd w:id="1265"/>
    <w:bookmarkEnd w:id="1266"/>
    <w:bookmarkEnd w:id="1267"/>
    <w:bookmarkEnd w:id="1268"/>
    <w:bookmarkEnd w:id="1269"/>
    <w:p w14:paraId="0DFD7C64">
      <w:pPr>
        <w:pStyle w:val="3"/>
        <w:rPr>
          <w:color w:val="auto"/>
          <w:highlight w:val="none"/>
        </w:rPr>
      </w:pPr>
      <w:bookmarkStart w:id="1399" w:name="_Toc373227776"/>
      <w:bookmarkStart w:id="1400" w:name="_Toc78449865"/>
      <w:bookmarkStart w:id="1401" w:name="_Toc389065341"/>
      <w:bookmarkStart w:id="1402" w:name="_Toc1959910599"/>
      <w:bookmarkStart w:id="1403" w:name="_Toc6423"/>
      <w:bookmarkStart w:id="1404" w:name="_Toc407135279"/>
      <w:bookmarkStart w:id="1405" w:name="_Toc351203651"/>
      <w:bookmarkStart w:id="1406" w:name="_Toc373478423"/>
      <w:bookmarkStart w:id="1407" w:name="_Toc1430568476"/>
      <w:r>
        <w:rPr>
          <w:color w:val="auto"/>
          <w:highlight w:val="none"/>
        </w:rPr>
        <w:t xml:space="preserve">20. </w:t>
      </w:r>
      <w:r>
        <w:rPr>
          <w:rFonts w:hint="eastAsia" w:hAnsi="宋体" w:cs="黑体"/>
          <w:color w:val="auto"/>
          <w:highlight w:val="none"/>
        </w:rPr>
        <w:t>争议解决</w:t>
      </w:r>
      <w:bookmarkEnd w:id="1399"/>
      <w:bookmarkEnd w:id="1400"/>
      <w:bookmarkEnd w:id="1401"/>
      <w:bookmarkEnd w:id="1402"/>
      <w:bookmarkEnd w:id="1403"/>
      <w:bookmarkEnd w:id="1404"/>
      <w:bookmarkEnd w:id="1405"/>
      <w:bookmarkEnd w:id="1406"/>
      <w:bookmarkEnd w:id="1407"/>
    </w:p>
    <w:bookmarkEnd w:id="1270"/>
    <w:bookmarkEnd w:id="1271"/>
    <w:p w14:paraId="5B21B263">
      <w:pPr>
        <w:pStyle w:val="4"/>
        <w:rPr>
          <w:color w:val="auto"/>
          <w:highlight w:val="none"/>
        </w:rPr>
      </w:pPr>
      <w:bookmarkStart w:id="1408" w:name="_Toc373478424"/>
      <w:bookmarkStart w:id="1409" w:name="_Toc389065342"/>
      <w:bookmarkStart w:id="1410" w:name="_Toc1645489822"/>
      <w:bookmarkStart w:id="1411" w:name="_Toc373227777"/>
      <w:bookmarkStart w:id="1412" w:name="_Toc407135280"/>
      <w:bookmarkStart w:id="1413" w:name="_Toc78449866"/>
      <w:bookmarkStart w:id="1414" w:name="_Toc2138124043"/>
      <w:bookmarkStart w:id="1415" w:name="_Toc1270"/>
      <w:r>
        <w:rPr>
          <w:color w:val="auto"/>
          <w:highlight w:val="none"/>
        </w:rPr>
        <w:t xml:space="preserve">20.3 </w:t>
      </w:r>
      <w:r>
        <w:rPr>
          <w:rFonts w:hint="eastAsia" w:hAnsi="宋体" w:cs="黑体"/>
          <w:color w:val="auto"/>
          <w:highlight w:val="none"/>
        </w:rPr>
        <w:t>争</w:t>
      </w:r>
      <w:bookmarkEnd w:id="1272"/>
      <w:r>
        <w:rPr>
          <w:rFonts w:hint="eastAsia" w:hAnsi="宋体" w:cs="黑体"/>
          <w:color w:val="auto"/>
          <w:highlight w:val="none"/>
        </w:rPr>
        <w:t>议评审</w:t>
      </w:r>
      <w:bookmarkEnd w:id="1408"/>
      <w:bookmarkEnd w:id="1409"/>
      <w:bookmarkEnd w:id="1410"/>
      <w:bookmarkEnd w:id="1411"/>
      <w:bookmarkEnd w:id="1412"/>
      <w:bookmarkEnd w:id="1413"/>
      <w:bookmarkEnd w:id="1414"/>
      <w:bookmarkEnd w:id="1415"/>
    </w:p>
    <w:p w14:paraId="63015625">
      <w:pPr>
        <w:spacing w:line="360" w:lineRule="auto"/>
        <w:ind w:left="149" w:leftChars="71" w:firstLine="315" w:firstLineChars="150"/>
        <w:jc w:val="left"/>
        <w:rPr>
          <w:color w:val="auto"/>
          <w:highlight w:val="none"/>
          <w:u w:val="single"/>
        </w:rPr>
      </w:pPr>
      <w:r>
        <w:rPr>
          <w:rFonts w:hint="eastAsia" w:hAnsi="宋体" w:cs="宋体"/>
          <w:color w:val="auto"/>
          <w:highlight w:val="none"/>
        </w:rPr>
        <w:t>合同当事人是否同意将工程争议提交争议评审小组决定：</w:t>
      </w:r>
      <w:r>
        <w:rPr>
          <w:rFonts w:ascii="宋体" w:hAnsi="宋体" w:eastAsia="宋体" w:cs="宋体"/>
          <w:color w:val="auto"/>
          <w:highlight w:val="none"/>
          <w:u w:val="single"/>
        </w:rPr>
        <w:t xml:space="preserve"> 不同意 </w:t>
      </w:r>
      <w:r>
        <w:rPr>
          <w:rFonts w:hint="eastAsia" w:hAnsi="宋体" w:cs="宋体"/>
          <w:color w:val="auto"/>
          <w:highlight w:val="none"/>
        </w:rPr>
        <w:t>。</w:t>
      </w:r>
    </w:p>
    <w:p w14:paraId="5A0B6269">
      <w:pPr>
        <w:spacing w:line="360" w:lineRule="auto"/>
        <w:ind w:firstLine="420" w:firstLineChars="200"/>
        <w:jc w:val="left"/>
        <w:outlineLvl w:val="0"/>
        <w:rPr>
          <w:color w:val="auto"/>
          <w:highlight w:val="none"/>
        </w:rPr>
      </w:pPr>
      <w:bookmarkStart w:id="1416" w:name="_Toc7187"/>
      <w:r>
        <w:rPr>
          <w:color w:val="auto"/>
          <w:highlight w:val="none"/>
        </w:rPr>
        <w:t xml:space="preserve">20.3.1 </w:t>
      </w:r>
      <w:r>
        <w:rPr>
          <w:rFonts w:hint="eastAsia" w:hAnsi="宋体" w:cs="宋体"/>
          <w:color w:val="auto"/>
          <w:highlight w:val="none"/>
        </w:rPr>
        <w:t>争议评审小组的确定</w:t>
      </w:r>
      <w:bookmarkEnd w:id="1416"/>
    </w:p>
    <w:p w14:paraId="7465949F">
      <w:pPr>
        <w:spacing w:line="360" w:lineRule="auto"/>
        <w:ind w:firstLine="420" w:firstLineChars="200"/>
        <w:jc w:val="left"/>
        <w:rPr>
          <w:color w:val="auto"/>
          <w:highlight w:val="none"/>
          <w:u w:val="single"/>
        </w:rPr>
      </w:pPr>
      <w:r>
        <w:rPr>
          <w:rFonts w:hint="eastAsia" w:hAnsi="宋体" w:cs="宋体"/>
          <w:color w:val="auto"/>
          <w:highlight w:val="none"/>
        </w:rPr>
        <w:t>争议评审小组成员的确定：</w:t>
      </w:r>
      <w:r>
        <w:rPr>
          <w:rFonts w:ascii="宋体" w:hAnsi="宋体" w:eastAsia="宋体" w:cs="宋体"/>
          <w:color w:val="auto"/>
          <w:spacing w:val="0"/>
          <w:highlight w:val="none"/>
          <w:u w:val="single"/>
        </w:rPr>
        <w:t xml:space="preserve">  无  </w:t>
      </w:r>
      <w:r>
        <w:rPr>
          <w:rFonts w:hint="eastAsia" w:hAnsi="宋体" w:cs="宋体"/>
          <w:color w:val="auto"/>
          <w:highlight w:val="none"/>
        </w:rPr>
        <w:t>。</w:t>
      </w:r>
    </w:p>
    <w:p w14:paraId="6C98BAE8">
      <w:pPr>
        <w:spacing w:line="360" w:lineRule="auto"/>
        <w:ind w:firstLine="420" w:firstLineChars="200"/>
        <w:jc w:val="left"/>
        <w:rPr>
          <w:color w:val="auto"/>
          <w:highlight w:val="none"/>
        </w:rPr>
      </w:pPr>
      <w:r>
        <w:rPr>
          <w:rFonts w:hint="eastAsia" w:hAnsi="宋体" w:cs="宋体"/>
          <w:color w:val="auto"/>
          <w:highlight w:val="none"/>
        </w:rPr>
        <w:t>选定争议评审员的期限：</w:t>
      </w:r>
      <w:r>
        <w:rPr>
          <w:rFonts w:ascii="宋体" w:hAnsi="宋体" w:eastAsia="宋体" w:cs="宋体"/>
          <w:color w:val="auto"/>
          <w:spacing w:val="0"/>
          <w:highlight w:val="none"/>
          <w:u w:val="single"/>
        </w:rPr>
        <w:t xml:space="preserve">  无  </w:t>
      </w:r>
      <w:r>
        <w:rPr>
          <w:rFonts w:hint="eastAsia" w:hAnsi="宋体" w:cs="宋体"/>
          <w:color w:val="auto"/>
          <w:highlight w:val="none"/>
        </w:rPr>
        <w:t>。</w:t>
      </w:r>
    </w:p>
    <w:p w14:paraId="5C1DD9BB">
      <w:pPr>
        <w:spacing w:line="360" w:lineRule="auto"/>
        <w:ind w:firstLine="420" w:firstLineChars="200"/>
        <w:jc w:val="left"/>
        <w:rPr>
          <w:color w:val="auto"/>
          <w:highlight w:val="none"/>
        </w:rPr>
      </w:pPr>
      <w:r>
        <w:rPr>
          <w:rFonts w:hint="eastAsia" w:hAnsi="宋体" w:cs="宋体"/>
          <w:color w:val="auto"/>
          <w:highlight w:val="none"/>
        </w:rPr>
        <w:t>争议评审小组成员的报酬承担方式：</w:t>
      </w:r>
      <w:r>
        <w:rPr>
          <w:rFonts w:ascii="宋体" w:hAnsi="宋体" w:eastAsia="宋体" w:cs="宋体"/>
          <w:color w:val="auto"/>
          <w:spacing w:val="0"/>
          <w:highlight w:val="none"/>
          <w:u w:val="single"/>
        </w:rPr>
        <w:t xml:space="preserve">  无  </w:t>
      </w:r>
      <w:r>
        <w:rPr>
          <w:rFonts w:hint="eastAsia" w:hAnsi="宋体" w:cs="宋体"/>
          <w:color w:val="auto"/>
          <w:highlight w:val="none"/>
        </w:rPr>
        <w:t>。</w:t>
      </w:r>
    </w:p>
    <w:p w14:paraId="59C9DFB7">
      <w:pPr>
        <w:spacing w:line="360" w:lineRule="auto"/>
        <w:ind w:firstLine="420" w:firstLineChars="200"/>
        <w:jc w:val="left"/>
        <w:rPr>
          <w:color w:val="auto"/>
          <w:highlight w:val="none"/>
        </w:rPr>
      </w:pPr>
      <w:r>
        <w:rPr>
          <w:rFonts w:hint="eastAsia" w:hAnsi="宋体" w:cs="宋体"/>
          <w:color w:val="auto"/>
          <w:highlight w:val="none"/>
        </w:rPr>
        <w:t>其他事项的约定：</w:t>
      </w:r>
      <w:r>
        <w:rPr>
          <w:rFonts w:ascii="宋体" w:hAnsi="宋体" w:eastAsia="宋体" w:cs="宋体"/>
          <w:color w:val="auto"/>
          <w:spacing w:val="0"/>
          <w:highlight w:val="none"/>
          <w:u w:val="single"/>
        </w:rPr>
        <w:t xml:space="preserve">  无  </w:t>
      </w:r>
      <w:r>
        <w:rPr>
          <w:rFonts w:hint="eastAsia" w:hAnsi="宋体" w:cs="宋体"/>
          <w:color w:val="auto"/>
          <w:highlight w:val="none"/>
        </w:rPr>
        <w:t>。</w:t>
      </w:r>
    </w:p>
    <w:p w14:paraId="00883CA2">
      <w:pPr>
        <w:autoSpaceDE w:val="0"/>
        <w:autoSpaceDN w:val="0"/>
        <w:adjustRightInd w:val="0"/>
        <w:spacing w:line="360" w:lineRule="auto"/>
        <w:ind w:firstLine="420" w:firstLineChars="200"/>
        <w:jc w:val="left"/>
        <w:rPr>
          <w:color w:val="auto"/>
          <w:kern w:val="0"/>
          <w:highlight w:val="none"/>
        </w:rPr>
      </w:pPr>
      <w:r>
        <w:rPr>
          <w:color w:val="auto"/>
          <w:kern w:val="0"/>
          <w:highlight w:val="none"/>
        </w:rPr>
        <w:t xml:space="preserve">20.3.2 </w:t>
      </w:r>
      <w:r>
        <w:rPr>
          <w:rFonts w:hint="eastAsia" w:hAnsi="宋体" w:cs="宋体"/>
          <w:color w:val="auto"/>
          <w:kern w:val="0"/>
          <w:highlight w:val="none"/>
        </w:rPr>
        <w:t>争议评审小组的决定</w:t>
      </w:r>
    </w:p>
    <w:p w14:paraId="311682C0">
      <w:pPr>
        <w:spacing w:line="360" w:lineRule="auto"/>
        <w:ind w:firstLine="420" w:firstLineChars="200"/>
        <w:jc w:val="left"/>
        <w:rPr>
          <w:color w:val="auto"/>
          <w:highlight w:val="none"/>
        </w:rPr>
      </w:pPr>
      <w:r>
        <w:rPr>
          <w:rFonts w:hint="eastAsia" w:hAnsi="宋体" w:cs="宋体"/>
          <w:color w:val="auto"/>
          <w:highlight w:val="none"/>
        </w:rPr>
        <w:t>合同当事人关于本项的约定：</w:t>
      </w:r>
      <w:r>
        <w:rPr>
          <w:rFonts w:ascii="宋体" w:hAnsi="宋体" w:eastAsia="宋体" w:cs="宋体"/>
          <w:color w:val="auto"/>
          <w:spacing w:val="0"/>
          <w:highlight w:val="none"/>
          <w:u w:val="single"/>
        </w:rPr>
        <w:t xml:space="preserve">  无  </w:t>
      </w:r>
      <w:r>
        <w:rPr>
          <w:rFonts w:hint="eastAsia" w:hAnsi="宋体" w:cs="宋体"/>
          <w:color w:val="auto"/>
          <w:highlight w:val="none"/>
        </w:rPr>
        <w:t>。</w:t>
      </w:r>
    </w:p>
    <w:p w14:paraId="444CEDD2">
      <w:pPr>
        <w:pStyle w:val="4"/>
        <w:rPr>
          <w:color w:val="auto"/>
          <w:highlight w:val="none"/>
        </w:rPr>
      </w:pPr>
      <w:bookmarkStart w:id="1417" w:name="_Toc78449867"/>
      <w:bookmarkStart w:id="1418" w:name="_Toc1156795721"/>
      <w:bookmarkStart w:id="1419" w:name="_Toc1456517022"/>
      <w:bookmarkStart w:id="1420" w:name="_Toc373227778"/>
      <w:bookmarkStart w:id="1421" w:name="_Toc389065343"/>
      <w:bookmarkStart w:id="1422" w:name="_Toc407135281"/>
      <w:bookmarkStart w:id="1423" w:name="_Toc15934"/>
      <w:bookmarkStart w:id="1424" w:name="_Toc373478425"/>
      <w:r>
        <w:rPr>
          <w:color w:val="auto"/>
          <w:highlight w:val="none"/>
        </w:rPr>
        <w:t xml:space="preserve">20.4 </w:t>
      </w:r>
      <w:r>
        <w:rPr>
          <w:rFonts w:hint="eastAsia" w:hAnsi="宋体" w:cs="黑体"/>
          <w:color w:val="auto"/>
          <w:highlight w:val="none"/>
        </w:rPr>
        <w:t>仲裁或诉讼</w:t>
      </w:r>
      <w:bookmarkEnd w:id="1273"/>
      <w:bookmarkEnd w:id="1417"/>
      <w:bookmarkEnd w:id="1418"/>
      <w:bookmarkEnd w:id="1419"/>
      <w:bookmarkEnd w:id="1420"/>
      <w:bookmarkEnd w:id="1421"/>
      <w:bookmarkEnd w:id="1422"/>
      <w:bookmarkEnd w:id="1423"/>
      <w:bookmarkEnd w:id="1424"/>
    </w:p>
    <w:p w14:paraId="39D2F938">
      <w:pPr>
        <w:spacing w:line="360" w:lineRule="auto"/>
        <w:ind w:firstLine="420" w:firstLineChars="200"/>
        <w:rPr>
          <w:color w:val="auto"/>
          <w:highlight w:val="none"/>
        </w:rPr>
      </w:pPr>
      <w:r>
        <w:rPr>
          <w:rFonts w:hint="eastAsia" w:hAnsi="宋体" w:cs="宋体"/>
          <w:color w:val="auto"/>
          <w:highlight w:val="none"/>
        </w:rPr>
        <w:t>因合同及合同有关事项发生的争议，按下列第</w:t>
      </w:r>
      <w:r>
        <w:rPr>
          <w:color w:val="auto"/>
          <w:highlight w:val="none"/>
          <w:u w:val="single"/>
        </w:rPr>
        <w:t xml:space="preserve"> </w:t>
      </w:r>
      <w:r>
        <w:rPr>
          <w:rFonts w:hint="eastAsia"/>
          <w:color w:val="auto"/>
          <w:highlight w:val="none"/>
          <w:u w:val="single"/>
          <w:lang w:eastAsia="zh-CN"/>
        </w:rPr>
        <w:t>（</w:t>
      </w:r>
      <w:r>
        <w:rPr>
          <w:rFonts w:hint="eastAsia"/>
          <w:color w:val="auto"/>
          <w:highlight w:val="none"/>
          <w:u w:val="single"/>
          <w:lang w:val="en-US" w:eastAsia="zh-CN"/>
        </w:rPr>
        <w:t>2</w:t>
      </w:r>
      <w:r>
        <w:rPr>
          <w:rFonts w:hint="eastAsia"/>
          <w:color w:val="auto"/>
          <w:highlight w:val="none"/>
          <w:u w:val="single"/>
          <w:lang w:eastAsia="zh-CN"/>
        </w:rPr>
        <w:t>）</w:t>
      </w:r>
      <w:r>
        <w:rPr>
          <w:color w:val="auto"/>
          <w:highlight w:val="none"/>
          <w:u w:val="single"/>
        </w:rPr>
        <w:t xml:space="preserve"> </w:t>
      </w:r>
      <w:r>
        <w:rPr>
          <w:rFonts w:hint="eastAsia" w:hAnsi="宋体" w:cs="宋体"/>
          <w:color w:val="auto"/>
          <w:highlight w:val="none"/>
        </w:rPr>
        <w:t>种方式解决：</w:t>
      </w:r>
    </w:p>
    <w:p w14:paraId="08B8D99F">
      <w:pPr>
        <w:spacing w:line="360" w:lineRule="auto"/>
        <w:ind w:firstLine="420" w:firstLineChars="200"/>
        <w:jc w:val="left"/>
        <w:rPr>
          <w:color w:val="auto"/>
          <w:highlight w:val="none"/>
        </w:rPr>
      </w:pPr>
      <w:r>
        <w:rPr>
          <w:rFonts w:hint="eastAsia" w:hAnsi="宋体" w:cs="宋体"/>
          <w:color w:val="auto"/>
          <w:highlight w:val="none"/>
        </w:rPr>
        <w:t>（</w:t>
      </w:r>
      <w:r>
        <w:rPr>
          <w:color w:val="auto"/>
          <w:highlight w:val="none"/>
        </w:rPr>
        <w:t>1</w:t>
      </w:r>
      <w:r>
        <w:rPr>
          <w:rFonts w:hint="eastAsia" w:hAnsi="宋体" w:cs="宋体"/>
          <w:color w:val="auto"/>
          <w:highlight w:val="none"/>
        </w:rPr>
        <w:t>）提请</w:t>
      </w:r>
      <w:r>
        <w:rPr>
          <w:color w:val="auto"/>
          <w:highlight w:val="none"/>
          <w:u w:val="single"/>
        </w:rPr>
        <w:t xml:space="preserve">     </w:t>
      </w:r>
      <w:r>
        <w:rPr>
          <w:rFonts w:hint="eastAsia" w:hAnsi="宋体" w:cs="宋体"/>
          <w:color w:val="auto"/>
          <w:highlight w:val="none"/>
        </w:rPr>
        <w:t>仲裁委员会按照该会仲裁规则进行仲裁，仲裁裁决是终局的，对合同双方均有约束力。</w:t>
      </w:r>
    </w:p>
    <w:p w14:paraId="2496E54E">
      <w:pPr>
        <w:spacing w:line="360" w:lineRule="auto"/>
        <w:ind w:firstLine="420" w:firstLineChars="200"/>
        <w:jc w:val="left"/>
        <w:rPr>
          <w:color w:val="auto"/>
          <w:highlight w:val="none"/>
        </w:rPr>
      </w:pPr>
      <w:r>
        <w:rPr>
          <w:rFonts w:hint="eastAsia" w:hAnsi="宋体" w:cs="宋体"/>
          <w:color w:val="auto"/>
          <w:highlight w:val="none"/>
        </w:rPr>
        <w:t>（</w:t>
      </w:r>
      <w:r>
        <w:rPr>
          <w:color w:val="auto"/>
          <w:highlight w:val="none"/>
        </w:rPr>
        <w:t>2</w:t>
      </w:r>
      <w:r>
        <w:rPr>
          <w:rFonts w:hint="eastAsia" w:hAnsi="宋体" w:cs="宋体"/>
          <w:color w:val="auto"/>
          <w:highlight w:val="none"/>
        </w:rPr>
        <w:t>）向</w:t>
      </w:r>
      <w:r>
        <w:rPr>
          <w:color w:val="auto"/>
          <w:highlight w:val="none"/>
          <w:u w:val="single"/>
        </w:rPr>
        <w:t xml:space="preserve">  </w:t>
      </w:r>
      <w:r>
        <w:rPr>
          <w:rFonts w:hint="eastAsia"/>
          <w:color w:val="auto"/>
          <w:highlight w:val="none"/>
          <w:u w:val="single"/>
        </w:rPr>
        <w:t>工程项目所在地</w:t>
      </w:r>
      <w:r>
        <w:rPr>
          <w:color w:val="auto"/>
          <w:highlight w:val="none"/>
          <w:u w:val="single"/>
        </w:rPr>
        <w:t xml:space="preserve">  </w:t>
      </w:r>
      <w:r>
        <w:rPr>
          <w:rFonts w:hint="eastAsia" w:hAnsi="宋体" w:cs="宋体"/>
          <w:color w:val="auto"/>
          <w:highlight w:val="none"/>
        </w:rPr>
        <w:t>人民法院起诉。</w:t>
      </w:r>
      <w:bookmarkEnd w:id="1274"/>
      <w:bookmarkEnd w:id="1275"/>
      <w:bookmarkEnd w:id="1276"/>
      <w:bookmarkEnd w:id="1277"/>
      <w:bookmarkEnd w:id="1278"/>
      <w:bookmarkEnd w:id="1279"/>
    </w:p>
    <w:p w14:paraId="657B0227">
      <w:pPr>
        <w:spacing w:line="360" w:lineRule="auto"/>
        <w:jc w:val="left"/>
        <w:rPr>
          <w:rFonts w:hint="eastAsia" w:eastAsia="黑体" w:cs="黑体"/>
          <w:b/>
          <w:bCs/>
          <w:color w:val="auto"/>
          <w:sz w:val="28"/>
          <w:szCs w:val="28"/>
          <w:highlight w:val="none"/>
        </w:rPr>
      </w:pPr>
      <w:bookmarkStart w:id="1425" w:name="_Toc351203652"/>
    </w:p>
    <w:p w14:paraId="067A6FBF">
      <w:pPr>
        <w:spacing w:line="360" w:lineRule="auto"/>
        <w:jc w:val="left"/>
        <w:rPr>
          <w:rFonts w:hint="eastAsia" w:eastAsia="黑体" w:cs="黑体"/>
          <w:b/>
          <w:bCs/>
          <w:color w:val="auto"/>
          <w:sz w:val="28"/>
          <w:szCs w:val="28"/>
          <w:highlight w:val="none"/>
        </w:rPr>
      </w:pPr>
    </w:p>
    <w:p w14:paraId="28DA2F70">
      <w:pPr>
        <w:spacing w:line="360" w:lineRule="auto"/>
        <w:jc w:val="left"/>
        <w:rPr>
          <w:rFonts w:hint="eastAsia" w:eastAsia="黑体" w:cs="黑体"/>
          <w:b/>
          <w:bCs/>
          <w:color w:val="auto"/>
          <w:sz w:val="28"/>
          <w:szCs w:val="28"/>
          <w:highlight w:val="none"/>
        </w:rPr>
      </w:pPr>
    </w:p>
    <w:p w14:paraId="568D27CA">
      <w:pPr>
        <w:spacing w:line="360" w:lineRule="auto"/>
        <w:jc w:val="left"/>
        <w:rPr>
          <w:rFonts w:hint="eastAsia" w:eastAsia="黑体" w:cs="黑体"/>
          <w:b/>
          <w:bCs/>
          <w:color w:val="auto"/>
          <w:sz w:val="28"/>
          <w:szCs w:val="28"/>
          <w:highlight w:val="none"/>
        </w:rPr>
      </w:pPr>
    </w:p>
    <w:p w14:paraId="51652BC1">
      <w:pPr>
        <w:spacing w:line="360" w:lineRule="auto"/>
        <w:jc w:val="left"/>
        <w:rPr>
          <w:rFonts w:hint="eastAsia" w:eastAsia="黑体" w:cs="黑体"/>
          <w:b/>
          <w:bCs/>
          <w:color w:val="auto"/>
          <w:sz w:val="28"/>
          <w:szCs w:val="28"/>
          <w:highlight w:val="none"/>
        </w:rPr>
      </w:pPr>
    </w:p>
    <w:p w14:paraId="0AA89BAE">
      <w:pPr>
        <w:spacing w:line="360" w:lineRule="auto"/>
        <w:jc w:val="left"/>
        <w:rPr>
          <w:rFonts w:hint="eastAsia" w:eastAsia="黑体" w:cs="黑体"/>
          <w:b/>
          <w:bCs/>
          <w:color w:val="auto"/>
          <w:sz w:val="28"/>
          <w:szCs w:val="28"/>
          <w:highlight w:val="none"/>
        </w:rPr>
      </w:pPr>
    </w:p>
    <w:p w14:paraId="613DBED1">
      <w:pPr>
        <w:spacing w:line="360" w:lineRule="auto"/>
        <w:jc w:val="left"/>
        <w:rPr>
          <w:rFonts w:eastAsia="黑体"/>
          <w:b/>
          <w:bCs/>
          <w:color w:val="auto"/>
          <w:sz w:val="28"/>
          <w:szCs w:val="28"/>
          <w:highlight w:val="none"/>
        </w:rPr>
      </w:pPr>
      <w:r>
        <w:rPr>
          <w:rFonts w:hint="eastAsia" w:eastAsia="黑体" w:cs="黑体"/>
          <w:b/>
          <w:bCs/>
          <w:color w:val="auto"/>
          <w:sz w:val="28"/>
          <w:szCs w:val="28"/>
          <w:highlight w:val="none"/>
        </w:rPr>
        <w:t>附件</w:t>
      </w:r>
      <w:bookmarkEnd w:id="1425"/>
    </w:p>
    <w:p w14:paraId="61C272BD">
      <w:pPr>
        <w:spacing w:line="360" w:lineRule="auto"/>
        <w:jc w:val="left"/>
        <w:rPr>
          <w:rFonts w:hint="eastAsia" w:ascii="宋体" w:hAnsi="宋体" w:cs="宋体"/>
          <w:color w:val="auto"/>
          <w:highlight w:val="none"/>
        </w:rPr>
      </w:pPr>
      <w:r>
        <w:rPr>
          <w:rFonts w:hint="eastAsia" w:ascii="宋体" w:hAnsi="宋体" w:cs="宋体"/>
          <w:color w:val="auto"/>
          <w:highlight w:val="none"/>
        </w:rPr>
        <w:t>附件</w:t>
      </w:r>
      <w:r>
        <w:rPr>
          <w:rFonts w:ascii="宋体" w:hAnsi="宋体" w:cs="宋体"/>
          <w:color w:val="auto"/>
          <w:highlight w:val="none"/>
        </w:rPr>
        <w:t>1</w:t>
      </w:r>
      <w:r>
        <w:rPr>
          <w:rFonts w:hint="eastAsia" w:ascii="宋体" w:hAnsi="宋体" w:cs="宋体"/>
          <w:color w:val="auto"/>
          <w:highlight w:val="none"/>
        </w:rPr>
        <w:t>：工程质量保修书</w:t>
      </w:r>
    </w:p>
    <w:p w14:paraId="2D4CBDFE">
      <w:pPr>
        <w:rPr>
          <w:rFonts w:hint="eastAsia" w:hAnsi="宋体" w:cs="宋体"/>
          <w:color w:val="auto"/>
          <w:sz w:val="30"/>
          <w:szCs w:val="30"/>
          <w:highlight w:val="none"/>
        </w:rPr>
      </w:pPr>
      <w:r>
        <w:rPr>
          <w:rFonts w:hint="eastAsia" w:hAnsi="宋体" w:cs="宋体"/>
          <w:color w:val="auto"/>
          <w:sz w:val="30"/>
          <w:szCs w:val="30"/>
          <w:highlight w:val="none"/>
        </w:rPr>
        <w:br w:type="page"/>
      </w:r>
    </w:p>
    <w:p w14:paraId="3873B0A1">
      <w:pPr>
        <w:spacing w:line="440" w:lineRule="exact"/>
        <w:rPr>
          <w:color w:val="auto"/>
          <w:sz w:val="30"/>
          <w:szCs w:val="30"/>
          <w:highlight w:val="none"/>
        </w:rPr>
      </w:pPr>
      <w:r>
        <w:rPr>
          <w:rFonts w:hint="eastAsia" w:hAnsi="宋体" w:cs="宋体"/>
          <w:color w:val="auto"/>
          <w:sz w:val="30"/>
          <w:szCs w:val="30"/>
          <w:highlight w:val="none"/>
        </w:rPr>
        <w:t>附件</w:t>
      </w:r>
      <w:r>
        <w:rPr>
          <w:rFonts w:hint="eastAsia"/>
          <w:color w:val="auto"/>
          <w:sz w:val="30"/>
          <w:szCs w:val="30"/>
          <w:highlight w:val="none"/>
          <w:lang w:val="en-US" w:eastAsia="zh-CN"/>
        </w:rPr>
        <w:t>1</w:t>
      </w:r>
      <w:r>
        <w:rPr>
          <w:rFonts w:hint="eastAsia" w:hAnsi="宋体" w:cs="宋体"/>
          <w:color w:val="auto"/>
          <w:sz w:val="30"/>
          <w:szCs w:val="30"/>
          <w:highlight w:val="none"/>
        </w:rPr>
        <w:t>：</w:t>
      </w:r>
    </w:p>
    <w:p w14:paraId="0EC7FA1A">
      <w:pPr>
        <w:spacing w:before="120" w:beforeLines="50" w:after="120" w:afterLines="50" w:line="440" w:lineRule="exact"/>
        <w:jc w:val="center"/>
        <w:rPr>
          <w:rFonts w:ascii="黑体" w:eastAsia="黑体"/>
          <w:color w:val="auto"/>
          <w:sz w:val="32"/>
          <w:szCs w:val="32"/>
          <w:highlight w:val="none"/>
        </w:rPr>
      </w:pPr>
      <w:r>
        <w:rPr>
          <w:rFonts w:hint="eastAsia" w:ascii="黑体" w:hAnsi="宋体" w:eastAsia="黑体" w:cs="黑体"/>
          <w:color w:val="auto"/>
          <w:sz w:val="32"/>
          <w:szCs w:val="32"/>
          <w:highlight w:val="none"/>
        </w:rPr>
        <w:t>工程质量保修书（房屋建筑工程）</w:t>
      </w:r>
    </w:p>
    <w:p w14:paraId="6A5A6103">
      <w:pPr>
        <w:spacing w:line="440" w:lineRule="exact"/>
        <w:ind w:firstLine="420" w:firstLineChars="200"/>
        <w:rPr>
          <w:color w:val="auto"/>
          <w:highlight w:val="none"/>
        </w:rPr>
      </w:pPr>
      <w:r>
        <w:rPr>
          <w:rFonts w:hint="eastAsia" w:hAnsi="宋体" w:cs="宋体"/>
          <w:color w:val="auto"/>
          <w:highlight w:val="none"/>
        </w:rPr>
        <w:t>发包人（全称）：</w:t>
      </w:r>
      <w:r>
        <w:rPr>
          <w:color w:val="auto"/>
          <w:highlight w:val="none"/>
          <w:u w:val="single"/>
        </w:rPr>
        <w:t xml:space="preserve">                                </w:t>
      </w:r>
      <w:r>
        <w:rPr>
          <w:color w:val="auto"/>
          <w:highlight w:val="none"/>
        </w:rPr>
        <w:t xml:space="preserve"> </w:t>
      </w:r>
    </w:p>
    <w:p w14:paraId="7C1AF549">
      <w:pPr>
        <w:spacing w:line="440" w:lineRule="exact"/>
        <w:ind w:firstLine="420" w:firstLineChars="200"/>
        <w:rPr>
          <w:color w:val="auto"/>
          <w:highlight w:val="none"/>
        </w:rPr>
      </w:pPr>
      <w:r>
        <w:rPr>
          <w:rFonts w:hint="eastAsia" w:hAnsi="宋体" w:cs="宋体"/>
          <w:color w:val="auto"/>
          <w:highlight w:val="none"/>
        </w:rPr>
        <w:t>承包人（全称）：</w:t>
      </w:r>
      <w:r>
        <w:rPr>
          <w:color w:val="auto"/>
          <w:highlight w:val="none"/>
          <w:u w:val="single"/>
        </w:rPr>
        <w:t xml:space="preserve">                                </w:t>
      </w:r>
      <w:r>
        <w:rPr>
          <w:color w:val="auto"/>
          <w:highlight w:val="none"/>
        </w:rPr>
        <w:t xml:space="preserve"> </w:t>
      </w:r>
    </w:p>
    <w:p w14:paraId="5B4F6957">
      <w:pPr>
        <w:spacing w:line="440" w:lineRule="exact"/>
        <w:rPr>
          <w:color w:val="auto"/>
          <w:highlight w:val="none"/>
        </w:rPr>
      </w:pPr>
    </w:p>
    <w:p w14:paraId="0010045E">
      <w:pPr>
        <w:spacing w:line="360" w:lineRule="auto"/>
        <w:ind w:firstLine="420" w:firstLineChars="200"/>
        <w:rPr>
          <w:rFonts w:hAnsi="宋体"/>
          <w:color w:val="auto"/>
          <w:highlight w:val="none"/>
        </w:rPr>
      </w:pPr>
      <w:r>
        <w:rPr>
          <w:rFonts w:hint="eastAsia" w:hAnsi="宋体" w:cs="宋体"/>
          <w:color w:val="auto"/>
          <w:highlight w:val="none"/>
        </w:rPr>
        <w:t>发包人和承包人根据《中华人民共和国建筑法》和《建设工程质量管理条例》，经协商一致就</w:t>
      </w:r>
      <w:r>
        <w:rPr>
          <w:color w:val="auto"/>
          <w:highlight w:val="none"/>
          <w:u w:val="single"/>
        </w:rPr>
        <w:t xml:space="preserve">                                   </w:t>
      </w:r>
      <w:r>
        <w:rPr>
          <w:rFonts w:hint="eastAsia" w:hAnsi="宋体" w:cs="宋体"/>
          <w:color w:val="auto"/>
          <w:highlight w:val="none"/>
        </w:rPr>
        <w:t>（工程全称）签订工程质量保修书。</w:t>
      </w:r>
    </w:p>
    <w:p w14:paraId="2574AD77">
      <w:pPr>
        <w:spacing w:line="360" w:lineRule="auto"/>
        <w:ind w:firstLine="420" w:firstLineChars="200"/>
        <w:rPr>
          <w:rFonts w:ascii="黑体" w:hAnsi="宋体" w:eastAsia="黑体"/>
          <w:color w:val="auto"/>
          <w:highlight w:val="none"/>
        </w:rPr>
      </w:pPr>
      <w:r>
        <w:rPr>
          <w:rFonts w:hint="eastAsia" w:ascii="黑体" w:hAnsi="宋体" w:eastAsia="黑体" w:cs="黑体"/>
          <w:color w:val="auto"/>
          <w:highlight w:val="none"/>
        </w:rPr>
        <w:t>一、工程质量保修范围和内容</w:t>
      </w:r>
    </w:p>
    <w:p w14:paraId="0320B99D">
      <w:pPr>
        <w:spacing w:line="360" w:lineRule="auto"/>
        <w:ind w:firstLine="420" w:firstLineChars="200"/>
        <w:rPr>
          <w:color w:val="auto"/>
          <w:highlight w:val="none"/>
        </w:rPr>
      </w:pPr>
      <w:r>
        <w:rPr>
          <w:rFonts w:hint="eastAsia" w:hAnsi="宋体" w:cs="宋体"/>
          <w:color w:val="auto"/>
          <w:highlight w:val="none"/>
        </w:rPr>
        <w:t>承包人在质量保修期内，按照有关法律规定和合同约定，承担工程质量保修责任。</w:t>
      </w:r>
    </w:p>
    <w:p w14:paraId="23C42E93">
      <w:pPr>
        <w:spacing w:line="360" w:lineRule="auto"/>
        <w:ind w:firstLine="420"/>
        <w:rPr>
          <w:rFonts w:hAnsi="宋体"/>
          <w:color w:val="auto"/>
          <w:highlight w:val="none"/>
        </w:rPr>
      </w:pPr>
      <w:r>
        <w:rPr>
          <w:rFonts w:hint="eastAsia" w:hAnsi="宋体" w:cs="宋体"/>
          <w:color w:val="auto"/>
          <w:highlight w:val="none"/>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10C8068D">
      <w:pPr>
        <w:spacing w:line="360" w:lineRule="auto"/>
        <w:ind w:firstLine="420"/>
        <w:rPr>
          <w:rFonts w:hAnsi="宋体"/>
          <w:color w:val="auto"/>
          <w:highlight w:val="none"/>
        </w:rPr>
      </w:pPr>
      <w:r>
        <w:rPr>
          <w:color w:val="auto"/>
          <w:highlight w:val="none"/>
          <w:u w:val="single"/>
        </w:rPr>
        <w:t xml:space="preserve">                                                                                                                                                            </w:t>
      </w:r>
      <w:r>
        <w:rPr>
          <w:rFonts w:hint="eastAsia" w:hAnsi="宋体" w:cs="宋体"/>
          <w:color w:val="auto"/>
          <w:highlight w:val="none"/>
        </w:rPr>
        <w:t>。</w:t>
      </w:r>
    </w:p>
    <w:p w14:paraId="3E061F88">
      <w:pPr>
        <w:spacing w:line="360" w:lineRule="auto"/>
        <w:ind w:firstLine="420"/>
        <w:rPr>
          <w:rFonts w:ascii="黑体" w:hAnsi="宋体" w:eastAsia="黑体"/>
          <w:color w:val="auto"/>
          <w:highlight w:val="none"/>
        </w:rPr>
      </w:pPr>
      <w:r>
        <w:rPr>
          <w:rFonts w:hint="eastAsia" w:ascii="黑体" w:hAnsi="宋体" w:eastAsia="黑体" w:cs="黑体"/>
          <w:color w:val="auto"/>
          <w:highlight w:val="none"/>
        </w:rPr>
        <w:t>二、质量保修期</w:t>
      </w:r>
    </w:p>
    <w:p w14:paraId="4AD0015B">
      <w:pPr>
        <w:spacing w:line="360" w:lineRule="auto"/>
        <w:ind w:firstLine="420"/>
        <w:rPr>
          <w:rFonts w:hAnsi="宋体"/>
          <w:color w:val="auto"/>
          <w:highlight w:val="none"/>
        </w:rPr>
      </w:pPr>
      <w:r>
        <w:rPr>
          <w:rFonts w:hint="eastAsia" w:hAnsi="宋体" w:cs="宋体"/>
          <w:color w:val="auto"/>
          <w:highlight w:val="none"/>
        </w:rPr>
        <w:t>根据《建设工程质量管理条例》及有关规定，工程的质量保修期如下：</w:t>
      </w:r>
    </w:p>
    <w:p w14:paraId="68A1462A">
      <w:pPr>
        <w:spacing w:line="360" w:lineRule="auto"/>
        <w:ind w:firstLine="420"/>
        <w:rPr>
          <w:rFonts w:hAnsi="宋体"/>
          <w:color w:val="auto"/>
          <w:highlight w:val="none"/>
        </w:rPr>
      </w:pPr>
      <w:r>
        <w:rPr>
          <w:color w:val="auto"/>
          <w:highlight w:val="none"/>
        </w:rPr>
        <w:t>1</w:t>
      </w:r>
      <w:r>
        <w:rPr>
          <w:rFonts w:hint="eastAsia" w:hAnsi="宋体" w:cs="宋体"/>
          <w:color w:val="auto"/>
          <w:highlight w:val="none"/>
        </w:rPr>
        <w:t>．地基基础工程和主体结构工程为设计文件规定的工程合理使用年限；</w:t>
      </w:r>
    </w:p>
    <w:p w14:paraId="494C1FB1">
      <w:pPr>
        <w:spacing w:line="360" w:lineRule="auto"/>
        <w:ind w:firstLine="420"/>
        <w:rPr>
          <w:rFonts w:hAnsi="宋体"/>
          <w:color w:val="auto"/>
          <w:highlight w:val="none"/>
        </w:rPr>
      </w:pPr>
      <w:r>
        <w:rPr>
          <w:color w:val="auto"/>
          <w:highlight w:val="none"/>
        </w:rPr>
        <w:t>2</w:t>
      </w:r>
      <w:r>
        <w:rPr>
          <w:rFonts w:hint="eastAsia" w:hAnsi="宋体" w:cs="宋体"/>
          <w:color w:val="auto"/>
          <w:highlight w:val="none"/>
        </w:rPr>
        <w:t>．屋面防水工程、有防水要求的卫生间、房间和外墙面的防渗为</w:t>
      </w:r>
      <w:r>
        <w:rPr>
          <w:color w:val="auto"/>
          <w:highlight w:val="none"/>
          <w:u w:val="single"/>
        </w:rPr>
        <w:t xml:space="preserve"> </w:t>
      </w:r>
      <w:r>
        <w:rPr>
          <w:rFonts w:hint="eastAsia"/>
          <w:color w:val="auto"/>
          <w:highlight w:val="none"/>
          <w:u w:val="single"/>
          <w:lang w:val="en-US" w:eastAsia="zh-CN"/>
        </w:rPr>
        <w:t>5</w:t>
      </w:r>
      <w:r>
        <w:rPr>
          <w:color w:val="auto"/>
          <w:highlight w:val="none"/>
          <w:u w:val="single"/>
        </w:rPr>
        <w:t xml:space="preserve"> </w:t>
      </w:r>
      <w:r>
        <w:rPr>
          <w:rFonts w:hint="eastAsia" w:hAnsi="宋体" w:cs="宋体"/>
          <w:color w:val="auto"/>
          <w:highlight w:val="none"/>
        </w:rPr>
        <w:t>年；</w:t>
      </w:r>
    </w:p>
    <w:p w14:paraId="2DB055CB">
      <w:pPr>
        <w:spacing w:line="360" w:lineRule="auto"/>
        <w:ind w:firstLine="420"/>
        <w:rPr>
          <w:rFonts w:hAnsi="宋体"/>
          <w:color w:val="auto"/>
          <w:highlight w:val="none"/>
        </w:rPr>
      </w:pPr>
      <w:r>
        <w:rPr>
          <w:color w:val="auto"/>
          <w:highlight w:val="none"/>
        </w:rPr>
        <w:t>3</w:t>
      </w:r>
      <w:r>
        <w:rPr>
          <w:rFonts w:hint="eastAsia" w:hAnsi="宋体" w:cs="宋体"/>
          <w:color w:val="auto"/>
          <w:highlight w:val="none"/>
        </w:rPr>
        <w:t>．装修工程为</w:t>
      </w:r>
      <w:r>
        <w:rPr>
          <w:color w:val="auto"/>
          <w:highlight w:val="none"/>
          <w:u w:val="single"/>
        </w:rPr>
        <w:t xml:space="preserve">  </w:t>
      </w:r>
      <w:r>
        <w:rPr>
          <w:rFonts w:hint="eastAsia"/>
          <w:color w:val="auto"/>
          <w:highlight w:val="none"/>
          <w:u w:val="single"/>
          <w:lang w:val="en-US" w:eastAsia="zh-CN"/>
        </w:rPr>
        <w:t>2</w:t>
      </w:r>
      <w:r>
        <w:rPr>
          <w:color w:val="auto"/>
          <w:highlight w:val="none"/>
          <w:u w:val="single"/>
        </w:rPr>
        <w:t xml:space="preserve">  </w:t>
      </w:r>
      <w:r>
        <w:rPr>
          <w:rFonts w:hint="eastAsia" w:hAnsi="宋体" w:cs="宋体"/>
          <w:color w:val="auto"/>
          <w:highlight w:val="none"/>
        </w:rPr>
        <w:t>年；</w:t>
      </w:r>
    </w:p>
    <w:p w14:paraId="2135F7AB">
      <w:pPr>
        <w:spacing w:line="360" w:lineRule="auto"/>
        <w:ind w:firstLine="420"/>
        <w:rPr>
          <w:rFonts w:hAnsi="宋体"/>
          <w:color w:val="auto"/>
          <w:highlight w:val="none"/>
        </w:rPr>
      </w:pPr>
      <w:r>
        <w:rPr>
          <w:color w:val="auto"/>
          <w:highlight w:val="none"/>
        </w:rPr>
        <w:t>4</w:t>
      </w:r>
      <w:r>
        <w:rPr>
          <w:rFonts w:hint="eastAsia" w:hAnsi="宋体" w:cs="宋体"/>
          <w:color w:val="auto"/>
          <w:highlight w:val="none"/>
        </w:rPr>
        <w:t>．电气管线、给排水管道、设备安装工程为</w:t>
      </w:r>
      <w:r>
        <w:rPr>
          <w:color w:val="auto"/>
          <w:highlight w:val="none"/>
          <w:u w:val="single"/>
        </w:rPr>
        <w:t xml:space="preserve"> </w:t>
      </w:r>
      <w:r>
        <w:rPr>
          <w:rFonts w:hint="eastAsia"/>
          <w:color w:val="auto"/>
          <w:highlight w:val="none"/>
          <w:u w:val="single"/>
          <w:lang w:val="en-US" w:eastAsia="zh-CN"/>
        </w:rPr>
        <w:t>2</w:t>
      </w:r>
      <w:r>
        <w:rPr>
          <w:color w:val="auto"/>
          <w:highlight w:val="none"/>
          <w:u w:val="single"/>
        </w:rPr>
        <w:t xml:space="preserve"> </w:t>
      </w:r>
      <w:r>
        <w:rPr>
          <w:rFonts w:hint="eastAsia" w:hAnsi="宋体" w:cs="宋体"/>
          <w:color w:val="auto"/>
          <w:highlight w:val="none"/>
        </w:rPr>
        <w:t>年；</w:t>
      </w:r>
    </w:p>
    <w:p w14:paraId="4C3454D2">
      <w:pPr>
        <w:spacing w:line="360" w:lineRule="auto"/>
        <w:ind w:firstLine="420"/>
        <w:rPr>
          <w:rFonts w:hAnsi="宋体"/>
          <w:color w:val="auto"/>
          <w:highlight w:val="none"/>
        </w:rPr>
      </w:pPr>
      <w:r>
        <w:rPr>
          <w:color w:val="auto"/>
          <w:highlight w:val="none"/>
        </w:rPr>
        <w:t>5</w:t>
      </w:r>
      <w:r>
        <w:rPr>
          <w:rFonts w:hint="eastAsia" w:hAnsi="宋体" w:cs="宋体"/>
          <w:color w:val="auto"/>
          <w:highlight w:val="none"/>
        </w:rPr>
        <w:t>．供热与供冷系统为</w:t>
      </w:r>
      <w:r>
        <w:rPr>
          <w:color w:val="auto"/>
          <w:highlight w:val="none"/>
          <w:u w:val="single"/>
        </w:rPr>
        <w:t xml:space="preserve">  </w:t>
      </w:r>
      <w:r>
        <w:rPr>
          <w:rFonts w:hint="eastAsia"/>
          <w:color w:val="auto"/>
          <w:highlight w:val="none"/>
          <w:u w:val="single"/>
          <w:lang w:val="en-US" w:eastAsia="zh-CN"/>
        </w:rPr>
        <w:t>2</w:t>
      </w:r>
      <w:r>
        <w:rPr>
          <w:color w:val="auto"/>
          <w:highlight w:val="none"/>
          <w:u w:val="single"/>
        </w:rPr>
        <w:t xml:space="preserve">  </w:t>
      </w:r>
      <w:r>
        <w:rPr>
          <w:rFonts w:hint="eastAsia" w:hAnsi="宋体" w:cs="宋体"/>
          <w:color w:val="auto"/>
          <w:highlight w:val="none"/>
        </w:rPr>
        <w:t>个采暖期、供冷期；</w:t>
      </w:r>
    </w:p>
    <w:p w14:paraId="7B653B71">
      <w:pPr>
        <w:spacing w:line="360" w:lineRule="auto"/>
        <w:ind w:firstLine="420"/>
        <w:rPr>
          <w:rFonts w:hAnsi="宋体"/>
          <w:color w:val="auto"/>
          <w:highlight w:val="none"/>
        </w:rPr>
      </w:pPr>
      <w:r>
        <w:rPr>
          <w:color w:val="auto"/>
          <w:highlight w:val="none"/>
        </w:rPr>
        <w:t>6</w:t>
      </w:r>
      <w:r>
        <w:rPr>
          <w:rFonts w:hint="eastAsia" w:hAnsi="宋体" w:cs="宋体"/>
          <w:color w:val="auto"/>
          <w:highlight w:val="none"/>
        </w:rPr>
        <w:t>．住宅小区内的给排水设施、道路等配套工程为</w:t>
      </w:r>
      <w:r>
        <w:rPr>
          <w:color w:val="auto"/>
          <w:highlight w:val="none"/>
          <w:u w:val="single"/>
        </w:rPr>
        <w:t xml:space="preserve"> </w:t>
      </w:r>
      <w:r>
        <w:rPr>
          <w:rFonts w:hint="eastAsia"/>
          <w:color w:val="auto"/>
          <w:highlight w:val="none"/>
          <w:u w:val="single"/>
          <w:lang w:val="en-US" w:eastAsia="zh-CN"/>
        </w:rPr>
        <w:t>2</w:t>
      </w:r>
      <w:r>
        <w:rPr>
          <w:color w:val="auto"/>
          <w:highlight w:val="none"/>
          <w:u w:val="single"/>
        </w:rPr>
        <w:t xml:space="preserve"> </w:t>
      </w:r>
      <w:r>
        <w:rPr>
          <w:rFonts w:hint="eastAsia" w:hAnsi="宋体" w:cs="宋体"/>
          <w:color w:val="auto"/>
          <w:highlight w:val="none"/>
        </w:rPr>
        <w:t>年；</w:t>
      </w:r>
    </w:p>
    <w:p w14:paraId="6C756B20">
      <w:pPr>
        <w:spacing w:line="360" w:lineRule="auto"/>
        <w:ind w:firstLine="420"/>
        <w:rPr>
          <w:rFonts w:hAnsi="宋体"/>
          <w:color w:val="auto"/>
          <w:highlight w:val="none"/>
        </w:rPr>
      </w:pPr>
      <w:r>
        <w:rPr>
          <w:color w:val="auto"/>
          <w:highlight w:val="none"/>
        </w:rPr>
        <w:t>7</w:t>
      </w:r>
      <w:r>
        <w:rPr>
          <w:rFonts w:hint="eastAsia" w:hAnsi="宋体" w:cs="宋体"/>
          <w:color w:val="auto"/>
          <w:highlight w:val="none"/>
        </w:rPr>
        <w:t>．其他项目保修期限约定如下：</w:t>
      </w:r>
      <w:r>
        <w:rPr>
          <w:rFonts w:hint="eastAsia" w:hAnsi="宋体" w:cs="宋体"/>
          <w:color w:val="auto"/>
          <w:highlight w:val="none"/>
          <w:u w:val="single"/>
          <w:lang w:val="en-US" w:eastAsia="zh-CN"/>
        </w:rPr>
        <w:t xml:space="preserve"> </w:t>
      </w:r>
      <w:r>
        <w:rPr>
          <w:rFonts w:hint="eastAsia" w:hAnsi="宋体"/>
          <w:color w:val="auto"/>
          <w:highlight w:val="none"/>
          <w:u w:val="single"/>
          <w:lang w:val="en-US" w:eastAsia="zh-CN"/>
        </w:rPr>
        <w:t>无</w:t>
      </w:r>
      <w:r>
        <w:rPr>
          <w:color w:val="auto"/>
          <w:highlight w:val="none"/>
          <w:u w:val="single"/>
        </w:rPr>
        <w:t xml:space="preserve"> </w:t>
      </w:r>
      <w:r>
        <w:rPr>
          <w:rFonts w:hint="eastAsia" w:hAnsi="宋体" w:cs="宋体"/>
          <w:color w:val="auto"/>
          <w:highlight w:val="none"/>
        </w:rPr>
        <w:t>。</w:t>
      </w:r>
    </w:p>
    <w:p w14:paraId="03214CE5">
      <w:pPr>
        <w:spacing w:line="360" w:lineRule="auto"/>
        <w:ind w:firstLine="420"/>
        <w:rPr>
          <w:rFonts w:hAnsi="宋体"/>
          <w:color w:val="auto"/>
          <w:highlight w:val="none"/>
        </w:rPr>
      </w:pPr>
      <w:r>
        <w:rPr>
          <w:rFonts w:hint="eastAsia" w:hAnsi="宋体" w:cs="宋体"/>
          <w:color w:val="auto"/>
          <w:highlight w:val="none"/>
        </w:rPr>
        <w:t>质量保修期自工程竣工验收合格之日起计算。</w:t>
      </w:r>
    </w:p>
    <w:p w14:paraId="47B7DB23">
      <w:pPr>
        <w:spacing w:line="360" w:lineRule="auto"/>
        <w:ind w:firstLine="420"/>
        <w:rPr>
          <w:rFonts w:ascii="黑体" w:hAnsi="宋体" w:eastAsia="黑体"/>
          <w:color w:val="auto"/>
          <w:highlight w:val="none"/>
        </w:rPr>
      </w:pPr>
      <w:r>
        <w:rPr>
          <w:rFonts w:hint="eastAsia" w:ascii="黑体" w:hAnsi="宋体" w:eastAsia="黑体" w:cs="黑体"/>
          <w:color w:val="auto"/>
          <w:highlight w:val="none"/>
        </w:rPr>
        <w:t>三、缺陷责任期</w:t>
      </w:r>
    </w:p>
    <w:p w14:paraId="7B5B48B4">
      <w:pPr>
        <w:spacing w:line="360" w:lineRule="auto"/>
        <w:ind w:firstLine="420"/>
        <w:rPr>
          <w:rFonts w:hAnsi="宋体"/>
          <w:color w:val="auto"/>
          <w:highlight w:val="none"/>
        </w:rPr>
      </w:pPr>
      <w:r>
        <w:rPr>
          <w:rFonts w:hint="eastAsia" w:hAnsi="宋体" w:cs="宋体"/>
          <w:color w:val="auto"/>
          <w:highlight w:val="none"/>
        </w:rPr>
        <w:t>工程缺陷责任期为</w:t>
      </w:r>
      <w:r>
        <w:rPr>
          <w:color w:val="auto"/>
          <w:highlight w:val="none"/>
          <w:u w:val="single"/>
        </w:rPr>
        <w:t xml:space="preserve"> </w:t>
      </w:r>
      <w:r>
        <w:rPr>
          <w:rFonts w:hint="eastAsia"/>
          <w:color w:val="auto"/>
          <w:highlight w:val="none"/>
          <w:u w:val="single"/>
          <w:lang w:val="en-US" w:eastAsia="zh-CN"/>
        </w:rPr>
        <w:t>12</w:t>
      </w:r>
      <w:r>
        <w:rPr>
          <w:color w:val="auto"/>
          <w:highlight w:val="none"/>
          <w:u w:val="single"/>
        </w:rPr>
        <w:t xml:space="preserve"> </w:t>
      </w:r>
      <w:r>
        <w:rPr>
          <w:rFonts w:hint="eastAsia" w:hAnsi="宋体" w:cs="宋体"/>
          <w:color w:val="auto"/>
          <w:highlight w:val="none"/>
        </w:rPr>
        <w:t>个月（最长不超过</w:t>
      </w:r>
      <w:r>
        <w:rPr>
          <w:rFonts w:hint="eastAsia" w:hAnsi="宋体"/>
          <w:color w:val="auto"/>
          <w:highlight w:val="none"/>
          <w:lang w:val="en-US" w:eastAsia="zh-CN"/>
        </w:rPr>
        <w:t>12</w:t>
      </w:r>
      <w:r>
        <w:rPr>
          <w:rFonts w:hint="eastAsia" w:hAnsi="宋体" w:cs="宋体"/>
          <w:color w:val="auto"/>
          <w:highlight w:val="none"/>
        </w:rPr>
        <w:t>个月），缺陷责任期自工程竣工验收合格之日起计算。单位工程先于全部工程进行验收，单位工程缺陷责任期自单位工程验收合格之日起算。</w:t>
      </w:r>
    </w:p>
    <w:p w14:paraId="5FE342D6">
      <w:pPr>
        <w:spacing w:line="360" w:lineRule="auto"/>
        <w:ind w:firstLine="420"/>
        <w:rPr>
          <w:rFonts w:hAnsi="宋体"/>
          <w:color w:val="auto"/>
          <w:highlight w:val="none"/>
        </w:rPr>
      </w:pPr>
      <w:r>
        <w:rPr>
          <w:rFonts w:hint="eastAsia" w:hAnsi="宋体" w:cs="宋体"/>
          <w:color w:val="auto"/>
          <w:highlight w:val="none"/>
        </w:rPr>
        <w:t>缺陷责任期</w:t>
      </w:r>
      <w:r>
        <w:rPr>
          <w:rFonts w:hint="eastAsia" w:hAnsi="宋体" w:cs="宋体"/>
          <w:color w:val="auto"/>
          <w:highlight w:val="none"/>
          <w:u w:val="none"/>
        </w:rPr>
        <w:t>满</w:t>
      </w:r>
      <w:r>
        <w:rPr>
          <w:rFonts w:hint="eastAsia" w:ascii="仿宋_GB2312" w:hAnsi="宋体"/>
          <w:color w:val="auto"/>
          <w:highlight w:val="none"/>
        </w:rPr>
        <w:t>之日起</w:t>
      </w:r>
      <w:r>
        <w:rPr>
          <w:color w:val="auto"/>
          <w:highlight w:val="none"/>
          <w:u w:val="single"/>
        </w:rPr>
        <w:t xml:space="preserve"> </w:t>
      </w:r>
      <w:r>
        <w:rPr>
          <w:rFonts w:hint="eastAsia"/>
          <w:color w:val="auto"/>
          <w:highlight w:val="none"/>
          <w:u w:val="single"/>
          <w:lang w:val="en-US" w:eastAsia="zh-CN"/>
        </w:rPr>
        <w:t>/</w:t>
      </w:r>
      <w:r>
        <w:rPr>
          <w:color w:val="auto"/>
          <w:highlight w:val="none"/>
          <w:u w:val="single"/>
        </w:rPr>
        <w:t xml:space="preserve"> </w:t>
      </w:r>
      <w:r>
        <w:rPr>
          <w:rFonts w:hint="eastAsia" w:ascii="仿宋_GB2312" w:hAnsi="宋体"/>
          <w:color w:val="auto"/>
          <w:highlight w:val="none"/>
        </w:rPr>
        <w:t>天</w:t>
      </w:r>
      <w:r>
        <w:rPr>
          <w:rFonts w:hint="eastAsia" w:hAnsi="宋体" w:cs="宋体"/>
          <w:color w:val="auto"/>
          <w:highlight w:val="none"/>
          <w:u w:val="single"/>
        </w:rPr>
        <w:t>（按</w:t>
      </w:r>
      <w:r>
        <w:rPr>
          <w:rFonts w:hAnsi="宋体" w:cs="宋体"/>
          <w:color w:val="auto"/>
          <w:highlight w:val="none"/>
          <w:u w:val="single"/>
        </w:rPr>
        <w:t>合同约定期限）</w:t>
      </w:r>
      <w:r>
        <w:rPr>
          <w:rFonts w:hint="eastAsia" w:hAnsi="宋体" w:cs="宋体"/>
          <w:color w:val="auto"/>
          <w:highlight w:val="none"/>
          <w:u w:val="single"/>
        </w:rPr>
        <w:t>，</w:t>
      </w:r>
      <w:r>
        <w:rPr>
          <w:rFonts w:hint="eastAsia" w:hAnsi="宋体" w:cs="宋体"/>
          <w:color w:val="auto"/>
          <w:highlight w:val="none"/>
        </w:rPr>
        <w:t>发包人应退还剩余的质量保证金。</w:t>
      </w:r>
    </w:p>
    <w:p w14:paraId="389434D4">
      <w:pPr>
        <w:spacing w:line="360" w:lineRule="auto"/>
        <w:ind w:firstLine="420"/>
        <w:rPr>
          <w:rFonts w:ascii="黑体" w:hAnsi="宋体" w:eastAsia="黑体"/>
          <w:color w:val="auto"/>
          <w:highlight w:val="none"/>
        </w:rPr>
      </w:pPr>
      <w:r>
        <w:rPr>
          <w:rFonts w:hint="eastAsia" w:ascii="黑体" w:hAnsi="宋体" w:eastAsia="黑体" w:cs="黑体"/>
          <w:color w:val="auto"/>
          <w:highlight w:val="none"/>
        </w:rPr>
        <w:t>四、质量保修责任</w:t>
      </w:r>
    </w:p>
    <w:p w14:paraId="4E4708E2">
      <w:pPr>
        <w:spacing w:line="360" w:lineRule="auto"/>
        <w:ind w:left="105" w:leftChars="50" w:firstLine="430" w:firstLineChars="205"/>
        <w:rPr>
          <w:rFonts w:hAnsi="宋体"/>
          <w:color w:val="auto"/>
          <w:highlight w:val="none"/>
        </w:rPr>
      </w:pPr>
      <w:r>
        <w:rPr>
          <w:color w:val="auto"/>
          <w:highlight w:val="none"/>
        </w:rPr>
        <w:t>1</w:t>
      </w:r>
      <w:r>
        <w:rPr>
          <w:rFonts w:hint="eastAsia" w:hAnsi="宋体" w:cs="宋体"/>
          <w:color w:val="auto"/>
          <w:highlight w:val="none"/>
        </w:rPr>
        <w:t>．属于保修范围、内容的项目，承包人应当在接到保修通知之日起</w:t>
      </w:r>
      <w:r>
        <w:rPr>
          <w:color w:val="auto"/>
          <w:highlight w:val="none"/>
          <w:u w:val="single"/>
        </w:rPr>
        <w:t xml:space="preserve">  </w:t>
      </w:r>
      <w:r>
        <w:rPr>
          <w:rFonts w:hint="eastAsia"/>
          <w:color w:val="auto"/>
          <w:highlight w:val="none"/>
          <w:u w:val="single"/>
          <w:lang w:val="en-US" w:eastAsia="zh-CN"/>
        </w:rPr>
        <w:t>7</w:t>
      </w:r>
      <w:r>
        <w:rPr>
          <w:color w:val="auto"/>
          <w:highlight w:val="none"/>
          <w:u w:val="single"/>
        </w:rPr>
        <w:t xml:space="preserve">  </w:t>
      </w:r>
      <w:r>
        <w:rPr>
          <w:rFonts w:hint="eastAsia" w:hAnsi="宋体" w:cs="宋体"/>
          <w:color w:val="auto"/>
          <w:highlight w:val="none"/>
        </w:rPr>
        <w:t>天内派人保修。承包人不在约定期限内派人保修的，发包人可以委托他人修理，修理费用从质量保证金内扣除。</w:t>
      </w:r>
    </w:p>
    <w:p w14:paraId="68DC44A9">
      <w:pPr>
        <w:spacing w:line="360" w:lineRule="auto"/>
        <w:ind w:firstLine="420"/>
        <w:rPr>
          <w:rFonts w:hAnsi="宋体"/>
          <w:color w:val="auto"/>
          <w:highlight w:val="none"/>
        </w:rPr>
      </w:pPr>
      <w:r>
        <w:rPr>
          <w:color w:val="auto"/>
          <w:highlight w:val="none"/>
        </w:rPr>
        <w:t>2</w:t>
      </w:r>
      <w:r>
        <w:rPr>
          <w:rFonts w:hint="eastAsia" w:hAnsi="宋体" w:cs="宋体"/>
          <w:color w:val="auto"/>
          <w:highlight w:val="none"/>
        </w:rPr>
        <w:t>．发生紧急事故需抢修的，承包人在接到事故通知后，应当立即到达事故现场抢修。</w:t>
      </w:r>
    </w:p>
    <w:p w14:paraId="5F9A6E9F">
      <w:pPr>
        <w:spacing w:line="360" w:lineRule="auto"/>
        <w:ind w:firstLine="420"/>
        <w:rPr>
          <w:rFonts w:hAnsi="宋体"/>
          <w:color w:val="auto"/>
          <w:highlight w:val="none"/>
        </w:rPr>
      </w:pPr>
      <w:r>
        <w:rPr>
          <w:color w:val="auto"/>
          <w:highlight w:val="none"/>
        </w:rPr>
        <w:t>3</w:t>
      </w:r>
      <w:r>
        <w:rPr>
          <w:rFonts w:hint="eastAsia" w:hAnsi="宋体" w:cs="宋体"/>
          <w:color w:val="auto"/>
          <w:highlight w:val="none"/>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27A4789E">
      <w:pPr>
        <w:spacing w:line="360" w:lineRule="auto"/>
        <w:ind w:firstLine="420"/>
        <w:rPr>
          <w:rFonts w:hAnsi="宋体"/>
          <w:color w:val="auto"/>
          <w:highlight w:val="none"/>
        </w:rPr>
      </w:pPr>
      <w:r>
        <w:rPr>
          <w:color w:val="auto"/>
          <w:highlight w:val="none"/>
        </w:rPr>
        <w:t>4</w:t>
      </w:r>
      <w:r>
        <w:rPr>
          <w:rFonts w:hint="eastAsia" w:hAnsi="宋体" w:cs="宋体"/>
          <w:color w:val="auto"/>
          <w:highlight w:val="none"/>
        </w:rPr>
        <w:t>．质量保修完成后，由发包人组织验收。</w:t>
      </w:r>
    </w:p>
    <w:p w14:paraId="35C2AB44">
      <w:pPr>
        <w:spacing w:line="360" w:lineRule="auto"/>
        <w:ind w:firstLine="420"/>
        <w:rPr>
          <w:rFonts w:ascii="黑体" w:hAnsi="宋体" w:eastAsia="黑体"/>
          <w:color w:val="auto"/>
          <w:highlight w:val="none"/>
        </w:rPr>
      </w:pPr>
      <w:r>
        <w:rPr>
          <w:rFonts w:hint="eastAsia" w:ascii="黑体" w:hAnsi="宋体" w:eastAsia="黑体" w:cs="黑体"/>
          <w:color w:val="auto"/>
          <w:highlight w:val="none"/>
        </w:rPr>
        <w:t>五、保修费用</w:t>
      </w:r>
    </w:p>
    <w:p w14:paraId="0FB66B79">
      <w:pPr>
        <w:tabs>
          <w:tab w:val="left" w:pos="7380"/>
        </w:tabs>
        <w:spacing w:line="360" w:lineRule="auto"/>
        <w:ind w:firstLine="420"/>
        <w:rPr>
          <w:rFonts w:hAnsi="宋体"/>
          <w:color w:val="auto"/>
          <w:highlight w:val="none"/>
        </w:rPr>
      </w:pPr>
      <w:r>
        <w:rPr>
          <w:rFonts w:hint="eastAsia" w:hAnsi="宋体" w:cs="宋体"/>
          <w:color w:val="auto"/>
          <w:highlight w:val="none"/>
        </w:rPr>
        <w:t>保修费用由造成质量缺陷的责任方承担。</w:t>
      </w:r>
    </w:p>
    <w:p w14:paraId="4BC13C18">
      <w:pPr>
        <w:spacing w:line="360" w:lineRule="auto"/>
        <w:ind w:firstLine="420"/>
        <w:rPr>
          <w:rFonts w:ascii="黑体" w:hAnsi="宋体" w:eastAsia="黑体" w:cs="黑体"/>
          <w:color w:val="auto"/>
          <w:highlight w:val="none"/>
        </w:rPr>
      </w:pPr>
      <w:r>
        <w:rPr>
          <w:rFonts w:hint="eastAsia" w:ascii="黑体" w:hAnsi="宋体" w:eastAsia="黑体" w:cs="黑体"/>
          <w:color w:val="auto"/>
          <w:highlight w:val="none"/>
        </w:rPr>
        <w:t>六、双方约定的其他工程质量保修事项：</w:t>
      </w:r>
      <w:r>
        <w:rPr>
          <w:rFonts w:ascii="黑体" w:hAnsi="宋体" w:eastAsia="黑体" w:cs="黑体"/>
          <w:color w:val="auto"/>
          <w:highlight w:val="none"/>
        </w:rPr>
        <w:t xml:space="preserve"> </w:t>
      </w:r>
    </w:p>
    <w:p w14:paraId="57F9A0EA">
      <w:pPr>
        <w:spacing w:line="360" w:lineRule="auto"/>
        <w:ind w:firstLine="420" w:firstLineChars="200"/>
        <w:jc w:val="left"/>
        <w:rPr>
          <w:color w:val="auto"/>
          <w:highlight w:val="none"/>
        </w:rPr>
      </w:pPr>
      <w:r>
        <w:rPr>
          <w:color w:val="auto"/>
          <w:highlight w:val="none"/>
          <w:u w:val="single"/>
        </w:rPr>
        <w:t xml:space="preserve">                                                                                                                                                             </w:t>
      </w:r>
      <w:r>
        <w:rPr>
          <w:rFonts w:hint="eastAsia" w:hAnsi="宋体" w:cs="宋体"/>
          <w:color w:val="auto"/>
          <w:highlight w:val="none"/>
        </w:rPr>
        <w:t>。</w:t>
      </w:r>
    </w:p>
    <w:p w14:paraId="254DABC1">
      <w:pPr>
        <w:spacing w:line="360" w:lineRule="auto"/>
        <w:ind w:firstLine="399" w:firstLineChars="190"/>
        <w:rPr>
          <w:color w:val="auto"/>
          <w:highlight w:val="none"/>
        </w:rPr>
      </w:pPr>
      <w:r>
        <w:rPr>
          <w:rFonts w:hint="eastAsia" w:hAnsi="宋体" w:cs="宋体"/>
          <w:color w:val="auto"/>
          <w:highlight w:val="none"/>
        </w:rPr>
        <w:t>工程质量保修书由发包人、承包人在工程竣工验收前共同签署，作为施工合同附件，其有效期限至保修期满。</w:t>
      </w:r>
    </w:p>
    <w:p w14:paraId="7D024256">
      <w:pPr>
        <w:spacing w:line="360" w:lineRule="auto"/>
        <w:ind w:firstLine="420"/>
        <w:rPr>
          <w:color w:val="auto"/>
          <w:highlight w:val="none"/>
        </w:rPr>
      </w:pPr>
    </w:p>
    <w:p w14:paraId="0CFDB1B8">
      <w:pPr>
        <w:spacing w:line="360" w:lineRule="auto"/>
        <w:rPr>
          <w:color w:val="auto"/>
          <w:highlight w:val="none"/>
        </w:rPr>
      </w:pPr>
      <w:r>
        <w:rPr>
          <w:rFonts w:hAnsi="宋体"/>
          <w:color w:val="auto"/>
          <w:highlight w:val="none"/>
        </w:rPr>
        <w:t>发包人</w:t>
      </w:r>
      <w:r>
        <w:rPr>
          <w:rFonts w:hint="eastAsia"/>
          <w:color w:val="auto"/>
          <w:highlight w:val="none"/>
        </w:rPr>
        <w:t>（</w:t>
      </w:r>
      <w:r>
        <w:rPr>
          <w:rFonts w:hAnsi="宋体"/>
          <w:color w:val="auto"/>
          <w:highlight w:val="none"/>
        </w:rPr>
        <w:t>公章</w:t>
      </w:r>
      <w:r>
        <w:rPr>
          <w:rFonts w:hint="eastAsia"/>
          <w:color w:val="auto"/>
          <w:highlight w:val="none"/>
        </w:rPr>
        <w:t>）</w:t>
      </w:r>
      <w:r>
        <w:rPr>
          <w:rFonts w:hAnsi="宋体"/>
          <w:color w:val="auto"/>
          <w:highlight w:val="none"/>
        </w:rPr>
        <w:t>：</w:t>
      </w:r>
      <w:r>
        <w:rPr>
          <w:color w:val="auto"/>
          <w:highlight w:val="none"/>
          <w:u w:val="single"/>
        </w:rPr>
        <w:t xml:space="preserve"> </w:t>
      </w:r>
      <w:r>
        <w:rPr>
          <w:rFonts w:ascii="宋体" w:hAnsi="宋体"/>
          <w:color w:val="auto"/>
          <w:highlight w:val="none"/>
          <w:u w:val="single"/>
        </w:rPr>
        <w:t></w:t>
      </w:r>
      <w:r>
        <w:rPr>
          <w:color w:val="auto"/>
          <w:highlight w:val="none"/>
          <w:u w:val="single"/>
        </w:rPr>
        <w:t xml:space="preserve"> </w:t>
      </w:r>
      <w:r>
        <w:rPr>
          <w:rFonts w:ascii="宋体" w:hAnsi="宋体"/>
          <w:color w:val="auto"/>
          <w:highlight w:val="none"/>
          <w:u w:val="single"/>
        </w:rPr>
        <w:t></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 xml:space="preserve"> </w:t>
      </w:r>
      <w:r>
        <w:rPr>
          <w:rFonts w:hint="eastAsia"/>
          <w:color w:val="auto"/>
          <w:highlight w:val="none"/>
        </w:rPr>
        <w:t xml:space="preserve">            </w:t>
      </w:r>
      <w:r>
        <w:rPr>
          <w:rFonts w:hAnsi="宋体"/>
          <w:color w:val="auto"/>
          <w:highlight w:val="none"/>
        </w:rPr>
        <w:t>承包人</w:t>
      </w:r>
      <w:r>
        <w:rPr>
          <w:rFonts w:hint="eastAsia"/>
          <w:color w:val="auto"/>
          <w:highlight w:val="none"/>
        </w:rPr>
        <w:t>（</w:t>
      </w:r>
      <w:r>
        <w:rPr>
          <w:rFonts w:hAnsi="宋体"/>
          <w:color w:val="auto"/>
          <w:highlight w:val="none"/>
        </w:rPr>
        <w:t>公章</w:t>
      </w:r>
      <w:r>
        <w:rPr>
          <w:rFonts w:hint="eastAsia"/>
          <w:color w:val="auto"/>
          <w:highlight w:val="none"/>
        </w:rPr>
        <w:t>）</w:t>
      </w:r>
      <w:r>
        <w:rPr>
          <w:rFonts w:hAnsi="宋体"/>
          <w:color w:val="auto"/>
          <w:highlight w:val="none"/>
        </w:rPr>
        <w:t>：</w:t>
      </w:r>
      <w:r>
        <w:rPr>
          <w:rFonts w:ascii="宋体" w:hAnsi="宋体"/>
          <w:color w:val="auto"/>
          <w:highlight w:val="none"/>
          <w:u w:val="single"/>
        </w:rPr>
        <w:t></w:t>
      </w:r>
      <w:r>
        <w:rPr>
          <w:color w:val="auto"/>
          <w:highlight w:val="none"/>
          <w:u w:val="single"/>
        </w:rPr>
        <w:t xml:space="preserve">          </w:t>
      </w:r>
      <w:r>
        <w:rPr>
          <w:rFonts w:ascii="宋体" w:hAnsi="宋体"/>
          <w:color w:val="auto"/>
          <w:highlight w:val="none"/>
          <w:u w:val="single"/>
        </w:rPr>
        <w:t></w:t>
      </w:r>
    </w:p>
    <w:p w14:paraId="1E32F071">
      <w:pPr>
        <w:spacing w:line="360" w:lineRule="auto"/>
        <w:rPr>
          <w:color w:val="auto"/>
          <w:highlight w:val="none"/>
        </w:rPr>
      </w:pPr>
      <w:r>
        <w:rPr>
          <w:rFonts w:hAnsi="宋体"/>
          <w:color w:val="auto"/>
          <w:highlight w:val="none"/>
        </w:rPr>
        <w:t>地</w:t>
      </w:r>
      <w:r>
        <w:rPr>
          <w:color w:val="auto"/>
          <w:highlight w:val="none"/>
        </w:rPr>
        <w:t xml:space="preserve">  </w:t>
      </w:r>
      <w:r>
        <w:rPr>
          <w:rFonts w:hAnsi="宋体"/>
          <w:color w:val="auto"/>
          <w:highlight w:val="none"/>
        </w:rPr>
        <w:t>址：</w:t>
      </w:r>
      <w:r>
        <w:rPr>
          <w:color w:val="auto"/>
          <w:highlight w:val="none"/>
          <w:u w:val="single"/>
        </w:rPr>
        <w:t xml:space="preserve"> </w:t>
      </w:r>
      <w:r>
        <w:rPr>
          <w:rFonts w:ascii="宋体" w:hAnsi="宋体"/>
          <w:color w:val="auto"/>
          <w:highlight w:val="none"/>
          <w:u w:val="single"/>
        </w:rPr>
        <w:t></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 xml:space="preserve"> </w:t>
      </w:r>
      <w:r>
        <w:rPr>
          <w:rFonts w:hint="eastAsia"/>
          <w:color w:val="auto"/>
          <w:highlight w:val="none"/>
        </w:rPr>
        <w:t xml:space="preserve">             </w:t>
      </w:r>
      <w:r>
        <w:rPr>
          <w:rFonts w:hAnsi="宋体"/>
          <w:color w:val="auto"/>
          <w:highlight w:val="none"/>
        </w:rPr>
        <w:t>地</w:t>
      </w:r>
      <w:r>
        <w:rPr>
          <w:color w:val="auto"/>
          <w:highlight w:val="none"/>
        </w:rPr>
        <w:t xml:space="preserve">  </w:t>
      </w:r>
      <w:r>
        <w:rPr>
          <w:rFonts w:hAnsi="宋体"/>
          <w:color w:val="auto"/>
          <w:highlight w:val="none"/>
        </w:rPr>
        <w:t>址：</w:t>
      </w:r>
      <w:r>
        <w:rPr>
          <w:rFonts w:ascii="宋体" w:hAnsi="宋体"/>
          <w:color w:val="auto"/>
          <w:highlight w:val="none"/>
          <w:u w:val="single"/>
        </w:rPr>
        <w:t></w:t>
      </w:r>
      <w:r>
        <w:rPr>
          <w:color w:val="auto"/>
          <w:highlight w:val="none"/>
          <w:u w:val="single"/>
        </w:rPr>
        <w:t xml:space="preserve"> </w:t>
      </w:r>
      <w:r>
        <w:rPr>
          <w:rFonts w:hint="eastAsia"/>
          <w:color w:val="auto"/>
          <w:highlight w:val="none"/>
          <w:u w:val="single"/>
        </w:rPr>
        <w:t xml:space="preserve">     </w:t>
      </w:r>
      <w:r>
        <w:rPr>
          <w:rFonts w:ascii="宋体" w:hAnsi="宋体"/>
          <w:color w:val="auto"/>
          <w:highlight w:val="none"/>
          <w:u w:val="single"/>
        </w:rPr>
        <w:t></w:t>
      </w:r>
    </w:p>
    <w:p w14:paraId="6CEA110A">
      <w:pPr>
        <w:spacing w:line="360" w:lineRule="auto"/>
        <w:rPr>
          <w:color w:val="auto"/>
          <w:highlight w:val="none"/>
        </w:rPr>
      </w:pPr>
      <w:r>
        <w:rPr>
          <w:rFonts w:hAnsi="宋体"/>
          <w:color w:val="auto"/>
          <w:highlight w:val="none"/>
        </w:rPr>
        <w:t>法定代表人</w:t>
      </w:r>
      <w:r>
        <w:rPr>
          <w:rFonts w:hint="eastAsia"/>
          <w:color w:val="auto"/>
          <w:highlight w:val="none"/>
        </w:rPr>
        <w:t>（</w:t>
      </w:r>
      <w:r>
        <w:rPr>
          <w:rFonts w:hAnsi="宋体"/>
          <w:color w:val="auto"/>
          <w:highlight w:val="none"/>
        </w:rPr>
        <w:t>签字</w:t>
      </w:r>
      <w:r>
        <w:rPr>
          <w:rFonts w:hint="eastAsia"/>
          <w:color w:val="auto"/>
          <w:highlight w:val="none"/>
        </w:rPr>
        <w:t>）</w:t>
      </w:r>
      <w:r>
        <w:rPr>
          <w:rFonts w:hAnsi="宋体"/>
          <w:color w:val="auto"/>
          <w:highlight w:val="none"/>
        </w:rPr>
        <w:t>：</w:t>
      </w:r>
      <w:r>
        <w:rPr>
          <w:rFonts w:ascii="宋体" w:hAnsi="宋体"/>
          <w:color w:val="auto"/>
          <w:highlight w:val="none"/>
          <w:u w:val="single"/>
        </w:rPr>
        <w:t></w:t>
      </w:r>
      <w:r>
        <w:rPr>
          <w:color w:val="auto"/>
          <w:highlight w:val="none"/>
          <w:u w:val="single"/>
        </w:rPr>
        <w:t xml:space="preserve">      </w:t>
      </w:r>
      <w:r>
        <w:rPr>
          <w:color w:val="auto"/>
          <w:highlight w:val="none"/>
        </w:rPr>
        <w:t xml:space="preserve"> </w:t>
      </w:r>
      <w:r>
        <w:rPr>
          <w:rFonts w:hint="eastAsia"/>
          <w:color w:val="auto"/>
          <w:highlight w:val="none"/>
        </w:rPr>
        <w:t xml:space="preserve">             </w:t>
      </w:r>
      <w:r>
        <w:rPr>
          <w:rFonts w:hAnsi="宋体"/>
          <w:color w:val="auto"/>
          <w:highlight w:val="none"/>
        </w:rPr>
        <w:t>法定代表人</w:t>
      </w:r>
      <w:r>
        <w:rPr>
          <w:rFonts w:hint="eastAsia"/>
          <w:color w:val="auto"/>
          <w:highlight w:val="none"/>
        </w:rPr>
        <w:t>（</w:t>
      </w:r>
      <w:r>
        <w:rPr>
          <w:rFonts w:hAnsi="宋体"/>
          <w:color w:val="auto"/>
          <w:highlight w:val="none"/>
        </w:rPr>
        <w:t>签字</w:t>
      </w:r>
      <w:r>
        <w:rPr>
          <w:rFonts w:hint="eastAsia"/>
          <w:color w:val="auto"/>
          <w:highlight w:val="none"/>
        </w:rPr>
        <w:t>）</w:t>
      </w:r>
      <w:r>
        <w:rPr>
          <w:rFonts w:hAnsi="宋体"/>
          <w:color w:val="auto"/>
          <w:highlight w:val="none"/>
        </w:rPr>
        <w:t>：</w:t>
      </w:r>
      <w:r>
        <w:rPr>
          <w:rFonts w:ascii="宋体" w:hAnsi="宋体"/>
          <w:color w:val="auto"/>
          <w:highlight w:val="none"/>
          <w:u w:val="single"/>
        </w:rPr>
        <w:t></w:t>
      </w:r>
      <w:r>
        <w:rPr>
          <w:rFonts w:hint="eastAsia" w:ascii="宋体" w:hAnsi="宋体"/>
          <w:color w:val="auto"/>
          <w:highlight w:val="none"/>
          <w:u w:val="single"/>
        </w:rPr>
        <w:t xml:space="preserve">     </w:t>
      </w:r>
      <w:r>
        <w:rPr>
          <w:rFonts w:ascii="宋体" w:hAnsi="宋体"/>
          <w:color w:val="auto"/>
          <w:highlight w:val="none"/>
          <w:u w:val="single"/>
        </w:rPr>
        <w:t></w:t>
      </w:r>
    </w:p>
    <w:p w14:paraId="7806F43E">
      <w:pPr>
        <w:spacing w:line="360" w:lineRule="auto"/>
        <w:rPr>
          <w:color w:val="auto"/>
          <w:highlight w:val="none"/>
        </w:rPr>
      </w:pPr>
      <w:r>
        <w:rPr>
          <w:rFonts w:hAnsi="宋体"/>
          <w:color w:val="auto"/>
          <w:highlight w:val="none"/>
        </w:rPr>
        <w:t>委托代理人</w:t>
      </w:r>
      <w:r>
        <w:rPr>
          <w:rFonts w:hint="eastAsia"/>
          <w:color w:val="auto"/>
          <w:highlight w:val="none"/>
        </w:rPr>
        <w:t>（</w:t>
      </w:r>
      <w:r>
        <w:rPr>
          <w:rFonts w:hAnsi="宋体"/>
          <w:color w:val="auto"/>
          <w:highlight w:val="none"/>
        </w:rPr>
        <w:t>签字</w:t>
      </w:r>
      <w:r>
        <w:rPr>
          <w:rFonts w:hint="eastAsia"/>
          <w:color w:val="auto"/>
          <w:highlight w:val="none"/>
        </w:rPr>
        <w:t>）</w:t>
      </w:r>
      <w:r>
        <w:rPr>
          <w:rFonts w:hAnsi="宋体"/>
          <w:color w:val="auto"/>
          <w:highlight w:val="none"/>
        </w:rPr>
        <w:t>：</w:t>
      </w:r>
      <w:r>
        <w:rPr>
          <w:rFonts w:ascii="宋体" w:hAnsi="宋体"/>
          <w:color w:val="auto"/>
          <w:highlight w:val="none"/>
          <w:u w:val="single"/>
        </w:rPr>
        <w:t></w:t>
      </w:r>
      <w:r>
        <w:rPr>
          <w:color w:val="auto"/>
          <w:highlight w:val="none"/>
          <w:u w:val="single"/>
        </w:rPr>
        <w:t xml:space="preserve">      </w:t>
      </w:r>
      <w:r>
        <w:rPr>
          <w:color w:val="auto"/>
          <w:highlight w:val="none"/>
        </w:rPr>
        <w:t xml:space="preserve"> </w:t>
      </w:r>
      <w:r>
        <w:rPr>
          <w:rFonts w:hint="eastAsia"/>
          <w:color w:val="auto"/>
          <w:highlight w:val="none"/>
        </w:rPr>
        <w:t xml:space="preserve">             </w:t>
      </w:r>
      <w:r>
        <w:rPr>
          <w:rFonts w:hAnsi="宋体"/>
          <w:color w:val="auto"/>
          <w:highlight w:val="none"/>
        </w:rPr>
        <w:t>委托代理人</w:t>
      </w:r>
      <w:r>
        <w:rPr>
          <w:rFonts w:hint="eastAsia"/>
          <w:color w:val="auto"/>
          <w:highlight w:val="none"/>
        </w:rPr>
        <w:t>（</w:t>
      </w:r>
      <w:r>
        <w:rPr>
          <w:rFonts w:hAnsi="宋体"/>
          <w:color w:val="auto"/>
          <w:highlight w:val="none"/>
        </w:rPr>
        <w:t>签字</w:t>
      </w:r>
      <w:r>
        <w:rPr>
          <w:rFonts w:hint="eastAsia"/>
          <w:color w:val="auto"/>
          <w:highlight w:val="none"/>
        </w:rPr>
        <w:t>）</w:t>
      </w:r>
      <w:r>
        <w:rPr>
          <w:rFonts w:hAnsi="宋体"/>
          <w:color w:val="auto"/>
          <w:highlight w:val="none"/>
        </w:rPr>
        <w:t>：</w:t>
      </w:r>
      <w:r>
        <w:rPr>
          <w:rFonts w:ascii="宋体" w:hAnsi="宋体"/>
          <w:color w:val="auto"/>
          <w:highlight w:val="none"/>
          <w:u w:val="single"/>
        </w:rPr>
        <w:t></w:t>
      </w:r>
      <w:r>
        <w:rPr>
          <w:rFonts w:hint="eastAsia" w:ascii="宋体" w:hAnsi="宋体"/>
          <w:color w:val="auto"/>
          <w:highlight w:val="none"/>
          <w:u w:val="single"/>
        </w:rPr>
        <w:t xml:space="preserve">     </w:t>
      </w:r>
      <w:r>
        <w:rPr>
          <w:rFonts w:ascii="宋体" w:hAnsi="宋体"/>
          <w:color w:val="auto"/>
          <w:highlight w:val="none"/>
          <w:u w:val="single"/>
        </w:rPr>
        <w:t></w:t>
      </w:r>
    </w:p>
    <w:p w14:paraId="6A8484D6">
      <w:pPr>
        <w:spacing w:line="360" w:lineRule="auto"/>
        <w:rPr>
          <w:color w:val="auto"/>
          <w:highlight w:val="none"/>
        </w:rPr>
      </w:pPr>
      <w:r>
        <w:rPr>
          <w:rFonts w:hAnsi="宋体"/>
          <w:color w:val="auto"/>
          <w:highlight w:val="none"/>
        </w:rPr>
        <w:t>电</w:t>
      </w:r>
      <w:r>
        <w:rPr>
          <w:color w:val="auto"/>
          <w:highlight w:val="none"/>
        </w:rPr>
        <w:t xml:space="preserve">  </w:t>
      </w:r>
      <w:r>
        <w:rPr>
          <w:rFonts w:hAnsi="宋体"/>
          <w:color w:val="auto"/>
          <w:highlight w:val="none"/>
        </w:rPr>
        <w:t>话：</w:t>
      </w:r>
      <w:r>
        <w:rPr>
          <w:rFonts w:ascii="宋体" w:hAnsi="宋体"/>
          <w:color w:val="auto"/>
          <w:highlight w:val="none"/>
          <w:u w:val="single"/>
        </w:rPr>
        <w:t></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 xml:space="preserve"> </w:t>
      </w:r>
      <w:r>
        <w:rPr>
          <w:rFonts w:hint="eastAsia"/>
          <w:color w:val="auto"/>
          <w:highlight w:val="none"/>
        </w:rPr>
        <w:t xml:space="preserve">             </w:t>
      </w:r>
      <w:r>
        <w:rPr>
          <w:rFonts w:hAnsi="宋体"/>
          <w:color w:val="auto"/>
          <w:highlight w:val="none"/>
        </w:rPr>
        <w:t>电</w:t>
      </w:r>
      <w:r>
        <w:rPr>
          <w:color w:val="auto"/>
          <w:highlight w:val="none"/>
        </w:rPr>
        <w:t xml:space="preserve">  </w:t>
      </w:r>
      <w:r>
        <w:rPr>
          <w:rFonts w:hAnsi="宋体"/>
          <w:color w:val="auto"/>
          <w:highlight w:val="none"/>
        </w:rPr>
        <w:t>话：</w:t>
      </w:r>
      <w:r>
        <w:rPr>
          <w:rFonts w:ascii="宋体" w:hAnsi="宋体"/>
          <w:color w:val="auto"/>
          <w:highlight w:val="none"/>
          <w:u w:val="single"/>
        </w:rPr>
        <w:t></w:t>
      </w:r>
      <w:r>
        <w:rPr>
          <w:rFonts w:hint="eastAsia" w:ascii="宋体" w:hAnsi="宋体"/>
          <w:color w:val="auto"/>
          <w:highlight w:val="none"/>
          <w:u w:val="single"/>
        </w:rPr>
        <w:t xml:space="preserve">      </w:t>
      </w:r>
      <w:r>
        <w:rPr>
          <w:rFonts w:ascii="宋体" w:hAnsi="宋体"/>
          <w:color w:val="auto"/>
          <w:highlight w:val="none"/>
          <w:u w:val="single"/>
        </w:rPr>
        <w:t></w:t>
      </w:r>
    </w:p>
    <w:p w14:paraId="7A201FF0">
      <w:pPr>
        <w:spacing w:line="360" w:lineRule="auto"/>
        <w:rPr>
          <w:color w:val="auto"/>
          <w:highlight w:val="none"/>
        </w:rPr>
      </w:pPr>
      <w:r>
        <w:rPr>
          <w:rFonts w:hAnsi="宋体"/>
          <w:color w:val="auto"/>
          <w:highlight w:val="none"/>
        </w:rPr>
        <w:t>传</w:t>
      </w:r>
      <w:r>
        <w:rPr>
          <w:color w:val="auto"/>
          <w:highlight w:val="none"/>
        </w:rPr>
        <w:t xml:space="preserve">  </w:t>
      </w:r>
      <w:r>
        <w:rPr>
          <w:rFonts w:hAnsi="宋体"/>
          <w:color w:val="auto"/>
          <w:highlight w:val="none"/>
        </w:rPr>
        <w:t>真：</w:t>
      </w:r>
      <w:r>
        <w:rPr>
          <w:rFonts w:ascii="宋体" w:hAnsi="宋体"/>
          <w:color w:val="auto"/>
          <w:highlight w:val="none"/>
          <w:u w:val="single"/>
        </w:rPr>
        <w:t></w:t>
      </w:r>
      <w:r>
        <w:rPr>
          <w:rFonts w:hint="eastAsia" w:ascii="宋体" w:hAnsi="宋体"/>
          <w:color w:val="auto"/>
          <w:highlight w:val="none"/>
          <w:u w:val="single"/>
        </w:rPr>
        <w:t xml:space="preserve">  </w:t>
      </w:r>
      <w:r>
        <w:rPr>
          <w:color w:val="auto"/>
          <w:highlight w:val="none"/>
          <w:u w:val="single"/>
        </w:rPr>
        <w:t xml:space="preserve">   </w:t>
      </w:r>
      <w:r>
        <w:rPr>
          <w:color w:val="auto"/>
          <w:highlight w:val="none"/>
        </w:rPr>
        <w:t xml:space="preserve"> </w:t>
      </w:r>
      <w:r>
        <w:rPr>
          <w:rFonts w:hint="eastAsia"/>
          <w:color w:val="auto"/>
          <w:highlight w:val="none"/>
        </w:rPr>
        <w:t xml:space="preserve">             </w:t>
      </w:r>
      <w:r>
        <w:rPr>
          <w:rFonts w:hAnsi="宋体"/>
          <w:color w:val="auto"/>
          <w:highlight w:val="none"/>
        </w:rPr>
        <w:t>传</w:t>
      </w:r>
      <w:r>
        <w:rPr>
          <w:color w:val="auto"/>
          <w:highlight w:val="none"/>
        </w:rPr>
        <w:t xml:space="preserve">  </w:t>
      </w:r>
      <w:r>
        <w:rPr>
          <w:rFonts w:hAnsi="宋体"/>
          <w:color w:val="auto"/>
          <w:highlight w:val="none"/>
        </w:rPr>
        <w:t>真：</w:t>
      </w:r>
      <w:r>
        <w:rPr>
          <w:rFonts w:ascii="宋体" w:hAnsi="宋体"/>
          <w:color w:val="auto"/>
          <w:highlight w:val="none"/>
          <w:u w:val="single"/>
        </w:rPr>
        <w:t></w:t>
      </w:r>
      <w:r>
        <w:rPr>
          <w:rFonts w:hint="eastAsia" w:ascii="宋体" w:hAnsi="宋体"/>
          <w:color w:val="auto"/>
          <w:highlight w:val="none"/>
          <w:u w:val="single"/>
        </w:rPr>
        <w:t xml:space="preserve">  </w:t>
      </w:r>
      <w:r>
        <w:rPr>
          <w:color w:val="auto"/>
          <w:highlight w:val="none"/>
          <w:u w:val="single"/>
        </w:rPr>
        <w:t xml:space="preserve">  </w:t>
      </w:r>
      <w:r>
        <w:rPr>
          <w:rFonts w:ascii="宋体" w:hAnsi="宋体"/>
          <w:color w:val="auto"/>
          <w:highlight w:val="none"/>
          <w:u w:val="single"/>
        </w:rPr>
        <w:t></w:t>
      </w:r>
    </w:p>
    <w:p w14:paraId="110EE954">
      <w:pPr>
        <w:spacing w:line="360" w:lineRule="auto"/>
        <w:rPr>
          <w:color w:val="auto"/>
          <w:highlight w:val="none"/>
        </w:rPr>
      </w:pPr>
      <w:r>
        <w:rPr>
          <w:rFonts w:hAnsi="宋体"/>
          <w:color w:val="auto"/>
          <w:highlight w:val="none"/>
        </w:rPr>
        <w:t>开户银行：</w:t>
      </w:r>
      <w:r>
        <w:rPr>
          <w:rFonts w:ascii="宋体" w:hAnsi="宋体"/>
          <w:color w:val="auto"/>
          <w:highlight w:val="none"/>
          <w:u w:val="single"/>
        </w:rPr>
        <w:t></w:t>
      </w:r>
      <w:r>
        <w:rPr>
          <w:rFonts w:hint="eastAsia" w:ascii="宋体" w:hAnsi="宋体"/>
          <w:color w:val="auto"/>
          <w:highlight w:val="none"/>
          <w:u w:val="single"/>
        </w:rPr>
        <w:t xml:space="preserve">  </w:t>
      </w:r>
      <w:r>
        <w:rPr>
          <w:color w:val="auto"/>
          <w:highlight w:val="none"/>
          <w:u w:val="single"/>
        </w:rPr>
        <w:t xml:space="preserve">   </w:t>
      </w:r>
      <w:r>
        <w:rPr>
          <w:color w:val="auto"/>
          <w:highlight w:val="none"/>
        </w:rPr>
        <w:t xml:space="preserve"> </w:t>
      </w:r>
      <w:r>
        <w:rPr>
          <w:rFonts w:hint="eastAsia"/>
          <w:color w:val="auto"/>
          <w:highlight w:val="none"/>
        </w:rPr>
        <w:t xml:space="preserve">             </w:t>
      </w:r>
      <w:r>
        <w:rPr>
          <w:rFonts w:hAnsi="宋体"/>
          <w:color w:val="auto"/>
          <w:highlight w:val="none"/>
        </w:rPr>
        <w:t>开户银行：</w:t>
      </w:r>
      <w:r>
        <w:rPr>
          <w:rFonts w:ascii="宋体" w:hAnsi="宋体"/>
          <w:color w:val="auto"/>
          <w:highlight w:val="none"/>
          <w:u w:val="single"/>
        </w:rPr>
        <w:t></w:t>
      </w:r>
      <w:r>
        <w:rPr>
          <w:rFonts w:hint="eastAsia" w:ascii="宋体" w:hAnsi="宋体"/>
          <w:color w:val="auto"/>
          <w:highlight w:val="none"/>
          <w:u w:val="single"/>
        </w:rPr>
        <w:t xml:space="preserve">  </w:t>
      </w:r>
      <w:r>
        <w:rPr>
          <w:rFonts w:ascii="宋体" w:hAnsi="宋体"/>
          <w:color w:val="auto"/>
          <w:highlight w:val="none"/>
          <w:u w:val="single"/>
        </w:rPr>
        <w:t></w:t>
      </w:r>
    </w:p>
    <w:p w14:paraId="1432D51C">
      <w:pPr>
        <w:tabs>
          <w:tab w:val="left" w:pos="2880"/>
          <w:tab w:val="left" w:pos="3060"/>
          <w:tab w:val="left" w:pos="4500"/>
        </w:tabs>
        <w:spacing w:line="360" w:lineRule="auto"/>
        <w:rPr>
          <w:color w:val="auto"/>
          <w:highlight w:val="none"/>
        </w:rPr>
      </w:pPr>
      <w:r>
        <w:rPr>
          <w:rFonts w:hAnsi="宋体"/>
          <w:color w:val="auto"/>
          <w:highlight w:val="none"/>
        </w:rPr>
        <w:t>账</w:t>
      </w:r>
      <w:r>
        <w:rPr>
          <w:color w:val="auto"/>
          <w:highlight w:val="none"/>
        </w:rPr>
        <w:t xml:space="preserve">  </w:t>
      </w:r>
      <w:r>
        <w:rPr>
          <w:rFonts w:hAnsi="宋体"/>
          <w:color w:val="auto"/>
          <w:highlight w:val="none"/>
        </w:rPr>
        <w:t>号：</w:t>
      </w:r>
      <w:r>
        <w:rPr>
          <w:rFonts w:ascii="宋体" w:hAnsi="宋体"/>
          <w:color w:val="auto"/>
          <w:highlight w:val="none"/>
          <w:u w:val="single"/>
        </w:rPr>
        <w:t></w:t>
      </w:r>
      <w:r>
        <w:rPr>
          <w:color w:val="auto"/>
          <w:highlight w:val="none"/>
          <w:u w:val="single"/>
        </w:rPr>
        <w:t xml:space="preserve"> </w:t>
      </w:r>
      <w:r>
        <w:rPr>
          <w:rFonts w:ascii="宋体" w:hAnsi="宋体"/>
          <w:color w:val="auto"/>
          <w:highlight w:val="none"/>
          <w:u w:val="single"/>
        </w:rPr>
        <w:t></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 xml:space="preserve">  </w:t>
      </w:r>
      <w:r>
        <w:rPr>
          <w:rFonts w:hint="eastAsia"/>
          <w:color w:val="auto"/>
          <w:highlight w:val="none"/>
        </w:rPr>
        <w:t xml:space="preserve">            </w:t>
      </w:r>
      <w:r>
        <w:rPr>
          <w:rFonts w:hAnsi="宋体"/>
          <w:color w:val="auto"/>
          <w:highlight w:val="none"/>
        </w:rPr>
        <w:t>账</w:t>
      </w:r>
      <w:r>
        <w:rPr>
          <w:color w:val="auto"/>
          <w:highlight w:val="none"/>
        </w:rPr>
        <w:t xml:space="preserve">  </w:t>
      </w:r>
      <w:r>
        <w:rPr>
          <w:rFonts w:hAnsi="宋体"/>
          <w:color w:val="auto"/>
          <w:highlight w:val="none"/>
        </w:rPr>
        <w:t>号：</w:t>
      </w:r>
      <w:r>
        <w:rPr>
          <w:rFonts w:ascii="宋体" w:hAnsi="宋体"/>
          <w:color w:val="auto"/>
          <w:highlight w:val="none"/>
          <w:u w:val="single"/>
        </w:rPr>
        <w:t></w:t>
      </w:r>
      <w:r>
        <w:rPr>
          <w:rFonts w:hint="eastAsia" w:ascii="宋体" w:hAnsi="宋体"/>
          <w:color w:val="auto"/>
          <w:highlight w:val="none"/>
          <w:u w:val="single"/>
        </w:rPr>
        <w:t xml:space="preserve">    </w:t>
      </w:r>
      <w:r>
        <w:rPr>
          <w:rFonts w:ascii="宋体" w:hAnsi="宋体"/>
          <w:color w:val="auto"/>
          <w:highlight w:val="none"/>
          <w:u w:val="single"/>
        </w:rPr>
        <w:t></w:t>
      </w:r>
    </w:p>
    <w:p w14:paraId="7BEE5853">
      <w:pPr>
        <w:tabs>
          <w:tab w:val="left" w:pos="7200"/>
          <w:tab w:val="left" w:pos="7380"/>
          <w:tab w:val="left" w:pos="7560"/>
        </w:tabs>
        <w:spacing w:line="360" w:lineRule="auto"/>
        <w:rPr>
          <w:color w:val="auto"/>
          <w:highlight w:val="none"/>
        </w:rPr>
      </w:pPr>
      <w:r>
        <w:rPr>
          <w:rFonts w:hAnsi="宋体"/>
          <w:color w:val="auto"/>
          <w:highlight w:val="none"/>
        </w:rPr>
        <w:t>邮政编码：</w:t>
      </w:r>
      <w:r>
        <w:rPr>
          <w:color w:val="auto"/>
          <w:highlight w:val="none"/>
          <w:u w:val="single"/>
        </w:rPr>
        <w:t xml:space="preserve"> </w:t>
      </w:r>
      <w:r>
        <w:rPr>
          <w:rFonts w:ascii="宋体" w:hAnsi="宋体"/>
          <w:color w:val="auto"/>
          <w:highlight w:val="none"/>
          <w:u w:val="single"/>
        </w:rPr>
        <w:t></w:t>
      </w:r>
      <w:r>
        <w:rPr>
          <w:rFonts w:hint="eastAsia" w:ascii="宋体" w:hAnsi="宋体"/>
          <w:color w:val="auto"/>
          <w:highlight w:val="none"/>
          <w:u w:val="single"/>
        </w:rPr>
        <w:t xml:space="preserve">  </w:t>
      </w:r>
      <w:r>
        <w:rPr>
          <w:color w:val="auto"/>
          <w:highlight w:val="none"/>
          <w:u w:val="single"/>
        </w:rPr>
        <w:t xml:space="preserve">    </w:t>
      </w:r>
      <w:r>
        <w:rPr>
          <w:color w:val="auto"/>
          <w:highlight w:val="none"/>
        </w:rPr>
        <w:t xml:space="preserve"> </w:t>
      </w:r>
      <w:r>
        <w:rPr>
          <w:rFonts w:hint="eastAsia"/>
          <w:color w:val="auto"/>
          <w:highlight w:val="none"/>
        </w:rPr>
        <w:t xml:space="preserve">             </w:t>
      </w:r>
      <w:r>
        <w:rPr>
          <w:rFonts w:hAnsi="宋体"/>
          <w:color w:val="auto"/>
          <w:highlight w:val="none"/>
        </w:rPr>
        <w:t>邮政编码：</w:t>
      </w:r>
      <w:r>
        <w:rPr>
          <w:rFonts w:ascii="宋体" w:hAnsi="宋体"/>
          <w:color w:val="auto"/>
          <w:highlight w:val="none"/>
          <w:u w:val="single"/>
        </w:rPr>
        <w:t></w:t>
      </w:r>
      <w:r>
        <w:rPr>
          <w:rFonts w:hint="eastAsia" w:ascii="宋体" w:hAnsi="宋体"/>
          <w:color w:val="auto"/>
          <w:highlight w:val="none"/>
          <w:u w:val="single"/>
        </w:rPr>
        <w:t xml:space="preserve">   </w:t>
      </w:r>
      <w:r>
        <w:rPr>
          <w:rFonts w:ascii="宋体" w:hAnsi="宋体"/>
          <w:color w:val="auto"/>
          <w:highlight w:val="none"/>
          <w:u w:val="single"/>
        </w:rPr>
        <w:t></w:t>
      </w:r>
    </w:p>
    <w:p w14:paraId="1C482E68">
      <w:pPr>
        <w:spacing w:before="120" w:beforeLines="50" w:after="120" w:afterLines="50" w:line="440" w:lineRule="exact"/>
        <w:jc w:val="center"/>
        <w:rPr>
          <w:rFonts w:ascii="黑体" w:hAnsi="宋体" w:eastAsia="黑体"/>
          <w:color w:val="auto"/>
          <w:sz w:val="32"/>
          <w:szCs w:val="32"/>
          <w:highlight w:val="none"/>
        </w:rPr>
      </w:pPr>
    </w:p>
    <w:p w14:paraId="4BC3494C">
      <w:pPr>
        <w:spacing w:before="120" w:beforeLines="50" w:after="120" w:afterLines="50" w:line="440" w:lineRule="exact"/>
        <w:jc w:val="center"/>
        <w:rPr>
          <w:rFonts w:ascii="黑体" w:hAnsi="宋体" w:eastAsia="黑体"/>
          <w:color w:val="auto"/>
          <w:sz w:val="32"/>
          <w:szCs w:val="32"/>
          <w:highlight w:val="none"/>
        </w:rPr>
      </w:pPr>
    </w:p>
    <w:p w14:paraId="64E67BAE">
      <w:pPr>
        <w:spacing w:before="120" w:beforeLines="50" w:after="120" w:afterLines="50" w:line="440" w:lineRule="exact"/>
        <w:jc w:val="center"/>
        <w:rPr>
          <w:rFonts w:ascii="黑体" w:hAnsi="宋体" w:eastAsia="黑体"/>
          <w:color w:val="auto"/>
          <w:sz w:val="32"/>
          <w:szCs w:val="32"/>
          <w:highlight w:val="none"/>
        </w:rPr>
      </w:pPr>
    </w:p>
    <w:p w14:paraId="2E9FF6B4">
      <w:pPr>
        <w:spacing w:before="120" w:beforeLines="50" w:after="120" w:afterLines="50" w:line="440" w:lineRule="exact"/>
        <w:jc w:val="center"/>
        <w:rPr>
          <w:rFonts w:ascii="黑体" w:hAnsi="宋体" w:eastAsia="黑体"/>
          <w:color w:val="auto"/>
          <w:sz w:val="32"/>
          <w:szCs w:val="32"/>
          <w:highlight w:val="none"/>
        </w:rPr>
      </w:pPr>
    </w:p>
    <w:p w14:paraId="7558CED0">
      <w:pPr>
        <w:spacing w:before="120" w:beforeLines="50" w:after="120" w:afterLines="50" w:line="440" w:lineRule="exact"/>
        <w:jc w:val="center"/>
        <w:rPr>
          <w:rFonts w:ascii="黑体" w:hAnsi="宋体" w:eastAsia="黑体"/>
          <w:color w:val="auto"/>
          <w:sz w:val="32"/>
          <w:szCs w:val="32"/>
          <w:highlight w:val="none"/>
        </w:rPr>
      </w:pPr>
    </w:p>
    <w:p w14:paraId="1B0AC285">
      <w:pPr>
        <w:spacing w:before="120" w:beforeLines="50" w:after="120" w:afterLines="50" w:line="440" w:lineRule="exact"/>
        <w:jc w:val="center"/>
        <w:rPr>
          <w:rFonts w:ascii="黑体" w:hAnsi="宋体" w:eastAsia="黑体"/>
          <w:color w:val="auto"/>
          <w:sz w:val="32"/>
          <w:szCs w:val="32"/>
          <w:highlight w:val="none"/>
        </w:rPr>
      </w:pPr>
    </w:p>
    <w:p w14:paraId="003B3BE5">
      <w:pPr>
        <w:spacing w:before="120" w:beforeLines="50" w:after="120" w:afterLines="50" w:line="440" w:lineRule="exact"/>
        <w:jc w:val="center"/>
        <w:rPr>
          <w:rFonts w:ascii="黑体" w:hAnsi="宋体" w:eastAsia="黑体"/>
          <w:color w:val="auto"/>
          <w:sz w:val="32"/>
          <w:szCs w:val="32"/>
          <w:highlight w:val="none"/>
        </w:rPr>
      </w:pPr>
    </w:p>
    <w:p w14:paraId="00B2D680">
      <w:pPr>
        <w:spacing w:before="120" w:beforeLines="50" w:after="120" w:afterLines="50" w:line="440" w:lineRule="exact"/>
        <w:jc w:val="center"/>
        <w:rPr>
          <w:rFonts w:ascii="黑体" w:hAnsi="宋体" w:eastAsia="黑体"/>
          <w:color w:val="auto"/>
          <w:sz w:val="32"/>
          <w:szCs w:val="32"/>
          <w:highlight w:val="none"/>
        </w:rPr>
      </w:pPr>
    </w:p>
    <w:p w14:paraId="6319CFF8">
      <w:pPr>
        <w:spacing w:before="120" w:beforeLines="50" w:after="120" w:afterLines="50" w:line="440" w:lineRule="exact"/>
        <w:jc w:val="center"/>
        <w:rPr>
          <w:rFonts w:hint="eastAsia" w:ascii="黑体" w:hAnsi="宋体" w:eastAsia="黑体" w:cs="黑体"/>
          <w:color w:val="auto"/>
          <w:sz w:val="32"/>
          <w:szCs w:val="32"/>
          <w:highlight w:val="none"/>
        </w:rPr>
      </w:pPr>
    </w:p>
    <w:p w14:paraId="36C1EB2E">
      <w:pPr>
        <w:spacing w:before="120" w:beforeLines="50" w:after="120" w:afterLines="50" w:line="440" w:lineRule="exact"/>
        <w:jc w:val="center"/>
        <w:rPr>
          <w:rFonts w:hint="eastAsia" w:ascii="黑体" w:hAnsi="宋体" w:eastAsia="黑体" w:cs="黑体"/>
          <w:color w:val="auto"/>
          <w:sz w:val="32"/>
          <w:szCs w:val="32"/>
          <w:highlight w:val="none"/>
        </w:rPr>
      </w:pPr>
    </w:p>
    <w:p w14:paraId="2BF28B95">
      <w:pPr>
        <w:pStyle w:val="2"/>
        <w:spacing w:before="0" w:after="0" w:line="240" w:lineRule="auto"/>
        <w:jc w:val="center"/>
        <w:rPr>
          <w:rFonts w:hint="eastAsia" w:ascii="宋体" w:hAnsi="宋体" w:eastAsia="宋体" w:cs="宋体"/>
          <w:b w:val="0"/>
          <w:bCs w:val="0"/>
          <w:color w:val="auto"/>
          <w:highlight w:val="none"/>
        </w:rPr>
      </w:pPr>
      <w:bookmarkStart w:id="1426" w:name="_Toc31271"/>
      <w:r>
        <w:rPr>
          <w:rFonts w:hint="eastAsia" w:ascii="宋体" w:hAnsi="宋体" w:eastAsia="宋体" w:cs="宋体"/>
          <w:b w:val="0"/>
          <w:bCs w:val="0"/>
          <w:color w:val="auto"/>
          <w:highlight w:val="none"/>
        </w:rPr>
        <w:t>第七章 工程量清单</w:t>
      </w:r>
      <w:bookmarkEnd w:id="137"/>
      <w:bookmarkEnd w:id="138"/>
      <w:r>
        <w:rPr>
          <w:rFonts w:hint="eastAsia" w:ascii="宋体" w:hAnsi="宋体" w:eastAsia="宋体" w:cs="宋体"/>
          <w:b w:val="0"/>
          <w:bCs w:val="0"/>
          <w:color w:val="auto"/>
          <w:highlight w:val="none"/>
        </w:rPr>
        <w:t>、图纸</w:t>
      </w:r>
      <w:bookmarkEnd w:id="139"/>
      <w:bookmarkEnd w:id="1426"/>
    </w:p>
    <w:p w14:paraId="62FC2E67">
      <w:pPr>
        <w:pStyle w:val="3"/>
        <w:rPr>
          <w:color w:val="auto"/>
          <w:kern w:val="44"/>
          <w:highlight w:val="none"/>
        </w:rPr>
      </w:pPr>
      <w:bookmarkStart w:id="1427" w:name="_Toc1386396751"/>
      <w:bookmarkStart w:id="1428" w:name="_Toc407135284"/>
      <w:bookmarkStart w:id="1429" w:name="_Toc1392571603"/>
      <w:bookmarkStart w:id="1430" w:name="_Toc78449869"/>
      <w:r>
        <w:rPr>
          <w:color w:val="auto"/>
          <w:highlight w:val="none"/>
        </w:rPr>
        <w:t xml:space="preserve">1 </w:t>
      </w:r>
      <w:r>
        <w:rPr>
          <w:rFonts w:hint="eastAsia" w:cs="黑体"/>
          <w:color w:val="auto"/>
          <w:highlight w:val="none"/>
        </w:rPr>
        <w:t>工程量清单编制说明</w:t>
      </w:r>
      <w:bookmarkEnd w:id="1427"/>
      <w:bookmarkEnd w:id="1428"/>
      <w:bookmarkEnd w:id="1429"/>
      <w:bookmarkEnd w:id="1430"/>
    </w:p>
    <w:p w14:paraId="37C25C73">
      <w:pPr>
        <w:spacing w:line="360" w:lineRule="auto"/>
        <w:ind w:firstLine="420" w:firstLineChars="200"/>
        <w:rPr>
          <w:color w:val="auto"/>
          <w:highlight w:val="none"/>
        </w:rPr>
      </w:pPr>
      <w:bookmarkStart w:id="1431" w:name="_Toc8119"/>
      <w:r>
        <w:rPr>
          <w:color w:val="auto"/>
          <w:highlight w:val="none"/>
        </w:rPr>
        <w:t>1.1</w:t>
      </w:r>
      <w:r>
        <w:rPr>
          <w:rFonts w:hint="eastAsia" w:hAnsi="宋体" w:cs="宋体"/>
          <w:color w:val="auto"/>
          <w:highlight w:val="none"/>
        </w:rPr>
        <w:t>本工程量清单依据《建设工程工程量清单计价规范</w:t>
      </w:r>
      <w:r>
        <w:rPr>
          <w:rFonts w:hint="eastAsia" w:cs="宋体"/>
          <w:color w:val="auto"/>
          <w:highlight w:val="none"/>
        </w:rPr>
        <w:t>（</w:t>
      </w:r>
      <w:r>
        <w:rPr>
          <w:color w:val="auto"/>
          <w:highlight w:val="none"/>
        </w:rPr>
        <w:t>GB50500-2013</w:t>
      </w:r>
      <w:r>
        <w:rPr>
          <w:rFonts w:hint="eastAsia" w:cs="宋体"/>
          <w:color w:val="auto"/>
          <w:highlight w:val="none"/>
        </w:rPr>
        <w:t>）</w:t>
      </w:r>
      <w:r>
        <w:rPr>
          <w:rFonts w:hint="eastAsia" w:hAnsi="宋体" w:cs="宋体"/>
          <w:color w:val="auto"/>
          <w:highlight w:val="none"/>
        </w:rPr>
        <w:t>广西实施细则》（以下简称</w:t>
      </w:r>
      <w:r>
        <w:rPr>
          <w:color w:val="auto"/>
          <w:highlight w:val="none"/>
        </w:rPr>
        <w:t>“</w:t>
      </w:r>
      <w:r>
        <w:rPr>
          <w:rFonts w:hint="eastAsia" w:hAnsi="宋体" w:cs="宋体"/>
          <w:color w:val="auto"/>
          <w:highlight w:val="none"/>
        </w:rPr>
        <w:t>《计价规范》</w:t>
      </w:r>
      <w:r>
        <w:rPr>
          <w:color w:val="auto"/>
          <w:highlight w:val="none"/>
        </w:rPr>
        <w:t>”</w:t>
      </w:r>
      <w:r>
        <w:rPr>
          <w:rFonts w:hint="eastAsia" w:cs="宋体"/>
          <w:color w:val="auto"/>
          <w:highlight w:val="none"/>
        </w:rPr>
        <w:t>）</w:t>
      </w:r>
      <w:r>
        <w:rPr>
          <w:rFonts w:hint="eastAsia" w:hAnsi="宋体" w:cs="宋体"/>
          <w:color w:val="auto"/>
          <w:highlight w:val="none"/>
        </w:rPr>
        <w:t>、《工程量清单计算规范（</w:t>
      </w:r>
      <w:r>
        <w:rPr>
          <w:color w:val="auto"/>
          <w:highlight w:val="none"/>
        </w:rPr>
        <w:t>GB50854~50862-2013</w:t>
      </w:r>
      <w:r>
        <w:rPr>
          <w:rFonts w:hint="eastAsia" w:hAnsi="宋体" w:cs="宋体"/>
          <w:color w:val="auto"/>
          <w:highlight w:val="none"/>
        </w:rPr>
        <w:t>）》及广西实施细则（修订本）（以下简称</w:t>
      </w:r>
      <w:r>
        <w:rPr>
          <w:color w:val="auto"/>
          <w:highlight w:val="none"/>
        </w:rPr>
        <w:t>“</w:t>
      </w:r>
      <w:r>
        <w:rPr>
          <w:rFonts w:hint="eastAsia" w:hAnsi="宋体" w:cs="宋体"/>
          <w:color w:val="auto"/>
          <w:highlight w:val="none"/>
        </w:rPr>
        <w:t>《计算规范》</w:t>
      </w:r>
      <w:r>
        <w:rPr>
          <w:color w:val="auto"/>
          <w:highlight w:val="none"/>
        </w:rPr>
        <w:t>”</w:t>
      </w:r>
      <w:r>
        <w:rPr>
          <w:rFonts w:hint="eastAsia" w:hAnsi="宋体" w:cs="宋体"/>
          <w:color w:val="auto"/>
          <w:highlight w:val="none"/>
        </w:rPr>
        <w:t>）、</w:t>
      </w:r>
      <w:r>
        <w:rPr>
          <w:rFonts w:hint="eastAsia" w:hAnsi="宋体" w:cs="宋体"/>
          <w:color w:val="auto"/>
          <w:kern w:val="0"/>
          <w:highlight w:val="none"/>
        </w:rPr>
        <w:t>《关于建筑业实施营业税改征增值税后广西壮族自治区建设工程计价依据调整的通知》（桂建标〔</w:t>
      </w:r>
      <w:r>
        <w:rPr>
          <w:rFonts w:hAnsi="宋体"/>
          <w:color w:val="auto"/>
          <w:kern w:val="0"/>
          <w:highlight w:val="none"/>
        </w:rPr>
        <w:t>2016</w:t>
      </w:r>
      <w:r>
        <w:rPr>
          <w:rFonts w:hint="eastAsia" w:hAnsi="宋体" w:cs="宋体"/>
          <w:color w:val="auto"/>
          <w:kern w:val="0"/>
          <w:highlight w:val="none"/>
        </w:rPr>
        <w:t>〕</w:t>
      </w:r>
      <w:r>
        <w:rPr>
          <w:rFonts w:hAnsi="宋体"/>
          <w:color w:val="auto"/>
          <w:kern w:val="0"/>
          <w:highlight w:val="none"/>
        </w:rPr>
        <w:t>17</w:t>
      </w:r>
      <w:r>
        <w:rPr>
          <w:rFonts w:hint="eastAsia" w:hAnsi="宋体" w:cs="宋体"/>
          <w:color w:val="auto"/>
          <w:kern w:val="0"/>
          <w:highlight w:val="none"/>
        </w:rPr>
        <w:t>号）、招</w:t>
      </w:r>
      <w:r>
        <w:rPr>
          <w:rFonts w:hint="eastAsia" w:hAnsi="宋体" w:cs="宋体"/>
          <w:color w:val="auto"/>
          <w:highlight w:val="none"/>
        </w:rPr>
        <w:t>标文件、施工图等编制。计算规范中没有的清单项目，应在本章第</w:t>
      </w:r>
      <w:r>
        <w:rPr>
          <w:color w:val="auto"/>
          <w:highlight w:val="none"/>
        </w:rPr>
        <w:t>1.4</w:t>
      </w:r>
      <w:r>
        <w:rPr>
          <w:rFonts w:hint="eastAsia" w:hAnsi="宋体" w:cs="宋体"/>
          <w:color w:val="auto"/>
          <w:highlight w:val="none"/>
        </w:rPr>
        <w:t>款约定。</w:t>
      </w:r>
    </w:p>
    <w:p w14:paraId="224E3ADA">
      <w:pPr>
        <w:spacing w:line="360" w:lineRule="auto"/>
        <w:ind w:firstLine="420" w:firstLineChars="200"/>
        <w:outlineLvl w:val="9"/>
        <w:rPr>
          <w:color w:val="auto"/>
          <w:highlight w:val="none"/>
        </w:rPr>
      </w:pPr>
      <w:r>
        <w:rPr>
          <w:color w:val="auto"/>
          <w:highlight w:val="none"/>
        </w:rPr>
        <w:t xml:space="preserve">1.2 </w:t>
      </w:r>
      <w:r>
        <w:rPr>
          <w:rFonts w:hint="eastAsia"/>
          <w:color w:val="auto"/>
          <w:highlight w:val="none"/>
        </w:rPr>
        <w:t>工程量清单应与投标须知、合同协议条款、合同的通用条款、合同专用条款、技术规范及图纸等文件一起结合使用。</w:t>
      </w:r>
    </w:p>
    <w:p w14:paraId="39F40BA7">
      <w:pPr>
        <w:spacing w:line="360" w:lineRule="auto"/>
        <w:ind w:firstLine="420" w:firstLineChars="200"/>
        <w:rPr>
          <w:color w:val="auto"/>
          <w:highlight w:val="none"/>
        </w:rPr>
      </w:pPr>
      <w:r>
        <w:rPr>
          <w:color w:val="auto"/>
          <w:highlight w:val="none"/>
        </w:rPr>
        <w:t xml:space="preserve">1.3 </w:t>
      </w:r>
      <w:r>
        <w:rPr>
          <w:rFonts w:hint="eastAsia" w:cs="宋体"/>
          <w:color w:val="auto"/>
          <w:highlight w:val="none"/>
        </w:rPr>
        <w:t>工程量清单是招标文件的组成部分，是工程量清单计价的基础，作为编制招标控制价、投标报价、计算或调整工程量、索赔等的依据之一。</w:t>
      </w:r>
    </w:p>
    <w:p w14:paraId="7CFF4508">
      <w:pPr>
        <w:spacing w:line="360" w:lineRule="auto"/>
        <w:ind w:left="2" w:firstLine="420" w:firstLineChars="200"/>
        <w:rPr>
          <w:color w:val="auto"/>
          <w:highlight w:val="none"/>
        </w:rPr>
      </w:pPr>
      <w:r>
        <w:rPr>
          <w:color w:val="auto"/>
          <w:highlight w:val="none"/>
        </w:rPr>
        <w:t xml:space="preserve">1.4 </w:t>
      </w:r>
      <w:r>
        <w:rPr>
          <w:rFonts w:hint="eastAsia" w:cs="宋体"/>
          <w:color w:val="auto"/>
          <w:highlight w:val="none"/>
        </w:rPr>
        <w:t>补充清单项目的特征、计量单位、工程量计算规则及工作内容说明如下：</w:t>
      </w:r>
      <w:r>
        <w:rPr>
          <w:rFonts w:hint="eastAsia" w:cs="宋体"/>
          <w:color w:val="auto"/>
          <w:highlight w:val="none"/>
          <w:u w:val="single"/>
          <w:lang w:val="en-US" w:eastAsia="zh-CN"/>
        </w:rPr>
        <w:t xml:space="preserve"> </w:t>
      </w:r>
      <w:r>
        <w:rPr>
          <w:rFonts w:hint="eastAsia"/>
          <w:color w:val="auto"/>
          <w:highlight w:val="none"/>
          <w:u w:val="single"/>
        </w:rPr>
        <w:t>详见</w:t>
      </w:r>
      <w:r>
        <w:rPr>
          <w:rFonts w:hint="eastAsia"/>
          <w:color w:val="auto"/>
          <w:highlight w:val="none"/>
          <w:u w:val="single"/>
          <w:lang w:val="en-US" w:eastAsia="zh-CN"/>
        </w:rPr>
        <w:t>招标控制价</w:t>
      </w:r>
      <w:r>
        <w:rPr>
          <w:color w:val="auto"/>
          <w:highlight w:val="none"/>
          <w:u w:val="single"/>
        </w:rPr>
        <w:t xml:space="preserve"> </w:t>
      </w:r>
      <w:r>
        <w:rPr>
          <w:rFonts w:hint="eastAsia" w:hAnsi="宋体" w:cs="宋体"/>
          <w:color w:val="auto"/>
          <w:highlight w:val="none"/>
        </w:rPr>
        <w:t>。</w:t>
      </w:r>
    </w:p>
    <w:p w14:paraId="2273C589">
      <w:pPr>
        <w:pStyle w:val="15"/>
        <w:spacing w:line="360" w:lineRule="auto"/>
        <w:ind w:firstLine="420" w:firstLineChars="200"/>
        <w:rPr>
          <w:rFonts w:ascii="Times New Roman" w:hAnsi="Times New Roman"/>
          <w:color w:val="auto"/>
          <w:sz w:val="21"/>
          <w:szCs w:val="21"/>
          <w:highlight w:val="none"/>
        </w:rPr>
      </w:pPr>
      <w:r>
        <w:rPr>
          <w:rFonts w:ascii="Times New Roman" w:hAnsi="Times New Roman"/>
          <w:color w:val="auto"/>
          <w:sz w:val="21"/>
          <w:szCs w:val="21"/>
          <w:highlight w:val="none"/>
        </w:rPr>
        <w:t xml:space="preserve">1.5 </w:t>
      </w:r>
      <w:r>
        <w:rPr>
          <w:rFonts w:hint="eastAsia" w:ascii="Times New Roman" w:hAnsi="Times New Roman"/>
          <w:color w:val="auto"/>
          <w:sz w:val="21"/>
          <w:szCs w:val="21"/>
          <w:highlight w:val="none"/>
        </w:rPr>
        <w:t>《</w:t>
      </w:r>
      <w:r>
        <w:rPr>
          <w:rFonts w:hint="eastAsia" w:ascii="Times New Roman" w:hAnsi="Times New Roman"/>
          <w:color w:val="auto"/>
          <w:sz w:val="21"/>
          <w:szCs w:val="21"/>
          <w:highlight w:val="none"/>
          <w:lang w:eastAsia="zh-CN"/>
        </w:rPr>
        <w:t>允许调整</w:t>
      </w:r>
      <w:r>
        <w:rPr>
          <w:rFonts w:hint="eastAsia" w:ascii="Times New Roman" w:hAnsi="Times New Roman"/>
          <w:color w:val="auto"/>
          <w:sz w:val="21"/>
          <w:szCs w:val="21"/>
          <w:highlight w:val="none"/>
        </w:rPr>
        <w:t>主要材料和</w:t>
      </w:r>
      <w:r>
        <w:rPr>
          <w:rFonts w:hint="eastAsia" w:ascii="Times New Roman" w:hAnsi="Times New Roman"/>
          <w:color w:val="auto"/>
          <w:sz w:val="21"/>
          <w:szCs w:val="21"/>
          <w:highlight w:val="none"/>
          <w:lang w:eastAsia="zh-CN"/>
        </w:rPr>
        <w:t>工程</w:t>
      </w:r>
      <w:r>
        <w:rPr>
          <w:rFonts w:hint="eastAsia" w:ascii="Times New Roman" w:hAnsi="Times New Roman"/>
          <w:color w:val="auto"/>
          <w:sz w:val="21"/>
          <w:szCs w:val="21"/>
          <w:highlight w:val="none"/>
        </w:rPr>
        <w:t>设备一览表》（表</w:t>
      </w:r>
      <w:r>
        <w:rPr>
          <w:rFonts w:ascii="Times New Roman" w:hAnsi="Times New Roman"/>
          <w:color w:val="auto"/>
          <w:sz w:val="21"/>
          <w:szCs w:val="21"/>
          <w:highlight w:val="none"/>
        </w:rPr>
        <w:t>-22</w:t>
      </w:r>
      <w:r>
        <w:rPr>
          <w:rFonts w:hint="eastAsia" w:ascii="Times New Roman" w:hAnsi="Times New Roman"/>
          <w:color w:val="auto"/>
          <w:sz w:val="21"/>
          <w:szCs w:val="21"/>
          <w:highlight w:val="none"/>
        </w:rPr>
        <w:t>，表格编号为计价规范相应表格编号，下同）作为项目实施过程中材料和设备价格风险调整依据。</w:t>
      </w:r>
    </w:p>
    <w:p w14:paraId="562D841C">
      <w:pPr>
        <w:pStyle w:val="15"/>
        <w:spacing w:line="360" w:lineRule="auto"/>
        <w:ind w:firstLine="420" w:firstLineChars="200"/>
        <w:rPr>
          <w:rFonts w:ascii="Times New Roman" w:hAnsi="Times New Roman"/>
          <w:color w:val="auto"/>
          <w:sz w:val="21"/>
          <w:szCs w:val="21"/>
          <w:highlight w:val="none"/>
        </w:rPr>
      </w:pPr>
      <w:r>
        <w:rPr>
          <w:rFonts w:ascii="Times New Roman" w:hAnsi="Times New Roman"/>
          <w:color w:val="auto"/>
          <w:sz w:val="21"/>
          <w:szCs w:val="21"/>
          <w:highlight w:val="none"/>
        </w:rPr>
        <w:t xml:space="preserve">1.6 </w:t>
      </w:r>
      <w:r>
        <w:rPr>
          <w:rFonts w:hint="eastAsia" w:ascii="Times New Roman" w:hAnsi="Times New Roman"/>
          <w:color w:val="auto"/>
          <w:sz w:val="21"/>
          <w:szCs w:val="21"/>
          <w:highlight w:val="none"/>
        </w:rPr>
        <w:t>本工程暂列金</w:t>
      </w:r>
      <w:r>
        <w:rPr>
          <w:rFonts w:hint="eastAsia" w:ascii="宋体" w:hAnsi="宋体" w:eastAsia="宋体" w:cs="宋体"/>
          <w:color w:val="auto"/>
          <w:sz w:val="21"/>
          <w:szCs w:val="21"/>
          <w:highlight w:val="none"/>
        </w:rPr>
        <w:t>额（约按合同造价</w:t>
      </w:r>
      <w:r>
        <w:rPr>
          <w:rFonts w:hint="eastAsia" w:ascii="宋体" w:hAnsi="宋体" w:eastAsia="宋体" w:cs="宋体"/>
          <w:color w:val="auto"/>
          <w:sz w:val="21"/>
          <w:szCs w:val="21"/>
          <w:highlight w:val="none"/>
          <w:u w:val="single"/>
        </w:rPr>
        <w:t xml:space="preserve"> 详见</w:t>
      </w:r>
      <w:r>
        <w:rPr>
          <w:rFonts w:hint="eastAsia" w:ascii="宋体" w:hAnsi="宋体" w:eastAsia="宋体" w:cs="宋体"/>
          <w:color w:val="auto"/>
          <w:sz w:val="21"/>
          <w:szCs w:val="21"/>
          <w:highlight w:val="none"/>
          <w:u w:val="single"/>
          <w:lang w:val="en-US" w:eastAsia="zh-CN"/>
        </w:rPr>
        <w:t>招标控制价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%计算），共</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详见</w:t>
      </w:r>
      <w:r>
        <w:rPr>
          <w:rFonts w:hint="eastAsia" w:ascii="宋体" w:hAnsi="宋体" w:eastAsia="宋体" w:cs="宋体"/>
          <w:color w:val="auto"/>
          <w:sz w:val="21"/>
          <w:szCs w:val="21"/>
          <w:highlight w:val="none"/>
          <w:u w:val="single"/>
          <w:lang w:val="en-US" w:eastAsia="zh-CN"/>
        </w:rPr>
        <w:t>招标控制价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w:t>
      </w:r>
      <w:r>
        <w:rPr>
          <w:rFonts w:hint="eastAsia" w:ascii="Times New Roman" w:hAnsi="Times New Roman"/>
          <w:color w:val="auto"/>
          <w:sz w:val="21"/>
          <w:szCs w:val="21"/>
          <w:highlight w:val="none"/>
        </w:rPr>
        <w:t>，作为合同签订时尚未确定或者不可预见但施工中可能发生的费用。</w:t>
      </w:r>
    </w:p>
    <w:p w14:paraId="6F949F5B">
      <w:pPr>
        <w:pStyle w:val="15"/>
        <w:spacing w:line="360" w:lineRule="auto"/>
        <w:ind w:firstLine="420" w:firstLineChars="200"/>
        <w:rPr>
          <w:rFonts w:ascii="Times New Roman" w:hAnsi="Times New Roman"/>
          <w:color w:val="auto"/>
          <w:sz w:val="21"/>
          <w:szCs w:val="21"/>
          <w:highlight w:val="none"/>
        </w:rPr>
      </w:pPr>
      <w:r>
        <w:rPr>
          <w:rFonts w:ascii="Times New Roman" w:hAnsi="Times New Roman"/>
          <w:color w:val="auto"/>
          <w:sz w:val="21"/>
          <w:szCs w:val="21"/>
          <w:highlight w:val="none"/>
        </w:rPr>
        <w:t xml:space="preserve">1.7 </w:t>
      </w:r>
      <w:r>
        <w:rPr>
          <w:rFonts w:hint="eastAsia" w:ascii="Times New Roman" w:hAnsi="Times New Roman"/>
          <w:color w:val="auto"/>
          <w:sz w:val="21"/>
          <w:szCs w:val="21"/>
          <w:highlight w:val="none"/>
        </w:rPr>
        <w:t>本工程发包人提供的材料和设备详见《发包人提供的主要材料和工程设备一览表》（表</w:t>
      </w:r>
      <w:r>
        <w:rPr>
          <w:rFonts w:ascii="Times New Roman" w:hAnsi="Times New Roman"/>
          <w:color w:val="auto"/>
          <w:sz w:val="21"/>
          <w:szCs w:val="21"/>
          <w:highlight w:val="none"/>
        </w:rPr>
        <w:t>-21</w:t>
      </w:r>
      <w:r>
        <w:rPr>
          <w:rFonts w:hint="eastAsia" w:ascii="Times New Roman" w:hAnsi="Times New Roman"/>
          <w:color w:val="auto"/>
          <w:sz w:val="21"/>
          <w:szCs w:val="21"/>
          <w:highlight w:val="none"/>
        </w:rPr>
        <w:t>）。</w:t>
      </w:r>
    </w:p>
    <w:p w14:paraId="3DABB40F">
      <w:pPr>
        <w:spacing w:line="360" w:lineRule="auto"/>
        <w:ind w:firstLine="420" w:firstLineChars="200"/>
        <w:rPr>
          <w:color w:val="auto"/>
          <w:highlight w:val="none"/>
        </w:rPr>
      </w:pPr>
      <w:r>
        <w:rPr>
          <w:color w:val="auto"/>
          <w:highlight w:val="none"/>
        </w:rPr>
        <w:t xml:space="preserve">1.8 </w:t>
      </w:r>
      <w:r>
        <w:rPr>
          <w:rFonts w:hint="eastAsia" w:cs="宋体"/>
          <w:color w:val="auto"/>
          <w:highlight w:val="none"/>
        </w:rPr>
        <w:t>本工程部分材料和设备在招标时作为暂估价计列，结算按实调整，具体内容详见《材料（工程设备）暂估单价及调整表》（表</w:t>
      </w:r>
      <w:r>
        <w:rPr>
          <w:color w:val="auto"/>
          <w:highlight w:val="none"/>
        </w:rPr>
        <w:t>12-2</w:t>
      </w:r>
      <w:r>
        <w:rPr>
          <w:rFonts w:hint="eastAsia" w:cs="宋体"/>
          <w:color w:val="auto"/>
          <w:highlight w:val="none"/>
        </w:rPr>
        <w:t>）。</w:t>
      </w:r>
    </w:p>
    <w:p w14:paraId="46B46D88">
      <w:pPr>
        <w:spacing w:line="360" w:lineRule="auto"/>
        <w:ind w:firstLine="420" w:firstLineChars="200"/>
        <w:rPr>
          <w:color w:val="auto"/>
          <w:highlight w:val="none"/>
        </w:rPr>
      </w:pPr>
      <w:r>
        <w:rPr>
          <w:color w:val="auto"/>
          <w:highlight w:val="none"/>
        </w:rPr>
        <w:t xml:space="preserve">1.9 </w:t>
      </w:r>
      <w:r>
        <w:rPr>
          <w:rFonts w:hint="eastAsia" w:cs="宋体"/>
          <w:color w:val="auto"/>
          <w:highlight w:val="none"/>
        </w:rPr>
        <w:t>招标时暂估专业工程的价款属于暂估价，结算按实调整，具体内容详见《专业工程暂估价及结算价表》（表</w:t>
      </w:r>
      <w:r>
        <w:rPr>
          <w:color w:val="auto"/>
          <w:highlight w:val="none"/>
        </w:rPr>
        <w:t>12-3</w:t>
      </w:r>
      <w:r>
        <w:rPr>
          <w:rFonts w:hint="eastAsia" w:cs="宋体"/>
          <w:color w:val="auto"/>
          <w:highlight w:val="none"/>
        </w:rPr>
        <w:t>）。</w:t>
      </w:r>
    </w:p>
    <w:p w14:paraId="1E84A8F1">
      <w:pPr>
        <w:spacing w:line="360" w:lineRule="auto"/>
        <w:ind w:firstLine="420" w:firstLineChars="200"/>
        <w:rPr>
          <w:color w:val="auto"/>
          <w:highlight w:val="none"/>
        </w:rPr>
      </w:pPr>
      <w:r>
        <w:rPr>
          <w:color w:val="auto"/>
          <w:highlight w:val="none"/>
        </w:rPr>
        <w:t xml:space="preserve">1.10 </w:t>
      </w:r>
      <w:r>
        <w:rPr>
          <w:rFonts w:hint="eastAsia" w:cs="宋体"/>
          <w:color w:val="auto"/>
          <w:highlight w:val="none"/>
        </w:rPr>
        <w:t>本工程量清单编码处标注</w:t>
      </w:r>
      <w:r>
        <w:rPr>
          <w:color w:val="auto"/>
          <w:highlight w:val="none"/>
        </w:rPr>
        <w:t>“*”</w:t>
      </w:r>
      <w:r>
        <w:rPr>
          <w:rFonts w:hint="eastAsia" w:cs="宋体"/>
          <w:color w:val="auto"/>
          <w:highlight w:val="none"/>
        </w:rPr>
        <w:t>号的清单项目作为主要清单项目，需要投标人提供</w:t>
      </w:r>
      <w:r>
        <w:rPr>
          <w:rFonts w:hint="eastAsia" w:hAnsi="宋体" w:cs="宋体"/>
          <w:color w:val="auto"/>
          <w:highlight w:val="none"/>
        </w:rPr>
        <w:t>《主要清单项目工料机分析表》（表</w:t>
      </w:r>
      <w:r>
        <w:rPr>
          <w:color w:val="auto"/>
          <w:highlight w:val="none"/>
        </w:rPr>
        <w:t>-10</w:t>
      </w:r>
      <w:r>
        <w:rPr>
          <w:rFonts w:hint="eastAsia" w:hAnsi="宋体" w:cs="宋体"/>
          <w:color w:val="auto"/>
          <w:highlight w:val="none"/>
        </w:rPr>
        <w:t>）</w:t>
      </w:r>
      <w:r>
        <w:rPr>
          <w:rFonts w:hint="eastAsia" w:cs="宋体"/>
          <w:color w:val="auto"/>
          <w:highlight w:val="none"/>
        </w:rPr>
        <w:t>。</w:t>
      </w:r>
    </w:p>
    <w:p w14:paraId="18C3FE68">
      <w:pPr>
        <w:spacing w:line="360" w:lineRule="auto"/>
        <w:ind w:firstLine="420" w:firstLineChars="200"/>
        <w:rPr>
          <w:color w:val="auto"/>
          <w:highlight w:val="none"/>
        </w:rPr>
      </w:pPr>
      <w:r>
        <w:rPr>
          <w:color w:val="auto"/>
          <w:highlight w:val="none"/>
        </w:rPr>
        <w:t xml:space="preserve">1.11 </w:t>
      </w:r>
      <w:r>
        <w:rPr>
          <w:rFonts w:hint="eastAsia" w:cs="宋体"/>
          <w:color w:val="auto"/>
          <w:highlight w:val="none"/>
        </w:rPr>
        <w:t>其它需要说明的问题：</w:t>
      </w:r>
      <w:r>
        <w:rPr>
          <w:rFonts w:hint="eastAsia" w:cs="宋体"/>
          <w:color w:val="auto"/>
          <w:highlight w:val="none"/>
          <w:u w:val="single"/>
          <w:lang w:val="en-US" w:eastAsia="zh-CN"/>
        </w:rPr>
        <w:t xml:space="preserve"> </w:t>
      </w:r>
      <w:r>
        <w:rPr>
          <w:rFonts w:hint="eastAsia"/>
          <w:color w:val="auto"/>
          <w:highlight w:val="none"/>
          <w:u w:val="single"/>
        </w:rPr>
        <w:t>详见</w:t>
      </w:r>
      <w:r>
        <w:rPr>
          <w:rFonts w:hint="eastAsia"/>
          <w:color w:val="auto"/>
          <w:highlight w:val="none"/>
          <w:u w:val="single"/>
          <w:lang w:val="en-US" w:eastAsia="zh-CN"/>
        </w:rPr>
        <w:t>招标控制价</w:t>
      </w:r>
      <w:r>
        <w:rPr>
          <w:color w:val="auto"/>
          <w:highlight w:val="none"/>
          <w:u w:val="single"/>
        </w:rPr>
        <w:t xml:space="preserve"> </w:t>
      </w:r>
      <w:r>
        <w:rPr>
          <w:rFonts w:hint="eastAsia" w:cs="宋体"/>
          <w:color w:val="auto"/>
          <w:highlight w:val="none"/>
        </w:rPr>
        <w:t>。</w:t>
      </w:r>
    </w:p>
    <w:p w14:paraId="09027E8D">
      <w:pPr>
        <w:spacing w:line="360" w:lineRule="auto"/>
        <w:ind w:firstLine="420" w:firstLineChars="200"/>
        <w:jc w:val="left"/>
        <w:rPr>
          <w:color w:val="auto"/>
          <w:highlight w:val="none"/>
        </w:rPr>
      </w:pPr>
      <w:r>
        <w:rPr>
          <w:color w:val="auto"/>
          <w:highlight w:val="none"/>
        </w:rPr>
        <w:t xml:space="preserve">1.12 </w:t>
      </w:r>
      <w:r>
        <w:rPr>
          <w:rFonts w:hint="eastAsia" w:cs="宋体"/>
          <w:color w:val="auto"/>
          <w:highlight w:val="none"/>
        </w:rPr>
        <w:t>工程量清单在</w:t>
      </w:r>
      <w:r>
        <w:rPr>
          <w:rFonts w:hint="eastAsia" w:ascii="宋体" w:hAnsi="宋体" w:eastAsia="宋体" w:cs="宋体"/>
          <w:color w:val="auto"/>
          <w:szCs w:val="21"/>
          <w:highlight w:val="none"/>
        </w:rPr>
        <w:t>广西政府采购云平台</w:t>
      </w:r>
      <w:r>
        <w:rPr>
          <w:rFonts w:hint="eastAsia" w:cs="宋体"/>
          <w:color w:val="auto"/>
          <w:highlight w:val="none"/>
        </w:rPr>
        <w:t>发布，潜在投标人可登陆系统自行下载。</w:t>
      </w:r>
      <w:r>
        <w:rPr>
          <w:color w:val="auto"/>
          <w:highlight w:val="none"/>
        </w:rPr>
        <w:t xml:space="preserve"> </w:t>
      </w:r>
      <w:r>
        <w:rPr>
          <w:rFonts w:hint="eastAsia" w:cs="宋体"/>
          <w:color w:val="auto"/>
          <w:highlight w:val="none"/>
        </w:rPr>
        <w:t>一般计税法建设工程的工程量清单表格按</w:t>
      </w:r>
      <w:r>
        <w:rPr>
          <w:rFonts w:hint="eastAsia" w:hAnsi="宋体" w:cs="宋体"/>
          <w:color w:val="auto"/>
          <w:kern w:val="0"/>
          <w:highlight w:val="none"/>
        </w:rPr>
        <w:t>《关于建筑业实施营业税改征增值税后广西壮族自治区建设工程计价依据调整的通知》（桂建标〔</w:t>
      </w:r>
      <w:r>
        <w:rPr>
          <w:rFonts w:hAnsi="宋体"/>
          <w:color w:val="auto"/>
          <w:kern w:val="0"/>
          <w:highlight w:val="none"/>
        </w:rPr>
        <w:t>2016</w:t>
      </w:r>
      <w:r>
        <w:rPr>
          <w:rFonts w:hint="eastAsia" w:hAnsi="宋体" w:cs="宋体"/>
          <w:color w:val="auto"/>
          <w:kern w:val="0"/>
          <w:highlight w:val="none"/>
        </w:rPr>
        <w:t>〕</w:t>
      </w:r>
      <w:r>
        <w:rPr>
          <w:rFonts w:hAnsi="宋体"/>
          <w:color w:val="auto"/>
          <w:kern w:val="0"/>
          <w:highlight w:val="none"/>
        </w:rPr>
        <w:t>17</w:t>
      </w:r>
      <w:r>
        <w:rPr>
          <w:rFonts w:hint="eastAsia" w:hAnsi="宋体" w:cs="宋体"/>
          <w:color w:val="auto"/>
          <w:kern w:val="0"/>
          <w:highlight w:val="none"/>
        </w:rPr>
        <w:t>号）</w:t>
      </w:r>
      <w:r>
        <w:rPr>
          <w:rFonts w:hint="eastAsia" w:ascii="宋体" w:hAnsi="宋体" w:cs="宋体"/>
          <w:color w:val="auto"/>
          <w:highlight w:val="none"/>
        </w:rPr>
        <w:t>附件“增值税一般计税方法工程计价表”要求提供；简易计税法建设工程按照《计价规范》要求的</w:t>
      </w:r>
      <w:r>
        <w:rPr>
          <w:rFonts w:hint="eastAsia" w:cs="宋体"/>
          <w:color w:val="auto"/>
          <w:highlight w:val="none"/>
        </w:rPr>
        <w:t>表格提供，但规费和税费要按照《关于建筑业实施营业税改征增值税后广西壮族自治区建设工程计价依据调整的通知》（桂建标〔</w:t>
      </w:r>
      <w:r>
        <w:rPr>
          <w:color w:val="auto"/>
          <w:highlight w:val="none"/>
        </w:rPr>
        <w:t>2016</w:t>
      </w:r>
      <w:r>
        <w:rPr>
          <w:rFonts w:hint="eastAsia" w:cs="宋体"/>
          <w:color w:val="auto"/>
          <w:highlight w:val="none"/>
        </w:rPr>
        <w:t>〕</w:t>
      </w:r>
      <w:r>
        <w:rPr>
          <w:color w:val="auto"/>
          <w:highlight w:val="none"/>
        </w:rPr>
        <w:t>17</w:t>
      </w:r>
      <w:r>
        <w:rPr>
          <w:rFonts w:hint="eastAsia" w:cs="宋体"/>
          <w:color w:val="auto"/>
          <w:highlight w:val="none"/>
        </w:rPr>
        <w:t>号）</w:t>
      </w:r>
      <w:r>
        <w:rPr>
          <w:rFonts w:hint="eastAsia" w:ascii="宋体" w:hAnsi="宋体" w:cs="宋体"/>
          <w:color w:val="auto"/>
          <w:highlight w:val="none"/>
        </w:rPr>
        <w:t>要求调整，具体</w:t>
      </w:r>
      <w:r>
        <w:rPr>
          <w:rFonts w:hint="eastAsia" w:cs="宋体"/>
          <w:color w:val="auto"/>
          <w:highlight w:val="none"/>
        </w:rPr>
        <w:t>包括：</w:t>
      </w:r>
    </w:p>
    <w:p w14:paraId="28D53011">
      <w:pPr>
        <w:spacing w:line="360" w:lineRule="auto"/>
        <w:ind w:firstLine="630" w:firstLineChars="300"/>
        <w:jc w:val="left"/>
        <w:rPr>
          <w:color w:val="auto"/>
          <w:highlight w:val="none"/>
        </w:rPr>
      </w:pPr>
      <w:r>
        <w:rPr>
          <w:color w:val="auto"/>
          <w:highlight w:val="none"/>
        </w:rPr>
        <w:t xml:space="preserve">1.1 </w:t>
      </w:r>
      <w:r>
        <w:rPr>
          <w:rFonts w:hint="eastAsia" w:cs="宋体"/>
          <w:color w:val="auto"/>
          <w:highlight w:val="none"/>
        </w:rPr>
        <w:t>招标工程量清单（封</w:t>
      </w:r>
      <w:r>
        <w:rPr>
          <w:color w:val="auto"/>
          <w:highlight w:val="none"/>
        </w:rPr>
        <w:t>-1</w:t>
      </w:r>
      <w:r>
        <w:rPr>
          <w:rFonts w:hint="eastAsia" w:cs="宋体"/>
          <w:color w:val="auto"/>
          <w:highlight w:val="none"/>
        </w:rPr>
        <w:t>）</w:t>
      </w:r>
    </w:p>
    <w:p w14:paraId="316F1AC0">
      <w:pPr>
        <w:spacing w:line="360" w:lineRule="auto"/>
        <w:ind w:firstLine="630" w:firstLineChars="300"/>
        <w:jc w:val="left"/>
        <w:rPr>
          <w:color w:val="auto"/>
          <w:highlight w:val="none"/>
        </w:rPr>
      </w:pPr>
      <w:r>
        <w:rPr>
          <w:color w:val="auto"/>
          <w:highlight w:val="none"/>
        </w:rPr>
        <w:t xml:space="preserve">1.2 </w:t>
      </w:r>
      <w:r>
        <w:rPr>
          <w:rFonts w:hint="eastAsia" w:cs="宋体"/>
          <w:color w:val="auto"/>
          <w:highlight w:val="none"/>
        </w:rPr>
        <w:t>招标工程量清单（封扉</w:t>
      </w:r>
      <w:r>
        <w:rPr>
          <w:color w:val="auto"/>
          <w:highlight w:val="none"/>
        </w:rPr>
        <w:t>-1</w:t>
      </w:r>
      <w:r>
        <w:rPr>
          <w:rFonts w:hint="eastAsia" w:cs="宋体"/>
          <w:color w:val="auto"/>
          <w:highlight w:val="none"/>
        </w:rPr>
        <w:t>）</w:t>
      </w:r>
    </w:p>
    <w:p w14:paraId="491BC360">
      <w:pPr>
        <w:spacing w:line="360" w:lineRule="auto"/>
        <w:ind w:firstLine="630" w:firstLineChars="300"/>
        <w:jc w:val="left"/>
        <w:rPr>
          <w:color w:val="auto"/>
          <w:highlight w:val="none"/>
        </w:rPr>
      </w:pPr>
      <w:r>
        <w:rPr>
          <w:color w:val="auto"/>
          <w:highlight w:val="none"/>
        </w:rPr>
        <w:t xml:space="preserve">1.3 </w:t>
      </w:r>
      <w:r>
        <w:rPr>
          <w:rFonts w:hint="eastAsia" w:cs="宋体"/>
          <w:color w:val="auto"/>
          <w:highlight w:val="none"/>
        </w:rPr>
        <w:t>总说明（表</w:t>
      </w:r>
      <w:r>
        <w:rPr>
          <w:color w:val="auto"/>
          <w:highlight w:val="none"/>
        </w:rPr>
        <w:t>-01</w:t>
      </w:r>
      <w:r>
        <w:rPr>
          <w:rFonts w:hint="eastAsia" w:cs="宋体"/>
          <w:color w:val="auto"/>
          <w:highlight w:val="none"/>
        </w:rPr>
        <w:t>）</w:t>
      </w:r>
    </w:p>
    <w:p w14:paraId="4A32F24E">
      <w:pPr>
        <w:spacing w:line="360" w:lineRule="auto"/>
        <w:ind w:firstLine="630" w:firstLineChars="300"/>
        <w:jc w:val="left"/>
        <w:rPr>
          <w:color w:val="auto"/>
          <w:highlight w:val="none"/>
        </w:rPr>
      </w:pPr>
      <w:r>
        <w:rPr>
          <w:color w:val="auto"/>
          <w:highlight w:val="none"/>
        </w:rPr>
        <w:t xml:space="preserve">1.4 </w:t>
      </w:r>
      <w:r>
        <w:rPr>
          <w:rFonts w:hint="eastAsia" w:cs="宋体"/>
          <w:color w:val="auto"/>
          <w:highlight w:val="none"/>
        </w:rPr>
        <w:t>建设项目投标报价汇总表（表</w:t>
      </w:r>
      <w:r>
        <w:rPr>
          <w:color w:val="auto"/>
          <w:highlight w:val="none"/>
        </w:rPr>
        <w:t>-02</w:t>
      </w:r>
      <w:r>
        <w:rPr>
          <w:rFonts w:hint="eastAsia" w:cs="宋体"/>
          <w:color w:val="auto"/>
          <w:highlight w:val="none"/>
        </w:rPr>
        <w:t>）</w:t>
      </w:r>
    </w:p>
    <w:p w14:paraId="36429FA0">
      <w:pPr>
        <w:spacing w:line="360" w:lineRule="auto"/>
        <w:ind w:firstLine="630" w:firstLineChars="300"/>
        <w:jc w:val="left"/>
        <w:rPr>
          <w:color w:val="auto"/>
          <w:highlight w:val="none"/>
        </w:rPr>
      </w:pPr>
      <w:r>
        <w:rPr>
          <w:color w:val="auto"/>
          <w:highlight w:val="none"/>
        </w:rPr>
        <w:t xml:space="preserve">1.5 </w:t>
      </w:r>
      <w:r>
        <w:rPr>
          <w:rFonts w:hint="eastAsia" w:cs="宋体"/>
          <w:color w:val="auto"/>
          <w:highlight w:val="none"/>
        </w:rPr>
        <w:t>单项工程投标报价汇总表（表</w:t>
      </w:r>
      <w:r>
        <w:rPr>
          <w:color w:val="auto"/>
          <w:highlight w:val="none"/>
        </w:rPr>
        <w:t>-03</w:t>
      </w:r>
      <w:r>
        <w:rPr>
          <w:rFonts w:hint="eastAsia" w:cs="宋体"/>
          <w:color w:val="auto"/>
          <w:highlight w:val="none"/>
        </w:rPr>
        <w:t>）</w:t>
      </w:r>
    </w:p>
    <w:p w14:paraId="50A305D7">
      <w:pPr>
        <w:spacing w:line="360" w:lineRule="auto"/>
        <w:ind w:firstLine="630" w:firstLineChars="300"/>
        <w:jc w:val="left"/>
        <w:rPr>
          <w:color w:val="auto"/>
          <w:highlight w:val="none"/>
        </w:rPr>
      </w:pPr>
      <w:r>
        <w:rPr>
          <w:color w:val="auto"/>
          <w:highlight w:val="none"/>
        </w:rPr>
        <w:t xml:space="preserve">1.6 </w:t>
      </w:r>
      <w:r>
        <w:rPr>
          <w:rFonts w:hint="eastAsia" w:cs="宋体"/>
          <w:color w:val="auto"/>
          <w:highlight w:val="none"/>
        </w:rPr>
        <w:t>单位工程投标报价汇总表（表</w:t>
      </w:r>
      <w:r>
        <w:rPr>
          <w:color w:val="auto"/>
          <w:highlight w:val="none"/>
        </w:rPr>
        <w:t>-04</w:t>
      </w:r>
      <w:r>
        <w:rPr>
          <w:rFonts w:hint="eastAsia" w:cs="宋体"/>
          <w:color w:val="auto"/>
          <w:highlight w:val="none"/>
        </w:rPr>
        <w:t>）</w:t>
      </w:r>
    </w:p>
    <w:p w14:paraId="2D8E5308">
      <w:pPr>
        <w:spacing w:line="360" w:lineRule="auto"/>
        <w:ind w:firstLine="630" w:firstLineChars="300"/>
        <w:jc w:val="left"/>
        <w:rPr>
          <w:color w:val="auto"/>
          <w:highlight w:val="none"/>
        </w:rPr>
      </w:pPr>
      <w:r>
        <w:rPr>
          <w:color w:val="auto"/>
          <w:highlight w:val="none"/>
        </w:rPr>
        <w:t xml:space="preserve">1.7 </w:t>
      </w:r>
      <w:r>
        <w:rPr>
          <w:rFonts w:hint="eastAsia" w:cs="宋体"/>
          <w:color w:val="auto"/>
          <w:highlight w:val="none"/>
        </w:rPr>
        <w:t>分部分项工程和单价措施项目清单与计价表（表</w:t>
      </w:r>
      <w:r>
        <w:rPr>
          <w:color w:val="auto"/>
          <w:highlight w:val="none"/>
        </w:rPr>
        <w:t>-08</w:t>
      </w:r>
      <w:r>
        <w:rPr>
          <w:rFonts w:hint="eastAsia" w:cs="宋体"/>
          <w:color w:val="auto"/>
          <w:highlight w:val="none"/>
        </w:rPr>
        <w:t>）</w:t>
      </w:r>
    </w:p>
    <w:p w14:paraId="7EA2DA35">
      <w:pPr>
        <w:spacing w:line="360" w:lineRule="auto"/>
        <w:ind w:firstLine="630" w:firstLineChars="300"/>
        <w:jc w:val="left"/>
        <w:rPr>
          <w:color w:val="auto"/>
          <w:highlight w:val="none"/>
        </w:rPr>
      </w:pPr>
      <w:r>
        <w:rPr>
          <w:color w:val="auto"/>
          <w:highlight w:val="none"/>
        </w:rPr>
        <w:t xml:space="preserve">1.8 </w:t>
      </w:r>
      <w:r>
        <w:rPr>
          <w:rFonts w:hint="eastAsia" w:cs="宋体"/>
          <w:color w:val="auto"/>
          <w:highlight w:val="none"/>
        </w:rPr>
        <w:t>总价措施项目清单与计价表（表</w:t>
      </w:r>
      <w:r>
        <w:rPr>
          <w:color w:val="auto"/>
          <w:highlight w:val="none"/>
        </w:rPr>
        <w:t>-11</w:t>
      </w:r>
      <w:r>
        <w:rPr>
          <w:rFonts w:hint="eastAsia" w:cs="宋体"/>
          <w:color w:val="auto"/>
          <w:highlight w:val="none"/>
        </w:rPr>
        <w:t>）</w:t>
      </w:r>
    </w:p>
    <w:p w14:paraId="6DC51C78">
      <w:pPr>
        <w:spacing w:line="360" w:lineRule="auto"/>
        <w:ind w:firstLine="630" w:firstLineChars="300"/>
        <w:jc w:val="left"/>
        <w:rPr>
          <w:color w:val="auto"/>
          <w:highlight w:val="none"/>
        </w:rPr>
      </w:pPr>
      <w:r>
        <w:rPr>
          <w:color w:val="auto"/>
          <w:highlight w:val="none"/>
        </w:rPr>
        <w:t xml:space="preserve">1.9 </w:t>
      </w:r>
      <w:r>
        <w:rPr>
          <w:rFonts w:hint="eastAsia" w:cs="宋体"/>
          <w:color w:val="auto"/>
          <w:highlight w:val="none"/>
        </w:rPr>
        <w:t>其他项目清单与计价汇总表（表</w:t>
      </w:r>
      <w:r>
        <w:rPr>
          <w:color w:val="auto"/>
          <w:highlight w:val="none"/>
        </w:rPr>
        <w:t>-12</w:t>
      </w:r>
      <w:r>
        <w:rPr>
          <w:rFonts w:hint="eastAsia" w:cs="宋体"/>
          <w:color w:val="auto"/>
          <w:highlight w:val="none"/>
        </w:rPr>
        <w:t>）</w:t>
      </w:r>
    </w:p>
    <w:p w14:paraId="07D5904F">
      <w:pPr>
        <w:spacing w:line="360" w:lineRule="auto"/>
        <w:ind w:firstLine="630" w:firstLineChars="300"/>
        <w:jc w:val="left"/>
        <w:rPr>
          <w:color w:val="auto"/>
          <w:highlight w:val="none"/>
        </w:rPr>
      </w:pPr>
      <w:r>
        <w:rPr>
          <w:color w:val="auto"/>
          <w:highlight w:val="none"/>
        </w:rPr>
        <w:t xml:space="preserve">1.10 </w:t>
      </w:r>
      <w:r>
        <w:rPr>
          <w:rFonts w:hint="eastAsia" w:cs="宋体"/>
          <w:color w:val="auto"/>
          <w:highlight w:val="none"/>
        </w:rPr>
        <w:t>暂列金额明细表（表</w:t>
      </w:r>
      <w:r>
        <w:rPr>
          <w:color w:val="auto"/>
          <w:highlight w:val="none"/>
        </w:rPr>
        <w:t>12-1</w:t>
      </w:r>
      <w:r>
        <w:rPr>
          <w:rFonts w:hint="eastAsia" w:cs="宋体"/>
          <w:color w:val="auto"/>
          <w:highlight w:val="none"/>
        </w:rPr>
        <w:t>）</w:t>
      </w:r>
    </w:p>
    <w:p w14:paraId="4914864D">
      <w:pPr>
        <w:spacing w:line="360" w:lineRule="auto"/>
        <w:ind w:firstLine="630" w:firstLineChars="300"/>
        <w:jc w:val="left"/>
        <w:rPr>
          <w:color w:val="auto"/>
          <w:highlight w:val="none"/>
        </w:rPr>
      </w:pPr>
      <w:r>
        <w:rPr>
          <w:color w:val="auto"/>
          <w:highlight w:val="none"/>
        </w:rPr>
        <w:t xml:space="preserve">1.11 </w:t>
      </w:r>
      <w:r>
        <w:rPr>
          <w:rFonts w:hint="eastAsia" w:cs="宋体"/>
          <w:color w:val="auto"/>
          <w:highlight w:val="none"/>
        </w:rPr>
        <w:t>材料（工程设备）暂估单价及调整表（表</w:t>
      </w:r>
      <w:r>
        <w:rPr>
          <w:color w:val="auto"/>
          <w:highlight w:val="none"/>
        </w:rPr>
        <w:t>12-2</w:t>
      </w:r>
      <w:r>
        <w:rPr>
          <w:rFonts w:hint="eastAsia" w:cs="宋体"/>
          <w:color w:val="auto"/>
          <w:highlight w:val="none"/>
        </w:rPr>
        <w:t>）</w:t>
      </w:r>
    </w:p>
    <w:p w14:paraId="571C31A1">
      <w:pPr>
        <w:spacing w:line="360" w:lineRule="auto"/>
        <w:ind w:firstLine="630" w:firstLineChars="300"/>
        <w:jc w:val="left"/>
        <w:rPr>
          <w:color w:val="auto"/>
          <w:highlight w:val="none"/>
        </w:rPr>
      </w:pPr>
      <w:r>
        <w:rPr>
          <w:color w:val="auto"/>
          <w:highlight w:val="none"/>
        </w:rPr>
        <w:t xml:space="preserve">1.12 </w:t>
      </w:r>
      <w:r>
        <w:rPr>
          <w:rFonts w:hint="eastAsia" w:cs="宋体"/>
          <w:color w:val="auto"/>
          <w:highlight w:val="none"/>
        </w:rPr>
        <w:t>专业工程暂估价</w:t>
      </w:r>
      <w:r>
        <w:rPr>
          <w:rFonts w:hint="eastAsia"/>
          <w:color w:val="auto"/>
          <w:highlight w:val="none"/>
        </w:rPr>
        <w:t>及结算价</w:t>
      </w:r>
      <w:r>
        <w:rPr>
          <w:rFonts w:hint="eastAsia" w:cs="宋体"/>
          <w:color w:val="auto"/>
          <w:highlight w:val="none"/>
        </w:rPr>
        <w:t>表（表</w:t>
      </w:r>
      <w:r>
        <w:rPr>
          <w:color w:val="auto"/>
          <w:highlight w:val="none"/>
        </w:rPr>
        <w:t>12-3</w:t>
      </w:r>
      <w:r>
        <w:rPr>
          <w:rFonts w:hint="eastAsia" w:cs="宋体"/>
          <w:color w:val="auto"/>
          <w:highlight w:val="none"/>
        </w:rPr>
        <w:t>）</w:t>
      </w:r>
    </w:p>
    <w:p w14:paraId="160B6054">
      <w:pPr>
        <w:spacing w:line="360" w:lineRule="auto"/>
        <w:ind w:firstLine="630" w:firstLineChars="300"/>
        <w:jc w:val="left"/>
        <w:rPr>
          <w:color w:val="auto"/>
          <w:highlight w:val="none"/>
        </w:rPr>
      </w:pPr>
      <w:r>
        <w:rPr>
          <w:color w:val="auto"/>
          <w:highlight w:val="none"/>
        </w:rPr>
        <w:t xml:space="preserve">1.13 </w:t>
      </w:r>
      <w:r>
        <w:rPr>
          <w:rFonts w:hint="eastAsia" w:cs="宋体"/>
          <w:color w:val="auto"/>
          <w:highlight w:val="none"/>
        </w:rPr>
        <w:t>计日工表（表</w:t>
      </w:r>
      <w:r>
        <w:rPr>
          <w:color w:val="auto"/>
          <w:highlight w:val="none"/>
        </w:rPr>
        <w:t>12-4</w:t>
      </w:r>
      <w:r>
        <w:rPr>
          <w:rFonts w:hint="eastAsia" w:cs="宋体"/>
          <w:color w:val="auto"/>
          <w:highlight w:val="none"/>
        </w:rPr>
        <w:t>）</w:t>
      </w:r>
    </w:p>
    <w:p w14:paraId="30DC12D5">
      <w:pPr>
        <w:spacing w:line="360" w:lineRule="auto"/>
        <w:ind w:firstLine="630" w:firstLineChars="300"/>
        <w:jc w:val="left"/>
        <w:rPr>
          <w:color w:val="auto"/>
          <w:highlight w:val="none"/>
        </w:rPr>
      </w:pPr>
      <w:r>
        <w:rPr>
          <w:color w:val="auto"/>
          <w:highlight w:val="none"/>
        </w:rPr>
        <w:t xml:space="preserve">1.14 </w:t>
      </w:r>
      <w:r>
        <w:rPr>
          <w:rFonts w:hint="eastAsia" w:cs="宋体"/>
          <w:color w:val="auto"/>
          <w:highlight w:val="none"/>
        </w:rPr>
        <w:t>总承包服务费计价表（表</w:t>
      </w:r>
      <w:r>
        <w:rPr>
          <w:color w:val="auto"/>
          <w:highlight w:val="none"/>
        </w:rPr>
        <w:t>12-5</w:t>
      </w:r>
      <w:r>
        <w:rPr>
          <w:rFonts w:hint="eastAsia" w:cs="宋体"/>
          <w:color w:val="auto"/>
          <w:highlight w:val="none"/>
        </w:rPr>
        <w:t>）</w:t>
      </w:r>
    </w:p>
    <w:p w14:paraId="3F02EA98">
      <w:pPr>
        <w:spacing w:line="360" w:lineRule="auto"/>
        <w:ind w:firstLine="630" w:firstLineChars="300"/>
        <w:jc w:val="left"/>
        <w:rPr>
          <w:color w:val="auto"/>
          <w:highlight w:val="none"/>
        </w:rPr>
      </w:pPr>
      <w:r>
        <w:rPr>
          <w:color w:val="auto"/>
          <w:highlight w:val="none"/>
        </w:rPr>
        <w:t xml:space="preserve">1.15 </w:t>
      </w:r>
      <w:r>
        <w:rPr>
          <w:rFonts w:hint="eastAsia" w:cs="宋体"/>
          <w:color w:val="auto"/>
          <w:highlight w:val="none"/>
        </w:rPr>
        <w:t>税前项目清单与计价表（表</w:t>
      </w:r>
      <w:r>
        <w:rPr>
          <w:color w:val="auto"/>
          <w:highlight w:val="none"/>
        </w:rPr>
        <w:t>-14</w:t>
      </w:r>
      <w:r>
        <w:rPr>
          <w:rFonts w:hint="eastAsia" w:cs="宋体"/>
          <w:color w:val="auto"/>
          <w:highlight w:val="none"/>
        </w:rPr>
        <w:t>）</w:t>
      </w:r>
    </w:p>
    <w:p w14:paraId="75C1B246">
      <w:pPr>
        <w:spacing w:line="360" w:lineRule="auto"/>
        <w:ind w:firstLine="630" w:firstLineChars="300"/>
        <w:jc w:val="left"/>
        <w:rPr>
          <w:color w:val="auto"/>
          <w:highlight w:val="none"/>
        </w:rPr>
      </w:pPr>
      <w:r>
        <w:rPr>
          <w:color w:val="auto"/>
          <w:highlight w:val="none"/>
        </w:rPr>
        <w:t xml:space="preserve">1.16 </w:t>
      </w:r>
      <w:r>
        <w:rPr>
          <w:rFonts w:hint="eastAsia" w:cs="宋体"/>
          <w:color w:val="auto"/>
          <w:highlight w:val="none"/>
        </w:rPr>
        <w:t>规费、增值税计价表（表</w:t>
      </w:r>
      <w:r>
        <w:rPr>
          <w:color w:val="auto"/>
          <w:highlight w:val="none"/>
        </w:rPr>
        <w:t>-15</w:t>
      </w:r>
      <w:r>
        <w:rPr>
          <w:rFonts w:hint="eastAsia" w:cs="宋体"/>
          <w:color w:val="auto"/>
          <w:highlight w:val="none"/>
        </w:rPr>
        <w:t>）</w:t>
      </w:r>
    </w:p>
    <w:p w14:paraId="29A0443D">
      <w:pPr>
        <w:spacing w:line="360" w:lineRule="auto"/>
        <w:ind w:firstLine="630" w:firstLineChars="300"/>
        <w:jc w:val="left"/>
        <w:rPr>
          <w:color w:val="auto"/>
          <w:highlight w:val="none"/>
        </w:rPr>
      </w:pPr>
      <w:r>
        <w:rPr>
          <w:color w:val="auto"/>
          <w:highlight w:val="none"/>
        </w:rPr>
        <w:t xml:space="preserve">1.17 </w:t>
      </w:r>
      <w:r>
        <w:rPr>
          <w:rFonts w:hint="eastAsia" w:cs="宋体"/>
          <w:color w:val="auto"/>
          <w:highlight w:val="none"/>
        </w:rPr>
        <w:t>发包人提供主要材料和工程设备一览表（表</w:t>
      </w:r>
      <w:r>
        <w:rPr>
          <w:color w:val="auto"/>
          <w:highlight w:val="none"/>
        </w:rPr>
        <w:t>-21</w:t>
      </w:r>
      <w:r>
        <w:rPr>
          <w:rFonts w:hint="eastAsia" w:cs="宋体"/>
          <w:color w:val="auto"/>
          <w:highlight w:val="none"/>
        </w:rPr>
        <w:t>）</w:t>
      </w:r>
    </w:p>
    <w:p w14:paraId="17CFF926">
      <w:pPr>
        <w:spacing w:line="360" w:lineRule="auto"/>
        <w:ind w:firstLine="630" w:firstLineChars="300"/>
        <w:jc w:val="left"/>
        <w:rPr>
          <w:color w:val="auto"/>
          <w:highlight w:val="none"/>
        </w:rPr>
      </w:pPr>
      <w:r>
        <w:rPr>
          <w:color w:val="auto"/>
          <w:highlight w:val="none"/>
        </w:rPr>
        <w:t xml:space="preserve">1.18 </w:t>
      </w:r>
      <w:r>
        <w:rPr>
          <w:rFonts w:hint="eastAsia" w:cs="宋体"/>
          <w:color w:val="auto"/>
          <w:highlight w:val="none"/>
          <w:lang w:eastAsia="zh-CN"/>
        </w:rPr>
        <w:t>允许调整</w:t>
      </w:r>
      <w:r>
        <w:rPr>
          <w:rFonts w:hint="eastAsia" w:cs="宋体"/>
          <w:color w:val="auto"/>
          <w:highlight w:val="none"/>
        </w:rPr>
        <w:t>主要材料和工程设备一览表（适用于造价信息差额调整法）（表</w:t>
      </w:r>
      <w:r>
        <w:rPr>
          <w:color w:val="auto"/>
          <w:highlight w:val="none"/>
        </w:rPr>
        <w:t>-22</w:t>
      </w:r>
      <w:r>
        <w:rPr>
          <w:rFonts w:hint="eastAsia" w:cs="宋体"/>
          <w:color w:val="auto"/>
          <w:highlight w:val="none"/>
        </w:rPr>
        <w:t>）</w:t>
      </w:r>
    </w:p>
    <w:p w14:paraId="1C30FE95">
      <w:pPr>
        <w:spacing w:line="360" w:lineRule="auto"/>
        <w:ind w:firstLine="630" w:firstLineChars="300"/>
        <w:jc w:val="left"/>
        <w:rPr>
          <w:rFonts w:hint="eastAsia" w:cs="宋体"/>
          <w:color w:val="auto"/>
          <w:highlight w:val="none"/>
        </w:rPr>
      </w:pPr>
      <w:r>
        <w:rPr>
          <w:color w:val="auto"/>
          <w:highlight w:val="none"/>
        </w:rPr>
        <w:t>1.19</w:t>
      </w:r>
      <w:r>
        <w:rPr>
          <w:rFonts w:hint="eastAsia" w:cs="宋体"/>
          <w:color w:val="auto"/>
          <w:highlight w:val="none"/>
          <w:lang w:eastAsia="zh-CN"/>
        </w:rPr>
        <w:t>允许调整</w:t>
      </w:r>
      <w:r>
        <w:rPr>
          <w:rFonts w:hint="eastAsia" w:cs="宋体"/>
          <w:color w:val="auto"/>
          <w:highlight w:val="none"/>
        </w:rPr>
        <w:t>主要材料和工程设备一览表（适用于价格指数差额调整法）（表</w:t>
      </w:r>
      <w:r>
        <w:rPr>
          <w:color w:val="auto"/>
          <w:highlight w:val="none"/>
        </w:rPr>
        <w:t>-23</w:t>
      </w:r>
      <w:r>
        <w:rPr>
          <w:rFonts w:hint="eastAsia" w:cs="宋体"/>
          <w:color w:val="auto"/>
          <w:highlight w:val="none"/>
        </w:rPr>
        <w:t>）</w:t>
      </w:r>
    </w:p>
    <w:p w14:paraId="4F696F2C">
      <w:pPr>
        <w:spacing w:line="360" w:lineRule="auto"/>
        <w:ind w:firstLine="630" w:firstLineChars="300"/>
        <w:jc w:val="left"/>
        <w:rPr>
          <w:rFonts w:hint="eastAsia" w:cs="宋体"/>
          <w:color w:val="auto"/>
          <w:highlight w:val="none"/>
        </w:rPr>
      </w:pPr>
      <w:r>
        <w:rPr>
          <w:rFonts w:hint="eastAsia" w:cs="宋体"/>
          <w:color w:val="auto"/>
          <w:highlight w:val="none"/>
          <w:lang w:val="en-US" w:eastAsia="zh-CN"/>
        </w:rPr>
        <w:t>1.20本工程</w:t>
      </w:r>
      <w:r>
        <w:rPr>
          <w:rFonts w:hint="default" w:cs="宋体"/>
          <w:color w:val="auto"/>
          <w:highlight w:val="none"/>
          <w:lang w:val="en" w:eastAsia="zh-CN"/>
        </w:rPr>
        <w:t>材料和工程设备</w:t>
      </w:r>
      <w:r>
        <w:rPr>
          <w:rFonts w:hint="eastAsia" w:cs="宋体"/>
          <w:color w:val="auto"/>
          <w:highlight w:val="none"/>
          <w:lang w:val="en-US" w:eastAsia="zh-CN"/>
        </w:rPr>
        <w:t>一览表（表-24）</w:t>
      </w:r>
    </w:p>
    <w:p w14:paraId="10A4D5F0">
      <w:pPr>
        <w:spacing w:line="360" w:lineRule="auto"/>
        <w:ind w:firstLine="630" w:firstLineChars="300"/>
        <w:jc w:val="left"/>
        <w:rPr>
          <w:rFonts w:cs="宋体"/>
          <w:color w:val="auto"/>
          <w:highlight w:val="none"/>
        </w:rPr>
      </w:pPr>
      <w:r>
        <w:rPr>
          <w:rFonts w:hint="eastAsia" w:cs="宋体"/>
          <w:color w:val="auto"/>
          <w:highlight w:val="none"/>
        </w:rPr>
        <w:t>注：如本工程在合同中约定采用造价信息价差调整法，1.</w:t>
      </w:r>
      <w:r>
        <w:rPr>
          <w:color w:val="auto"/>
          <w:highlight w:val="none"/>
        </w:rPr>
        <w:t xml:space="preserve">18 </w:t>
      </w:r>
      <w:r>
        <w:rPr>
          <w:rFonts w:hint="default" w:cs="宋体"/>
          <w:color w:val="auto"/>
          <w:highlight w:val="none"/>
          <w:lang w:val="en" w:eastAsia="zh-CN"/>
        </w:rPr>
        <w:t>允许调整</w:t>
      </w:r>
      <w:r>
        <w:rPr>
          <w:rFonts w:hint="eastAsia" w:cs="宋体"/>
          <w:color w:val="auto"/>
          <w:highlight w:val="none"/>
        </w:rPr>
        <w:t>主要材料和工程设备一览表（适用于造价信息差额调整法）（表</w:t>
      </w:r>
      <w:r>
        <w:rPr>
          <w:color w:val="auto"/>
          <w:highlight w:val="none"/>
        </w:rPr>
        <w:t>-22</w:t>
      </w:r>
      <w:r>
        <w:rPr>
          <w:rFonts w:hint="eastAsia" w:cs="宋体"/>
          <w:color w:val="auto"/>
          <w:highlight w:val="none"/>
        </w:rPr>
        <w:t>）载明的主要材料和</w:t>
      </w:r>
      <w:r>
        <w:rPr>
          <w:rFonts w:hint="eastAsia" w:cs="宋体"/>
          <w:color w:val="auto"/>
          <w:highlight w:val="none"/>
          <w:lang w:eastAsia="zh-CN"/>
        </w:rPr>
        <w:t>工程</w:t>
      </w:r>
      <w:r>
        <w:rPr>
          <w:rFonts w:hint="eastAsia" w:cs="宋体"/>
          <w:color w:val="auto"/>
          <w:highlight w:val="none"/>
        </w:rPr>
        <w:t>设备为本工程允许调整材料和</w:t>
      </w:r>
      <w:r>
        <w:rPr>
          <w:rFonts w:hint="eastAsia" w:cs="宋体"/>
          <w:color w:val="auto"/>
          <w:highlight w:val="none"/>
          <w:lang w:eastAsia="zh-CN"/>
        </w:rPr>
        <w:t>工程</w:t>
      </w:r>
      <w:r>
        <w:rPr>
          <w:rFonts w:hint="eastAsia" w:cs="宋体"/>
          <w:color w:val="auto"/>
          <w:highlight w:val="none"/>
        </w:rPr>
        <w:t>设备，招标工程量清单必须提供该表格，并应载明允许调整材料和</w:t>
      </w:r>
      <w:r>
        <w:rPr>
          <w:rFonts w:hint="eastAsia" w:cs="宋体"/>
          <w:color w:val="auto"/>
          <w:highlight w:val="none"/>
          <w:lang w:eastAsia="zh-CN"/>
        </w:rPr>
        <w:t>工程</w:t>
      </w:r>
      <w:r>
        <w:rPr>
          <w:rFonts w:hint="eastAsia" w:cs="宋体"/>
          <w:color w:val="auto"/>
          <w:highlight w:val="none"/>
        </w:rPr>
        <w:t>设备名称型号规格、单位、风险系数、基准单价等内容，且不能提供空白表。</w:t>
      </w:r>
    </w:p>
    <w:p w14:paraId="3D70A901">
      <w:pPr>
        <w:spacing w:line="360" w:lineRule="auto"/>
        <w:ind w:firstLine="630" w:firstLineChars="300"/>
        <w:jc w:val="left"/>
        <w:rPr>
          <w:color w:val="auto"/>
          <w:highlight w:val="none"/>
        </w:rPr>
      </w:pPr>
      <w:r>
        <w:rPr>
          <w:rFonts w:hint="eastAsia" w:cs="宋体"/>
          <w:color w:val="auto"/>
          <w:highlight w:val="none"/>
        </w:rPr>
        <w:t>以下表格视工程实际需要选用，如该工程不发生如下表格相关项目和费用，所编制招标工程量清单则不需列入相应表格：</w:t>
      </w:r>
    </w:p>
    <w:p w14:paraId="50B7B5E5">
      <w:pPr>
        <w:spacing w:line="360" w:lineRule="auto"/>
        <w:ind w:firstLine="630" w:firstLineChars="300"/>
        <w:jc w:val="left"/>
        <w:rPr>
          <w:color w:val="auto"/>
          <w:highlight w:val="none"/>
        </w:rPr>
      </w:pPr>
      <w:r>
        <w:rPr>
          <w:rFonts w:hint="eastAsia" w:ascii="宋体" w:hAnsi="宋体" w:cs="宋体"/>
          <w:color w:val="auto"/>
          <w:highlight w:val="none"/>
        </w:rPr>
        <w:t>①</w:t>
      </w:r>
      <w:r>
        <w:rPr>
          <w:rFonts w:hint="eastAsia" w:cs="宋体"/>
          <w:color w:val="auto"/>
          <w:highlight w:val="none"/>
        </w:rPr>
        <w:t>建设项目投标报价汇总表（表</w:t>
      </w:r>
      <w:r>
        <w:rPr>
          <w:color w:val="auto"/>
          <w:highlight w:val="none"/>
        </w:rPr>
        <w:t>-02</w:t>
      </w:r>
      <w:r>
        <w:rPr>
          <w:rFonts w:hint="eastAsia" w:cs="宋体"/>
          <w:color w:val="auto"/>
          <w:highlight w:val="none"/>
        </w:rPr>
        <w:t>）</w:t>
      </w:r>
    </w:p>
    <w:p w14:paraId="76EE548A">
      <w:pPr>
        <w:spacing w:line="360" w:lineRule="auto"/>
        <w:ind w:firstLine="630" w:firstLineChars="300"/>
        <w:jc w:val="left"/>
        <w:rPr>
          <w:color w:val="auto"/>
          <w:highlight w:val="none"/>
        </w:rPr>
      </w:pPr>
      <w:r>
        <w:rPr>
          <w:rFonts w:hint="eastAsia" w:cs="宋体"/>
          <w:color w:val="auto"/>
          <w:highlight w:val="none"/>
        </w:rPr>
        <w:t>②暂列金额明细表（表</w:t>
      </w:r>
      <w:r>
        <w:rPr>
          <w:color w:val="auto"/>
          <w:highlight w:val="none"/>
        </w:rPr>
        <w:t>12-1</w:t>
      </w:r>
      <w:r>
        <w:rPr>
          <w:rFonts w:hint="eastAsia" w:cs="宋体"/>
          <w:color w:val="auto"/>
          <w:highlight w:val="none"/>
        </w:rPr>
        <w:t>）</w:t>
      </w:r>
    </w:p>
    <w:p w14:paraId="7AE0FC5F">
      <w:pPr>
        <w:spacing w:line="360" w:lineRule="auto"/>
        <w:ind w:firstLine="630" w:firstLineChars="300"/>
        <w:jc w:val="left"/>
        <w:rPr>
          <w:color w:val="auto"/>
          <w:highlight w:val="none"/>
        </w:rPr>
      </w:pPr>
      <w:r>
        <w:rPr>
          <w:rFonts w:hint="eastAsia" w:cs="宋体"/>
          <w:color w:val="auto"/>
          <w:highlight w:val="none"/>
        </w:rPr>
        <w:t>③材料（工程设备）暂估单价及调整表（表</w:t>
      </w:r>
      <w:r>
        <w:rPr>
          <w:color w:val="auto"/>
          <w:highlight w:val="none"/>
        </w:rPr>
        <w:t>12-2</w:t>
      </w:r>
      <w:r>
        <w:rPr>
          <w:rFonts w:hint="eastAsia" w:cs="宋体"/>
          <w:color w:val="auto"/>
          <w:highlight w:val="none"/>
        </w:rPr>
        <w:t>）</w:t>
      </w:r>
    </w:p>
    <w:p w14:paraId="1C8A50F2">
      <w:pPr>
        <w:spacing w:line="360" w:lineRule="auto"/>
        <w:ind w:firstLine="630" w:firstLineChars="300"/>
        <w:jc w:val="left"/>
        <w:rPr>
          <w:color w:val="auto"/>
          <w:highlight w:val="none"/>
        </w:rPr>
      </w:pPr>
      <w:r>
        <w:rPr>
          <w:rFonts w:hint="eastAsia" w:cs="宋体"/>
          <w:color w:val="auto"/>
          <w:highlight w:val="none"/>
        </w:rPr>
        <w:t>④专业工程暂估价表（表</w:t>
      </w:r>
      <w:r>
        <w:rPr>
          <w:color w:val="auto"/>
          <w:highlight w:val="none"/>
        </w:rPr>
        <w:t>12-3</w:t>
      </w:r>
      <w:r>
        <w:rPr>
          <w:rFonts w:hint="eastAsia" w:cs="宋体"/>
          <w:color w:val="auto"/>
          <w:highlight w:val="none"/>
        </w:rPr>
        <w:t>）</w:t>
      </w:r>
    </w:p>
    <w:p w14:paraId="6ED87D01">
      <w:pPr>
        <w:spacing w:line="360" w:lineRule="auto"/>
        <w:ind w:firstLine="630" w:firstLineChars="300"/>
        <w:jc w:val="left"/>
        <w:rPr>
          <w:color w:val="auto"/>
          <w:highlight w:val="none"/>
        </w:rPr>
      </w:pPr>
      <w:r>
        <w:rPr>
          <w:rFonts w:hint="eastAsia" w:cs="宋体"/>
          <w:color w:val="auto"/>
          <w:highlight w:val="none"/>
        </w:rPr>
        <w:t>⑤计日工表（表</w:t>
      </w:r>
      <w:r>
        <w:rPr>
          <w:color w:val="auto"/>
          <w:highlight w:val="none"/>
        </w:rPr>
        <w:t>12-4</w:t>
      </w:r>
      <w:r>
        <w:rPr>
          <w:rFonts w:hint="eastAsia" w:cs="宋体"/>
          <w:color w:val="auto"/>
          <w:highlight w:val="none"/>
        </w:rPr>
        <w:t>）</w:t>
      </w:r>
    </w:p>
    <w:p w14:paraId="795C1EC1">
      <w:pPr>
        <w:spacing w:line="360" w:lineRule="auto"/>
        <w:ind w:firstLine="630" w:firstLineChars="300"/>
        <w:jc w:val="left"/>
        <w:rPr>
          <w:color w:val="auto"/>
          <w:highlight w:val="none"/>
        </w:rPr>
      </w:pPr>
      <w:r>
        <w:rPr>
          <w:rFonts w:hint="eastAsia" w:cs="宋体"/>
          <w:color w:val="auto"/>
          <w:highlight w:val="none"/>
        </w:rPr>
        <w:t>⑥总承包服务费计价表（表</w:t>
      </w:r>
      <w:r>
        <w:rPr>
          <w:color w:val="auto"/>
          <w:highlight w:val="none"/>
        </w:rPr>
        <w:t>12-5</w:t>
      </w:r>
      <w:r>
        <w:rPr>
          <w:rFonts w:hint="eastAsia" w:cs="宋体"/>
          <w:color w:val="auto"/>
          <w:highlight w:val="none"/>
        </w:rPr>
        <w:t>）</w:t>
      </w:r>
    </w:p>
    <w:p w14:paraId="36C886AB">
      <w:pPr>
        <w:spacing w:line="360" w:lineRule="auto"/>
        <w:ind w:firstLine="630" w:firstLineChars="300"/>
        <w:jc w:val="left"/>
        <w:rPr>
          <w:rFonts w:cs="宋体"/>
          <w:color w:val="auto"/>
          <w:highlight w:val="none"/>
        </w:rPr>
      </w:pPr>
      <w:r>
        <w:rPr>
          <w:rFonts w:hint="eastAsia" w:cs="宋体"/>
          <w:color w:val="auto"/>
          <w:highlight w:val="none"/>
        </w:rPr>
        <w:t>⑦税前项目清单与计价表（表</w:t>
      </w:r>
      <w:r>
        <w:rPr>
          <w:color w:val="auto"/>
          <w:highlight w:val="none"/>
        </w:rPr>
        <w:t>-14</w:t>
      </w:r>
      <w:r>
        <w:rPr>
          <w:rFonts w:hint="eastAsia" w:cs="宋体"/>
          <w:color w:val="auto"/>
          <w:highlight w:val="none"/>
        </w:rPr>
        <w:t>）</w:t>
      </w:r>
    </w:p>
    <w:p w14:paraId="7F6BC5E4">
      <w:pPr>
        <w:spacing w:line="360" w:lineRule="auto"/>
        <w:ind w:firstLine="630" w:firstLineChars="300"/>
        <w:rPr>
          <w:rFonts w:hint="eastAsia"/>
          <w:color w:val="auto"/>
          <w:highlight w:val="none"/>
        </w:rPr>
      </w:pPr>
      <w:r>
        <w:rPr>
          <w:color w:val="auto"/>
          <w:highlight w:val="none"/>
        </w:rPr>
        <w:fldChar w:fldCharType="begin"/>
      </w:r>
      <w:r>
        <w:rPr>
          <w:color w:val="auto"/>
          <w:highlight w:val="none"/>
        </w:rPr>
        <w:instrText xml:space="preserve"> </w:instrText>
      </w:r>
      <w:r>
        <w:rPr>
          <w:rFonts w:hint="eastAsia"/>
          <w:color w:val="auto"/>
          <w:highlight w:val="none"/>
        </w:rPr>
        <w:instrText xml:space="preserve">= 8 \* GB3</w:instrText>
      </w:r>
      <w:r>
        <w:rPr>
          <w:color w:val="auto"/>
          <w:highlight w:val="none"/>
        </w:rPr>
        <w:instrText xml:space="preserve"> </w:instrText>
      </w:r>
      <w:r>
        <w:rPr>
          <w:color w:val="auto"/>
          <w:highlight w:val="none"/>
        </w:rPr>
        <w:fldChar w:fldCharType="separate"/>
      </w:r>
      <w:r>
        <w:rPr>
          <w:rFonts w:hint="eastAsia"/>
          <w:color w:val="auto"/>
          <w:highlight w:val="none"/>
        </w:rPr>
        <w:t>⑧</w:t>
      </w:r>
      <w:r>
        <w:rPr>
          <w:color w:val="auto"/>
          <w:highlight w:val="none"/>
        </w:rPr>
        <w:fldChar w:fldCharType="end"/>
      </w:r>
      <w:r>
        <w:rPr>
          <w:color w:val="auto"/>
          <w:highlight w:val="none"/>
        </w:rPr>
        <w:t xml:space="preserve"> </w:t>
      </w:r>
      <w:r>
        <w:rPr>
          <w:rFonts w:hint="eastAsia" w:cs="宋体"/>
          <w:color w:val="auto"/>
          <w:highlight w:val="none"/>
          <w:lang w:eastAsia="zh-CN"/>
        </w:rPr>
        <w:t>允许调整</w:t>
      </w:r>
      <w:r>
        <w:rPr>
          <w:rFonts w:hint="eastAsia" w:cs="宋体"/>
          <w:color w:val="auto"/>
          <w:highlight w:val="none"/>
        </w:rPr>
        <w:t>主要材料和工程设备一览表（适用于价格指数差额调整法）（表</w:t>
      </w:r>
      <w:r>
        <w:rPr>
          <w:color w:val="auto"/>
          <w:highlight w:val="none"/>
        </w:rPr>
        <w:t>-23</w:t>
      </w:r>
      <w:r>
        <w:rPr>
          <w:rFonts w:hint="eastAsia" w:cs="宋体"/>
          <w:color w:val="auto"/>
          <w:highlight w:val="none"/>
        </w:rPr>
        <w:t>）</w:t>
      </w:r>
    </w:p>
    <w:p w14:paraId="21E8F39E">
      <w:pPr>
        <w:pStyle w:val="3"/>
        <w:rPr>
          <w:color w:val="auto"/>
          <w:highlight w:val="none"/>
        </w:rPr>
      </w:pPr>
      <w:bookmarkStart w:id="1432" w:name="_Toc990933621"/>
      <w:bookmarkStart w:id="1433" w:name="_Toc407135285"/>
      <w:bookmarkStart w:id="1434" w:name="_Toc347872619"/>
      <w:bookmarkStart w:id="1435" w:name="_Toc78449870"/>
      <w:r>
        <w:rPr>
          <w:color w:val="auto"/>
          <w:highlight w:val="none"/>
        </w:rPr>
        <w:t xml:space="preserve">2 </w:t>
      </w:r>
      <w:r>
        <w:rPr>
          <w:rFonts w:hint="eastAsia" w:cs="黑体"/>
          <w:color w:val="auto"/>
          <w:highlight w:val="none"/>
        </w:rPr>
        <w:t>招标控制价编制说明</w:t>
      </w:r>
      <w:bookmarkEnd w:id="1432"/>
      <w:bookmarkEnd w:id="1433"/>
      <w:bookmarkEnd w:id="1434"/>
      <w:bookmarkEnd w:id="1435"/>
    </w:p>
    <w:p w14:paraId="5391359E">
      <w:pPr>
        <w:spacing w:line="360" w:lineRule="auto"/>
        <w:ind w:firstLine="420" w:firstLineChars="200"/>
        <w:rPr>
          <w:color w:val="auto"/>
          <w:highlight w:val="none"/>
        </w:rPr>
      </w:pPr>
      <w:r>
        <w:rPr>
          <w:color w:val="auto"/>
          <w:highlight w:val="none"/>
        </w:rPr>
        <w:t xml:space="preserve">2.1 </w:t>
      </w:r>
      <w:r>
        <w:rPr>
          <w:rFonts w:hint="eastAsia" w:hAnsi="宋体" w:cs="宋体"/>
          <w:color w:val="auto"/>
          <w:highlight w:val="none"/>
        </w:rPr>
        <w:t>招标控制价编制依据：</w:t>
      </w:r>
    </w:p>
    <w:p w14:paraId="2EF01F2B">
      <w:pPr>
        <w:spacing w:line="360" w:lineRule="auto"/>
        <w:ind w:firstLine="420" w:firstLineChars="200"/>
        <w:rPr>
          <w:rFonts w:hAnsi="宋体"/>
          <w:color w:val="auto"/>
          <w:highlight w:val="none"/>
        </w:rPr>
      </w:pPr>
      <w:r>
        <w:rPr>
          <w:rFonts w:hint="eastAsia" w:cs="宋体"/>
          <w:color w:val="auto"/>
          <w:highlight w:val="none"/>
        </w:rPr>
        <w:t>（</w:t>
      </w:r>
      <w:r>
        <w:rPr>
          <w:color w:val="auto"/>
          <w:highlight w:val="none"/>
        </w:rPr>
        <w:t>1</w:t>
      </w:r>
      <w:r>
        <w:rPr>
          <w:rFonts w:hint="eastAsia" w:cs="宋体"/>
          <w:color w:val="auto"/>
          <w:highlight w:val="none"/>
        </w:rPr>
        <w:t>）</w:t>
      </w:r>
      <w:r>
        <w:rPr>
          <w:rFonts w:hint="eastAsia" w:hAnsi="宋体" w:cs="宋体"/>
          <w:color w:val="auto"/>
          <w:highlight w:val="none"/>
        </w:rPr>
        <w:t>《计价规范》及《计算规范》、</w:t>
      </w:r>
      <w:r>
        <w:rPr>
          <w:rFonts w:hint="eastAsia" w:hAnsi="宋体" w:cs="宋体"/>
          <w:color w:val="auto"/>
          <w:kern w:val="0"/>
          <w:highlight w:val="none"/>
        </w:rPr>
        <w:t>《关于建筑业实施营业税改征增值税后广西壮族自治区建设工程计价依据调整的通知》（桂建标〔</w:t>
      </w:r>
      <w:r>
        <w:rPr>
          <w:rFonts w:hAnsi="宋体"/>
          <w:color w:val="auto"/>
          <w:kern w:val="0"/>
          <w:highlight w:val="none"/>
        </w:rPr>
        <w:t>2016</w:t>
      </w:r>
      <w:r>
        <w:rPr>
          <w:rFonts w:hint="eastAsia" w:hAnsi="宋体" w:cs="宋体"/>
          <w:color w:val="auto"/>
          <w:kern w:val="0"/>
          <w:highlight w:val="none"/>
        </w:rPr>
        <w:t>〕</w:t>
      </w:r>
      <w:r>
        <w:rPr>
          <w:rFonts w:hAnsi="宋体"/>
          <w:color w:val="auto"/>
          <w:kern w:val="0"/>
          <w:highlight w:val="none"/>
        </w:rPr>
        <w:t>17</w:t>
      </w:r>
      <w:r>
        <w:rPr>
          <w:rFonts w:hint="eastAsia" w:hAnsi="宋体" w:cs="宋体"/>
          <w:color w:val="auto"/>
          <w:kern w:val="0"/>
          <w:highlight w:val="none"/>
        </w:rPr>
        <w:t>号）等</w:t>
      </w:r>
      <w:r>
        <w:rPr>
          <w:rFonts w:hint="eastAsia" w:hAnsi="宋体" w:cs="宋体"/>
          <w:color w:val="auto"/>
          <w:highlight w:val="none"/>
        </w:rPr>
        <w:t>；</w:t>
      </w:r>
    </w:p>
    <w:p w14:paraId="06251251">
      <w:pPr>
        <w:spacing w:line="360" w:lineRule="auto"/>
        <w:ind w:firstLine="420" w:firstLineChars="200"/>
        <w:rPr>
          <w:color w:val="auto"/>
          <w:highlight w:val="none"/>
        </w:rPr>
      </w:pPr>
      <w:r>
        <w:rPr>
          <w:rFonts w:hint="eastAsia" w:cs="宋体"/>
          <w:color w:val="auto"/>
          <w:highlight w:val="none"/>
        </w:rPr>
        <w:t>（</w:t>
      </w:r>
      <w:r>
        <w:rPr>
          <w:color w:val="auto"/>
          <w:highlight w:val="none"/>
        </w:rPr>
        <w:t>2</w:t>
      </w:r>
      <w:r>
        <w:rPr>
          <w:rFonts w:hint="eastAsia" w:cs="宋体"/>
          <w:color w:val="auto"/>
          <w:highlight w:val="none"/>
        </w:rPr>
        <w:t>）自治区住房城乡建设行政主管部门颁发的计价定额及有关规定：</w:t>
      </w:r>
      <w:r>
        <w:rPr>
          <w:rFonts w:hint="eastAsia" w:cs="宋体"/>
          <w:color w:val="auto"/>
          <w:highlight w:val="none"/>
          <w:u w:val="single"/>
          <w:lang w:val="en-US" w:eastAsia="zh-CN"/>
        </w:rPr>
        <w:t xml:space="preserve"> </w:t>
      </w:r>
      <w:r>
        <w:rPr>
          <w:rFonts w:hint="eastAsia"/>
          <w:color w:val="auto"/>
          <w:highlight w:val="none"/>
          <w:u w:val="single"/>
        </w:rPr>
        <w:t>详见</w:t>
      </w:r>
      <w:r>
        <w:rPr>
          <w:rFonts w:hint="eastAsia"/>
          <w:color w:val="auto"/>
          <w:highlight w:val="none"/>
          <w:u w:val="single"/>
          <w:lang w:val="en-US" w:eastAsia="zh-CN"/>
        </w:rPr>
        <w:t>招标控制价</w:t>
      </w:r>
      <w:r>
        <w:rPr>
          <w:color w:val="auto"/>
          <w:highlight w:val="none"/>
          <w:u w:val="single"/>
        </w:rPr>
        <w:t xml:space="preserve"> </w:t>
      </w:r>
      <w:r>
        <w:rPr>
          <w:rFonts w:hint="eastAsia" w:cs="宋体"/>
          <w:color w:val="auto"/>
          <w:highlight w:val="none"/>
        </w:rPr>
        <w:t>。</w:t>
      </w:r>
    </w:p>
    <w:p w14:paraId="0A26672F">
      <w:pPr>
        <w:spacing w:line="360" w:lineRule="auto"/>
        <w:ind w:firstLine="420" w:firstLineChars="200"/>
        <w:rPr>
          <w:color w:val="auto"/>
          <w:highlight w:val="none"/>
        </w:rPr>
      </w:pPr>
      <w:r>
        <w:rPr>
          <w:rFonts w:hint="eastAsia" w:cs="宋体"/>
          <w:color w:val="auto"/>
          <w:highlight w:val="none"/>
        </w:rPr>
        <w:t>（</w:t>
      </w:r>
      <w:r>
        <w:rPr>
          <w:color w:val="auto"/>
          <w:highlight w:val="none"/>
        </w:rPr>
        <w:t>3</w:t>
      </w:r>
      <w:r>
        <w:rPr>
          <w:rFonts w:hint="eastAsia" w:cs="宋体"/>
          <w:color w:val="auto"/>
          <w:highlight w:val="none"/>
        </w:rPr>
        <w:t>）建设工程设计文件及相关资料：</w:t>
      </w:r>
      <w:r>
        <w:rPr>
          <w:rFonts w:hint="eastAsia" w:cs="宋体"/>
          <w:color w:val="auto"/>
          <w:highlight w:val="none"/>
          <w:u w:val="single"/>
          <w:lang w:val="en-US" w:eastAsia="zh-CN"/>
        </w:rPr>
        <w:t xml:space="preserve"> </w:t>
      </w:r>
      <w:r>
        <w:rPr>
          <w:rFonts w:hint="eastAsia"/>
          <w:color w:val="auto"/>
          <w:highlight w:val="none"/>
          <w:u w:val="single"/>
        </w:rPr>
        <w:t>详见</w:t>
      </w:r>
      <w:r>
        <w:rPr>
          <w:rFonts w:hint="eastAsia"/>
          <w:color w:val="auto"/>
          <w:highlight w:val="none"/>
          <w:u w:val="single"/>
          <w:lang w:val="en-US" w:eastAsia="zh-CN"/>
        </w:rPr>
        <w:t>招标控制价</w:t>
      </w:r>
      <w:r>
        <w:rPr>
          <w:color w:val="auto"/>
          <w:highlight w:val="none"/>
          <w:u w:val="single"/>
        </w:rPr>
        <w:t xml:space="preserve"> </w:t>
      </w:r>
      <w:r>
        <w:rPr>
          <w:rFonts w:hint="eastAsia" w:cs="宋体"/>
          <w:color w:val="auto"/>
          <w:highlight w:val="none"/>
        </w:rPr>
        <w:t>。</w:t>
      </w:r>
      <w:r>
        <w:rPr>
          <w:color w:val="auto"/>
          <w:highlight w:val="none"/>
        </w:rPr>
        <w:t xml:space="preserve"> </w:t>
      </w:r>
    </w:p>
    <w:p w14:paraId="45DBECD0">
      <w:pPr>
        <w:spacing w:line="360" w:lineRule="auto"/>
        <w:ind w:firstLine="420" w:firstLineChars="200"/>
        <w:rPr>
          <w:color w:val="auto"/>
          <w:highlight w:val="none"/>
        </w:rPr>
      </w:pPr>
      <w:r>
        <w:rPr>
          <w:rFonts w:hint="eastAsia" w:cs="宋体"/>
          <w:color w:val="auto"/>
          <w:highlight w:val="none"/>
        </w:rPr>
        <w:t>（</w:t>
      </w:r>
      <w:r>
        <w:rPr>
          <w:color w:val="auto"/>
          <w:highlight w:val="none"/>
        </w:rPr>
        <w:t>4</w:t>
      </w:r>
      <w:r>
        <w:rPr>
          <w:rFonts w:hint="eastAsia" w:cs="宋体"/>
          <w:color w:val="auto"/>
          <w:highlight w:val="none"/>
        </w:rPr>
        <w:t>）本工程招标文件及工程量清单；</w:t>
      </w:r>
    </w:p>
    <w:p w14:paraId="4BB24111">
      <w:pPr>
        <w:spacing w:line="360" w:lineRule="auto"/>
        <w:ind w:firstLine="420" w:firstLineChars="200"/>
        <w:rPr>
          <w:color w:val="auto"/>
          <w:highlight w:val="none"/>
        </w:rPr>
      </w:pPr>
      <w:r>
        <w:rPr>
          <w:rFonts w:hint="eastAsia" w:cs="宋体"/>
          <w:color w:val="auto"/>
          <w:highlight w:val="none"/>
        </w:rPr>
        <w:t>（</w:t>
      </w:r>
      <w:r>
        <w:rPr>
          <w:color w:val="auto"/>
          <w:highlight w:val="none"/>
        </w:rPr>
        <w:t>5</w:t>
      </w:r>
      <w:r>
        <w:rPr>
          <w:rFonts w:hint="eastAsia" w:cs="宋体"/>
          <w:color w:val="auto"/>
          <w:highlight w:val="none"/>
        </w:rPr>
        <w:t>）与建设项目相关的标准、规范、技术资料；</w:t>
      </w:r>
    </w:p>
    <w:p w14:paraId="37314468">
      <w:pPr>
        <w:spacing w:line="360" w:lineRule="auto"/>
        <w:ind w:firstLine="420" w:firstLineChars="200"/>
        <w:rPr>
          <w:color w:val="auto"/>
          <w:highlight w:val="none"/>
        </w:rPr>
      </w:pPr>
      <w:r>
        <w:rPr>
          <w:rFonts w:hint="eastAsia" w:cs="宋体"/>
          <w:color w:val="auto"/>
          <w:highlight w:val="none"/>
        </w:rPr>
        <w:t>（</w:t>
      </w:r>
      <w:r>
        <w:rPr>
          <w:color w:val="auto"/>
          <w:highlight w:val="none"/>
        </w:rPr>
        <w:t>6</w:t>
      </w:r>
      <w:r>
        <w:rPr>
          <w:rFonts w:hint="eastAsia" w:cs="宋体"/>
          <w:color w:val="auto"/>
          <w:highlight w:val="none"/>
        </w:rPr>
        <w:t>）施工现场情况、工程特点及常规施工方案；</w:t>
      </w:r>
    </w:p>
    <w:p w14:paraId="4BDBB5BB">
      <w:pPr>
        <w:spacing w:line="360" w:lineRule="auto"/>
        <w:ind w:firstLine="420" w:firstLineChars="200"/>
        <w:rPr>
          <w:rFonts w:hAnsi="宋体"/>
          <w:color w:val="auto"/>
          <w:highlight w:val="none"/>
        </w:rPr>
      </w:pPr>
      <w:r>
        <w:rPr>
          <w:rFonts w:hint="eastAsia" w:cs="宋体"/>
          <w:color w:val="auto"/>
          <w:highlight w:val="none"/>
        </w:rPr>
        <w:t>（</w:t>
      </w:r>
      <w:r>
        <w:rPr>
          <w:color w:val="auto"/>
          <w:highlight w:val="none"/>
        </w:rPr>
        <w:t>7</w:t>
      </w:r>
      <w:r>
        <w:rPr>
          <w:rFonts w:hint="eastAsia" w:cs="宋体"/>
          <w:color w:val="auto"/>
          <w:highlight w:val="none"/>
        </w:rPr>
        <w:t>）材料价格信息</w:t>
      </w:r>
      <w:r>
        <w:rPr>
          <w:rFonts w:hint="eastAsia" w:hAnsi="宋体" w:cs="宋体"/>
          <w:color w:val="auto"/>
          <w:highlight w:val="none"/>
        </w:rPr>
        <w:t>：材料价格主要按照</w:t>
      </w:r>
      <w:r>
        <w:rPr>
          <w:color w:val="auto"/>
          <w:highlight w:val="none"/>
          <w:u w:val="single"/>
        </w:rPr>
        <w:t xml:space="preserve"> </w:t>
      </w:r>
      <w:r>
        <w:rPr>
          <w:rFonts w:hint="eastAsia"/>
          <w:color w:val="auto"/>
          <w:highlight w:val="none"/>
          <w:u w:val="single"/>
          <w:lang w:val="en-US" w:eastAsia="zh-CN"/>
        </w:rPr>
        <w:t>南宁</w:t>
      </w:r>
      <w:r>
        <w:rPr>
          <w:color w:val="auto"/>
          <w:highlight w:val="none"/>
          <w:u w:val="single"/>
        </w:rPr>
        <w:t xml:space="preserve"> </w:t>
      </w:r>
      <w:r>
        <w:rPr>
          <w:rFonts w:hint="eastAsia" w:cs="宋体"/>
          <w:color w:val="auto"/>
          <w:highlight w:val="none"/>
        </w:rPr>
        <w:t>市建设工程造价管理机构发布的工程造价信息</w:t>
      </w:r>
      <w:r>
        <w:rPr>
          <w:color w:val="auto"/>
          <w:highlight w:val="none"/>
          <w:u w:val="single"/>
        </w:rPr>
        <w:t xml:space="preserve"> </w:t>
      </w:r>
      <w:r>
        <w:rPr>
          <w:rFonts w:hint="eastAsia"/>
          <w:color w:val="auto"/>
          <w:highlight w:val="none"/>
          <w:u w:val="single"/>
          <w:lang w:val="en-US" w:eastAsia="zh-CN"/>
        </w:rPr>
        <w:t>2025</w:t>
      </w:r>
      <w:r>
        <w:rPr>
          <w:color w:val="auto"/>
          <w:highlight w:val="none"/>
          <w:u w:val="single"/>
        </w:rPr>
        <w:t xml:space="preserve"> </w:t>
      </w:r>
      <w:r>
        <w:rPr>
          <w:rFonts w:hint="eastAsia" w:cs="宋体"/>
          <w:color w:val="auto"/>
          <w:highlight w:val="none"/>
        </w:rPr>
        <w:t>年第</w:t>
      </w:r>
      <w:r>
        <w:rPr>
          <w:color w:val="auto"/>
          <w:highlight w:val="none"/>
          <w:u w:val="single"/>
        </w:rPr>
        <w:t xml:space="preserve"> </w:t>
      </w:r>
      <w:r>
        <w:rPr>
          <w:rFonts w:hint="eastAsia"/>
          <w:color w:val="auto"/>
          <w:highlight w:val="none"/>
          <w:u w:val="single"/>
          <w:lang w:val="en-US" w:eastAsia="zh-CN"/>
        </w:rPr>
        <w:t>5</w:t>
      </w:r>
      <w:r>
        <w:rPr>
          <w:color w:val="auto"/>
          <w:highlight w:val="none"/>
          <w:u w:val="single"/>
        </w:rPr>
        <w:t xml:space="preserve"> </w:t>
      </w:r>
      <w:r>
        <w:rPr>
          <w:rFonts w:hint="eastAsia" w:cs="宋体"/>
          <w:color w:val="auto"/>
          <w:highlight w:val="none"/>
        </w:rPr>
        <w:t>期</w:t>
      </w:r>
      <w:r>
        <w:rPr>
          <w:rFonts w:hint="eastAsia" w:cs="宋体"/>
          <w:color w:val="auto"/>
          <w:highlight w:val="none"/>
          <w:lang w:eastAsia="zh-CN"/>
        </w:rPr>
        <w:t>（上半月）</w:t>
      </w:r>
      <w:r>
        <w:rPr>
          <w:rFonts w:hint="eastAsia" w:cs="宋体"/>
          <w:color w:val="auto"/>
          <w:highlight w:val="none"/>
        </w:rPr>
        <w:t>，不足部分参考市场定价</w:t>
      </w:r>
      <w:r>
        <w:rPr>
          <w:rFonts w:hint="eastAsia" w:hAnsi="宋体" w:cs="宋体"/>
          <w:color w:val="auto"/>
          <w:highlight w:val="none"/>
        </w:rPr>
        <w:t>。</w:t>
      </w:r>
    </w:p>
    <w:p w14:paraId="3984BAF1">
      <w:pPr>
        <w:spacing w:line="360" w:lineRule="auto"/>
        <w:ind w:firstLine="420" w:firstLineChars="200"/>
        <w:rPr>
          <w:color w:val="auto"/>
          <w:highlight w:val="none"/>
        </w:rPr>
      </w:pPr>
      <w:r>
        <w:rPr>
          <w:color w:val="auto"/>
          <w:highlight w:val="none"/>
        </w:rPr>
        <w:t xml:space="preserve">2.2 </w:t>
      </w:r>
      <w:r>
        <w:rPr>
          <w:rFonts w:hint="eastAsia" w:hAnsi="宋体" w:cs="宋体"/>
          <w:color w:val="auto"/>
          <w:highlight w:val="none"/>
        </w:rPr>
        <w:t>分部分项及单价措施项目综合单价应包括招标文件中招标人要求投标人所承担的风险内容及其范围（幅度）产生的风险费用。</w:t>
      </w:r>
    </w:p>
    <w:p w14:paraId="0FD0673E">
      <w:pPr>
        <w:spacing w:line="360" w:lineRule="auto"/>
        <w:ind w:firstLine="420"/>
        <w:rPr>
          <w:color w:val="auto"/>
          <w:highlight w:val="none"/>
        </w:rPr>
      </w:pPr>
      <w:r>
        <w:rPr>
          <w:color w:val="auto"/>
          <w:highlight w:val="none"/>
        </w:rPr>
        <w:t xml:space="preserve">2.3 </w:t>
      </w:r>
      <w:r>
        <w:rPr>
          <w:rFonts w:hint="eastAsia" w:hAnsi="宋体" w:cs="宋体"/>
          <w:color w:val="auto"/>
          <w:highlight w:val="none"/>
        </w:rPr>
        <w:t>总价措施项目应根据拟定的招标文件和常规施工方案按《计价规范》和《计算规范》规定编制。</w:t>
      </w:r>
    </w:p>
    <w:p w14:paraId="3C04451C">
      <w:pPr>
        <w:spacing w:line="360" w:lineRule="auto"/>
        <w:ind w:firstLine="420" w:firstLineChars="200"/>
        <w:rPr>
          <w:color w:val="auto"/>
          <w:highlight w:val="none"/>
        </w:rPr>
      </w:pPr>
      <w:r>
        <w:rPr>
          <w:color w:val="auto"/>
          <w:highlight w:val="none"/>
        </w:rPr>
        <w:t xml:space="preserve">2.4 </w:t>
      </w:r>
      <w:r>
        <w:rPr>
          <w:rFonts w:hint="eastAsia" w:cs="宋体"/>
          <w:color w:val="auto"/>
          <w:highlight w:val="none"/>
        </w:rPr>
        <w:t>其他项目费应按下列规定报价：</w:t>
      </w:r>
    </w:p>
    <w:p w14:paraId="231C1E22">
      <w:pPr>
        <w:spacing w:line="360" w:lineRule="auto"/>
        <w:ind w:firstLine="420" w:firstLineChars="200"/>
        <w:rPr>
          <w:color w:val="auto"/>
          <w:highlight w:val="none"/>
        </w:rPr>
      </w:pPr>
      <w:r>
        <w:rPr>
          <w:rFonts w:hint="eastAsia" w:cs="宋体"/>
          <w:color w:val="auto"/>
          <w:highlight w:val="none"/>
        </w:rPr>
        <w:t>（</w:t>
      </w:r>
      <w:r>
        <w:rPr>
          <w:color w:val="auto"/>
          <w:highlight w:val="none"/>
        </w:rPr>
        <w:t>1</w:t>
      </w:r>
      <w:r>
        <w:rPr>
          <w:rFonts w:hint="eastAsia" w:cs="宋体"/>
          <w:color w:val="auto"/>
          <w:highlight w:val="none"/>
        </w:rPr>
        <w:t>）暂列金额应按招标工程量清单中列出的金额填写；</w:t>
      </w:r>
    </w:p>
    <w:p w14:paraId="2101B276">
      <w:pPr>
        <w:pStyle w:val="48"/>
        <w:spacing w:line="360" w:lineRule="auto"/>
        <w:ind w:firstLine="420" w:firstLineChars="200"/>
        <w:rPr>
          <w:color w:val="auto"/>
          <w:highlight w:val="none"/>
        </w:rPr>
      </w:pPr>
      <w:r>
        <w:rPr>
          <w:rFonts w:hint="eastAsia" w:cs="宋体"/>
          <w:color w:val="auto"/>
          <w:highlight w:val="none"/>
        </w:rPr>
        <w:t>（</w:t>
      </w:r>
      <w:r>
        <w:rPr>
          <w:color w:val="auto"/>
          <w:highlight w:val="none"/>
        </w:rPr>
        <w:t>2</w:t>
      </w:r>
      <w:r>
        <w:rPr>
          <w:rFonts w:hint="eastAsia" w:cs="宋体"/>
          <w:color w:val="auto"/>
          <w:highlight w:val="none"/>
        </w:rPr>
        <w:t>）材料、工程设备暂估价应按招标工程量清单中列出的单价计入综合单价；</w:t>
      </w:r>
    </w:p>
    <w:p w14:paraId="311646DC">
      <w:pPr>
        <w:spacing w:line="360" w:lineRule="auto"/>
        <w:ind w:firstLine="420" w:firstLineChars="200"/>
        <w:rPr>
          <w:color w:val="auto"/>
          <w:highlight w:val="none"/>
        </w:rPr>
      </w:pPr>
      <w:r>
        <w:rPr>
          <w:rFonts w:hint="eastAsia" w:cs="宋体"/>
          <w:color w:val="auto"/>
          <w:highlight w:val="none"/>
        </w:rPr>
        <w:t>（</w:t>
      </w:r>
      <w:r>
        <w:rPr>
          <w:color w:val="auto"/>
          <w:highlight w:val="none"/>
        </w:rPr>
        <w:t>3</w:t>
      </w:r>
      <w:r>
        <w:rPr>
          <w:rFonts w:hint="eastAsia" w:cs="宋体"/>
          <w:color w:val="auto"/>
          <w:highlight w:val="none"/>
        </w:rPr>
        <w:t>）专业工程暂估价应按招标工程量清单中列出的金额填写；</w:t>
      </w:r>
    </w:p>
    <w:p w14:paraId="73D25E47">
      <w:pPr>
        <w:spacing w:line="360" w:lineRule="auto"/>
        <w:ind w:firstLine="420" w:firstLineChars="200"/>
        <w:rPr>
          <w:color w:val="auto"/>
          <w:highlight w:val="none"/>
        </w:rPr>
      </w:pPr>
      <w:r>
        <w:rPr>
          <w:rFonts w:hint="eastAsia" w:cs="宋体"/>
          <w:color w:val="auto"/>
          <w:highlight w:val="none"/>
        </w:rPr>
        <w:t>（</w:t>
      </w:r>
      <w:r>
        <w:rPr>
          <w:color w:val="auto"/>
          <w:highlight w:val="none"/>
        </w:rPr>
        <w:t>4</w:t>
      </w:r>
      <w:r>
        <w:rPr>
          <w:rFonts w:hint="eastAsia" w:cs="宋体"/>
          <w:color w:val="auto"/>
          <w:highlight w:val="none"/>
        </w:rPr>
        <w:t>）计日工应按招标工程量清单中列出的项目和数量，根据工程特点和有关计价依据确定的综合单价计算；</w:t>
      </w:r>
    </w:p>
    <w:p w14:paraId="4CA5465B">
      <w:pPr>
        <w:spacing w:line="360" w:lineRule="auto"/>
        <w:ind w:firstLine="420" w:firstLineChars="200"/>
        <w:rPr>
          <w:rFonts w:cs="宋体"/>
          <w:color w:val="auto"/>
          <w:highlight w:val="none"/>
        </w:rPr>
      </w:pPr>
      <w:r>
        <w:rPr>
          <w:rFonts w:hint="eastAsia" w:cs="宋体"/>
          <w:color w:val="auto"/>
          <w:highlight w:val="none"/>
        </w:rPr>
        <w:t>（</w:t>
      </w:r>
      <w:r>
        <w:rPr>
          <w:color w:val="auto"/>
          <w:highlight w:val="none"/>
        </w:rPr>
        <w:t>5</w:t>
      </w:r>
      <w:r>
        <w:rPr>
          <w:rFonts w:hint="eastAsia" w:cs="宋体"/>
          <w:color w:val="auto"/>
          <w:highlight w:val="none"/>
        </w:rPr>
        <w:t>）总承包服务费应根据招标工程量清单列出的内容</w:t>
      </w:r>
      <w:r>
        <w:rPr>
          <w:rFonts w:hint="eastAsia" w:hAnsi="宋体" w:cs="宋体"/>
          <w:color w:val="auto"/>
          <w:highlight w:val="none"/>
        </w:rPr>
        <w:t>和要求，按自治区住房城乡建设行政主管部门颁发的计价定额及有关规定计算</w:t>
      </w:r>
      <w:r>
        <w:rPr>
          <w:rFonts w:hint="eastAsia" w:cs="宋体"/>
          <w:color w:val="auto"/>
          <w:highlight w:val="none"/>
        </w:rPr>
        <w:t>。</w:t>
      </w:r>
    </w:p>
    <w:p w14:paraId="65554007">
      <w:pPr>
        <w:spacing w:line="360" w:lineRule="auto"/>
        <w:ind w:firstLine="420" w:firstLineChars="200"/>
        <w:rPr>
          <w:rFonts w:hint="eastAsia"/>
          <w:color w:val="auto"/>
          <w:highlight w:val="none"/>
        </w:rPr>
      </w:pPr>
      <w:r>
        <w:rPr>
          <w:rFonts w:hint="eastAsia"/>
          <w:color w:val="auto"/>
          <w:highlight w:val="none"/>
        </w:rPr>
        <w:t>（6）对建设单位创建优质工程的，鼓励在招标控制价和预算中按我区工程建设定额规定计列工程优质费，并明确工程优质费不可竞争。</w:t>
      </w:r>
    </w:p>
    <w:p w14:paraId="1A1CB00F">
      <w:pPr>
        <w:spacing w:line="360" w:lineRule="auto"/>
        <w:ind w:firstLine="420" w:firstLineChars="200"/>
        <w:rPr>
          <w:color w:val="auto"/>
          <w:highlight w:val="none"/>
        </w:rPr>
      </w:pPr>
      <w:r>
        <w:rPr>
          <w:color w:val="auto"/>
          <w:highlight w:val="none"/>
        </w:rPr>
        <w:t xml:space="preserve">2.5 </w:t>
      </w:r>
      <w:r>
        <w:rPr>
          <w:rFonts w:hint="eastAsia" w:cs="宋体"/>
          <w:color w:val="auto"/>
          <w:highlight w:val="none"/>
        </w:rPr>
        <w:t>规费和增值税应按规定确定，作为不可竞争费用。</w:t>
      </w:r>
    </w:p>
    <w:p w14:paraId="6F5BC877">
      <w:pPr>
        <w:spacing w:line="360" w:lineRule="auto"/>
        <w:ind w:firstLine="420" w:firstLineChars="200"/>
        <w:rPr>
          <w:rFonts w:hAnsi="宋体"/>
          <w:color w:val="auto"/>
          <w:highlight w:val="none"/>
        </w:rPr>
      </w:pPr>
      <w:r>
        <w:rPr>
          <w:color w:val="auto"/>
          <w:highlight w:val="none"/>
        </w:rPr>
        <w:t xml:space="preserve">2.6 </w:t>
      </w:r>
      <w:r>
        <w:rPr>
          <w:rFonts w:hint="eastAsia" w:hAnsi="宋体" w:cs="宋体"/>
          <w:color w:val="auto"/>
          <w:highlight w:val="none"/>
        </w:rPr>
        <w:t>其它需要说明的问题：</w:t>
      </w:r>
      <w:r>
        <w:rPr>
          <w:rFonts w:hint="eastAsia" w:cs="宋体"/>
          <w:color w:val="auto"/>
          <w:highlight w:val="none"/>
          <w:u w:val="single"/>
          <w:lang w:val="en-US" w:eastAsia="zh-CN"/>
        </w:rPr>
        <w:t xml:space="preserve"> </w:t>
      </w:r>
      <w:r>
        <w:rPr>
          <w:rFonts w:hint="eastAsia"/>
          <w:color w:val="auto"/>
          <w:highlight w:val="none"/>
          <w:u w:val="single"/>
        </w:rPr>
        <w:t>详见</w:t>
      </w:r>
      <w:r>
        <w:rPr>
          <w:rFonts w:hint="eastAsia"/>
          <w:color w:val="auto"/>
          <w:highlight w:val="none"/>
          <w:u w:val="single"/>
          <w:lang w:val="en-US" w:eastAsia="zh-CN"/>
        </w:rPr>
        <w:t>招标控制价</w:t>
      </w:r>
      <w:r>
        <w:rPr>
          <w:color w:val="auto"/>
          <w:highlight w:val="none"/>
          <w:u w:val="single"/>
        </w:rPr>
        <w:t xml:space="preserve"> </w:t>
      </w:r>
      <w:r>
        <w:rPr>
          <w:rFonts w:hint="eastAsia" w:hAnsi="宋体" w:cs="宋体"/>
          <w:color w:val="auto"/>
          <w:highlight w:val="none"/>
        </w:rPr>
        <w:t>。</w:t>
      </w:r>
    </w:p>
    <w:p w14:paraId="0BB89F6A">
      <w:pPr>
        <w:pStyle w:val="3"/>
        <w:rPr>
          <w:color w:val="auto"/>
          <w:highlight w:val="none"/>
        </w:rPr>
      </w:pPr>
      <w:bookmarkStart w:id="1436" w:name="_Toc879821176"/>
      <w:bookmarkStart w:id="1437" w:name="_Toc407135286"/>
      <w:bookmarkStart w:id="1438" w:name="_Toc378483916"/>
      <w:bookmarkStart w:id="1439" w:name="_Toc78449871"/>
      <w:r>
        <w:rPr>
          <w:color w:val="auto"/>
          <w:highlight w:val="none"/>
        </w:rPr>
        <w:t xml:space="preserve">3 </w:t>
      </w:r>
      <w:r>
        <w:rPr>
          <w:rFonts w:hint="eastAsia" w:cs="黑体"/>
          <w:color w:val="auto"/>
          <w:highlight w:val="none"/>
        </w:rPr>
        <w:t>投标报价（已标价工程量清单）编制说明</w:t>
      </w:r>
      <w:bookmarkEnd w:id="1436"/>
      <w:bookmarkEnd w:id="1437"/>
      <w:bookmarkEnd w:id="1438"/>
      <w:bookmarkEnd w:id="1439"/>
    </w:p>
    <w:p w14:paraId="2C196074">
      <w:pPr>
        <w:spacing w:line="360" w:lineRule="auto"/>
        <w:ind w:firstLine="420" w:firstLineChars="200"/>
        <w:rPr>
          <w:color w:val="auto"/>
          <w:highlight w:val="none"/>
        </w:rPr>
      </w:pPr>
      <w:r>
        <w:rPr>
          <w:color w:val="auto"/>
          <w:highlight w:val="none"/>
        </w:rPr>
        <w:t xml:space="preserve">3.1 </w:t>
      </w:r>
      <w:r>
        <w:rPr>
          <w:rFonts w:hint="eastAsia" w:cs="宋体"/>
          <w:color w:val="auto"/>
          <w:highlight w:val="none"/>
        </w:rPr>
        <w:t>投标人应依据招标文件、招标工程量清单以及《计价规范》、《计算规范》自主报价，自主报价</w:t>
      </w:r>
      <w:r>
        <w:rPr>
          <w:rFonts w:hint="eastAsia" w:hAnsi="宋体" w:cs="宋体"/>
          <w:color w:val="auto"/>
          <w:highlight w:val="none"/>
        </w:rPr>
        <w:t>不得违反计价规范强制性条文规定。</w:t>
      </w:r>
      <w:r>
        <w:rPr>
          <w:rFonts w:hint="eastAsia" w:cs="宋体"/>
          <w:color w:val="auto"/>
          <w:highlight w:val="none"/>
        </w:rPr>
        <w:t>投标人不得采用总价让利或以百分比让利等形式进行报价，任何优惠（或降价、让利）均应反映在相应清单项目的综合单价中。同时，不得出现任意一项单价重大让利，</w:t>
      </w:r>
      <w:r>
        <w:rPr>
          <w:rFonts w:hint="eastAsia" w:hAnsi="宋体" w:cs="宋体"/>
          <w:color w:val="auto"/>
          <w:highlight w:val="none"/>
        </w:rPr>
        <w:t>不得以自有机械闲置、自有材料等不计成本为由</w:t>
      </w:r>
      <w:r>
        <w:rPr>
          <w:rFonts w:hint="eastAsia" w:cs="宋体"/>
          <w:color w:val="auto"/>
          <w:highlight w:val="none"/>
        </w:rPr>
        <w:t>低于工程成本报价。</w:t>
      </w:r>
    </w:p>
    <w:p w14:paraId="5EE6041F">
      <w:pPr>
        <w:spacing w:line="360" w:lineRule="auto"/>
        <w:ind w:firstLine="420" w:firstLineChars="200"/>
        <w:rPr>
          <w:rFonts w:hAnsi="宋体"/>
          <w:color w:val="auto"/>
          <w:highlight w:val="none"/>
        </w:rPr>
      </w:pPr>
      <w:r>
        <w:rPr>
          <w:color w:val="auto"/>
          <w:highlight w:val="none"/>
        </w:rPr>
        <w:t xml:space="preserve">3.2 </w:t>
      </w:r>
      <w:r>
        <w:rPr>
          <w:rFonts w:hint="eastAsia" w:cs="宋体"/>
          <w:color w:val="auto"/>
          <w:highlight w:val="none"/>
        </w:rPr>
        <w:t>投标人应按招标工程量清单填报价格。项目编码、项目名称、项目特征、计量单位、工程量必须与招标工程量清单一致，</w:t>
      </w:r>
      <w:r>
        <w:rPr>
          <w:rFonts w:hint="eastAsia" w:hAnsi="宋体" w:cs="宋体"/>
          <w:color w:val="auto"/>
          <w:highlight w:val="none"/>
        </w:rPr>
        <w:t>投标人不得对招标工程量清单项目进行增减调整。</w:t>
      </w:r>
    </w:p>
    <w:p w14:paraId="2A5DCF22">
      <w:pPr>
        <w:spacing w:line="360" w:lineRule="auto"/>
        <w:ind w:firstLine="420" w:firstLineChars="200"/>
        <w:rPr>
          <w:color w:val="auto"/>
          <w:highlight w:val="none"/>
        </w:rPr>
      </w:pPr>
      <w:r>
        <w:rPr>
          <w:color w:val="auto"/>
          <w:highlight w:val="none"/>
        </w:rPr>
        <w:t xml:space="preserve">3.3 </w:t>
      </w:r>
      <w:r>
        <w:rPr>
          <w:rFonts w:hint="eastAsia" w:cs="宋体"/>
          <w:color w:val="auto"/>
          <w:highlight w:val="none"/>
        </w:rPr>
        <w:t>综合单价中应包含招标文件中划分的应由投标人承担的风险范围及其费用。</w:t>
      </w:r>
    </w:p>
    <w:p w14:paraId="0B653247">
      <w:pPr>
        <w:spacing w:line="360" w:lineRule="auto"/>
        <w:ind w:firstLine="420" w:firstLineChars="200"/>
        <w:rPr>
          <w:rFonts w:hAnsi="宋体"/>
          <w:color w:val="auto"/>
          <w:highlight w:val="none"/>
        </w:rPr>
      </w:pPr>
      <w:r>
        <w:rPr>
          <w:color w:val="auto"/>
          <w:highlight w:val="none"/>
        </w:rPr>
        <w:t xml:space="preserve">3.4 </w:t>
      </w:r>
      <w:r>
        <w:rPr>
          <w:rFonts w:hint="eastAsia" w:hAnsi="宋体" w:cs="宋体"/>
          <w:color w:val="auto"/>
          <w:highlight w:val="none"/>
        </w:rPr>
        <w:t>分部分项工程项目和单价措施项目，应根据招标文件和招标工程量清单项目中的特征描述确定综合单价计算。如出现招标工程量清单特征描述与设计图纸不符时，投标人应以招标工程量清单的项目特征描述为准，确定投标报价的综合单价。</w:t>
      </w:r>
    </w:p>
    <w:p w14:paraId="6350C796">
      <w:pPr>
        <w:spacing w:line="360" w:lineRule="auto"/>
        <w:ind w:firstLine="420" w:firstLineChars="200"/>
        <w:rPr>
          <w:color w:val="auto"/>
          <w:highlight w:val="none"/>
        </w:rPr>
      </w:pPr>
      <w:r>
        <w:rPr>
          <w:color w:val="auto"/>
          <w:highlight w:val="none"/>
        </w:rPr>
        <w:t xml:space="preserve">3.5 </w:t>
      </w:r>
      <w:r>
        <w:rPr>
          <w:rFonts w:hint="eastAsia" w:hAnsi="宋体" w:cs="宋体"/>
          <w:color w:val="auto"/>
          <w:highlight w:val="none"/>
        </w:rPr>
        <w:t>总价措施项目的金额应根据招标文件及投标时拟定的施工组织设计或施工方案，按计价规范的规定自主确定。但</w:t>
      </w:r>
      <w:r>
        <w:rPr>
          <w:rFonts w:hint="eastAsia" w:cs="宋体"/>
          <w:color w:val="auto"/>
          <w:highlight w:val="none"/>
        </w:rPr>
        <w:t>安全文明施工费按国家、省级或行业建设主管部门的有关规定执行，作为不竞争费用单列。</w:t>
      </w:r>
    </w:p>
    <w:p w14:paraId="13888FE4">
      <w:pPr>
        <w:spacing w:line="360" w:lineRule="auto"/>
        <w:ind w:firstLine="420" w:firstLineChars="200"/>
        <w:rPr>
          <w:color w:val="auto"/>
          <w:highlight w:val="none"/>
        </w:rPr>
      </w:pPr>
      <w:r>
        <w:rPr>
          <w:color w:val="auto"/>
          <w:highlight w:val="none"/>
        </w:rPr>
        <w:t xml:space="preserve">3.6 </w:t>
      </w:r>
      <w:r>
        <w:rPr>
          <w:rFonts w:hint="eastAsia" w:cs="宋体"/>
          <w:color w:val="auto"/>
          <w:highlight w:val="none"/>
        </w:rPr>
        <w:t>其他项目费应按下列规定报价：</w:t>
      </w:r>
    </w:p>
    <w:p w14:paraId="594D9FFA">
      <w:pPr>
        <w:spacing w:line="360" w:lineRule="auto"/>
        <w:ind w:firstLine="420" w:firstLineChars="200"/>
        <w:rPr>
          <w:color w:val="auto"/>
          <w:highlight w:val="none"/>
        </w:rPr>
      </w:pPr>
      <w:r>
        <w:rPr>
          <w:rFonts w:hint="eastAsia" w:cs="宋体"/>
          <w:color w:val="auto"/>
          <w:highlight w:val="none"/>
        </w:rPr>
        <w:t>（</w:t>
      </w:r>
      <w:r>
        <w:rPr>
          <w:color w:val="auto"/>
          <w:highlight w:val="none"/>
        </w:rPr>
        <w:t>1</w:t>
      </w:r>
      <w:r>
        <w:rPr>
          <w:rFonts w:hint="eastAsia" w:cs="宋体"/>
          <w:color w:val="auto"/>
          <w:highlight w:val="none"/>
        </w:rPr>
        <w:t>）暂列金额应按招标工程量清单中列出的金额填写；</w:t>
      </w:r>
    </w:p>
    <w:p w14:paraId="69571415">
      <w:pPr>
        <w:pStyle w:val="48"/>
        <w:spacing w:line="360" w:lineRule="auto"/>
        <w:ind w:firstLine="420" w:firstLineChars="200"/>
        <w:rPr>
          <w:color w:val="auto"/>
          <w:highlight w:val="none"/>
        </w:rPr>
      </w:pPr>
      <w:r>
        <w:rPr>
          <w:rFonts w:hint="eastAsia" w:cs="宋体"/>
          <w:color w:val="auto"/>
          <w:highlight w:val="none"/>
        </w:rPr>
        <w:t>（</w:t>
      </w:r>
      <w:r>
        <w:rPr>
          <w:color w:val="auto"/>
          <w:highlight w:val="none"/>
        </w:rPr>
        <w:t>2</w:t>
      </w:r>
      <w:r>
        <w:rPr>
          <w:rFonts w:hint="eastAsia" w:cs="宋体"/>
          <w:color w:val="auto"/>
          <w:highlight w:val="none"/>
        </w:rPr>
        <w:t>）材料、工程设备暂估价应按招标工程量清单中列出的单价计入综合单价；</w:t>
      </w:r>
    </w:p>
    <w:p w14:paraId="4B5CC685">
      <w:pPr>
        <w:spacing w:line="360" w:lineRule="auto"/>
        <w:ind w:firstLine="420" w:firstLineChars="200"/>
        <w:rPr>
          <w:color w:val="auto"/>
          <w:highlight w:val="none"/>
        </w:rPr>
      </w:pPr>
      <w:r>
        <w:rPr>
          <w:rFonts w:hint="eastAsia" w:cs="宋体"/>
          <w:color w:val="auto"/>
          <w:highlight w:val="none"/>
        </w:rPr>
        <w:t>（</w:t>
      </w:r>
      <w:r>
        <w:rPr>
          <w:color w:val="auto"/>
          <w:highlight w:val="none"/>
        </w:rPr>
        <w:t>3</w:t>
      </w:r>
      <w:r>
        <w:rPr>
          <w:rFonts w:hint="eastAsia" w:cs="宋体"/>
          <w:color w:val="auto"/>
          <w:highlight w:val="none"/>
        </w:rPr>
        <w:t>）专业工程暂估价应按招标工程量清单中列出的金额填写；</w:t>
      </w:r>
    </w:p>
    <w:p w14:paraId="1C267B74">
      <w:pPr>
        <w:spacing w:line="360" w:lineRule="auto"/>
        <w:ind w:firstLine="420" w:firstLineChars="200"/>
        <w:rPr>
          <w:color w:val="auto"/>
          <w:highlight w:val="none"/>
        </w:rPr>
      </w:pPr>
      <w:r>
        <w:rPr>
          <w:rFonts w:hint="eastAsia" w:cs="宋体"/>
          <w:color w:val="auto"/>
          <w:highlight w:val="none"/>
        </w:rPr>
        <w:t>（</w:t>
      </w:r>
      <w:r>
        <w:rPr>
          <w:color w:val="auto"/>
          <w:highlight w:val="none"/>
        </w:rPr>
        <w:t>4</w:t>
      </w:r>
      <w:r>
        <w:rPr>
          <w:rFonts w:hint="eastAsia" w:cs="宋体"/>
          <w:color w:val="auto"/>
          <w:highlight w:val="none"/>
        </w:rPr>
        <w:t>）计日工应按招标工程量清单中列出的项目和估算数量，自主确定综合单价并计算计日工总额；计日工单价均不含规费和税金；</w:t>
      </w:r>
    </w:p>
    <w:p w14:paraId="5593F885">
      <w:pPr>
        <w:spacing w:line="360" w:lineRule="auto"/>
        <w:ind w:firstLine="420" w:firstLineChars="200"/>
        <w:rPr>
          <w:rFonts w:cs="宋体"/>
          <w:color w:val="auto"/>
          <w:highlight w:val="none"/>
        </w:rPr>
      </w:pPr>
      <w:r>
        <w:rPr>
          <w:rFonts w:hint="eastAsia" w:cs="宋体"/>
          <w:color w:val="auto"/>
          <w:highlight w:val="none"/>
        </w:rPr>
        <w:t>（</w:t>
      </w:r>
      <w:r>
        <w:rPr>
          <w:color w:val="auto"/>
          <w:highlight w:val="none"/>
        </w:rPr>
        <w:t>5</w:t>
      </w:r>
      <w:r>
        <w:rPr>
          <w:rFonts w:hint="eastAsia" w:cs="宋体"/>
          <w:color w:val="auto"/>
          <w:highlight w:val="none"/>
        </w:rPr>
        <w:t>）总承包服务费应根据招标工程量清单中列出的内容</w:t>
      </w:r>
      <w:r>
        <w:rPr>
          <w:rFonts w:hint="eastAsia" w:hAnsi="宋体" w:cs="宋体"/>
          <w:color w:val="auto"/>
          <w:highlight w:val="none"/>
        </w:rPr>
        <w:t>和供应材料、设备情况，按照招标人提出的协调、配合与服务要求和施工现场管理需要</w:t>
      </w:r>
      <w:r>
        <w:rPr>
          <w:rFonts w:hint="eastAsia" w:cs="宋体"/>
          <w:color w:val="auto"/>
          <w:highlight w:val="none"/>
        </w:rPr>
        <w:t>自主确定。</w:t>
      </w:r>
    </w:p>
    <w:p w14:paraId="2FC156D1">
      <w:pPr>
        <w:spacing w:line="360" w:lineRule="auto"/>
        <w:ind w:firstLine="420" w:firstLineChars="200"/>
        <w:rPr>
          <w:rFonts w:hint="eastAsia"/>
          <w:color w:val="auto"/>
          <w:highlight w:val="none"/>
        </w:rPr>
      </w:pPr>
      <w:r>
        <w:rPr>
          <w:rFonts w:hint="eastAsia"/>
          <w:color w:val="auto"/>
          <w:highlight w:val="none"/>
        </w:rPr>
        <w:t>（6）对建设单位创建优质工程的，鼓励在招标控制价和预算中按我区工程建设定额规定计列工程优质费，并明确工程优质费不可竞争。</w:t>
      </w:r>
    </w:p>
    <w:p w14:paraId="5493C51D">
      <w:pPr>
        <w:spacing w:line="360" w:lineRule="auto"/>
        <w:ind w:firstLine="420" w:firstLineChars="200"/>
        <w:rPr>
          <w:color w:val="auto"/>
          <w:highlight w:val="none"/>
        </w:rPr>
      </w:pPr>
      <w:r>
        <w:rPr>
          <w:color w:val="auto"/>
          <w:highlight w:val="none"/>
        </w:rPr>
        <w:t xml:space="preserve">3.7 </w:t>
      </w:r>
      <w:r>
        <w:rPr>
          <w:rFonts w:hint="eastAsia" w:cs="宋体"/>
          <w:color w:val="auto"/>
          <w:highlight w:val="none"/>
        </w:rPr>
        <w:t>规费和增值税应按规定确定，作为不可竞争费用。</w:t>
      </w:r>
    </w:p>
    <w:p w14:paraId="32287C0C">
      <w:pPr>
        <w:spacing w:line="360" w:lineRule="auto"/>
        <w:ind w:firstLine="420" w:firstLineChars="200"/>
        <w:rPr>
          <w:color w:val="auto"/>
          <w:highlight w:val="none"/>
        </w:rPr>
      </w:pPr>
      <w:r>
        <w:rPr>
          <w:color w:val="auto"/>
          <w:highlight w:val="none"/>
        </w:rPr>
        <w:t xml:space="preserve">3.8 </w:t>
      </w:r>
      <w:r>
        <w:rPr>
          <w:rFonts w:hint="eastAsia" w:cs="宋体"/>
          <w:color w:val="auto"/>
          <w:highlight w:val="none"/>
        </w:rPr>
        <w:t>招标工程量清单与计价表中列明的所有需要填写的单价和合价的项目，投标人均应填写且只允许有一个报价。未填写单价和合价的项目，视为此项费用已包含在已标价工程量清单中其他项目的单价和合价之中。竣工结算时，此项目不得重新组价予以调整。</w:t>
      </w:r>
    </w:p>
    <w:p w14:paraId="14C1915A">
      <w:pPr>
        <w:spacing w:line="360" w:lineRule="auto"/>
        <w:ind w:firstLine="420" w:firstLineChars="200"/>
        <w:rPr>
          <w:color w:val="auto"/>
          <w:highlight w:val="none"/>
        </w:rPr>
      </w:pPr>
      <w:r>
        <w:rPr>
          <w:color w:val="auto"/>
          <w:highlight w:val="none"/>
        </w:rPr>
        <w:t xml:space="preserve">3.9 </w:t>
      </w:r>
      <w:r>
        <w:rPr>
          <w:rFonts w:hint="eastAsia" w:cs="宋体"/>
          <w:color w:val="auto"/>
          <w:highlight w:val="none"/>
        </w:rPr>
        <w:t>投标总价应当与分部分项工程费、措施项目费、其他项目费和规费、增值税的合计金额一致。</w:t>
      </w:r>
    </w:p>
    <w:p w14:paraId="218CC07F">
      <w:pPr>
        <w:spacing w:line="360" w:lineRule="auto"/>
        <w:ind w:firstLine="420" w:firstLineChars="200"/>
        <w:rPr>
          <w:color w:val="auto"/>
          <w:highlight w:val="none"/>
        </w:rPr>
      </w:pPr>
      <w:r>
        <w:rPr>
          <w:color w:val="auto"/>
          <w:highlight w:val="none"/>
        </w:rPr>
        <w:t>3.1</w:t>
      </w:r>
      <w:r>
        <w:rPr>
          <w:rFonts w:hint="eastAsia"/>
          <w:color w:val="auto"/>
          <w:highlight w:val="none"/>
        </w:rPr>
        <w:t>0</w:t>
      </w:r>
      <w:r>
        <w:rPr>
          <w:color w:val="auto"/>
          <w:highlight w:val="none"/>
        </w:rPr>
        <w:t xml:space="preserve"> </w:t>
      </w:r>
      <w:r>
        <w:rPr>
          <w:rFonts w:hint="eastAsia" w:cs="宋体"/>
          <w:color w:val="auto"/>
          <w:highlight w:val="none"/>
        </w:rPr>
        <w:t>投标人应按《</w:t>
      </w:r>
      <w:r>
        <w:rPr>
          <w:rFonts w:hint="eastAsia" w:cs="宋体"/>
          <w:color w:val="auto"/>
          <w:highlight w:val="none"/>
          <w:lang w:eastAsia="zh-CN"/>
        </w:rPr>
        <w:t>允许调整</w:t>
      </w:r>
      <w:r>
        <w:rPr>
          <w:rFonts w:hint="eastAsia" w:cs="宋体"/>
          <w:color w:val="auto"/>
          <w:highlight w:val="none"/>
        </w:rPr>
        <w:t>主要材料和</w:t>
      </w:r>
      <w:r>
        <w:rPr>
          <w:rFonts w:hint="eastAsia" w:cs="宋体"/>
          <w:color w:val="auto"/>
          <w:highlight w:val="none"/>
          <w:lang w:eastAsia="zh-CN"/>
        </w:rPr>
        <w:t>工程</w:t>
      </w:r>
      <w:r>
        <w:rPr>
          <w:rFonts w:hint="eastAsia" w:cs="宋体"/>
          <w:color w:val="auto"/>
          <w:highlight w:val="none"/>
        </w:rPr>
        <w:t>设备一览表》的内容填报，不得擅自调整材料和设备名称型号规格、单位、风险系数、基准单价。</w:t>
      </w:r>
    </w:p>
    <w:p w14:paraId="5CA38292">
      <w:pPr>
        <w:spacing w:line="360" w:lineRule="auto"/>
        <w:ind w:firstLine="420" w:firstLineChars="200"/>
        <w:rPr>
          <w:rFonts w:hAnsi="宋体"/>
          <w:color w:val="auto"/>
          <w:highlight w:val="none"/>
        </w:rPr>
      </w:pPr>
      <w:r>
        <w:rPr>
          <w:color w:val="auto"/>
          <w:highlight w:val="none"/>
        </w:rPr>
        <w:t>3.1</w:t>
      </w:r>
      <w:r>
        <w:rPr>
          <w:rFonts w:hint="eastAsia"/>
          <w:color w:val="auto"/>
          <w:highlight w:val="none"/>
        </w:rPr>
        <w:t>1</w:t>
      </w:r>
      <w:r>
        <w:rPr>
          <w:rFonts w:hint="eastAsia" w:hAnsi="宋体" w:cs="宋体"/>
          <w:color w:val="auto"/>
          <w:highlight w:val="none"/>
        </w:rPr>
        <w:t>投标报价</w:t>
      </w:r>
      <w:r>
        <w:rPr>
          <w:rFonts w:hint="eastAsia" w:cs="宋体"/>
          <w:color w:val="auto"/>
          <w:highlight w:val="none"/>
        </w:rPr>
        <w:t>表格按本工程工程量清单表格要求填写，并</w:t>
      </w:r>
      <w:r>
        <w:rPr>
          <w:rFonts w:hint="eastAsia" w:hAnsi="宋体" w:cs="宋体"/>
          <w:color w:val="auto"/>
          <w:highlight w:val="none"/>
        </w:rPr>
        <w:t>应按招标文件的要求，附上《工程量清单综合单价分析表》（表</w:t>
      </w:r>
      <w:r>
        <w:rPr>
          <w:color w:val="auto"/>
          <w:highlight w:val="none"/>
        </w:rPr>
        <w:t>-09</w:t>
      </w:r>
      <w:r>
        <w:rPr>
          <w:rFonts w:hint="eastAsia" w:hAnsi="宋体" w:cs="宋体"/>
          <w:color w:val="auto"/>
          <w:highlight w:val="none"/>
        </w:rPr>
        <w:t>）和《主要清单项目工料机分析表》（表</w:t>
      </w:r>
      <w:r>
        <w:rPr>
          <w:color w:val="auto"/>
          <w:highlight w:val="none"/>
        </w:rPr>
        <w:t>-10</w:t>
      </w:r>
      <w:r>
        <w:rPr>
          <w:rFonts w:hint="eastAsia" w:hAnsi="宋体" w:cs="宋体"/>
          <w:color w:val="auto"/>
          <w:highlight w:val="none"/>
        </w:rPr>
        <w:t>）。</w:t>
      </w:r>
    </w:p>
    <w:p w14:paraId="5BB7A25B">
      <w:pPr>
        <w:spacing w:line="360" w:lineRule="auto"/>
        <w:ind w:firstLine="420" w:firstLineChars="200"/>
        <w:rPr>
          <w:color w:val="auto"/>
          <w:highlight w:val="none"/>
          <w:u w:val="single"/>
        </w:rPr>
      </w:pPr>
      <w:r>
        <w:rPr>
          <w:rFonts w:hint="eastAsia" w:cs="宋体"/>
          <w:color w:val="auto"/>
          <w:highlight w:val="none"/>
        </w:rPr>
        <w:t>未尽事宜详见本工程招标工程量清单、招标控制价编制说明以及现行《计价规范》等有关规定执行。</w:t>
      </w:r>
    </w:p>
    <w:p w14:paraId="507D492E">
      <w:pPr>
        <w:spacing w:line="360" w:lineRule="auto"/>
        <w:ind w:firstLine="420" w:firstLineChars="200"/>
        <w:jc w:val="left"/>
        <w:rPr>
          <w:rFonts w:hint="eastAsia" w:ascii="Times New Roman" w:hAnsi="宋体" w:eastAsia="宋体" w:cs="宋体"/>
          <w:color w:val="auto"/>
          <w:kern w:val="0"/>
          <w:highlight w:val="none"/>
          <w:lang w:val="en" w:eastAsia="zh-CN"/>
        </w:rPr>
      </w:pPr>
      <w:r>
        <w:rPr>
          <w:rFonts w:hint="eastAsia" w:ascii="Times New Roman" w:hAnsi="宋体" w:eastAsia="宋体" w:cs="宋体"/>
          <w:color w:val="auto"/>
          <w:kern w:val="0"/>
          <w:highlight w:val="none"/>
          <w:lang w:val="en" w:eastAsia="zh-CN"/>
        </w:rPr>
        <w:t>注：因</w:t>
      </w:r>
      <w:r>
        <w:rPr>
          <w:rFonts w:hint="eastAsia" w:ascii="Times New Roman" w:hAnsi="宋体" w:eastAsia="宋体" w:cs="宋体"/>
          <w:color w:val="auto"/>
          <w:kern w:val="0"/>
          <w:highlight w:val="none"/>
          <w:lang w:val="en-US" w:eastAsia="zh-CN"/>
        </w:rPr>
        <w:t>2021年《广西壮族自治区</w:t>
      </w:r>
      <w:r>
        <w:rPr>
          <w:rFonts w:hint="eastAsia" w:ascii="Times New Roman" w:hAnsi="宋体" w:eastAsia="宋体" w:cs="宋体"/>
          <w:color w:val="auto"/>
          <w:kern w:val="0"/>
          <w:highlight w:val="none"/>
          <w:lang w:val="en" w:eastAsia="zh-CN"/>
        </w:rPr>
        <w:t>园林绿化及仿古建筑工程费用定额</w:t>
      </w:r>
      <w:r>
        <w:rPr>
          <w:rFonts w:hint="eastAsia" w:ascii="Times New Roman" w:hAnsi="宋体" w:eastAsia="宋体" w:cs="宋体"/>
          <w:color w:val="auto"/>
          <w:kern w:val="0"/>
          <w:highlight w:val="none"/>
          <w:lang w:val="en-US" w:eastAsia="zh-CN"/>
        </w:rPr>
        <w:t>》采用全费用综合单价形式，故园林绿化及仿古建筑工程的工程量清单及计价</w:t>
      </w:r>
      <w:r>
        <w:rPr>
          <w:rFonts w:hint="eastAsia" w:cs="黑体"/>
          <w:color w:val="auto"/>
          <w:highlight w:val="none"/>
          <w:lang w:eastAsia="zh-CN"/>
        </w:rPr>
        <w:t>采用</w:t>
      </w:r>
      <w:r>
        <w:rPr>
          <w:rFonts w:hint="eastAsia" w:ascii="Times New Roman" w:hAnsi="宋体" w:eastAsia="宋体" w:cs="宋体"/>
          <w:color w:val="auto"/>
          <w:kern w:val="0"/>
          <w:highlight w:val="none"/>
          <w:lang w:val="en" w:eastAsia="zh-CN"/>
        </w:rPr>
        <w:t>《自治区住房和城乡建设厅关于建设工程造价改革试点项目招投标及计价规定调整的通知》（桂建标〔2021〕6号）中附件1《建设工程工程量清单计价规范（GB50500-2013）广西壮族自治区实施细则》（适用于工程造价改革试点项目）相关表格，具体以招标人另册发放的招标工程工程量清单及相关说明为准。</w:t>
      </w:r>
    </w:p>
    <w:p w14:paraId="176EB571">
      <w:pPr>
        <w:pStyle w:val="3"/>
        <w:rPr>
          <w:rFonts w:hint="eastAsia"/>
          <w:color w:val="auto"/>
          <w:highlight w:val="none"/>
        </w:rPr>
      </w:pPr>
      <w:r>
        <w:rPr>
          <w:rFonts w:hint="eastAsia"/>
          <w:color w:val="auto"/>
          <w:highlight w:val="none"/>
          <w:lang w:val="en-US" w:eastAsia="zh-CN"/>
        </w:rPr>
        <w:t>4</w:t>
      </w:r>
      <w:r>
        <w:rPr>
          <w:rFonts w:hint="eastAsia"/>
          <w:color w:val="auto"/>
          <w:highlight w:val="none"/>
        </w:rPr>
        <w:t>工程量清单、图纸获取</w:t>
      </w:r>
      <w:bookmarkEnd w:id="1431"/>
    </w:p>
    <w:p w14:paraId="016E2319">
      <w:pPr>
        <w:tabs>
          <w:tab w:val="left" w:pos="3261"/>
        </w:tabs>
        <w:spacing w:line="360" w:lineRule="auto"/>
        <w:ind w:firstLine="420" w:firstLineChars="200"/>
        <w:jc w:val="left"/>
        <w:rPr>
          <w:rFonts w:ascii="宋体" w:hAnsi="宋体" w:cs="宋体"/>
          <w:b/>
          <w:color w:val="auto"/>
          <w:sz w:val="44"/>
          <w:szCs w:val="44"/>
          <w:highlight w:val="none"/>
        </w:rPr>
      </w:pPr>
      <w:r>
        <w:rPr>
          <w:rFonts w:hint="eastAsia" w:ascii="宋体" w:hAnsi="宋体" w:eastAsia="宋体" w:cs="宋体"/>
          <w:color w:val="auto"/>
          <w:highlight w:val="none"/>
        </w:rPr>
        <w:t>获取方式：</w:t>
      </w:r>
      <w:r>
        <w:rPr>
          <w:rFonts w:hint="eastAsia" w:ascii="宋体" w:hAnsi="宋体" w:cs="宋体"/>
          <w:color w:val="auto"/>
          <w:highlight w:val="none"/>
          <w:lang w:val="en-US" w:eastAsia="zh-CN"/>
        </w:rPr>
        <w:t>网上下载</w:t>
      </w:r>
      <w:r>
        <w:rPr>
          <w:rFonts w:hint="eastAsia" w:ascii="宋体" w:hAnsi="宋体" w:eastAsia="宋体" w:cs="宋体"/>
          <w:color w:val="auto"/>
          <w:szCs w:val="21"/>
          <w:highlight w:val="none"/>
        </w:rPr>
        <w:t>广西政府采购云平台</w:t>
      </w:r>
      <w:r>
        <w:rPr>
          <w:rFonts w:hint="eastAsia" w:ascii="宋体" w:hAnsi="宋体" w:eastAsia="宋体" w:cs="宋体"/>
          <w:color w:val="auto"/>
          <w:highlight w:val="none"/>
        </w:rPr>
        <w:t>。本项目不发放</w:t>
      </w:r>
      <w:r>
        <w:rPr>
          <w:rFonts w:hint="eastAsia" w:ascii="宋体" w:hAnsi="宋体" w:eastAsia="宋体" w:cs="宋体"/>
          <w:color w:val="auto"/>
          <w:highlight w:val="none"/>
          <w:lang w:eastAsia="zh-CN"/>
        </w:rPr>
        <w:t>纸质版的</w:t>
      </w:r>
      <w:r>
        <w:rPr>
          <w:rFonts w:hint="eastAsia" w:ascii="宋体" w:hAnsi="宋体" w:eastAsia="宋体" w:cs="宋体"/>
          <w:color w:val="auto"/>
          <w:highlight w:val="none"/>
        </w:rPr>
        <w:t>工程量清单及图纸，由潜在供应商自行在</w:t>
      </w:r>
      <w:r>
        <w:rPr>
          <w:rFonts w:hint="eastAsia" w:ascii="宋体" w:hAnsi="宋体" w:eastAsia="宋体" w:cs="宋体"/>
          <w:color w:val="auto"/>
          <w:szCs w:val="21"/>
          <w:highlight w:val="none"/>
        </w:rPr>
        <w:t>广西政府采购云平台</w:t>
      </w:r>
      <w:r>
        <w:rPr>
          <w:rFonts w:hint="eastAsia" w:ascii="宋体" w:hAnsi="宋体" w:eastAsia="宋体" w:cs="宋体"/>
          <w:color w:val="auto"/>
          <w:highlight w:val="none"/>
        </w:rPr>
        <w:t>下载。</w:t>
      </w:r>
    </w:p>
    <w:p w14:paraId="2D4C5D74">
      <w:pPr>
        <w:tabs>
          <w:tab w:val="left" w:pos="3261"/>
        </w:tabs>
        <w:spacing w:line="360" w:lineRule="auto"/>
        <w:jc w:val="center"/>
        <w:rPr>
          <w:rFonts w:ascii="宋体" w:hAnsi="宋体" w:cs="宋体"/>
          <w:b/>
          <w:color w:val="auto"/>
          <w:sz w:val="44"/>
          <w:szCs w:val="44"/>
          <w:highlight w:val="none"/>
        </w:rPr>
      </w:pPr>
    </w:p>
    <w:p w14:paraId="0B64B0AD">
      <w:pPr>
        <w:tabs>
          <w:tab w:val="left" w:pos="3261"/>
        </w:tabs>
        <w:spacing w:line="360" w:lineRule="auto"/>
        <w:jc w:val="center"/>
        <w:rPr>
          <w:rFonts w:ascii="宋体" w:hAnsi="宋体" w:cs="宋体"/>
          <w:b/>
          <w:color w:val="auto"/>
          <w:sz w:val="44"/>
          <w:szCs w:val="44"/>
          <w:highlight w:val="none"/>
        </w:rPr>
      </w:pPr>
    </w:p>
    <w:p w14:paraId="2C5543DE">
      <w:pPr>
        <w:tabs>
          <w:tab w:val="left" w:pos="3261"/>
        </w:tabs>
        <w:spacing w:line="360" w:lineRule="auto"/>
        <w:jc w:val="center"/>
        <w:rPr>
          <w:rFonts w:ascii="宋体" w:hAnsi="宋体" w:cs="宋体"/>
          <w:b/>
          <w:color w:val="auto"/>
          <w:sz w:val="44"/>
          <w:szCs w:val="44"/>
          <w:highlight w:val="none"/>
        </w:rPr>
      </w:pPr>
    </w:p>
    <w:p w14:paraId="761FA3CC">
      <w:pPr>
        <w:tabs>
          <w:tab w:val="left" w:pos="3261"/>
        </w:tabs>
        <w:spacing w:line="360" w:lineRule="auto"/>
        <w:jc w:val="center"/>
        <w:rPr>
          <w:rFonts w:ascii="宋体" w:hAnsi="宋体" w:cs="宋体"/>
          <w:b/>
          <w:color w:val="auto"/>
          <w:sz w:val="44"/>
          <w:szCs w:val="44"/>
          <w:highlight w:val="none"/>
        </w:rPr>
      </w:pPr>
    </w:p>
    <w:p w14:paraId="6A5FBF6E">
      <w:pPr>
        <w:tabs>
          <w:tab w:val="left" w:pos="3261"/>
        </w:tabs>
        <w:spacing w:line="360" w:lineRule="auto"/>
        <w:jc w:val="center"/>
        <w:rPr>
          <w:rFonts w:ascii="宋体" w:hAnsi="宋体" w:cs="宋体"/>
          <w:b/>
          <w:color w:val="auto"/>
          <w:sz w:val="44"/>
          <w:szCs w:val="44"/>
          <w:highlight w:val="none"/>
        </w:rPr>
      </w:pPr>
    </w:p>
    <w:p w14:paraId="2FAC3BA7">
      <w:pPr>
        <w:pStyle w:val="2"/>
        <w:jc w:val="center"/>
        <w:rPr>
          <w:rFonts w:ascii="宋体" w:hAnsi="宋体" w:cs="宋体"/>
          <w:color w:val="auto"/>
          <w:highlight w:val="none"/>
        </w:rPr>
      </w:pPr>
      <w:bookmarkStart w:id="1440" w:name="_Toc23183"/>
      <w:r>
        <w:rPr>
          <w:rFonts w:hint="eastAsia" w:ascii="宋体" w:hAnsi="宋体" w:cs="宋体"/>
          <w:b w:val="0"/>
          <w:color w:val="auto"/>
          <w:highlight w:val="none"/>
        </w:rPr>
        <w:t>第</w:t>
      </w:r>
      <w:r>
        <w:rPr>
          <w:rFonts w:hint="eastAsia" w:ascii="宋体" w:hAnsi="宋体" w:cs="宋体"/>
          <w:b w:val="0"/>
          <w:color w:val="auto"/>
          <w:highlight w:val="none"/>
          <w:lang w:val="en-US" w:eastAsia="zh-CN"/>
        </w:rPr>
        <w:t>八</w:t>
      </w:r>
      <w:r>
        <w:rPr>
          <w:rFonts w:hint="eastAsia" w:ascii="宋体" w:hAnsi="宋体" w:cs="宋体"/>
          <w:b w:val="0"/>
          <w:color w:val="auto"/>
          <w:highlight w:val="none"/>
        </w:rPr>
        <w:t>章 质疑、投诉材料格式</w:t>
      </w:r>
      <w:bookmarkEnd w:id="1440"/>
    </w:p>
    <w:p w14:paraId="6A219588">
      <w:pPr>
        <w:widowControl/>
        <w:spacing w:line="576" w:lineRule="auto"/>
        <w:jc w:val="left"/>
        <w:rPr>
          <w:rFonts w:ascii="宋体" w:hAnsi="宋体" w:cs="宋体"/>
          <w:b/>
          <w:bCs/>
          <w:color w:val="auto"/>
          <w:kern w:val="44"/>
          <w:sz w:val="44"/>
          <w:szCs w:val="44"/>
          <w:highlight w:val="none"/>
        </w:rPr>
        <w:sectPr>
          <w:footerReference r:id="rId5" w:type="default"/>
          <w:pgSz w:w="11910" w:h="16840"/>
          <w:pgMar w:top="1134" w:right="1134" w:bottom="1134" w:left="1134" w:header="720" w:footer="720" w:gutter="0"/>
          <w:cols w:space="0" w:num="1"/>
          <w:rtlGutter w:val="0"/>
        </w:sectPr>
      </w:pPr>
    </w:p>
    <w:p w14:paraId="074770B0">
      <w:pPr>
        <w:spacing w:line="36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质疑函（格式）</w:t>
      </w:r>
    </w:p>
    <w:p w14:paraId="25072CCB">
      <w:pPr>
        <w:pStyle w:val="15"/>
        <w:spacing w:line="360" w:lineRule="auto"/>
        <w:ind w:firstLine="422" w:firstLineChars="200"/>
        <w:rPr>
          <w:rFonts w:hAnsi="宋体" w:cs="宋体"/>
          <w:b/>
          <w:bCs/>
          <w:color w:val="auto"/>
          <w:sz w:val="21"/>
          <w:szCs w:val="21"/>
          <w:highlight w:val="none"/>
        </w:rPr>
      </w:pPr>
      <w:r>
        <w:rPr>
          <w:rFonts w:hint="eastAsia" w:hAnsi="宋体" w:cs="宋体"/>
          <w:b/>
          <w:bCs/>
          <w:color w:val="auto"/>
          <w:sz w:val="21"/>
          <w:szCs w:val="21"/>
          <w:highlight w:val="none"/>
        </w:rPr>
        <w:t>一、质疑供应商基本信息：</w:t>
      </w:r>
    </w:p>
    <w:p w14:paraId="5EAC1DC6">
      <w:pPr>
        <w:pStyle w:val="15"/>
        <w:spacing w:line="360" w:lineRule="auto"/>
        <w:ind w:firstLine="420" w:firstLineChars="200"/>
        <w:rPr>
          <w:rFonts w:hAnsi="宋体" w:cs="宋体"/>
          <w:bCs/>
          <w:color w:val="auto"/>
          <w:sz w:val="21"/>
          <w:szCs w:val="21"/>
          <w:highlight w:val="none"/>
          <w:u w:val="single"/>
        </w:rPr>
      </w:pPr>
      <w:r>
        <w:rPr>
          <w:rFonts w:hint="eastAsia" w:hAnsi="宋体" w:cs="宋体"/>
          <w:bCs/>
          <w:color w:val="auto"/>
          <w:sz w:val="21"/>
          <w:szCs w:val="21"/>
          <w:highlight w:val="none"/>
        </w:rPr>
        <w:t>质疑供应商：</w:t>
      </w:r>
      <w:r>
        <w:rPr>
          <w:rFonts w:hint="eastAsia" w:hAnsi="宋体" w:cs="宋体"/>
          <w:bCs/>
          <w:color w:val="auto"/>
          <w:sz w:val="21"/>
          <w:szCs w:val="21"/>
          <w:highlight w:val="none"/>
          <w:u w:val="single"/>
        </w:rPr>
        <w:t xml:space="preserve">                                       </w:t>
      </w:r>
      <w:r>
        <w:rPr>
          <w:rFonts w:hint="eastAsia" w:hAnsi="宋体" w:cs="宋体"/>
          <w:bCs/>
          <w:color w:val="auto"/>
          <w:sz w:val="21"/>
          <w:szCs w:val="21"/>
          <w:highlight w:val="none"/>
        </w:rPr>
        <w:t xml:space="preserve">                 </w:t>
      </w:r>
    </w:p>
    <w:p w14:paraId="02C85EA6">
      <w:pPr>
        <w:pStyle w:val="15"/>
        <w:spacing w:line="360" w:lineRule="auto"/>
        <w:ind w:firstLine="420" w:firstLineChars="200"/>
        <w:rPr>
          <w:rFonts w:hAnsi="宋体" w:cs="宋体"/>
          <w:bCs/>
          <w:color w:val="auto"/>
          <w:sz w:val="21"/>
          <w:szCs w:val="21"/>
          <w:highlight w:val="none"/>
        </w:rPr>
      </w:pPr>
      <w:r>
        <w:rPr>
          <w:rFonts w:hint="eastAsia" w:hAnsi="宋体" w:cs="宋体"/>
          <w:bCs/>
          <w:color w:val="auto"/>
          <w:sz w:val="21"/>
          <w:szCs w:val="21"/>
          <w:highlight w:val="none"/>
        </w:rPr>
        <w:t>地址：</w:t>
      </w:r>
      <w:r>
        <w:rPr>
          <w:rFonts w:hint="eastAsia" w:hAnsi="宋体" w:cs="宋体"/>
          <w:bCs/>
          <w:color w:val="auto"/>
          <w:sz w:val="21"/>
          <w:szCs w:val="21"/>
          <w:highlight w:val="none"/>
          <w:u w:val="single"/>
        </w:rPr>
        <w:t xml:space="preserve">                                          </w:t>
      </w:r>
      <w:r>
        <w:rPr>
          <w:rFonts w:hint="eastAsia" w:hAnsi="宋体" w:cs="宋体"/>
          <w:bCs/>
          <w:color w:val="auto"/>
          <w:sz w:val="21"/>
          <w:szCs w:val="21"/>
          <w:highlight w:val="none"/>
        </w:rPr>
        <w:t>邮编：</w:t>
      </w:r>
      <w:r>
        <w:rPr>
          <w:rFonts w:hint="eastAsia" w:hAnsi="宋体" w:cs="宋体"/>
          <w:bCs/>
          <w:color w:val="auto"/>
          <w:sz w:val="21"/>
          <w:szCs w:val="21"/>
          <w:highlight w:val="none"/>
          <w:u w:val="single"/>
        </w:rPr>
        <w:t xml:space="preserve">                  </w:t>
      </w:r>
      <w:r>
        <w:rPr>
          <w:rFonts w:hint="eastAsia" w:hAnsi="宋体" w:cs="宋体"/>
          <w:bCs/>
          <w:color w:val="auto"/>
          <w:sz w:val="21"/>
          <w:szCs w:val="21"/>
          <w:highlight w:val="none"/>
        </w:rPr>
        <w:t xml:space="preserve">                 </w:t>
      </w:r>
    </w:p>
    <w:p w14:paraId="52E393B9">
      <w:pPr>
        <w:pStyle w:val="15"/>
        <w:spacing w:line="360" w:lineRule="auto"/>
        <w:ind w:firstLine="420" w:firstLineChars="200"/>
        <w:rPr>
          <w:rFonts w:hAnsi="宋体" w:cs="宋体"/>
          <w:bCs/>
          <w:color w:val="auto"/>
          <w:sz w:val="21"/>
          <w:szCs w:val="21"/>
          <w:highlight w:val="none"/>
        </w:rPr>
      </w:pPr>
      <w:r>
        <w:rPr>
          <w:rFonts w:hint="eastAsia" w:hAnsi="宋体" w:cs="宋体"/>
          <w:bCs/>
          <w:color w:val="auto"/>
          <w:sz w:val="21"/>
          <w:szCs w:val="21"/>
          <w:highlight w:val="none"/>
        </w:rPr>
        <w:t>联系人：</w:t>
      </w:r>
      <w:r>
        <w:rPr>
          <w:rFonts w:hint="eastAsia" w:hAnsi="宋体" w:cs="宋体"/>
          <w:bCs/>
          <w:color w:val="auto"/>
          <w:sz w:val="21"/>
          <w:szCs w:val="21"/>
          <w:highlight w:val="none"/>
          <w:u w:val="single"/>
        </w:rPr>
        <w:t xml:space="preserve">                     </w:t>
      </w:r>
      <w:r>
        <w:rPr>
          <w:rFonts w:hint="eastAsia" w:hAnsi="宋体" w:cs="宋体"/>
          <w:bCs/>
          <w:color w:val="auto"/>
          <w:sz w:val="21"/>
          <w:szCs w:val="21"/>
          <w:highlight w:val="none"/>
        </w:rPr>
        <w:t>联系电话：</w:t>
      </w:r>
      <w:r>
        <w:rPr>
          <w:rFonts w:hint="eastAsia" w:hAnsi="宋体" w:cs="宋体"/>
          <w:bCs/>
          <w:color w:val="auto"/>
          <w:sz w:val="21"/>
          <w:szCs w:val="21"/>
          <w:highlight w:val="none"/>
          <w:u w:val="single"/>
        </w:rPr>
        <w:t xml:space="preserve">                 </w:t>
      </w:r>
    </w:p>
    <w:p w14:paraId="264964F9">
      <w:pPr>
        <w:pStyle w:val="15"/>
        <w:spacing w:line="360" w:lineRule="auto"/>
        <w:ind w:firstLine="420" w:firstLineChars="200"/>
        <w:rPr>
          <w:rFonts w:hAnsi="宋体" w:cs="宋体"/>
          <w:bCs/>
          <w:color w:val="auto"/>
          <w:sz w:val="21"/>
          <w:szCs w:val="21"/>
          <w:highlight w:val="none"/>
        </w:rPr>
      </w:pPr>
      <w:r>
        <w:rPr>
          <w:rFonts w:hint="eastAsia" w:hAnsi="宋体" w:cs="宋体"/>
          <w:bCs/>
          <w:color w:val="auto"/>
          <w:sz w:val="21"/>
          <w:szCs w:val="21"/>
          <w:highlight w:val="none"/>
        </w:rPr>
        <w:t>授权代表：</w:t>
      </w:r>
      <w:r>
        <w:rPr>
          <w:rFonts w:hint="eastAsia" w:hAnsi="宋体" w:cs="宋体"/>
          <w:bCs/>
          <w:color w:val="auto"/>
          <w:sz w:val="21"/>
          <w:szCs w:val="21"/>
          <w:highlight w:val="none"/>
          <w:u w:val="single"/>
        </w:rPr>
        <w:t xml:space="preserve">                      </w:t>
      </w:r>
    </w:p>
    <w:p w14:paraId="7FB59736">
      <w:pPr>
        <w:pStyle w:val="15"/>
        <w:spacing w:line="360" w:lineRule="auto"/>
        <w:ind w:firstLine="420" w:firstLineChars="200"/>
        <w:rPr>
          <w:rFonts w:hAnsi="宋体" w:cs="宋体"/>
          <w:bCs/>
          <w:color w:val="auto"/>
          <w:sz w:val="21"/>
          <w:szCs w:val="21"/>
          <w:highlight w:val="none"/>
          <w:u w:val="single"/>
        </w:rPr>
      </w:pPr>
      <w:r>
        <w:rPr>
          <w:rFonts w:hint="eastAsia" w:hAnsi="宋体" w:cs="宋体"/>
          <w:bCs/>
          <w:color w:val="auto"/>
          <w:sz w:val="21"/>
          <w:szCs w:val="21"/>
          <w:highlight w:val="none"/>
        </w:rPr>
        <w:t>联系电话：</w:t>
      </w:r>
      <w:r>
        <w:rPr>
          <w:rFonts w:hint="eastAsia" w:hAnsi="宋体" w:cs="宋体"/>
          <w:bCs/>
          <w:color w:val="auto"/>
          <w:sz w:val="21"/>
          <w:szCs w:val="21"/>
          <w:highlight w:val="none"/>
          <w:u w:val="single"/>
        </w:rPr>
        <w:t xml:space="preserve">                      </w:t>
      </w:r>
    </w:p>
    <w:p w14:paraId="0A7819B5">
      <w:pPr>
        <w:pStyle w:val="15"/>
        <w:spacing w:line="360" w:lineRule="auto"/>
        <w:ind w:firstLine="420" w:firstLineChars="200"/>
        <w:rPr>
          <w:rFonts w:hAnsi="宋体" w:cs="宋体"/>
          <w:bCs/>
          <w:color w:val="auto"/>
          <w:sz w:val="21"/>
          <w:szCs w:val="21"/>
          <w:highlight w:val="none"/>
        </w:rPr>
      </w:pPr>
      <w:r>
        <w:rPr>
          <w:rFonts w:hint="eastAsia" w:hAnsi="宋体" w:cs="宋体"/>
          <w:bCs/>
          <w:color w:val="auto"/>
          <w:sz w:val="21"/>
          <w:szCs w:val="21"/>
          <w:highlight w:val="none"/>
        </w:rPr>
        <w:t>地址：</w:t>
      </w:r>
      <w:r>
        <w:rPr>
          <w:rFonts w:hint="eastAsia" w:hAnsi="宋体" w:cs="宋体"/>
          <w:bCs/>
          <w:color w:val="auto"/>
          <w:sz w:val="21"/>
          <w:szCs w:val="21"/>
          <w:highlight w:val="none"/>
          <w:u w:val="single"/>
        </w:rPr>
        <w:t xml:space="preserve">                 </w:t>
      </w:r>
      <w:r>
        <w:rPr>
          <w:rFonts w:hint="eastAsia" w:hAnsi="宋体" w:cs="宋体"/>
          <w:bCs/>
          <w:color w:val="auto"/>
          <w:sz w:val="21"/>
          <w:szCs w:val="21"/>
          <w:highlight w:val="none"/>
        </w:rPr>
        <w:t>邮编：</w:t>
      </w:r>
      <w:r>
        <w:rPr>
          <w:rFonts w:hint="eastAsia" w:hAnsi="宋体" w:cs="宋体"/>
          <w:bCs/>
          <w:color w:val="auto"/>
          <w:sz w:val="21"/>
          <w:szCs w:val="21"/>
          <w:highlight w:val="none"/>
          <w:u w:val="single"/>
        </w:rPr>
        <w:t xml:space="preserve">                  </w:t>
      </w:r>
      <w:r>
        <w:rPr>
          <w:rFonts w:hint="eastAsia" w:hAnsi="宋体" w:cs="宋体"/>
          <w:bCs/>
          <w:color w:val="auto"/>
          <w:sz w:val="21"/>
          <w:szCs w:val="21"/>
          <w:highlight w:val="none"/>
        </w:rPr>
        <w:t xml:space="preserve">     </w:t>
      </w:r>
    </w:p>
    <w:p w14:paraId="14FC5BFC">
      <w:pPr>
        <w:pStyle w:val="15"/>
        <w:spacing w:line="360" w:lineRule="auto"/>
        <w:ind w:firstLine="422" w:firstLineChars="200"/>
        <w:rPr>
          <w:rFonts w:hAnsi="宋体" w:cs="宋体"/>
          <w:b/>
          <w:bCs/>
          <w:color w:val="auto"/>
          <w:sz w:val="21"/>
          <w:szCs w:val="21"/>
          <w:highlight w:val="none"/>
        </w:rPr>
      </w:pPr>
      <w:r>
        <w:rPr>
          <w:rFonts w:hint="eastAsia" w:hAnsi="宋体" w:cs="宋体"/>
          <w:b/>
          <w:bCs/>
          <w:color w:val="auto"/>
          <w:sz w:val="21"/>
          <w:szCs w:val="21"/>
          <w:highlight w:val="none"/>
        </w:rPr>
        <w:t>二、质疑项目基本情况：</w:t>
      </w:r>
    </w:p>
    <w:p w14:paraId="079C88BE">
      <w:pPr>
        <w:pStyle w:val="15"/>
        <w:spacing w:line="360" w:lineRule="auto"/>
        <w:ind w:left="25" w:leftChars="12" w:firstLine="413" w:firstLineChars="197"/>
        <w:contextualSpacing/>
        <w:rPr>
          <w:rFonts w:hAnsi="宋体" w:cs="宋体"/>
          <w:color w:val="auto"/>
          <w:sz w:val="21"/>
          <w:szCs w:val="21"/>
          <w:highlight w:val="none"/>
        </w:rPr>
      </w:pPr>
      <w:r>
        <w:rPr>
          <w:rFonts w:hint="eastAsia" w:hAnsi="宋体" w:cs="宋体"/>
          <w:bCs/>
          <w:color w:val="auto"/>
          <w:sz w:val="21"/>
          <w:szCs w:val="21"/>
          <w:highlight w:val="none"/>
        </w:rPr>
        <w:t>质疑</w:t>
      </w:r>
      <w:r>
        <w:rPr>
          <w:rFonts w:hint="eastAsia" w:hAnsi="宋体" w:cs="宋体"/>
          <w:color w:val="auto"/>
          <w:sz w:val="21"/>
          <w:szCs w:val="21"/>
          <w:highlight w:val="none"/>
        </w:rPr>
        <w:t>项目的名称：</w:t>
      </w:r>
      <w:r>
        <w:rPr>
          <w:rFonts w:hint="eastAsia" w:hAnsi="宋体" w:cs="宋体"/>
          <w:bCs/>
          <w:color w:val="auto"/>
          <w:sz w:val="21"/>
          <w:szCs w:val="21"/>
          <w:highlight w:val="none"/>
          <w:u w:val="single"/>
        </w:rPr>
        <w:t xml:space="preserve"> </w:t>
      </w:r>
      <w:bookmarkStart w:id="1441" w:name="PO_3000001868_PM002_16"/>
      <w:r>
        <w:rPr>
          <w:rFonts w:hint="eastAsia" w:hAnsi="宋体" w:cs="宋体"/>
          <w:bCs/>
          <w:color w:val="auto"/>
          <w:sz w:val="21"/>
          <w:szCs w:val="21"/>
          <w:highlight w:val="none"/>
          <w:u w:val="single"/>
        </w:rPr>
        <w:t>[项目名称]</w:t>
      </w:r>
      <w:bookmarkEnd w:id="1441"/>
      <w:r>
        <w:rPr>
          <w:rFonts w:hint="eastAsia" w:hAnsi="宋体" w:cs="宋体"/>
          <w:bCs/>
          <w:color w:val="auto"/>
          <w:sz w:val="21"/>
          <w:szCs w:val="21"/>
          <w:highlight w:val="none"/>
          <w:u w:val="single"/>
        </w:rPr>
        <w:t xml:space="preserve"> </w:t>
      </w:r>
    </w:p>
    <w:p w14:paraId="56D944AB">
      <w:pPr>
        <w:pStyle w:val="15"/>
        <w:spacing w:line="360" w:lineRule="auto"/>
        <w:ind w:left="25" w:leftChars="12" w:firstLine="413" w:firstLineChars="197"/>
        <w:contextualSpacing/>
        <w:rPr>
          <w:rFonts w:hAnsi="宋体" w:cs="宋体"/>
          <w:color w:val="auto"/>
          <w:sz w:val="21"/>
          <w:szCs w:val="21"/>
          <w:highlight w:val="none"/>
        </w:rPr>
      </w:pPr>
      <w:r>
        <w:rPr>
          <w:rFonts w:hint="eastAsia" w:hAnsi="宋体" w:cs="宋体"/>
          <w:bCs/>
          <w:color w:val="auto"/>
          <w:sz w:val="21"/>
          <w:szCs w:val="21"/>
          <w:highlight w:val="none"/>
        </w:rPr>
        <w:t>质疑</w:t>
      </w:r>
      <w:r>
        <w:rPr>
          <w:rFonts w:hint="eastAsia" w:hAnsi="宋体" w:cs="宋体"/>
          <w:color w:val="auto"/>
          <w:sz w:val="21"/>
          <w:szCs w:val="21"/>
          <w:highlight w:val="none"/>
        </w:rPr>
        <w:t>项目的编号：</w:t>
      </w:r>
      <w:bookmarkStart w:id="1442" w:name="PO_3000001868_PM001_13"/>
      <w:r>
        <w:rPr>
          <w:rFonts w:hint="eastAsia" w:hAnsi="宋体" w:cs="宋体"/>
          <w:bCs/>
          <w:color w:val="auto"/>
          <w:sz w:val="21"/>
          <w:szCs w:val="21"/>
          <w:highlight w:val="none"/>
          <w:u w:val="single"/>
        </w:rPr>
        <w:t>[项目编号]</w:t>
      </w:r>
      <w:bookmarkEnd w:id="1442"/>
      <w:r>
        <w:rPr>
          <w:rFonts w:hint="eastAsia" w:hAnsi="宋体" w:cs="宋体"/>
          <w:bCs/>
          <w:color w:val="auto"/>
          <w:sz w:val="21"/>
          <w:szCs w:val="21"/>
          <w:highlight w:val="none"/>
          <w:u w:val="single"/>
        </w:rPr>
        <w:t xml:space="preserve"> </w:t>
      </w:r>
    </w:p>
    <w:p w14:paraId="07BF7BAD">
      <w:pPr>
        <w:pStyle w:val="15"/>
        <w:spacing w:line="360" w:lineRule="auto"/>
        <w:ind w:left="25" w:leftChars="12" w:firstLine="413" w:firstLineChars="197"/>
        <w:contextualSpacing/>
        <w:rPr>
          <w:rFonts w:hAnsi="宋体" w:cs="宋体"/>
          <w:color w:val="auto"/>
          <w:sz w:val="21"/>
          <w:szCs w:val="21"/>
          <w:highlight w:val="none"/>
        </w:rPr>
      </w:pPr>
      <w:r>
        <w:rPr>
          <w:rFonts w:hint="eastAsia" w:hAnsi="宋体" w:cs="宋体"/>
          <w:color w:val="auto"/>
          <w:sz w:val="21"/>
          <w:szCs w:val="21"/>
          <w:highlight w:val="none"/>
        </w:rPr>
        <w:t>采购人名称：</w:t>
      </w:r>
      <w:r>
        <w:rPr>
          <w:rFonts w:hint="eastAsia" w:hAnsi="宋体" w:cs="宋体"/>
          <w:bCs/>
          <w:color w:val="auto"/>
          <w:sz w:val="21"/>
          <w:szCs w:val="21"/>
          <w:highlight w:val="none"/>
          <w:u w:val="single"/>
        </w:rPr>
        <w:t xml:space="preserve">   </w:t>
      </w:r>
      <w:bookmarkStart w:id="1443" w:name="PO_3000001868_PM026_7"/>
      <w:r>
        <w:rPr>
          <w:rFonts w:hint="eastAsia" w:hAnsi="宋体" w:cs="宋体"/>
          <w:bCs/>
          <w:color w:val="auto"/>
          <w:sz w:val="21"/>
          <w:szCs w:val="21"/>
          <w:highlight w:val="none"/>
          <w:u w:val="single"/>
        </w:rPr>
        <w:t>[采购人]</w:t>
      </w:r>
      <w:bookmarkEnd w:id="1443"/>
      <w:r>
        <w:rPr>
          <w:rFonts w:hint="eastAsia" w:hAnsi="宋体" w:cs="宋体"/>
          <w:bCs/>
          <w:color w:val="auto"/>
          <w:sz w:val="21"/>
          <w:szCs w:val="21"/>
          <w:highlight w:val="none"/>
          <w:u w:val="single"/>
        </w:rPr>
        <w:t xml:space="preserve">  </w:t>
      </w:r>
    </w:p>
    <w:p w14:paraId="4D5A4256">
      <w:pPr>
        <w:pStyle w:val="15"/>
        <w:spacing w:line="360" w:lineRule="auto"/>
        <w:ind w:left="25" w:leftChars="12" w:firstLine="413" w:firstLineChars="197"/>
        <w:contextualSpacing/>
        <w:rPr>
          <w:rFonts w:hAnsi="宋体" w:cs="宋体"/>
          <w:color w:val="auto"/>
          <w:sz w:val="21"/>
          <w:szCs w:val="21"/>
          <w:highlight w:val="none"/>
        </w:rPr>
      </w:pPr>
      <w:r>
        <w:rPr>
          <w:rFonts w:hint="eastAsia" w:hAnsi="宋体" w:cs="宋体"/>
          <w:color w:val="auto"/>
          <w:sz w:val="21"/>
          <w:szCs w:val="21"/>
          <w:highlight w:val="none"/>
        </w:rPr>
        <w:t>质疑事项：</w:t>
      </w:r>
    </w:p>
    <w:p w14:paraId="38167C28">
      <w:pPr>
        <w:pStyle w:val="15"/>
        <w:spacing w:line="360" w:lineRule="auto"/>
        <w:ind w:left="25" w:leftChars="12" w:firstLine="308" w:firstLineChars="147"/>
        <w:contextualSpacing/>
        <w:rPr>
          <w:rFonts w:hAnsi="宋体" w:cs="宋体"/>
          <w:color w:val="auto"/>
          <w:sz w:val="21"/>
          <w:szCs w:val="21"/>
          <w:highlight w:val="none"/>
        </w:rPr>
      </w:pPr>
      <w:r>
        <w:rPr>
          <w:rFonts w:hint="eastAsia" w:hAnsi="宋体" w:cs="宋体"/>
          <w:color w:val="auto"/>
          <w:sz w:val="21"/>
          <w:szCs w:val="21"/>
          <w:highlight w:val="none"/>
        </w:rPr>
        <w:t>□采购文件   采购文件获取日期：</w:t>
      </w:r>
      <w:r>
        <w:rPr>
          <w:rFonts w:hint="eastAsia" w:hAnsi="宋体" w:cs="宋体"/>
          <w:bCs/>
          <w:color w:val="auto"/>
          <w:sz w:val="21"/>
          <w:szCs w:val="21"/>
          <w:highlight w:val="none"/>
          <w:u w:val="single"/>
        </w:rPr>
        <w:t xml:space="preserve">                                   </w:t>
      </w:r>
    </w:p>
    <w:p w14:paraId="54D9E423">
      <w:pPr>
        <w:pStyle w:val="15"/>
        <w:spacing w:line="360" w:lineRule="auto"/>
        <w:ind w:left="25" w:leftChars="12" w:firstLine="308" w:firstLineChars="147"/>
        <w:contextualSpacing/>
        <w:rPr>
          <w:rFonts w:hAnsi="宋体" w:cs="宋体"/>
          <w:color w:val="auto"/>
          <w:sz w:val="21"/>
          <w:szCs w:val="21"/>
          <w:highlight w:val="none"/>
        </w:rPr>
      </w:pPr>
      <w:r>
        <w:rPr>
          <w:rFonts w:hint="eastAsia" w:hAnsi="宋体" w:cs="宋体"/>
          <w:color w:val="auto"/>
          <w:sz w:val="21"/>
          <w:szCs w:val="21"/>
          <w:highlight w:val="none"/>
        </w:rPr>
        <w:t xml:space="preserve">□采购过程   </w:t>
      </w:r>
    </w:p>
    <w:p w14:paraId="72B98B9A">
      <w:pPr>
        <w:pStyle w:val="15"/>
        <w:spacing w:line="360" w:lineRule="auto"/>
        <w:ind w:left="25" w:leftChars="12" w:firstLine="308" w:firstLineChars="147"/>
        <w:contextualSpacing/>
        <w:rPr>
          <w:rFonts w:hAnsi="宋体" w:cs="宋体"/>
          <w:bCs/>
          <w:color w:val="auto"/>
          <w:sz w:val="21"/>
          <w:szCs w:val="21"/>
          <w:highlight w:val="none"/>
          <w:u w:val="single"/>
        </w:rPr>
      </w:pPr>
      <w:r>
        <w:rPr>
          <w:rFonts w:hint="eastAsia" w:hAnsi="宋体" w:cs="宋体"/>
          <w:color w:val="auto"/>
          <w:sz w:val="21"/>
          <w:szCs w:val="21"/>
          <w:highlight w:val="none"/>
        </w:rPr>
        <w:t xml:space="preserve">□成交结果   </w:t>
      </w:r>
    </w:p>
    <w:p w14:paraId="0FC50ABB">
      <w:pPr>
        <w:pStyle w:val="15"/>
        <w:spacing w:line="360" w:lineRule="auto"/>
        <w:ind w:left="25" w:leftChars="12" w:firstLine="413" w:firstLineChars="196"/>
        <w:contextualSpacing/>
        <w:rPr>
          <w:rFonts w:hAnsi="宋体" w:cs="宋体"/>
          <w:b/>
          <w:color w:val="auto"/>
          <w:sz w:val="21"/>
          <w:szCs w:val="21"/>
          <w:highlight w:val="none"/>
        </w:rPr>
      </w:pPr>
      <w:r>
        <w:rPr>
          <w:rFonts w:hint="eastAsia" w:hAnsi="宋体" w:cs="宋体"/>
          <w:b/>
          <w:color w:val="auto"/>
          <w:sz w:val="21"/>
          <w:szCs w:val="21"/>
          <w:highlight w:val="none"/>
        </w:rPr>
        <w:t>三、质疑事项具体内容</w:t>
      </w:r>
    </w:p>
    <w:p w14:paraId="770AE12A">
      <w:pPr>
        <w:pStyle w:val="15"/>
        <w:spacing w:line="360" w:lineRule="auto"/>
        <w:ind w:left="25" w:leftChars="12" w:firstLine="413" w:firstLineChars="197"/>
        <w:contextualSpacing/>
        <w:rPr>
          <w:rFonts w:hAnsi="宋体" w:cs="宋体"/>
          <w:color w:val="auto"/>
          <w:sz w:val="21"/>
          <w:szCs w:val="21"/>
          <w:highlight w:val="none"/>
        </w:rPr>
      </w:pPr>
      <w:r>
        <w:rPr>
          <w:rFonts w:hint="eastAsia" w:hAnsi="宋体" w:cs="宋体"/>
          <w:color w:val="auto"/>
          <w:sz w:val="21"/>
          <w:szCs w:val="21"/>
          <w:highlight w:val="none"/>
        </w:rPr>
        <w:t>质疑事项1：</w:t>
      </w:r>
      <w:r>
        <w:rPr>
          <w:rFonts w:hint="eastAsia" w:hAnsi="宋体" w:cs="宋体"/>
          <w:bCs/>
          <w:color w:val="auto"/>
          <w:sz w:val="21"/>
          <w:szCs w:val="21"/>
          <w:highlight w:val="none"/>
          <w:u w:val="single"/>
        </w:rPr>
        <w:t xml:space="preserve">                                                                    </w:t>
      </w:r>
    </w:p>
    <w:p w14:paraId="6754580D">
      <w:pPr>
        <w:pStyle w:val="15"/>
        <w:spacing w:line="360" w:lineRule="auto"/>
        <w:ind w:left="25" w:leftChars="12" w:firstLine="413" w:firstLineChars="197"/>
        <w:contextualSpacing/>
        <w:rPr>
          <w:rFonts w:hAnsi="宋体" w:cs="宋体"/>
          <w:color w:val="auto"/>
          <w:sz w:val="21"/>
          <w:szCs w:val="21"/>
          <w:highlight w:val="none"/>
        </w:rPr>
      </w:pPr>
      <w:r>
        <w:rPr>
          <w:rFonts w:hint="eastAsia" w:hAnsi="宋体" w:cs="宋体"/>
          <w:color w:val="auto"/>
          <w:sz w:val="21"/>
          <w:szCs w:val="21"/>
          <w:highlight w:val="none"/>
        </w:rPr>
        <w:t>事实依据：</w:t>
      </w:r>
      <w:r>
        <w:rPr>
          <w:rFonts w:hint="eastAsia" w:hAnsi="宋体" w:cs="宋体"/>
          <w:bCs/>
          <w:color w:val="auto"/>
          <w:sz w:val="21"/>
          <w:szCs w:val="21"/>
          <w:highlight w:val="none"/>
          <w:u w:val="single"/>
        </w:rPr>
        <w:t xml:space="preserve">                                                                      </w:t>
      </w:r>
    </w:p>
    <w:p w14:paraId="5328F8BF">
      <w:pPr>
        <w:pStyle w:val="15"/>
        <w:spacing w:line="360" w:lineRule="auto"/>
        <w:ind w:left="25" w:leftChars="12" w:firstLine="413" w:firstLineChars="197"/>
        <w:contextualSpacing/>
        <w:rPr>
          <w:rFonts w:hAnsi="宋体" w:cs="宋体"/>
          <w:color w:val="auto"/>
          <w:sz w:val="21"/>
          <w:szCs w:val="21"/>
          <w:highlight w:val="none"/>
        </w:rPr>
      </w:pPr>
      <w:r>
        <w:rPr>
          <w:rFonts w:hint="eastAsia" w:hAnsi="宋体" w:cs="宋体"/>
          <w:color w:val="auto"/>
          <w:sz w:val="21"/>
          <w:szCs w:val="21"/>
          <w:highlight w:val="none"/>
        </w:rPr>
        <w:t>法律依据：</w:t>
      </w:r>
      <w:r>
        <w:rPr>
          <w:rFonts w:hint="eastAsia" w:hAnsi="宋体" w:cs="宋体"/>
          <w:color w:val="auto"/>
          <w:sz w:val="21"/>
          <w:szCs w:val="21"/>
          <w:highlight w:val="none"/>
          <w:u w:val="single"/>
        </w:rPr>
        <w:t xml:space="preserve">                                                        </w:t>
      </w:r>
      <w:r>
        <w:rPr>
          <w:rFonts w:hint="eastAsia" w:hAnsi="宋体" w:cs="宋体"/>
          <w:bCs/>
          <w:color w:val="auto"/>
          <w:sz w:val="21"/>
          <w:szCs w:val="21"/>
          <w:highlight w:val="none"/>
          <w:u w:val="single"/>
        </w:rPr>
        <w:t xml:space="preserve">               </w:t>
      </w:r>
    </w:p>
    <w:p w14:paraId="07DF34D5">
      <w:pPr>
        <w:pStyle w:val="15"/>
        <w:spacing w:line="360" w:lineRule="auto"/>
        <w:ind w:left="25" w:leftChars="12" w:firstLine="413" w:firstLineChars="197"/>
        <w:contextualSpacing/>
        <w:rPr>
          <w:rFonts w:hAnsi="宋体" w:cs="宋体"/>
          <w:color w:val="auto"/>
          <w:sz w:val="21"/>
          <w:szCs w:val="21"/>
          <w:highlight w:val="none"/>
        </w:rPr>
      </w:pPr>
      <w:r>
        <w:rPr>
          <w:rFonts w:hint="eastAsia" w:hAnsi="宋体" w:cs="宋体"/>
          <w:color w:val="auto"/>
          <w:sz w:val="21"/>
          <w:szCs w:val="21"/>
          <w:highlight w:val="none"/>
        </w:rPr>
        <w:t>质疑事项2</w:t>
      </w:r>
    </w:p>
    <w:p w14:paraId="5A961A68">
      <w:pPr>
        <w:pStyle w:val="15"/>
        <w:spacing w:line="360" w:lineRule="auto"/>
        <w:ind w:left="25" w:leftChars="12" w:firstLine="413" w:firstLineChars="197"/>
        <w:contextualSpacing/>
        <w:rPr>
          <w:rFonts w:hAnsi="宋体" w:cs="宋体"/>
          <w:color w:val="auto"/>
          <w:sz w:val="21"/>
          <w:szCs w:val="21"/>
          <w:highlight w:val="none"/>
        </w:rPr>
      </w:pPr>
      <w:r>
        <w:rPr>
          <w:rFonts w:hint="eastAsia" w:hAnsi="宋体" w:cs="宋体"/>
          <w:color w:val="auto"/>
          <w:sz w:val="21"/>
          <w:szCs w:val="21"/>
          <w:highlight w:val="none"/>
        </w:rPr>
        <w:t>……</w:t>
      </w:r>
    </w:p>
    <w:p w14:paraId="750AD246">
      <w:pPr>
        <w:pStyle w:val="15"/>
        <w:spacing w:line="360" w:lineRule="auto"/>
        <w:ind w:left="25" w:leftChars="12" w:firstLine="413" w:firstLineChars="197"/>
        <w:contextualSpacing/>
        <w:rPr>
          <w:rFonts w:hAnsi="宋体" w:cs="宋体"/>
          <w:color w:val="auto"/>
          <w:sz w:val="21"/>
          <w:szCs w:val="21"/>
          <w:highlight w:val="none"/>
        </w:rPr>
      </w:pPr>
      <w:r>
        <w:rPr>
          <w:rFonts w:hint="eastAsia" w:hAnsi="宋体" w:cs="宋体"/>
          <w:color w:val="auto"/>
          <w:sz w:val="21"/>
          <w:szCs w:val="21"/>
          <w:highlight w:val="none"/>
        </w:rPr>
        <w:t>四、与质疑事项相关的质疑请求：</w:t>
      </w:r>
    </w:p>
    <w:p w14:paraId="23239006">
      <w:pPr>
        <w:pStyle w:val="15"/>
        <w:spacing w:line="360" w:lineRule="auto"/>
        <w:ind w:left="25" w:leftChars="12" w:firstLine="413" w:firstLineChars="197"/>
        <w:contextualSpacing/>
        <w:rPr>
          <w:rFonts w:hAnsi="宋体" w:cs="宋体"/>
          <w:color w:val="auto"/>
          <w:sz w:val="21"/>
          <w:szCs w:val="21"/>
          <w:highlight w:val="none"/>
        </w:rPr>
      </w:pPr>
      <w:r>
        <w:rPr>
          <w:rFonts w:hint="eastAsia" w:hAnsi="宋体" w:cs="宋体"/>
          <w:color w:val="auto"/>
          <w:sz w:val="21"/>
          <w:szCs w:val="21"/>
          <w:highlight w:val="none"/>
        </w:rPr>
        <w:t>请求：</w:t>
      </w:r>
      <w:r>
        <w:rPr>
          <w:rFonts w:hint="eastAsia" w:hAnsi="宋体" w:cs="宋体"/>
          <w:bCs/>
          <w:color w:val="auto"/>
          <w:sz w:val="21"/>
          <w:szCs w:val="21"/>
          <w:highlight w:val="none"/>
          <w:u w:val="single"/>
        </w:rPr>
        <w:t xml:space="preserve">                                                                </w:t>
      </w:r>
    </w:p>
    <w:p w14:paraId="2B1310F0">
      <w:pPr>
        <w:pStyle w:val="15"/>
        <w:spacing w:line="360" w:lineRule="auto"/>
        <w:ind w:left="25" w:leftChars="12" w:firstLine="308" w:firstLineChars="147"/>
        <w:contextualSpacing/>
        <w:rPr>
          <w:rFonts w:hAnsi="宋体" w:cs="宋体"/>
          <w:color w:val="auto"/>
          <w:sz w:val="21"/>
          <w:szCs w:val="21"/>
          <w:highlight w:val="none"/>
        </w:rPr>
      </w:pPr>
    </w:p>
    <w:p w14:paraId="3AFAADC7">
      <w:pPr>
        <w:pStyle w:val="15"/>
        <w:spacing w:line="360" w:lineRule="auto"/>
        <w:ind w:left="25" w:leftChars="12" w:firstLine="413" w:firstLineChars="197"/>
        <w:contextualSpacing/>
        <w:rPr>
          <w:rFonts w:hAnsi="宋体" w:cs="宋体"/>
          <w:color w:val="auto"/>
          <w:sz w:val="21"/>
          <w:szCs w:val="21"/>
          <w:highlight w:val="none"/>
        </w:rPr>
      </w:pPr>
      <w:r>
        <w:rPr>
          <w:rFonts w:hint="eastAsia" w:hAnsi="宋体" w:cs="宋体"/>
          <w:color w:val="auto"/>
          <w:sz w:val="21"/>
          <w:szCs w:val="21"/>
          <w:highlight w:val="none"/>
        </w:rPr>
        <w:t>签字（签章）：                                       公章：</w:t>
      </w:r>
    </w:p>
    <w:p w14:paraId="46EE4C04">
      <w:pPr>
        <w:pStyle w:val="15"/>
        <w:spacing w:line="360" w:lineRule="auto"/>
        <w:ind w:left="25" w:leftChars="12" w:firstLine="308" w:firstLineChars="147"/>
        <w:contextualSpacing/>
        <w:rPr>
          <w:rFonts w:hAnsi="宋体" w:cs="宋体"/>
          <w:color w:val="auto"/>
          <w:sz w:val="21"/>
          <w:szCs w:val="21"/>
          <w:highlight w:val="none"/>
        </w:rPr>
      </w:pPr>
    </w:p>
    <w:p w14:paraId="4CD2004B">
      <w:pPr>
        <w:pStyle w:val="15"/>
        <w:spacing w:line="360" w:lineRule="auto"/>
        <w:ind w:left="25" w:leftChars="12" w:firstLine="413" w:firstLineChars="197"/>
        <w:contextualSpacing/>
        <w:rPr>
          <w:rFonts w:hAnsi="宋体" w:cs="宋体"/>
          <w:color w:val="auto"/>
          <w:sz w:val="21"/>
          <w:szCs w:val="21"/>
          <w:highlight w:val="none"/>
        </w:rPr>
      </w:pPr>
      <w:r>
        <w:rPr>
          <w:rFonts w:hint="eastAsia" w:hAnsi="宋体" w:cs="宋体"/>
          <w:color w:val="auto"/>
          <w:sz w:val="21"/>
          <w:szCs w:val="21"/>
          <w:highlight w:val="none"/>
        </w:rPr>
        <w:t>日期：</w:t>
      </w:r>
    </w:p>
    <w:p w14:paraId="76E60222">
      <w:pPr>
        <w:pStyle w:val="15"/>
        <w:spacing w:line="360" w:lineRule="auto"/>
        <w:rPr>
          <w:rFonts w:hAnsi="宋体" w:cs="宋体"/>
          <w:b/>
          <w:color w:val="auto"/>
          <w:sz w:val="21"/>
          <w:szCs w:val="21"/>
          <w:highlight w:val="none"/>
        </w:rPr>
      </w:pPr>
    </w:p>
    <w:p w14:paraId="7C590CE6">
      <w:pPr>
        <w:pStyle w:val="15"/>
        <w:spacing w:line="360" w:lineRule="auto"/>
        <w:rPr>
          <w:rFonts w:hAnsi="宋体" w:cs="宋体"/>
          <w:b/>
          <w:color w:val="auto"/>
          <w:sz w:val="21"/>
          <w:szCs w:val="21"/>
          <w:highlight w:val="none"/>
        </w:rPr>
      </w:pPr>
    </w:p>
    <w:p w14:paraId="7184CDCB">
      <w:pPr>
        <w:pStyle w:val="15"/>
        <w:spacing w:line="360" w:lineRule="auto"/>
        <w:rPr>
          <w:rFonts w:hint="eastAsia" w:hAnsi="宋体" w:cs="宋体"/>
          <w:b/>
          <w:color w:val="auto"/>
          <w:sz w:val="21"/>
          <w:szCs w:val="21"/>
          <w:highlight w:val="none"/>
        </w:rPr>
      </w:pPr>
    </w:p>
    <w:p w14:paraId="2B761525">
      <w:pPr>
        <w:pStyle w:val="15"/>
        <w:spacing w:line="360" w:lineRule="auto"/>
        <w:rPr>
          <w:rFonts w:hint="eastAsia" w:hAnsi="宋体" w:cs="宋体"/>
          <w:b/>
          <w:color w:val="auto"/>
          <w:sz w:val="21"/>
          <w:szCs w:val="21"/>
          <w:highlight w:val="none"/>
        </w:rPr>
      </w:pPr>
    </w:p>
    <w:p w14:paraId="08FFD6BA">
      <w:pPr>
        <w:pStyle w:val="15"/>
        <w:spacing w:line="360" w:lineRule="auto"/>
        <w:rPr>
          <w:rFonts w:hint="eastAsia" w:hAnsi="宋体" w:cs="宋体"/>
          <w:b/>
          <w:color w:val="auto"/>
          <w:sz w:val="21"/>
          <w:szCs w:val="21"/>
          <w:highlight w:val="none"/>
        </w:rPr>
      </w:pPr>
    </w:p>
    <w:p w14:paraId="3C4F88F6">
      <w:pPr>
        <w:pStyle w:val="15"/>
        <w:spacing w:line="360" w:lineRule="auto"/>
        <w:rPr>
          <w:rFonts w:hint="eastAsia" w:hAnsi="宋体" w:cs="宋体"/>
          <w:b/>
          <w:color w:val="auto"/>
          <w:sz w:val="21"/>
          <w:szCs w:val="21"/>
          <w:highlight w:val="none"/>
        </w:rPr>
      </w:pPr>
    </w:p>
    <w:p w14:paraId="42DFD80B">
      <w:pPr>
        <w:pStyle w:val="15"/>
        <w:spacing w:line="360" w:lineRule="auto"/>
        <w:rPr>
          <w:rFonts w:hint="eastAsia" w:hAnsi="宋体" w:cs="宋体"/>
          <w:b/>
          <w:color w:val="auto"/>
          <w:sz w:val="21"/>
          <w:szCs w:val="21"/>
          <w:highlight w:val="none"/>
        </w:rPr>
      </w:pPr>
    </w:p>
    <w:p w14:paraId="3EBC4E75">
      <w:pPr>
        <w:pStyle w:val="15"/>
        <w:spacing w:line="360" w:lineRule="auto"/>
        <w:rPr>
          <w:rFonts w:hAnsi="宋体" w:cs="宋体"/>
          <w:b/>
          <w:color w:val="auto"/>
          <w:sz w:val="21"/>
          <w:szCs w:val="21"/>
          <w:highlight w:val="none"/>
        </w:rPr>
      </w:pPr>
      <w:r>
        <w:rPr>
          <w:rFonts w:hint="eastAsia" w:hAnsi="宋体" w:cs="宋体"/>
          <w:b/>
          <w:color w:val="auto"/>
          <w:sz w:val="21"/>
          <w:szCs w:val="21"/>
          <w:highlight w:val="none"/>
        </w:rPr>
        <w:t>说明：</w:t>
      </w:r>
    </w:p>
    <w:p w14:paraId="36D6806D">
      <w:pPr>
        <w:pStyle w:val="15"/>
        <w:spacing w:line="360" w:lineRule="auto"/>
        <w:ind w:left="25" w:leftChars="12" w:firstLine="310" w:firstLineChars="147"/>
        <w:contextualSpacing/>
        <w:rPr>
          <w:rFonts w:hAnsi="宋体" w:cs="宋体"/>
          <w:b/>
          <w:bCs/>
          <w:color w:val="auto"/>
          <w:sz w:val="21"/>
          <w:szCs w:val="21"/>
          <w:highlight w:val="none"/>
        </w:rPr>
      </w:pPr>
      <w:r>
        <w:rPr>
          <w:rFonts w:hint="eastAsia" w:hAnsi="宋体" w:cs="宋体"/>
          <w:b/>
          <w:color w:val="auto"/>
          <w:sz w:val="21"/>
          <w:szCs w:val="21"/>
          <w:highlight w:val="none"/>
        </w:rPr>
        <w:t>1.供应商提出质疑时，应提交质疑函和必要的证明材料</w:t>
      </w:r>
      <w:r>
        <w:rPr>
          <w:rFonts w:hint="eastAsia" w:hAnsi="宋体" w:cs="宋体"/>
          <w:b/>
          <w:bCs/>
          <w:color w:val="auto"/>
          <w:sz w:val="21"/>
          <w:szCs w:val="21"/>
          <w:highlight w:val="none"/>
        </w:rPr>
        <w:t>。</w:t>
      </w:r>
    </w:p>
    <w:p w14:paraId="73ABA513">
      <w:pPr>
        <w:pStyle w:val="15"/>
        <w:spacing w:line="360" w:lineRule="auto"/>
        <w:ind w:left="25" w:leftChars="12" w:firstLine="310" w:firstLineChars="147"/>
        <w:contextualSpacing/>
        <w:rPr>
          <w:rFonts w:hAnsi="宋体" w:cs="宋体"/>
          <w:b/>
          <w:color w:val="auto"/>
          <w:sz w:val="21"/>
          <w:szCs w:val="21"/>
          <w:highlight w:val="none"/>
        </w:rPr>
      </w:pPr>
      <w:r>
        <w:rPr>
          <w:rFonts w:hint="eastAsia" w:hAnsi="宋体" w:cs="宋体"/>
          <w:b/>
          <w:color w:val="auto"/>
          <w:sz w:val="21"/>
          <w:szCs w:val="21"/>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221CAD98">
      <w:pPr>
        <w:pStyle w:val="15"/>
        <w:spacing w:line="360" w:lineRule="auto"/>
        <w:ind w:left="25" w:leftChars="12" w:firstLine="310" w:firstLineChars="147"/>
        <w:contextualSpacing/>
        <w:rPr>
          <w:rFonts w:hAnsi="宋体" w:cs="宋体"/>
          <w:b/>
          <w:color w:val="auto"/>
          <w:sz w:val="21"/>
          <w:szCs w:val="21"/>
          <w:highlight w:val="none"/>
        </w:rPr>
      </w:pPr>
      <w:r>
        <w:rPr>
          <w:rFonts w:hint="eastAsia" w:hAnsi="宋体" w:cs="宋体"/>
          <w:b/>
          <w:color w:val="auto"/>
          <w:sz w:val="21"/>
          <w:szCs w:val="21"/>
          <w:highlight w:val="none"/>
        </w:rPr>
        <w:t>3.质疑函的质疑事项应具体、明确，并有必要的事实依据和法律依据。</w:t>
      </w:r>
    </w:p>
    <w:p w14:paraId="746BD3B5">
      <w:pPr>
        <w:pStyle w:val="15"/>
        <w:spacing w:line="360" w:lineRule="auto"/>
        <w:ind w:left="25" w:leftChars="12" w:firstLine="310" w:firstLineChars="147"/>
        <w:contextualSpacing/>
        <w:rPr>
          <w:rFonts w:hAnsi="宋体" w:cs="宋体"/>
          <w:b/>
          <w:color w:val="auto"/>
          <w:sz w:val="21"/>
          <w:szCs w:val="21"/>
          <w:highlight w:val="none"/>
        </w:rPr>
      </w:pPr>
      <w:r>
        <w:rPr>
          <w:rFonts w:hint="eastAsia" w:hAnsi="宋体" w:cs="宋体"/>
          <w:b/>
          <w:color w:val="auto"/>
          <w:sz w:val="21"/>
          <w:szCs w:val="21"/>
          <w:highlight w:val="none"/>
        </w:rPr>
        <w:t>4.质疑函的质疑请求应与质疑事项相关。</w:t>
      </w:r>
    </w:p>
    <w:p w14:paraId="4C387E14">
      <w:pPr>
        <w:pStyle w:val="15"/>
        <w:spacing w:line="360" w:lineRule="auto"/>
        <w:ind w:left="25" w:leftChars="12" w:firstLine="310" w:firstLineChars="147"/>
        <w:contextualSpacing/>
        <w:rPr>
          <w:rFonts w:hAnsi="宋体" w:cs="宋体"/>
          <w:b/>
          <w:color w:val="auto"/>
          <w:sz w:val="21"/>
          <w:szCs w:val="21"/>
          <w:highlight w:val="none"/>
        </w:rPr>
      </w:pPr>
      <w:r>
        <w:rPr>
          <w:rFonts w:hint="eastAsia" w:hAnsi="宋体" w:cs="宋体"/>
          <w:b/>
          <w:color w:val="auto"/>
          <w:sz w:val="21"/>
          <w:szCs w:val="21"/>
          <w:highlight w:val="none"/>
        </w:rPr>
        <w:t>5.质疑供应商为法人或者其他组织的，质疑函应由法定代表人、主要负责人，或者其授权代表签字或者盖章，并加盖公章。</w:t>
      </w:r>
    </w:p>
    <w:p w14:paraId="045C0104">
      <w:pPr>
        <w:pStyle w:val="15"/>
        <w:snapToGrid w:val="0"/>
        <w:rPr>
          <w:rFonts w:hAnsi="宋体" w:cs="宋体"/>
          <w:b/>
          <w:color w:val="auto"/>
          <w:sz w:val="21"/>
          <w:szCs w:val="21"/>
          <w:highlight w:val="none"/>
        </w:rPr>
      </w:pPr>
    </w:p>
    <w:p w14:paraId="77817C24">
      <w:pPr>
        <w:spacing w:line="460" w:lineRule="exact"/>
        <w:jc w:val="center"/>
        <w:rPr>
          <w:rFonts w:ascii="宋体" w:hAnsi="宋体" w:cs="宋体"/>
          <w:color w:val="auto"/>
          <w:sz w:val="44"/>
          <w:highlight w:val="none"/>
        </w:rPr>
      </w:pPr>
      <w:r>
        <w:rPr>
          <w:rFonts w:hint="eastAsia" w:ascii="宋体" w:hAnsi="宋体" w:cs="宋体"/>
          <w:color w:val="auto"/>
          <w:sz w:val="44"/>
          <w:highlight w:val="none"/>
        </w:rPr>
        <w:br w:type="page"/>
      </w:r>
    </w:p>
    <w:p w14:paraId="4DCE81C6">
      <w:pPr>
        <w:spacing w:line="36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投诉书（格式）</w:t>
      </w:r>
    </w:p>
    <w:p w14:paraId="6BB45068">
      <w:pPr>
        <w:pStyle w:val="15"/>
        <w:snapToGrid w:val="0"/>
        <w:spacing w:line="360" w:lineRule="auto"/>
        <w:ind w:firstLine="422" w:firstLineChars="200"/>
        <w:rPr>
          <w:rFonts w:hAnsi="宋体" w:cs="宋体"/>
          <w:b/>
          <w:bCs/>
          <w:color w:val="auto"/>
          <w:sz w:val="21"/>
          <w:szCs w:val="21"/>
          <w:highlight w:val="none"/>
        </w:rPr>
      </w:pPr>
      <w:r>
        <w:rPr>
          <w:rFonts w:hint="eastAsia" w:hAnsi="宋体" w:cs="宋体"/>
          <w:b/>
          <w:bCs/>
          <w:color w:val="auto"/>
          <w:sz w:val="21"/>
          <w:szCs w:val="21"/>
          <w:highlight w:val="none"/>
        </w:rPr>
        <w:t>一、投诉相关主体基本情况：</w:t>
      </w:r>
    </w:p>
    <w:p w14:paraId="287E1082">
      <w:pPr>
        <w:pStyle w:val="15"/>
        <w:snapToGrid w:val="0"/>
        <w:spacing w:line="360" w:lineRule="auto"/>
        <w:ind w:firstLine="420" w:firstLineChars="200"/>
        <w:rPr>
          <w:rFonts w:hAnsi="宋体" w:cs="宋体"/>
          <w:bCs/>
          <w:color w:val="auto"/>
          <w:sz w:val="21"/>
          <w:szCs w:val="21"/>
          <w:highlight w:val="none"/>
          <w:u w:val="single"/>
        </w:rPr>
      </w:pPr>
      <w:r>
        <w:rPr>
          <w:rFonts w:hint="eastAsia" w:hAnsi="宋体" w:cs="宋体"/>
          <w:bCs/>
          <w:color w:val="auto"/>
          <w:sz w:val="21"/>
          <w:szCs w:val="21"/>
          <w:highlight w:val="none"/>
        </w:rPr>
        <w:t>供应商：</w:t>
      </w:r>
      <w:r>
        <w:rPr>
          <w:rFonts w:hint="eastAsia" w:hAnsi="宋体" w:cs="宋体"/>
          <w:bCs/>
          <w:color w:val="auto"/>
          <w:sz w:val="21"/>
          <w:szCs w:val="21"/>
          <w:highlight w:val="none"/>
          <w:u w:val="single"/>
        </w:rPr>
        <w:t xml:space="preserve">                                                                        </w:t>
      </w:r>
      <w:r>
        <w:rPr>
          <w:rFonts w:hint="eastAsia" w:hAnsi="宋体" w:cs="宋体"/>
          <w:bCs/>
          <w:color w:val="auto"/>
          <w:sz w:val="21"/>
          <w:szCs w:val="21"/>
          <w:highlight w:val="none"/>
        </w:rPr>
        <w:t xml:space="preserve">                 </w:t>
      </w:r>
    </w:p>
    <w:p w14:paraId="0EDB74B0">
      <w:pPr>
        <w:pStyle w:val="15"/>
        <w:snapToGrid w:val="0"/>
        <w:spacing w:line="360" w:lineRule="auto"/>
        <w:ind w:firstLine="420" w:firstLineChars="200"/>
        <w:rPr>
          <w:rFonts w:hAnsi="宋体" w:cs="宋体"/>
          <w:bCs/>
          <w:color w:val="auto"/>
          <w:sz w:val="21"/>
          <w:szCs w:val="21"/>
          <w:highlight w:val="none"/>
        </w:rPr>
      </w:pPr>
      <w:r>
        <w:rPr>
          <w:rFonts w:hint="eastAsia" w:hAnsi="宋体" w:cs="宋体"/>
          <w:bCs/>
          <w:color w:val="auto"/>
          <w:sz w:val="21"/>
          <w:szCs w:val="21"/>
          <w:highlight w:val="none"/>
        </w:rPr>
        <w:t>地址：</w:t>
      </w:r>
      <w:r>
        <w:rPr>
          <w:rFonts w:hint="eastAsia" w:hAnsi="宋体" w:cs="宋体"/>
          <w:bCs/>
          <w:color w:val="auto"/>
          <w:sz w:val="21"/>
          <w:szCs w:val="21"/>
          <w:highlight w:val="none"/>
          <w:u w:val="single"/>
        </w:rPr>
        <w:t xml:space="preserve">                                          </w:t>
      </w:r>
      <w:r>
        <w:rPr>
          <w:rFonts w:hint="eastAsia" w:hAnsi="宋体" w:cs="宋体"/>
          <w:bCs/>
          <w:color w:val="auto"/>
          <w:sz w:val="21"/>
          <w:szCs w:val="21"/>
          <w:highlight w:val="none"/>
        </w:rPr>
        <w:t>邮编：</w:t>
      </w:r>
      <w:r>
        <w:rPr>
          <w:rFonts w:hint="eastAsia" w:hAnsi="宋体" w:cs="宋体"/>
          <w:bCs/>
          <w:color w:val="auto"/>
          <w:sz w:val="21"/>
          <w:szCs w:val="21"/>
          <w:highlight w:val="none"/>
          <w:u w:val="single"/>
        </w:rPr>
        <w:t xml:space="preserve">                          </w:t>
      </w:r>
      <w:r>
        <w:rPr>
          <w:rFonts w:hint="eastAsia" w:hAnsi="宋体" w:cs="宋体"/>
          <w:bCs/>
          <w:color w:val="auto"/>
          <w:sz w:val="21"/>
          <w:szCs w:val="21"/>
          <w:highlight w:val="none"/>
        </w:rPr>
        <w:t xml:space="preserve">                 </w:t>
      </w:r>
    </w:p>
    <w:p w14:paraId="0672B7F9">
      <w:pPr>
        <w:pStyle w:val="15"/>
        <w:snapToGrid w:val="0"/>
        <w:spacing w:line="360" w:lineRule="auto"/>
        <w:ind w:firstLine="420" w:firstLineChars="200"/>
        <w:rPr>
          <w:rFonts w:hAnsi="宋体" w:cs="宋体"/>
          <w:bCs/>
          <w:color w:val="auto"/>
          <w:sz w:val="21"/>
          <w:szCs w:val="21"/>
          <w:highlight w:val="none"/>
          <w:u w:val="single"/>
        </w:rPr>
      </w:pPr>
      <w:r>
        <w:rPr>
          <w:rFonts w:hint="eastAsia" w:hAnsi="宋体" w:cs="宋体"/>
          <w:bCs/>
          <w:color w:val="auto"/>
          <w:sz w:val="21"/>
          <w:szCs w:val="21"/>
          <w:highlight w:val="none"/>
        </w:rPr>
        <w:t>法定代表人/主要负责人：</w:t>
      </w:r>
      <w:r>
        <w:rPr>
          <w:rFonts w:hint="eastAsia" w:hAnsi="宋体" w:cs="宋体"/>
          <w:bCs/>
          <w:color w:val="auto"/>
          <w:sz w:val="21"/>
          <w:szCs w:val="21"/>
          <w:highlight w:val="none"/>
          <w:u w:val="single"/>
        </w:rPr>
        <w:t xml:space="preserve">                                                         </w:t>
      </w:r>
    </w:p>
    <w:p w14:paraId="249CDDD7">
      <w:pPr>
        <w:pStyle w:val="15"/>
        <w:snapToGrid w:val="0"/>
        <w:spacing w:line="360" w:lineRule="auto"/>
        <w:ind w:firstLine="420" w:firstLineChars="200"/>
        <w:rPr>
          <w:rFonts w:hAnsi="宋体" w:cs="宋体"/>
          <w:bCs/>
          <w:color w:val="auto"/>
          <w:sz w:val="21"/>
          <w:szCs w:val="21"/>
          <w:highlight w:val="none"/>
        </w:rPr>
      </w:pPr>
      <w:r>
        <w:rPr>
          <w:rFonts w:hint="eastAsia" w:hAnsi="宋体" w:cs="宋体"/>
          <w:bCs/>
          <w:color w:val="auto"/>
          <w:sz w:val="21"/>
          <w:szCs w:val="21"/>
          <w:highlight w:val="none"/>
        </w:rPr>
        <w:t>联系电话：</w:t>
      </w:r>
      <w:r>
        <w:rPr>
          <w:rFonts w:hint="eastAsia" w:hAnsi="宋体" w:cs="宋体"/>
          <w:bCs/>
          <w:color w:val="auto"/>
          <w:sz w:val="21"/>
          <w:szCs w:val="21"/>
          <w:highlight w:val="none"/>
          <w:u w:val="single"/>
        </w:rPr>
        <w:t xml:space="preserve">                                         </w:t>
      </w:r>
    </w:p>
    <w:p w14:paraId="04EB1937">
      <w:pPr>
        <w:pStyle w:val="15"/>
        <w:snapToGrid w:val="0"/>
        <w:spacing w:line="360" w:lineRule="auto"/>
        <w:ind w:firstLine="420" w:firstLineChars="200"/>
        <w:rPr>
          <w:rFonts w:hAnsi="宋体" w:cs="宋体"/>
          <w:bCs/>
          <w:color w:val="auto"/>
          <w:sz w:val="21"/>
          <w:szCs w:val="21"/>
          <w:highlight w:val="none"/>
          <w:u w:val="single"/>
        </w:rPr>
      </w:pPr>
      <w:r>
        <w:rPr>
          <w:rFonts w:hint="eastAsia" w:hAnsi="宋体" w:cs="宋体"/>
          <w:bCs/>
          <w:color w:val="auto"/>
          <w:sz w:val="21"/>
          <w:szCs w:val="21"/>
          <w:highlight w:val="none"/>
        </w:rPr>
        <w:t>授权代表：</w:t>
      </w:r>
      <w:r>
        <w:rPr>
          <w:rFonts w:hint="eastAsia" w:hAnsi="宋体" w:cs="宋体"/>
          <w:bCs/>
          <w:color w:val="auto"/>
          <w:sz w:val="21"/>
          <w:szCs w:val="21"/>
          <w:highlight w:val="none"/>
          <w:u w:val="single"/>
        </w:rPr>
        <w:t xml:space="preserve">                                         </w:t>
      </w:r>
      <w:r>
        <w:rPr>
          <w:rFonts w:hint="eastAsia" w:hAnsi="宋体" w:cs="宋体"/>
          <w:bCs/>
          <w:color w:val="auto"/>
          <w:sz w:val="21"/>
          <w:szCs w:val="21"/>
          <w:highlight w:val="none"/>
        </w:rPr>
        <w:t>联系电话：</w:t>
      </w:r>
      <w:r>
        <w:rPr>
          <w:rFonts w:hint="eastAsia" w:hAnsi="宋体" w:cs="宋体"/>
          <w:bCs/>
          <w:color w:val="auto"/>
          <w:sz w:val="21"/>
          <w:szCs w:val="21"/>
          <w:highlight w:val="none"/>
          <w:u w:val="single"/>
        </w:rPr>
        <w:t xml:space="preserve">                   </w:t>
      </w:r>
    </w:p>
    <w:p w14:paraId="1A1B75DB">
      <w:pPr>
        <w:pStyle w:val="15"/>
        <w:snapToGrid w:val="0"/>
        <w:spacing w:line="360" w:lineRule="auto"/>
        <w:ind w:firstLine="420" w:firstLineChars="200"/>
        <w:rPr>
          <w:rFonts w:hAnsi="宋体" w:cs="宋体"/>
          <w:bCs/>
          <w:color w:val="auto"/>
          <w:sz w:val="21"/>
          <w:szCs w:val="21"/>
          <w:highlight w:val="none"/>
          <w:u w:val="single"/>
        </w:rPr>
      </w:pPr>
      <w:r>
        <w:rPr>
          <w:rFonts w:hint="eastAsia" w:hAnsi="宋体" w:cs="宋体"/>
          <w:bCs/>
          <w:color w:val="auto"/>
          <w:sz w:val="21"/>
          <w:szCs w:val="21"/>
          <w:highlight w:val="none"/>
        </w:rPr>
        <w:t>地址：</w:t>
      </w:r>
      <w:r>
        <w:rPr>
          <w:rFonts w:hint="eastAsia" w:hAnsi="宋体" w:cs="宋体"/>
          <w:bCs/>
          <w:color w:val="auto"/>
          <w:sz w:val="21"/>
          <w:szCs w:val="21"/>
          <w:highlight w:val="none"/>
          <w:u w:val="single"/>
        </w:rPr>
        <w:t xml:space="preserve">                                                            </w:t>
      </w:r>
    </w:p>
    <w:p w14:paraId="2D9129BF">
      <w:pPr>
        <w:pStyle w:val="15"/>
        <w:snapToGrid w:val="0"/>
        <w:spacing w:line="360" w:lineRule="auto"/>
        <w:ind w:firstLine="420" w:firstLineChars="200"/>
        <w:rPr>
          <w:rFonts w:hAnsi="宋体" w:cs="宋体"/>
          <w:bCs/>
          <w:color w:val="auto"/>
          <w:sz w:val="21"/>
          <w:szCs w:val="21"/>
          <w:highlight w:val="none"/>
        </w:rPr>
      </w:pPr>
      <w:r>
        <w:rPr>
          <w:rFonts w:hint="eastAsia" w:hAnsi="宋体" w:cs="宋体"/>
          <w:bCs/>
          <w:color w:val="auto"/>
          <w:sz w:val="21"/>
          <w:szCs w:val="21"/>
          <w:highlight w:val="none"/>
        </w:rPr>
        <w:t>邮编：</w:t>
      </w:r>
      <w:r>
        <w:rPr>
          <w:rFonts w:hint="eastAsia" w:hAnsi="宋体" w:cs="宋体"/>
          <w:bCs/>
          <w:color w:val="auto"/>
          <w:sz w:val="21"/>
          <w:szCs w:val="21"/>
          <w:highlight w:val="none"/>
          <w:u w:val="single"/>
        </w:rPr>
        <w:t xml:space="preserve">         </w:t>
      </w:r>
      <w:r>
        <w:rPr>
          <w:rFonts w:hint="eastAsia" w:hAnsi="宋体" w:cs="宋体"/>
          <w:bCs/>
          <w:color w:val="auto"/>
          <w:sz w:val="21"/>
          <w:szCs w:val="21"/>
          <w:highlight w:val="none"/>
        </w:rPr>
        <w:t xml:space="preserve">   </w:t>
      </w:r>
    </w:p>
    <w:p w14:paraId="57A7B615">
      <w:pPr>
        <w:pStyle w:val="15"/>
        <w:snapToGrid w:val="0"/>
        <w:spacing w:line="360" w:lineRule="auto"/>
        <w:ind w:firstLine="420" w:firstLineChars="200"/>
        <w:rPr>
          <w:rFonts w:hAnsi="宋体" w:cs="宋体"/>
          <w:bCs/>
          <w:color w:val="auto"/>
          <w:sz w:val="21"/>
          <w:szCs w:val="21"/>
          <w:highlight w:val="none"/>
        </w:rPr>
      </w:pPr>
      <w:r>
        <w:rPr>
          <w:rFonts w:hint="eastAsia" w:hAnsi="宋体" w:cs="宋体"/>
          <w:bCs/>
          <w:color w:val="auto"/>
          <w:sz w:val="21"/>
          <w:szCs w:val="21"/>
          <w:highlight w:val="none"/>
        </w:rPr>
        <w:t>被投诉人1：</w:t>
      </w:r>
    </w:p>
    <w:p w14:paraId="3A0BD87F">
      <w:pPr>
        <w:pStyle w:val="15"/>
        <w:snapToGrid w:val="0"/>
        <w:spacing w:line="360" w:lineRule="auto"/>
        <w:ind w:firstLine="420" w:firstLineChars="200"/>
        <w:rPr>
          <w:rFonts w:hAnsi="宋体" w:cs="宋体"/>
          <w:bCs/>
          <w:color w:val="auto"/>
          <w:sz w:val="21"/>
          <w:szCs w:val="21"/>
          <w:highlight w:val="none"/>
          <w:u w:val="single"/>
        </w:rPr>
      </w:pPr>
      <w:r>
        <w:rPr>
          <w:rFonts w:hint="eastAsia" w:hAnsi="宋体" w:cs="宋体"/>
          <w:bCs/>
          <w:color w:val="auto"/>
          <w:sz w:val="21"/>
          <w:szCs w:val="21"/>
          <w:highlight w:val="none"/>
        </w:rPr>
        <w:t>地址：</w:t>
      </w:r>
      <w:r>
        <w:rPr>
          <w:rFonts w:hint="eastAsia" w:hAnsi="宋体" w:cs="宋体"/>
          <w:bCs/>
          <w:color w:val="auto"/>
          <w:sz w:val="21"/>
          <w:szCs w:val="21"/>
          <w:highlight w:val="none"/>
          <w:u w:val="single"/>
        </w:rPr>
        <w:t xml:space="preserve">                                                            </w:t>
      </w:r>
    </w:p>
    <w:p w14:paraId="3A063C46">
      <w:pPr>
        <w:pStyle w:val="15"/>
        <w:snapToGrid w:val="0"/>
        <w:spacing w:line="360" w:lineRule="auto"/>
        <w:ind w:firstLine="420" w:firstLineChars="200"/>
        <w:rPr>
          <w:rFonts w:hAnsi="宋体" w:cs="宋体"/>
          <w:bCs/>
          <w:color w:val="auto"/>
          <w:sz w:val="21"/>
          <w:szCs w:val="21"/>
          <w:highlight w:val="none"/>
        </w:rPr>
      </w:pPr>
      <w:r>
        <w:rPr>
          <w:rFonts w:hint="eastAsia" w:hAnsi="宋体" w:cs="宋体"/>
          <w:bCs/>
          <w:color w:val="auto"/>
          <w:sz w:val="21"/>
          <w:szCs w:val="21"/>
          <w:highlight w:val="none"/>
        </w:rPr>
        <w:t>邮编：</w:t>
      </w:r>
      <w:r>
        <w:rPr>
          <w:rFonts w:hint="eastAsia" w:hAnsi="宋体" w:cs="宋体"/>
          <w:bCs/>
          <w:color w:val="auto"/>
          <w:sz w:val="21"/>
          <w:szCs w:val="21"/>
          <w:highlight w:val="none"/>
          <w:u w:val="single"/>
        </w:rPr>
        <w:t xml:space="preserve">         </w:t>
      </w:r>
      <w:r>
        <w:rPr>
          <w:rFonts w:hint="eastAsia" w:hAnsi="宋体" w:cs="宋体"/>
          <w:bCs/>
          <w:color w:val="auto"/>
          <w:sz w:val="21"/>
          <w:szCs w:val="21"/>
          <w:highlight w:val="none"/>
        </w:rPr>
        <w:t xml:space="preserve">  </w:t>
      </w:r>
    </w:p>
    <w:p w14:paraId="403355CA">
      <w:pPr>
        <w:pStyle w:val="15"/>
        <w:snapToGrid w:val="0"/>
        <w:spacing w:line="360" w:lineRule="auto"/>
        <w:ind w:firstLine="420" w:firstLineChars="200"/>
        <w:rPr>
          <w:rFonts w:hAnsi="宋体" w:cs="宋体"/>
          <w:bCs/>
          <w:color w:val="auto"/>
          <w:sz w:val="21"/>
          <w:szCs w:val="21"/>
          <w:highlight w:val="none"/>
          <w:u w:val="single"/>
        </w:rPr>
      </w:pPr>
      <w:r>
        <w:rPr>
          <w:rFonts w:hint="eastAsia" w:hAnsi="宋体" w:cs="宋体"/>
          <w:bCs/>
          <w:color w:val="auto"/>
          <w:sz w:val="21"/>
          <w:szCs w:val="21"/>
          <w:highlight w:val="none"/>
        </w:rPr>
        <w:t>联系人：</w:t>
      </w:r>
      <w:r>
        <w:rPr>
          <w:rFonts w:hint="eastAsia" w:hAnsi="宋体" w:cs="宋体"/>
          <w:bCs/>
          <w:color w:val="auto"/>
          <w:sz w:val="21"/>
          <w:szCs w:val="21"/>
          <w:highlight w:val="none"/>
          <w:u w:val="single"/>
        </w:rPr>
        <w:t xml:space="preserve">                                                </w:t>
      </w:r>
      <w:r>
        <w:rPr>
          <w:rFonts w:hint="eastAsia" w:hAnsi="宋体" w:cs="宋体"/>
          <w:bCs/>
          <w:color w:val="auto"/>
          <w:sz w:val="21"/>
          <w:szCs w:val="21"/>
          <w:highlight w:val="none"/>
        </w:rPr>
        <w:t>联系电话：</w:t>
      </w:r>
      <w:r>
        <w:rPr>
          <w:rFonts w:hint="eastAsia" w:hAnsi="宋体" w:cs="宋体"/>
          <w:bCs/>
          <w:color w:val="auto"/>
          <w:sz w:val="21"/>
          <w:szCs w:val="21"/>
          <w:highlight w:val="none"/>
          <w:u w:val="single"/>
        </w:rPr>
        <w:t xml:space="preserve">                </w:t>
      </w:r>
    </w:p>
    <w:p w14:paraId="775323D6">
      <w:pPr>
        <w:pStyle w:val="15"/>
        <w:snapToGrid w:val="0"/>
        <w:spacing w:line="360" w:lineRule="auto"/>
        <w:ind w:firstLine="420" w:firstLineChars="200"/>
        <w:rPr>
          <w:rFonts w:hAnsi="宋体" w:cs="宋体"/>
          <w:bCs/>
          <w:color w:val="auto"/>
          <w:sz w:val="21"/>
          <w:szCs w:val="21"/>
          <w:highlight w:val="none"/>
        </w:rPr>
      </w:pPr>
      <w:r>
        <w:rPr>
          <w:rFonts w:hint="eastAsia" w:hAnsi="宋体" w:cs="宋体"/>
          <w:bCs/>
          <w:color w:val="auto"/>
          <w:sz w:val="21"/>
          <w:szCs w:val="21"/>
          <w:highlight w:val="none"/>
        </w:rPr>
        <w:t>被投诉人2：</w:t>
      </w:r>
    </w:p>
    <w:p w14:paraId="19093179">
      <w:pPr>
        <w:pStyle w:val="15"/>
        <w:snapToGrid w:val="0"/>
        <w:spacing w:line="360" w:lineRule="auto"/>
        <w:ind w:firstLine="420" w:firstLineChars="200"/>
        <w:rPr>
          <w:rFonts w:hAnsi="宋体" w:cs="宋体"/>
          <w:bCs/>
          <w:color w:val="auto"/>
          <w:sz w:val="21"/>
          <w:szCs w:val="21"/>
          <w:highlight w:val="none"/>
        </w:rPr>
      </w:pPr>
      <w:r>
        <w:rPr>
          <w:rFonts w:hint="eastAsia" w:hAnsi="宋体" w:cs="宋体"/>
          <w:bCs/>
          <w:color w:val="auto"/>
          <w:sz w:val="21"/>
          <w:szCs w:val="21"/>
          <w:highlight w:val="none"/>
        </w:rPr>
        <w:t>……</w:t>
      </w:r>
    </w:p>
    <w:p w14:paraId="67B0C938">
      <w:pPr>
        <w:pStyle w:val="15"/>
        <w:snapToGrid w:val="0"/>
        <w:spacing w:line="360" w:lineRule="auto"/>
        <w:ind w:firstLine="420" w:firstLineChars="200"/>
        <w:rPr>
          <w:rFonts w:hAnsi="宋体" w:cs="宋体"/>
          <w:bCs/>
          <w:color w:val="auto"/>
          <w:sz w:val="21"/>
          <w:szCs w:val="21"/>
          <w:highlight w:val="none"/>
          <w:u w:val="single"/>
        </w:rPr>
      </w:pPr>
      <w:r>
        <w:rPr>
          <w:rFonts w:hint="eastAsia" w:hAnsi="宋体" w:cs="宋体"/>
          <w:bCs/>
          <w:color w:val="auto"/>
          <w:sz w:val="21"/>
          <w:szCs w:val="21"/>
          <w:highlight w:val="none"/>
        </w:rPr>
        <w:t>相关供应商：</w:t>
      </w:r>
      <w:r>
        <w:rPr>
          <w:rFonts w:hint="eastAsia" w:hAnsi="宋体" w:cs="宋体"/>
          <w:bCs/>
          <w:color w:val="auto"/>
          <w:sz w:val="21"/>
          <w:szCs w:val="21"/>
          <w:highlight w:val="none"/>
          <w:u w:val="single"/>
        </w:rPr>
        <w:t xml:space="preserve">                                                                       </w:t>
      </w:r>
    </w:p>
    <w:p w14:paraId="3AC2E9DC">
      <w:pPr>
        <w:pStyle w:val="15"/>
        <w:snapToGrid w:val="0"/>
        <w:spacing w:line="360" w:lineRule="auto"/>
        <w:ind w:firstLine="420" w:firstLineChars="200"/>
        <w:rPr>
          <w:rFonts w:hAnsi="宋体" w:cs="宋体"/>
          <w:bCs/>
          <w:color w:val="auto"/>
          <w:sz w:val="21"/>
          <w:szCs w:val="21"/>
          <w:highlight w:val="none"/>
          <w:u w:val="single"/>
        </w:rPr>
      </w:pPr>
      <w:r>
        <w:rPr>
          <w:rFonts w:hint="eastAsia" w:hAnsi="宋体" w:cs="宋体"/>
          <w:bCs/>
          <w:color w:val="auto"/>
          <w:sz w:val="21"/>
          <w:szCs w:val="21"/>
          <w:highlight w:val="none"/>
        </w:rPr>
        <w:t>地址：</w:t>
      </w:r>
      <w:r>
        <w:rPr>
          <w:rFonts w:hint="eastAsia" w:hAnsi="宋体" w:cs="宋体"/>
          <w:bCs/>
          <w:color w:val="auto"/>
          <w:sz w:val="21"/>
          <w:szCs w:val="21"/>
          <w:highlight w:val="none"/>
          <w:u w:val="single"/>
        </w:rPr>
        <w:t xml:space="preserve">                                              </w:t>
      </w:r>
      <w:r>
        <w:rPr>
          <w:rFonts w:hint="eastAsia" w:hAnsi="宋体" w:cs="宋体"/>
          <w:bCs/>
          <w:color w:val="auto"/>
          <w:sz w:val="21"/>
          <w:szCs w:val="21"/>
          <w:highlight w:val="none"/>
        </w:rPr>
        <w:t>邮编：</w:t>
      </w:r>
      <w:r>
        <w:rPr>
          <w:rFonts w:hint="eastAsia" w:hAnsi="宋体" w:cs="宋体"/>
          <w:bCs/>
          <w:color w:val="auto"/>
          <w:sz w:val="21"/>
          <w:szCs w:val="21"/>
          <w:highlight w:val="none"/>
          <w:u w:val="single"/>
        </w:rPr>
        <w:t xml:space="preserve">                         </w:t>
      </w:r>
    </w:p>
    <w:p w14:paraId="00D9B362">
      <w:pPr>
        <w:pStyle w:val="15"/>
        <w:snapToGrid w:val="0"/>
        <w:spacing w:line="360" w:lineRule="auto"/>
        <w:ind w:firstLine="420" w:firstLineChars="200"/>
        <w:rPr>
          <w:rFonts w:hAnsi="宋体" w:cs="宋体"/>
          <w:bCs/>
          <w:color w:val="auto"/>
          <w:sz w:val="21"/>
          <w:szCs w:val="21"/>
          <w:highlight w:val="none"/>
        </w:rPr>
      </w:pPr>
      <w:r>
        <w:rPr>
          <w:rFonts w:hint="eastAsia" w:hAnsi="宋体" w:cs="宋体"/>
          <w:bCs/>
          <w:color w:val="auto"/>
          <w:sz w:val="21"/>
          <w:szCs w:val="21"/>
          <w:highlight w:val="none"/>
        </w:rPr>
        <w:t>联系人：</w:t>
      </w:r>
      <w:r>
        <w:rPr>
          <w:rFonts w:hint="eastAsia" w:hAnsi="宋体" w:cs="宋体"/>
          <w:bCs/>
          <w:color w:val="auto"/>
          <w:sz w:val="21"/>
          <w:szCs w:val="21"/>
          <w:highlight w:val="none"/>
          <w:u w:val="single"/>
        </w:rPr>
        <w:t xml:space="preserve">                                            </w:t>
      </w:r>
      <w:r>
        <w:rPr>
          <w:rFonts w:hint="eastAsia" w:hAnsi="宋体" w:cs="宋体"/>
          <w:bCs/>
          <w:color w:val="auto"/>
          <w:sz w:val="21"/>
          <w:szCs w:val="21"/>
          <w:highlight w:val="none"/>
        </w:rPr>
        <w:t>联系电话：</w:t>
      </w:r>
      <w:r>
        <w:rPr>
          <w:rFonts w:hint="eastAsia" w:hAnsi="宋体" w:cs="宋体"/>
          <w:bCs/>
          <w:color w:val="auto"/>
          <w:sz w:val="21"/>
          <w:szCs w:val="21"/>
          <w:highlight w:val="none"/>
          <w:u w:val="single"/>
        </w:rPr>
        <w:t xml:space="preserve">                     </w:t>
      </w:r>
      <w:r>
        <w:rPr>
          <w:rFonts w:hint="eastAsia" w:hAnsi="宋体" w:cs="宋体"/>
          <w:bCs/>
          <w:color w:val="auto"/>
          <w:sz w:val="21"/>
          <w:szCs w:val="21"/>
          <w:highlight w:val="none"/>
        </w:rPr>
        <w:t xml:space="preserve">                </w:t>
      </w:r>
    </w:p>
    <w:p w14:paraId="5E879CCD">
      <w:pPr>
        <w:pStyle w:val="15"/>
        <w:snapToGrid w:val="0"/>
        <w:spacing w:line="360" w:lineRule="auto"/>
        <w:ind w:firstLine="422" w:firstLineChars="200"/>
        <w:rPr>
          <w:rFonts w:hAnsi="宋体" w:cs="宋体"/>
          <w:b/>
          <w:bCs/>
          <w:color w:val="auto"/>
          <w:sz w:val="21"/>
          <w:szCs w:val="21"/>
          <w:highlight w:val="none"/>
        </w:rPr>
      </w:pPr>
      <w:r>
        <w:rPr>
          <w:rFonts w:hint="eastAsia" w:hAnsi="宋体" w:cs="宋体"/>
          <w:b/>
          <w:bCs/>
          <w:color w:val="auto"/>
          <w:sz w:val="21"/>
          <w:szCs w:val="21"/>
          <w:highlight w:val="none"/>
        </w:rPr>
        <w:t>二、投诉项目基本情况：</w:t>
      </w:r>
    </w:p>
    <w:p w14:paraId="67B41535">
      <w:pPr>
        <w:pStyle w:val="15"/>
        <w:spacing w:line="360" w:lineRule="auto"/>
        <w:ind w:left="25" w:leftChars="12" w:firstLine="413" w:firstLineChars="197"/>
        <w:rPr>
          <w:rFonts w:hAnsi="宋体" w:cs="宋体"/>
          <w:color w:val="auto"/>
          <w:sz w:val="21"/>
          <w:szCs w:val="21"/>
          <w:highlight w:val="none"/>
        </w:rPr>
      </w:pPr>
      <w:r>
        <w:rPr>
          <w:rFonts w:hint="eastAsia" w:hAnsi="宋体" w:cs="宋体"/>
          <w:bCs/>
          <w:color w:val="auto"/>
          <w:sz w:val="21"/>
          <w:szCs w:val="21"/>
          <w:highlight w:val="none"/>
        </w:rPr>
        <w:t>采购</w:t>
      </w:r>
      <w:r>
        <w:rPr>
          <w:rFonts w:hint="eastAsia" w:hAnsi="宋体" w:cs="宋体"/>
          <w:color w:val="auto"/>
          <w:sz w:val="21"/>
          <w:szCs w:val="21"/>
          <w:highlight w:val="none"/>
        </w:rPr>
        <w:t>项目的名称：</w:t>
      </w:r>
      <w:r>
        <w:rPr>
          <w:rFonts w:hint="eastAsia" w:hAnsi="宋体" w:cs="宋体"/>
          <w:bCs/>
          <w:color w:val="auto"/>
          <w:sz w:val="21"/>
          <w:szCs w:val="21"/>
          <w:highlight w:val="none"/>
          <w:u w:val="single"/>
        </w:rPr>
        <w:t xml:space="preserve">  </w:t>
      </w:r>
      <w:bookmarkStart w:id="1444" w:name="PO_3000001868_PM002_17"/>
      <w:r>
        <w:rPr>
          <w:rFonts w:hint="eastAsia" w:hAnsi="宋体" w:cs="宋体"/>
          <w:bCs/>
          <w:color w:val="auto"/>
          <w:sz w:val="21"/>
          <w:szCs w:val="21"/>
          <w:highlight w:val="none"/>
          <w:u w:val="single"/>
        </w:rPr>
        <w:t>[项目名称]</w:t>
      </w:r>
      <w:bookmarkEnd w:id="1444"/>
      <w:r>
        <w:rPr>
          <w:rFonts w:hint="eastAsia" w:hAnsi="宋体" w:cs="宋体"/>
          <w:bCs/>
          <w:color w:val="auto"/>
          <w:sz w:val="21"/>
          <w:szCs w:val="21"/>
          <w:highlight w:val="none"/>
          <w:u w:val="single"/>
        </w:rPr>
        <w:t xml:space="preserve">    </w:t>
      </w:r>
    </w:p>
    <w:p w14:paraId="5D85B5E0">
      <w:pPr>
        <w:pStyle w:val="15"/>
        <w:spacing w:line="360" w:lineRule="auto"/>
        <w:ind w:left="25" w:leftChars="12" w:firstLine="413" w:firstLineChars="197"/>
        <w:rPr>
          <w:rFonts w:hAnsi="宋体" w:cs="宋体"/>
          <w:color w:val="auto"/>
          <w:sz w:val="21"/>
          <w:szCs w:val="21"/>
          <w:highlight w:val="none"/>
        </w:rPr>
      </w:pPr>
      <w:r>
        <w:rPr>
          <w:rFonts w:hint="eastAsia" w:hAnsi="宋体" w:cs="宋体"/>
          <w:bCs/>
          <w:color w:val="auto"/>
          <w:sz w:val="21"/>
          <w:szCs w:val="21"/>
          <w:highlight w:val="none"/>
        </w:rPr>
        <w:t>采购</w:t>
      </w:r>
      <w:r>
        <w:rPr>
          <w:rFonts w:hint="eastAsia" w:hAnsi="宋体" w:cs="宋体"/>
          <w:color w:val="auto"/>
          <w:sz w:val="21"/>
          <w:szCs w:val="21"/>
          <w:highlight w:val="none"/>
        </w:rPr>
        <w:t>项目的编号：</w:t>
      </w:r>
      <w:r>
        <w:rPr>
          <w:rFonts w:hint="eastAsia" w:hAnsi="宋体" w:cs="宋体"/>
          <w:bCs/>
          <w:color w:val="auto"/>
          <w:sz w:val="21"/>
          <w:szCs w:val="21"/>
          <w:highlight w:val="none"/>
          <w:u w:val="single"/>
        </w:rPr>
        <w:t xml:space="preserve">  </w:t>
      </w:r>
      <w:bookmarkStart w:id="1445" w:name="PO_3000001868_PM001_14"/>
      <w:r>
        <w:rPr>
          <w:rFonts w:hint="eastAsia" w:hAnsi="宋体" w:cs="宋体"/>
          <w:bCs/>
          <w:color w:val="auto"/>
          <w:sz w:val="21"/>
          <w:szCs w:val="21"/>
          <w:highlight w:val="none"/>
          <w:u w:val="single"/>
        </w:rPr>
        <w:t>[项目编号]</w:t>
      </w:r>
      <w:bookmarkEnd w:id="1445"/>
      <w:r>
        <w:rPr>
          <w:rFonts w:hint="eastAsia" w:hAnsi="宋体" w:cs="宋体"/>
          <w:bCs/>
          <w:color w:val="auto"/>
          <w:sz w:val="21"/>
          <w:szCs w:val="21"/>
          <w:highlight w:val="none"/>
          <w:u w:val="single"/>
        </w:rPr>
        <w:t xml:space="preserve">    </w:t>
      </w:r>
    </w:p>
    <w:p w14:paraId="7D20E47C">
      <w:pPr>
        <w:pStyle w:val="15"/>
        <w:spacing w:line="360" w:lineRule="auto"/>
        <w:ind w:left="25" w:leftChars="12" w:firstLine="413" w:firstLineChars="197"/>
        <w:rPr>
          <w:rFonts w:hAnsi="宋体" w:cs="宋体"/>
          <w:bCs/>
          <w:color w:val="auto"/>
          <w:sz w:val="21"/>
          <w:szCs w:val="21"/>
          <w:highlight w:val="none"/>
          <w:u w:val="single"/>
        </w:rPr>
      </w:pPr>
      <w:r>
        <w:rPr>
          <w:rFonts w:hint="eastAsia" w:hAnsi="宋体" w:cs="宋体"/>
          <w:color w:val="auto"/>
          <w:sz w:val="21"/>
          <w:szCs w:val="21"/>
          <w:highlight w:val="none"/>
        </w:rPr>
        <w:t>采购人名称：</w:t>
      </w:r>
      <w:r>
        <w:rPr>
          <w:rFonts w:hint="eastAsia" w:hAnsi="宋体" w:cs="宋体"/>
          <w:bCs/>
          <w:color w:val="auto"/>
          <w:sz w:val="21"/>
          <w:szCs w:val="21"/>
          <w:highlight w:val="none"/>
          <w:u w:val="single"/>
        </w:rPr>
        <w:t xml:space="preserve"> </w:t>
      </w:r>
      <w:bookmarkStart w:id="1446" w:name="PO_3000001868_PM026_8"/>
      <w:r>
        <w:rPr>
          <w:rFonts w:hint="eastAsia" w:hAnsi="宋体" w:cs="宋体"/>
          <w:bCs/>
          <w:color w:val="auto"/>
          <w:sz w:val="21"/>
          <w:szCs w:val="21"/>
          <w:highlight w:val="none"/>
          <w:u w:val="single"/>
        </w:rPr>
        <w:t>[采购人]</w:t>
      </w:r>
      <w:bookmarkEnd w:id="1446"/>
      <w:r>
        <w:rPr>
          <w:rFonts w:hint="eastAsia" w:hAnsi="宋体" w:cs="宋体"/>
          <w:bCs/>
          <w:color w:val="auto"/>
          <w:sz w:val="21"/>
          <w:szCs w:val="21"/>
          <w:highlight w:val="none"/>
          <w:u w:val="single"/>
        </w:rPr>
        <w:t xml:space="preserve">                </w:t>
      </w:r>
    </w:p>
    <w:p w14:paraId="19756723">
      <w:pPr>
        <w:pStyle w:val="15"/>
        <w:spacing w:line="360" w:lineRule="auto"/>
        <w:ind w:left="25" w:leftChars="12" w:firstLine="413" w:firstLineChars="197"/>
        <w:rPr>
          <w:rFonts w:hAnsi="宋体" w:cs="宋体"/>
          <w:bCs/>
          <w:color w:val="auto"/>
          <w:sz w:val="21"/>
          <w:szCs w:val="21"/>
          <w:highlight w:val="none"/>
          <w:u w:val="single"/>
        </w:rPr>
      </w:pPr>
      <w:r>
        <w:rPr>
          <w:rFonts w:hint="eastAsia" w:hAnsi="宋体" w:cs="宋体"/>
          <w:color w:val="auto"/>
          <w:sz w:val="21"/>
          <w:szCs w:val="21"/>
          <w:highlight w:val="none"/>
        </w:rPr>
        <w:t>代理机构名称：</w:t>
      </w:r>
      <w:r>
        <w:rPr>
          <w:rFonts w:hint="eastAsia" w:hAnsi="宋体" w:cs="宋体"/>
          <w:bCs/>
          <w:color w:val="auto"/>
          <w:sz w:val="21"/>
          <w:szCs w:val="21"/>
          <w:highlight w:val="none"/>
          <w:u w:val="single"/>
        </w:rPr>
        <w:t xml:space="preserve"> </w:t>
      </w:r>
      <w:bookmarkStart w:id="1447" w:name="PO_3000001868_PM031_5"/>
      <w:r>
        <w:rPr>
          <w:rFonts w:hint="eastAsia" w:hAnsi="宋体" w:cs="宋体"/>
          <w:bCs/>
          <w:color w:val="auto"/>
          <w:sz w:val="21"/>
          <w:szCs w:val="21"/>
          <w:highlight w:val="none"/>
          <w:u w:val="single"/>
        </w:rPr>
        <w:t>[采购组织机构]</w:t>
      </w:r>
      <w:bookmarkEnd w:id="1447"/>
      <w:r>
        <w:rPr>
          <w:rFonts w:hint="eastAsia" w:hAnsi="宋体" w:cs="宋体"/>
          <w:bCs/>
          <w:color w:val="auto"/>
          <w:sz w:val="21"/>
          <w:szCs w:val="21"/>
          <w:highlight w:val="none"/>
          <w:u w:val="single"/>
        </w:rPr>
        <w:t xml:space="preserve">                </w:t>
      </w:r>
    </w:p>
    <w:p w14:paraId="20C16D88">
      <w:pPr>
        <w:pStyle w:val="15"/>
        <w:spacing w:line="360" w:lineRule="auto"/>
        <w:ind w:left="25" w:leftChars="12" w:firstLine="413" w:firstLineChars="197"/>
        <w:rPr>
          <w:rFonts w:hAnsi="宋体" w:cs="宋体"/>
          <w:bCs/>
          <w:color w:val="auto"/>
          <w:sz w:val="21"/>
          <w:szCs w:val="21"/>
          <w:highlight w:val="none"/>
          <w:u w:val="single"/>
        </w:rPr>
      </w:pPr>
      <w:r>
        <w:rPr>
          <w:rFonts w:hint="eastAsia" w:hAnsi="宋体" w:cs="宋体"/>
          <w:bCs/>
          <w:color w:val="auto"/>
          <w:sz w:val="21"/>
          <w:szCs w:val="21"/>
          <w:highlight w:val="none"/>
        </w:rPr>
        <w:t>招标文件公告：</w:t>
      </w:r>
      <w:r>
        <w:rPr>
          <w:rFonts w:hint="eastAsia" w:hAnsi="宋体" w:cs="宋体"/>
          <w:bCs/>
          <w:color w:val="auto"/>
          <w:sz w:val="21"/>
          <w:szCs w:val="21"/>
          <w:highlight w:val="none"/>
          <w:u w:val="single"/>
        </w:rPr>
        <w:t>是/否</w:t>
      </w:r>
      <w:r>
        <w:rPr>
          <w:rFonts w:hint="eastAsia" w:hAnsi="宋体" w:cs="宋体"/>
          <w:bCs/>
          <w:color w:val="auto"/>
          <w:sz w:val="21"/>
          <w:szCs w:val="21"/>
          <w:highlight w:val="none"/>
        </w:rPr>
        <w:t>公告期限：</w:t>
      </w:r>
      <w:r>
        <w:rPr>
          <w:rFonts w:hint="eastAsia" w:hAnsi="宋体" w:cs="宋体"/>
          <w:bCs/>
          <w:color w:val="auto"/>
          <w:sz w:val="21"/>
          <w:szCs w:val="21"/>
          <w:highlight w:val="none"/>
          <w:u w:val="single"/>
        </w:rPr>
        <w:t xml:space="preserve">                                                       </w:t>
      </w:r>
    </w:p>
    <w:p w14:paraId="1DF6C2F2">
      <w:pPr>
        <w:pStyle w:val="15"/>
        <w:spacing w:line="360" w:lineRule="auto"/>
        <w:ind w:left="25" w:leftChars="12" w:firstLine="413" w:firstLineChars="197"/>
        <w:rPr>
          <w:rFonts w:hAnsi="宋体" w:cs="宋体"/>
          <w:b/>
          <w:color w:val="auto"/>
          <w:sz w:val="21"/>
          <w:szCs w:val="21"/>
          <w:highlight w:val="none"/>
        </w:rPr>
      </w:pPr>
      <w:r>
        <w:rPr>
          <w:rFonts w:hint="eastAsia" w:hAnsi="宋体" w:cs="宋体"/>
          <w:bCs/>
          <w:color w:val="auto"/>
          <w:sz w:val="21"/>
          <w:szCs w:val="21"/>
          <w:highlight w:val="none"/>
        </w:rPr>
        <w:t>采购结果公告：</w:t>
      </w:r>
      <w:r>
        <w:rPr>
          <w:rFonts w:hint="eastAsia" w:hAnsi="宋体" w:cs="宋体"/>
          <w:bCs/>
          <w:color w:val="auto"/>
          <w:sz w:val="21"/>
          <w:szCs w:val="21"/>
          <w:highlight w:val="none"/>
          <w:u w:val="single"/>
        </w:rPr>
        <w:t>是/否</w:t>
      </w:r>
      <w:r>
        <w:rPr>
          <w:rFonts w:hint="eastAsia" w:hAnsi="宋体" w:cs="宋体"/>
          <w:bCs/>
          <w:color w:val="auto"/>
          <w:sz w:val="21"/>
          <w:szCs w:val="21"/>
          <w:highlight w:val="none"/>
        </w:rPr>
        <w:t>公告期限：</w:t>
      </w:r>
      <w:r>
        <w:rPr>
          <w:rFonts w:hint="eastAsia" w:hAnsi="宋体" w:cs="宋体"/>
          <w:bCs/>
          <w:color w:val="auto"/>
          <w:sz w:val="21"/>
          <w:szCs w:val="21"/>
          <w:highlight w:val="none"/>
          <w:u w:val="single"/>
        </w:rPr>
        <w:t xml:space="preserve">                                                       </w:t>
      </w:r>
    </w:p>
    <w:p w14:paraId="0A240A3E">
      <w:pPr>
        <w:pStyle w:val="15"/>
        <w:spacing w:line="360" w:lineRule="auto"/>
        <w:ind w:left="25" w:leftChars="12" w:firstLine="413" w:firstLineChars="196"/>
        <w:rPr>
          <w:rFonts w:hAnsi="宋体" w:cs="宋体"/>
          <w:b/>
          <w:color w:val="auto"/>
          <w:sz w:val="21"/>
          <w:szCs w:val="21"/>
          <w:highlight w:val="none"/>
        </w:rPr>
      </w:pPr>
      <w:r>
        <w:rPr>
          <w:rFonts w:hint="eastAsia" w:hAnsi="宋体" w:cs="宋体"/>
          <w:b/>
          <w:color w:val="auto"/>
          <w:sz w:val="21"/>
          <w:szCs w:val="21"/>
          <w:highlight w:val="none"/>
        </w:rPr>
        <w:t>三、质疑基本情况</w:t>
      </w:r>
    </w:p>
    <w:p w14:paraId="37C495B1">
      <w:pPr>
        <w:pStyle w:val="15"/>
        <w:spacing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投诉人于</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年</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月</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日，向</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提出质疑，质疑事项为：</w:t>
      </w:r>
    </w:p>
    <w:p w14:paraId="7612F0E8">
      <w:pPr>
        <w:pStyle w:val="15"/>
        <w:spacing w:line="360" w:lineRule="auto"/>
        <w:ind w:firstLine="241"/>
        <w:rPr>
          <w:rFonts w:hAnsi="宋体" w:cs="宋体"/>
          <w:bCs/>
          <w:color w:val="auto"/>
          <w:sz w:val="21"/>
          <w:szCs w:val="21"/>
          <w:highlight w:val="none"/>
          <w:u w:val="single"/>
        </w:rPr>
      </w:pPr>
      <w:r>
        <w:rPr>
          <w:rFonts w:hint="eastAsia" w:hAnsi="宋体" w:cs="宋体"/>
          <w:color w:val="auto"/>
          <w:sz w:val="21"/>
          <w:szCs w:val="21"/>
          <w:highlight w:val="none"/>
        </w:rPr>
        <w:t xml:space="preserve">    </w:t>
      </w:r>
      <w:r>
        <w:rPr>
          <w:rFonts w:hint="eastAsia" w:hAnsi="宋体" w:cs="宋体"/>
          <w:bCs/>
          <w:color w:val="auto"/>
          <w:sz w:val="21"/>
          <w:szCs w:val="21"/>
          <w:highlight w:val="none"/>
          <w:u w:val="single"/>
        </w:rPr>
        <w:t xml:space="preserve">                                                                                      </w:t>
      </w:r>
    </w:p>
    <w:p w14:paraId="6E87F3D9">
      <w:pPr>
        <w:pStyle w:val="15"/>
        <w:spacing w:line="360" w:lineRule="auto"/>
        <w:ind w:firstLine="241"/>
        <w:rPr>
          <w:rFonts w:hAnsi="宋体" w:cs="宋体"/>
          <w:bCs/>
          <w:color w:val="auto"/>
          <w:sz w:val="21"/>
          <w:szCs w:val="21"/>
          <w:highlight w:val="none"/>
          <w:u w:val="single"/>
        </w:rPr>
      </w:pPr>
      <w:r>
        <w:rPr>
          <w:rFonts w:hint="eastAsia" w:hAnsi="宋体" w:cs="宋体"/>
          <w:bCs/>
          <w:color w:val="auto"/>
          <w:sz w:val="21"/>
          <w:szCs w:val="21"/>
          <w:highlight w:val="none"/>
        </w:rPr>
        <w:t xml:space="preserve">    </w:t>
      </w:r>
      <w:r>
        <w:rPr>
          <w:rFonts w:hint="eastAsia" w:hAnsi="宋体" w:cs="宋体"/>
          <w:bCs/>
          <w:color w:val="auto"/>
          <w:sz w:val="21"/>
          <w:szCs w:val="21"/>
          <w:highlight w:val="none"/>
          <w:u w:val="single"/>
        </w:rPr>
        <w:t xml:space="preserve">                                                                                      </w:t>
      </w:r>
    </w:p>
    <w:p w14:paraId="15802FC2">
      <w:pPr>
        <w:pStyle w:val="15"/>
        <w:spacing w:line="360" w:lineRule="auto"/>
        <w:ind w:firstLine="420" w:firstLineChars="200"/>
        <w:rPr>
          <w:rFonts w:hAnsi="宋体" w:cs="宋体"/>
          <w:color w:val="auto"/>
          <w:sz w:val="21"/>
          <w:szCs w:val="21"/>
          <w:highlight w:val="none"/>
        </w:rPr>
      </w:pPr>
      <w:r>
        <w:rPr>
          <w:rFonts w:hint="eastAsia" w:hAnsi="宋体" w:cs="宋体"/>
          <w:bCs/>
          <w:color w:val="auto"/>
          <w:sz w:val="21"/>
          <w:szCs w:val="21"/>
          <w:highlight w:val="none"/>
          <w:u w:val="single"/>
        </w:rPr>
        <w:t>采购人/代理机构</w:t>
      </w:r>
      <w:r>
        <w:rPr>
          <w:rFonts w:hint="eastAsia" w:hAnsi="宋体" w:cs="宋体"/>
          <w:bCs/>
          <w:color w:val="auto"/>
          <w:sz w:val="21"/>
          <w:szCs w:val="21"/>
          <w:highlight w:val="none"/>
        </w:rPr>
        <w:t>于</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年</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月</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日，</w:t>
      </w:r>
      <w:r>
        <w:rPr>
          <w:rFonts w:hint="eastAsia" w:hAnsi="宋体" w:cs="宋体"/>
          <w:bCs/>
          <w:color w:val="auto"/>
          <w:sz w:val="21"/>
          <w:szCs w:val="21"/>
          <w:highlight w:val="none"/>
        </w:rPr>
        <w:t xml:space="preserve">就质疑事项作出了答复/没有在法定期限内作出答复。                                                                                             </w:t>
      </w:r>
    </w:p>
    <w:p w14:paraId="0B5F466E">
      <w:pPr>
        <w:pStyle w:val="15"/>
        <w:spacing w:line="360" w:lineRule="auto"/>
        <w:ind w:left="25" w:leftChars="12" w:firstLine="413" w:firstLineChars="196"/>
        <w:rPr>
          <w:rFonts w:hAnsi="宋体" w:cs="宋体"/>
          <w:b/>
          <w:color w:val="auto"/>
          <w:sz w:val="21"/>
          <w:szCs w:val="21"/>
          <w:highlight w:val="none"/>
        </w:rPr>
      </w:pPr>
      <w:r>
        <w:rPr>
          <w:rFonts w:hint="eastAsia" w:hAnsi="宋体" w:cs="宋体"/>
          <w:b/>
          <w:color w:val="auto"/>
          <w:sz w:val="21"/>
          <w:szCs w:val="21"/>
          <w:highlight w:val="none"/>
        </w:rPr>
        <w:t>四、投诉事项具体内容</w:t>
      </w:r>
    </w:p>
    <w:p w14:paraId="3C10D16C">
      <w:pPr>
        <w:pStyle w:val="15"/>
        <w:spacing w:line="360" w:lineRule="auto"/>
        <w:ind w:left="25" w:leftChars="12" w:firstLine="413" w:firstLineChars="197"/>
        <w:rPr>
          <w:rFonts w:hAnsi="宋体" w:cs="宋体"/>
          <w:bCs/>
          <w:color w:val="auto"/>
          <w:sz w:val="21"/>
          <w:szCs w:val="21"/>
          <w:highlight w:val="none"/>
          <w:u w:val="single"/>
        </w:rPr>
      </w:pPr>
      <w:r>
        <w:rPr>
          <w:rFonts w:hint="eastAsia" w:hAnsi="宋体" w:cs="宋体"/>
          <w:color w:val="auto"/>
          <w:sz w:val="21"/>
          <w:szCs w:val="21"/>
          <w:highlight w:val="none"/>
        </w:rPr>
        <w:t>投诉事项1：</w:t>
      </w:r>
      <w:r>
        <w:rPr>
          <w:rFonts w:hint="eastAsia" w:hAnsi="宋体" w:cs="宋体"/>
          <w:bCs/>
          <w:color w:val="auto"/>
          <w:sz w:val="21"/>
          <w:szCs w:val="21"/>
          <w:highlight w:val="none"/>
          <w:u w:val="single"/>
        </w:rPr>
        <w:t xml:space="preserve">                                                                           </w:t>
      </w:r>
    </w:p>
    <w:p w14:paraId="70DB77A2">
      <w:pPr>
        <w:pStyle w:val="15"/>
        <w:spacing w:line="360" w:lineRule="auto"/>
        <w:ind w:firstLine="420" w:firstLineChars="200"/>
        <w:rPr>
          <w:rFonts w:hAnsi="宋体" w:cs="宋体"/>
          <w:bCs/>
          <w:color w:val="auto"/>
          <w:sz w:val="21"/>
          <w:szCs w:val="21"/>
          <w:highlight w:val="none"/>
          <w:u w:val="single"/>
        </w:rPr>
      </w:pPr>
      <w:r>
        <w:rPr>
          <w:rFonts w:hint="eastAsia" w:hAnsi="宋体" w:cs="宋体"/>
          <w:bCs/>
          <w:color w:val="auto"/>
          <w:sz w:val="21"/>
          <w:szCs w:val="21"/>
          <w:highlight w:val="none"/>
        </w:rPr>
        <w:t>事实依据：</w:t>
      </w:r>
      <w:r>
        <w:rPr>
          <w:rFonts w:hint="eastAsia" w:hAnsi="宋体" w:cs="宋体"/>
          <w:color w:val="auto"/>
          <w:sz w:val="21"/>
          <w:szCs w:val="21"/>
          <w:highlight w:val="none"/>
        </w:rPr>
        <w:t xml:space="preserve"> </w:t>
      </w:r>
      <w:r>
        <w:rPr>
          <w:rFonts w:hint="eastAsia" w:hAnsi="宋体" w:cs="宋体"/>
          <w:bCs/>
          <w:color w:val="auto"/>
          <w:sz w:val="21"/>
          <w:szCs w:val="21"/>
          <w:highlight w:val="none"/>
          <w:u w:val="single"/>
        </w:rPr>
        <w:t xml:space="preserve">                                                                                      </w:t>
      </w:r>
    </w:p>
    <w:p w14:paraId="23B53C22">
      <w:pPr>
        <w:pStyle w:val="15"/>
        <w:spacing w:line="360" w:lineRule="auto"/>
        <w:ind w:left="25" w:leftChars="12" w:firstLine="413" w:firstLineChars="197"/>
        <w:rPr>
          <w:rFonts w:hAnsi="宋体" w:cs="宋体"/>
          <w:color w:val="auto"/>
          <w:sz w:val="21"/>
          <w:szCs w:val="21"/>
          <w:highlight w:val="none"/>
        </w:rPr>
      </w:pPr>
      <w:r>
        <w:rPr>
          <w:rFonts w:hint="eastAsia" w:hAnsi="宋体" w:cs="宋体"/>
          <w:bCs/>
          <w:color w:val="auto"/>
          <w:sz w:val="21"/>
          <w:szCs w:val="21"/>
          <w:highlight w:val="none"/>
          <w:u w:val="single"/>
        </w:rPr>
        <w:t xml:space="preserve">                                                                                        </w:t>
      </w:r>
    </w:p>
    <w:p w14:paraId="3953FE9C">
      <w:pPr>
        <w:pStyle w:val="15"/>
        <w:spacing w:line="360" w:lineRule="auto"/>
        <w:ind w:firstLine="420" w:firstLineChars="200"/>
        <w:rPr>
          <w:rFonts w:hAnsi="宋体" w:cs="宋体"/>
          <w:bCs/>
          <w:color w:val="auto"/>
          <w:sz w:val="21"/>
          <w:szCs w:val="21"/>
          <w:highlight w:val="none"/>
          <w:u w:val="single"/>
        </w:rPr>
      </w:pPr>
      <w:r>
        <w:rPr>
          <w:rFonts w:hint="eastAsia" w:hAnsi="宋体" w:cs="宋体"/>
          <w:bCs/>
          <w:color w:val="auto"/>
          <w:sz w:val="21"/>
          <w:szCs w:val="21"/>
          <w:highlight w:val="none"/>
        </w:rPr>
        <w:t>法律依据：</w:t>
      </w:r>
      <w:r>
        <w:rPr>
          <w:rFonts w:hint="eastAsia" w:hAnsi="宋体" w:cs="宋体"/>
          <w:color w:val="auto"/>
          <w:sz w:val="21"/>
          <w:szCs w:val="21"/>
          <w:highlight w:val="none"/>
        </w:rPr>
        <w:t xml:space="preserve"> </w:t>
      </w:r>
      <w:r>
        <w:rPr>
          <w:rFonts w:hint="eastAsia" w:hAnsi="宋体" w:cs="宋体"/>
          <w:bCs/>
          <w:color w:val="auto"/>
          <w:sz w:val="21"/>
          <w:szCs w:val="21"/>
          <w:highlight w:val="none"/>
          <w:u w:val="single"/>
        </w:rPr>
        <w:t xml:space="preserve">                                                                                      </w:t>
      </w:r>
    </w:p>
    <w:p w14:paraId="5EAEAFA7">
      <w:pPr>
        <w:pStyle w:val="15"/>
        <w:spacing w:line="360" w:lineRule="auto"/>
        <w:ind w:left="25" w:leftChars="12" w:firstLine="308" w:firstLineChars="147"/>
        <w:rPr>
          <w:rFonts w:hAnsi="宋体" w:cs="宋体"/>
          <w:bCs/>
          <w:color w:val="auto"/>
          <w:sz w:val="21"/>
          <w:szCs w:val="21"/>
          <w:highlight w:val="none"/>
          <w:u w:val="single"/>
        </w:rPr>
      </w:pPr>
      <w:r>
        <w:rPr>
          <w:rFonts w:hint="eastAsia" w:hAnsi="宋体" w:cs="宋体"/>
          <w:bCs/>
          <w:color w:val="auto"/>
          <w:sz w:val="21"/>
          <w:szCs w:val="21"/>
          <w:highlight w:val="none"/>
        </w:rPr>
        <w:t xml:space="preserve"> </w:t>
      </w:r>
      <w:r>
        <w:rPr>
          <w:rFonts w:hint="eastAsia" w:hAnsi="宋体" w:cs="宋体"/>
          <w:bCs/>
          <w:color w:val="auto"/>
          <w:sz w:val="21"/>
          <w:szCs w:val="21"/>
          <w:highlight w:val="none"/>
          <w:u w:val="single"/>
        </w:rPr>
        <w:t xml:space="preserve">                                                                                        </w:t>
      </w:r>
    </w:p>
    <w:p w14:paraId="57B32135">
      <w:pPr>
        <w:pStyle w:val="15"/>
        <w:spacing w:line="360" w:lineRule="auto"/>
        <w:ind w:left="25" w:leftChars="12" w:firstLine="413" w:firstLineChars="197"/>
        <w:rPr>
          <w:rFonts w:hAnsi="宋体" w:cs="宋体"/>
          <w:bCs/>
          <w:color w:val="auto"/>
          <w:sz w:val="21"/>
          <w:szCs w:val="21"/>
          <w:highlight w:val="none"/>
        </w:rPr>
      </w:pPr>
      <w:r>
        <w:rPr>
          <w:rFonts w:hint="eastAsia" w:hAnsi="宋体" w:cs="宋体"/>
          <w:color w:val="auto"/>
          <w:sz w:val="21"/>
          <w:szCs w:val="21"/>
          <w:highlight w:val="none"/>
        </w:rPr>
        <w:t xml:space="preserve">投诉事项2  </w:t>
      </w:r>
      <w:r>
        <w:rPr>
          <w:rFonts w:hint="eastAsia" w:hAnsi="宋体" w:cs="宋体"/>
          <w:bCs/>
          <w:color w:val="auto"/>
          <w:sz w:val="21"/>
          <w:szCs w:val="21"/>
          <w:highlight w:val="none"/>
        </w:rPr>
        <w:t xml:space="preserve">   </w:t>
      </w:r>
    </w:p>
    <w:p w14:paraId="3F89B648">
      <w:pPr>
        <w:pStyle w:val="15"/>
        <w:spacing w:line="360" w:lineRule="auto"/>
        <w:ind w:left="25" w:leftChars="12" w:firstLine="413" w:firstLineChars="197"/>
        <w:rPr>
          <w:rFonts w:hAnsi="宋体" w:cs="宋体"/>
          <w:bCs/>
          <w:color w:val="auto"/>
          <w:sz w:val="21"/>
          <w:szCs w:val="21"/>
          <w:highlight w:val="none"/>
        </w:rPr>
      </w:pPr>
      <w:r>
        <w:rPr>
          <w:rFonts w:hint="eastAsia" w:hAnsi="宋体" w:cs="宋体"/>
          <w:bCs/>
          <w:color w:val="auto"/>
          <w:sz w:val="21"/>
          <w:szCs w:val="21"/>
          <w:highlight w:val="none"/>
        </w:rPr>
        <w:t>……</w:t>
      </w:r>
    </w:p>
    <w:p w14:paraId="1D22D6E4">
      <w:pPr>
        <w:pStyle w:val="15"/>
        <w:spacing w:line="360" w:lineRule="auto"/>
        <w:ind w:left="25" w:leftChars="12" w:firstLine="413" w:firstLineChars="196"/>
        <w:rPr>
          <w:rFonts w:hAnsi="宋体" w:cs="宋体"/>
          <w:b/>
          <w:color w:val="auto"/>
          <w:sz w:val="21"/>
          <w:szCs w:val="21"/>
          <w:highlight w:val="none"/>
        </w:rPr>
      </w:pPr>
      <w:r>
        <w:rPr>
          <w:rFonts w:hint="eastAsia" w:hAnsi="宋体" w:cs="宋体"/>
          <w:b/>
          <w:color w:val="auto"/>
          <w:sz w:val="21"/>
          <w:szCs w:val="21"/>
          <w:highlight w:val="none"/>
        </w:rPr>
        <w:t>五、与投诉事项相关的投诉请求：</w:t>
      </w:r>
    </w:p>
    <w:p w14:paraId="7E8822C0">
      <w:pPr>
        <w:pStyle w:val="15"/>
        <w:spacing w:line="360" w:lineRule="auto"/>
        <w:ind w:left="25" w:leftChars="12" w:firstLine="413" w:firstLineChars="197"/>
        <w:rPr>
          <w:rFonts w:hAnsi="宋体" w:cs="宋体"/>
          <w:color w:val="auto"/>
          <w:sz w:val="21"/>
          <w:szCs w:val="21"/>
          <w:highlight w:val="none"/>
        </w:rPr>
      </w:pPr>
      <w:r>
        <w:rPr>
          <w:rFonts w:hint="eastAsia" w:hAnsi="宋体" w:cs="宋体"/>
          <w:color w:val="auto"/>
          <w:sz w:val="21"/>
          <w:szCs w:val="21"/>
          <w:highlight w:val="none"/>
        </w:rPr>
        <w:t>请求：</w:t>
      </w:r>
      <w:r>
        <w:rPr>
          <w:rFonts w:hint="eastAsia" w:hAnsi="宋体" w:cs="宋体"/>
          <w:bCs/>
          <w:color w:val="auto"/>
          <w:sz w:val="21"/>
          <w:szCs w:val="21"/>
          <w:highlight w:val="none"/>
          <w:u w:val="single"/>
        </w:rPr>
        <w:t xml:space="preserve">                                                                                 </w:t>
      </w:r>
    </w:p>
    <w:p w14:paraId="2D8B7410">
      <w:pPr>
        <w:pStyle w:val="15"/>
        <w:spacing w:line="360" w:lineRule="auto"/>
        <w:ind w:left="25" w:leftChars="12" w:firstLine="308" w:firstLineChars="147"/>
        <w:rPr>
          <w:rFonts w:hAnsi="宋体" w:cs="宋体"/>
          <w:color w:val="auto"/>
          <w:sz w:val="21"/>
          <w:szCs w:val="21"/>
          <w:highlight w:val="none"/>
        </w:rPr>
      </w:pPr>
    </w:p>
    <w:p w14:paraId="379CF4EB">
      <w:pPr>
        <w:pStyle w:val="15"/>
        <w:spacing w:line="360" w:lineRule="auto"/>
        <w:ind w:left="25" w:leftChars="12" w:firstLine="413" w:firstLineChars="197"/>
        <w:rPr>
          <w:rFonts w:hAnsi="宋体" w:cs="宋体"/>
          <w:color w:val="auto"/>
          <w:sz w:val="21"/>
          <w:szCs w:val="21"/>
          <w:highlight w:val="none"/>
        </w:rPr>
      </w:pPr>
      <w:r>
        <w:rPr>
          <w:rFonts w:hint="eastAsia" w:hAnsi="宋体" w:cs="宋体"/>
          <w:color w:val="auto"/>
          <w:sz w:val="21"/>
          <w:szCs w:val="21"/>
          <w:highlight w:val="none"/>
        </w:rPr>
        <w:t>签字（签章）：                                       公章：</w:t>
      </w:r>
    </w:p>
    <w:p w14:paraId="62DD9A12">
      <w:pPr>
        <w:pStyle w:val="15"/>
        <w:spacing w:line="360" w:lineRule="auto"/>
        <w:ind w:left="25" w:leftChars="12" w:firstLine="308" w:firstLineChars="147"/>
        <w:rPr>
          <w:rFonts w:hAnsi="宋体" w:cs="宋体"/>
          <w:color w:val="auto"/>
          <w:sz w:val="21"/>
          <w:szCs w:val="21"/>
          <w:highlight w:val="none"/>
        </w:rPr>
      </w:pPr>
    </w:p>
    <w:p w14:paraId="6EC6F9BD">
      <w:pPr>
        <w:pStyle w:val="15"/>
        <w:spacing w:line="360" w:lineRule="auto"/>
        <w:ind w:left="25" w:leftChars="12" w:firstLine="413" w:firstLineChars="197"/>
        <w:rPr>
          <w:rFonts w:hAnsi="宋体" w:cs="宋体"/>
          <w:color w:val="auto"/>
          <w:sz w:val="21"/>
          <w:szCs w:val="21"/>
          <w:highlight w:val="none"/>
        </w:rPr>
      </w:pPr>
      <w:r>
        <w:rPr>
          <w:rFonts w:hint="eastAsia" w:hAnsi="宋体" w:cs="宋体"/>
          <w:color w:val="auto"/>
          <w:sz w:val="21"/>
          <w:szCs w:val="21"/>
          <w:highlight w:val="none"/>
        </w:rPr>
        <w:t>日期：</w:t>
      </w:r>
    </w:p>
    <w:p w14:paraId="71F180F3">
      <w:pPr>
        <w:pStyle w:val="15"/>
        <w:spacing w:line="360" w:lineRule="auto"/>
        <w:ind w:left="25" w:leftChars="12" w:firstLine="413" w:firstLineChars="197"/>
        <w:rPr>
          <w:rFonts w:hAnsi="宋体" w:cs="宋体"/>
          <w:color w:val="auto"/>
          <w:sz w:val="21"/>
          <w:szCs w:val="21"/>
          <w:highlight w:val="none"/>
        </w:rPr>
      </w:pPr>
      <w:r>
        <w:rPr>
          <w:rFonts w:hint="eastAsia" w:hAnsi="宋体" w:cs="宋体"/>
          <w:bCs/>
          <w:color w:val="auto"/>
          <w:sz w:val="21"/>
          <w:szCs w:val="21"/>
          <w:highlight w:val="none"/>
        </w:rPr>
        <w:t xml:space="preserve">                                                                                 </w:t>
      </w:r>
    </w:p>
    <w:p w14:paraId="5E083541">
      <w:pPr>
        <w:pStyle w:val="15"/>
        <w:snapToGrid w:val="0"/>
        <w:spacing w:line="360" w:lineRule="auto"/>
        <w:rPr>
          <w:rFonts w:hAnsi="宋体" w:cs="宋体"/>
          <w:b/>
          <w:color w:val="auto"/>
          <w:sz w:val="21"/>
          <w:szCs w:val="21"/>
          <w:highlight w:val="none"/>
        </w:rPr>
      </w:pPr>
    </w:p>
    <w:p w14:paraId="42EC6C40">
      <w:pPr>
        <w:pStyle w:val="15"/>
        <w:snapToGrid w:val="0"/>
        <w:spacing w:line="360" w:lineRule="auto"/>
        <w:rPr>
          <w:rFonts w:hAnsi="宋体" w:cs="宋体"/>
          <w:b/>
          <w:color w:val="auto"/>
          <w:sz w:val="21"/>
          <w:szCs w:val="21"/>
          <w:highlight w:val="none"/>
        </w:rPr>
      </w:pPr>
      <w:r>
        <w:rPr>
          <w:rFonts w:hint="eastAsia" w:hAnsi="宋体" w:cs="宋体"/>
          <w:b/>
          <w:color w:val="auto"/>
          <w:sz w:val="21"/>
          <w:szCs w:val="21"/>
          <w:highlight w:val="none"/>
        </w:rPr>
        <w:t>说明：</w:t>
      </w:r>
    </w:p>
    <w:p w14:paraId="25863CEC">
      <w:pPr>
        <w:pStyle w:val="15"/>
        <w:spacing w:line="360" w:lineRule="auto"/>
        <w:ind w:left="25" w:leftChars="12" w:firstLine="310" w:firstLineChars="147"/>
        <w:rPr>
          <w:rFonts w:hAnsi="宋体" w:cs="宋体"/>
          <w:b/>
          <w:bCs/>
          <w:color w:val="auto"/>
          <w:sz w:val="21"/>
          <w:szCs w:val="21"/>
          <w:highlight w:val="none"/>
        </w:rPr>
      </w:pPr>
      <w:r>
        <w:rPr>
          <w:rFonts w:hint="eastAsia" w:hAnsi="宋体" w:cs="宋体"/>
          <w:b/>
          <w:color w:val="auto"/>
          <w:sz w:val="21"/>
          <w:szCs w:val="21"/>
          <w:highlight w:val="none"/>
        </w:rPr>
        <w:t>1.投诉人提起投诉时，应当提交投诉书和必要的证明材料，并按照被投诉人和与投诉事项有关的供应商数量提供投诉书副本</w:t>
      </w:r>
      <w:r>
        <w:rPr>
          <w:rFonts w:hint="eastAsia" w:hAnsi="宋体" w:cs="宋体"/>
          <w:b/>
          <w:bCs/>
          <w:color w:val="auto"/>
          <w:sz w:val="21"/>
          <w:szCs w:val="21"/>
          <w:highlight w:val="none"/>
        </w:rPr>
        <w:t>。</w:t>
      </w:r>
    </w:p>
    <w:p w14:paraId="735BD1CC">
      <w:pPr>
        <w:pStyle w:val="15"/>
        <w:spacing w:line="360" w:lineRule="auto"/>
        <w:ind w:left="25" w:leftChars="12" w:firstLine="310" w:firstLineChars="147"/>
        <w:rPr>
          <w:rFonts w:hAnsi="宋体" w:cs="宋体"/>
          <w:b/>
          <w:color w:val="auto"/>
          <w:sz w:val="21"/>
          <w:szCs w:val="21"/>
          <w:highlight w:val="none"/>
        </w:rPr>
      </w:pPr>
      <w:r>
        <w:rPr>
          <w:rFonts w:hint="eastAsia" w:hAnsi="宋体" w:cs="宋体"/>
          <w:b/>
          <w:color w:val="auto"/>
          <w:sz w:val="21"/>
          <w:szCs w:val="21"/>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580A7CA7">
      <w:pPr>
        <w:pStyle w:val="15"/>
        <w:spacing w:line="360" w:lineRule="auto"/>
        <w:ind w:left="25" w:leftChars="12" w:firstLine="310" w:firstLineChars="147"/>
        <w:rPr>
          <w:rFonts w:hAnsi="宋体" w:cs="宋体"/>
          <w:b/>
          <w:color w:val="auto"/>
          <w:sz w:val="21"/>
          <w:szCs w:val="21"/>
          <w:highlight w:val="none"/>
        </w:rPr>
      </w:pPr>
      <w:r>
        <w:rPr>
          <w:rFonts w:hint="eastAsia" w:hAnsi="宋体" w:cs="宋体"/>
          <w:b/>
          <w:color w:val="auto"/>
          <w:sz w:val="21"/>
          <w:szCs w:val="21"/>
          <w:highlight w:val="none"/>
        </w:rPr>
        <w:t>3.投诉书应简要列明质疑事项，质疑函、质疑答复等作为附件材料提供。</w:t>
      </w:r>
    </w:p>
    <w:p w14:paraId="20496684">
      <w:pPr>
        <w:pStyle w:val="15"/>
        <w:spacing w:line="360" w:lineRule="auto"/>
        <w:ind w:left="25" w:leftChars="12" w:firstLine="310" w:firstLineChars="147"/>
        <w:rPr>
          <w:rFonts w:hAnsi="宋体" w:cs="宋体"/>
          <w:b/>
          <w:color w:val="auto"/>
          <w:sz w:val="21"/>
          <w:szCs w:val="21"/>
          <w:highlight w:val="none"/>
        </w:rPr>
      </w:pPr>
      <w:r>
        <w:rPr>
          <w:rFonts w:hint="eastAsia" w:hAnsi="宋体" w:cs="宋体"/>
          <w:b/>
          <w:color w:val="auto"/>
          <w:sz w:val="21"/>
          <w:szCs w:val="21"/>
          <w:highlight w:val="none"/>
        </w:rPr>
        <w:t>4.投诉书的投诉事项应具体、明确，并有必要的事实依据和法律依据。</w:t>
      </w:r>
    </w:p>
    <w:p w14:paraId="3FBDECE3">
      <w:pPr>
        <w:pStyle w:val="15"/>
        <w:spacing w:line="360" w:lineRule="auto"/>
        <w:ind w:left="25" w:leftChars="12" w:firstLine="310" w:firstLineChars="147"/>
        <w:rPr>
          <w:rFonts w:hAnsi="宋体" w:cs="宋体"/>
          <w:b/>
          <w:color w:val="auto"/>
          <w:sz w:val="21"/>
          <w:szCs w:val="21"/>
          <w:highlight w:val="none"/>
        </w:rPr>
      </w:pPr>
      <w:r>
        <w:rPr>
          <w:rFonts w:hint="eastAsia" w:hAnsi="宋体" w:cs="宋体"/>
          <w:b/>
          <w:color w:val="auto"/>
          <w:sz w:val="21"/>
          <w:szCs w:val="21"/>
          <w:highlight w:val="none"/>
        </w:rPr>
        <w:t>5.投诉书的投诉请求应与投诉事项相关。</w:t>
      </w:r>
    </w:p>
    <w:p w14:paraId="282DD6BD">
      <w:pPr>
        <w:pStyle w:val="15"/>
        <w:spacing w:line="360" w:lineRule="auto"/>
        <w:ind w:left="25" w:leftChars="12" w:firstLine="310" w:firstLineChars="147"/>
        <w:rPr>
          <w:rFonts w:hAnsi="宋体" w:cs="宋体"/>
          <w:b/>
          <w:color w:val="auto"/>
          <w:sz w:val="21"/>
          <w:szCs w:val="21"/>
          <w:highlight w:val="none"/>
        </w:rPr>
      </w:pPr>
      <w:r>
        <w:rPr>
          <w:rFonts w:hint="eastAsia" w:hAnsi="宋体" w:cs="宋体"/>
          <w:b/>
          <w:color w:val="auto"/>
          <w:sz w:val="21"/>
          <w:szCs w:val="21"/>
          <w:highlight w:val="none"/>
        </w:rPr>
        <w:t>6.投诉人为法人或者其他组织的，投诉书应由法定代表人、主要负责人，或者其授权代表签字或者盖章，并加盖公章。</w:t>
      </w:r>
    </w:p>
    <w:p w14:paraId="17C9281A">
      <w:pPr>
        <w:rPr>
          <w:rFonts w:ascii="宋体" w:hAnsi="宋体" w:cs="宋体"/>
          <w:color w:val="auto"/>
          <w:highlight w:val="none"/>
        </w:rPr>
      </w:pPr>
    </w:p>
    <w:p w14:paraId="39E19EA2">
      <w:pPr>
        <w:rPr>
          <w:rFonts w:ascii="宋体" w:hAnsi="宋体" w:cs="宋体"/>
          <w:color w:val="auto"/>
          <w:highlight w:val="none"/>
        </w:rPr>
      </w:pPr>
    </w:p>
    <w:sectPr>
      <w:footerReference r:id="rId7" w:type="first"/>
      <w:footerReference r:id="rId6" w:type="default"/>
      <w:pgSz w:w="11910" w:h="16840"/>
      <w:pgMar w:top="1134" w:right="1134" w:bottom="1134" w:left="1134" w:header="720" w:footer="720" w:gutter="0"/>
      <w:cols w:space="0" w:num="1"/>
      <w:rtlGutter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Arial Unicode MS">
    <w:altName w:val="Malgun Gothic Semilight"/>
    <w:panose1 w:val="020B0604020202020204"/>
    <w:charset w:val="86"/>
    <w:family w:val="swiss"/>
    <w:pitch w:val="default"/>
    <w:sig w:usb0="00000000" w:usb1="00000000" w:usb2="0000003F" w:usb3="00000000" w:csb0="603F01FF" w:csb1="FFFF0000"/>
  </w:font>
  <w:font w:name="Malgun Gothic Semilight">
    <w:panose1 w:val="020B0502040204020203"/>
    <w:charset w:val="86"/>
    <w:family w:val="auto"/>
    <w:pitch w:val="default"/>
    <w:sig w:usb0="900002AF" w:usb1="01D77CFB" w:usb2="00000012" w:usb3="00000000" w:csb0="203E01BD" w:csb1="D7FF0000"/>
  </w:font>
  <w:font w:name="方正小标宋简体">
    <w:altName w:val="黑体"/>
    <w:panose1 w:val="02000000000000000000"/>
    <w:charset w:val="86"/>
    <w:family w:val="auto"/>
    <w:pitch w:val="default"/>
    <w:sig w:usb0="00000000" w:usb1="00000000" w:usb2="0000000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MingLiU_HKSCS">
    <w:altName w:val="MingLiU-ExtB"/>
    <w:panose1 w:val="00000000000000000000"/>
    <w:charset w:val="00"/>
    <w:family w:val="roman"/>
    <w:pitch w:val="default"/>
    <w:sig w:usb0="00000000" w:usb1="00000000" w:usb2="00000016" w:usb3="00000000" w:csb0="00100001" w:csb1="00000000"/>
  </w:font>
  <w:font w:name="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6F56C5">
    <w:pPr>
      <w:pStyle w:val="1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1FD5D5">
                          <w:pPr>
                            <w:pStyle w:val="18"/>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2D1FD5D5">
                    <w:pPr>
                      <w:pStyle w:val="18"/>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8BFEC5">
    <w:pPr>
      <w:pStyle w:val="18"/>
      <w:jc w:val="right"/>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10BBFCF">
                          <w:pPr>
                            <w:pStyle w:val="18"/>
                            <w:jc w:val="right"/>
                          </w:pPr>
                          <w:r>
                            <w:fldChar w:fldCharType="begin"/>
                          </w:r>
                          <w:r>
                            <w:instrText xml:space="preserve">PAGE   \* MERGEFORMAT</w:instrText>
                          </w:r>
                          <w:r>
                            <w:fldChar w:fldCharType="separate"/>
                          </w:r>
                          <w:r>
                            <w:t>149</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14:paraId="310BBFCF">
                    <w:pPr>
                      <w:pStyle w:val="18"/>
                      <w:jc w:val="right"/>
                    </w:pPr>
                    <w:r>
                      <w:fldChar w:fldCharType="begin"/>
                    </w:r>
                    <w:r>
                      <w:instrText xml:space="preserve">PAGE   \* MERGEFORMAT</w:instrText>
                    </w:r>
                    <w:r>
                      <w:fldChar w:fldCharType="separate"/>
                    </w:r>
                    <w:r>
                      <w:t>149</w:t>
                    </w:r>
                    <w:r>
                      <w:fldChar w:fldCharType="end"/>
                    </w:r>
                  </w:p>
                </w:txbxContent>
              </v:textbox>
            </v:shape>
          </w:pict>
        </mc:Fallback>
      </mc:AlternateContent>
    </w:r>
  </w:p>
  <w:p w14:paraId="72105D4E">
    <w:pPr>
      <w:pStyle w:val="11"/>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493429">
    <w:pPr>
      <w:pStyle w:val="18"/>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AE17812">
                          <w:pPr>
                            <w:pStyle w:val="18"/>
                            <w:jc w:val="center"/>
                          </w:pPr>
                          <w:r>
                            <w:fldChar w:fldCharType="begin"/>
                          </w:r>
                          <w:r>
                            <w:instrText xml:space="preserve"> PAGE  \* MERGEFORMAT </w:instrText>
                          </w:r>
                          <w:r>
                            <w:fldChar w:fldCharType="separate"/>
                          </w:r>
                          <w:r>
                            <w:t>84</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14:paraId="6AE17812">
                    <w:pPr>
                      <w:pStyle w:val="18"/>
                      <w:jc w:val="center"/>
                    </w:pPr>
                    <w:r>
                      <w:fldChar w:fldCharType="begin"/>
                    </w:r>
                    <w:r>
                      <w:instrText xml:space="preserve"> PAGE  \* MERGEFORMAT </w:instrText>
                    </w:r>
                    <w:r>
                      <w:fldChar w:fldCharType="separate"/>
                    </w:r>
                    <w:r>
                      <w:t>84</w:t>
                    </w:r>
                    <w:r>
                      <w:fldChar w:fldCharType="end"/>
                    </w:r>
                  </w:p>
                </w:txbxContent>
              </v:textbox>
            </v:shape>
          </w:pict>
        </mc:Fallback>
      </mc:AlternateContent>
    </w:r>
  </w:p>
  <w:p w14:paraId="3B4E7CF7">
    <w:pPr>
      <w:pStyle w:val="1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C2F285">
    <w:pPr>
      <w:pStyle w:val="18"/>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404132B">
                          <w:pPr>
                            <w:pStyle w:val="18"/>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0404132B">
                    <w:pPr>
                      <w:pStyle w:val="18"/>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1AEA49">
    <w:pPr>
      <w:pStyle w:val="19"/>
    </w:pPr>
    <w:r>
      <w:rPr>
        <w:rFonts w:hint="eastAsia"/>
      </w:rPr>
      <w:t>南宁市政府采购竞争性磋商采购文件（项目编号：</w:t>
    </w:r>
    <w:r>
      <w:rPr>
        <w:rFonts w:hint="eastAsia"/>
        <w:lang w:eastAsia="zh-CN"/>
      </w:rPr>
      <w:t>NNZC2025-C2-050029-GXHM</w:t>
    </w:r>
    <w:r>
      <w:rPr>
        <w:rFonts w:hint="eastAsi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multilevel"/>
    <w:tmpl w:val="0000000B"/>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
    <w:nsid w:val="177157EF"/>
    <w:multiLevelType w:val="singleLevel"/>
    <w:tmpl w:val="177157EF"/>
    <w:lvl w:ilvl="0" w:tentative="0">
      <w:start w:val="3"/>
      <w:numFmt w:val="chineseCounting"/>
      <w:suff w:val="nothing"/>
      <w:lvlText w:val="%1、"/>
      <w:lvlJc w:val="left"/>
      <w:rPr>
        <w:rFonts w:hint="eastAsia"/>
      </w:rPr>
    </w:lvl>
  </w:abstractNum>
  <w:abstractNum w:abstractNumId="2">
    <w:nsid w:val="508D7A92"/>
    <w:multiLevelType w:val="singleLevel"/>
    <w:tmpl w:val="508D7A92"/>
    <w:lvl w:ilvl="0" w:tentative="0">
      <w:start w:val="1"/>
      <w:numFmt w:val="decimal"/>
      <w:suff w:val="nothing"/>
      <w:lvlText w:val="（%1）"/>
      <w:lvlJc w:val="left"/>
    </w:lvl>
  </w:abstractNum>
  <w:abstractNum w:abstractNumId="3">
    <w:nsid w:val="5498E193"/>
    <w:multiLevelType w:val="singleLevel"/>
    <w:tmpl w:val="5498E193"/>
    <w:lvl w:ilvl="0" w:tentative="0">
      <w:start w:val="11"/>
      <w:numFmt w:val="decimal"/>
      <w:suff w:val="space"/>
      <w:lvlText w:val="%1."/>
      <w:lvlJc w:val="left"/>
    </w:lvl>
  </w:abstractNum>
  <w:abstractNum w:abstractNumId="4">
    <w:nsid w:val="72668605"/>
    <w:multiLevelType w:val="singleLevel"/>
    <w:tmpl w:val="72668605"/>
    <w:lvl w:ilvl="0" w:tentative="0">
      <w:start w:val="1"/>
      <w:numFmt w:val="decimal"/>
      <w:pStyle w:val="7"/>
      <w:lvlText w:val="%1."/>
      <w:lvlJc w:val="left"/>
      <w:pPr>
        <w:tabs>
          <w:tab w:val="left" w:pos="360"/>
        </w:tabs>
        <w:ind w:left="360" w:hanging="360"/>
      </w:pPr>
    </w:lvl>
  </w:abstractNum>
  <w:abstractNum w:abstractNumId="5">
    <w:nsid w:val="7D335EF9"/>
    <w:multiLevelType w:val="singleLevel"/>
    <w:tmpl w:val="7D335EF9"/>
    <w:lvl w:ilvl="0" w:tentative="0">
      <w:start w:val="1"/>
      <w:numFmt w:val="decimal"/>
      <w:suff w:val="space"/>
      <w:lvlText w:val="%1."/>
      <w:lvlJc w:val="left"/>
    </w:lvl>
  </w:abstractNum>
  <w:num w:numId="1">
    <w:abstractNumId w:val="4"/>
  </w:num>
  <w:num w:numId="2">
    <w:abstractNumId w:val="2"/>
  </w:num>
  <w:num w:numId="3">
    <w:abstractNumId w:val="5"/>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yMTllMzkwNzIyMjJiZGFlY2Y0NmNiOTcwZjBkZGQifQ=="/>
  </w:docVars>
  <w:rsids>
    <w:rsidRoot w:val="72590521"/>
    <w:rsid w:val="000510B6"/>
    <w:rsid w:val="0014006B"/>
    <w:rsid w:val="0015420E"/>
    <w:rsid w:val="001E77F1"/>
    <w:rsid w:val="002738D5"/>
    <w:rsid w:val="003E0F2D"/>
    <w:rsid w:val="00444F54"/>
    <w:rsid w:val="0046550B"/>
    <w:rsid w:val="00733D07"/>
    <w:rsid w:val="00733FD2"/>
    <w:rsid w:val="00773247"/>
    <w:rsid w:val="00854C70"/>
    <w:rsid w:val="00896A26"/>
    <w:rsid w:val="00B477E1"/>
    <w:rsid w:val="00E02320"/>
    <w:rsid w:val="00E076C4"/>
    <w:rsid w:val="011A6EF1"/>
    <w:rsid w:val="01250458"/>
    <w:rsid w:val="019D115B"/>
    <w:rsid w:val="01A544B3"/>
    <w:rsid w:val="01BC245C"/>
    <w:rsid w:val="01E12EDC"/>
    <w:rsid w:val="03FB241F"/>
    <w:rsid w:val="05F4078D"/>
    <w:rsid w:val="06EC7CE5"/>
    <w:rsid w:val="07CA4C73"/>
    <w:rsid w:val="07EE5942"/>
    <w:rsid w:val="08783670"/>
    <w:rsid w:val="089D5EE4"/>
    <w:rsid w:val="08DE348F"/>
    <w:rsid w:val="09024057"/>
    <w:rsid w:val="09116C6D"/>
    <w:rsid w:val="099427CD"/>
    <w:rsid w:val="09B34598"/>
    <w:rsid w:val="09EF59FD"/>
    <w:rsid w:val="0ACD3F91"/>
    <w:rsid w:val="0AD4648A"/>
    <w:rsid w:val="0B291CB1"/>
    <w:rsid w:val="0B512B9A"/>
    <w:rsid w:val="0C973ECB"/>
    <w:rsid w:val="0CAA6D57"/>
    <w:rsid w:val="0CD12600"/>
    <w:rsid w:val="0DC05864"/>
    <w:rsid w:val="0DE34399"/>
    <w:rsid w:val="10377FBB"/>
    <w:rsid w:val="11162CD7"/>
    <w:rsid w:val="112D117D"/>
    <w:rsid w:val="12E87A80"/>
    <w:rsid w:val="13124186"/>
    <w:rsid w:val="134A46EC"/>
    <w:rsid w:val="13874C4E"/>
    <w:rsid w:val="14B542EB"/>
    <w:rsid w:val="14C65C60"/>
    <w:rsid w:val="16A17F27"/>
    <w:rsid w:val="16B71435"/>
    <w:rsid w:val="16C2757B"/>
    <w:rsid w:val="18083A36"/>
    <w:rsid w:val="1811456D"/>
    <w:rsid w:val="18A701A3"/>
    <w:rsid w:val="1947595D"/>
    <w:rsid w:val="1C632AEC"/>
    <w:rsid w:val="1DAD75B8"/>
    <w:rsid w:val="1DC37378"/>
    <w:rsid w:val="1E1A4A7C"/>
    <w:rsid w:val="1E1F4DBD"/>
    <w:rsid w:val="1F1A4A57"/>
    <w:rsid w:val="203049F6"/>
    <w:rsid w:val="22B569E9"/>
    <w:rsid w:val="236E24FF"/>
    <w:rsid w:val="23CF3DE7"/>
    <w:rsid w:val="23D26E40"/>
    <w:rsid w:val="23E838BA"/>
    <w:rsid w:val="245B4093"/>
    <w:rsid w:val="24C02C1C"/>
    <w:rsid w:val="262F73DB"/>
    <w:rsid w:val="277052FB"/>
    <w:rsid w:val="28823BC2"/>
    <w:rsid w:val="2B4C3E16"/>
    <w:rsid w:val="2EF30910"/>
    <w:rsid w:val="2F7B74D5"/>
    <w:rsid w:val="3179279B"/>
    <w:rsid w:val="31946B55"/>
    <w:rsid w:val="324966F4"/>
    <w:rsid w:val="340547BA"/>
    <w:rsid w:val="346B4DFC"/>
    <w:rsid w:val="350D3D50"/>
    <w:rsid w:val="35AA4124"/>
    <w:rsid w:val="35D3093F"/>
    <w:rsid w:val="37015A22"/>
    <w:rsid w:val="379A790F"/>
    <w:rsid w:val="38757231"/>
    <w:rsid w:val="38880A03"/>
    <w:rsid w:val="39333B77"/>
    <w:rsid w:val="395028AA"/>
    <w:rsid w:val="3A7D30CD"/>
    <w:rsid w:val="3B4C7172"/>
    <w:rsid w:val="3BA60F06"/>
    <w:rsid w:val="3CE63FA8"/>
    <w:rsid w:val="3CE65E70"/>
    <w:rsid w:val="3D270510"/>
    <w:rsid w:val="3D344E97"/>
    <w:rsid w:val="3D3D401B"/>
    <w:rsid w:val="3D943909"/>
    <w:rsid w:val="3EC23E06"/>
    <w:rsid w:val="3F0A4723"/>
    <w:rsid w:val="3FD20B5E"/>
    <w:rsid w:val="41310CE3"/>
    <w:rsid w:val="41D2177E"/>
    <w:rsid w:val="436D5ED7"/>
    <w:rsid w:val="438A6507"/>
    <w:rsid w:val="440A3726"/>
    <w:rsid w:val="4614088C"/>
    <w:rsid w:val="47036501"/>
    <w:rsid w:val="470C7D34"/>
    <w:rsid w:val="473D0DA5"/>
    <w:rsid w:val="487041FF"/>
    <w:rsid w:val="488643E5"/>
    <w:rsid w:val="48E91EBC"/>
    <w:rsid w:val="493A429A"/>
    <w:rsid w:val="493F3E72"/>
    <w:rsid w:val="49E66D09"/>
    <w:rsid w:val="4A6F7BCC"/>
    <w:rsid w:val="4B1530DD"/>
    <w:rsid w:val="4B931AB6"/>
    <w:rsid w:val="4C925E54"/>
    <w:rsid w:val="4CE0771A"/>
    <w:rsid w:val="4D2B1E2E"/>
    <w:rsid w:val="4DB513F5"/>
    <w:rsid w:val="4DBA440F"/>
    <w:rsid w:val="4DBB1605"/>
    <w:rsid w:val="4E0E32EC"/>
    <w:rsid w:val="4E65634C"/>
    <w:rsid w:val="4E6A1991"/>
    <w:rsid w:val="4E6F6C65"/>
    <w:rsid w:val="4FD55530"/>
    <w:rsid w:val="50125E3D"/>
    <w:rsid w:val="50D420F0"/>
    <w:rsid w:val="510A6F88"/>
    <w:rsid w:val="519F45AD"/>
    <w:rsid w:val="55C11519"/>
    <w:rsid w:val="566E6C91"/>
    <w:rsid w:val="568850AA"/>
    <w:rsid w:val="57600F2A"/>
    <w:rsid w:val="5829145C"/>
    <w:rsid w:val="582A3264"/>
    <w:rsid w:val="5855720E"/>
    <w:rsid w:val="58E40592"/>
    <w:rsid w:val="58F86F27"/>
    <w:rsid w:val="5AA84410"/>
    <w:rsid w:val="5ACE41F9"/>
    <w:rsid w:val="5B0171D9"/>
    <w:rsid w:val="5B3C46B5"/>
    <w:rsid w:val="5C5B1863"/>
    <w:rsid w:val="5EDC1325"/>
    <w:rsid w:val="5F5E109E"/>
    <w:rsid w:val="60492303"/>
    <w:rsid w:val="608B58E7"/>
    <w:rsid w:val="61B01959"/>
    <w:rsid w:val="631609EC"/>
    <w:rsid w:val="634F3056"/>
    <w:rsid w:val="63AA1C74"/>
    <w:rsid w:val="63C02DCD"/>
    <w:rsid w:val="64073002"/>
    <w:rsid w:val="6434367A"/>
    <w:rsid w:val="64485466"/>
    <w:rsid w:val="645B0AEF"/>
    <w:rsid w:val="64782432"/>
    <w:rsid w:val="654D349C"/>
    <w:rsid w:val="65C46D74"/>
    <w:rsid w:val="664E71F7"/>
    <w:rsid w:val="672229B1"/>
    <w:rsid w:val="675E1DD1"/>
    <w:rsid w:val="67D768A8"/>
    <w:rsid w:val="68481CB4"/>
    <w:rsid w:val="684D788C"/>
    <w:rsid w:val="69643755"/>
    <w:rsid w:val="69DA7573"/>
    <w:rsid w:val="69E76134"/>
    <w:rsid w:val="6B2B6400"/>
    <w:rsid w:val="6B906BB5"/>
    <w:rsid w:val="6D535DB0"/>
    <w:rsid w:val="6D5F0968"/>
    <w:rsid w:val="6D90547A"/>
    <w:rsid w:val="6E166F6D"/>
    <w:rsid w:val="6E5B52BA"/>
    <w:rsid w:val="6EE73126"/>
    <w:rsid w:val="6FBF6192"/>
    <w:rsid w:val="72590521"/>
    <w:rsid w:val="729C16FB"/>
    <w:rsid w:val="737F2F3A"/>
    <w:rsid w:val="73C92407"/>
    <w:rsid w:val="73FE0302"/>
    <w:rsid w:val="740F250F"/>
    <w:rsid w:val="75930F1E"/>
    <w:rsid w:val="76C17477"/>
    <w:rsid w:val="76E5104F"/>
    <w:rsid w:val="77F74806"/>
    <w:rsid w:val="788C05D2"/>
    <w:rsid w:val="788D26EB"/>
    <w:rsid w:val="78BA0FFF"/>
    <w:rsid w:val="7A5213F1"/>
    <w:rsid w:val="7C464F3C"/>
    <w:rsid w:val="7C8342AF"/>
    <w:rsid w:val="7D3C187C"/>
    <w:rsid w:val="7DCE2260"/>
    <w:rsid w:val="7E6D4A02"/>
    <w:rsid w:val="7ED740F4"/>
    <w:rsid w:val="7F7010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99"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qFormat="1"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iPriority="99" w:semiHidden="0" w:name="List"/>
    <w:lsdException w:unhideWhenUsed="0" w:uiPriority="0" w:semiHidden="0" w:name="List Bullet"/>
    <w:lsdException w:qFormat="1" w:unhideWhenUsed="0" w:uiPriority="0" w:semiHidden="0" w:name="List Number"/>
    <w:lsdException w:qFormat="1"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qFormat="1" w:uiPriority="99"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autoRedefine/>
    <w:qFormat/>
    <w:uiPriority w:val="9"/>
    <w:pPr>
      <w:keepNext/>
      <w:keepLines/>
      <w:spacing w:before="260" w:after="260" w:line="416" w:lineRule="auto"/>
      <w:outlineLvl w:val="2"/>
    </w:pPr>
    <w:rPr>
      <w:b/>
      <w:bCs/>
      <w:sz w:val="32"/>
      <w:szCs w:val="32"/>
    </w:rPr>
  </w:style>
  <w:style w:type="paragraph" w:styleId="5">
    <w:name w:val="heading 4"/>
    <w:basedOn w:val="1"/>
    <w:next w:val="1"/>
    <w:autoRedefine/>
    <w:qFormat/>
    <w:uiPriority w:val="0"/>
    <w:pPr>
      <w:tabs>
        <w:tab w:val="left" w:pos="2155"/>
      </w:tabs>
      <w:adjustRightInd w:val="0"/>
      <w:spacing w:before="120" w:line="360" w:lineRule="auto"/>
      <w:ind w:left="2155" w:hanging="1078"/>
      <w:textAlignment w:val="baseline"/>
      <w:outlineLvl w:val="3"/>
    </w:pPr>
    <w:rPr>
      <w:rFonts w:ascii="Arial" w:eastAsia="黑体"/>
      <w:kern w:val="0"/>
      <w:sz w:val="28"/>
      <w:szCs w:val="20"/>
    </w:rPr>
  </w:style>
  <w:style w:type="character" w:default="1" w:styleId="28">
    <w:name w:val="Default Paragraph Font"/>
    <w:autoRedefine/>
    <w:semiHidden/>
    <w:unhideWhenUsed/>
    <w:qFormat/>
    <w:uiPriority w:val="1"/>
  </w:style>
  <w:style w:type="table" w:default="1" w:styleId="26">
    <w:name w:val="Normal Table"/>
    <w:autoRedefine/>
    <w:semiHidden/>
    <w:unhideWhenUsed/>
    <w:qFormat/>
    <w:uiPriority w:val="99"/>
    <w:tblPr>
      <w:tblCellMar>
        <w:top w:w="0" w:type="dxa"/>
        <w:left w:w="108" w:type="dxa"/>
        <w:bottom w:w="0" w:type="dxa"/>
        <w:right w:w="108" w:type="dxa"/>
      </w:tblCellMar>
    </w:tblPr>
  </w:style>
  <w:style w:type="paragraph" w:styleId="6">
    <w:name w:val="index 8"/>
    <w:basedOn w:val="1"/>
    <w:next w:val="1"/>
    <w:autoRedefine/>
    <w:qFormat/>
    <w:uiPriority w:val="99"/>
    <w:pPr>
      <w:ind w:left="1400" w:leftChars="1400"/>
    </w:pPr>
  </w:style>
  <w:style w:type="paragraph" w:styleId="7">
    <w:name w:val="List Number"/>
    <w:basedOn w:val="1"/>
    <w:autoRedefine/>
    <w:qFormat/>
    <w:uiPriority w:val="0"/>
    <w:pPr>
      <w:numPr>
        <w:ilvl w:val="0"/>
        <w:numId w:val="1"/>
      </w:numPr>
    </w:pPr>
  </w:style>
  <w:style w:type="paragraph" w:styleId="8">
    <w:name w:val="Normal Indent"/>
    <w:basedOn w:val="1"/>
    <w:autoRedefine/>
    <w:qFormat/>
    <w:uiPriority w:val="99"/>
    <w:pPr>
      <w:ind w:firstLine="420"/>
    </w:pPr>
    <w:rPr>
      <w:szCs w:val="20"/>
    </w:rPr>
  </w:style>
  <w:style w:type="paragraph" w:styleId="9">
    <w:name w:val="annotation text"/>
    <w:basedOn w:val="1"/>
    <w:autoRedefine/>
    <w:qFormat/>
    <w:uiPriority w:val="0"/>
    <w:pPr>
      <w:jc w:val="left"/>
    </w:pPr>
  </w:style>
  <w:style w:type="paragraph" w:styleId="10">
    <w:name w:val="Body Text 3"/>
    <w:basedOn w:val="1"/>
    <w:autoRedefine/>
    <w:unhideWhenUsed/>
    <w:qFormat/>
    <w:uiPriority w:val="99"/>
    <w:pPr>
      <w:spacing w:after="120"/>
    </w:pPr>
    <w:rPr>
      <w:sz w:val="16"/>
      <w:szCs w:val="16"/>
    </w:rPr>
  </w:style>
  <w:style w:type="paragraph" w:styleId="11">
    <w:name w:val="Body Text"/>
    <w:basedOn w:val="1"/>
    <w:autoRedefine/>
    <w:unhideWhenUsed/>
    <w:qFormat/>
    <w:uiPriority w:val="0"/>
    <w:pPr>
      <w:spacing w:after="120"/>
    </w:pPr>
  </w:style>
  <w:style w:type="paragraph" w:styleId="12">
    <w:name w:val="Body Text Indent"/>
    <w:basedOn w:val="1"/>
    <w:autoRedefine/>
    <w:qFormat/>
    <w:uiPriority w:val="0"/>
    <w:pPr>
      <w:ind w:firstLine="830" w:firstLineChars="352"/>
    </w:pPr>
    <w:rPr>
      <w:rFonts w:ascii="仿宋_GB2312" w:eastAsia="仿宋_GB2312"/>
      <w:kern w:val="0"/>
      <w:sz w:val="32"/>
      <w:szCs w:val="20"/>
    </w:rPr>
  </w:style>
  <w:style w:type="paragraph" w:styleId="13">
    <w:name w:val="List 2"/>
    <w:basedOn w:val="1"/>
    <w:autoRedefine/>
    <w:unhideWhenUsed/>
    <w:qFormat/>
    <w:uiPriority w:val="99"/>
    <w:pPr>
      <w:ind w:left="100" w:leftChars="200" w:hanging="200" w:hangingChars="200"/>
      <w:contextualSpacing/>
    </w:pPr>
  </w:style>
  <w:style w:type="paragraph" w:styleId="14">
    <w:name w:val="toc 3"/>
    <w:basedOn w:val="1"/>
    <w:next w:val="1"/>
    <w:autoRedefine/>
    <w:unhideWhenUsed/>
    <w:qFormat/>
    <w:uiPriority w:val="39"/>
    <w:pPr>
      <w:ind w:left="840" w:leftChars="400"/>
    </w:pPr>
  </w:style>
  <w:style w:type="paragraph" w:styleId="15">
    <w:name w:val="Plain Text"/>
    <w:basedOn w:val="1"/>
    <w:next w:val="1"/>
    <w:autoRedefine/>
    <w:qFormat/>
    <w:uiPriority w:val="0"/>
    <w:rPr>
      <w:rFonts w:ascii="宋体" w:hAnsi="Courier New"/>
      <w:kern w:val="0"/>
      <w:sz w:val="20"/>
      <w:szCs w:val="21"/>
    </w:rPr>
  </w:style>
  <w:style w:type="paragraph" w:styleId="16">
    <w:name w:val="Body Text Indent 2"/>
    <w:basedOn w:val="1"/>
    <w:autoRedefine/>
    <w:qFormat/>
    <w:uiPriority w:val="99"/>
    <w:pPr>
      <w:spacing w:after="120" w:line="480" w:lineRule="auto"/>
      <w:ind w:left="420" w:leftChars="200"/>
    </w:pPr>
    <w:rPr>
      <w:sz w:val="24"/>
    </w:rPr>
  </w:style>
  <w:style w:type="paragraph" w:styleId="17">
    <w:name w:val="Balloon Text"/>
    <w:basedOn w:val="1"/>
    <w:link w:val="42"/>
    <w:autoRedefine/>
    <w:qFormat/>
    <w:uiPriority w:val="0"/>
    <w:rPr>
      <w:sz w:val="18"/>
      <w:szCs w:val="18"/>
    </w:rPr>
  </w:style>
  <w:style w:type="paragraph" w:styleId="18">
    <w:name w:val="footer"/>
    <w:basedOn w:val="1"/>
    <w:autoRedefine/>
    <w:unhideWhenUsed/>
    <w:qFormat/>
    <w:uiPriority w:val="99"/>
    <w:pPr>
      <w:tabs>
        <w:tab w:val="center" w:pos="4153"/>
        <w:tab w:val="right" w:pos="8306"/>
      </w:tabs>
      <w:snapToGrid w:val="0"/>
      <w:jc w:val="left"/>
    </w:pPr>
    <w:rPr>
      <w:kern w:val="0"/>
      <w:sz w:val="18"/>
      <w:szCs w:val="18"/>
    </w:rPr>
  </w:style>
  <w:style w:type="paragraph" w:styleId="19">
    <w:name w:val="header"/>
    <w:basedOn w:val="1"/>
    <w:autoRedefine/>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20">
    <w:name w:val="toc 1"/>
    <w:basedOn w:val="1"/>
    <w:next w:val="1"/>
    <w:autoRedefine/>
    <w:unhideWhenUsed/>
    <w:qFormat/>
    <w:uiPriority w:val="39"/>
  </w:style>
  <w:style w:type="paragraph" w:styleId="21">
    <w:name w:val="List"/>
    <w:basedOn w:val="1"/>
    <w:autoRedefine/>
    <w:unhideWhenUsed/>
    <w:qFormat/>
    <w:uiPriority w:val="99"/>
    <w:pPr>
      <w:ind w:left="200" w:hanging="200" w:hangingChars="200"/>
      <w:contextualSpacing/>
    </w:pPr>
  </w:style>
  <w:style w:type="paragraph" w:styleId="22">
    <w:name w:val="footnote text"/>
    <w:basedOn w:val="1"/>
    <w:autoRedefine/>
    <w:qFormat/>
    <w:uiPriority w:val="0"/>
    <w:pPr>
      <w:adjustRightInd w:val="0"/>
      <w:spacing w:line="312" w:lineRule="atLeast"/>
      <w:jc w:val="left"/>
      <w:textAlignment w:val="baseline"/>
    </w:pPr>
    <w:rPr>
      <w:kern w:val="0"/>
      <w:sz w:val="18"/>
      <w:szCs w:val="18"/>
    </w:rPr>
  </w:style>
  <w:style w:type="paragraph" w:styleId="23">
    <w:name w:val="toc 2"/>
    <w:basedOn w:val="1"/>
    <w:next w:val="1"/>
    <w:autoRedefine/>
    <w:unhideWhenUsed/>
    <w:qFormat/>
    <w:uiPriority w:val="39"/>
    <w:pPr>
      <w:tabs>
        <w:tab w:val="right" w:leader="dot" w:pos="8296"/>
      </w:tabs>
      <w:ind w:left="420" w:leftChars="200"/>
    </w:pPr>
  </w:style>
  <w:style w:type="paragraph" w:styleId="24">
    <w:name w:val="Normal (Web)"/>
    <w:basedOn w:val="1"/>
    <w:autoRedefine/>
    <w:qFormat/>
    <w:uiPriority w:val="0"/>
    <w:pPr>
      <w:spacing w:before="100" w:beforeAutospacing="1" w:after="100" w:afterAutospacing="1"/>
      <w:jc w:val="left"/>
    </w:pPr>
    <w:rPr>
      <w:kern w:val="0"/>
      <w:sz w:val="24"/>
    </w:rPr>
  </w:style>
  <w:style w:type="paragraph" w:styleId="25">
    <w:name w:val="Body Text First Indent 2"/>
    <w:basedOn w:val="12"/>
    <w:autoRedefine/>
    <w:unhideWhenUsed/>
    <w:qFormat/>
    <w:uiPriority w:val="99"/>
    <w:pPr>
      <w:ind w:firstLine="420" w:firstLineChars="200"/>
    </w:pPr>
  </w:style>
  <w:style w:type="table" w:styleId="27">
    <w:name w:val="Table Grid"/>
    <w:basedOn w:val="26"/>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Hyperlink"/>
    <w:autoRedefine/>
    <w:unhideWhenUsed/>
    <w:qFormat/>
    <w:uiPriority w:val="99"/>
    <w:rPr>
      <w:color w:val="0000FF"/>
      <w:u w:val="single"/>
    </w:rPr>
  </w:style>
  <w:style w:type="character" w:styleId="30">
    <w:name w:val="annotation reference"/>
    <w:basedOn w:val="28"/>
    <w:autoRedefine/>
    <w:qFormat/>
    <w:uiPriority w:val="99"/>
    <w:rPr>
      <w:sz w:val="21"/>
      <w:szCs w:val="21"/>
    </w:rPr>
  </w:style>
  <w:style w:type="character" w:styleId="31">
    <w:name w:val="footnote reference"/>
    <w:autoRedefine/>
    <w:unhideWhenUsed/>
    <w:qFormat/>
    <w:uiPriority w:val="0"/>
    <w:rPr>
      <w:vertAlign w:val="superscript"/>
    </w:rPr>
  </w:style>
  <w:style w:type="paragraph" w:customStyle="1" w:styleId="32">
    <w:name w:val="Title1"/>
    <w:basedOn w:val="1"/>
    <w:next w:val="1"/>
    <w:autoRedefine/>
    <w:qFormat/>
    <w:uiPriority w:val="0"/>
    <w:pPr>
      <w:jc w:val="center"/>
      <w:outlineLvl w:val="0"/>
    </w:pPr>
    <w:rPr>
      <w:rFonts w:ascii="Calibri Light" w:hAnsi="Calibri Light" w:eastAsia="Arial Unicode MS"/>
      <w:b/>
    </w:rPr>
  </w:style>
  <w:style w:type="paragraph" w:customStyle="1" w:styleId="33">
    <w:name w:val="表格文字115"/>
    <w:basedOn w:val="1"/>
    <w:autoRedefine/>
    <w:qFormat/>
    <w:uiPriority w:val="0"/>
    <w:pPr>
      <w:spacing w:before="25" w:after="25"/>
      <w:jc w:val="left"/>
    </w:pPr>
    <w:rPr>
      <w:bCs/>
      <w:spacing w:val="10"/>
      <w:kern w:val="0"/>
      <w:sz w:val="24"/>
    </w:rPr>
  </w:style>
  <w:style w:type="paragraph" w:customStyle="1" w:styleId="34">
    <w:name w:val="正文-公1"/>
    <w:basedOn w:val="1"/>
    <w:autoRedefine/>
    <w:qFormat/>
    <w:uiPriority w:val="0"/>
    <w:pPr>
      <w:ind w:firstLine="200" w:firstLineChars="200"/>
      <w:jc w:val="left"/>
    </w:pPr>
    <w:rPr>
      <w:rFonts w:eastAsia="仿宋_GB2312"/>
    </w:rPr>
  </w:style>
  <w:style w:type="paragraph" w:customStyle="1" w:styleId="35">
    <w:name w:val="Default"/>
    <w:autoRedefine/>
    <w:qFormat/>
    <w:uiPriority w:val="99"/>
    <w:pPr>
      <w:widowControl w:val="0"/>
      <w:autoSpaceDE w:val="0"/>
      <w:autoSpaceDN w:val="0"/>
      <w:adjustRightInd w:val="0"/>
    </w:pPr>
    <w:rPr>
      <w:rFonts w:ascii="方正小标宋简体" w:hAnsi="Calibri" w:eastAsia="方正小标宋简体" w:cs="方正小标宋简体"/>
      <w:color w:val="000000"/>
      <w:sz w:val="24"/>
      <w:szCs w:val="24"/>
      <w:lang w:val="en-US" w:eastAsia="zh-CN" w:bidi="ar-SA"/>
    </w:rPr>
  </w:style>
  <w:style w:type="paragraph" w:customStyle="1" w:styleId="36">
    <w:name w:val="正文2"/>
    <w:basedOn w:val="1"/>
    <w:autoRedefine/>
    <w:qFormat/>
    <w:uiPriority w:val="0"/>
    <w:pPr>
      <w:adjustRightInd w:val="0"/>
      <w:spacing w:before="156" w:line="360" w:lineRule="auto"/>
      <w:ind w:firstLine="510" w:firstLineChars="200"/>
    </w:pPr>
    <w:rPr>
      <w:kern w:val="0"/>
      <w:sz w:val="24"/>
      <w:szCs w:val="20"/>
    </w:rPr>
  </w:style>
  <w:style w:type="paragraph" w:customStyle="1" w:styleId="37">
    <w:name w:val="样式5"/>
    <w:basedOn w:val="1"/>
    <w:autoRedefine/>
    <w:qFormat/>
    <w:uiPriority w:val="99"/>
    <w:pPr>
      <w:adjustRightInd w:val="0"/>
      <w:spacing w:line="440" w:lineRule="exact"/>
      <w:ind w:left="2" w:firstLine="480" w:firstLineChars="200"/>
    </w:pPr>
    <w:rPr>
      <w:rFonts w:ascii="仿宋_GB2312" w:hAnsi="仿宋" w:eastAsia="仿宋_GB2312"/>
      <w:sz w:val="24"/>
    </w:rPr>
  </w:style>
  <w:style w:type="paragraph" w:customStyle="1" w:styleId="38">
    <w:name w:val="正文缩进1"/>
    <w:basedOn w:val="1"/>
    <w:next w:val="12"/>
    <w:autoRedefine/>
    <w:qFormat/>
    <w:uiPriority w:val="99"/>
    <w:pPr>
      <w:autoSpaceDE w:val="0"/>
      <w:autoSpaceDN w:val="0"/>
      <w:adjustRightInd w:val="0"/>
      <w:snapToGrid w:val="0"/>
      <w:spacing w:after="120" w:line="360" w:lineRule="auto"/>
      <w:ind w:left="420" w:leftChars="200" w:firstLine="480" w:firstLineChars="200"/>
    </w:pPr>
    <w:rPr>
      <w:sz w:val="24"/>
      <w:szCs w:val="21"/>
    </w:rPr>
  </w:style>
  <w:style w:type="paragraph" w:customStyle="1" w:styleId="39">
    <w:name w:val="Table Paragraph"/>
    <w:basedOn w:val="1"/>
    <w:autoRedefine/>
    <w:qFormat/>
    <w:uiPriority w:val="1"/>
    <w:pPr>
      <w:jc w:val="left"/>
    </w:pPr>
    <w:rPr>
      <w:rFonts w:ascii="Calibri" w:hAnsi="Calibri"/>
      <w:kern w:val="0"/>
      <w:sz w:val="22"/>
      <w:szCs w:val="22"/>
      <w:lang w:eastAsia="en-US"/>
    </w:rPr>
  </w:style>
  <w:style w:type="character" w:customStyle="1" w:styleId="40">
    <w:name w:val="font91"/>
    <w:basedOn w:val="28"/>
    <w:autoRedefine/>
    <w:qFormat/>
    <w:uiPriority w:val="0"/>
    <w:rPr>
      <w:rFonts w:hint="eastAsia" w:ascii="黑体" w:hAnsi="宋体" w:eastAsia="黑体" w:cs="黑体"/>
      <w:color w:val="000000"/>
      <w:sz w:val="21"/>
      <w:szCs w:val="21"/>
      <w:u w:val="none"/>
    </w:rPr>
  </w:style>
  <w:style w:type="character" w:customStyle="1" w:styleId="41">
    <w:name w:val="font61"/>
    <w:basedOn w:val="28"/>
    <w:autoRedefine/>
    <w:qFormat/>
    <w:uiPriority w:val="0"/>
    <w:rPr>
      <w:rFonts w:hint="default" w:ascii="Times New Roman" w:hAnsi="Times New Roman" w:cs="Times New Roman"/>
      <w:color w:val="000000"/>
      <w:sz w:val="21"/>
      <w:szCs w:val="21"/>
      <w:u w:val="none"/>
      <w:vertAlign w:val="superscript"/>
    </w:rPr>
  </w:style>
  <w:style w:type="character" w:customStyle="1" w:styleId="42">
    <w:name w:val="批注框文本 字符"/>
    <w:basedOn w:val="28"/>
    <w:link w:val="17"/>
    <w:autoRedefine/>
    <w:qFormat/>
    <w:uiPriority w:val="0"/>
    <w:rPr>
      <w:kern w:val="2"/>
      <w:sz w:val="18"/>
      <w:szCs w:val="18"/>
    </w:rPr>
  </w:style>
  <w:style w:type="paragraph" w:customStyle="1" w:styleId="43">
    <w:name w:val="首行缩进"/>
    <w:basedOn w:val="1"/>
    <w:autoRedefine/>
    <w:qFormat/>
    <w:uiPriority w:val="99"/>
    <w:pPr>
      <w:ind w:firstLine="480" w:firstLineChars="200"/>
    </w:pPr>
    <w:rPr>
      <w:lang w:val="zh-CN"/>
    </w:rPr>
  </w:style>
  <w:style w:type="paragraph" w:customStyle="1" w:styleId="44">
    <w:name w:val="正文文本 (2)4"/>
    <w:basedOn w:val="1"/>
    <w:autoRedefine/>
    <w:qFormat/>
    <w:uiPriority w:val="0"/>
    <w:pPr>
      <w:shd w:val="clear" w:color="auto" w:fill="FFFFFF"/>
      <w:autoSpaceDE/>
      <w:autoSpaceDN/>
      <w:adjustRightInd/>
      <w:spacing w:before="300" w:line="439" w:lineRule="exact"/>
      <w:jc w:val="distribute"/>
    </w:pPr>
    <w:rPr>
      <w:rFonts w:hint="default" w:ascii="MingLiU" w:hAnsi="MingLiU" w:eastAsia="MingLiU"/>
      <w:spacing w:val="20"/>
      <w:sz w:val="22"/>
      <w:szCs w:val="22"/>
      <w:shd w:val="clear" w:color="auto" w:fill="FFFFFF"/>
    </w:rPr>
  </w:style>
  <w:style w:type="character" w:customStyle="1" w:styleId="45">
    <w:name w:val="正文文本 (2) + 间距 0 pt2"/>
    <w:autoRedefine/>
    <w:qFormat/>
    <w:uiPriority w:val="0"/>
    <w:rPr>
      <w:rFonts w:ascii="MingLiU" w:hAnsi="MingLiU" w:eastAsia="MingLiU" w:cs="MingLiU"/>
      <w:color w:val="000000"/>
      <w:spacing w:val="0"/>
      <w:w w:val="100"/>
      <w:position w:val="0"/>
      <w:sz w:val="22"/>
      <w:szCs w:val="22"/>
      <w:u w:val="none"/>
      <w:shd w:val="clear" w:color="auto" w:fill="FFFFFF"/>
      <w:lang w:val="zh-CN" w:eastAsia="zh-CN" w:bidi="zh-CN"/>
    </w:rPr>
  </w:style>
  <w:style w:type="paragraph" w:customStyle="1" w:styleId="46">
    <w:name w:val="正文_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47">
    <w:name w:val="正文_4"/>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48">
    <w:name w:val="无间隔1"/>
    <w:autoRedefine/>
    <w:qFormat/>
    <w:uiPriority w:val="99"/>
    <w:pPr>
      <w:widowControl w:val="0"/>
      <w:jc w:val="both"/>
    </w:pPr>
    <w:rPr>
      <w:rFonts w:ascii="Times New Roman" w:hAnsi="Times New Roman" w:eastAsia="宋体" w:cs="Times New Roman"/>
      <w:kern w:val="2"/>
      <w:sz w:val="21"/>
      <w:szCs w:val="21"/>
      <w:lang w:val="en-US" w:eastAsia="zh-CN" w:bidi="ar-SA"/>
    </w:rPr>
  </w:style>
  <w:style w:type="paragraph" w:styleId="49">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117</Pages>
  <Words>30143</Words>
  <Characters>32286</Characters>
  <Lines>6178</Lines>
  <Paragraphs>2622</Paragraphs>
  <TotalTime>20</TotalTime>
  <ScaleCrop>false</ScaleCrop>
  <LinksUpToDate>false</LinksUpToDate>
  <CharactersWithSpaces>32642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2023-06-13T09:54:00Z</dcterms:created>
  <dc:creator>Max</dc:creator>
  <cp:lastModifiedBy>Max</cp:lastModifiedBy>
  <cp:lastPrinted>2024-01-03T00:56:00Z</cp:lastPrinted>
  <dcterms:modified xsi:type="dcterms:W3CDTF">2025-05-20T02:14:15Z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B7872950C6D24C34852AE29E950251D6_13</vt:lpwstr>
  </property>
  <property fmtid="{D5CDD505-2E9C-101B-9397-08002B2CF9AE}" pid="4" name="KSOTemplateDocerSaveRecord">
    <vt:lpwstr>eyJoZGlkIjoiYmQyMTllMzkwNzIyMjJiZGFlY2Y0NmNiOTcwZjBkZGQiLCJ1c2VySWQiOiIzODU2MjQwMjkifQ==</vt:lpwstr>
  </property>
</Properties>
</file>