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61152">
      <w:pPr>
        <w:kinsoku w:val="0"/>
        <w:overflowPunct w:val="0"/>
        <w:spacing w:line="380" w:lineRule="exact"/>
        <w:rPr>
          <w:rFonts w:hint="eastAsia" w:ascii="Times New Roman" w:hAnsi="Times New Roman" w:eastAsia="宋体" w:cs="Times New Roman"/>
          <w:color w:val="auto"/>
          <w:sz w:val="24"/>
          <w:szCs w:val="24"/>
          <w:highlight w:val="none"/>
        </w:rPr>
      </w:pPr>
      <w:bookmarkStart w:id="0" w:name="_Toc183682338"/>
      <w:bookmarkStart w:id="1" w:name="_Toc217446030"/>
    </w:p>
    <w:p w14:paraId="4D73247F">
      <w:pPr>
        <w:tabs>
          <w:tab w:val="left" w:pos="1710"/>
        </w:tabs>
        <w:rPr>
          <w:rFonts w:ascii="Times New Roman" w:hAnsi="Times New Roman" w:eastAsia="宋体" w:cs="Times New Roman"/>
          <w:color w:val="auto"/>
          <w:szCs w:val="24"/>
          <w:highlight w:val="none"/>
        </w:rPr>
      </w:pPr>
    </w:p>
    <w:p w14:paraId="554BEE55">
      <w:pPr>
        <w:tabs>
          <w:tab w:val="left" w:pos="1710"/>
        </w:tabs>
        <w:rPr>
          <w:rFonts w:ascii="Times New Roman" w:hAnsi="Times New Roman" w:eastAsia="宋体" w:cs="Times New Roman"/>
          <w:color w:val="auto"/>
          <w:szCs w:val="24"/>
          <w:highlight w:val="none"/>
        </w:rPr>
      </w:pPr>
    </w:p>
    <w:p w14:paraId="5D0316AF">
      <w:pPr>
        <w:tabs>
          <w:tab w:val="left" w:pos="1710"/>
        </w:tabs>
        <w:rPr>
          <w:rFonts w:ascii="Times New Roman" w:hAnsi="Times New Roman" w:eastAsia="宋体" w:cs="Times New Roman"/>
          <w:color w:val="auto"/>
          <w:szCs w:val="24"/>
          <w:highlight w:val="none"/>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141"/>
      </w:tblGrid>
      <w:tr w14:paraId="7D7A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6905" w:type="dxa"/>
            <w:gridSpan w:val="2"/>
            <w:tcBorders>
              <w:top w:val="nil"/>
              <w:left w:val="nil"/>
              <w:right w:val="nil"/>
            </w:tcBorders>
          </w:tcPr>
          <w:p w14:paraId="5A8A0F50">
            <w:pPr>
              <w:snapToGrid w:val="0"/>
              <w:spacing w:line="240" w:lineRule="atLeast"/>
              <w:jc w:val="center"/>
              <w:rPr>
                <w:rFonts w:ascii="Times New Roman" w:hAnsi="Times New Roman" w:eastAsia="宋体" w:cs="Times New Roman"/>
                <w:b/>
                <w:color w:val="auto"/>
                <w:sz w:val="60"/>
                <w:szCs w:val="60"/>
                <w:highlight w:val="none"/>
              </w:rPr>
            </w:pPr>
            <w:r>
              <w:rPr>
                <w:rFonts w:ascii="Times New Roman" w:hAnsi="Times New Roman" w:eastAsia="宋体" w:cs="Times New Roman"/>
                <w:b/>
                <w:color w:val="auto"/>
                <w:sz w:val="60"/>
                <w:szCs w:val="60"/>
                <w:highlight w:val="none"/>
              </w:rPr>
              <w:t>招  标  文  件</w:t>
            </w:r>
          </w:p>
        </w:tc>
      </w:tr>
      <w:tr w14:paraId="30B97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5B79E629">
            <w:pPr>
              <w:rPr>
                <w:rFonts w:ascii="Times New Roman" w:hAnsi="Times New Roman" w:eastAsia="宋体" w:cs="Times New Roman"/>
                <w:b/>
                <w:color w:val="auto"/>
                <w:sz w:val="32"/>
                <w:szCs w:val="32"/>
                <w:highlight w:val="none"/>
              </w:rPr>
            </w:pPr>
            <w:r>
              <w:rPr>
                <w:rFonts w:ascii="Times New Roman" w:hAnsi="Times New Roman" w:eastAsia="宋体" w:cs="Times New Roman"/>
                <w:b/>
                <w:color w:val="auto"/>
                <w:sz w:val="32"/>
                <w:szCs w:val="32"/>
                <w:highlight w:val="none"/>
              </w:rPr>
              <w:t>项目名称：</w:t>
            </w:r>
          </w:p>
        </w:tc>
        <w:tc>
          <w:tcPr>
            <w:tcW w:w="5141" w:type="dxa"/>
            <w:vAlign w:val="center"/>
          </w:tcPr>
          <w:p w14:paraId="6E7F9D11">
            <w:pPr>
              <w:rPr>
                <w:rFonts w:ascii="Times New Roman" w:hAnsi="Times New Roman" w:eastAsia="宋体" w:cs="Times New Roman"/>
                <w:b/>
                <w:color w:val="auto"/>
                <w:sz w:val="32"/>
                <w:szCs w:val="32"/>
                <w:highlight w:val="none"/>
              </w:rPr>
            </w:pPr>
            <w:r>
              <w:rPr>
                <w:rFonts w:ascii="Times New Roman" w:hAnsi="Times New Roman" w:eastAsia="宋体" w:cs="Times New Roman"/>
                <w:b/>
                <w:color w:val="auto"/>
                <w:sz w:val="32"/>
                <w:szCs w:val="32"/>
                <w:highlight w:val="none"/>
              </w:rPr>
              <w:t>武鸣校区通勤车运营服务</w:t>
            </w:r>
          </w:p>
        </w:tc>
      </w:tr>
      <w:tr w14:paraId="628D3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571B04A6">
            <w:pPr>
              <w:rPr>
                <w:rFonts w:ascii="Times New Roman" w:hAnsi="Times New Roman" w:eastAsia="宋体" w:cs="Times New Roman"/>
                <w:b/>
                <w:color w:val="auto"/>
                <w:sz w:val="32"/>
                <w:szCs w:val="32"/>
                <w:highlight w:val="none"/>
              </w:rPr>
            </w:pPr>
            <w:r>
              <w:rPr>
                <w:rFonts w:ascii="Times New Roman" w:hAnsi="Times New Roman" w:eastAsia="宋体" w:cs="Times New Roman"/>
                <w:b/>
                <w:color w:val="auto"/>
                <w:sz w:val="32"/>
                <w:szCs w:val="32"/>
                <w:highlight w:val="none"/>
              </w:rPr>
              <w:t>项目编号：</w:t>
            </w:r>
          </w:p>
        </w:tc>
        <w:tc>
          <w:tcPr>
            <w:tcW w:w="5141" w:type="dxa"/>
            <w:vAlign w:val="center"/>
          </w:tcPr>
          <w:p w14:paraId="428E277A">
            <w:pPr>
              <w:rPr>
                <w:rFonts w:ascii="Times New Roman" w:hAnsi="Times New Roman" w:eastAsia="宋体" w:cs="Times New Roman"/>
                <w:b/>
                <w:color w:val="auto"/>
                <w:sz w:val="32"/>
                <w:szCs w:val="32"/>
                <w:highlight w:val="none"/>
              </w:rPr>
            </w:pPr>
            <w:r>
              <w:rPr>
                <w:rFonts w:hint="eastAsia" w:ascii="Times New Roman" w:hAnsi="Times New Roman" w:eastAsia="宋体" w:cs="Times New Roman"/>
                <w:b/>
                <w:color w:val="auto"/>
                <w:sz w:val="32"/>
                <w:szCs w:val="32"/>
                <w:highlight w:val="none"/>
              </w:rPr>
              <w:t>GXZC2025-G3-001995-JDZB</w:t>
            </w:r>
          </w:p>
        </w:tc>
      </w:tr>
      <w:tr w14:paraId="2C2D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5FA848A7">
            <w:pPr>
              <w:rPr>
                <w:rFonts w:ascii="Times New Roman" w:hAnsi="Times New Roman" w:eastAsia="宋体" w:cs="Times New Roman"/>
                <w:b/>
                <w:color w:val="auto"/>
                <w:sz w:val="32"/>
                <w:szCs w:val="32"/>
                <w:highlight w:val="none"/>
              </w:rPr>
            </w:pPr>
            <w:r>
              <w:rPr>
                <w:rFonts w:ascii="Times New Roman" w:hAnsi="Times New Roman" w:eastAsia="宋体" w:cs="Times New Roman"/>
                <w:b/>
                <w:color w:val="auto"/>
                <w:sz w:val="32"/>
                <w:szCs w:val="32"/>
                <w:highlight w:val="none"/>
              </w:rPr>
              <w:t>联系电话：</w:t>
            </w:r>
          </w:p>
        </w:tc>
        <w:tc>
          <w:tcPr>
            <w:tcW w:w="5141" w:type="dxa"/>
            <w:vAlign w:val="center"/>
          </w:tcPr>
          <w:p w14:paraId="55F82847">
            <w:pPr>
              <w:rPr>
                <w:rFonts w:ascii="Times New Roman" w:hAnsi="Times New Roman" w:eastAsia="宋体" w:cs="Times New Roman"/>
                <w:b/>
                <w:color w:val="auto"/>
                <w:sz w:val="32"/>
                <w:szCs w:val="32"/>
                <w:highlight w:val="none"/>
              </w:rPr>
            </w:pPr>
            <w:r>
              <w:rPr>
                <w:rFonts w:ascii="Times New Roman" w:hAnsi="Times New Roman" w:eastAsia="宋体" w:cs="Times New Roman"/>
                <w:b/>
                <w:color w:val="auto"/>
                <w:sz w:val="32"/>
                <w:szCs w:val="32"/>
                <w:highlight w:val="none"/>
              </w:rPr>
              <w:t>0771-</w:t>
            </w:r>
            <w:r>
              <w:rPr>
                <w:rFonts w:hint="eastAsia" w:ascii="Times New Roman" w:hAnsi="Times New Roman" w:eastAsia="宋体" w:cs="Times New Roman"/>
                <w:b/>
                <w:color w:val="auto"/>
                <w:sz w:val="32"/>
                <w:szCs w:val="32"/>
                <w:highlight w:val="none"/>
              </w:rPr>
              <w:t>2808981</w:t>
            </w:r>
          </w:p>
        </w:tc>
      </w:tr>
    </w:tbl>
    <w:p w14:paraId="7B789695">
      <w:pPr>
        <w:tabs>
          <w:tab w:val="left" w:pos="1710"/>
        </w:tabs>
        <w:rPr>
          <w:rFonts w:ascii="Times New Roman" w:hAnsi="Times New Roman" w:eastAsia="宋体" w:cs="Times New Roman"/>
          <w:color w:val="auto"/>
          <w:szCs w:val="24"/>
          <w:highlight w:val="none"/>
        </w:rPr>
      </w:pPr>
    </w:p>
    <w:p w14:paraId="5C35CC1C">
      <w:pPr>
        <w:rPr>
          <w:rFonts w:ascii="Times New Roman" w:hAnsi="Times New Roman" w:eastAsia="宋体" w:cs="Times New Roman"/>
          <w:color w:val="auto"/>
          <w:szCs w:val="24"/>
          <w:highlight w:val="none"/>
        </w:rPr>
      </w:pPr>
    </w:p>
    <w:p w14:paraId="16E4434A">
      <w:pPr>
        <w:rPr>
          <w:rFonts w:ascii="Times New Roman" w:hAnsi="Times New Roman" w:eastAsia="宋体" w:cs="Times New Roman"/>
          <w:color w:val="auto"/>
          <w:szCs w:val="24"/>
          <w:highlight w:val="none"/>
        </w:rPr>
      </w:pPr>
    </w:p>
    <w:p w14:paraId="4DF61DB0">
      <w:pPr>
        <w:rPr>
          <w:rFonts w:ascii="Times New Roman" w:hAnsi="Times New Roman" w:eastAsia="宋体" w:cs="Times New Roman"/>
          <w:color w:val="auto"/>
          <w:szCs w:val="24"/>
          <w:highlight w:val="none"/>
        </w:rPr>
      </w:pPr>
    </w:p>
    <w:p w14:paraId="75DDBE6D">
      <w:pPr>
        <w:rPr>
          <w:rFonts w:ascii="Times New Roman" w:hAnsi="Times New Roman" w:eastAsia="宋体" w:cs="Times New Roman"/>
          <w:color w:val="auto"/>
          <w:szCs w:val="24"/>
          <w:highlight w:val="none"/>
        </w:rPr>
      </w:pPr>
    </w:p>
    <w:p w14:paraId="56DF6577">
      <w:pPr>
        <w:rPr>
          <w:rFonts w:ascii="Times New Roman" w:hAnsi="Times New Roman" w:eastAsia="宋体" w:cs="Times New Roman"/>
          <w:color w:val="auto"/>
          <w:szCs w:val="24"/>
          <w:highlight w:val="none"/>
        </w:rPr>
      </w:pPr>
    </w:p>
    <w:p w14:paraId="53446876">
      <w:pPr>
        <w:rPr>
          <w:rFonts w:ascii="Times New Roman" w:hAnsi="Times New Roman" w:eastAsia="宋体" w:cs="Times New Roman"/>
          <w:color w:val="auto"/>
          <w:szCs w:val="24"/>
          <w:highlight w:val="none"/>
        </w:rPr>
      </w:pPr>
    </w:p>
    <w:p w14:paraId="026855BB">
      <w:pPr>
        <w:rPr>
          <w:rFonts w:ascii="Times New Roman" w:hAnsi="Times New Roman" w:eastAsia="宋体" w:cs="Times New Roman"/>
          <w:color w:val="auto"/>
          <w:szCs w:val="24"/>
          <w:highlight w:val="none"/>
        </w:rPr>
      </w:pPr>
    </w:p>
    <w:p w14:paraId="77AD98C2">
      <w:pPr>
        <w:rPr>
          <w:rFonts w:ascii="Times New Roman" w:hAnsi="Times New Roman" w:eastAsia="宋体" w:cs="Times New Roman"/>
          <w:color w:val="auto"/>
          <w:szCs w:val="24"/>
          <w:highlight w:val="none"/>
        </w:rPr>
      </w:pPr>
    </w:p>
    <w:p w14:paraId="59CA42AA">
      <w:pPr>
        <w:rPr>
          <w:rFonts w:ascii="Times New Roman" w:hAnsi="Times New Roman" w:eastAsia="宋体" w:cs="Times New Roman"/>
          <w:color w:val="auto"/>
          <w:szCs w:val="24"/>
          <w:highlight w:val="none"/>
        </w:rPr>
      </w:pPr>
    </w:p>
    <w:p w14:paraId="3F6C4BCD">
      <w:pPr>
        <w:rPr>
          <w:rFonts w:ascii="Times New Roman" w:hAnsi="Times New Roman" w:eastAsia="宋体" w:cs="Times New Roman"/>
          <w:color w:val="auto"/>
          <w:szCs w:val="24"/>
          <w:highlight w:val="none"/>
        </w:rPr>
      </w:pPr>
    </w:p>
    <w:p w14:paraId="38A4BB5C">
      <w:pPr>
        <w:rPr>
          <w:rFonts w:ascii="Times New Roman" w:hAnsi="Times New Roman" w:eastAsia="宋体" w:cs="Times New Roman"/>
          <w:color w:val="auto"/>
          <w:szCs w:val="24"/>
          <w:highlight w:val="none"/>
        </w:rPr>
      </w:pPr>
    </w:p>
    <w:p w14:paraId="22B481A1">
      <w:pPr>
        <w:rPr>
          <w:rFonts w:ascii="Times New Roman" w:hAnsi="Times New Roman" w:eastAsia="宋体" w:cs="Times New Roman"/>
          <w:color w:val="auto"/>
          <w:szCs w:val="24"/>
          <w:highlight w:val="none"/>
        </w:rPr>
      </w:pPr>
    </w:p>
    <w:p w14:paraId="01DDC2BA">
      <w:pPr>
        <w:rPr>
          <w:rFonts w:ascii="Times New Roman" w:hAnsi="Times New Roman" w:eastAsia="宋体" w:cs="Times New Roman"/>
          <w:color w:val="auto"/>
          <w:szCs w:val="24"/>
          <w:highlight w:val="none"/>
        </w:rPr>
      </w:pPr>
    </w:p>
    <w:p w14:paraId="338406C1">
      <w:pPr>
        <w:rPr>
          <w:rFonts w:ascii="Times New Roman" w:hAnsi="Times New Roman" w:eastAsia="宋体" w:cs="Times New Roman"/>
          <w:color w:val="auto"/>
          <w:szCs w:val="24"/>
          <w:highlight w:val="none"/>
        </w:rPr>
      </w:pPr>
    </w:p>
    <w:tbl>
      <w:tblPr>
        <w:tblStyle w:val="43"/>
        <w:tblW w:w="0" w:type="auto"/>
        <w:jc w:val="center"/>
        <w:tblLayout w:type="fixed"/>
        <w:tblCellMar>
          <w:top w:w="0" w:type="dxa"/>
          <w:left w:w="108" w:type="dxa"/>
          <w:bottom w:w="0" w:type="dxa"/>
          <w:right w:w="108" w:type="dxa"/>
        </w:tblCellMar>
      </w:tblPr>
      <w:tblGrid>
        <w:gridCol w:w="2707"/>
        <w:gridCol w:w="6"/>
        <w:gridCol w:w="5571"/>
      </w:tblGrid>
      <w:tr w14:paraId="413F0419">
        <w:tblPrEx>
          <w:tblCellMar>
            <w:top w:w="0" w:type="dxa"/>
            <w:left w:w="108" w:type="dxa"/>
            <w:bottom w:w="0" w:type="dxa"/>
            <w:right w:w="108" w:type="dxa"/>
          </w:tblCellMar>
        </w:tblPrEx>
        <w:trPr>
          <w:trHeight w:val="703" w:hRule="atLeast"/>
          <w:jc w:val="center"/>
        </w:trPr>
        <w:tc>
          <w:tcPr>
            <w:tcW w:w="2707" w:type="dxa"/>
            <w:vAlign w:val="center"/>
          </w:tcPr>
          <w:p w14:paraId="6B03E1E5">
            <w:pPr>
              <w:autoSpaceDE w:val="0"/>
              <w:autoSpaceDN w:val="0"/>
              <w:adjustRightInd w:val="0"/>
              <w:jc w:val="right"/>
              <w:rPr>
                <w:rFonts w:ascii="Times New Roman" w:hAnsi="Times New Roman" w:eastAsia="宋体" w:cs="Times New Roman"/>
                <w:b/>
                <w:color w:val="auto"/>
                <w:sz w:val="32"/>
                <w:szCs w:val="32"/>
                <w:highlight w:val="none"/>
              </w:rPr>
            </w:pPr>
            <w:r>
              <w:rPr>
                <w:rFonts w:ascii="Times New Roman" w:hAnsi="Times New Roman" w:eastAsia="宋体" w:cs="Times New Roman"/>
                <w:b/>
                <w:color w:val="auto"/>
                <w:sz w:val="32"/>
                <w:szCs w:val="32"/>
                <w:highlight w:val="none"/>
              </w:rPr>
              <w:t xml:space="preserve">  采购人：</w:t>
            </w:r>
          </w:p>
        </w:tc>
        <w:tc>
          <w:tcPr>
            <w:tcW w:w="5577" w:type="dxa"/>
            <w:gridSpan w:val="2"/>
            <w:vAlign w:val="center"/>
          </w:tcPr>
          <w:p w14:paraId="0EFDFF7C">
            <w:pPr>
              <w:autoSpaceDE w:val="0"/>
              <w:autoSpaceDN w:val="0"/>
              <w:adjustRightInd w:val="0"/>
              <w:jc w:val="left"/>
              <w:rPr>
                <w:rFonts w:ascii="Times New Roman" w:hAnsi="Times New Roman" w:eastAsia="宋体" w:cs="Times New Roman"/>
                <w:b/>
                <w:color w:val="auto"/>
                <w:sz w:val="32"/>
                <w:szCs w:val="32"/>
                <w:highlight w:val="none"/>
              </w:rPr>
            </w:pPr>
            <w:r>
              <w:rPr>
                <w:rFonts w:ascii="Times New Roman" w:hAnsi="Times New Roman" w:eastAsia="宋体" w:cs="Times New Roman"/>
                <w:b/>
                <w:color w:val="auto"/>
                <w:sz w:val="32"/>
                <w:szCs w:val="32"/>
                <w:highlight w:val="none"/>
              </w:rPr>
              <w:t>广西民族大学</w:t>
            </w:r>
          </w:p>
        </w:tc>
      </w:tr>
      <w:tr w14:paraId="65A147B9">
        <w:tblPrEx>
          <w:tblCellMar>
            <w:top w:w="0" w:type="dxa"/>
            <w:left w:w="108" w:type="dxa"/>
            <w:bottom w:w="0" w:type="dxa"/>
            <w:right w:w="108" w:type="dxa"/>
          </w:tblCellMar>
        </w:tblPrEx>
        <w:trPr>
          <w:trHeight w:val="703" w:hRule="atLeast"/>
          <w:jc w:val="center"/>
        </w:trPr>
        <w:tc>
          <w:tcPr>
            <w:tcW w:w="2713" w:type="dxa"/>
            <w:gridSpan w:val="2"/>
          </w:tcPr>
          <w:p w14:paraId="298D1AEF">
            <w:pPr>
              <w:autoSpaceDE w:val="0"/>
              <w:autoSpaceDN w:val="0"/>
              <w:adjustRightInd w:val="0"/>
              <w:jc w:val="right"/>
              <w:rPr>
                <w:rFonts w:ascii="Times New Roman" w:hAnsi="Times New Roman" w:eastAsia="宋体" w:cs="Times New Roman"/>
                <w:b/>
                <w:color w:val="auto"/>
                <w:sz w:val="32"/>
                <w:szCs w:val="32"/>
                <w:highlight w:val="none"/>
              </w:rPr>
            </w:pPr>
            <w:r>
              <w:rPr>
                <w:rFonts w:ascii="Times New Roman" w:hAnsi="Times New Roman" w:eastAsia="宋体" w:cs="Times New Roman"/>
                <w:b/>
                <w:color w:val="auto"/>
                <w:sz w:val="32"/>
                <w:szCs w:val="32"/>
                <w:highlight w:val="none"/>
              </w:rPr>
              <w:t>采购代理机构：</w:t>
            </w:r>
          </w:p>
        </w:tc>
        <w:tc>
          <w:tcPr>
            <w:tcW w:w="5571" w:type="dxa"/>
          </w:tcPr>
          <w:p w14:paraId="254F1339">
            <w:pPr>
              <w:autoSpaceDE w:val="0"/>
              <w:autoSpaceDN w:val="0"/>
              <w:adjustRightInd w:val="0"/>
              <w:rPr>
                <w:rFonts w:ascii="Times New Roman" w:hAnsi="Times New Roman" w:eastAsia="宋体" w:cs="Times New Roman"/>
                <w:b/>
                <w:color w:val="auto"/>
                <w:sz w:val="32"/>
                <w:szCs w:val="32"/>
                <w:highlight w:val="none"/>
                <w:u w:val="single"/>
              </w:rPr>
            </w:pPr>
            <w:r>
              <w:rPr>
                <w:rFonts w:ascii="Times New Roman" w:hAnsi="Times New Roman" w:eastAsia="宋体" w:cs="Times New Roman"/>
                <w:b/>
                <w:color w:val="auto"/>
                <w:sz w:val="32"/>
                <w:szCs w:val="32"/>
                <w:highlight w:val="none"/>
              </w:rPr>
              <w:t>广西机电设备招标有限公司</w:t>
            </w:r>
          </w:p>
        </w:tc>
      </w:tr>
    </w:tbl>
    <w:p w14:paraId="77497220">
      <w:pPr>
        <w:rPr>
          <w:rFonts w:ascii="Times New Roman" w:hAnsi="Times New Roman" w:eastAsia="宋体" w:cs="Times New Roman"/>
          <w:color w:val="auto"/>
          <w:szCs w:val="24"/>
          <w:highlight w:val="none"/>
        </w:rPr>
      </w:pPr>
    </w:p>
    <w:p w14:paraId="06EC507F">
      <w:pPr>
        <w:ind w:firstLine="321" w:firstLineChars="100"/>
        <w:jc w:val="center"/>
        <w:rPr>
          <w:rFonts w:ascii="Times New Roman" w:hAnsi="Times New Roman" w:eastAsia="宋体" w:cs="Times New Roman"/>
          <w:b/>
          <w:color w:val="auto"/>
          <w:sz w:val="32"/>
          <w:szCs w:val="32"/>
          <w:highlight w:val="none"/>
        </w:rPr>
        <w:sectPr>
          <w:footerReference r:id="rId4" w:type="first"/>
          <w:footerReference r:id="rId3" w:type="even"/>
          <w:pgSz w:w="11906" w:h="16838"/>
          <w:pgMar w:top="1418" w:right="1418" w:bottom="1246" w:left="1418" w:header="851" w:footer="992" w:gutter="0"/>
          <w:pgNumType w:start="0"/>
          <w:cols w:space="720" w:num="1"/>
          <w:titlePg/>
          <w:docGrid w:linePitch="312" w:charSpace="0"/>
        </w:sectPr>
      </w:pPr>
      <w:bookmarkStart w:id="2" w:name="_Toc32587"/>
      <w:r>
        <w:rPr>
          <w:rFonts w:ascii="Times New Roman" w:hAnsi="Times New Roman" w:eastAsia="宋体" w:cs="Times New Roman"/>
          <w:b/>
          <w:color w:val="auto"/>
          <w:sz w:val="32"/>
          <w:szCs w:val="32"/>
          <w:highlight w:val="none"/>
        </w:rPr>
        <w:t>202</w:t>
      </w:r>
      <w:r>
        <w:rPr>
          <w:rFonts w:hint="eastAsia" w:ascii="Times New Roman" w:hAnsi="Times New Roman" w:eastAsia="宋体" w:cs="Times New Roman"/>
          <w:b/>
          <w:color w:val="auto"/>
          <w:sz w:val="32"/>
          <w:szCs w:val="32"/>
          <w:highlight w:val="none"/>
        </w:rPr>
        <w:t>5</w:t>
      </w:r>
      <w:r>
        <w:rPr>
          <w:rFonts w:ascii="Times New Roman" w:hAnsi="Times New Roman" w:eastAsia="宋体" w:cs="Times New Roman"/>
          <w:b/>
          <w:color w:val="auto"/>
          <w:sz w:val="32"/>
          <w:szCs w:val="32"/>
          <w:highlight w:val="none"/>
        </w:rPr>
        <w:t>年</w:t>
      </w:r>
      <w:r>
        <w:rPr>
          <w:rFonts w:hint="eastAsia" w:ascii="Times New Roman" w:hAnsi="Times New Roman" w:eastAsia="宋体" w:cs="Times New Roman"/>
          <w:b/>
          <w:color w:val="auto"/>
          <w:sz w:val="32"/>
          <w:szCs w:val="32"/>
          <w:highlight w:val="none"/>
          <w:lang w:val="en-US" w:eastAsia="zh-CN"/>
        </w:rPr>
        <w:t>7</w:t>
      </w:r>
      <w:r>
        <w:rPr>
          <w:rFonts w:ascii="Times New Roman" w:hAnsi="Times New Roman" w:eastAsia="宋体" w:cs="Times New Roman"/>
          <w:b/>
          <w:color w:val="auto"/>
          <w:sz w:val="32"/>
          <w:szCs w:val="32"/>
          <w:highlight w:val="none"/>
        </w:rPr>
        <w:t>月</w:t>
      </w:r>
    </w:p>
    <w:p w14:paraId="7FE5B634">
      <w:pPr>
        <w:snapToGrid w:val="0"/>
        <w:spacing w:before="120" w:after="120" w:line="320" w:lineRule="exact"/>
        <w:jc w:val="center"/>
        <w:outlineLvl w:val="0"/>
        <w:rPr>
          <w:rFonts w:ascii="Times New Roman" w:hAnsi="Times New Roman" w:eastAsia="宋体" w:cs="Times New Roman"/>
          <w:color w:val="auto"/>
          <w:sz w:val="32"/>
          <w:szCs w:val="32"/>
          <w:highlight w:val="none"/>
        </w:rPr>
      </w:pPr>
      <w:bookmarkStart w:id="3" w:name="_Toc19463"/>
      <w:bookmarkStart w:id="4" w:name="_Toc168205993"/>
      <w:r>
        <w:rPr>
          <w:rFonts w:ascii="Times New Roman" w:hAnsi="Times New Roman" w:eastAsia="宋体" w:cs="Times New Roman"/>
          <w:color w:val="auto"/>
          <w:sz w:val="32"/>
          <w:szCs w:val="32"/>
          <w:highlight w:val="none"/>
        </w:rPr>
        <w:t>目    录</w:t>
      </w:r>
      <w:bookmarkEnd w:id="2"/>
      <w:bookmarkEnd w:id="3"/>
      <w:bookmarkEnd w:id="4"/>
    </w:p>
    <w:p w14:paraId="5244970C">
      <w:pPr>
        <w:pStyle w:val="30"/>
        <w:keepNext w:val="0"/>
        <w:keepLines w:val="0"/>
        <w:pageBreakBefore w:val="0"/>
        <w:widowControl w:val="0"/>
        <w:tabs>
          <w:tab w:val="right" w:leader="hyphen" w:pos="907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aps/>
          <w:color w:val="auto"/>
          <w:sz w:val="24"/>
          <w:szCs w:val="24"/>
          <w:highlight w:val="none"/>
        </w:rPr>
        <w:fldChar w:fldCharType="begin"/>
      </w:r>
      <w:r>
        <w:rPr>
          <w:rFonts w:hint="eastAsia" w:ascii="宋体" w:hAnsi="宋体" w:eastAsia="宋体" w:cs="宋体"/>
          <w:b/>
          <w:bCs/>
          <w:caps/>
          <w:color w:val="auto"/>
          <w:sz w:val="24"/>
          <w:szCs w:val="24"/>
          <w:highlight w:val="none"/>
          <w:u w:val="single"/>
        </w:rPr>
        <w:instrText xml:space="preserve"> TOC \o "1-1" \h \z \u </w:instrText>
      </w:r>
      <w:r>
        <w:rPr>
          <w:rFonts w:hint="eastAsia" w:ascii="宋体" w:hAnsi="宋体" w:eastAsia="宋体" w:cs="宋体"/>
          <w:b/>
          <w:bCs/>
          <w:caps/>
          <w:color w:val="auto"/>
          <w:sz w:val="24"/>
          <w:szCs w:val="24"/>
          <w:highlight w:val="none"/>
        </w:rPr>
        <w:fldChar w:fldCharType="separate"/>
      </w:r>
      <w:r>
        <w:rPr>
          <w:rFonts w:hint="eastAsia" w:ascii="宋体" w:hAnsi="宋体" w:eastAsia="宋体" w:cs="宋体"/>
          <w:bCs/>
          <w:caps/>
          <w:color w:val="auto"/>
          <w:sz w:val="24"/>
          <w:szCs w:val="24"/>
          <w:highlight w:val="none"/>
        </w:rPr>
        <w:fldChar w:fldCharType="begin"/>
      </w:r>
      <w:r>
        <w:rPr>
          <w:rFonts w:hint="eastAsia" w:ascii="宋体" w:hAnsi="宋体" w:eastAsia="宋体" w:cs="宋体"/>
          <w:bCs/>
          <w:caps/>
          <w:color w:val="auto"/>
          <w:sz w:val="24"/>
          <w:szCs w:val="24"/>
          <w:highlight w:val="none"/>
        </w:rPr>
        <w:instrText xml:space="preserve"> HYPERLINK \l _Toc10138 </w:instrText>
      </w:r>
      <w:r>
        <w:rPr>
          <w:rFonts w:hint="eastAsia" w:ascii="宋体" w:hAnsi="宋体" w:eastAsia="宋体" w:cs="宋体"/>
          <w:bCs/>
          <w:caps/>
          <w:color w:val="auto"/>
          <w:sz w:val="24"/>
          <w:szCs w:val="24"/>
          <w:highlight w:val="none"/>
        </w:rPr>
        <w:fldChar w:fldCharType="separate"/>
      </w:r>
      <w:r>
        <w:rPr>
          <w:rFonts w:hint="eastAsia" w:ascii="宋体" w:hAnsi="宋体" w:eastAsia="宋体" w:cs="宋体"/>
          <w:color w:val="auto"/>
          <w:sz w:val="24"/>
          <w:szCs w:val="24"/>
          <w:highlight w:val="none"/>
        </w:rPr>
        <w:t>第一章  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_Toc10138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bCs/>
          <w:caps/>
          <w:color w:val="auto"/>
          <w:sz w:val="24"/>
          <w:szCs w:val="24"/>
          <w:highlight w:val="none"/>
        </w:rPr>
        <w:fldChar w:fldCharType="end"/>
      </w:r>
    </w:p>
    <w:p w14:paraId="7725BE28">
      <w:pPr>
        <w:pStyle w:val="30"/>
        <w:keepNext w:val="0"/>
        <w:keepLines w:val="0"/>
        <w:pageBreakBefore w:val="0"/>
        <w:widowControl w:val="0"/>
        <w:tabs>
          <w:tab w:val="right" w:leader="hyphen" w:pos="907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aps/>
          <w:color w:val="auto"/>
          <w:sz w:val="24"/>
          <w:szCs w:val="24"/>
          <w:highlight w:val="none"/>
        </w:rPr>
        <w:fldChar w:fldCharType="begin"/>
      </w:r>
      <w:r>
        <w:rPr>
          <w:rFonts w:hint="eastAsia" w:ascii="宋体" w:hAnsi="宋体" w:eastAsia="宋体" w:cs="宋体"/>
          <w:bCs/>
          <w:caps/>
          <w:color w:val="auto"/>
          <w:sz w:val="24"/>
          <w:szCs w:val="24"/>
          <w:highlight w:val="none"/>
        </w:rPr>
        <w:instrText xml:space="preserve"> HYPERLINK \l _Toc10920 </w:instrText>
      </w:r>
      <w:r>
        <w:rPr>
          <w:rFonts w:hint="eastAsia" w:ascii="宋体" w:hAnsi="宋体" w:eastAsia="宋体" w:cs="宋体"/>
          <w:bCs/>
          <w:caps/>
          <w:color w:val="auto"/>
          <w:sz w:val="24"/>
          <w:szCs w:val="24"/>
          <w:highlight w:val="none"/>
        </w:rPr>
        <w:fldChar w:fldCharType="separate"/>
      </w:r>
      <w:r>
        <w:rPr>
          <w:rFonts w:hint="eastAsia" w:ascii="宋体" w:hAnsi="宋体" w:eastAsia="宋体" w:cs="宋体"/>
          <w:color w:val="auto"/>
          <w:sz w:val="24"/>
          <w:szCs w:val="24"/>
          <w:highlight w:val="none"/>
        </w:rPr>
        <w:t>第二章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_Toc10920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bCs/>
          <w:caps/>
          <w:color w:val="auto"/>
          <w:sz w:val="24"/>
          <w:szCs w:val="24"/>
          <w:highlight w:val="none"/>
        </w:rPr>
        <w:fldChar w:fldCharType="end"/>
      </w:r>
    </w:p>
    <w:p w14:paraId="1C6A94BD">
      <w:pPr>
        <w:pStyle w:val="30"/>
        <w:keepNext w:val="0"/>
        <w:keepLines w:val="0"/>
        <w:pageBreakBefore w:val="0"/>
        <w:widowControl w:val="0"/>
        <w:tabs>
          <w:tab w:val="right" w:leader="hyphen" w:pos="907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aps/>
          <w:color w:val="auto"/>
          <w:sz w:val="24"/>
          <w:szCs w:val="24"/>
          <w:highlight w:val="none"/>
        </w:rPr>
        <w:fldChar w:fldCharType="begin"/>
      </w:r>
      <w:r>
        <w:rPr>
          <w:rFonts w:hint="eastAsia" w:ascii="宋体" w:hAnsi="宋体" w:eastAsia="宋体" w:cs="宋体"/>
          <w:bCs/>
          <w:caps/>
          <w:color w:val="auto"/>
          <w:sz w:val="24"/>
          <w:szCs w:val="24"/>
          <w:highlight w:val="none"/>
        </w:rPr>
        <w:instrText xml:space="preserve"> HYPERLINK \l _Toc13402 </w:instrText>
      </w:r>
      <w:r>
        <w:rPr>
          <w:rFonts w:hint="eastAsia" w:ascii="宋体" w:hAnsi="宋体" w:eastAsia="宋体" w:cs="宋体"/>
          <w:bCs/>
          <w:caps/>
          <w:color w:val="auto"/>
          <w:sz w:val="24"/>
          <w:szCs w:val="24"/>
          <w:highlight w:val="none"/>
        </w:rPr>
        <w:fldChar w:fldCharType="separate"/>
      </w:r>
      <w:r>
        <w:rPr>
          <w:rFonts w:hint="eastAsia" w:ascii="宋体" w:hAnsi="宋体" w:eastAsia="宋体" w:cs="宋体"/>
          <w:color w:val="auto"/>
          <w:sz w:val="24"/>
          <w:szCs w:val="24"/>
          <w:highlight w:val="none"/>
        </w:rPr>
        <w:t>第三章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bCs/>
          <w:caps/>
          <w:color w:val="auto"/>
          <w:sz w:val="24"/>
          <w:szCs w:val="24"/>
          <w:highlight w:val="none"/>
        </w:rPr>
        <w:fldChar w:fldCharType="end"/>
      </w:r>
    </w:p>
    <w:p w14:paraId="01E81D2B">
      <w:pPr>
        <w:pStyle w:val="30"/>
        <w:keepNext w:val="0"/>
        <w:keepLines w:val="0"/>
        <w:pageBreakBefore w:val="0"/>
        <w:widowControl w:val="0"/>
        <w:tabs>
          <w:tab w:val="right" w:leader="hyphen" w:pos="907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aps/>
          <w:color w:val="auto"/>
          <w:sz w:val="24"/>
          <w:szCs w:val="24"/>
          <w:highlight w:val="none"/>
        </w:rPr>
        <w:fldChar w:fldCharType="begin"/>
      </w:r>
      <w:r>
        <w:rPr>
          <w:rFonts w:hint="eastAsia" w:ascii="宋体" w:hAnsi="宋体" w:eastAsia="宋体" w:cs="宋体"/>
          <w:bCs/>
          <w:caps/>
          <w:color w:val="auto"/>
          <w:sz w:val="24"/>
          <w:szCs w:val="24"/>
          <w:highlight w:val="none"/>
        </w:rPr>
        <w:instrText xml:space="preserve"> HYPERLINK \l _Toc8741 </w:instrText>
      </w:r>
      <w:r>
        <w:rPr>
          <w:rFonts w:hint="eastAsia" w:ascii="宋体" w:hAnsi="宋体" w:eastAsia="宋体" w:cs="宋体"/>
          <w:bCs/>
          <w:caps/>
          <w:color w:val="auto"/>
          <w:sz w:val="24"/>
          <w:szCs w:val="24"/>
          <w:highlight w:val="none"/>
        </w:rPr>
        <w:fldChar w:fldCharType="separate"/>
      </w:r>
      <w:r>
        <w:rPr>
          <w:rFonts w:hint="eastAsia" w:ascii="宋体" w:hAnsi="宋体" w:eastAsia="宋体" w:cs="宋体"/>
          <w:color w:val="auto"/>
          <w:sz w:val="24"/>
          <w:szCs w:val="24"/>
          <w:highlight w:val="none"/>
        </w:rPr>
        <w:t>第四章  评审方法及标准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_Toc8741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25</w:t>
      </w:r>
      <w:r>
        <w:rPr>
          <w:rFonts w:hint="eastAsia" w:ascii="宋体" w:hAnsi="宋体" w:eastAsia="宋体" w:cs="宋体"/>
          <w:color w:val="auto"/>
          <w:sz w:val="24"/>
          <w:szCs w:val="24"/>
          <w:highlight w:val="none"/>
        </w:rPr>
        <w:fldChar w:fldCharType="end"/>
      </w:r>
      <w:r>
        <w:rPr>
          <w:rFonts w:hint="eastAsia" w:ascii="宋体" w:hAnsi="宋体" w:eastAsia="宋体" w:cs="宋体"/>
          <w:bCs/>
          <w:caps/>
          <w:color w:val="auto"/>
          <w:sz w:val="24"/>
          <w:szCs w:val="24"/>
          <w:highlight w:val="none"/>
        </w:rPr>
        <w:fldChar w:fldCharType="end"/>
      </w:r>
    </w:p>
    <w:p w14:paraId="3A83BCB9">
      <w:pPr>
        <w:pStyle w:val="30"/>
        <w:keepNext w:val="0"/>
        <w:keepLines w:val="0"/>
        <w:pageBreakBefore w:val="0"/>
        <w:widowControl w:val="0"/>
        <w:tabs>
          <w:tab w:val="right" w:leader="hyphen" w:pos="907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aps/>
          <w:color w:val="auto"/>
          <w:sz w:val="24"/>
          <w:szCs w:val="24"/>
          <w:highlight w:val="none"/>
        </w:rPr>
        <w:fldChar w:fldCharType="begin"/>
      </w:r>
      <w:r>
        <w:rPr>
          <w:rFonts w:hint="eastAsia" w:ascii="宋体" w:hAnsi="宋体" w:eastAsia="宋体" w:cs="宋体"/>
          <w:bCs/>
          <w:caps/>
          <w:color w:val="auto"/>
          <w:sz w:val="24"/>
          <w:szCs w:val="24"/>
          <w:highlight w:val="none"/>
        </w:rPr>
        <w:instrText xml:space="preserve"> HYPERLINK \l _Toc11726 </w:instrText>
      </w:r>
      <w:r>
        <w:rPr>
          <w:rFonts w:hint="eastAsia" w:ascii="宋体" w:hAnsi="宋体" w:eastAsia="宋体" w:cs="宋体"/>
          <w:bCs/>
          <w:caps/>
          <w:color w:val="auto"/>
          <w:sz w:val="24"/>
          <w:szCs w:val="24"/>
          <w:highlight w:val="none"/>
        </w:rPr>
        <w:fldChar w:fldCharType="separate"/>
      </w:r>
      <w:r>
        <w:rPr>
          <w:rFonts w:hint="eastAsia" w:ascii="宋体" w:hAnsi="宋体" w:eastAsia="宋体" w:cs="宋体"/>
          <w:color w:val="auto"/>
          <w:sz w:val="24"/>
          <w:szCs w:val="24"/>
          <w:highlight w:val="none"/>
        </w:rPr>
        <w:t>第五章  拟签订的合同文本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_Toc11726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30</w:t>
      </w:r>
      <w:r>
        <w:rPr>
          <w:rFonts w:hint="eastAsia" w:ascii="宋体" w:hAnsi="宋体" w:eastAsia="宋体" w:cs="宋体"/>
          <w:color w:val="auto"/>
          <w:sz w:val="24"/>
          <w:szCs w:val="24"/>
          <w:highlight w:val="none"/>
        </w:rPr>
        <w:fldChar w:fldCharType="end"/>
      </w:r>
      <w:r>
        <w:rPr>
          <w:rFonts w:hint="eastAsia" w:ascii="宋体" w:hAnsi="宋体" w:eastAsia="宋体" w:cs="宋体"/>
          <w:bCs/>
          <w:caps/>
          <w:color w:val="auto"/>
          <w:sz w:val="24"/>
          <w:szCs w:val="24"/>
          <w:highlight w:val="none"/>
        </w:rPr>
        <w:fldChar w:fldCharType="end"/>
      </w:r>
    </w:p>
    <w:p w14:paraId="21F89B00">
      <w:pPr>
        <w:pStyle w:val="30"/>
        <w:keepNext w:val="0"/>
        <w:keepLines w:val="0"/>
        <w:pageBreakBefore w:val="0"/>
        <w:widowControl w:val="0"/>
        <w:tabs>
          <w:tab w:val="right" w:leader="hyphen" w:pos="907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aps/>
          <w:color w:val="auto"/>
          <w:sz w:val="24"/>
          <w:szCs w:val="24"/>
          <w:highlight w:val="none"/>
        </w:rPr>
        <w:fldChar w:fldCharType="begin"/>
      </w:r>
      <w:r>
        <w:rPr>
          <w:rFonts w:hint="eastAsia" w:ascii="宋体" w:hAnsi="宋体" w:eastAsia="宋体" w:cs="宋体"/>
          <w:bCs/>
          <w:caps/>
          <w:color w:val="auto"/>
          <w:sz w:val="24"/>
          <w:szCs w:val="24"/>
          <w:highlight w:val="none"/>
        </w:rPr>
        <w:instrText xml:space="preserve"> HYPERLINK \l _Toc27299 </w:instrText>
      </w:r>
      <w:r>
        <w:rPr>
          <w:rFonts w:hint="eastAsia" w:ascii="宋体" w:hAnsi="宋体" w:eastAsia="宋体" w:cs="宋体"/>
          <w:bCs/>
          <w:caps/>
          <w:color w:val="auto"/>
          <w:sz w:val="24"/>
          <w:szCs w:val="24"/>
          <w:highlight w:val="none"/>
        </w:rPr>
        <w:fldChar w:fldCharType="separate"/>
      </w:r>
      <w:r>
        <w:rPr>
          <w:rFonts w:hint="eastAsia" w:ascii="宋体" w:hAnsi="宋体" w:eastAsia="宋体" w:cs="宋体"/>
          <w:color w:val="auto"/>
          <w:sz w:val="24"/>
          <w:szCs w:val="24"/>
          <w:highlight w:val="none"/>
        </w:rPr>
        <w:t>第六章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_Toc27299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38</w:t>
      </w:r>
      <w:r>
        <w:rPr>
          <w:rFonts w:hint="eastAsia" w:ascii="宋体" w:hAnsi="宋体" w:eastAsia="宋体" w:cs="宋体"/>
          <w:color w:val="auto"/>
          <w:sz w:val="24"/>
          <w:szCs w:val="24"/>
          <w:highlight w:val="none"/>
        </w:rPr>
        <w:fldChar w:fldCharType="end"/>
      </w:r>
      <w:r>
        <w:rPr>
          <w:rFonts w:hint="eastAsia" w:ascii="宋体" w:hAnsi="宋体" w:eastAsia="宋体" w:cs="宋体"/>
          <w:bCs/>
          <w:caps/>
          <w:color w:val="auto"/>
          <w:sz w:val="24"/>
          <w:szCs w:val="24"/>
          <w:highlight w:val="none"/>
        </w:rPr>
        <w:fldChar w:fldCharType="end"/>
      </w:r>
    </w:p>
    <w:p w14:paraId="3A4929B4">
      <w:pPr>
        <w:keepNext w:val="0"/>
        <w:keepLines w:val="0"/>
        <w:pageBreakBefore w:val="0"/>
        <w:widowControl w:val="0"/>
        <w:tabs>
          <w:tab w:val="right" w:leader="dot" w:pos="8398"/>
        </w:tabs>
        <w:kinsoku/>
        <w:wordWrap/>
        <w:overflowPunct/>
        <w:topLinePunct w:val="0"/>
        <w:autoSpaceDE/>
        <w:autoSpaceDN/>
        <w:bidi w:val="0"/>
        <w:adjustRightInd/>
        <w:snapToGrid w:val="0"/>
        <w:spacing w:line="360" w:lineRule="auto"/>
        <w:ind w:firstLine="240" w:firstLineChars="100"/>
        <w:jc w:val="left"/>
        <w:textAlignment w:val="auto"/>
        <w:rPr>
          <w:rFonts w:ascii="Times New Roman" w:hAnsi="Times New Roman" w:eastAsia="宋体" w:cs="Times New Roman"/>
          <w:b/>
          <w:bCs/>
          <w:caps/>
          <w:color w:val="auto"/>
          <w:sz w:val="28"/>
          <w:szCs w:val="28"/>
          <w:highlight w:val="none"/>
        </w:rPr>
      </w:pPr>
      <w:r>
        <w:rPr>
          <w:rFonts w:hint="eastAsia" w:ascii="宋体" w:hAnsi="宋体" w:eastAsia="宋体" w:cs="宋体"/>
          <w:bCs/>
          <w:caps/>
          <w:color w:val="auto"/>
          <w:sz w:val="24"/>
          <w:szCs w:val="24"/>
          <w:highlight w:val="none"/>
        </w:rPr>
        <w:fldChar w:fldCharType="end"/>
      </w:r>
    </w:p>
    <w:p w14:paraId="23D1BB01">
      <w:pPr>
        <w:spacing w:before="120" w:beforeLines="50" w:line="480" w:lineRule="exact"/>
        <w:rPr>
          <w:rFonts w:ascii="Times New Roman" w:hAnsi="Times New Roman" w:eastAsia="宋体" w:cs="Times New Roman"/>
          <w:color w:val="auto"/>
          <w:sz w:val="28"/>
          <w:szCs w:val="28"/>
          <w:highlight w:val="none"/>
        </w:rPr>
      </w:pPr>
    </w:p>
    <w:p w14:paraId="3BD7AFBD">
      <w:pPr>
        <w:spacing w:before="120" w:beforeLines="50" w:line="480" w:lineRule="exact"/>
        <w:rPr>
          <w:rFonts w:ascii="Times New Roman" w:hAnsi="Times New Roman" w:eastAsia="宋体" w:cs="Times New Roman"/>
          <w:color w:val="auto"/>
          <w:sz w:val="30"/>
          <w:szCs w:val="24"/>
          <w:highlight w:val="none"/>
        </w:rPr>
        <w:sectPr>
          <w:headerReference r:id="rId5" w:type="first"/>
          <w:pgSz w:w="11906" w:h="16838"/>
          <w:pgMar w:top="1418" w:right="1418" w:bottom="1246" w:left="1418" w:header="851" w:footer="992" w:gutter="0"/>
          <w:pgNumType w:start="0"/>
          <w:cols w:space="720" w:num="1"/>
          <w:titlePg/>
          <w:docGrid w:linePitch="312" w:charSpace="0"/>
        </w:sectPr>
      </w:pPr>
    </w:p>
    <w:p w14:paraId="33B0832A">
      <w:pPr>
        <w:snapToGrid w:val="0"/>
        <w:spacing w:before="120" w:after="120" w:line="320" w:lineRule="exact"/>
        <w:jc w:val="center"/>
        <w:outlineLvl w:val="0"/>
        <w:rPr>
          <w:rFonts w:ascii="Times New Roman" w:hAnsi="Times New Roman" w:eastAsia="宋体" w:cs="Times New Roman"/>
          <w:color w:val="auto"/>
          <w:sz w:val="32"/>
          <w:szCs w:val="32"/>
          <w:highlight w:val="none"/>
        </w:rPr>
      </w:pPr>
      <w:bookmarkStart w:id="5" w:name="_Toc254970489"/>
      <w:bookmarkStart w:id="6" w:name="_Toc254970630"/>
      <w:bookmarkStart w:id="7" w:name="_Toc10138"/>
      <w:r>
        <w:rPr>
          <w:rFonts w:ascii="Times New Roman" w:hAnsi="Times New Roman" w:eastAsia="宋体" w:cs="Times New Roman"/>
          <w:color w:val="auto"/>
          <w:sz w:val="32"/>
          <w:szCs w:val="32"/>
          <w:highlight w:val="none"/>
        </w:rPr>
        <w:t xml:space="preserve">第一章  </w:t>
      </w:r>
      <w:bookmarkEnd w:id="5"/>
      <w:bookmarkEnd w:id="6"/>
      <w:r>
        <w:rPr>
          <w:rFonts w:ascii="Times New Roman" w:hAnsi="Times New Roman" w:eastAsia="宋体" w:cs="Times New Roman"/>
          <w:color w:val="auto"/>
          <w:sz w:val="32"/>
          <w:szCs w:val="32"/>
          <w:highlight w:val="none"/>
        </w:rPr>
        <w:t>招标公告</w:t>
      </w:r>
      <w:bookmarkEnd w:id="7"/>
    </w:p>
    <w:p w14:paraId="15A4BBBA">
      <w:pPr>
        <w:spacing w:line="400" w:lineRule="exact"/>
        <w:jc w:val="center"/>
        <w:rPr>
          <w:rFonts w:ascii="Times New Roman" w:hAnsi="Times New Roman" w:eastAsia="宋体" w:cs="Times New Roman"/>
          <w:b/>
          <w:bCs/>
          <w:color w:val="auto"/>
          <w:kern w:val="0"/>
          <w:sz w:val="24"/>
          <w:szCs w:val="24"/>
          <w:highlight w:val="none"/>
        </w:rPr>
      </w:pPr>
      <w:bookmarkStart w:id="8" w:name="_Hlk174345255"/>
      <w:r>
        <w:rPr>
          <w:rFonts w:ascii="Times New Roman" w:hAnsi="Times New Roman" w:eastAsia="宋体" w:cs="Times New Roman"/>
          <w:b/>
          <w:bCs/>
          <w:color w:val="auto"/>
          <w:kern w:val="0"/>
          <w:sz w:val="24"/>
          <w:szCs w:val="24"/>
          <w:highlight w:val="none"/>
        </w:rPr>
        <w:t>广西机电设备招标有限公司关于武鸣校区通勤车运营服务</w:t>
      </w:r>
      <w:r>
        <w:rPr>
          <w:rFonts w:hint="eastAsia" w:ascii="Times New Roman" w:hAnsi="Times New Roman" w:eastAsia="宋体" w:cs="Times New Roman"/>
          <w:b/>
          <w:bCs/>
          <w:color w:val="auto"/>
          <w:kern w:val="0"/>
          <w:sz w:val="24"/>
          <w:szCs w:val="24"/>
          <w:highlight w:val="none"/>
        </w:rPr>
        <w:t xml:space="preserve"> </w:t>
      </w:r>
    </w:p>
    <w:p w14:paraId="6BC27D66">
      <w:pPr>
        <w:spacing w:line="400" w:lineRule="exact"/>
        <w:jc w:val="center"/>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 xml:space="preserve"> (</w:t>
      </w:r>
      <w:r>
        <w:rPr>
          <w:rFonts w:hint="eastAsia" w:ascii="Times New Roman" w:hAnsi="Times New Roman" w:eastAsia="宋体" w:cs="Times New Roman"/>
          <w:b/>
          <w:bCs/>
          <w:color w:val="auto"/>
          <w:sz w:val="24"/>
          <w:szCs w:val="24"/>
          <w:highlight w:val="none"/>
        </w:rPr>
        <w:t>项目编号：GXZC2025-G3-001995-JDZB</w:t>
      </w:r>
      <w:r>
        <w:rPr>
          <w:rFonts w:ascii="Times New Roman" w:hAnsi="Times New Roman" w:eastAsia="宋体" w:cs="Times New Roman"/>
          <w:b/>
          <w:bCs/>
          <w:color w:val="auto"/>
          <w:sz w:val="24"/>
          <w:szCs w:val="24"/>
          <w:highlight w:val="none"/>
        </w:rPr>
        <w:t>)</w:t>
      </w:r>
      <w:r>
        <w:rPr>
          <w:rFonts w:ascii="Times New Roman" w:hAnsi="Times New Roman" w:eastAsia="宋体" w:cs="Times New Roman"/>
          <w:b/>
          <w:bCs/>
          <w:color w:val="auto"/>
          <w:kern w:val="0"/>
          <w:sz w:val="24"/>
          <w:szCs w:val="24"/>
          <w:highlight w:val="none"/>
        </w:rPr>
        <w:t>公开招标公告</w:t>
      </w:r>
    </w:p>
    <w:p w14:paraId="1F51A00D">
      <w:pPr>
        <w:spacing w:line="312" w:lineRule="auto"/>
        <w:ind w:firstLine="420" w:firstLineChars="200"/>
        <w:jc w:val="left"/>
        <w:rPr>
          <w:rFonts w:ascii="Times New Roman" w:hAnsi="Times New Roman" w:eastAsia="宋体" w:cs="Times New Roman"/>
          <w:b/>
          <w:bCs/>
          <w:color w:val="auto"/>
          <w:kern w:val="0"/>
          <w:sz w:val="22"/>
          <w:highlight w:val="none"/>
        </w:rPr>
      </w:pPr>
      <w:bookmarkStart w:id="9" w:name="_Hlk132795121"/>
      <w:bookmarkStart w:id="10" w:name="_Hlk132877709"/>
      <w:r>
        <w:rPr>
          <w:rFonts w:hint="eastAsia" w:ascii="Times New Roman" w:hAnsi="Times New Roman" w:eastAsia="宋体" w:cs="Times New Roman"/>
          <w:color w:val="auto"/>
          <w:szCs w:val="21"/>
          <w:highlight w:val="none"/>
        </w:rPr>
        <w:t>项目概况：武鸣校区通勤车运营服务招标项目的潜在投标人应在广西政府采购云平台（https://www.gcy.zfcg.gxzf.gov.cn/）获取招标文件，并于</w:t>
      </w:r>
      <w:r>
        <w:rPr>
          <w:rFonts w:ascii="Times New Roman" w:hAnsi="Times New Roman" w:eastAsia="宋体" w:cs="Times New Roman"/>
          <w:color w:val="auto"/>
          <w:szCs w:val="21"/>
          <w:highlight w:val="none"/>
        </w:rPr>
        <w:t>202</w:t>
      </w:r>
      <w:r>
        <w:rPr>
          <w:rFonts w:hint="eastAsia" w:ascii="Times New Roman" w:hAnsi="Times New Roman" w:eastAsia="宋体" w:cs="Times New Roman"/>
          <w:color w:val="auto"/>
          <w:szCs w:val="21"/>
          <w:highlight w:val="none"/>
        </w:rPr>
        <w:t>5年</w:t>
      </w:r>
      <w:r>
        <w:rPr>
          <w:rFonts w:hint="eastAsia" w:ascii="Times New Roman" w:hAnsi="Times New Roman" w:eastAsia="宋体" w:cs="Times New Roman"/>
          <w:color w:val="auto"/>
          <w:szCs w:val="21"/>
          <w:highlight w:val="none"/>
          <w:lang w:val="en-US" w:eastAsia="zh-CN"/>
        </w:rPr>
        <w:t>8</w:t>
      </w:r>
      <w:r>
        <w:rPr>
          <w:rFonts w:hint="eastAsia" w:ascii="Times New Roman" w:hAnsi="Times New Roman" w:eastAsia="宋体" w:cs="Times New Roman"/>
          <w:color w:val="auto"/>
          <w:szCs w:val="21"/>
          <w:highlight w:val="none"/>
        </w:rPr>
        <w:t>月</w:t>
      </w:r>
      <w:r>
        <w:rPr>
          <w:rFonts w:hint="eastAsia" w:ascii="Times New Roman" w:hAnsi="Times New Roman" w:eastAsia="宋体" w:cs="Times New Roman"/>
          <w:color w:val="auto"/>
          <w:szCs w:val="21"/>
          <w:highlight w:val="none"/>
          <w:lang w:val="en-US" w:eastAsia="zh-CN"/>
        </w:rPr>
        <w:t>20</w:t>
      </w:r>
      <w:r>
        <w:rPr>
          <w:rFonts w:hint="eastAsia" w:ascii="Times New Roman" w:hAnsi="Times New Roman" w:eastAsia="宋体" w:cs="Times New Roman"/>
          <w:color w:val="auto"/>
          <w:szCs w:val="21"/>
          <w:highlight w:val="none"/>
        </w:rPr>
        <w:t>日09:30（北京时间）前递交投标文件。</w:t>
      </w:r>
      <w:bookmarkEnd w:id="9"/>
    </w:p>
    <w:bookmarkEnd w:id="10"/>
    <w:p w14:paraId="1975DF14">
      <w:pPr>
        <w:spacing w:line="312" w:lineRule="auto"/>
        <w:ind w:firstLine="442" w:firstLineChars="200"/>
        <w:jc w:val="left"/>
        <w:rPr>
          <w:rFonts w:ascii="Times New Roman" w:hAnsi="Times New Roman" w:eastAsia="宋体" w:cs="Times New Roman"/>
          <w:b/>
          <w:bCs/>
          <w:color w:val="auto"/>
          <w:kern w:val="0"/>
          <w:sz w:val="22"/>
          <w:highlight w:val="none"/>
        </w:rPr>
      </w:pPr>
      <w:r>
        <w:rPr>
          <w:rFonts w:hint="eastAsia" w:ascii="Times New Roman" w:hAnsi="Times New Roman" w:eastAsia="宋体" w:cs="Times New Roman"/>
          <w:b/>
          <w:bCs/>
          <w:color w:val="auto"/>
          <w:kern w:val="0"/>
          <w:sz w:val="22"/>
          <w:highlight w:val="none"/>
        </w:rPr>
        <w:t>一、项目基本情况</w:t>
      </w:r>
    </w:p>
    <w:p w14:paraId="59FBB943">
      <w:pPr>
        <w:spacing w:line="312" w:lineRule="auto"/>
        <w:ind w:firstLine="420" w:firstLineChars="200"/>
        <w:jc w:val="left"/>
        <w:rPr>
          <w:rFonts w:hint="eastAsia"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项目编号：</w:t>
      </w:r>
      <w:r>
        <w:rPr>
          <w:rFonts w:hint="eastAsia" w:ascii="Times New Roman" w:hAnsi="Times New Roman" w:eastAsia="宋体" w:cs="Times New Roman"/>
          <w:color w:val="auto"/>
          <w:kern w:val="0"/>
          <w:szCs w:val="21"/>
          <w:highlight w:val="none"/>
        </w:rPr>
        <w:t xml:space="preserve">GXZC2025-G3-001995-JDZB </w:t>
      </w:r>
    </w:p>
    <w:p w14:paraId="28FF259E">
      <w:pPr>
        <w:spacing w:line="312" w:lineRule="auto"/>
        <w:ind w:firstLine="420" w:firstLineChars="200"/>
        <w:jc w:val="left"/>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项目名称：</w:t>
      </w:r>
      <w:r>
        <w:rPr>
          <w:rFonts w:hint="eastAsia" w:ascii="Times New Roman" w:hAnsi="Times New Roman" w:eastAsia="宋体" w:cs="Times New Roman"/>
          <w:color w:val="auto"/>
          <w:kern w:val="0"/>
          <w:szCs w:val="21"/>
          <w:highlight w:val="none"/>
        </w:rPr>
        <w:t xml:space="preserve">武鸣校区通勤车运营服务 </w:t>
      </w:r>
    </w:p>
    <w:p w14:paraId="5F52F5EA">
      <w:pPr>
        <w:spacing w:line="312" w:lineRule="auto"/>
        <w:ind w:firstLine="420" w:firstLineChars="200"/>
        <w:jc w:val="left"/>
        <w:rPr>
          <w:rFonts w:ascii="Times New Roman" w:hAnsi="Times New Roman" w:eastAsia="宋体" w:cs="Times New Roman"/>
          <w:color w:val="auto"/>
          <w:kern w:val="0"/>
          <w:szCs w:val="21"/>
          <w:highlight w:val="none"/>
        </w:rPr>
      </w:pPr>
      <w:bookmarkStart w:id="11" w:name="_Hlk132878038"/>
      <w:r>
        <w:rPr>
          <w:rFonts w:ascii="Times New Roman" w:hAnsi="Times New Roman" w:eastAsia="宋体" w:cs="Times New Roman"/>
          <w:color w:val="auto"/>
          <w:kern w:val="0"/>
          <w:szCs w:val="21"/>
          <w:highlight w:val="none"/>
        </w:rPr>
        <w:t>预算</w:t>
      </w:r>
      <w:r>
        <w:rPr>
          <w:rFonts w:hint="eastAsia" w:ascii="Times New Roman" w:hAnsi="Times New Roman" w:eastAsia="宋体" w:cs="Times New Roman"/>
          <w:color w:val="auto"/>
          <w:kern w:val="0"/>
          <w:szCs w:val="21"/>
          <w:highlight w:val="none"/>
        </w:rPr>
        <w:t>总</w:t>
      </w:r>
      <w:r>
        <w:rPr>
          <w:rFonts w:ascii="Times New Roman" w:hAnsi="Times New Roman" w:eastAsia="宋体" w:cs="Times New Roman"/>
          <w:color w:val="auto"/>
          <w:kern w:val="0"/>
          <w:szCs w:val="21"/>
          <w:highlight w:val="none"/>
        </w:rPr>
        <w:t>金额</w:t>
      </w:r>
      <w:r>
        <w:rPr>
          <w:rFonts w:hint="eastAsia" w:ascii="Times New Roman" w:hAnsi="Times New Roman" w:eastAsia="宋体" w:cs="Times New Roman"/>
          <w:color w:val="auto"/>
          <w:kern w:val="0"/>
          <w:szCs w:val="21"/>
          <w:highlight w:val="none"/>
        </w:rPr>
        <w:t>（元）</w:t>
      </w:r>
      <w:r>
        <w:rPr>
          <w:rFonts w:ascii="Times New Roman" w:hAnsi="Times New Roman" w:eastAsia="宋体" w:cs="Times New Roman"/>
          <w:color w:val="auto"/>
          <w:kern w:val="0"/>
          <w:szCs w:val="21"/>
          <w:highlight w:val="none"/>
        </w:rPr>
        <w:t>：</w:t>
      </w:r>
      <w:r>
        <w:rPr>
          <w:rFonts w:hint="eastAsia" w:ascii="Times New Roman" w:hAnsi="Times New Roman" w:eastAsia="宋体" w:cs="Times New Roman"/>
          <w:color w:val="auto"/>
          <w:kern w:val="0"/>
          <w:szCs w:val="21"/>
          <w:highlight w:val="none"/>
        </w:rPr>
        <w:t>4819320.00</w:t>
      </w:r>
    </w:p>
    <w:bookmarkEnd w:id="11"/>
    <w:p w14:paraId="0CB0F1D8">
      <w:pPr>
        <w:spacing w:line="312" w:lineRule="auto"/>
        <w:ind w:firstLine="420" w:firstLineChars="20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采购需求</w:t>
      </w:r>
      <w:r>
        <w:rPr>
          <w:rFonts w:ascii="Times New Roman" w:hAnsi="Times New Roman" w:eastAsia="宋体" w:cs="Times New Roman"/>
          <w:color w:val="auto"/>
          <w:kern w:val="0"/>
          <w:szCs w:val="21"/>
          <w:highlight w:val="none"/>
        </w:rPr>
        <w:t>：</w:t>
      </w:r>
    </w:p>
    <w:p w14:paraId="7B3AAB28">
      <w:pPr>
        <w:spacing w:line="312" w:lineRule="auto"/>
        <w:ind w:firstLine="420" w:firstLineChars="20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 xml:space="preserve">标项一：武鸣校区通勤车运营服务 </w:t>
      </w:r>
    </w:p>
    <w:p w14:paraId="14C50682">
      <w:pPr>
        <w:spacing w:line="312" w:lineRule="auto"/>
        <w:ind w:firstLine="420" w:firstLineChars="20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数量：1项</w:t>
      </w:r>
    </w:p>
    <w:p w14:paraId="5656F132">
      <w:pPr>
        <w:spacing w:line="312" w:lineRule="auto"/>
        <w:ind w:firstLine="420" w:firstLineChars="20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预算金额（元）：4819320.00</w:t>
      </w:r>
    </w:p>
    <w:p w14:paraId="7D8F573F">
      <w:pPr>
        <w:spacing w:line="312" w:lineRule="auto"/>
        <w:ind w:firstLine="420" w:firstLineChars="20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简要规格描述或项目基本概况介绍、用途：武鸣校区通勤车运营服务 1项，如需进一步了解详细内容，详见招标文件。</w:t>
      </w:r>
    </w:p>
    <w:p w14:paraId="2E91BB3C">
      <w:pPr>
        <w:spacing w:line="312"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最高限价（如有）：4819320.00</w:t>
      </w:r>
    </w:p>
    <w:p w14:paraId="163FBD13">
      <w:pPr>
        <w:spacing w:line="312"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服务期限：服务期限：叁年，从 2025年9月1日起至2028年8月31日止（包含节假日和国家法定的休息日）。</w:t>
      </w:r>
    </w:p>
    <w:p w14:paraId="63F4B5E9">
      <w:pPr>
        <w:spacing w:line="312"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本项目不接受联合体投标。</w:t>
      </w:r>
    </w:p>
    <w:p w14:paraId="06A30E7C">
      <w:pPr>
        <w:spacing w:line="312"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备注：1.采购计划号：广西政采[2025]1</w:t>
      </w:r>
      <w:r>
        <w:rPr>
          <w:rFonts w:hint="eastAsia" w:ascii="宋体" w:hAnsi="宋体" w:eastAsia="宋体" w:cs="宋体"/>
          <w:color w:val="auto"/>
          <w:kern w:val="0"/>
          <w:szCs w:val="21"/>
          <w:highlight w:val="none"/>
          <w:lang w:val="en-US" w:eastAsia="zh-CN"/>
        </w:rPr>
        <w:t>1668</w:t>
      </w:r>
      <w:r>
        <w:rPr>
          <w:rFonts w:hint="eastAsia" w:ascii="宋体" w:hAnsi="宋体" w:eastAsia="宋体" w:cs="宋体"/>
          <w:color w:val="auto"/>
          <w:kern w:val="0"/>
          <w:szCs w:val="21"/>
          <w:highlight w:val="none"/>
        </w:rPr>
        <w:t>号</w:t>
      </w:r>
    </w:p>
    <w:p w14:paraId="3DF3A6D4">
      <w:pPr>
        <w:spacing w:line="312" w:lineRule="auto"/>
        <w:ind w:firstLine="442" w:firstLineChars="200"/>
        <w:jc w:val="left"/>
        <w:rPr>
          <w:rFonts w:ascii="Times New Roman" w:hAnsi="Times New Roman" w:eastAsia="宋体" w:cs="Times New Roman"/>
          <w:b/>
          <w:bCs/>
          <w:color w:val="auto"/>
          <w:kern w:val="0"/>
          <w:sz w:val="22"/>
          <w:highlight w:val="none"/>
        </w:rPr>
      </w:pPr>
      <w:r>
        <w:rPr>
          <w:rFonts w:hint="eastAsia" w:ascii="Times New Roman" w:hAnsi="Times New Roman" w:eastAsia="宋体" w:cs="Times New Roman"/>
          <w:b/>
          <w:bCs/>
          <w:color w:val="auto"/>
          <w:kern w:val="0"/>
          <w:sz w:val="22"/>
          <w:highlight w:val="none"/>
        </w:rPr>
        <w:t>二、申请人的资格要求</w:t>
      </w:r>
    </w:p>
    <w:p w14:paraId="4753DE2B">
      <w:pPr>
        <w:spacing w:line="312" w:lineRule="auto"/>
        <w:ind w:firstLine="420" w:firstLineChars="200"/>
        <w:jc w:val="left"/>
        <w:rPr>
          <w:rFonts w:ascii="Times New Roman" w:hAnsi="Times New Roman" w:eastAsia="宋体" w:cs="Times New Roman"/>
          <w:color w:val="auto"/>
          <w:szCs w:val="21"/>
          <w:highlight w:val="none"/>
        </w:rPr>
      </w:pPr>
      <w:r>
        <w:rPr>
          <w:rFonts w:ascii="Times New Roman" w:hAnsi="Times New Roman" w:eastAsia="宋体" w:cs="Times New Roman"/>
          <w:color w:val="auto"/>
          <w:kern w:val="0"/>
          <w:szCs w:val="21"/>
          <w:highlight w:val="none"/>
        </w:rPr>
        <w:t>1</w:t>
      </w:r>
      <w:r>
        <w:rPr>
          <w:rFonts w:hint="eastAsia" w:ascii="Times New Roman" w:hAnsi="Times New Roman" w:eastAsia="宋体" w:cs="Times New Roman"/>
          <w:color w:val="auto"/>
          <w:kern w:val="0"/>
          <w:szCs w:val="21"/>
          <w:highlight w:val="none"/>
        </w:rPr>
        <w:t>.满足</w:t>
      </w:r>
      <w:r>
        <w:rPr>
          <w:rFonts w:ascii="Times New Roman" w:hAnsi="Times New Roman" w:eastAsia="宋体" w:cs="Times New Roman"/>
          <w:color w:val="auto"/>
          <w:kern w:val="0"/>
          <w:szCs w:val="21"/>
          <w:highlight w:val="none"/>
        </w:rPr>
        <w:t>《中华人民共和国政府采购法》第二十二条规定；</w:t>
      </w:r>
      <w:r>
        <w:rPr>
          <w:rFonts w:ascii="Times New Roman" w:hAnsi="Times New Roman" w:eastAsia="宋体" w:cs="Times New Roman"/>
          <w:color w:val="auto"/>
          <w:szCs w:val="21"/>
          <w:highlight w:val="none"/>
        </w:rPr>
        <w:t xml:space="preserve"> </w:t>
      </w:r>
    </w:p>
    <w:p w14:paraId="777EF893">
      <w:pPr>
        <w:spacing w:line="312" w:lineRule="auto"/>
        <w:ind w:firstLine="420" w:firstLineChars="20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szCs w:val="21"/>
          <w:highlight w:val="none"/>
        </w:rPr>
        <w:t>2.落实政府采购政策需满足的资格要求：</w:t>
      </w:r>
      <w:bookmarkStart w:id="12" w:name="_Hlk132878088"/>
      <w:bookmarkStart w:id="13" w:name="_Hlk132880574"/>
      <w:r>
        <w:rPr>
          <w:rFonts w:hint="eastAsia" w:ascii="Times New Roman" w:hAnsi="Times New Roman" w:eastAsia="宋体" w:cs="Times New Roman"/>
          <w:color w:val="auto"/>
          <w:szCs w:val="21"/>
          <w:highlight w:val="none"/>
        </w:rPr>
        <w:t>无；</w:t>
      </w:r>
    </w:p>
    <w:bookmarkEnd w:id="12"/>
    <w:bookmarkEnd w:id="13"/>
    <w:p w14:paraId="5D132140">
      <w:pPr>
        <w:spacing w:line="312" w:lineRule="auto"/>
        <w:ind w:firstLine="420" w:firstLineChars="200"/>
        <w:jc w:val="left"/>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3.</w:t>
      </w:r>
      <w:r>
        <w:rPr>
          <w:rFonts w:hint="eastAsia" w:ascii="Times New Roman" w:hAnsi="Times New Roman" w:eastAsia="宋体" w:cs="Times New Roman"/>
          <w:color w:val="auto"/>
          <w:kern w:val="0"/>
          <w:szCs w:val="21"/>
          <w:highlight w:val="none"/>
        </w:rPr>
        <w:t>本项目的</w:t>
      </w:r>
      <w:r>
        <w:rPr>
          <w:rFonts w:ascii="Times New Roman" w:hAnsi="Times New Roman" w:eastAsia="宋体" w:cs="Times New Roman"/>
          <w:color w:val="auto"/>
          <w:kern w:val="0"/>
          <w:szCs w:val="21"/>
          <w:highlight w:val="none"/>
        </w:rPr>
        <w:t>特定资格</w:t>
      </w:r>
      <w:r>
        <w:rPr>
          <w:rFonts w:hint="eastAsia" w:ascii="Times New Roman" w:hAnsi="Times New Roman" w:eastAsia="宋体" w:cs="Times New Roman"/>
          <w:color w:val="auto"/>
          <w:kern w:val="0"/>
          <w:szCs w:val="21"/>
          <w:highlight w:val="none"/>
        </w:rPr>
        <w:t>要求</w:t>
      </w:r>
    </w:p>
    <w:p w14:paraId="6D1A94A5">
      <w:pPr>
        <w:spacing w:line="312" w:lineRule="auto"/>
        <w:ind w:firstLine="420" w:firstLineChars="20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（1）资质要求：具备有效的道路运输经营许可证。</w:t>
      </w:r>
    </w:p>
    <w:p w14:paraId="1DE2C60A">
      <w:pPr>
        <w:spacing w:line="312" w:lineRule="auto"/>
        <w:ind w:firstLine="420" w:firstLineChars="200"/>
        <w:jc w:val="left"/>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w:t>
      </w:r>
      <w:r>
        <w:rPr>
          <w:rFonts w:hint="eastAsia" w:ascii="Times New Roman" w:hAnsi="Times New Roman" w:eastAsia="宋体" w:cs="Times New Roman"/>
          <w:color w:val="auto"/>
          <w:kern w:val="0"/>
          <w:szCs w:val="21"/>
          <w:highlight w:val="none"/>
        </w:rPr>
        <w:t>2</w:t>
      </w:r>
      <w:r>
        <w:rPr>
          <w:rFonts w:ascii="Times New Roman" w:hAnsi="Times New Roman" w:eastAsia="宋体" w:cs="Times New Roman"/>
          <w:color w:val="auto"/>
          <w:kern w:val="0"/>
          <w:szCs w:val="21"/>
          <w:highlight w:val="none"/>
        </w:rPr>
        <w:t>）业绩要求：</w:t>
      </w:r>
      <w:r>
        <w:rPr>
          <w:rFonts w:hint="eastAsia" w:ascii="Times New Roman" w:hAnsi="Times New Roman" w:eastAsia="宋体" w:cs="Times New Roman"/>
          <w:color w:val="auto"/>
          <w:kern w:val="0"/>
          <w:szCs w:val="21"/>
          <w:highlight w:val="none"/>
        </w:rPr>
        <w:t>无。</w:t>
      </w:r>
    </w:p>
    <w:p w14:paraId="1FD43FFB">
      <w:pPr>
        <w:spacing w:line="312" w:lineRule="auto"/>
        <w:ind w:firstLine="420" w:firstLineChars="20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（3）</w:t>
      </w:r>
      <w:r>
        <w:rPr>
          <w:rFonts w:ascii="Times New Roman" w:hAnsi="Times New Roman" w:eastAsia="宋体" w:cs="Times New Roman"/>
          <w:color w:val="auto"/>
          <w:kern w:val="0"/>
          <w:szCs w:val="21"/>
          <w:highlight w:val="none"/>
        </w:rPr>
        <w:t>单位负责人为同一人或者存在直接控股、管理关系的不同</w:t>
      </w:r>
      <w:r>
        <w:rPr>
          <w:rFonts w:hint="eastAsia" w:ascii="Times New Roman" w:hAnsi="Times New Roman" w:eastAsia="宋体" w:cs="Times New Roman"/>
          <w:color w:val="auto"/>
          <w:kern w:val="0"/>
          <w:szCs w:val="21"/>
          <w:highlight w:val="none"/>
        </w:rPr>
        <w:t>投标人</w:t>
      </w:r>
      <w:r>
        <w:rPr>
          <w:rFonts w:ascii="Times New Roman" w:hAnsi="Times New Roman" w:eastAsia="宋体" w:cs="Times New Roman"/>
          <w:color w:val="auto"/>
          <w:kern w:val="0"/>
          <w:szCs w:val="21"/>
          <w:highlight w:val="none"/>
        </w:rPr>
        <w:t>，不得参加本项目同一合同项下的政府采购活动。为本项目提供整体设计、规范编制或者项目管理、监理、检测等服务的</w:t>
      </w:r>
      <w:r>
        <w:rPr>
          <w:rFonts w:hint="eastAsia" w:ascii="Times New Roman" w:hAnsi="Times New Roman" w:eastAsia="宋体" w:cs="Times New Roman"/>
          <w:color w:val="auto"/>
          <w:kern w:val="0"/>
          <w:szCs w:val="21"/>
          <w:highlight w:val="none"/>
        </w:rPr>
        <w:t>投标人</w:t>
      </w:r>
      <w:r>
        <w:rPr>
          <w:rFonts w:ascii="Times New Roman" w:hAnsi="Times New Roman" w:eastAsia="宋体" w:cs="Times New Roman"/>
          <w:color w:val="auto"/>
          <w:kern w:val="0"/>
          <w:szCs w:val="21"/>
          <w:highlight w:val="none"/>
        </w:rPr>
        <w:t>，不得再参加</w:t>
      </w:r>
      <w:r>
        <w:rPr>
          <w:rFonts w:hint="eastAsia" w:ascii="Times New Roman" w:hAnsi="Times New Roman" w:eastAsia="宋体" w:cs="Times New Roman"/>
          <w:color w:val="auto"/>
          <w:kern w:val="0"/>
          <w:szCs w:val="21"/>
          <w:highlight w:val="none"/>
        </w:rPr>
        <w:t>本</w:t>
      </w:r>
      <w:r>
        <w:rPr>
          <w:rFonts w:ascii="Times New Roman" w:hAnsi="Times New Roman" w:eastAsia="宋体" w:cs="Times New Roman"/>
          <w:color w:val="auto"/>
          <w:kern w:val="0"/>
          <w:szCs w:val="21"/>
          <w:highlight w:val="none"/>
        </w:rPr>
        <w:t>项目的采购活动</w:t>
      </w:r>
      <w:r>
        <w:rPr>
          <w:rFonts w:hint="eastAsia" w:ascii="Times New Roman" w:hAnsi="Times New Roman" w:eastAsia="宋体" w:cs="Times New Roman"/>
          <w:color w:val="auto"/>
          <w:kern w:val="0"/>
          <w:szCs w:val="21"/>
          <w:highlight w:val="none"/>
        </w:rPr>
        <w:t>。</w:t>
      </w:r>
    </w:p>
    <w:p w14:paraId="2CA74B90">
      <w:pPr>
        <w:spacing w:line="312" w:lineRule="auto"/>
        <w:ind w:firstLine="420" w:firstLineChars="20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（4）对在“信用中国”网站(www.creditchina.gov.cn) 、中国政府采购网(www.ccgp.gov.cn)被列入失信被执行人、重大税收违法案件当事人名单、政府采购严重违法失信行为记录名单及其他不符合《中华人民共和国政府采购法》第二十二条规定条件的投标人，不得参与政府采购活动</w:t>
      </w:r>
      <w:r>
        <w:rPr>
          <w:rFonts w:ascii="Times New Roman" w:hAnsi="Times New Roman" w:eastAsia="宋体" w:cs="Times New Roman"/>
          <w:color w:val="auto"/>
          <w:kern w:val="0"/>
          <w:szCs w:val="21"/>
          <w:highlight w:val="none"/>
        </w:rPr>
        <w:t>。</w:t>
      </w:r>
    </w:p>
    <w:p w14:paraId="290AA2D0">
      <w:pPr>
        <w:spacing w:line="312" w:lineRule="auto"/>
        <w:ind w:firstLine="420" w:firstLineChars="200"/>
        <w:jc w:val="left"/>
        <w:rPr>
          <w:rFonts w:ascii="Times New Roman" w:hAnsi="Times New Roman" w:eastAsia="宋体" w:cs="Times New Roman"/>
          <w:color w:val="auto"/>
          <w:kern w:val="0"/>
          <w:szCs w:val="21"/>
          <w:highlight w:val="none"/>
        </w:rPr>
      </w:pPr>
      <w:bookmarkStart w:id="14" w:name="_Hlk132878178"/>
      <w:r>
        <w:rPr>
          <w:rFonts w:hint="eastAsia" w:ascii="Times New Roman" w:hAnsi="Times New Roman" w:eastAsia="宋体" w:cs="Times New Roman"/>
          <w:color w:val="auto"/>
          <w:szCs w:val="21"/>
          <w:highlight w:val="none"/>
        </w:rPr>
        <w:t>（5）</w:t>
      </w:r>
      <w:r>
        <w:rPr>
          <w:rFonts w:hint="eastAsia" w:ascii="Times New Roman" w:hAnsi="Times New Roman" w:eastAsia="宋体" w:cs="Times New Roman"/>
          <w:color w:val="auto"/>
          <w:kern w:val="0"/>
          <w:szCs w:val="21"/>
          <w:highlight w:val="none"/>
        </w:rPr>
        <w:t>本项目不允许分包。</w:t>
      </w:r>
    </w:p>
    <w:p w14:paraId="72303695">
      <w:pPr>
        <w:spacing w:line="312" w:lineRule="auto"/>
        <w:ind w:firstLine="420" w:firstLineChars="20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（6）</w:t>
      </w:r>
      <w:bookmarkEnd w:id="14"/>
      <w:r>
        <w:rPr>
          <w:rFonts w:ascii="Times New Roman" w:hAnsi="Times New Roman" w:eastAsia="宋体" w:cs="Times New Roman"/>
          <w:color w:val="auto"/>
          <w:kern w:val="0"/>
          <w:szCs w:val="21"/>
          <w:highlight w:val="none"/>
        </w:rPr>
        <w:t>按照招标公告的规定获得招标文件。</w:t>
      </w:r>
    </w:p>
    <w:p w14:paraId="490C597E">
      <w:pPr>
        <w:spacing w:line="312" w:lineRule="auto"/>
        <w:ind w:firstLine="420" w:firstLineChars="200"/>
        <w:jc w:val="left"/>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w:t>
      </w:r>
      <w:r>
        <w:rPr>
          <w:rFonts w:hint="eastAsia" w:ascii="Times New Roman" w:hAnsi="Times New Roman" w:eastAsia="宋体" w:cs="Times New Roman"/>
          <w:color w:val="auto"/>
          <w:kern w:val="0"/>
          <w:szCs w:val="21"/>
          <w:highlight w:val="none"/>
        </w:rPr>
        <w:t>7</w:t>
      </w:r>
      <w:r>
        <w:rPr>
          <w:rFonts w:ascii="Times New Roman" w:hAnsi="Times New Roman" w:eastAsia="宋体" w:cs="Times New Roman"/>
          <w:color w:val="auto"/>
          <w:kern w:val="0"/>
          <w:szCs w:val="21"/>
          <w:highlight w:val="none"/>
        </w:rPr>
        <w:t>）招标文件有规定时，按要求提交投标保证金</w:t>
      </w:r>
      <w:r>
        <w:rPr>
          <w:rFonts w:hint="eastAsia" w:ascii="Times New Roman" w:hAnsi="Times New Roman" w:eastAsia="宋体" w:cs="Times New Roman"/>
          <w:color w:val="auto"/>
          <w:kern w:val="0"/>
          <w:szCs w:val="21"/>
          <w:highlight w:val="none"/>
        </w:rPr>
        <w:t>。</w:t>
      </w:r>
    </w:p>
    <w:p w14:paraId="3EAAD961">
      <w:pPr>
        <w:spacing w:line="312" w:lineRule="auto"/>
        <w:ind w:firstLine="442" w:firstLineChars="200"/>
        <w:jc w:val="left"/>
        <w:rPr>
          <w:rFonts w:ascii="Times New Roman" w:hAnsi="Times New Roman" w:eastAsia="宋体" w:cs="Times New Roman"/>
          <w:b/>
          <w:bCs/>
          <w:color w:val="auto"/>
          <w:kern w:val="0"/>
          <w:sz w:val="22"/>
          <w:highlight w:val="none"/>
        </w:rPr>
      </w:pPr>
      <w:r>
        <w:rPr>
          <w:rFonts w:hint="eastAsia" w:ascii="Times New Roman" w:hAnsi="Times New Roman" w:eastAsia="宋体" w:cs="Times New Roman"/>
          <w:b/>
          <w:bCs/>
          <w:color w:val="auto"/>
          <w:kern w:val="0"/>
          <w:sz w:val="22"/>
          <w:highlight w:val="none"/>
        </w:rPr>
        <w:t>三、获取招标文件</w:t>
      </w:r>
    </w:p>
    <w:p w14:paraId="3B6243C4">
      <w:pPr>
        <w:spacing w:line="312" w:lineRule="auto"/>
        <w:ind w:firstLine="420" w:firstLineChars="200"/>
        <w:jc w:val="left"/>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时间：</w:t>
      </w:r>
      <w:r>
        <w:rPr>
          <w:rFonts w:ascii="Times New Roman" w:hAnsi="Times New Roman" w:eastAsia="宋体" w:cs="Times New Roman"/>
          <w:color w:val="auto"/>
          <w:szCs w:val="24"/>
          <w:highlight w:val="none"/>
          <w:u w:val="single"/>
        </w:rPr>
        <w:t>202</w:t>
      </w:r>
      <w:r>
        <w:rPr>
          <w:rFonts w:hint="eastAsia" w:ascii="Times New Roman" w:hAnsi="Times New Roman" w:eastAsia="宋体" w:cs="Times New Roman"/>
          <w:color w:val="auto"/>
          <w:szCs w:val="24"/>
          <w:highlight w:val="none"/>
          <w:u w:val="single"/>
        </w:rPr>
        <w:t>5年</w:t>
      </w:r>
      <w:r>
        <w:rPr>
          <w:rFonts w:hint="eastAsia" w:ascii="Times New Roman" w:hAnsi="Times New Roman" w:eastAsia="宋体" w:cs="Times New Roman"/>
          <w:color w:val="auto"/>
          <w:szCs w:val="24"/>
          <w:highlight w:val="none"/>
          <w:u w:val="single"/>
          <w:lang w:val="en-US" w:eastAsia="zh-CN"/>
        </w:rPr>
        <w:t>7</w:t>
      </w:r>
      <w:r>
        <w:rPr>
          <w:rFonts w:hint="eastAsia" w:ascii="Times New Roman" w:hAnsi="Times New Roman" w:eastAsia="宋体" w:cs="Times New Roman"/>
          <w:color w:val="auto"/>
          <w:szCs w:val="24"/>
          <w:highlight w:val="none"/>
          <w:u w:val="single"/>
        </w:rPr>
        <w:t>月</w:t>
      </w:r>
      <w:r>
        <w:rPr>
          <w:rFonts w:hint="eastAsia" w:ascii="Times New Roman" w:hAnsi="Times New Roman" w:eastAsia="宋体" w:cs="Times New Roman"/>
          <w:color w:val="auto"/>
          <w:szCs w:val="24"/>
          <w:highlight w:val="none"/>
          <w:u w:val="single"/>
          <w:lang w:val="en-US" w:eastAsia="zh-CN"/>
        </w:rPr>
        <w:t>30</w:t>
      </w:r>
      <w:r>
        <w:rPr>
          <w:rFonts w:hint="eastAsia" w:ascii="Times New Roman" w:hAnsi="Times New Roman" w:eastAsia="宋体" w:cs="Times New Roman"/>
          <w:color w:val="auto"/>
          <w:szCs w:val="24"/>
          <w:highlight w:val="none"/>
          <w:u w:val="single"/>
        </w:rPr>
        <w:t>日起至</w:t>
      </w:r>
      <w:r>
        <w:rPr>
          <w:rFonts w:ascii="Times New Roman" w:hAnsi="Times New Roman" w:eastAsia="宋体" w:cs="Times New Roman"/>
          <w:color w:val="auto"/>
          <w:szCs w:val="24"/>
          <w:highlight w:val="none"/>
          <w:u w:val="single"/>
        </w:rPr>
        <w:t>202</w:t>
      </w:r>
      <w:r>
        <w:rPr>
          <w:rFonts w:hint="eastAsia" w:ascii="Times New Roman" w:hAnsi="Times New Roman" w:eastAsia="宋体" w:cs="Times New Roman"/>
          <w:color w:val="auto"/>
          <w:szCs w:val="24"/>
          <w:highlight w:val="none"/>
          <w:u w:val="single"/>
        </w:rPr>
        <w:t>5年</w:t>
      </w:r>
      <w:r>
        <w:rPr>
          <w:rFonts w:hint="eastAsia" w:ascii="Times New Roman" w:hAnsi="Times New Roman" w:eastAsia="宋体" w:cs="Times New Roman"/>
          <w:color w:val="auto"/>
          <w:szCs w:val="24"/>
          <w:highlight w:val="none"/>
          <w:u w:val="single"/>
          <w:lang w:val="en-US" w:eastAsia="zh-CN"/>
        </w:rPr>
        <w:t>8</w:t>
      </w:r>
      <w:r>
        <w:rPr>
          <w:rFonts w:hint="eastAsia" w:ascii="Times New Roman" w:hAnsi="Times New Roman" w:eastAsia="宋体" w:cs="Times New Roman"/>
          <w:color w:val="auto"/>
          <w:szCs w:val="24"/>
          <w:highlight w:val="none"/>
          <w:u w:val="single"/>
        </w:rPr>
        <w:t>月</w:t>
      </w:r>
      <w:r>
        <w:rPr>
          <w:rFonts w:hint="eastAsia" w:ascii="Times New Roman" w:hAnsi="Times New Roman" w:eastAsia="宋体" w:cs="Times New Roman"/>
          <w:color w:val="auto"/>
          <w:szCs w:val="24"/>
          <w:highlight w:val="none"/>
          <w:u w:val="single"/>
          <w:lang w:val="en-US" w:eastAsia="zh-CN"/>
        </w:rPr>
        <w:t>06</w:t>
      </w:r>
      <w:r>
        <w:rPr>
          <w:rFonts w:hint="eastAsia" w:ascii="Times New Roman" w:hAnsi="Times New Roman" w:eastAsia="宋体" w:cs="Times New Roman"/>
          <w:color w:val="auto"/>
          <w:szCs w:val="24"/>
          <w:highlight w:val="none"/>
          <w:u w:val="single"/>
        </w:rPr>
        <w:t>日</w:t>
      </w:r>
      <w:r>
        <w:rPr>
          <w:rFonts w:hint="eastAsia" w:ascii="Times New Roman" w:hAnsi="Times New Roman" w:eastAsia="宋体" w:cs="Times New Roman"/>
          <w:color w:val="auto"/>
          <w:szCs w:val="24"/>
          <w:highlight w:val="none"/>
        </w:rPr>
        <w:t>，每天上午</w:t>
      </w:r>
      <w:bookmarkStart w:id="15" w:name="_Hlk132878196"/>
      <w:r>
        <w:rPr>
          <w:rFonts w:ascii="Times New Roman" w:hAnsi="Times New Roman" w:eastAsia="宋体" w:cs="Times New Roman"/>
          <w:color w:val="auto"/>
          <w:szCs w:val="24"/>
          <w:highlight w:val="none"/>
          <w:u w:val="single"/>
        </w:rPr>
        <w:t>8</w:t>
      </w:r>
      <w:r>
        <w:rPr>
          <w:rFonts w:hint="eastAsia" w:ascii="Times New Roman" w:hAnsi="Times New Roman" w:eastAsia="宋体" w:cs="Times New Roman"/>
          <w:color w:val="auto"/>
          <w:szCs w:val="24"/>
          <w:highlight w:val="none"/>
          <w:u w:val="single"/>
        </w:rPr>
        <w:t>：3</w:t>
      </w:r>
      <w:r>
        <w:rPr>
          <w:rFonts w:ascii="Times New Roman" w:hAnsi="Times New Roman" w:eastAsia="宋体" w:cs="Times New Roman"/>
          <w:color w:val="auto"/>
          <w:szCs w:val="24"/>
          <w:highlight w:val="none"/>
          <w:u w:val="single"/>
        </w:rPr>
        <w:t>0</w:t>
      </w:r>
      <w:r>
        <w:rPr>
          <w:rFonts w:hint="eastAsia" w:ascii="Times New Roman" w:hAnsi="Times New Roman" w:eastAsia="宋体" w:cs="Times New Roman"/>
          <w:color w:val="auto"/>
          <w:szCs w:val="24"/>
          <w:highlight w:val="none"/>
          <w:u w:val="single"/>
        </w:rPr>
        <w:t>至</w:t>
      </w:r>
      <w:r>
        <w:rPr>
          <w:rFonts w:ascii="Times New Roman" w:hAnsi="Times New Roman" w:eastAsia="宋体" w:cs="Times New Roman"/>
          <w:color w:val="auto"/>
          <w:szCs w:val="24"/>
          <w:highlight w:val="none"/>
          <w:u w:val="single"/>
        </w:rPr>
        <w:t>12</w:t>
      </w:r>
      <w:r>
        <w:rPr>
          <w:rFonts w:hint="eastAsia" w:ascii="Times New Roman" w:hAnsi="Times New Roman" w:eastAsia="宋体" w:cs="Times New Roman"/>
          <w:color w:val="auto"/>
          <w:szCs w:val="24"/>
          <w:highlight w:val="none"/>
          <w:u w:val="single"/>
        </w:rPr>
        <w:t>：0</w:t>
      </w:r>
      <w:r>
        <w:rPr>
          <w:rFonts w:ascii="Times New Roman" w:hAnsi="Times New Roman" w:eastAsia="宋体" w:cs="Times New Roman"/>
          <w:color w:val="auto"/>
          <w:szCs w:val="24"/>
          <w:highlight w:val="none"/>
          <w:u w:val="single"/>
        </w:rPr>
        <w:t>0</w:t>
      </w:r>
      <w:r>
        <w:rPr>
          <w:rFonts w:hint="eastAsia" w:ascii="Times New Roman" w:hAnsi="Times New Roman" w:eastAsia="宋体" w:cs="Times New Roman"/>
          <w:color w:val="auto"/>
          <w:szCs w:val="24"/>
          <w:highlight w:val="none"/>
          <w:u w:val="single"/>
        </w:rPr>
        <w:t>，下午</w:t>
      </w:r>
      <w:r>
        <w:rPr>
          <w:rFonts w:ascii="Times New Roman" w:hAnsi="Times New Roman" w:eastAsia="宋体" w:cs="Times New Roman"/>
          <w:color w:val="auto"/>
          <w:szCs w:val="24"/>
          <w:highlight w:val="none"/>
          <w:u w:val="single"/>
        </w:rPr>
        <w:t>14</w:t>
      </w:r>
      <w:r>
        <w:rPr>
          <w:rFonts w:hint="eastAsia" w:ascii="Times New Roman" w:hAnsi="Times New Roman" w:eastAsia="宋体" w:cs="Times New Roman"/>
          <w:color w:val="auto"/>
          <w:szCs w:val="24"/>
          <w:highlight w:val="none"/>
          <w:u w:val="single"/>
        </w:rPr>
        <w:t>：3</w:t>
      </w:r>
      <w:r>
        <w:rPr>
          <w:rFonts w:ascii="Times New Roman" w:hAnsi="Times New Roman" w:eastAsia="宋体" w:cs="Times New Roman"/>
          <w:color w:val="auto"/>
          <w:szCs w:val="24"/>
          <w:highlight w:val="none"/>
          <w:u w:val="single"/>
        </w:rPr>
        <w:t>0</w:t>
      </w:r>
      <w:r>
        <w:rPr>
          <w:rFonts w:hint="eastAsia" w:ascii="Times New Roman" w:hAnsi="Times New Roman" w:eastAsia="宋体" w:cs="Times New Roman"/>
          <w:color w:val="auto"/>
          <w:szCs w:val="24"/>
          <w:highlight w:val="none"/>
          <w:u w:val="single"/>
        </w:rPr>
        <w:t>至</w:t>
      </w:r>
      <w:bookmarkEnd w:id="15"/>
      <w:r>
        <w:rPr>
          <w:rFonts w:ascii="Times New Roman" w:hAnsi="Times New Roman" w:eastAsia="宋体" w:cs="Times New Roman"/>
          <w:color w:val="auto"/>
          <w:szCs w:val="24"/>
          <w:highlight w:val="none"/>
          <w:u w:val="single"/>
        </w:rPr>
        <w:t>18</w:t>
      </w:r>
      <w:r>
        <w:rPr>
          <w:rFonts w:hint="eastAsia" w:ascii="Times New Roman" w:hAnsi="Times New Roman" w:eastAsia="宋体" w:cs="Times New Roman"/>
          <w:color w:val="auto"/>
          <w:szCs w:val="24"/>
          <w:highlight w:val="none"/>
          <w:u w:val="single"/>
        </w:rPr>
        <w:t>：0</w:t>
      </w:r>
      <w:r>
        <w:rPr>
          <w:rFonts w:ascii="Times New Roman" w:hAnsi="Times New Roman" w:eastAsia="宋体" w:cs="Times New Roman"/>
          <w:color w:val="auto"/>
          <w:szCs w:val="24"/>
          <w:highlight w:val="none"/>
          <w:u w:val="single"/>
        </w:rPr>
        <w:t>0</w:t>
      </w:r>
      <w:r>
        <w:rPr>
          <w:rFonts w:hint="eastAsia" w:ascii="Times New Roman" w:hAnsi="Times New Roman" w:eastAsia="宋体" w:cs="Times New Roman"/>
          <w:color w:val="auto"/>
          <w:szCs w:val="24"/>
          <w:highlight w:val="none"/>
        </w:rPr>
        <w:t>（北京时间，法定节假日除外）。</w:t>
      </w:r>
    </w:p>
    <w:p w14:paraId="43CE94C3">
      <w:pPr>
        <w:spacing w:line="312" w:lineRule="auto"/>
        <w:ind w:firstLine="420" w:firstLineChars="200"/>
        <w:jc w:val="left"/>
        <w:rPr>
          <w:rFonts w:ascii="Arial" w:hAnsi="Arial" w:eastAsia="宋体" w:cs="Arial"/>
          <w:color w:val="auto"/>
          <w:kern w:val="0"/>
          <w:szCs w:val="21"/>
          <w:highlight w:val="none"/>
        </w:rPr>
      </w:pPr>
      <w:r>
        <w:rPr>
          <w:rFonts w:hint="eastAsia" w:ascii="Times New Roman" w:hAnsi="Times New Roman" w:eastAsia="宋体" w:cs="Times New Roman"/>
          <w:color w:val="auto"/>
          <w:szCs w:val="24"/>
          <w:highlight w:val="none"/>
        </w:rPr>
        <w:t>地点（网址）</w:t>
      </w:r>
      <w:bookmarkStart w:id="16" w:name="_Hlk132878204"/>
      <w:r>
        <w:rPr>
          <w:rFonts w:hint="eastAsia" w:ascii="Times New Roman" w:hAnsi="Times New Roman" w:eastAsia="宋体" w:cs="Times New Roman"/>
          <w:color w:val="auto"/>
          <w:szCs w:val="24"/>
          <w:highlight w:val="none"/>
        </w:rPr>
        <w:t>：广西政府采购云平台（https://www.gcy.zfcg.gxzf.gov.cn/）</w:t>
      </w:r>
    </w:p>
    <w:bookmarkEnd w:id="16"/>
    <w:p w14:paraId="672DDF85">
      <w:pPr>
        <w:spacing w:line="312" w:lineRule="auto"/>
        <w:ind w:firstLine="420" w:firstLineChars="20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方式：</w:t>
      </w:r>
      <w:bookmarkStart w:id="17" w:name="_Hlk132878211"/>
      <w:bookmarkStart w:id="18" w:name="_Hlk132880632"/>
      <w:r>
        <w:rPr>
          <w:rFonts w:hint="eastAsia" w:ascii="Times New Roman" w:hAnsi="Times New Roman" w:eastAsia="宋体" w:cs="Times New Roman"/>
          <w:color w:val="auto"/>
          <w:szCs w:val="21"/>
          <w:highlight w:val="none"/>
        </w:rPr>
        <w:t>投标人登录广西政府采购云平台在线申请获取采购文件（进入“项目采购”应用，在获取采购文件菜单中选择项目，申请获取采购文件）</w:t>
      </w:r>
      <w:bookmarkEnd w:id="17"/>
    </w:p>
    <w:bookmarkEnd w:id="18"/>
    <w:p w14:paraId="65E4D39F">
      <w:pPr>
        <w:spacing w:line="312" w:lineRule="auto"/>
        <w:ind w:firstLine="420" w:firstLineChars="200"/>
        <w:jc w:val="left"/>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售价（元）：</w:t>
      </w:r>
      <w:r>
        <w:rPr>
          <w:rFonts w:ascii="Times New Roman" w:hAnsi="Times New Roman" w:eastAsia="宋体" w:cs="Times New Roman"/>
          <w:color w:val="auto"/>
          <w:szCs w:val="24"/>
          <w:highlight w:val="none"/>
        </w:rPr>
        <w:t>0</w:t>
      </w:r>
    </w:p>
    <w:p w14:paraId="16976098">
      <w:pPr>
        <w:spacing w:line="312" w:lineRule="auto"/>
        <w:ind w:firstLine="442" w:firstLineChars="200"/>
        <w:jc w:val="left"/>
        <w:rPr>
          <w:rFonts w:ascii="Times New Roman" w:hAnsi="Times New Roman" w:eastAsia="宋体" w:cs="Times New Roman"/>
          <w:b/>
          <w:bCs/>
          <w:color w:val="auto"/>
          <w:kern w:val="0"/>
          <w:sz w:val="22"/>
          <w:highlight w:val="none"/>
        </w:rPr>
      </w:pPr>
      <w:r>
        <w:rPr>
          <w:rFonts w:hint="eastAsia" w:ascii="Times New Roman" w:hAnsi="Times New Roman" w:eastAsia="宋体" w:cs="Times New Roman"/>
          <w:b/>
          <w:bCs/>
          <w:color w:val="auto"/>
          <w:kern w:val="0"/>
          <w:sz w:val="22"/>
          <w:highlight w:val="none"/>
        </w:rPr>
        <w:t>四、提交投标文件截止时间、开标时间和地点</w:t>
      </w:r>
    </w:p>
    <w:p w14:paraId="486154ED">
      <w:pPr>
        <w:spacing w:line="312" w:lineRule="auto"/>
        <w:ind w:firstLine="420" w:firstLineChars="20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提交投标文件截止时间：2025年</w:t>
      </w:r>
      <w:r>
        <w:rPr>
          <w:rFonts w:hint="eastAsia" w:ascii="Times New Roman" w:hAnsi="Times New Roman" w:eastAsia="宋体" w:cs="Times New Roman"/>
          <w:color w:val="auto"/>
          <w:kern w:val="0"/>
          <w:szCs w:val="21"/>
          <w:highlight w:val="none"/>
          <w:lang w:val="en-US" w:eastAsia="zh-CN"/>
        </w:rPr>
        <w:t>8</w:t>
      </w:r>
      <w:r>
        <w:rPr>
          <w:rFonts w:hint="eastAsia" w:ascii="Times New Roman" w:hAnsi="Times New Roman" w:eastAsia="宋体" w:cs="Times New Roman"/>
          <w:color w:val="auto"/>
          <w:kern w:val="0"/>
          <w:szCs w:val="21"/>
          <w:highlight w:val="none"/>
        </w:rPr>
        <w:t>月</w:t>
      </w:r>
      <w:r>
        <w:rPr>
          <w:rFonts w:hint="eastAsia" w:ascii="Times New Roman" w:hAnsi="Times New Roman" w:eastAsia="宋体" w:cs="Times New Roman"/>
          <w:color w:val="auto"/>
          <w:kern w:val="0"/>
          <w:szCs w:val="21"/>
          <w:highlight w:val="none"/>
          <w:lang w:val="en-US" w:eastAsia="zh-CN"/>
        </w:rPr>
        <w:t>20</w:t>
      </w:r>
      <w:r>
        <w:rPr>
          <w:rFonts w:hint="eastAsia" w:ascii="Times New Roman" w:hAnsi="Times New Roman" w:eastAsia="宋体" w:cs="Times New Roman"/>
          <w:color w:val="auto"/>
          <w:kern w:val="0"/>
          <w:szCs w:val="21"/>
          <w:highlight w:val="none"/>
        </w:rPr>
        <w:t>日</w:t>
      </w:r>
      <w:r>
        <w:rPr>
          <w:rFonts w:hint="eastAsia" w:ascii="Times New Roman" w:hAnsi="Times New Roman" w:eastAsia="宋体" w:cs="Times New Roman"/>
          <w:color w:val="auto"/>
          <w:szCs w:val="21"/>
          <w:highlight w:val="none"/>
        </w:rPr>
        <w:t>09:30（北京时间）</w:t>
      </w:r>
    </w:p>
    <w:p w14:paraId="5903DA4B">
      <w:pPr>
        <w:spacing w:line="312" w:lineRule="auto"/>
        <w:ind w:firstLine="420" w:firstLineChars="20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投标地点（网址）：</w:t>
      </w:r>
      <w:bookmarkStart w:id="19" w:name="_Hlk88997081"/>
      <w:r>
        <w:rPr>
          <w:rFonts w:hint="eastAsia" w:ascii="Times New Roman" w:hAnsi="Times New Roman" w:eastAsia="宋体" w:cs="Times New Roman"/>
          <w:color w:val="auto"/>
          <w:szCs w:val="21"/>
          <w:highlight w:val="none"/>
        </w:rPr>
        <w:t>本项目为全流程电子化项目，没有现场递交投标文件及现场开标环节，通过</w:t>
      </w:r>
      <w:r>
        <w:rPr>
          <w:rFonts w:hint="eastAsia" w:ascii="Times New Roman" w:hAnsi="Times New Roman" w:eastAsia="宋体" w:cs="Times New Roman"/>
          <w:color w:val="auto"/>
          <w:szCs w:val="24"/>
          <w:highlight w:val="none"/>
        </w:rPr>
        <w:t>广西政府采购云平台（https://www.gcy.zfcg.gxzf.gov.cn/）</w:t>
      </w:r>
      <w:r>
        <w:rPr>
          <w:rFonts w:hint="eastAsia" w:ascii="Times New Roman" w:hAnsi="Times New Roman" w:eastAsia="宋体" w:cs="Times New Roman"/>
          <w:color w:val="auto"/>
          <w:szCs w:val="21"/>
          <w:highlight w:val="none"/>
        </w:rPr>
        <w:t>实行在线电子投标，投标人应先安装“广西政府采购云平台客户端”（请自行前往</w:t>
      </w:r>
      <w:r>
        <w:rPr>
          <w:rFonts w:hint="eastAsia" w:ascii="Times New Roman" w:hAnsi="Times New Roman" w:eastAsia="宋体" w:cs="Times New Roman"/>
          <w:color w:val="auto"/>
          <w:szCs w:val="24"/>
          <w:highlight w:val="none"/>
        </w:rPr>
        <w:t>广西政府采购网—办事服务—下载专区</w:t>
      </w:r>
      <w:r>
        <w:rPr>
          <w:rFonts w:hint="eastAsia" w:ascii="Times New Roman" w:hAnsi="Times New Roman" w:eastAsia="宋体" w:cs="Times New Roman"/>
          <w:color w:val="auto"/>
          <w:szCs w:val="21"/>
          <w:highlight w:val="none"/>
        </w:rPr>
        <w:t>进行下载），并按照本项目招标文件和广西政府采购云平台的要求使用C</w:t>
      </w:r>
      <w:r>
        <w:rPr>
          <w:rFonts w:ascii="Times New Roman" w:hAnsi="Times New Roman" w:eastAsia="宋体" w:cs="Times New Roman"/>
          <w:color w:val="auto"/>
          <w:szCs w:val="21"/>
          <w:highlight w:val="none"/>
        </w:rPr>
        <w:t>A</w:t>
      </w:r>
      <w:r>
        <w:rPr>
          <w:rFonts w:hint="eastAsia" w:ascii="Times New Roman" w:hAnsi="Times New Roman" w:eastAsia="宋体" w:cs="Times New Roman"/>
          <w:color w:val="auto"/>
          <w:szCs w:val="21"/>
          <w:highlight w:val="none"/>
        </w:rPr>
        <w:t xml:space="preserve">认证编制、加密投标文件后在投标截止时间前上传至 广西政府采购云平台，投标人在广西政府采购云平台提交电子版投标文件时，请填写参加远程开标活动经办人联系方式。 </w:t>
      </w:r>
    </w:p>
    <w:bookmarkEnd w:id="19"/>
    <w:p w14:paraId="03DA530E">
      <w:pPr>
        <w:spacing w:line="312" w:lineRule="auto"/>
        <w:ind w:firstLine="420" w:firstLineChars="200"/>
        <w:jc w:val="left"/>
        <w:rPr>
          <w:rFonts w:ascii="Times New Roman" w:hAnsi="Times New Roman" w:eastAsia="宋体" w:cs="Times New Roman"/>
          <w:color w:val="auto"/>
          <w:kern w:val="0"/>
          <w:szCs w:val="21"/>
          <w:highlight w:val="none"/>
          <w:u w:val="single"/>
        </w:rPr>
      </w:pPr>
      <w:r>
        <w:rPr>
          <w:rFonts w:hint="eastAsia" w:ascii="Times New Roman" w:hAnsi="Times New Roman" w:eastAsia="宋体" w:cs="Times New Roman"/>
          <w:color w:val="auto"/>
          <w:kern w:val="0"/>
          <w:szCs w:val="21"/>
          <w:highlight w:val="none"/>
        </w:rPr>
        <w:t>开标时间：2025年</w:t>
      </w:r>
      <w:r>
        <w:rPr>
          <w:rFonts w:hint="eastAsia" w:ascii="Times New Roman" w:hAnsi="Times New Roman" w:eastAsia="宋体" w:cs="Times New Roman"/>
          <w:color w:val="auto"/>
          <w:kern w:val="0"/>
          <w:szCs w:val="21"/>
          <w:highlight w:val="none"/>
          <w:lang w:val="en-US" w:eastAsia="zh-CN"/>
        </w:rPr>
        <w:t>8</w:t>
      </w:r>
      <w:r>
        <w:rPr>
          <w:rFonts w:hint="eastAsia" w:ascii="Times New Roman" w:hAnsi="Times New Roman" w:eastAsia="宋体" w:cs="Times New Roman"/>
          <w:color w:val="auto"/>
          <w:kern w:val="0"/>
          <w:szCs w:val="21"/>
          <w:highlight w:val="none"/>
        </w:rPr>
        <w:t>月</w:t>
      </w:r>
      <w:r>
        <w:rPr>
          <w:rFonts w:hint="eastAsia" w:ascii="Times New Roman" w:hAnsi="Times New Roman" w:eastAsia="宋体" w:cs="Times New Roman"/>
          <w:color w:val="auto"/>
          <w:kern w:val="0"/>
          <w:szCs w:val="21"/>
          <w:highlight w:val="none"/>
          <w:lang w:val="en-US" w:eastAsia="zh-CN"/>
        </w:rPr>
        <w:t>20</w:t>
      </w:r>
      <w:r>
        <w:rPr>
          <w:rFonts w:hint="eastAsia" w:ascii="Times New Roman" w:hAnsi="Times New Roman" w:eastAsia="宋体" w:cs="Times New Roman"/>
          <w:color w:val="auto"/>
          <w:kern w:val="0"/>
          <w:szCs w:val="21"/>
          <w:highlight w:val="none"/>
        </w:rPr>
        <w:t>日</w:t>
      </w:r>
      <w:r>
        <w:rPr>
          <w:rFonts w:hint="eastAsia" w:ascii="Times New Roman" w:hAnsi="Times New Roman" w:eastAsia="宋体" w:cs="Times New Roman"/>
          <w:color w:val="auto"/>
          <w:szCs w:val="21"/>
          <w:highlight w:val="none"/>
        </w:rPr>
        <w:t>09:30（北京时间）</w:t>
      </w:r>
    </w:p>
    <w:p w14:paraId="69B0F176">
      <w:pPr>
        <w:spacing w:line="312" w:lineRule="auto"/>
        <w:ind w:firstLine="420" w:firstLineChars="20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kern w:val="0"/>
          <w:szCs w:val="21"/>
          <w:highlight w:val="none"/>
        </w:rPr>
        <w:t>开标地点：</w:t>
      </w:r>
      <w:bookmarkStart w:id="20" w:name="_Hlk88997106"/>
      <w:r>
        <w:rPr>
          <w:rFonts w:hint="eastAsia" w:ascii="Times New Roman" w:hAnsi="Times New Roman" w:eastAsia="宋体" w:cs="Times New Roman"/>
          <w:color w:val="auto"/>
          <w:szCs w:val="21"/>
          <w:highlight w:val="none"/>
        </w:rPr>
        <w:t>投标人登录广西政府采购云平台电子开标大厅开标。</w:t>
      </w:r>
      <w:bookmarkEnd w:id="20"/>
    </w:p>
    <w:p w14:paraId="442C309B">
      <w:pPr>
        <w:spacing w:line="312" w:lineRule="auto"/>
        <w:ind w:firstLine="442" w:firstLineChars="200"/>
        <w:jc w:val="left"/>
        <w:rPr>
          <w:rFonts w:ascii="Times New Roman" w:hAnsi="Times New Roman" w:eastAsia="宋体" w:cs="Times New Roman"/>
          <w:b/>
          <w:bCs/>
          <w:color w:val="auto"/>
          <w:kern w:val="0"/>
          <w:sz w:val="22"/>
          <w:highlight w:val="none"/>
        </w:rPr>
      </w:pPr>
      <w:r>
        <w:rPr>
          <w:rFonts w:hint="eastAsia" w:ascii="Times New Roman" w:hAnsi="Times New Roman" w:eastAsia="宋体" w:cs="Times New Roman"/>
          <w:b/>
          <w:bCs/>
          <w:color w:val="auto"/>
          <w:kern w:val="0"/>
          <w:sz w:val="22"/>
          <w:highlight w:val="none"/>
        </w:rPr>
        <w:t>五、公告期限</w:t>
      </w:r>
    </w:p>
    <w:p w14:paraId="6E5183FF">
      <w:pPr>
        <w:spacing w:line="312" w:lineRule="auto"/>
        <w:ind w:firstLine="420" w:firstLineChars="20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自本公告发布之日起5个工作日。</w:t>
      </w:r>
    </w:p>
    <w:p w14:paraId="4841B7BC">
      <w:pPr>
        <w:spacing w:line="312" w:lineRule="auto"/>
        <w:ind w:firstLine="442" w:firstLineChars="200"/>
        <w:jc w:val="left"/>
        <w:rPr>
          <w:rFonts w:ascii="Times New Roman" w:hAnsi="Times New Roman" w:eastAsia="宋体" w:cs="Times New Roman"/>
          <w:b/>
          <w:bCs/>
          <w:color w:val="auto"/>
          <w:kern w:val="0"/>
          <w:sz w:val="22"/>
          <w:highlight w:val="none"/>
        </w:rPr>
      </w:pPr>
      <w:r>
        <w:rPr>
          <w:rFonts w:hint="eastAsia" w:ascii="Times New Roman" w:hAnsi="Times New Roman" w:eastAsia="宋体" w:cs="Times New Roman"/>
          <w:b/>
          <w:bCs/>
          <w:color w:val="auto"/>
          <w:kern w:val="0"/>
          <w:sz w:val="22"/>
          <w:highlight w:val="none"/>
        </w:rPr>
        <w:t>六、其他补充事宜</w:t>
      </w:r>
    </w:p>
    <w:p w14:paraId="1C3288EE">
      <w:pPr>
        <w:spacing w:line="312" w:lineRule="auto"/>
        <w:ind w:firstLine="420" w:firstLineChars="20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1.公告发布媒体：广西壮族自治区政府采购网、中国政府采购网、全国公共资源交易平台（广西壮 族自治区）。</w:t>
      </w:r>
    </w:p>
    <w:p w14:paraId="59BBDFF0">
      <w:pPr>
        <w:spacing w:line="312" w:lineRule="auto"/>
        <w:ind w:firstLine="420" w:firstLineChars="20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2</w:t>
      </w:r>
      <w:r>
        <w:rPr>
          <w:rFonts w:ascii="Times New Roman" w:hAnsi="Times New Roman" w:eastAsia="宋体" w:cs="Times New Roman"/>
          <w:color w:val="auto"/>
          <w:kern w:val="0"/>
          <w:szCs w:val="21"/>
          <w:highlight w:val="none"/>
        </w:rPr>
        <w:t>.</w:t>
      </w:r>
      <w:r>
        <w:rPr>
          <w:rFonts w:hint="eastAsia" w:ascii="Times New Roman" w:hAnsi="Times New Roman" w:eastAsia="宋体" w:cs="Times New Roman"/>
          <w:color w:val="auto"/>
          <w:kern w:val="0"/>
          <w:szCs w:val="21"/>
          <w:highlight w:val="none"/>
        </w:rPr>
        <w:t>需落实的政府采购政策：</w:t>
      </w:r>
      <w:r>
        <w:rPr>
          <w:rFonts w:ascii="Times New Roman" w:hAnsi="Times New Roman" w:eastAsia="宋体" w:cs="Times New Roman"/>
          <w:color w:val="auto"/>
          <w:kern w:val="0"/>
          <w:szCs w:val="21"/>
          <w:highlight w:val="none"/>
        </w:rPr>
        <w:t>本项目适用政府采购促进中小企业、监狱企业发展、促进残疾人就业</w:t>
      </w:r>
      <w:r>
        <w:rPr>
          <w:rFonts w:hint="eastAsia" w:ascii="Times New Roman" w:hAnsi="Times New Roman" w:eastAsia="宋体" w:cs="Times New Roman"/>
          <w:color w:val="auto"/>
          <w:kern w:val="0"/>
          <w:szCs w:val="21"/>
          <w:highlight w:val="none"/>
        </w:rPr>
        <w:t>、</w:t>
      </w:r>
      <w:r>
        <w:rPr>
          <w:rFonts w:ascii="Times New Roman" w:hAnsi="Times New Roman" w:eastAsia="宋体" w:cs="Times New Roman"/>
          <w:color w:val="auto"/>
          <w:kern w:val="0"/>
          <w:szCs w:val="21"/>
          <w:highlight w:val="none"/>
        </w:rPr>
        <w:t>节能环保等有关政策，具体详见招标文件。</w:t>
      </w:r>
    </w:p>
    <w:p w14:paraId="178ACCFC">
      <w:pPr>
        <w:spacing w:line="312" w:lineRule="auto"/>
        <w:ind w:firstLine="420" w:firstLineChars="200"/>
        <w:jc w:val="left"/>
        <w:rPr>
          <w:rFonts w:ascii="Times New Roman" w:hAnsi="Times New Roman" w:eastAsia="宋体" w:cs="Times New Roman"/>
          <w:color w:val="auto"/>
          <w:kern w:val="0"/>
          <w:szCs w:val="21"/>
          <w:highlight w:val="none"/>
        </w:rPr>
      </w:pPr>
      <w:r>
        <w:rPr>
          <w:rFonts w:ascii="Times New Roman" w:hAnsi="Times New Roman" w:eastAsia="宋体" w:cs="宋体"/>
          <w:color w:val="auto"/>
          <w:szCs w:val="24"/>
          <w:highlight w:val="none"/>
        </w:rPr>
        <w:t>3.</w:t>
      </w:r>
      <w:r>
        <w:rPr>
          <w:rFonts w:hint="eastAsia" w:ascii="Times New Roman" w:hAnsi="Times New Roman" w:eastAsia="宋体" w:cs="宋体"/>
          <w:color w:val="auto"/>
          <w:szCs w:val="24"/>
          <w:highlight w:val="none"/>
        </w:rPr>
        <w:t>本项目不采用远程异地评审</w:t>
      </w:r>
      <w:r>
        <w:rPr>
          <w:rFonts w:hint="eastAsia" w:ascii="Times New Roman" w:hAnsi="Times New Roman" w:eastAsia="宋体" w:cs="Times New Roman"/>
          <w:color w:val="auto"/>
          <w:kern w:val="0"/>
          <w:szCs w:val="21"/>
          <w:highlight w:val="none"/>
        </w:rPr>
        <w:t>。</w:t>
      </w:r>
    </w:p>
    <w:p w14:paraId="42E6AE5F">
      <w:pPr>
        <w:spacing w:line="312" w:lineRule="auto"/>
        <w:ind w:firstLine="420" w:firstLineChars="20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4.</w:t>
      </w:r>
      <w:r>
        <w:rPr>
          <w:rFonts w:hint="eastAsia" w:ascii="Times New Roman" w:hAnsi="Times New Roman" w:eastAsia="宋体" w:cs="Times New Roman"/>
          <w:color w:val="auto"/>
          <w:kern w:val="0"/>
          <w:szCs w:val="21"/>
          <w:highlight w:val="none"/>
        </w:rPr>
        <w:t>注意事项：</w:t>
      </w:r>
    </w:p>
    <w:p w14:paraId="5D51CA3E">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（1）未进行网上注册并办理数字证书（CA认证）的投标人将无法参与本项目政府采购活动，潜</w:t>
      </w:r>
    </w:p>
    <w:p w14:paraId="65C2BA0F">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在投标人应当在投标截止时间前，完成广西政府采购云平台上的CA数字证书办理及投标文件的提交。完成CA数字证书办理预计7日左右，建议各投标人抓紧时间办理。</w:t>
      </w:r>
    </w:p>
    <w:p w14:paraId="1E7E8EC1">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（2）为确保网上操作合法、有效和安全，请投标人确保在电子投标过程中能够对相关数据电文进</w:t>
      </w:r>
    </w:p>
    <w:p w14:paraId="26E1954F">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行加密和使用电子签章，妥善保管CA数字证书并使用有效的CA数字证书参与整个招标活动。</w:t>
      </w:r>
    </w:p>
    <w:p w14:paraId="3AB11097">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（3）若对项目采购电子交易系统操作有疑问，可登录广西政府采购云平台</w:t>
      </w:r>
    </w:p>
    <w:p w14:paraId="714B24B9">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（https://www.gcy.zfcg.gxzf.gov.cn/），点击右侧咨询小采或帮助文档或拨打客服热线95763。</w:t>
      </w:r>
    </w:p>
    <w:p w14:paraId="6ACCD247">
      <w:pPr>
        <w:spacing w:line="312" w:lineRule="auto"/>
        <w:ind w:firstLine="442" w:firstLineChars="200"/>
        <w:jc w:val="left"/>
        <w:rPr>
          <w:rFonts w:ascii="Times New Roman" w:hAnsi="Times New Roman" w:eastAsia="宋体" w:cs="Times New Roman"/>
          <w:b/>
          <w:bCs/>
          <w:color w:val="auto"/>
          <w:kern w:val="0"/>
          <w:sz w:val="22"/>
          <w:highlight w:val="none"/>
        </w:rPr>
      </w:pPr>
      <w:r>
        <w:rPr>
          <w:rFonts w:hint="eastAsia" w:ascii="Times New Roman" w:hAnsi="Times New Roman" w:eastAsia="宋体" w:cs="Times New Roman"/>
          <w:b/>
          <w:bCs/>
          <w:color w:val="auto"/>
          <w:kern w:val="0"/>
          <w:sz w:val="22"/>
          <w:highlight w:val="none"/>
        </w:rPr>
        <w:t>七、对本次招标提出询问，请按以下方式联系</w:t>
      </w:r>
    </w:p>
    <w:p w14:paraId="4EABDE69">
      <w:pPr>
        <w:spacing w:line="312" w:lineRule="auto"/>
        <w:ind w:firstLine="420" w:firstLineChars="20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1.采购人信息</w:t>
      </w:r>
    </w:p>
    <w:p w14:paraId="32803C49">
      <w:pPr>
        <w:spacing w:line="312" w:lineRule="auto"/>
        <w:ind w:firstLine="420" w:firstLineChars="200"/>
        <w:jc w:val="left"/>
        <w:rPr>
          <w:rFonts w:ascii="Times New Roman" w:hAnsi="Times New Roman" w:eastAsia="宋体" w:cs="Times New Roman"/>
          <w:color w:val="auto"/>
          <w:kern w:val="0"/>
          <w:szCs w:val="21"/>
          <w:highlight w:val="none"/>
        </w:rPr>
      </w:pPr>
      <w:bookmarkStart w:id="21" w:name="_Hlk19048373"/>
      <w:r>
        <w:rPr>
          <w:rFonts w:hint="eastAsia" w:ascii="Times New Roman" w:hAnsi="Times New Roman" w:eastAsia="宋体" w:cs="Times New Roman"/>
          <w:color w:val="auto"/>
          <w:kern w:val="0"/>
          <w:szCs w:val="21"/>
          <w:highlight w:val="none"/>
        </w:rPr>
        <w:t>名称</w:t>
      </w:r>
      <w:r>
        <w:rPr>
          <w:rFonts w:ascii="Times New Roman" w:hAnsi="Times New Roman" w:eastAsia="宋体" w:cs="Times New Roman"/>
          <w:color w:val="auto"/>
          <w:kern w:val="0"/>
          <w:szCs w:val="21"/>
          <w:highlight w:val="none"/>
        </w:rPr>
        <w:t>：广西民族大学</w:t>
      </w:r>
    </w:p>
    <w:p w14:paraId="0B0ECA46">
      <w:pPr>
        <w:spacing w:line="312" w:lineRule="auto"/>
        <w:ind w:firstLine="420" w:firstLineChars="20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地址：广西南宁市大学东路188号</w:t>
      </w:r>
    </w:p>
    <w:p w14:paraId="5889114F">
      <w:pPr>
        <w:spacing w:line="312" w:lineRule="auto"/>
        <w:ind w:firstLine="420" w:firstLineChars="20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项目联系人：杨老师</w:t>
      </w:r>
    </w:p>
    <w:p w14:paraId="35E80AE0">
      <w:pPr>
        <w:spacing w:line="312" w:lineRule="auto"/>
        <w:ind w:firstLine="420" w:firstLineChars="20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 xml:space="preserve">项目联系方式：0771-3265219 </w:t>
      </w:r>
    </w:p>
    <w:p w14:paraId="2B2DE8C8">
      <w:pPr>
        <w:spacing w:line="312" w:lineRule="auto"/>
        <w:ind w:firstLine="420" w:firstLineChars="20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2.采购代理机构信息</w:t>
      </w:r>
    </w:p>
    <w:p w14:paraId="1B4802D2">
      <w:pPr>
        <w:spacing w:line="312" w:lineRule="auto"/>
        <w:ind w:firstLine="420" w:firstLineChars="20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名称</w:t>
      </w:r>
      <w:r>
        <w:rPr>
          <w:rFonts w:ascii="Times New Roman" w:hAnsi="Times New Roman" w:eastAsia="宋体" w:cs="Times New Roman"/>
          <w:color w:val="auto"/>
          <w:kern w:val="0"/>
          <w:szCs w:val="21"/>
          <w:highlight w:val="none"/>
        </w:rPr>
        <w:t>：广西机电设备招标有限公司</w:t>
      </w:r>
    </w:p>
    <w:p w14:paraId="34A0F4AD">
      <w:pPr>
        <w:spacing w:line="312" w:lineRule="auto"/>
        <w:ind w:firstLine="420" w:firstLineChars="200"/>
        <w:jc w:val="left"/>
        <w:rPr>
          <w:rFonts w:ascii="Times New Roman" w:hAnsi="Times New Roman" w:eastAsia="宋体" w:cs="Times New Roman"/>
          <w:color w:val="auto"/>
          <w:szCs w:val="24"/>
          <w:highlight w:val="none"/>
        </w:rPr>
      </w:pPr>
      <w:r>
        <w:rPr>
          <w:rFonts w:ascii="Times New Roman" w:hAnsi="Times New Roman" w:eastAsia="宋体" w:cs="Times New Roman"/>
          <w:color w:val="auto"/>
          <w:kern w:val="0"/>
          <w:szCs w:val="21"/>
          <w:highlight w:val="none"/>
        </w:rPr>
        <w:t>地址：</w:t>
      </w:r>
      <w:bookmarkStart w:id="22" w:name="_Hlk43198245"/>
      <w:r>
        <w:rPr>
          <w:rFonts w:ascii="Times New Roman" w:hAnsi="Times New Roman" w:eastAsia="宋体" w:cs="Times New Roman"/>
          <w:color w:val="auto"/>
          <w:szCs w:val="24"/>
          <w:highlight w:val="none"/>
        </w:rPr>
        <w:t>广西南宁市金湖路63号金源CBD现代城B座7层</w:t>
      </w:r>
      <w:bookmarkEnd w:id="22"/>
    </w:p>
    <w:bookmarkEnd w:id="21"/>
    <w:p w14:paraId="1DD76824">
      <w:pPr>
        <w:spacing w:line="312" w:lineRule="auto"/>
        <w:ind w:firstLine="420" w:firstLineChars="200"/>
        <w:jc w:val="left"/>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项目联系人：</w:t>
      </w:r>
      <w:r>
        <w:rPr>
          <w:rFonts w:hint="eastAsia" w:ascii="Times New Roman" w:hAnsi="Times New Roman" w:eastAsia="宋体" w:cs="Times New Roman"/>
          <w:color w:val="auto"/>
          <w:kern w:val="0"/>
          <w:szCs w:val="21"/>
          <w:highlight w:val="none"/>
        </w:rPr>
        <w:t>梅莹、梁艳冰</w:t>
      </w:r>
    </w:p>
    <w:p w14:paraId="6BC2F801">
      <w:pPr>
        <w:spacing w:line="312" w:lineRule="auto"/>
        <w:ind w:firstLine="420" w:firstLineChars="20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项目联系方式</w:t>
      </w:r>
      <w:r>
        <w:rPr>
          <w:rFonts w:ascii="Times New Roman" w:hAnsi="Times New Roman" w:eastAsia="宋体" w:cs="Times New Roman"/>
          <w:color w:val="auto"/>
          <w:kern w:val="0"/>
          <w:szCs w:val="21"/>
          <w:highlight w:val="none"/>
        </w:rPr>
        <w:t>：0771-280</w:t>
      </w:r>
      <w:r>
        <w:rPr>
          <w:rFonts w:hint="eastAsia" w:ascii="Times New Roman" w:hAnsi="Times New Roman" w:eastAsia="宋体" w:cs="Times New Roman"/>
          <w:color w:val="auto"/>
          <w:kern w:val="0"/>
          <w:szCs w:val="21"/>
          <w:highlight w:val="none"/>
        </w:rPr>
        <w:t>8981</w:t>
      </w:r>
    </w:p>
    <w:bookmarkEnd w:id="8"/>
    <w:p w14:paraId="285ECB71">
      <w:pPr>
        <w:snapToGrid w:val="0"/>
        <w:spacing w:before="120" w:after="120" w:line="320" w:lineRule="exact"/>
        <w:jc w:val="center"/>
        <w:outlineLvl w:val="0"/>
        <w:rPr>
          <w:rFonts w:ascii="Times New Roman" w:hAnsi="Times New Roman" w:eastAsia="宋体" w:cs="Times New Roman"/>
          <w:color w:val="auto"/>
          <w:szCs w:val="21"/>
          <w:highlight w:val="none"/>
        </w:rPr>
      </w:pPr>
    </w:p>
    <w:p w14:paraId="44A5098A">
      <w:pPr>
        <w:spacing w:line="312" w:lineRule="auto"/>
        <w:ind w:firstLine="420" w:firstLineChars="200"/>
        <w:jc w:val="left"/>
        <w:rPr>
          <w:rFonts w:hint="eastAsia" w:ascii="Times New Roman" w:hAnsi="Times New Roman" w:eastAsia="宋体" w:cs="Times New Roman"/>
          <w:color w:val="auto"/>
          <w:kern w:val="0"/>
          <w:szCs w:val="21"/>
          <w:highlight w:val="none"/>
        </w:rPr>
      </w:pPr>
    </w:p>
    <w:p w14:paraId="5BDCCCA6">
      <w:pPr>
        <w:spacing w:line="312" w:lineRule="auto"/>
        <w:ind w:firstLine="420" w:firstLineChars="200"/>
        <w:jc w:val="right"/>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广西机电设备招标有限公司</w:t>
      </w:r>
    </w:p>
    <w:p w14:paraId="1E2ADE15">
      <w:pPr>
        <w:spacing w:line="312" w:lineRule="auto"/>
        <w:ind w:firstLine="420" w:firstLineChars="200"/>
        <w:jc w:val="right"/>
        <w:rPr>
          <w:rFonts w:hint="eastAsia" w:ascii="Times New Roman" w:hAnsi="Times New Roman" w:eastAsia="宋体" w:cs="Times New Roman"/>
          <w:color w:val="auto"/>
          <w:kern w:val="0"/>
          <w:szCs w:val="21"/>
          <w:highlight w:val="none"/>
        </w:rPr>
        <w:sectPr>
          <w:headerReference r:id="rId7" w:type="first"/>
          <w:footerReference r:id="rId9" w:type="first"/>
          <w:headerReference r:id="rId6" w:type="default"/>
          <w:footerReference r:id="rId8" w:type="default"/>
          <w:pgSz w:w="11906" w:h="16838"/>
          <w:pgMar w:top="1440" w:right="1080" w:bottom="1440" w:left="1080" w:header="851" w:footer="903" w:gutter="0"/>
          <w:pgNumType w:start="1"/>
          <w:cols w:space="720" w:num="1"/>
          <w:docGrid w:linePitch="312" w:charSpace="0"/>
        </w:sectPr>
      </w:pPr>
      <w:r>
        <w:rPr>
          <w:rFonts w:hint="eastAsia" w:ascii="Times New Roman" w:hAnsi="Times New Roman" w:eastAsia="宋体" w:cs="Times New Roman"/>
          <w:color w:val="auto"/>
          <w:kern w:val="0"/>
          <w:szCs w:val="21"/>
          <w:highlight w:val="none"/>
          <w:lang w:val="en-US" w:eastAsia="zh-CN"/>
        </w:rPr>
        <w:t xml:space="preserve">                  </w:t>
      </w:r>
      <w:bookmarkStart w:id="119" w:name="_GoBack"/>
      <w:bookmarkEnd w:id="119"/>
      <w:r>
        <w:rPr>
          <w:rFonts w:hint="eastAsia" w:ascii="Times New Roman" w:hAnsi="Times New Roman" w:eastAsia="宋体" w:cs="Times New Roman"/>
          <w:color w:val="auto"/>
          <w:kern w:val="0"/>
          <w:szCs w:val="21"/>
          <w:highlight w:val="none"/>
          <w:lang w:val="en-US" w:eastAsia="zh-CN"/>
        </w:rPr>
        <w:t xml:space="preserve">                                              </w:t>
      </w:r>
      <w:r>
        <w:rPr>
          <w:rFonts w:hint="eastAsia" w:ascii="Times New Roman" w:hAnsi="Times New Roman" w:eastAsia="宋体" w:cs="Times New Roman"/>
          <w:color w:val="auto"/>
          <w:kern w:val="0"/>
          <w:szCs w:val="21"/>
          <w:highlight w:val="none"/>
        </w:rPr>
        <w:t>202</w:t>
      </w:r>
      <w:r>
        <w:rPr>
          <w:rFonts w:hint="eastAsia" w:ascii="Times New Roman" w:hAnsi="Times New Roman" w:eastAsia="宋体" w:cs="Times New Roman"/>
          <w:color w:val="auto"/>
          <w:kern w:val="0"/>
          <w:szCs w:val="21"/>
          <w:highlight w:val="none"/>
          <w:lang w:val="en-US" w:eastAsia="zh-CN"/>
        </w:rPr>
        <w:t>5</w:t>
      </w:r>
      <w:r>
        <w:rPr>
          <w:rFonts w:hint="eastAsia" w:ascii="Times New Roman" w:hAnsi="Times New Roman" w:eastAsia="宋体" w:cs="Times New Roman"/>
          <w:color w:val="auto"/>
          <w:kern w:val="0"/>
          <w:szCs w:val="21"/>
          <w:highlight w:val="none"/>
        </w:rPr>
        <w:t>年</w:t>
      </w:r>
      <w:r>
        <w:rPr>
          <w:rFonts w:hint="eastAsia" w:ascii="Times New Roman" w:hAnsi="Times New Roman" w:eastAsia="宋体" w:cs="Times New Roman"/>
          <w:color w:val="auto"/>
          <w:kern w:val="0"/>
          <w:szCs w:val="21"/>
          <w:highlight w:val="none"/>
          <w:lang w:val="en-US" w:eastAsia="zh-CN"/>
        </w:rPr>
        <w:t xml:space="preserve"> 7</w:t>
      </w:r>
      <w:r>
        <w:rPr>
          <w:rFonts w:hint="eastAsia" w:ascii="Times New Roman" w:hAnsi="Times New Roman" w:eastAsia="宋体" w:cs="Times New Roman"/>
          <w:color w:val="auto"/>
          <w:kern w:val="0"/>
          <w:szCs w:val="21"/>
          <w:highlight w:val="none"/>
        </w:rPr>
        <w:t>月</w:t>
      </w:r>
      <w:r>
        <w:rPr>
          <w:rFonts w:hint="eastAsia" w:ascii="Times New Roman" w:hAnsi="Times New Roman" w:eastAsia="宋体" w:cs="Times New Roman"/>
          <w:color w:val="auto"/>
          <w:kern w:val="0"/>
          <w:szCs w:val="21"/>
          <w:highlight w:val="none"/>
          <w:lang w:val="en-US" w:eastAsia="zh-CN"/>
        </w:rPr>
        <w:t>30</w:t>
      </w:r>
      <w:r>
        <w:rPr>
          <w:rFonts w:hint="eastAsia" w:ascii="Times New Roman" w:hAnsi="Times New Roman" w:eastAsia="宋体" w:cs="Times New Roman"/>
          <w:color w:val="auto"/>
          <w:kern w:val="0"/>
          <w:szCs w:val="21"/>
          <w:highlight w:val="none"/>
        </w:rPr>
        <w:t>日</w:t>
      </w:r>
    </w:p>
    <w:p w14:paraId="43286054">
      <w:pPr>
        <w:numPr>
          <w:ilvl w:val="0"/>
          <w:numId w:val="1"/>
        </w:numPr>
        <w:ind w:firstLine="3082" w:firstLineChars="700"/>
        <w:outlineLvl w:val="0"/>
        <w:rPr>
          <w:b/>
          <w:color w:val="auto"/>
          <w:sz w:val="44"/>
          <w:szCs w:val="44"/>
          <w:highlight w:val="none"/>
        </w:rPr>
      </w:pPr>
      <w:bookmarkStart w:id="23" w:name="_Toc10920"/>
      <w:bookmarkStart w:id="24" w:name="_Hlk132878399"/>
      <w:r>
        <w:rPr>
          <w:rFonts w:hint="eastAsia"/>
          <w:b/>
          <w:color w:val="auto"/>
          <w:sz w:val="44"/>
          <w:szCs w:val="44"/>
          <w:highlight w:val="none"/>
        </w:rPr>
        <w:t>采购需求</w:t>
      </w:r>
      <w:bookmarkEnd w:id="23"/>
    </w:p>
    <w:p w14:paraId="597E2012">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说明：</w:t>
      </w:r>
    </w:p>
    <w:p w14:paraId="13F823C4">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 为落实政府采购政策需满足的要求</w:t>
      </w:r>
    </w:p>
    <w:p w14:paraId="44C19F24">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本招标文件所称中小企业必须符合《政府采购促进中小企业发展管理办法》（财库〔2020〕46号）的规定。</w:t>
      </w:r>
    </w:p>
    <w:p w14:paraId="0A53D3C7">
      <w:pPr>
        <w:spacing w:line="360" w:lineRule="auto"/>
        <w:ind w:firstLine="424" w:firstLineChars="202"/>
        <w:jc w:val="left"/>
        <w:rPr>
          <w:rFonts w:ascii="宋体" w:hAnsi="宋体" w:eastAsia="宋体" w:cs="宋体"/>
          <w:color w:val="auto"/>
          <w:szCs w:val="21"/>
          <w:highlight w:val="none"/>
        </w:rPr>
      </w:pPr>
      <w:r>
        <w:rPr>
          <w:rFonts w:hint="eastAsia" w:ascii="宋体" w:hAnsi="宋体" w:eastAsia="宋体" w:cs="宋体"/>
          <w:color w:val="auto"/>
          <w:szCs w:val="21"/>
          <w:highlight w:val="none"/>
        </w:rPr>
        <w:t>2.“实质性要求”是指招标文件中已经指明不满足则投标无效的条款，或者不能负偏离的条款，或者采购需求中带“▲”的条款。</w:t>
      </w:r>
    </w:p>
    <w:p w14:paraId="7B3083C9">
      <w:pPr>
        <w:spacing w:line="360" w:lineRule="auto"/>
        <w:ind w:firstLine="424" w:firstLineChars="202"/>
        <w:jc w:val="left"/>
        <w:rPr>
          <w:rFonts w:ascii="宋体" w:hAnsi="宋体" w:eastAsia="宋体" w:cs="宋体"/>
          <w:color w:val="auto"/>
          <w:szCs w:val="21"/>
          <w:highlight w:val="none"/>
        </w:rPr>
      </w:pPr>
      <w:r>
        <w:rPr>
          <w:rFonts w:hint="eastAsia" w:ascii="宋体" w:hAnsi="宋体" w:eastAsia="宋体" w:cs="宋体"/>
          <w:color w:val="auto"/>
          <w:szCs w:val="21"/>
          <w:highlight w:val="none"/>
        </w:rPr>
        <w:t>3.采购需求中出现的品牌、型号或者生产厂家仅起参考作用，不属于指定品牌、型号或者生产厂家的情形。投标人可参照或者选用其他相当的品牌、型号或者生产厂家替代。</w:t>
      </w:r>
    </w:p>
    <w:p w14:paraId="43408CCA">
      <w:pPr>
        <w:spacing w:line="360" w:lineRule="auto"/>
        <w:ind w:firstLine="424" w:firstLineChars="202"/>
        <w:jc w:val="left"/>
        <w:rPr>
          <w:rStyle w:val="50"/>
          <w:rFonts w:ascii="宋体" w:hAnsi="宋体" w:eastAsia="宋体" w:cs="宋体"/>
          <w:color w:val="auto"/>
          <w:highlight w:val="none"/>
        </w:rPr>
      </w:pPr>
      <w:r>
        <w:rPr>
          <w:rFonts w:hint="eastAsia" w:ascii="宋体" w:hAnsi="宋体" w:eastAsia="宋体" w:cs="宋体"/>
          <w:color w:val="auto"/>
          <w:szCs w:val="21"/>
          <w:highlight w:val="none"/>
        </w:rPr>
        <w:t>4. 投标人应根据自身实际情况如实响应招标文件，不得仅将招标文件内容简单复制粘贴作为投标响应。对于重要技术条款或技术参数应当在投标文件中提供技术支持资料，技术支持资料以招标文件中规定的形式为准，</w:t>
      </w:r>
      <w:r>
        <w:rPr>
          <w:rFonts w:hint="eastAsia" w:ascii="宋体" w:hAnsi="宋体" w:eastAsia="宋体" w:cs="宋体"/>
          <w:b/>
          <w:bCs/>
          <w:color w:val="auto"/>
          <w:szCs w:val="21"/>
          <w:highlight w:val="none"/>
        </w:rPr>
        <w:t>否则将视为无效技术支持资料</w:t>
      </w:r>
      <w:r>
        <w:rPr>
          <w:rFonts w:hint="eastAsia" w:ascii="宋体" w:hAnsi="宋体" w:eastAsia="宋体" w:cs="宋体"/>
          <w:color w:val="auto"/>
          <w:szCs w:val="21"/>
          <w:highlight w:val="none"/>
        </w:rPr>
        <w:t>。</w:t>
      </w:r>
    </w:p>
    <w:p w14:paraId="7AA8C0C4">
      <w:pPr>
        <w:spacing w:line="360" w:lineRule="auto"/>
        <w:ind w:firstLine="308" w:firstLineChars="147"/>
        <w:jc w:val="left"/>
        <w:rPr>
          <w:rFonts w:ascii="宋体" w:hAnsi="宋体" w:eastAsia="宋体" w:cs="宋体"/>
          <w:color w:val="auto"/>
          <w:szCs w:val="21"/>
          <w:highlight w:val="none"/>
        </w:rPr>
      </w:pPr>
      <w:r>
        <w:rPr>
          <w:rFonts w:hint="eastAsia" w:ascii="宋体" w:hAnsi="宋体" w:eastAsia="宋体" w:cs="宋体"/>
          <w:color w:val="auto"/>
          <w:szCs w:val="21"/>
          <w:highlight w:val="none"/>
        </w:rPr>
        <w:t>5.投标人必须自行为其投标产品侵犯他人的知识产权或者专利成果的行为承担相应法律责任。</w:t>
      </w:r>
    </w:p>
    <w:p w14:paraId="1E313EEB">
      <w:pPr>
        <w:spacing w:line="360" w:lineRule="auto"/>
        <w:ind w:firstLine="308" w:firstLineChars="147"/>
        <w:jc w:val="left"/>
        <w:rPr>
          <w:rFonts w:ascii="宋体" w:hAnsi="宋体" w:eastAsia="宋体" w:cs="宋体"/>
          <w:color w:val="auto"/>
          <w:szCs w:val="21"/>
          <w:highlight w:val="none"/>
        </w:rPr>
      </w:pPr>
      <w:r>
        <w:rPr>
          <w:rFonts w:hint="eastAsia" w:ascii="宋体" w:hAnsi="宋体" w:eastAsia="宋体" w:cs="宋体"/>
          <w:color w:val="auto"/>
          <w:szCs w:val="21"/>
          <w:highlight w:val="none"/>
        </w:rPr>
        <w:t>6.本项目中小企业划分标准所属行业名称（行业名称及划分见本章附件1）：</w:t>
      </w:r>
      <w:r>
        <w:rPr>
          <w:rFonts w:hint="eastAsia" w:ascii="Times New Roman" w:hAnsi="Times New Roman" w:eastAsia="宋体" w:cs="Times New Roman"/>
          <w:b/>
          <w:bCs/>
          <w:color w:val="auto"/>
          <w:szCs w:val="21"/>
          <w:highlight w:val="none"/>
          <w:u w:val="single"/>
        </w:rPr>
        <w:t>租赁和商务服务</w:t>
      </w:r>
      <w:r>
        <w:rPr>
          <w:rFonts w:hint="eastAsia" w:ascii="宋体" w:hAnsi="宋体" w:eastAsia="宋体" w:cs="宋体"/>
          <w:b/>
          <w:bCs/>
          <w:color w:val="auto"/>
          <w:szCs w:val="21"/>
          <w:highlight w:val="none"/>
          <w:u w:val="single"/>
        </w:rPr>
        <w:t>业</w:t>
      </w:r>
    </w:p>
    <w:tbl>
      <w:tblPr>
        <w:tblStyle w:val="43"/>
        <w:tblW w:w="93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1"/>
        <w:gridCol w:w="1105"/>
        <w:gridCol w:w="851"/>
        <w:gridCol w:w="6908"/>
      </w:tblGrid>
      <w:tr w14:paraId="575F1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41" w:type="dxa"/>
            <w:vAlign w:val="center"/>
          </w:tcPr>
          <w:p w14:paraId="0B0885C0">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05" w:type="dxa"/>
            <w:vAlign w:val="center"/>
          </w:tcPr>
          <w:p w14:paraId="0957D1B5">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851" w:type="dxa"/>
            <w:vAlign w:val="center"/>
          </w:tcPr>
          <w:p w14:paraId="2A7DDC96">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数量及单位</w:t>
            </w:r>
          </w:p>
        </w:tc>
        <w:tc>
          <w:tcPr>
            <w:tcW w:w="6908" w:type="dxa"/>
            <w:vAlign w:val="center"/>
          </w:tcPr>
          <w:p w14:paraId="71159D6C">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jc w:val="center"/>
              <w:textAlignment w:val="auto"/>
              <w:rPr>
                <w:rFonts w:ascii="宋体" w:hAnsi="宋体" w:eastAsia="宋体" w:cs="宋体"/>
                <w:color w:val="auto"/>
                <w:sz w:val="21"/>
                <w:szCs w:val="21"/>
                <w:highlight w:val="none"/>
              </w:rPr>
            </w:pPr>
            <w:r>
              <w:rPr>
                <w:rFonts w:hint="eastAsia" w:ascii="宋体" w:hAnsi="宋体" w:eastAsia="宋体" w:cs="Times New Roman"/>
                <w:color w:val="auto"/>
                <w:sz w:val="21"/>
                <w:szCs w:val="21"/>
                <w:highlight w:val="none"/>
              </w:rPr>
              <w:t>技术要求</w:t>
            </w:r>
          </w:p>
        </w:tc>
      </w:tr>
      <w:tr w14:paraId="30453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41" w:type="dxa"/>
            <w:vAlign w:val="center"/>
          </w:tcPr>
          <w:p w14:paraId="28E517DF">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05" w:type="dxa"/>
            <w:vAlign w:val="center"/>
          </w:tcPr>
          <w:p w14:paraId="087DAA7E">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jc w:val="center"/>
              <w:textAlignment w:val="auto"/>
              <w:rPr>
                <w:rFonts w:ascii="宋体" w:hAnsi="宋体" w:eastAsia="宋体" w:cs="宋体"/>
                <w:color w:val="auto"/>
                <w:sz w:val="21"/>
                <w:szCs w:val="21"/>
                <w:highlight w:val="none"/>
              </w:rPr>
            </w:pPr>
            <w:r>
              <w:rPr>
                <w:rFonts w:hint="eastAsia" w:ascii="宋体" w:hAnsi="宋体" w:eastAsia="宋体" w:cs="MS Mincho"/>
                <w:color w:val="auto"/>
                <w:kern w:val="1"/>
                <w:sz w:val="21"/>
                <w:szCs w:val="21"/>
                <w:highlight w:val="none"/>
              </w:rPr>
              <w:t>武鸣校区通勤车运营服务</w:t>
            </w:r>
          </w:p>
        </w:tc>
        <w:tc>
          <w:tcPr>
            <w:tcW w:w="851" w:type="dxa"/>
            <w:vAlign w:val="center"/>
          </w:tcPr>
          <w:p w14:paraId="7093989B">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6908" w:type="dxa"/>
            <w:vAlign w:val="center"/>
          </w:tcPr>
          <w:p w14:paraId="12AFE642">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一、租赁车辆类型、数量：</w:t>
            </w:r>
          </w:p>
          <w:p w14:paraId="44A7B12C">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（一）3辆49座位及以上核定载客人数的豪华空调大型客车</w:t>
            </w:r>
            <w:r>
              <w:rPr>
                <w:rFonts w:hint="eastAsia" w:ascii="宋体" w:hAnsi="宋体" w:eastAsia="宋体" w:cs="MS Mincho"/>
                <w:color w:val="auto"/>
                <w:kern w:val="1"/>
                <w:sz w:val="21"/>
                <w:szCs w:val="21"/>
                <w:highlight w:val="none"/>
                <w:lang w:eastAsia="zh-CN"/>
              </w:rPr>
              <w:t>（</w:t>
            </w:r>
            <w:r>
              <w:rPr>
                <w:rFonts w:hint="eastAsia" w:ascii="宋体" w:hAnsi="宋体" w:eastAsia="宋体" w:cs="MS Mincho"/>
                <w:color w:val="auto"/>
                <w:kern w:val="1"/>
                <w:sz w:val="21"/>
                <w:szCs w:val="21"/>
                <w:highlight w:val="none"/>
                <w:lang w:val="en-US" w:eastAsia="zh-CN"/>
              </w:rPr>
              <w:t>下称日常通勤车</w:t>
            </w:r>
            <w:r>
              <w:rPr>
                <w:rFonts w:hint="eastAsia" w:ascii="宋体" w:hAnsi="宋体" w:eastAsia="宋体" w:cs="MS Mincho"/>
                <w:color w:val="auto"/>
                <w:kern w:val="1"/>
                <w:sz w:val="21"/>
                <w:szCs w:val="21"/>
                <w:highlight w:val="none"/>
                <w:lang w:eastAsia="zh-CN"/>
              </w:rPr>
              <w:t>）</w:t>
            </w:r>
            <w:r>
              <w:rPr>
                <w:rFonts w:hint="eastAsia" w:ascii="宋体" w:hAnsi="宋体" w:eastAsia="宋体" w:cs="MS Mincho"/>
                <w:color w:val="auto"/>
                <w:kern w:val="1"/>
                <w:sz w:val="21"/>
                <w:szCs w:val="21"/>
                <w:highlight w:val="none"/>
              </w:rPr>
              <w:t>：</w:t>
            </w:r>
          </w:p>
          <w:p w14:paraId="78AC25FA">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主要用于接送相思湖校区至武鸣校区区间教职工上下班，工作日每天按不同时间段发车往返武鸣校区一趟。如有临时用车，租赁费用按照中标价乘以实际运行车次另行计算。</w:t>
            </w:r>
          </w:p>
          <w:p w14:paraId="168DC588">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（二）1辆5座小型客车</w:t>
            </w:r>
            <w:r>
              <w:rPr>
                <w:rFonts w:hint="eastAsia" w:ascii="宋体" w:hAnsi="宋体" w:eastAsia="宋体" w:cs="MS Mincho"/>
                <w:color w:val="auto"/>
                <w:kern w:val="1"/>
                <w:sz w:val="21"/>
                <w:szCs w:val="21"/>
                <w:highlight w:val="none"/>
                <w:lang w:eastAsia="zh-CN"/>
              </w:rPr>
              <w:t>（</w:t>
            </w:r>
            <w:r>
              <w:rPr>
                <w:rFonts w:hint="eastAsia" w:ascii="宋体" w:hAnsi="宋体" w:eastAsia="宋体" w:cs="MS Mincho"/>
                <w:color w:val="auto"/>
                <w:kern w:val="1"/>
                <w:sz w:val="21"/>
                <w:szCs w:val="21"/>
                <w:highlight w:val="none"/>
                <w:lang w:val="en-US" w:eastAsia="zh-CN"/>
              </w:rPr>
              <w:t>下称应急通勤车</w:t>
            </w:r>
            <w:r>
              <w:rPr>
                <w:rFonts w:hint="eastAsia" w:ascii="宋体" w:hAnsi="宋体" w:eastAsia="宋体" w:cs="MS Mincho"/>
                <w:color w:val="auto"/>
                <w:kern w:val="1"/>
                <w:sz w:val="21"/>
                <w:szCs w:val="21"/>
                <w:highlight w:val="none"/>
                <w:lang w:eastAsia="zh-CN"/>
              </w:rPr>
              <w:t>）</w:t>
            </w:r>
            <w:r>
              <w:rPr>
                <w:rFonts w:hint="eastAsia" w:ascii="宋体" w:hAnsi="宋体" w:eastAsia="宋体" w:cs="MS Mincho"/>
                <w:color w:val="auto"/>
                <w:kern w:val="1"/>
                <w:sz w:val="21"/>
                <w:szCs w:val="21"/>
                <w:highlight w:val="none"/>
              </w:rPr>
              <w:t>：</w:t>
            </w:r>
          </w:p>
          <w:p w14:paraId="044CC34D">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为了解决采购人武鸣校区各部门、各学院遇到突发事件，武鸣校区打车不方便，学生晚上有事、生病外出医院看病，外出武鸣城区和南宁市城区内紧急公务等用车的问题，武鸣校区预留1辆5座小型客车作为应急机动的通勤车，并安排相应的驾驶员，24小时常驻武鸣校区值班，以备应急使用。</w:t>
            </w:r>
          </w:p>
          <w:p w14:paraId="021D6EAB">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二、</w:t>
            </w:r>
            <w:r>
              <w:rPr>
                <w:rFonts w:hint="eastAsia" w:ascii="宋体" w:hAnsi="宋体" w:eastAsia="宋体" w:cs="MS Mincho"/>
                <w:color w:val="auto"/>
                <w:kern w:val="1"/>
                <w:sz w:val="21"/>
                <w:szCs w:val="21"/>
                <w:highlight w:val="none"/>
                <w:lang w:val="en-US" w:eastAsia="zh-CN"/>
              </w:rPr>
              <w:t>日常</w:t>
            </w:r>
            <w:r>
              <w:rPr>
                <w:rFonts w:hint="eastAsia" w:ascii="宋体" w:hAnsi="宋体" w:eastAsia="宋体" w:cs="MS Mincho"/>
                <w:color w:val="auto"/>
                <w:kern w:val="1"/>
                <w:sz w:val="21"/>
                <w:szCs w:val="21"/>
                <w:highlight w:val="none"/>
              </w:rPr>
              <w:t>通勤车运行路线、距离、时间及天数</w:t>
            </w:r>
          </w:p>
          <w:p w14:paraId="7448C0A6">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（一）运行路线及距离：相思湖校区北门--安吉西津站地铁口--武鸣绿地--武鸣校区，单程65公里，往返130公里。按照武鸣校区教学作息时间制订和调整发车。</w:t>
            </w:r>
          </w:p>
          <w:p w14:paraId="4C09E7C6">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（二）单程行驶时间：交通畅通的情况下约90分钟</w:t>
            </w:r>
          </w:p>
          <w:p w14:paraId="4FAEB3E6">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（三）全年运行天数：约270天（含周末、节假日、寒暑假）。</w:t>
            </w:r>
          </w:p>
          <w:p w14:paraId="0160C705">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（四）车辆的具体行驶路线和中途上落站点由采购人确定，采购人有权根据实际需要调整中途上落点和具体开车时间。</w:t>
            </w:r>
          </w:p>
          <w:p w14:paraId="2C1CAE59">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（五）根据学校工作要求和岗位工作性质，租赁公司驾驶员须做到包括周末和各种节假日在内全天候不间断有人在岗值班。</w:t>
            </w:r>
          </w:p>
          <w:p w14:paraId="319FF8FD">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（六）南宁-武鸣校区</w:t>
            </w:r>
            <w:r>
              <w:rPr>
                <w:rFonts w:hint="eastAsia" w:ascii="宋体" w:hAnsi="宋体" w:eastAsia="宋体" w:cs="MS Mincho"/>
                <w:color w:val="auto"/>
                <w:kern w:val="1"/>
                <w:sz w:val="21"/>
                <w:szCs w:val="21"/>
                <w:highlight w:val="none"/>
                <w:lang w:val="en-US" w:eastAsia="zh-CN"/>
              </w:rPr>
              <w:t>日常</w:t>
            </w:r>
            <w:r>
              <w:rPr>
                <w:rFonts w:hint="eastAsia" w:ascii="宋体" w:hAnsi="宋体" w:eastAsia="宋体" w:cs="MS Mincho"/>
                <w:color w:val="auto"/>
                <w:kern w:val="1"/>
                <w:sz w:val="21"/>
                <w:szCs w:val="21"/>
                <w:highlight w:val="none"/>
              </w:rPr>
              <w:t>通勤车均不收取师生费用。</w:t>
            </w:r>
            <w:r>
              <w:rPr>
                <w:rFonts w:hint="eastAsia" w:ascii="宋体" w:hAnsi="宋体" w:eastAsia="宋体" w:cs="MS Mincho"/>
                <w:color w:val="auto"/>
                <w:kern w:val="1"/>
                <w:sz w:val="21"/>
                <w:szCs w:val="21"/>
                <w:highlight w:val="none"/>
                <w:lang w:val="en-US" w:eastAsia="zh-CN"/>
              </w:rPr>
              <w:t>日常</w:t>
            </w:r>
            <w:r>
              <w:rPr>
                <w:rFonts w:hint="eastAsia" w:ascii="宋体" w:hAnsi="宋体" w:eastAsia="宋体" w:cs="MS Mincho"/>
                <w:color w:val="auto"/>
                <w:kern w:val="1"/>
                <w:sz w:val="21"/>
                <w:szCs w:val="21"/>
                <w:highlight w:val="none"/>
              </w:rPr>
              <w:t>通勤车优先满足教职工乘坐。原则上还有空余座位的情况下学生才可以乘坐。</w:t>
            </w:r>
          </w:p>
          <w:p w14:paraId="1DF8099A">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（七）司机严格遵循学校的教学计划安排发车时间，对于不按规定时间发车的将参照学校教学事故处理办法处理。</w:t>
            </w:r>
          </w:p>
          <w:p w14:paraId="3090F348">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（八）完善接送程序。一是严格落实</w:t>
            </w:r>
            <w:r>
              <w:rPr>
                <w:rFonts w:hint="eastAsia" w:ascii="宋体" w:hAnsi="宋体" w:eastAsia="宋体" w:cs="MS Mincho"/>
                <w:color w:val="auto"/>
                <w:kern w:val="1"/>
                <w:sz w:val="21"/>
                <w:szCs w:val="21"/>
                <w:highlight w:val="none"/>
                <w:lang w:val="en-US" w:eastAsia="zh-CN"/>
              </w:rPr>
              <w:t>日常</w:t>
            </w:r>
            <w:r>
              <w:rPr>
                <w:rFonts w:hint="eastAsia" w:ascii="宋体" w:hAnsi="宋体" w:eastAsia="宋体" w:cs="MS Mincho"/>
                <w:color w:val="auto"/>
                <w:kern w:val="1"/>
                <w:sz w:val="21"/>
                <w:szCs w:val="21"/>
                <w:highlight w:val="none"/>
              </w:rPr>
              <w:t>通勤车管理制度。为了加强</w:t>
            </w:r>
            <w:r>
              <w:rPr>
                <w:rFonts w:hint="eastAsia" w:ascii="宋体" w:hAnsi="宋体" w:eastAsia="宋体" w:cs="MS Mincho"/>
                <w:color w:val="auto"/>
                <w:kern w:val="1"/>
                <w:sz w:val="21"/>
                <w:szCs w:val="21"/>
                <w:highlight w:val="none"/>
                <w:lang w:val="en-US" w:eastAsia="zh-CN"/>
              </w:rPr>
              <w:t>日常</w:t>
            </w:r>
            <w:r>
              <w:rPr>
                <w:rFonts w:hint="eastAsia" w:ascii="宋体" w:hAnsi="宋体" w:eastAsia="宋体" w:cs="MS Mincho"/>
                <w:color w:val="auto"/>
                <w:kern w:val="1"/>
                <w:sz w:val="21"/>
                <w:szCs w:val="21"/>
                <w:highlight w:val="none"/>
              </w:rPr>
              <w:t>通勤车管理，落实</w:t>
            </w:r>
            <w:r>
              <w:rPr>
                <w:rFonts w:hint="eastAsia" w:ascii="宋体" w:hAnsi="宋体" w:eastAsia="宋体" w:cs="MS Mincho"/>
                <w:color w:val="auto"/>
                <w:kern w:val="1"/>
                <w:sz w:val="21"/>
                <w:szCs w:val="21"/>
                <w:highlight w:val="none"/>
                <w:lang w:val="en-US" w:eastAsia="zh-CN"/>
              </w:rPr>
              <w:t>日常</w:t>
            </w:r>
            <w:r>
              <w:rPr>
                <w:rFonts w:hint="eastAsia" w:ascii="宋体" w:hAnsi="宋体" w:eastAsia="宋体" w:cs="MS Mincho"/>
                <w:color w:val="auto"/>
                <w:kern w:val="1"/>
                <w:sz w:val="21"/>
                <w:szCs w:val="21"/>
                <w:highlight w:val="none"/>
              </w:rPr>
              <w:t>通勤车安全责任，有效预防和减少</w:t>
            </w:r>
            <w:r>
              <w:rPr>
                <w:rFonts w:hint="eastAsia" w:ascii="宋体" w:hAnsi="宋体" w:eastAsia="宋体" w:cs="MS Mincho"/>
                <w:color w:val="auto"/>
                <w:kern w:val="1"/>
                <w:sz w:val="21"/>
                <w:szCs w:val="21"/>
                <w:highlight w:val="none"/>
                <w:lang w:val="en-US" w:eastAsia="zh-CN"/>
              </w:rPr>
              <w:t>日常</w:t>
            </w:r>
            <w:r>
              <w:rPr>
                <w:rFonts w:hint="eastAsia" w:ascii="宋体" w:hAnsi="宋体" w:eastAsia="宋体" w:cs="MS Mincho"/>
                <w:color w:val="auto"/>
                <w:kern w:val="1"/>
                <w:sz w:val="21"/>
                <w:szCs w:val="21"/>
                <w:highlight w:val="none"/>
              </w:rPr>
              <w:t>通勤车道路交通事故，保证师生乘车安全，要切实做好发车登记，做到超员行为不消除不发车。二是严格落实</w:t>
            </w:r>
            <w:r>
              <w:rPr>
                <w:rFonts w:hint="eastAsia" w:ascii="宋体" w:hAnsi="宋体" w:eastAsia="宋体" w:cs="MS Mincho"/>
                <w:color w:val="auto"/>
                <w:kern w:val="1"/>
                <w:sz w:val="21"/>
                <w:szCs w:val="21"/>
                <w:highlight w:val="none"/>
                <w:lang w:val="en-US" w:eastAsia="zh-CN"/>
              </w:rPr>
              <w:t>日常</w:t>
            </w:r>
            <w:r>
              <w:rPr>
                <w:rFonts w:hint="eastAsia" w:ascii="宋体" w:hAnsi="宋体" w:eastAsia="宋体" w:cs="MS Mincho"/>
                <w:color w:val="auto"/>
                <w:kern w:val="1"/>
                <w:sz w:val="21"/>
                <w:szCs w:val="21"/>
                <w:highlight w:val="none"/>
              </w:rPr>
              <w:t>通勤车安全运行制度。要在发车前对车辆性能进行安全检查，发现问题及时处理。对不符合安全条件的</w:t>
            </w:r>
            <w:r>
              <w:rPr>
                <w:rFonts w:hint="eastAsia" w:ascii="宋体" w:hAnsi="宋体" w:eastAsia="宋体" w:cs="MS Mincho"/>
                <w:color w:val="auto"/>
                <w:kern w:val="1"/>
                <w:sz w:val="21"/>
                <w:szCs w:val="21"/>
                <w:highlight w:val="none"/>
                <w:lang w:val="en-US" w:eastAsia="zh-CN"/>
              </w:rPr>
              <w:t>日常</w:t>
            </w:r>
            <w:r>
              <w:rPr>
                <w:rFonts w:hint="eastAsia" w:ascii="宋体" w:hAnsi="宋体" w:eastAsia="宋体" w:cs="MS Mincho"/>
                <w:color w:val="auto"/>
                <w:kern w:val="1"/>
                <w:sz w:val="21"/>
                <w:szCs w:val="21"/>
                <w:highlight w:val="none"/>
              </w:rPr>
              <w:t>通勤车坚决不予使用。三是严格落实</w:t>
            </w:r>
            <w:r>
              <w:rPr>
                <w:rFonts w:hint="eastAsia" w:ascii="宋体" w:hAnsi="宋体" w:eastAsia="宋体" w:cs="MS Mincho"/>
                <w:color w:val="auto"/>
                <w:kern w:val="1"/>
                <w:sz w:val="21"/>
                <w:szCs w:val="21"/>
                <w:highlight w:val="none"/>
                <w:lang w:val="en-US" w:eastAsia="zh-CN"/>
              </w:rPr>
              <w:t>日常</w:t>
            </w:r>
            <w:r>
              <w:rPr>
                <w:rFonts w:hint="eastAsia" w:ascii="宋体" w:hAnsi="宋体" w:eastAsia="宋体" w:cs="MS Mincho"/>
                <w:color w:val="auto"/>
                <w:kern w:val="1"/>
                <w:sz w:val="21"/>
                <w:szCs w:val="21"/>
                <w:highlight w:val="none"/>
              </w:rPr>
              <w:t>通勤车安全责任追究制度。明确分工，细化职责，夯实措施，加强督查，确保</w:t>
            </w:r>
            <w:r>
              <w:rPr>
                <w:rFonts w:hint="eastAsia" w:ascii="宋体" w:hAnsi="宋体" w:eastAsia="宋体" w:cs="MS Mincho"/>
                <w:color w:val="auto"/>
                <w:kern w:val="1"/>
                <w:sz w:val="21"/>
                <w:szCs w:val="21"/>
                <w:highlight w:val="none"/>
                <w:lang w:val="en-US" w:eastAsia="zh-CN"/>
              </w:rPr>
              <w:t>日常</w:t>
            </w:r>
            <w:r>
              <w:rPr>
                <w:rFonts w:hint="eastAsia" w:ascii="宋体" w:hAnsi="宋体" w:eastAsia="宋体" w:cs="MS Mincho"/>
                <w:color w:val="auto"/>
                <w:kern w:val="1"/>
                <w:sz w:val="21"/>
                <w:szCs w:val="21"/>
                <w:highlight w:val="none"/>
              </w:rPr>
              <w:t>通勤车安全运营。</w:t>
            </w:r>
          </w:p>
          <w:p w14:paraId="07925E4F">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三、车辆和司机要求：</w:t>
            </w:r>
          </w:p>
          <w:p w14:paraId="5CCAC9EB">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（1）车辆：往返武鸣校区</w:t>
            </w:r>
            <w:r>
              <w:rPr>
                <w:rFonts w:hint="eastAsia" w:ascii="宋体" w:hAnsi="宋体" w:eastAsia="宋体" w:cs="MS Mincho"/>
                <w:color w:val="auto"/>
                <w:kern w:val="1"/>
                <w:sz w:val="21"/>
                <w:szCs w:val="21"/>
                <w:highlight w:val="none"/>
                <w:lang w:val="en-US" w:eastAsia="zh-CN"/>
              </w:rPr>
              <w:t>日常</w:t>
            </w:r>
            <w:r>
              <w:rPr>
                <w:rFonts w:hint="eastAsia" w:ascii="宋体" w:hAnsi="宋体" w:eastAsia="宋体" w:cs="MS Mincho"/>
                <w:color w:val="auto"/>
                <w:kern w:val="1"/>
                <w:sz w:val="21"/>
                <w:szCs w:val="21"/>
                <w:highlight w:val="none"/>
              </w:rPr>
              <w:t>通勤车必须是核定固定座位49座位及以上的豪华空调客车（发动机排量≥8.8L,功率≥247KW，车身外廓尺寸≥11500</w:t>
            </w:r>
            <w:r>
              <w:rPr>
                <w:rFonts w:hint="eastAsia" w:ascii="宋体" w:hAnsi="宋体" w:eastAsia="宋体" w:cs="宋体"/>
                <w:color w:val="auto"/>
                <w:kern w:val="1"/>
                <w:sz w:val="21"/>
                <w:szCs w:val="21"/>
                <w:highlight w:val="none"/>
              </w:rPr>
              <w:t>×2550×</w:t>
            </w:r>
            <w:r>
              <w:rPr>
                <w:rFonts w:hint="eastAsia" w:ascii="宋体" w:hAnsi="宋体" w:eastAsia="宋体" w:cs="MS Mincho"/>
                <w:color w:val="auto"/>
                <w:kern w:val="1"/>
                <w:sz w:val="21"/>
                <w:szCs w:val="21"/>
                <w:highlight w:val="none"/>
              </w:rPr>
              <w:t>3595MM的宇通客车、海格客车、金龙客车等客车）,常住武鸣校区24小时值班的应急</w:t>
            </w:r>
            <w:r>
              <w:rPr>
                <w:rFonts w:hint="eastAsia" w:ascii="宋体" w:hAnsi="宋体" w:eastAsia="宋体" w:cs="MS Mincho"/>
                <w:color w:val="auto"/>
                <w:kern w:val="1"/>
                <w:sz w:val="21"/>
                <w:szCs w:val="21"/>
                <w:highlight w:val="none"/>
                <w:lang w:val="en-US" w:eastAsia="zh-CN"/>
              </w:rPr>
              <w:t>通勤车</w:t>
            </w:r>
            <w:r>
              <w:rPr>
                <w:rFonts w:hint="eastAsia" w:ascii="宋体" w:hAnsi="宋体" w:eastAsia="宋体" w:cs="MS Mincho"/>
                <w:color w:val="auto"/>
                <w:kern w:val="1"/>
                <w:sz w:val="21"/>
                <w:szCs w:val="21"/>
                <w:highlight w:val="none"/>
              </w:rPr>
              <w:t>(裸车价格必须在18万人民币以上的国产小轿车)，</w:t>
            </w:r>
            <w:r>
              <w:rPr>
                <w:rFonts w:hint="eastAsia" w:ascii="宋体" w:hAnsi="宋体" w:eastAsia="宋体" w:cs="MS Mincho"/>
                <w:color w:val="auto"/>
                <w:kern w:val="1"/>
                <w:sz w:val="21"/>
                <w:szCs w:val="21"/>
                <w:highlight w:val="none"/>
                <w:lang w:val="en-US" w:eastAsia="zh-CN"/>
              </w:rPr>
              <w:t>日常</w:t>
            </w:r>
            <w:r>
              <w:rPr>
                <w:rFonts w:hint="eastAsia" w:ascii="宋体" w:hAnsi="宋体" w:eastAsia="宋体" w:cs="MS Mincho"/>
                <w:color w:val="auto"/>
                <w:kern w:val="1"/>
                <w:sz w:val="21"/>
                <w:szCs w:val="21"/>
                <w:highlight w:val="none"/>
              </w:rPr>
              <w:t>通勤车、应急</w:t>
            </w:r>
            <w:r>
              <w:rPr>
                <w:rFonts w:hint="eastAsia" w:ascii="宋体" w:hAnsi="宋体" w:eastAsia="宋体" w:cs="MS Mincho"/>
                <w:color w:val="auto"/>
                <w:kern w:val="1"/>
                <w:sz w:val="21"/>
                <w:szCs w:val="21"/>
                <w:highlight w:val="none"/>
                <w:lang w:val="en-US" w:eastAsia="zh-CN"/>
              </w:rPr>
              <w:t>通勤</w:t>
            </w:r>
            <w:r>
              <w:rPr>
                <w:rFonts w:hint="eastAsia" w:ascii="宋体" w:hAnsi="宋体" w:eastAsia="宋体" w:cs="MS Mincho"/>
                <w:color w:val="auto"/>
                <w:kern w:val="1"/>
                <w:sz w:val="21"/>
                <w:szCs w:val="21"/>
                <w:highlight w:val="none"/>
              </w:rPr>
              <w:t>车车龄都不能超过3年，以投标截止之日起算（所有投标车龄表述均为机动车登记证书注册信息，登记日期为首次登记日期起算），投标人必须在投标文件中提供拟租车辆的《机动车登记证书》及机动车行驶证正反双面清晰的原件扫描件，最新车辆彩色图片(包括外型、车厢环境和车牌号码)，车牌号码等资料，若为租赁的还需提供租赁合同。车辆需符合国家规定安全环保等要求，车况良好、非事故车辆，设备齐全、无安全隐患，保险、证件手续齐全有效，车辆所有人信息需与工商登记名称信息一致，登记在个人名下的车辆不予认可，原件备查。</w:t>
            </w:r>
          </w:p>
          <w:p w14:paraId="4E43C509">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（2）除了购买车辆保险外，还必须对车上人员投保承运人责任险，每个座位不低于80万元人民币；第三者责任险不低于300万，大巴车200万以上不低于10个位置，其余座位不低于80万。</w:t>
            </w:r>
          </w:p>
          <w:p w14:paraId="072F1E37">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3）投标人根据采购人的用车需求，提供安全、舒适车辆。驾驶员要求50岁以下（含50岁），身体健康思想政治觉悟高，严格遵守学校各项规章制度以及车辆安全管理制度，服务态度好、驾龄5年以上（实际路面驾驶经验），须拥有相应车辆准驾资格，与投标人签有固定劳动合同，对车辆所有人及派出驾驶员权责完全负责，与采购人无关。在提供服务期间发生交通违法、交通事故产生的人员伤亡和财产损失由投标人和驾驶员本人承担，与采购人无关。</w:t>
            </w:r>
          </w:p>
          <w:p w14:paraId="68EAAB91">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（4）驾驶员上岗要求挂牌、统一着装。</w:t>
            </w:r>
          </w:p>
          <w:p w14:paraId="266FFFC9">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（5）驾驶员不得向任何人透漏车内所有的信息，包括家人、朋友、同事及其他无关人员。</w:t>
            </w:r>
          </w:p>
          <w:p w14:paraId="363C3325">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（6）在车辆租赁期间应有应急处置方案，投标人接到采购人关于车辆故障或事故的通知后，南宁市区内应在30分钟内派出专业人员到场排除故障或派出与所租赁车辆同水平替换车辆到达故障地点。</w:t>
            </w:r>
          </w:p>
          <w:p w14:paraId="437F7E53">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四、车辆证件及要求</w:t>
            </w:r>
          </w:p>
          <w:p w14:paraId="3622277B">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 xml:space="preserve">1.投标人投标文件中提供车辆行驶证、驾驶员相应准驾车型驾驶证、车辆保险（交强险、车损险、第三者责任险、司乘人员座位险）的复印件，上述险种若在投标时未投保，则承诺在签定合同前进行投保，并于投标文件中提供承诺书原件。在签定合同后中标人向采购人提供以上资料的原件供采购人审核，通过审核后方可签定合同。 </w:t>
            </w:r>
          </w:p>
          <w:p w14:paraId="2EED6E2D">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2. 投标人同意按采购人用车需求将车辆停放在采购人的指定位置并随时提供日常用车。</w:t>
            </w:r>
          </w:p>
          <w:p w14:paraId="051512A6">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3.采购单位有确定路线及上落点的权利，投标人运行线路必须选择高速优先的原则。</w:t>
            </w:r>
          </w:p>
          <w:p w14:paraId="39A9BE69">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五、服务要求</w:t>
            </w:r>
          </w:p>
          <w:p w14:paraId="4851EEC2">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1.租用车辆的保险、年检、正常的维修保养所产生的费用由中标人负责。</w:t>
            </w:r>
          </w:p>
          <w:p w14:paraId="794E2C27">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2.车辆租赁期间，车辆根据《交通运输部关于修改&lt;机动车维修管理规定&gt;的决定》（交通运输部令2023 年第 14号），按照规定的行驶里程或者时间进行例行保养，并提供专业汽车维修公司出具的保养记录。</w:t>
            </w:r>
          </w:p>
          <w:p w14:paraId="75E9DAAE">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3.车辆配备：全车贴防爆隔热膜、配置脚垫、灭火器、随车备用工具、行车记录仪、车内监控、配置可自由调节的出风口、座椅调节、行李架、卫星定位系统等。</w:t>
            </w:r>
          </w:p>
          <w:p w14:paraId="09FF5BA8">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4.中标人根据采购人的工作用车需求，提供安全、舒适车辆以及服务态度好的司机，对车辆所有人及派出驾驶员权责完全负责，与采购人无关。因驾驶员原因驾驶产生的交通违章由驾驶员本人承担，与采购人无关。车辆在使用期间如确需维修保养，接受定期检审或其他经采购人认可的合理因素而造成需要暂停运行，中标人必须调派同等条件的车辆供采购人使用。不得提供教练车、待报废车和其他车辆。</w:t>
            </w:r>
          </w:p>
          <w:p w14:paraId="6C36A449">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5.中标人派出的司机必须是持有A1驾驶证责任心强且具5年以上驾驶大客车经验，3年内无重大以上交通责任事故的司机。驾驶员须符合驾驶公路客运车辆的法定条件，在车辆租赁服务期间，应维护采购人利益，礼貌待客，安全驾驶，妥善处理客运纠纷，应服从采购人对其服务质量、安全驾驶等方面的监督管理，遵循采购人在车容和保洁、车辆行使路线和时间站点、行驶途中意外情况处置等方面的规程要求；对因发生服务质量投诉，经采购人教育后仍不改正的，采购人有权要求更换新的驾驶员（同等资格条件）。</w:t>
            </w:r>
          </w:p>
          <w:p w14:paraId="4CD02077">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六、服务要求：</w:t>
            </w:r>
          </w:p>
          <w:p w14:paraId="65D60778">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（一）合同期间，中标人派出的司机行车载客时必须遵守交通规则，如造成交通事故或乘客损伤的，采购人有权向中标人索赔，由中标人承担所有责任。</w:t>
            </w:r>
          </w:p>
          <w:p w14:paraId="1DBF2D05">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（二）中标人派出的司机和管理人员，其管理工作由中标人负责，如有违反国家的法律、法令或出现交通事故或乘客损伤均由中标人负责，与采购人无关。</w:t>
            </w:r>
          </w:p>
          <w:p w14:paraId="2C1B720E">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（三）中标人派出人员的福利、工资、医疗、保险均由中标人与员工负责。如发生劳资纠纷，由中标人解决，采购人不承担任何责任。</w:t>
            </w:r>
          </w:p>
          <w:p w14:paraId="4A41ED92">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（四）中标人如没有依时完成合约规定任务或服务质量达不到要求，如一年内同一台车辆出现三次故障或不同台车车辆累计出现五次故障的，又或是中标人不服从采购人</w:t>
            </w:r>
            <w:r>
              <w:rPr>
                <w:rFonts w:hint="eastAsia" w:ascii="宋体" w:hAnsi="宋体" w:eastAsia="宋体" w:cs="MS Mincho"/>
                <w:color w:val="auto"/>
                <w:kern w:val="1"/>
                <w:sz w:val="21"/>
                <w:szCs w:val="21"/>
                <w:highlight w:val="none"/>
                <w:lang w:val="en-US" w:eastAsia="zh-CN"/>
              </w:rPr>
              <w:t>管理</w:t>
            </w:r>
            <w:r>
              <w:rPr>
                <w:rFonts w:hint="eastAsia" w:ascii="宋体" w:hAnsi="宋体" w:eastAsia="宋体" w:cs="MS Mincho"/>
                <w:color w:val="auto"/>
                <w:kern w:val="1"/>
                <w:sz w:val="21"/>
                <w:szCs w:val="21"/>
                <w:highlight w:val="none"/>
              </w:rPr>
              <w:t>，经采购人三次提出书面批评意见后，仍无改进</w:t>
            </w:r>
            <w:r>
              <w:rPr>
                <w:rFonts w:hint="eastAsia" w:ascii="宋体" w:hAnsi="宋体" w:eastAsia="宋体" w:cs="MS Mincho"/>
                <w:color w:val="auto"/>
                <w:kern w:val="1"/>
                <w:sz w:val="21"/>
                <w:szCs w:val="21"/>
                <w:highlight w:val="none"/>
                <w:lang w:val="en-US" w:eastAsia="zh-CN"/>
              </w:rPr>
              <w:t>的</w:t>
            </w:r>
            <w:r>
              <w:rPr>
                <w:rFonts w:hint="eastAsia" w:ascii="宋体" w:hAnsi="宋体" w:eastAsia="宋体" w:cs="MS Mincho"/>
                <w:color w:val="auto"/>
                <w:kern w:val="1"/>
                <w:sz w:val="21"/>
                <w:szCs w:val="21"/>
                <w:highlight w:val="none"/>
              </w:rPr>
              <w:t>，采购人有权终止合同，并且采购人不承担违约责任。</w:t>
            </w:r>
          </w:p>
          <w:p w14:paraId="5846E86B">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（五）租赁车辆的使用由中标人司机负责，采购人无权驾驶所租车辆，否则后果由中标人负责。</w:t>
            </w:r>
          </w:p>
          <w:p w14:paraId="5AB11488">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（六）中标人在工作期间应严格遵守国家各项法律法规，并无理由无条件承担由于违章、肇事、违法等行为所产生的全部责任及经济损失；</w:t>
            </w:r>
          </w:p>
          <w:p w14:paraId="731673B7">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（七）中标人在工作期间要按照国家有关规定文明开车，如遇交通事故、被盗抢等，一切后果由中标人负责；驾驶员在为学校提供用车服务的全过程严禁饮酒、驾车途中禁止接打电话，如发现此类危险驾驶情况</w:t>
            </w:r>
            <w:r>
              <w:rPr>
                <w:rFonts w:hint="eastAsia" w:ascii="宋体" w:hAnsi="宋体" w:eastAsia="宋体" w:cs="MS Mincho"/>
                <w:color w:val="auto"/>
                <w:kern w:val="1"/>
                <w:sz w:val="21"/>
                <w:szCs w:val="21"/>
                <w:highlight w:val="none"/>
                <w:lang w:eastAsia="zh-CN"/>
              </w:rPr>
              <w:t>（</w:t>
            </w:r>
            <w:r>
              <w:rPr>
                <w:rFonts w:hint="eastAsia" w:ascii="宋体" w:hAnsi="宋体" w:eastAsia="宋体" w:cs="MS Mincho"/>
                <w:color w:val="auto"/>
                <w:kern w:val="1"/>
                <w:sz w:val="21"/>
                <w:szCs w:val="21"/>
                <w:highlight w:val="none"/>
              </w:rPr>
              <w:t>驾驶员酒后驾驶</w:t>
            </w:r>
            <w:r>
              <w:rPr>
                <w:rFonts w:hint="eastAsia" w:ascii="宋体" w:hAnsi="宋体" w:eastAsia="宋体" w:cs="MS Mincho"/>
                <w:color w:val="auto"/>
                <w:kern w:val="1"/>
                <w:sz w:val="21"/>
                <w:szCs w:val="21"/>
                <w:highlight w:val="none"/>
                <w:lang w:val="en-US" w:eastAsia="zh-CN"/>
              </w:rPr>
              <w:t>1次，或</w:t>
            </w:r>
            <w:r>
              <w:rPr>
                <w:rFonts w:hint="eastAsia" w:ascii="宋体" w:hAnsi="宋体" w:eastAsia="宋体" w:cs="MS Mincho"/>
                <w:color w:val="auto"/>
                <w:kern w:val="1"/>
                <w:sz w:val="21"/>
                <w:szCs w:val="21"/>
                <w:highlight w:val="none"/>
              </w:rPr>
              <w:t>驾车途中接打电话超过30秒累计3次</w:t>
            </w:r>
            <w:r>
              <w:rPr>
                <w:rFonts w:hint="eastAsia" w:ascii="宋体" w:hAnsi="宋体" w:eastAsia="宋体" w:cs="MS Mincho"/>
                <w:color w:val="auto"/>
                <w:kern w:val="1"/>
                <w:sz w:val="21"/>
                <w:szCs w:val="21"/>
                <w:highlight w:val="none"/>
                <w:lang w:eastAsia="zh-CN"/>
              </w:rPr>
              <w:t>），</w:t>
            </w:r>
            <w:r>
              <w:rPr>
                <w:rFonts w:hint="eastAsia" w:ascii="宋体" w:hAnsi="宋体" w:eastAsia="宋体" w:cs="MS Mincho"/>
                <w:color w:val="auto"/>
                <w:kern w:val="1"/>
                <w:sz w:val="21"/>
                <w:szCs w:val="21"/>
                <w:highlight w:val="none"/>
              </w:rPr>
              <w:t>学校有权终止合同并扣除租赁费总额 10%的违约金。</w:t>
            </w:r>
          </w:p>
          <w:p w14:paraId="2F004C8E">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（八）中标人由于自身原因耽误采购人出车时间或到达时间，对采购人的工作造成了严重影响，一切后果由中标人负责。</w:t>
            </w:r>
          </w:p>
          <w:p w14:paraId="0D5F93E8">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（九）合同期内，双方都应遵守合同约定及国家有关规定，如果中标人出现违法违规行为或因中标人的违法违规行为造成学校及学校的教职员工任何损失的，学校有权立即终止合同、扣除租赁费总额 10%的违约金，并保留依法追究中标人各项责任的权利。</w:t>
            </w:r>
          </w:p>
          <w:p w14:paraId="05D6E398">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（十）租赁车辆需要在市外过夜或就餐的，采购人承担驾驶员的用餐及住宿费用。上述两项费用参考采购人相关规定。</w:t>
            </w:r>
          </w:p>
          <w:p w14:paraId="4025155C">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（十一）租赁车辆驾驶员有义务提醒教职工车辆在运行中要全程系好安全带。</w:t>
            </w:r>
          </w:p>
          <w:p w14:paraId="27CD4313">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(十二) 中标人车辆必须按采购人指定的时间提前20分钟准时到达起点上客，如因中标人的原因（不可抗力因素除外）致使车辆超过规定时间20分钟才到达起点，中标人同样要派车，但应扣除中标人当班车次1000元的转运费并按采购人学校教学事故办法处理，从当月运行车次费用中扣除。如因中标单位自身原因(如出车前后未做好车辆安全检查或驾驶人未按时间提前20分钟到岗)造成的出车延误并产生教学事故的，一次扣除3000元，未产生教学事故的一次扣除1000元，从当月运行车次费用中扣除，当月费用不足以扣除的，从下月费用中补扣，扣完为止。中标人超过30分钟仍未派车到达采购人指定的起点，采购人可采取其他方式（四人辆/次座出租车）到目的地，所发生的车费由中标人负责。如车辆在行使途中发生故障排除或发生交通事故超过30分钟，当次车辆由中标人继续派出，并按原线路继续接载采购人人员。采购人部分人员可采取四人辆/次座出租车回目的地，所发生的车费由中标人负责。</w:t>
            </w:r>
          </w:p>
          <w:p w14:paraId="0EDBA0E3">
            <w:pPr>
              <w:keepNext w:val="0"/>
              <w:keepLines w:val="0"/>
              <w:pageBreakBefore w:val="0"/>
              <w:widowControl w:val="0"/>
              <w:tabs>
                <w:tab w:val="left" w:pos="180"/>
                <w:tab w:val="left" w:pos="1620"/>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MS Mincho"/>
                <w:color w:val="auto"/>
                <w:kern w:val="1"/>
                <w:sz w:val="21"/>
                <w:szCs w:val="21"/>
                <w:highlight w:val="none"/>
              </w:rPr>
            </w:pPr>
            <w:r>
              <w:rPr>
                <w:rFonts w:hint="eastAsia" w:ascii="宋体" w:hAnsi="宋体" w:eastAsia="宋体" w:cs="MS Mincho"/>
                <w:color w:val="auto"/>
                <w:kern w:val="1"/>
                <w:sz w:val="21"/>
                <w:szCs w:val="21"/>
                <w:highlight w:val="none"/>
              </w:rPr>
              <w:t>（十三）非特殊原因，合同期间不得更换投标时承诺的车辆及司机，如需更换备案车辆或司机的，须提前七天向采购人提出申请，经采购人同意后才能更换，更换的车辆及司机不得低于中标要求。如需临时更换必须获得采购人同意，但更换次数不得超过三次，如需长期更换必须以书面形式获得采购人审批，否则采购人有权终止合同。</w:t>
            </w:r>
          </w:p>
        </w:tc>
      </w:tr>
      <w:tr w14:paraId="584B24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305" w:type="dxa"/>
            <w:gridSpan w:val="4"/>
            <w:tcBorders>
              <w:top w:val="single" w:color="auto" w:sz="4" w:space="0"/>
              <w:left w:val="single" w:color="auto" w:sz="4" w:space="0"/>
              <w:bottom w:val="single" w:color="auto" w:sz="4" w:space="0"/>
              <w:right w:val="single" w:color="auto" w:sz="4" w:space="0"/>
            </w:tcBorders>
            <w:vAlign w:val="center"/>
          </w:tcPr>
          <w:p w14:paraId="728C16FF">
            <w:pPr>
              <w:keepNext w:val="0"/>
              <w:keepLines w:val="0"/>
              <w:pageBreakBefore w:val="0"/>
              <w:widowControl w:val="0"/>
              <w:kinsoku/>
              <w:wordWrap/>
              <w:overflowPunct/>
              <w:topLinePunct w:val="0"/>
              <w:autoSpaceDE/>
              <w:autoSpaceDN/>
              <w:bidi w:val="0"/>
              <w:snapToGrid w:val="0"/>
              <w:spacing w:beforeAutospacing="0" w:line="240" w:lineRule="auto"/>
              <w:textAlignment w:val="auto"/>
              <w:rPr>
                <w:rFonts w:ascii="宋体" w:hAnsi="宋体" w:eastAsia="宋体" w:cs="Times New Roman"/>
                <w:b/>
                <w:bCs/>
                <w:color w:val="auto"/>
                <w:sz w:val="21"/>
                <w:szCs w:val="21"/>
                <w:highlight w:val="none"/>
              </w:rPr>
            </w:pPr>
            <w:r>
              <w:rPr>
                <w:rFonts w:hint="eastAsia" w:ascii="宋体" w:hAnsi="宋体" w:eastAsia="宋体" w:cs="Times New Roman"/>
                <w:b/>
                <w:color w:val="auto"/>
                <w:sz w:val="21"/>
                <w:szCs w:val="21"/>
                <w:highlight w:val="none"/>
              </w:rPr>
              <w:t>商务要求</w:t>
            </w:r>
          </w:p>
        </w:tc>
      </w:tr>
      <w:tr w14:paraId="157070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46" w:type="dxa"/>
            <w:gridSpan w:val="2"/>
            <w:tcBorders>
              <w:top w:val="single" w:color="auto" w:sz="4" w:space="0"/>
              <w:left w:val="single" w:color="auto" w:sz="4" w:space="0"/>
              <w:bottom w:val="single" w:color="auto" w:sz="4" w:space="0"/>
              <w:right w:val="single" w:color="auto" w:sz="4" w:space="0"/>
            </w:tcBorders>
            <w:vAlign w:val="center"/>
          </w:tcPr>
          <w:p w14:paraId="0548C11D">
            <w:pPr>
              <w:keepNext w:val="0"/>
              <w:keepLines w:val="0"/>
              <w:pageBreakBefore w:val="0"/>
              <w:widowControl w:val="0"/>
              <w:tabs>
                <w:tab w:val="left" w:pos="5450"/>
              </w:tabs>
              <w:kinsoku/>
              <w:wordWrap/>
              <w:overflowPunct/>
              <w:topLinePunct w:val="0"/>
              <w:autoSpaceDE/>
              <w:autoSpaceDN/>
              <w:bidi w:val="0"/>
              <w:adjustRightInd w:val="0"/>
              <w:snapToGrid w:val="0"/>
              <w:spacing w:beforeAutospacing="0" w:line="240" w:lineRule="auto"/>
              <w:jc w:val="center"/>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服务期限</w:t>
            </w:r>
          </w:p>
        </w:tc>
        <w:tc>
          <w:tcPr>
            <w:tcW w:w="7759" w:type="dxa"/>
            <w:gridSpan w:val="2"/>
            <w:tcBorders>
              <w:top w:val="single" w:color="auto" w:sz="4" w:space="0"/>
              <w:left w:val="single" w:color="auto" w:sz="4" w:space="0"/>
              <w:bottom w:val="single" w:color="auto" w:sz="4" w:space="0"/>
              <w:right w:val="single" w:color="auto" w:sz="4" w:space="0"/>
            </w:tcBorders>
            <w:vAlign w:val="center"/>
          </w:tcPr>
          <w:p w14:paraId="56AF2F0D">
            <w:pPr>
              <w:keepNext w:val="0"/>
              <w:keepLines w:val="0"/>
              <w:pageBreakBefore w:val="0"/>
              <w:widowControl w:val="0"/>
              <w:kinsoku/>
              <w:wordWrap/>
              <w:overflowPunct/>
              <w:topLinePunct w:val="0"/>
              <w:autoSpaceDE/>
              <w:autoSpaceDN/>
              <w:bidi w:val="0"/>
              <w:snapToGrid w:val="0"/>
              <w:spacing w:beforeAutospacing="0" w:line="240" w:lineRule="auto"/>
              <w:ind w:firstLine="420" w:firstLineChars="200"/>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服务期限：叁年，从 2025年9月1日起至2028年8月31日止（包含节假日和国家法定的休息日）。</w:t>
            </w:r>
          </w:p>
        </w:tc>
      </w:tr>
      <w:tr w14:paraId="5884F0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46" w:type="dxa"/>
            <w:gridSpan w:val="2"/>
            <w:tcBorders>
              <w:top w:val="single" w:color="auto" w:sz="4" w:space="0"/>
              <w:left w:val="single" w:color="auto" w:sz="4" w:space="0"/>
              <w:bottom w:val="single" w:color="auto" w:sz="4" w:space="0"/>
              <w:right w:val="single" w:color="auto" w:sz="4" w:space="0"/>
            </w:tcBorders>
            <w:vAlign w:val="center"/>
          </w:tcPr>
          <w:p w14:paraId="0D9A8504">
            <w:pPr>
              <w:keepNext w:val="0"/>
              <w:keepLines w:val="0"/>
              <w:pageBreakBefore w:val="0"/>
              <w:widowControl w:val="0"/>
              <w:tabs>
                <w:tab w:val="left" w:pos="5450"/>
              </w:tabs>
              <w:kinsoku/>
              <w:wordWrap/>
              <w:overflowPunct/>
              <w:topLinePunct w:val="0"/>
              <w:autoSpaceDE/>
              <w:autoSpaceDN/>
              <w:bidi w:val="0"/>
              <w:adjustRightInd w:val="0"/>
              <w:snapToGrid w:val="0"/>
              <w:spacing w:beforeAutospacing="0" w:line="240" w:lineRule="auto"/>
              <w:jc w:val="center"/>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合同签订时间</w:t>
            </w:r>
          </w:p>
        </w:tc>
        <w:tc>
          <w:tcPr>
            <w:tcW w:w="7759" w:type="dxa"/>
            <w:gridSpan w:val="2"/>
            <w:tcBorders>
              <w:top w:val="single" w:color="auto" w:sz="4" w:space="0"/>
              <w:left w:val="single" w:color="auto" w:sz="4" w:space="0"/>
              <w:bottom w:val="single" w:color="auto" w:sz="4" w:space="0"/>
              <w:right w:val="single" w:color="auto" w:sz="4" w:space="0"/>
            </w:tcBorders>
            <w:vAlign w:val="center"/>
          </w:tcPr>
          <w:p w14:paraId="6118CCBA">
            <w:pPr>
              <w:keepNext w:val="0"/>
              <w:keepLines w:val="0"/>
              <w:pageBreakBefore w:val="0"/>
              <w:widowControl w:val="0"/>
              <w:tabs>
                <w:tab w:val="left" w:pos="5450"/>
              </w:tabs>
              <w:kinsoku/>
              <w:wordWrap/>
              <w:overflowPunct/>
              <w:topLinePunct w:val="0"/>
              <w:autoSpaceDE/>
              <w:autoSpaceDN/>
              <w:bidi w:val="0"/>
              <w:adjustRightInd w:val="0"/>
              <w:snapToGrid w:val="0"/>
              <w:spacing w:beforeAutospacing="0" w:line="240" w:lineRule="auto"/>
              <w:ind w:firstLine="420" w:firstLineChars="200"/>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自中标通知书发出之日起</w:t>
            </w:r>
            <w:r>
              <w:rPr>
                <w:rFonts w:hint="eastAsia" w:ascii="宋体" w:hAnsi="宋体" w:eastAsia="宋体" w:cs="Times New Roman"/>
                <w:color w:val="auto"/>
                <w:sz w:val="21"/>
                <w:szCs w:val="21"/>
                <w:highlight w:val="none"/>
                <w:u w:val="single"/>
              </w:rPr>
              <w:t>25</w:t>
            </w:r>
            <w:r>
              <w:rPr>
                <w:rFonts w:hint="eastAsia" w:ascii="宋体" w:hAnsi="宋体" w:eastAsia="宋体" w:cs="Times New Roman"/>
                <w:color w:val="auto"/>
                <w:sz w:val="21"/>
                <w:szCs w:val="21"/>
                <w:highlight w:val="none"/>
              </w:rPr>
              <w:t>日内（最迟不能超过25日）。</w:t>
            </w:r>
          </w:p>
        </w:tc>
      </w:tr>
      <w:tr w14:paraId="3F5AD7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46" w:type="dxa"/>
            <w:gridSpan w:val="2"/>
            <w:tcBorders>
              <w:top w:val="single" w:color="auto" w:sz="4" w:space="0"/>
              <w:left w:val="single" w:color="auto" w:sz="4" w:space="0"/>
              <w:bottom w:val="single" w:color="auto" w:sz="4" w:space="0"/>
              <w:right w:val="single" w:color="auto" w:sz="4" w:space="0"/>
            </w:tcBorders>
            <w:vAlign w:val="center"/>
          </w:tcPr>
          <w:p w14:paraId="78085D2A">
            <w:pPr>
              <w:keepNext w:val="0"/>
              <w:keepLines w:val="0"/>
              <w:pageBreakBefore w:val="0"/>
              <w:widowControl w:val="0"/>
              <w:tabs>
                <w:tab w:val="left" w:pos="5450"/>
              </w:tabs>
              <w:kinsoku/>
              <w:wordWrap/>
              <w:overflowPunct/>
              <w:topLinePunct w:val="0"/>
              <w:autoSpaceDE/>
              <w:autoSpaceDN/>
              <w:bidi w:val="0"/>
              <w:adjustRightInd w:val="0"/>
              <w:snapToGrid w:val="0"/>
              <w:spacing w:beforeAutospacing="0" w:line="240" w:lineRule="auto"/>
              <w:jc w:val="center"/>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付款方式</w:t>
            </w:r>
          </w:p>
        </w:tc>
        <w:tc>
          <w:tcPr>
            <w:tcW w:w="7759" w:type="dxa"/>
            <w:gridSpan w:val="2"/>
            <w:tcBorders>
              <w:top w:val="single" w:color="auto" w:sz="4" w:space="0"/>
              <w:left w:val="single" w:color="auto" w:sz="4" w:space="0"/>
              <w:bottom w:val="single" w:color="auto" w:sz="4" w:space="0"/>
              <w:right w:val="single" w:color="auto" w:sz="4" w:space="0"/>
            </w:tcBorders>
            <w:vAlign w:val="center"/>
          </w:tcPr>
          <w:p w14:paraId="3060A043">
            <w:pPr>
              <w:keepNext w:val="0"/>
              <w:keepLines w:val="0"/>
              <w:pageBreakBefore w:val="0"/>
              <w:widowControl w:val="0"/>
              <w:kinsoku/>
              <w:wordWrap/>
              <w:overflowPunct/>
              <w:topLinePunct w:val="0"/>
              <w:autoSpaceDE/>
              <w:autoSpaceDN/>
              <w:bidi w:val="0"/>
              <w:snapToGrid w:val="0"/>
              <w:spacing w:beforeAutospacing="0" w:line="240" w:lineRule="auto"/>
              <w:ind w:firstLine="420" w:firstLineChars="200"/>
              <w:textAlignment w:val="auto"/>
              <w:rPr>
                <w:rFonts w:ascii="宋体" w:hAnsi="宋体" w:eastAsia="宋体" w:cs="Times New Roman"/>
                <w:color w:val="auto"/>
                <w:kern w:val="1"/>
                <w:sz w:val="21"/>
                <w:szCs w:val="21"/>
                <w:highlight w:val="none"/>
              </w:rPr>
            </w:pPr>
            <w:r>
              <w:rPr>
                <w:rFonts w:hint="eastAsia" w:ascii="宋体" w:hAnsi="宋体" w:eastAsia="宋体" w:cs="Times New Roman"/>
                <w:color w:val="auto"/>
                <w:kern w:val="1"/>
                <w:sz w:val="21"/>
                <w:szCs w:val="21"/>
                <w:highlight w:val="none"/>
              </w:rPr>
              <w:t>按月据实结算：</w:t>
            </w:r>
          </w:p>
          <w:p w14:paraId="7D38C650">
            <w:pPr>
              <w:keepNext w:val="0"/>
              <w:keepLines w:val="0"/>
              <w:pageBreakBefore w:val="0"/>
              <w:widowControl w:val="0"/>
              <w:kinsoku/>
              <w:wordWrap/>
              <w:overflowPunct/>
              <w:topLinePunct w:val="0"/>
              <w:autoSpaceDE/>
              <w:autoSpaceDN/>
              <w:bidi w:val="0"/>
              <w:snapToGrid w:val="0"/>
              <w:spacing w:beforeAutospacing="0" w:line="240" w:lineRule="auto"/>
              <w:ind w:firstLine="420" w:firstLineChars="200"/>
              <w:textAlignment w:val="auto"/>
              <w:rPr>
                <w:rFonts w:ascii="宋体" w:hAnsi="宋体" w:eastAsia="宋体" w:cs="Times New Roman"/>
                <w:color w:val="auto"/>
                <w:kern w:val="1"/>
                <w:sz w:val="21"/>
                <w:szCs w:val="21"/>
                <w:highlight w:val="none"/>
              </w:rPr>
            </w:pPr>
            <w:r>
              <w:rPr>
                <w:rFonts w:hint="eastAsia" w:ascii="宋体" w:hAnsi="宋体" w:eastAsia="宋体" w:cs="Times New Roman"/>
                <w:color w:val="auto"/>
                <w:kern w:val="1"/>
                <w:sz w:val="21"/>
                <w:szCs w:val="21"/>
                <w:highlight w:val="none"/>
              </w:rPr>
              <w:t>（1）</w:t>
            </w:r>
            <w:r>
              <w:rPr>
                <w:rFonts w:hint="eastAsia" w:ascii="宋体" w:hAnsi="宋体" w:eastAsia="宋体" w:cs="Times New Roman"/>
                <w:color w:val="auto"/>
                <w:kern w:val="1"/>
                <w:sz w:val="21"/>
                <w:szCs w:val="21"/>
                <w:highlight w:val="none"/>
                <w:lang w:val="en-US" w:eastAsia="zh-CN"/>
              </w:rPr>
              <w:t>日常通勤车</w:t>
            </w:r>
            <w:r>
              <w:rPr>
                <w:rFonts w:hint="eastAsia" w:ascii="宋体" w:hAnsi="宋体" w:eastAsia="宋体" w:cs="Times New Roman"/>
                <w:color w:val="auto"/>
                <w:kern w:val="1"/>
                <w:sz w:val="21"/>
                <w:szCs w:val="21"/>
                <w:highlight w:val="none"/>
              </w:rPr>
              <w:t>最终按实际运行往返次数乘以单价</w:t>
            </w:r>
            <w:r>
              <w:rPr>
                <w:rFonts w:hint="eastAsia" w:ascii="宋体" w:hAnsi="宋体" w:eastAsia="宋体" w:cs="Times New Roman"/>
                <w:color w:val="auto"/>
                <w:kern w:val="1"/>
                <w:sz w:val="21"/>
                <w:szCs w:val="21"/>
                <w:highlight w:val="none"/>
                <w:lang w:val="en-US" w:eastAsia="zh-CN"/>
              </w:rPr>
              <w:t>乘以中标折扣率</w:t>
            </w:r>
            <w:r>
              <w:rPr>
                <w:rFonts w:hint="eastAsia" w:ascii="宋体" w:hAnsi="宋体" w:eastAsia="宋体" w:cs="Times New Roman"/>
                <w:color w:val="auto"/>
                <w:kern w:val="1"/>
                <w:sz w:val="21"/>
                <w:szCs w:val="21"/>
                <w:highlight w:val="none"/>
              </w:rPr>
              <w:t>进行结算；</w:t>
            </w:r>
            <w:r>
              <w:rPr>
                <w:rFonts w:hint="eastAsia" w:ascii="宋体" w:hAnsi="宋体" w:eastAsia="宋体" w:cs="Times New Roman"/>
                <w:color w:val="auto"/>
                <w:kern w:val="1"/>
                <w:sz w:val="21"/>
                <w:szCs w:val="21"/>
                <w:highlight w:val="none"/>
                <w:lang w:val="en-US" w:eastAsia="zh-CN"/>
              </w:rPr>
              <w:t>应急通勤车</w:t>
            </w:r>
            <w:r>
              <w:rPr>
                <w:rFonts w:hint="eastAsia" w:ascii="宋体" w:hAnsi="宋体" w:eastAsia="宋体" w:cs="Times New Roman"/>
                <w:color w:val="auto"/>
                <w:kern w:val="1"/>
                <w:sz w:val="21"/>
                <w:szCs w:val="21"/>
                <w:highlight w:val="none"/>
              </w:rPr>
              <w:t>运行时按运行</w:t>
            </w:r>
            <w:r>
              <w:rPr>
                <w:rFonts w:hint="eastAsia" w:ascii="宋体" w:hAnsi="宋体" w:eastAsia="宋体" w:cs="Times New Roman"/>
                <w:color w:val="auto"/>
                <w:kern w:val="1"/>
                <w:sz w:val="21"/>
                <w:szCs w:val="21"/>
                <w:highlight w:val="none"/>
                <w:lang w:val="en-US" w:eastAsia="zh-CN"/>
              </w:rPr>
              <w:t>时</w:t>
            </w:r>
            <w:r>
              <w:rPr>
                <w:rFonts w:hint="eastAsia" w:ascii="宋体" w:hAnsi="宋体" w:eastAsia="宋体" w:cs="Times New Roman"/>
                <w:color w:val="auto"/>
                <w:kern w:val="1"/>
                <w:sz w:val="21"/>
                <w:szCs w:val="21"/>
                <w:highlight w:val="none"/>
              </w:rPr>
              <w:t>单价乘以</w:t>
            </w:r>
            <w:r>
              <w:rPr>
                <w:rFonts w:hint="eastAsia" w:ascii="宋体" w:hAnsi="宋体" w:eastAsia="宋体" w:cs="Times New Roman"/>
                <w:color w:val="auto"/>
                <w:kern w:val="1"/>
                <w:sz w:val="21"/>
                <w:szCs w:val="21"/>
                <w:highlight w:val="none"/>
                <w:lang w:val="en-US" w:eastAsia="zh-CN"/>
              </w:rPr>
              <w:t>中标折扣率乘以</w:t>
            </w:r>
            <w:r>
              <w:rPr>
                <w:rFonts w:hint="eastAsia" w:ascii="宋体" w:hAnsi="宋体" w:eastAsia="宋体" w:cs="Times New Roman"/>
                <w:color w:val="auto"/>
                <w:kern w:val="1"/>
                <w:sz w:val="21"/>
                <w:szCs w:val="21"/>
                <w:highlight w:val="none"/>
              </w:rPr>
              <w:t>运行天数结算，未运行时按未运行</w:t>
            </w:r>
            <w:r>
              <w:rPr>
                <w:rFonts w:hint="eastAsia" w:ascii="宋体" w:hAnsi="宋体" w:eastAsia="宋体" w:cs="Times New Roman"/>
                <w:color w:val="auto"/>
                <w:kern w:val="1"/>
                <w:sz w:val="21"/>
                <w:szCs w:val="21"/>
                <w:highlight w:val="none"/>
                <w:lang w:val="en-US" w:eastAsia="zh-CN"/>
              </w:rPr>
              <w:t>时</w:t>
            </w:r>
            <w:r>
              <w:rPr>
                <w:rFonts w:hint="eastAsia" w:ascii="宋体" w:hAnsi="宋体" w:eastAsia="宋体" w:cs="Times New Roman"/>
                <w:color w:val="auto"/>
                <w:kern w:val="1"/>
                <w:sz w:val="21"/>
                <w:szCs w:val="21"/>
                <w:highlight w:val="none"/>
              </w:rPr>
              <w:t>单价乘以</w:t>
            </w:r>
            <w:r>
              <w:rPr>
                <w:rFonts w:hint="eastAsia" w:ascii="宋体" w:hAnsi="宋体" w:eastAsia="宋体" w:cs="Times New Roman"/>
                <w:color w:val="auto"/>
                <w:kern w:val="1"/>
                <w:sz w:val="21"/>
                <w:szCs w:val="21"/>
                <w:highlight w:val="none"/>
                <w:lang w:val="en-US" w:eastAsia="zh-CN"/>
              </w:rPr>
              <w:t>中标折扣率乘以</w:t>
            </w:r>
            <w:r>
              <w:rPr>
                <w:rFonts w:hint="eastAsia" w:ascii="宋体" w:hAnsi="宋体" w:eastAsia="宋体" w:cs="Times New Roman"/>
                <w:color w:val="auto"/>
                <w:kern w:val="1"/>
                <w:sz w:val="21"/>
                <w:szCs w:val="21"/>
                <w:highlight w:val="none"/>
              </w:rPr>
              <w:t>等待天数结算</w:t>
            </w:r>
            <w:r>
              <w:rPr>
                <w:rFonts w:ascii="宋体" w:hAnsi="宋体" w:eastAsia="宋体" w:cs="Times New Roman"/>
                <w:color w:val="auto"/>
                <w:kern w:val="1"/>
                <w:sz w:val="21"/>
                <w:szCs w:val="21"/>
                <w:highlight w:val="none"/>
              </w:rPr>
              <w:t>(</w:t>
            </w:r>
            <w:r>
              <w:rPr>
                <w:rFonts w:hint="eastAsia" w:ascii="宋体" w:hAnsi="宋体" w:eastAsia="宋体" w:cs="Times New Roman"/>
                <w:color w:val="auto"/>
                <w:kern w:val="1"/>
                <w:sz w:val="21"/>
                <w:szCs w:val="21"/>
                <w:highlight w:val="none"/>
              </w:rPr>
              <w:t>注：</w:t>
            </w:r>
            <w:r>
              <w:rPr>
                <w:rFonts w:hint="eastAsia" w:ascii="宋体" w:hAnsi="宋体" w:eastAsia="宋体" w:cs="方正仿宋简体"/>
                <w:color w:val="auto"/>
                <w:kern w:val="1"/>
                <w:sz w:val="21"/>
                <w:szCs w:val="21"/>
                <w:highlight w:val="none"/>
              </w:rPr>
              <w:t>寒暑假不安排应急</w:t>
            </w:r>
            <w:r>
              <w:rPr>
                <w:rFonts w:hint="eastAsia" w:ascii="宋体" w:hAnsi="宋体" w:eastAsia="宋体" w:cs="方正仿宋简体"/>
                <w:color w:val="auto"/>
                <w:kern w:val="1"/>
                <w:sz w:val="21"/>
                <w:szCs w:val="21"/>
                <w:highlight w:val="none"/>
                <w:lang w:val="en-US" w:eastAsia="zh-CN"/>
              </w:rPr>
              <w:t>通勤车</w:t>
            </w:r>
            <w:r>
              <w:rPr>
                <w:rFonts w:hint="eastAsia" w:ascii="宋体" w:hAnsi="宋体" w:eastAsia="宋体" w:cs="方正仿宋简体"/>
                <w:color w:val="auto"/>
                <w:kern w:val="1"/>
                <w:sz w:val="21"/>
                <w:szCs w:val="21"/>
                <w:highlight w:val="none"/>
              </w:rPr>
              <w:t>，因此</w:t>
            </w:r>
            <w:r>
              <w:rPr>
                <w:rFonts w:hint="eastAsia" w:ascii="宋体" w:hAnsi="宋体" w:eastAsia="宋体" w:cs="Times New Roman"/>
                <w:color w:val="auto"/>
                <w:kern w:val="1"/>
                <w:sz w:val="21"/>
                <w:szCs w:val="21"/>
                <w:highlight w:val="none"/>
              </w:rPr>
              <w:t>等待天数不包括寒暑假</w:t>
            </w:r>
            <w:r>
              <w:rPr>
                <w:rFonts w:ascii="宋体" w:hAnsi="宋体" w:eastAsia="宋体" w:cs="Times New Roman"/>
                <w:color w:val="auto"/>
                <w:kern w:val="1"/>
                <w:sz w:val="21"/>
                <w:szCs w:val="21"/>
                <w:highlight w:val="none"/>
              </w:rPr>
              <w:t>)</w:t>
            </w:r>
            <w:r>
              <w:rPr>
                <w:rFonts w:hint="eastAsia" w:ascii="宋体" w:hAnsi="宋体" w:eastAsia="宋体" w:cs="Times New Roman"/>
                <w:color w:val="auto"/>
                <w:kern w:val="1"/>
                <w:sz w:val="21"/>
                <w:szCs w:val="21"/>
                <w:highlight w:val="none"/>
              </w:rPr>
              <w:t>。</w:t>
            </w:r>
          </w:p>
          <w:p w14:paraId="0DF00706">
            <w:pPr>
              <w:keepNext w:val="0"/>
              <w:keepLines w:val="0"/>
              <w:pageBreakBefore w:val="0"/>
              <w:widowControl w:val="0"/>
              <w:kinsoku/>
              <w:wordWrap/>
              <w:overflowPunct/>
              <w:topLinePunct w:val="0"/>
              <w:autoSpaceDE/>
              <w:autoSpaceDN/>
              <w:bidi w:val="0"/>
              <w:snapToGrid w:val="0"/>
              <w:spacing w:beforeAutospacing="0" w:line="240" w:lineRule="auto"/>
              <w:ind w:firstLine="420" w:firstLineChars="200"/>
              <w:textAlignment w:val="auto"/>
              <w:rPr>
                <w:rFonts w:ascii="宋体" w:hAnsi="宋体" w:eastAsia="宋体" w:cs="Times New Roman"/>
                <w:color w:val="auto"/>
                <w:sz w:val="21"/>
                <w:szCs w:val="21"/>
                <w:highlight w:val="none"/>
              </w:rPr>
            </w:pPr>
            <w:r>
              <w:rPr>
                <w:rFonts w:hint="eastAsia" w:ascii="宋体" w:hAnsi="宋体" w:eastAsia="宋体" w:cs="Times New Roman"/>
                <w:color w:val="auto"/>
                <w:kern w:val="1"/>
                <w:sz w:val="21"/>
                <w:szCs w:val="21"/>
                <w:highlight w:val="none"/>
              </w:rPr>
              <w:t>（</w:t>
            </w:r>
            <w:r>
              <w:rPr>
                <w:rFonts w:ascii="宋体" w:hAnsi="宋体" w:eastAsia="宋体" w:cs="Times New Roman"/>
                <w:color w:val="auto"/>
                <w:kern w:val="1"/>
                <w:sz w:val="21"/>
                <w:szCs w:val="21"/>
                <w:highlight w:val="none"/>
              </w:rPr>
              <w:t>2</w:t>
            </w:r>
            <w:r>
              <w:rPr>
                <w:rFonts w:hint="eastAsia" w:ascii="宋体" w:hAnsi="宋体" w:eastAsia="宋体" w:cs="Times New Roman"/>
                <w:color w:val="auto"/>
                <w:kern w:val="1"/>
                <w:sz w:val="21"/>
                <w:szCs w:val="21"/>
                <w:highlight w:val="none"/>
              </w:rPr>
              <w:t>）中标人于每月结束后五个工作日内向采购人提供加盖广西民族大学武鸣校区公章的出车清单，采购人每月对中标人车辆运行情况进行确认和考核后，中标人开具发票给采购人，采购人在收到中标人发票之日起20个工作日内付清上月费用。</w:t>
            </w:r>
          </w:p>
        </w:tc>
      </w:tr>
      <w:tr w14:paraId="347DB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46" w:type="dxa"/>
            <w:gridSpan w:val="2"/>
            <w:tcBorders>
              <w:top w:val="single" w:color="auto" w:sz="4" w:space="0"/>
              <w:left w:val="single" w:color="auto" w:sz="4" w:space="0"/>
              <w:bottom w:val="single" w:color="auto" w:sz="4" w:space="0"/>
              <w:right w:val="single" w:color="auto" w:sz="4" w:space="0"/>
            </w:tcBorders>
            <w:vAlign w:val="center"/>
          </w:tcPr>
          <w:p w14:paraId="2075170F">
            <w:pPr>
              <w:keepNext w:val="0"/>
              <w:keepLines w:val="0"/>
              <w:pageBreakBefore w:val="0"/>
              <w:widowControl w:val="0"/>
              <w:tabs>
                <w:tab w:val="left" w:pos="5450"/>
              </w:tabs>
              <w:kinsoku/>
              <w:wordWrap/>
              <w:overflowPunct/>
              <w:topLinePunct w:val="0"/>
              <w:autoSpaceDE/>
              <w:autoSpaceDN/>
              <w:bidi w:val="0"/>
              <w:adjustRightInd w:val="0"/>
              <w:snapToGrid w:val="0"/>
              <w:spacing w:beforeAutospacing="0" w:line="240" w:lineRule="auto"/>
              <w:jc w:val="center"/>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履约保证金</w:t>
            </w:r>
            <w:r>
              <w:rPr>
                <w:rFonts w:hint="eastAsia" w:ascii="宋体" w:hAnsi="宋体" w:eastAsia="宋体" w:cs="Times New Roman"/>
                <w:color w:val="auto"/>
                <w:sz w:val="21"/>
                <w:szCs w:val="21"/>
                <w:highlight w:val="none"/>
              </w:rPr>
              <w:tab/>
            </w:r>
            <w:r>
              <w:rPr>
                <w:rFonts w:hint="eastAsia" w:ascii="宋体" w:hAnsi="宋体" w:eastAsia="宋体" w:cs="Times New Roman"/>
                <w:color w:val="auto"/>
                <w:sz w:val="21"/>
                <w:szCs w:val="21"/>
                <w:highlight w:val="none"/>
              </w:rPr>
              <w:t>履约保证金</w:t>
            </w:r>
          </w:p>
        </w:tc>
        <w:tc>
          <w:tcPr>
            <w:tcW w:w="7759" w:type="dxa"/>
            <w:gridSpan w:val="2"/>
            <w:tcBorders>
              <w:top w:val="single" w:color="auto" w:sz="4" w:space="0"/>
              <w:left w:val="single" w:color="auto" w:sz="4" w:space="0"/>
              <w:bottom w:val="single" w:color="auto" w:sz="4" w:space="0"/>
              <w:right w:val="single" w:color="auto" w:sz="4" w:space="0"/>
            </w:tcBorders>
            <w:vAlign w:val="center"/>
          </w:tcPr>
          <w:p w14:paraId="49B59C4D">
            <w:pPr>
              <w:keepNext w:val="0"/>
              <w:keepLines w:val="0"/>
              <w:pageBreakBefore w:val="0"/>
              <w:widowControl w:val="0"/>
              <w:kinsoku/>
              <w:wordWrap/>
              <w:overflowPunct/>
              <w:topLinePunct w:val="0"/>
              <w:autoSpaceDE/>
              <w:autoSpaceDN/>
              <w:bidi w:val="0"/>
              <w:snapToGrid w:val="0"/>
              <w:spacing w:beforeAutospacing="0" w:line="240" w:lineRule="auto"/>
              <w:ind w:firstLine="420" w:firstLineChars="200"/>
              <w:textAlignment w:val="auto"/>
              <w:rPr>
                <w:rFonts w:ascii="宋体" w:hAnsi="宋体" w:eastAsia="宋体" w:cs="Times New Roman"/>
                <w:color w:val="auto"/>
                <w:kern w:val="1"/>
                <w:sz w:val="21"/>
                <w:szCs w:val="21"/>
                <w:highlight w:val="none"/>
              </w:rPr>
            </w:pPr>
            <w:r>
              <w:rPr>
                <w:rFonts w:hint="eastAsia" w:ascii="宋体" w:hAnsi="宋体" w:eastAsia="宋体" w:cs="Times New Roman"/>
                <w:color w:val="auto"/>
                <w:kern w:val="1"/>
                <w:sz w:val="21"/>
                <w:szCs w:val="21"/>
                <w:highlight w:val="none"/>
              </w:rPr>
              <w:t>在合同签订后五个工作日内，中标人按政府采购合同金额的2%向采购人提交履约保证金。中标人履行完所有合同约定权利义务事项后十个工作日内，中标人须向采购人提交退保证金申请，中标人在合同服务期限届满后验收并扣除违约金、赔偿金（如有）等费用后，十个工作日内无息返还剩余金额。</w:t>
            </w:r>
          </w:p>
        </w:tc>
      </w:tr>
      <w:tr w14:paraId="290D6C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46" w:type="dxa"/>
            <w:gridSpan w:val="2"/>
            <w:tcBorders>
              <w:top w:val="single" w:color="auto" w:sz="4" w:space="0"/>
              <w:left w:val="single" w:color="auto" w:sz="4" w:space="0"/>
              <w:bottom w:val="single" w:color="auto" w:sz="4" w:space="0"/>
              <w:right w:val="single" w:color="auto" w:sz="4" w:space="0"/>
            </w:tcBorders>
            <w:vAlign w:val="center"/>
          </w:tcPr>
          <w:p w14:paraId="57E49902">
            <w:pPr>
              <w:keepNext w:val="0"/>
              <w:keepLines w:val="0"/>
              <w:pageBreakBefore w:val="0"/>
              <w:widowControl w:val="0"/>
              <w:tabs>
                <w:tab w:val="left" w:pos="5450"/>
              </w:tabs>
              <w:kinsoku/>
              <w:wordWrap/>
              <w:overflowPunct/>
              <w:topLinePunct w:val="0"/>
              <w:autoSpaceDE/>
              <w:autoSpaceDN/>
              <w:bidi w:val="0"/>
              <w:adjustRightInd w:val="0"/>
              <w:snapToGrid w:val="0"/>
              <w:spacing w:beforeAutospacing="0" w:line="240" w:lineRule="auto"/>
              <w:jc w:val="center"/>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报价要求</w:t>
            </w:r>
          </w:p>
        </w:tc>
        <w:tc>
          <w:tcPr>
            <w:tcW w:w="7759" w:type="dxa"/>
            <w:gridSpan w:val="2"/>
            <w:tcBorders>
              <w:top w:val="single" w:color="auto" w:sz="4" w:space="0"/>
              <w:left w:val="single" w:color="auto" w:sz="4" w:space="0"/>
              <w:bottom w:val="single" w:color="auto" w:sz="4" w:space="0"/>
              <w:right w:val="single" w:color="auto" w:sz="4" w:space="0"/>
            </w:tcBorders>
            <w:vAlign w:val="center"/>
          </w:tcPr>
          <w:p w14:paraId="03E56CAD">
            <w:pPr>
              <w:keepNext w:val="0"/>
              <w:keepLines w:val="0"/>
              <w:pageBreakBefore w:val="0"/>
              <w:widowControl w:val="0"/>
              <w:tabs>
                <w:tab w:val="left" w:pos="5450"/>
              </w:tabs>
              <w:kinsoku/>
              <w:wordWrap/>
              <w:overflowPunct/>
              <w:topLinePunct w:val="0"/>
              <w:autoSpaceDE/>
              <w:autoSpaceDN/>
              <w:bidi w:val="0"/>
              <w:adjustRightInd w:val="0"/>
              <w:snapToGrid w:val="0"/>
              <w:spacing w:beforeAutospacing="0" w:line="240" w:lineRule="auto"/>
              <w:ind w:firstLine="420" w:firstLineChars="200"/>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1、投标人按“租赁3辆</w:t>
            </w:r>
            <w:r>
              <w:rPr>
                <w:rFonts w:hint="eastAsia" w:ascii="宋体" w:hAnsi="宋体" w:eastAsia="宋体" w:cs="Times New Roman"/>
                <w:color w:val="auto"/>
                <w:sz w:val="21"/>
                <w:szCs w:val="21"/>
                <w:highlight w:val="none"/>
                <w:lang w:val="en-US" w:eastAsia="zh-CN"/>
              </w:rPr>
              <w:t>日常通勤车</w:t>
            </w:r>
            <w:r>
              <w:rPr>
                <w:rFonts w:hint="eastAsia" w:ascii="宋体" w:hAnsi="宋体" w:eastAsia="宋体" w:cs="Times New Roman"/>
                <w:color w:val="auto"/>
                <w:sz w:val="21"/>
                <w:szCs w:val="21"/>
                <w:highlight w:val="none"/>
              </w:rPr>
              <w:t>运行270天*3年，租赁1辆</w:t>
            </w:r>
            <w:r>
              <w:rPr>
                <w:rFonts w:hint="eastAsia" w:ascii="宋体" w:hAnsi="宋体" w:eastAsia="宋体" w:cs="Times New Roman"/>
                <w:color w:val="auto"/>
                <w:sz w:val="21"/>
                <w:szCs w:val="21"/>
                <w:highlight w:val="none"/>
                <w:lang w:val="en-US" w:eastAsia="zh-CN"/>
              </w:rPr>
              <w:t>应急通勤车</w:t>
            </w:r>
            <w:r>
              <w:rPr>
                <w:rFonts w:hint="eastAsia" w:ascii="宋体" w:hAnsi="宋体" w:eastAsia="宋体" w:cs="Times New Roman"/>
                <w:color w:val="auto"/>
                <w:sz w:val="21"/>
                <w:szCs w:val="21"/>
                <w:highlight w:val="none"/>
              </w:rPr>
              <w:t>运行300天*</w:t>
            </w:r>
            <w:r>
              <w:rPr>
                <w:rFonts w:ascii="宋体" w:hAnsi="宋体" w:eastAsia="宋体" w:cs="Times New Roman"/>
                <w:color w:val="auto"/>
                <w:sz w:val="21"/>
                <w:szCs w:val="21"/>
                <w:highlight w:val="none"/>
              </w:rPr>
              <w:t>3</w:t>
            </w:r>
            <w:r>
              <w:rPr>
                <w:rFonts w:hint="eastAsia" w:ascii="宋体" w:hAnsi="宋体" w:eastAsia="宋体" w:cs="Times New Roman"/>
                <w:color w:val="auto"/>
                <w:sz w:val="21"/>
                <w:szCs w:val="21"/>
                <w:highlight w:val="none"/>
              </w:rPr>
              <w:t>年”进行报价，并在报价明细表中报出</w:t>
            </w:r>
            <w:r>
              <w:rPr>
                <w:rFonts w:hint="eastAsia" w:ascii="宋体" w:hAnsi="宋体" w:eastAsia="宋体" w:cs="Times New Roman"/>
                <w:color w:val="auto"/>
                <w:sz w:val="21"/>
                <w:szCs w:val="21"/>
                <w:highlight w:val="none"/>
                <w:lang w:val="en-US" w:eastAsia="zh-CN"/>
              </w:rPr>
              <w:t>日常通勤车</w:t>
            </w:r>
            <w:r>
              <w:rPr>
                <w:rFonts w:hint="eastAsia" w:ascii="宋体" w:hAnsi="宋体" w:eastAsia="宋体" w:cs="Times New Roman"/>
                <w:color w:val="auto"/>
                <w:sz w:val="21"/>
                <w:szCs w:val="21"/>
                <w:highlight w:val="none"/>
              </w:rPr>
              <w:t>往返武鸣校区，</w:t>
            </w:r>
            <w:r>
              <w:rPr>
                <w:rFonts w:hint="eastAsia" w:ascii="宋体" w:hAnsi="宋体" w:eastAsia="宋体" w:cs="Times New Roman"/>
                <w:color w:val="auto"/>
                <w:sz w:val="21"/>
                <w:szCs w:val="21"/>
                <w:highlight w:val="none"/>
                <w:lang w:val="en-US" w:eastAsia="zh-CN"/>
              </w:rPr>
              <w:t>应急通勤车</w:t>
            </w:r>
            <w:r>
              <w:rPr>
                <w:rFonts w:hint="eastAsia" w:ascii="宋体" w:hAnsi="宋体" w:eastAsia="宋体" w:cs="Times New Roman"/>
                <w:color w:val="auto"/>
                <w:sz w:val="21"/>
                <w:szCs w:val="21"/>
                <w:highlight w:val="none"/>
              </w:rPr>
              <w:t>运行和未运行时的单价</w:t>
            </w:r>
            <w:r>
              <w:rPr>
                <w:rFonts w:hint="eastAsia"/>
                <w:color w:val="auto"/>
                <w:highlight w:val="none"/>
                <w:lang w:val="en-US" w:eastAsia="zh-CN"/>
              </w:rPr>
              <w:t>折扣率</w:t>
            </w:r>
            <w:r>
              <w:rPr>
                <w:rFonts w:hint="eastAsia" w:ascii="宋体" w:hAnsi="宋体" w:eastAsia="宋体" w:cs="Times New Roman"/>
                <w:color w:val="auto"/>
                <w:sz w:val="21"/>
                <w:szCs w:val="21"/>
                <w:highlight w:val="none"/>
              </w:rPr>
              <w:t>。</w:t>
            </w:r>
          </w:p>
          <w:p w14:paraId="65563F8F">
            <w:pPr>
              <w:keepNext w:val="0"/>
              <w:keepLines w:val="0"/>
              <w:pageBreakBefore w:val="0"/>
              <w:widowControl w:val="0"/>
              <w:tabs>
                <w:tab w:val="left" w:pos="5450"/>
              </w:tabs>
              <w:kinsoku/>
              <w:wordWrap/>
              <w:overflowPunct/>
              <w:topLinePunct w:val="0"/>
              <w:autoSpaceDE/>
              <w:autoSpaceDN/>
              <w:bidi w:val="0"/>
              <w:adjustRightInd w:val="0"/>
              <w:snapToGrid w:val="0"/>
              <w:spacing w:beforeAutospacing="0" w:line="240" w:lineRule="auto"/>
              <w:ind w:firstLine="420" w:firstLineChars="200"/>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2、报价包括服务范围内所发生的租赁车辆的季审、年审、轮胎、维修、燃料、供养、税金、营运费、管理费、司机的薪金、购置交强险和乘客意外事故险商业险等一切费用。</w:t>
            </w:r>
          </w:p>
        </w:tc>
      </w:tr>
      <w:tr w14:paraId="138861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46" w:type="dxa"/>
            <w:gridSpan w:val="2"/>
            <w:tcBorders>
              <w:top w:val="single" w:color="auto" w:sz="4" w:space="0"/>
              <w:left w:val="single" w:color="auto" w:sz="4" w:space="0"/>
              <w:bottom w:val="single" w:color="auto" w:sz="4" w:space="0"/>
              <w:right w:val="single" w:color="auto" w:sz="4" w:space="0"/>
            </w:tcBorders>
            <w:vAlign w:val="center"/>
          </w:tcPr>
          <w:p w14:paraId="1E068C53">
            <w:pPr>
              <w:keepNext w:val="0"/>
              <w:keepLines w:val="0"/>
              <w:pageBreakBefore w:val="0"/>
              <w:widowControl w:val="0"/>
              <w:tabs>
                <w:tab w:val="left" w:pos="5450"/>
              </w:tabs>
              <w:kinsoku/>
              <w:wordWrap/>
              <w:overflowPunct/>
              <w:topLinePunct w:val="0"/>
              <w:autoSpaceDE/>
              <w:autoSpaceDN/>
              <w:bidi w:val="0"/>
              <w:adjustRightInd w:val="0"/>
              <w:snapToGrid w:val="0"/>
              <w:spacing w:beforeAutospacing="0" w:line="240" w:lineRule="auto"/>
              <w:jc w:val="center"/>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采购预算与最高限价</w:t>
            </w:r>
          </w:p>
        </w:tc>
        <w:tc>
          <w:tcPr>
            <w:tcW w:w="7759" w:type="dxa"/>
            <w:gridSpan w:val="2"/>
            <w:tcBorders>
              <w:top w:val="single" w:color="auto" w:sz="4" w:space="0"/>
              <w:left w:val="single" w:color="auto" w:sz="4" w:space="0"/>
              <w:bottom w:val="single" w:color="auto" w:sz="4" w:space="0"/>
              <w:right w:val="single" w:color="auto" w:sz="4" w:space="0"/>
            </w:tcBorders>
            <w:vAlign w:val="center"/>
          </w:tcPr>
          <w:p w14:paraId="3CF8F807">
            <w:pPr>
              <w:keepNext w:val="0"/>
              <w:keepLines w:val="0"/>
              <w:pageBreakBefore w:val="0"/>
              <w:widowControl w:val="0"/>
              <w:kinsoku/>
              <w:wordWrap/>
              <w:overflowPunct/>
              <w:topLinePunct w:val="0"/>
              <w:autoSpaceDE/>
              <w:autoSpaceDN/>
              <w:bidi w:val="0"/>
              <w:snapToGrid w:val="0"/>
              <w:spacing w:beforeAutospacing="0" w:line="240" w:lineRule="auto"/>
              <w:ind w:firstLine="480"/>
              <w:jc w:val="left"/>
              <w:textAlignment w:val="auto"/>
              <w:rPr>
                <w:rFonts w:ascii="宋体" w:hAnsi="宋体" w:eastAsia="宋体" w:cs="方正仿宋简体"/>
                <w:color w:val="auto"/>
                <w:kern w:val="1"/>
                <w:sz w:val="21"/>
                <w:szCs w:val="21"/>
                <w:highlight w:val="none"/>
              </w:rPr>
            </w:pPr>
            <w:r>
              <w:rPr>
                <w:rFonts w:ascii="宋体" w:hAnsi="宋体" w:eastAsia="宋体" w:cs="方正仿宋简体"/>
                <w:color w:val="auto"/>
                <w:kern w:val="1"/>
                <w:sz w:val="21"/>
                <w:szCs w:val="21"/>
                <w:highlight w:val="none"/>
              </w:rPr>
              <w:t>1、</w:t>
            </w:r>
            <w:r>
              <w:rPr>
                <w:rFonts w:hint="eastAsia" w:ascii="宋体" w:hAnsi="宋体" w:eastAsia="宋体" w:cs="方正仿宋简体"/>
                <w:color w:val="auto"/>
                <w:kern w:val="1"/>
                <w:sz w:val="21"/>
                <w:szCs w:val="21"/>
                <w:highlight w:val="none"/>
              </w:rPr>
              <w:t>三年租赁服务期总采购预算及最高限价为481.932万元；其中租赁日常通勤车每年按270天预算费用及最高限价为147.744万元，</w:t>
            </w:r>
            <w:r>
              <w:rPr>
                <w:rFonts w:hint="eastAsia" w:ascii="宋体" w:hAnsi="宋体" w:eastAsia="宋体" w:cs="方正仿宋简体"/>
                <w:color w:val="auto"/>
                <w:kern w:val="1"/>
                <w:sz w:val="21"/>
                <w:szCs w:val="21"/>
                <w:highlight w:val="none"/>
                <w:lang w:val="en-US" w:eastAsia="zh-CN"/>
              </w:rPr>
              <w:t>应急通勤车</w:t>
            </w:r>
            <w:r>
              <w:rPr>
                <w:rFonts w:hint="eastAsia" w:ascii="宋体" w:hAnsi="宋体" w:eastAsia="宋体" w:cs="方正仿宋简体"/>
                <w:color w:val="auto"/>
                <w:kern w:val="1"/>
                <w:sz w:val="21"/>
                <w:szCs w:val="21"/>
                <w:highlight w:val="none"/>
              </w:rPr>
              <w:t>每年按300天预算费用及最高限价12.9万元，最终结算不超过最高限价。</w:t>
            </w:r>
          </w:p>
          <w:p w14:paraId="4FF04A93">
            <w:pPr>
              <w:keepNext w:val="0"/>
              <w:keepLines w:val="0"/>
              <w:pageBreakBefore w:val="0"/>
              <w:widowControl w:val="0"/>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方正仿宋简体"/>
                <w:color w:val="auto"/>
                <w:kern w:val="1"/>
                <w:sz w:val="21"/>
                <w:szCs w:val="21"/>
                <w:highlight w:val="none"/>
              </w:rPr>
            </w:pPr>
            <w:r>
              <w:rPr>
                <w:rFonts w:hint="eastAsia" w:ascii="宋体" w:hAnsi="宋体" w:eastAsia="宋体" w:cs="方正仿宋简体"/>
                <w:color w:val="auto"/>
                <w:kern w:val="1"/>
                <w:sz w:val="21"/>
                <w:szCs w:val="21"/>
                <w:highlight w:val="none"/>
              </w:rPr>
              <w:t>2、租赁1辆</w:t>
            </w:r>
            <w:r>
              <w:rPr>
                <w:rFonts w:hint="eastAsia" w:ascii="宋体" w:hAnsi="宋体" w:eastAsia="宋体" w:cs="方正仿宋简体"/>
                <w:color w:val="auto"/>
                <w:kern w:val="1"/>
                <w:sz w:val="21"/>
                <w:szCs w:val="21"/>
                <w:highlight w:val="none"/>
                <w:lang w:val="en-US" w:eastAsia="zh-CN"/>
              </w:rPr>
              <w:t>日常通勤车</w:t>
            </w:r>
            <w:r>
              <w:rPr>
                <w:rFonts w:hint="eastAsia" w:ascii="宋体" w:hAnsi="宋体" w:eastAsia="宋体" w:cs="方正仿宋简体"/>
                <w:color w:val="auto"/>
                <w:kern w:val="1"/>
                <w:sz w:val="21"/>
                <w:szCs w:val="21"/>
                <w:highlight w:val="none"/>
              </w:rPr>
              <w:t>往返一趟的最高限价单价为1368元，一年按用车270天（含周末、节假日、寒暑假），按每天发4趟车来预算，具体费用按实际出车次数核算。</w:t>
            </w:r>
          </w:p>
          <w:p w14:paraId="0E3CCA3E">
            <w:pPr>
              <w:keepNext w:val="0"/>
              <w:keepLines w:val="0"/>
              <w:pageBreakBefore w:val="0"/>
              <w:widowControl w:val="0"/>
              <w:tabs>
                <w:tab w:val="left" w:pos="312"/>
              </w:tabs>
              <w:kinsoku/>
              <w:wordWrap/>
              <w:overflowPunct/>
              <w:topLinePunct w:val="0"/>
              <w:autoSpaceDE/>
              <w:autoSpaceDN/>
              <w:bidi w:val="0"/>
              <w:snapToGrid w:val="0"/>
              <w:spacing w:beforeAutospacing="0" w:line="240" w:lineRule="auto"/>
              <w:ind w:firstLine="420" w:firstLineChars="200"/>
              <w:jc w:val="left"/>
              <w:textAlignment w:val="auto"/>
              <w:rPr>
                <w:rFonts w:ascii="宋体" w:hAnsi="宋体" w:eastAsia="宋体" w:cs="方正仿宋简体"/>
                <w:color w:val="auto"/>
                <w:kern w:val="1"/>
                <w:sz w:val="21"/>
                <w:szCs w:val="21"/>
                <w:highlight w:val="none"/>
              </w:rPr>
            </w:pPr>
            <w:r>
              <w:rPr>
                <w:rFonts w:hint="eastAsia" w:ascii="宋体" w:hAnsi="宋体" w:eastAsia="宋体" w:cs="方正仿宋简体"/>
                <w:color w:val="auto"/>
                <w:kern w:val="1"/>
                <w:sz w:val="21"/>
                <w:szCs w:val="21"/>
                <w:highlight w:val="none"/>
              </w:rPr>
              <w:t>3、租赁一辆</w:t>
            </w:r>
            <w:r>
              <w:rPr>
                <w:rFonts w:hint="eastAsia" w:ascii="宋体" w:hAnsi="宋体" w:eastAsia="宋体" w:cs="方正仿宋简体"/>
                <w:color w:val="auto"/>
                <w:kern w:val="1"/>
                <w:sz w:val="21"/>
                <w:szCs w:val="21"/>
                <w:highlight w:val="none"/>
                <w:lang w:val="en-US" w:eastAsia="zh-CN"/>
              </w:rPr>
              <w:t>应急通勤车</w:t>
            </w:r>
            <w:r>
              <w:rPr>
                <w:rFonts w:hint="eastAsia" w:ascii="宋体" w:hAnsi="宋体" w:eastAsia="宋体" w:cs="方正仿宋简体"/>
                <w:color w:val="auto"/>
                <w:kern w:val="1"/>
                <w:sz w:val="21"/>
                <w:szCs w:val="21"/>
                <w:highlight w:val="none"/>
              </w:rPr>
              <w:t>的最高限价单价为：有出车任务时按430元/天，没有出车任务时按330元/天。一年按照用车300天（寒暑假不安排应急用车），具体费用按实际出车次数核算。</w:t>
            </w:r>
          </w:p>
          <w:p w14:paraId="6DFDC92A">
            <w:pPr>
              <w:keepNext w:val="0"/>
              <w:keepLines w:val="0"/>
              <w:pageBreakBefore w:val="0"/>
              <w:widowControl w:val="0"/>
              <w:tabs>
                <w:tab w:val="left" w:pos="312"/>
              </w:tabs>
              <w:kinsoku/>
              <w:wordWrap/>
              <w:overflowPunct/>
              <w:topLinePunct w:val="0"/>
              <w:autoSpaceDE/>
              <w:autoSpaceDN/>
              <w:bidi w:val="0"/>
              <w:snapToGrid w:val="0"/>
              <w:spacing w:beforeAutospacing="0" w:line="240" w:lineRule="auto"/>
              <w:ind w:firstLine="422" w:firstLineChars="200"/>
              <w:jc w:val="left"/>
              <w:textAlignment w:val="auto"/>
              <w:rPr>
                <w:rFonts w:ascii="宋体" w:hAnsi="宋体" w:eastAsia="宋体" w:cs="Times New Roman"/>
                <w:b/>
                <w:color w:val="auto"/>
                <w:sz w:val="21"/>
                <w:szCs w:val="21"/>
                <w:highlight w:val="none"/>
              </w:rPr>
            </w:pPr>
            <w:r>
              <w:rPr>
                <w:rFonts w:hint="eastAsia" w:ascii="宋体" w:hAnsi="宋体" w:eastAsia="宋体" w:cs="方正仿宋简体"/>
                <w:b/>
                <w:color w:val="auto"/>
                <w:kern w:val="1"/>
                <w:sz w:val="21"/>
                <w:szCs w:val="21"/>
                <w:highlight w:val="none"/>
              </w:rPr>
              <w:t>注：投标人报价超出最高限价的按无效投标处理。</w:t>
            </w:r>
          </w:p>
        </w:tc>
      </w:tr>
    </w:tbl>
    <w:p w14:paraId="271BCA26">
      <w:pPr>
        <w:spacing w:line="360" w:lineRule="auto"/>
        <w:rPr>
          <w:rFonts w:ascii="Times New Roman" w:hAnsi="Times New Roman" w:eastAsia="宋体" w:cs="Times New Roman"/>
          <w:color w:val="auto"/>
          <w:szCs w:val="21"/>
          <w:highlight w:val="none"/>
        </w:rPr>
      </w:pPr>
    </w:p>
    <w:p w14:paraId="7D642EE6">
      <w:pPr>
        <w:spacing w:line="360" w:lineRule="auto"/>
        <w:rPr>
          <w:rFonts w:ascii="Times New Roman" w:hAnsi="Times New Roman" w:eastAsia="宋体" w:cs="Times New Roman"/>
          <w:color w:val="auto"/>
          <w:szCs w:val="21"/>
          <w:highlight w:val="none"/>
        </w:rPr>
      </w:pPr>
    </w:p>
    <w:p w14:paraId="28BA8559">
      <w:pPr>
        <w:spacing w:line="360" w:lineRule="auto"/>
        <w:rPr>
          <w:rFonts w:ascii="Times New Roman" w:hAnsi="Times New Roman" w:eastAsia="宋体" w:cs="Times New Roman"/>
          <w:color w:val="auto"/>
          <w:szCs w:val="21"/>
          <w:highlight w:val="none"/>
        </w:rPr>
      </w:pPr>
    </w:p>
    <w:p w14:paraId="4CBF63F4">
      <w:pPr>
        <w:spacing w:line="360" w:lineRule="auto"/>
        <w:rPr>
          <w:rFonts w:ascii="Times New Roman" w:hAnsi="Times New Roman" w:eastAsia="宋体" w:cs="Times New Roman"/>
          <w:color w:val="auto"/>
          <w:szCs w:val="21"/>
          <w:highlight w:val="none"/>
        </w:rPr>
        <w:sectPr>
          <w:headerReference r:id="rId11" w:type="first"/>
          <w:headerReference r:id="rId10" w:type="default"/>
          <w:pgSz w:w="11906" w:h="16838"/>
          <w:pgMar w:top="993" w:right="1133" w:bottom="1246" w:left="1418" w:header="851" w:footer="992" w:gutter="0"/>
          <w:cols w:space="720" w:num="1"/>
          <w:titlePg/>
          <w:docGrid w:linePitch="312" w:charSpace="0"/>
        </w:sectPr>
      </w:pPr>
    </w:p>
    <w:bookmarkEnd w:id="24"/>
    <w:p w14:paraId="7D385100">
      <w:pPr>
        <w:spacing w:line="528" w:lineRule="exact"/>
        <w:ind w:firstLine="2800" w:firstLineChars="1000"/>
        <w:jc w:val="both"/>
        <w:rPr>
          <w:rFonts w:ascii="Times New Roman" w:hAnsi="Times New Roman" w:eastAsia="宋体" w:cs="Times New Roman"/>
          <w:color w:val="auto"/>
          <w:sz w:val="28"/>
          <w:szCs w:val="28"/>
          <w:highlight w:val="none"/>
        </w:rPr>
      </w:pPr>
      <w:bookmarkStart w:id="25" w:name="_Hlk132878602"/>
      <w:r>
        <w:rPr>
          <w:rFonts w:hint="eastAsia" w:ascii="Times New Roman" w:hAnsi="Times New Roman" w:eastAsia="宋体" w:cs="Times New Roman"/>
          <w:color w:val="auto"/>
          <w:sz w:val="28"/>
          <w:szCs w:val="28"/>
          <w:highlight w:val="none"/>
        </w:rPr>
        <w:t>中小微企业划型标准</w:t>
      </w:r>
    </w:p>
    <w:tbl>
      <w:tblPr>
        <w:tblStyle w:val="43"/>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2499DE44">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748856B9">
            <w:pPr>
              <w:widowControl/>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行业名称</w:t>
            </w:r>
          </w:p>
        </w:tc>
        <w:tc>
          <w:tcPr>
            <w:tcW w:w="1701" w:type="dxa"/>
            <w:tcBorders>
              <w:top w:val="single" w:color="auto" w:sz="4" w:space="0"/>
              <w:left w:val="nil"/>
              <w:bottom w:val="single" w:color="auto" w:sz="4" w:space="0"/>
              <w:right w:val="single" w:color="auto" w:sz="4" w:space="0"/>
            </w:tcBorders>
            <w:vAlign w:val="center"/>
          </w:tcPr>
          <w:p w14:paraId="2D73DC70">
            <w:pPr>
              <w:widowControl/>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指标名称</w:t>
            </w:r>
          </w:p>
        </w:tc>
        <w:tc>
          <w:tcPr>
            <w:tcW w:w="1134" w:type="dxa"/>
            <w:tcBorders>
              <w:top w:val="single" w:color="auto" w:sz="4" w:space="0"/>
              <w:left w:val="nil"/>
              <w:bottom w:val="single" w:color="auto" w:sz="4" w:space="0"/>
              <w:right w:val="single" w:color="auto" w:sz="4" w:space="0"/>
            </w:tcBorders>
            <w:vAlign w:val="center"/>
          </w:tcPr>
          <w:p w14:paraId="50DC7773">
            <w:pPr>
              <w:widowControl/>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计量单位</w:t>
            </w:r>
          </w:p>
        </w:tc>
        <w:tc>
          <w:tcPr>
            <w:tcW w:w="1846" w:type="dxa"/>
            <w:tcBorders>
              <w:top w:val="single" w:color="auto" w:sz="4" w:space="0"/>
              <w:left w:val="nil"/>
              <w:bottom w:val="single" w:color="auto" w:sz="4" w:space="0"/>
              <w:right w:val="single" w:color="auto" w:sz="4" w:space="0"/>
            </w:tcBorders>
            <w:vAlign w:val="center"/>
          </w:tcPr>
          <w:p w14:paraId="34DF4A8C">
            <w:pPr>
              <w:widowControl/>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中型</w:t>
            </w:r>
          </w:p>
        </w:tc>
        <w:tc>
          <w:tcPr>
            <w:tcW w:w="1570" w:type="dxa"/>
            <w:tcBorders>
              <w:top w:val="single" w:color="auto" w:sz="4" w:space="0"/>
              <w:left w:val="nil"/>
              <w:bottom w:val="single" w:color="auto" w:sz="4" w:space="0"/>
              <w:right w:val="single" w:color="auto" w:sz="4" w:space="0"/>
            </w:tcBorders>
            <w:vAlign w:val="center"/>
          </w:tcPr>
          <w:p w14:paraId="753BB98B">
            <w:pPr>
              <w:widowControl/>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小型</w:t>
            </w:r>
          </w:p>
        </w:tc>
        <w:tc>
          <w:tcPr>
            <w:tcW w:w="1009" w:type="dxa"/>
            <w:tcBorders>
              <w:top w:val="single" w:color="auto" w:sz="4" w:space="0"/>
              <w:left w:val="nil"/>
              <w:bottom w:val="single" w:color="auto" w:sz="4" w:space="0"/>
              <w:right w:val="single" w:color="auto" w:sz="4" w:space="0"/>
            </w:tcBorders>
            <w:vAlign w:val="center"/>
          </w:tcPr>
          <w:p w14:paraId="0F49FDCA">
            <w:pPr>
              <w:widowControl/>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微型</w:t>
            </w:r>
          </w:p>
        </w:tc>
      </w:tr>
      <w:tr w14:paraId="6E57EBE2">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3DF08CCD">
            <w:pPr>
              <w:widowControl/>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农、林、牧、渔</w:t>
            </w:r>
          </w:p>
        </w:tc>
        <w:tc>
          <w:tcPr>
            <w:tcW w:w="1701" w:type="dxa"/>
            <w:tcBorders>
              <w:top w:val="nil"/>
              <w:left w:val="nil"/>
              <w:bottom w:val="single" w:color="auto" w:sz="4" w:space="0"/>
              <w:right w:val="single" w:color="auto" w:sz="4" w:space="0"/>
            </w:tcBorders>
            <w:vAlign w:val="center"/>
          </w:tcPr>
          <w:p w14:paraId="505673DB">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1FA77B2B">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万元</w:t>
            </w:r>
          </w:p>
        </w:tc>
        <w:tc>
          <w:tcPr>
            <w:tcW w:w="1846" w:type="dxa"/>
            <w:tcBorders>
              <w:top w:val="nil"/>
              <w:left w:val="nil"/>
              <w:bottom w:val="single" w:color="auto" w:sz="4" w:space="0"/>
              <w:right w:val="single" w:color="auto" w:sz="4" w:space="0"/>
            </w:tcBorders>
            <w:vAlign w:val="center"/>
          </w:tcPr>
          <w:p w14:paraId="772CD598">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500≤Y＜20000</w:t>
            </w:r>
          </w:p>
        </w:tc>
        <w:tc>
          <w:tcPr>
            <w:tcW w:w="1570" w:type="dxa"/>
            <w:tcBorders>
              <w:top w:val="nil"/>
              <w:left w:val="nil"/>
              <w:bottom w:val="single" w:color="auto" w:sz="4" w:space="0"/>
              <w:right w:val="single" w:color="auto" w:sz="4" w:space="0"/>
            </w:tcBorders>
            <w:vAlign w:val="center"/>
          </w:tcPr>
          <w:p w14:paraId="0E0B122C">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50≤Y＜500</w:t>
            </w:r>
          </w:p>
        </w:tc>
        <w:tc>
          <w:tcPr>
            <w:tcW w:w="1009" w:type="dxa"/>
            <w:tcBorders>
              <w:top w:val="nil"/>
              <w:left w:val="nil"/>
              <w:bottom w:val="single" w:color="auto" w:sz="4" w:space="0"/>
              <w:right w:val="single" w:color="auto" w:sz="4" w:space="0"/>
            </w:tcBorders>
            <w:vAlign w:val="center"/>
          </w:tcPr>
          <w:p w14:paraId="59C4CF77">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Y＜50</w:t>
            </w:r>
          </w:p>
        </w:tc>
      </w:tr>
      <w:tr w14:paraId="225506B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E012D45">
            <w:pPr>
              <w:widowControl/>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工业</w:t>
            </w:r>
          </w:p>
        </w:tc>
        <w:tc>
          <w:tcPr>
            <w:tcW w:w="1701" w:type="dxa"/>
            <w:tcBorders>
              <w:top w:val="nil"/>
              <w:left w:val="nil"/>
              <w:bottom w:val="single" w:color="auto" w:sz="4" w:space="0"/>
              <w:right w:val="single" w:color="auto" w:sz="4" w:space="0"/>
            </w:tcBorders>
            <w:vAlign w:val="center"/>
          </w:tcPr>
          <w:p w14:paraId="4E3286C2">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0368A064">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人</w:t>
            </w:r>
          </w:p>
        </w:tc>
        <w:tc>
          <w:tcPr>
            <w:tcW w:w="1846" w:type="dxa"/>
            <w:tcBorders>
              <w:top w:val="nil"/>
              <w:left w:val="nil"/>
              <w:bottom w:val="single" w:color="auto" w:sz="4" w:space="0"/>
              <w:right w:val="single" w:color="auto" w:sz="4" w:space="0"/>
            </w:tcBorders>
            <w:vAlign w:val="center"/>
          </w:tcPr>
          <w:p w14:paraId="5FDDBC9F">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589A049D">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20≤X＜300</w:t>
            </w:r>
          </w:p>
        </w:tc>
        <w:tc>
          <w:tcPr>
            <w:tcW w:w="1009" w:type="dxa"/>
            <w:tcBorders>
              <w:top w:val="nil"/>
              <w:left w:val="nil"/>
              <w:bottom w:val="single" w:color="auto" w:sz="4" w:space="0"/>
              <w:right w:val="single" w:color="auto" w:sz="4" w:space="0"/>
            </w:tcBorders>
            <w:vAlign w:val="center"/>
          </w:tcPr>
          <w:p w14:paraId="27AFE79C">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X＜20</w:t>
            </w:r>
          </w:p>
        </w:tc>
      </w:tr>
      <w:tr w14:paraId="2BD7EEA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2EF796A">
            <w:pPr>
              <w:widowControl/>
              <w:jc w:val="left"/>
              <w:rPr>
                <w:rFonts w:ascii="Times New Roman" w:hAnsi="Times New Roman" w:eastAsia="宋体" w:cs="Times New Roman"/>
                <w:color w:val="auto"/>
                <w:szCs w:val="21"/>
                <w:highlight w:val="none"/>
              </w:rPr>
            </w:pPr>
          </w:p>
        </w:tc>
        <w:tc>
          <w:tcPr>
            <w:tcW w:w="1701" w:type="dxa"/>
            <w:tcBorders>
              <w:top w:val="nil"/>
              <w:left w:val="nil"/>
              <w:bottom w:val="single" w:color="auto" w:sz="4" w:space="0"/>
              <w:right w:val="single" w:color="auto" w:sz="4" w:space="0"/>
            </w:tcBorders>
            <w:vAlign w:val="center"/>
          </w:tcPr>
          <w:p w14:paraId="2811B6AB">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4A998BD2">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万元</w:t>
            </w:r>
          </w:p>
        </w:tc>
        <w:tc>
          <w:tcPr>
            <w:tcW w:w="1846" w:type="dxa"/>
            <w:tcBorders>
              <w:top w:val="nil"/>
              <w:left w:val="nil"/>
              <w:bottom w:val="single" w:color="auto" w:sz="4" w:space="0"/>
              <w:right w:val="single" w:color="auto" w:sz="4" w:space="0"/>
            </w:tcBorders>
            <w:vAlign w:val="center"/>
          </w:tcPr>
          <w:p w14:paraId="7F95DEFC">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2000≤Y＜40000</w:t>
            </w:r>
          </w:p>
        </w:tc>
        <w:tc>
          <w:tcPr>
            <w:tcW w:w="1570" w:type="dxa"/>
            <w:tcBorders>
              <w:top w:val="nil"/>
              <w:left w:val="nil"/>
              <w:bottom w:val="single" w:color="auto" w:sz="4" w:space="0"/>
              <w:right w:val="single" w:color="auto" w:sz="4" w:space="0"/>
            </w:tcBorders>
            <w:vAlign w:val="center"/>
          </w:tcPr>
          <w:p w14:paraId="339878BC">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300≤Y＜2000</w:t>
            </w:r>
          </w:p>
        </w:tc>
        <w:tc>
          <w:tcPr>
            <w:tcW w:w="1009" w:type="dxa"/>
            <w:tcBorders>
              <w:top w:val="nil"/>
              <w:left w:val="nil"/>
              <w:bottom w:val="single" w:color="auto" w:sz="4" w:space="0"/>
              <w:right w:val="single" w:color="auto" w:sz="4" w:space="0"/>
            </w:tcBorders>
            <w:vAlign w:val="center"/>
          </w:tcPr>
          <w:p w14:paraId="7B5CA2A1">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Y＜300</w:t>
            </w:r>
          </w:p>
        </w:tc>
      </w:tr>
      <w:tr w14:paraId="0BD4FC7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5EA5EF2">
            <w:pPr>
              <w:widowControl/>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建筑业</w:t>
            </w:r>
          </w:p>
        </w:tc>
        <w:tc>
          <w:tcPr>
            <w:tcW w:w="1701" w:type="dxa"/>
            <w:tcBorders>
              <w:top w:val="nil"/>
              <w:left w:val="nil"/>
              <w:bottom w:val="single" w:color="auto" w:sz="4" w:space="0"/>
              <w:right w:val="single" w:color="auto" w:sz="4" w:space="0"/>
            </w:tcBorders>
            <w:vAlign w:val="center"/>
          </w:tcPr>
          <w:p w14:paraId="5B493631">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2B0CC32">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万元</w:t>
            </w:r>
          </w:p>
        </w:tc>
        <w:tc>
          <w:tcPr>
            <w:tcW w:w="1846" w:type="dxa"/>
            <w:tcBorders>
              <w:top w:val="nil"/>
              <w:left w:val="nil"/>
              <w:bottom w:val="single" w:color="auto" w:sz="4" w:space="0"/>
              <w:right w:val="single" w:color="auto" w:sz="4" w:space="0"/>
            </w:tcBorders>
            <w:vAlign w:val="center"/>
          </w:tcPr>
          <w:p w14:paraId="73965E32">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6000≤Y＜80000</w:t>
            </w:r>
          </w:p>
        </w:tc>
        <w:tc>
          <w:tcPr>
            <w:tcW w:w="1570" w:type="dxa"/>
            <w:tcBorders>
              <w:top w:val="nil"/>
              <w:left w:val="nil"/>
              <w:bottom w:val="single" w:color="auto" w:sz="4" w:space="0"/>
              <w:right w:val="single" w:color="auto" w:sz="4" w:space="0"/>
            </w:tcBorders>
            <w:vAlign w:val="center"/>
          </w:tcPr>
          <w:p w14:paraId="6AA8A1AB">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300≤Y＜6000</w:t>
            </w:r>
          </w:p>
        </w:tc>
        <w:tc>
          <w:tcPr>
            <w:tcW w:w="1009" w:type="dxa"/>
            <w:tcBorders>
              <w:top w:val="nil"/>
              <w:left w:val="nil"/>
              <w:bottom w:val="single" w:color="auto" w:sz="4" w:space="0"/>
              <w:right w:val="single" w:color="auto" w:sz="4" w:space="0"/>
            </w:tcBorders>
            <w:vAlign w:val="center"/>
          </w:tcPr>
          <w:p w14:paraId="624F008D">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Y＜300</w:t>
            </w:r>
          </w:p>
        </w:tc>
      </w:tr>
      <w:tr w14:paraId="360C8B4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4E70408">
            <w:pPr>
              <w:widowControl/>
              <w:jc w:val="left"/>
              <w:rPr>
                <w:rFonts w:ascii="Times New Roman" w:hAnsi="Times New Roman" w:eastAsia="宋体" w:cs="Times New Roman"/>
                <w:color w:val="auto"/>
                <w:szCs w:val="21"/>
                <w:highlight w:val="none"/>
              </w:rPr>
            </w:pPr>
          </w:p>
        </w:tc>
        <w:tc>
          <w:tcPr>
            <w:tcW w:w="1701" w:type="dxa"/>
            <w:tcBorders>
              <w:top w:val="nil"/>
              <w:left w:val="nil"/>
              <w:bottom w:val="single" w:color="auto" w:sz="4" w:space="0"/>
              <w:right w:val="single" w:color="auto" w:sz="4" w:space="0"/>
            </w:tcBorders>
            <w:vAlign w:val="center"/>
          </w:tcPr>
          <w:p w14:paraId="2D92585C">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625496C3">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万元</w:t>
            </w:r>
          </w:p>
        </w:tc>
        <w:tc>
          <w:tcPr>
            <w:tcW w:w="1846" w:type="dxa"/>
            <w:tcBorders>
              <w:top w:val="nil"/>
              <w:left w:val="nil"/>
              <w:bottom w:val="single" w:color="auto" w:sz="4" w:space="0"/>
              <w:right w:val="single" w:color="auto" w:sz="4" w:space="0"/>
            </w:tcBorders>
            <w:vAlign w:val="center"/>
          </w:tcPr>
          <w:p w14:paraId="6228B2C5">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5000≤Z＜80000</w:t>
            </w:r>
          </w:p>
        </w:tc>
        <w:tc>
          <w:tcPr>
            <w:tcW w:w="1570" w:type="dxa"/>
            <w:tcBorders>
              <w:top w:val="nil"/>
              <w:left w:val="nil"/>
              <w:bottom w:val="single" w:color="auto" w:sz="4" w:space="0"/>
              <w:right w:val="single" w:color="auto" w:sz="4" w:space="0"/>
            </w:tcBorders>
            <w:vAlign w:val="center"/>
          </w:tcPr>
          <w:p w14:paraId="4E5F1A0A">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300≤Z＜5000</w:t>
            </w:r>
          </w:p>
        </w:tc>
        <w:tc>
          <w:tcPr>
            <w:tcW w:w="1009" w:type="dxa"/>
            <w:tcBorders>
              <w:top w:val="nil"/>
              <w:left w:val="nil"/>
              <w:bottom w:val="single" w:color="auto" w:sz="4" w:space="0"/>
              <w:right w:val="single" w:color="auto" w:sz="4" w:space="0"/>
            </w:tcBorders>
            <w:vAlign w:val="center"/>
          </w:tcPr>
          <w:p w14:paraId="3176CFBE">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Z＜300</w:t>
            </w:r>
          </w:p>
        </w:tc>
      </w:tr>
      <w:tr w14:paraId="162EFE0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A4737A6">
            <w:pPr>
              <w:widowControl/>
              <w:ind w:firstLine="315" w:firstLineChars="15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批发业</w:t>
            </w:r>
          </w:p>
        </w:tc>
        <w:tc>
          <w:tcPr>
            <w:tcW w:w="1701" w:type="dxa"/>
            <w:tcBorders>
              <w:top w:val="nil"/>
              <w:left w:val="nil"/>
              <w:bottom w:val="single" w:color="auto" w:sz="4" w:space="0"/>
              <w:right w:val="single" w:color="auto" w:sz="4" w:space="0"/>
            </w:tcBorders>
            <w:vAlign w:val="center"/>
          </w:tcPr>
          <w:p w14:paraId="392E9886">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4B9E0F84">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人</w:t>
            </w:r>
          </w:p>
        </w:tc>
        <w:tc>
          <w:tcPr>
            <w:tcW w:w="1846" w:type="dxa"/>
            <w:tcBorders>
              <w:top w:val="nil"/>
              <w:left w:val="nil"/>
              <w:bottom w:val="single" w:color="auto" w:sz="4" w:space="0"/>
              <w:right w:val="single" w:color="auto" w:sz="4" w:space="0"/>
            </w:tcBorders>
            <w:vAlign w:val="center"/>
          </w:tcPr>
          <w:p w14:paraId="09C615B2">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20≤X＜200</w:t>
            </w:r>
          </w:p>
        </w:tc>
        <w:tc>
          <w:tcPr>
            <w:tcW w:w="1570" w:type="dxa"/>
            <w:tcBorders>
              <w:top w:val="nil"/>
              <w:left w:val="nil"/>
              <w:bottom w:val="single" w:color="auto" w:sz="4" w:space="0"/>
              <w:right w:val="single" w:color="auto" w:sz="4" w:space="0"/>
            </w:tcBorders>
            <w:vAlign w:val="center"/>
          </w:tcPr>
          <w:p w14:paraId="0F3AFFDF">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5≤X＜20</w:t>
            </w:r>
          </w:p>
        </w:tc>
        <w:tc>
          <w:tcPr>
            <w:tcW w:w="1009" w:type="dxa"/>
            <w:tcBorders>
              <w:top w:val="nil"/>
              <w:left w:val="nil"/>
              <w:bottom w:val="single" w:color="auto" w:sz="4" w:space="0"/>
              <w:right w:val="single" w:color="auto" w:sz="4" w:space="0"/>
            </w:tcBorders>
            <w:vAlign w:val="center"/>
          </w:tcPr>
          <w:p w14:paraId="6576B5F2">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X＜5</w:t>
            </w:r>
          </w:p>
        </w:tc>
      </w:tr>
      <w:tr w14:paraId="33DAFF6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3D30DDC">
            <w:pPr>
              <w:widowControl/>
              <w:jc w:val="left"/>
              <w:rPr>
                <w:rFonts w:ascii="Times New Roman" w:hAnsi="Times New Roman" w:eastAsia="宋体" w:cs="Times New Roman"/>
                <w:color w:val="auto"/>
                <w:szCs w:val="21"/>
                <w:highlight w:val="none"/>
              </w:rPr>
            </w:pPr>
          </w:p>
        </w:tc>
        <w:tc>
          <w:tcPr>
            <w:tcW w:w="1701" w:type="dxa"/>
            <w:tcBorders>
              <w:top w:val="nil"/>
              <w:left w:val="nil"/>
              <w:bottom w:val="single" w:color="auto" w:sz="4" w:space="0"/>
              <w:right w:val="single" w:color="auto" w:sz="4" w:space="0"/>
            </w:tcBorders>
            <w:vAlign w:val="center"/>
          </w:tcPr>
          <w:p w14:paraId="72C76BD0">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678001EC">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万元</w:t>
            </w:r>
          </w:p>
        </w:tc>
        <w:tc>
          <w:tcPr>
            <w:tcW w:w="1846" w:type="dxa"/>
            <w:tcBorders>
              <w:top w:val="nil"/>
              <w:left w:val="nil"/>
              <w:bottom w:val="single" w:color="auto" w:sz="4" w:space="0"/>
              <w:right w:val="single" w:color="auto" w:sz="4" w:space="0"/>
            </w:tcBorders>
            <w:vAlign w:val="center"/>
          </w:tcPr>
          <w:p w14:paraId="34D6A236">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5000≤Y＜40000</w:t>
            </w:r>
          </w:p>
        </w:tc>
        <w:tc>
          <w:tcPr>
            <w:tcW w:w="1570" w:type="dxa"/>
            <w:tcBorders>
              <w:top w:val="nil"/>
              <w:left w:val="nil"/>
              <w:bottom w:val="single" w:color="auto" w:sz="4" w:space="0"/>
              <w:right w:val="single" w:color="auto" w:sz="4" w:space="0"/>
            </w:tcBorders>
            <w:vAlign w:val="center"/>
          </w:tcPr>
          <w:p w14:paraId="2919C58A">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1000≤Y＜5000</w:t>
            </w:r>
          </w:p>
        </w:tc>
        <w:tc>
          <w:tcPr>
            <w:tcW w:w="1009" w:type="dxa"/>
            <w:tcBorders>
              <w:top w:val="nil"/>
              <w:left w:val="nil"/>
              <w:bottom w:val="single" w:color="auto" w:sz="4" w:space="0"/>
              <w:right w:val="single" w:color="auto" w:sz="4" w:space="0"/>
            </w:tcBorders>
            <w:vAlign w:val="center"/>
          </w:tcPr>
          <w:p w14:paraId="5CBC0364">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Y＜1000</w:t>
            </w:r>
          </w:p>
        </w:tc>
      </w:tr>
      <w:tr w14:paraId="65E9839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383DCDD">
            <w:pPr>
              <w:widowControl/>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零售业</w:t>
            </w:r>
          </w:p>
        </w:tc>
        <w:tc>
          <w:tcPr>
            <w:tcW w:w="1701" w:type="dxa"/>
            <w:tcBorders>
              <w:top w:val="nil"/>
              <w:left w:val="nil"/>
              <w:bottom w:val="single" w:color="auto" w:sz="4" w:space="0"/>
              <w:right w:val="single" w:color="auto" w:sz="4" w:space="0"/>
            </w:tcBorders>
            <w:vAlign w:val="center"/>
          </w:tcPr>
          <w:p w14:paraId="24BD0612">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029E96B7">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人</w:t>
            </w:r>
          </w:p>
        </w:tc>
        <w:tc>
          <w:tcPr>
            <w:tcW w:w="1846" w:type="dxa"/>
            <w:tcBorders>
              <w:top w:val="nil"/>
              <w:left w:val="nil"/>
              <w:bottom w:val="single" w:color="auto" w:sz="4" w:space="0"/>
              <w:right w:val="single" w:color="auto" w:sz="4" w:space="0"/>
            </w:tcBorders>
            <w:vAlign w:val="center"/>
          </w:tcPr>
          <w:p w14:paraId="1908AA79">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50≤X＜300</w:t>
            </w:r>
          </w:p>
        </w:tc>
        <w:tc>
          <w:tcPr>
            <w:tcW w:w="1570" w:type="dxa"/>
            <w:tcBorders>
              <w:top w:val="nil"/>
              <w:left w:val="nil"/>
              <w:bottom w:val="single" w:color="auto" w:sz="4" w:space="0"/>
              <w:right w:val="single" w:color="auto" w:sz="4" w:space="0"/>
            </w:tcBorders>
            <w:vAlign w:val="center"/>
          </w:tcPr>
          <w:p w14:paraId="7C809C14">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10≤X＜50</w:t>
            </w:r>
          </w:p>
        </w:tc>
        <w:tc>
          <w:tcPr>
            <w:tcW w:w="1009" w:type="dxa"/>
            <w:tcBorders>
              <w:top w:val="nil"/>
              <w:left w:val="nil"/>
              <w:bottom w:val="single" w:color="auto" w:sz="4" w:space="0"/>
              <w:right w:val="single" w:color="auto" w:sz="4" w:space="0"/>
            </w:tcBorders>
            <w:vAlign w:val="center"/>
          </w:tcPr>
          <w:p w14:paraId="6CF09DFA">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X＜10</w:t>
            </w:r>
          </w:p>
        </w:tc>
      </w:tr>
      <w:tr w14:paraId="4B9EB45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A6B31B8">
            <w:pPr>
              <w:widowControl/>
              <w:jc w:val="left"/>
              <w:rPr>
                <w:rFonts w:ascii="Times New Roman" w:hAnsi="Times New Roman" w:eastAsia="宋体" w:cs="Times New Roman"/>
                <w:color w:val="auto"/>
                <w:szCs w:val="21"/>
                <w:highlight w:val="none"/>
              </w:rPr>
            </w:pPr>
          </w:p>
        </w:tc>
        <w:tc>
          <w:tcPr>
            <w:tcW w:w="1701" w:type="dxa"/>
            <w:tcBorders>
              <w:top w:val="nil"/>
              <w:left w:val="nil"/>
              <w:bottom w:val="single" w:color="auto" w:sz="4" w:space="0"/>
              <w:right w:val="single" w:color="auto" w:sz="4" w:space="0"/>
            </w:tcBorders>
            <w:vAlign w:val="center"/>
          </w:tcPr>
          <w:p w14:paraId="0D5F3A36">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1948DF58">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万元</w:t>
            </w:r>
          </w:p>
        </w:tc>
        <w:tc>
          <w:tcPr>
            <w:tcW w:w="1846" w:type="dxa"/>
            <w:tcBorders>
              <w:top w:val="nil"/>
              <w:left w:val="nil"/>
              <w:bottom w:val="single" w:color="auto" w:sz="4" w:space="0"/>
              <w:right w:val="single" w:color="auto" w:sz="4" w:space="0"/>
            </w:tcBorders>
            <w:vAlign w:val="center"/>
          </w:tcPr>
          <w:p w14:paraId="1BACEF83">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500≤Y＜20000</w:t>
            </w:r>
          </w:p>
        </w:tc>
        <w:tc>
          <w:tcPr>
            <w:tcW w:w="1570" w:type="dxa"/>
            <w:tcBorders>
              <w:top w:val="nil"/>
              <w:left w:val="nil"/>
              <w:bottom w:val="single" w:color="auto" w:sz="4" w:space="0"/>
              <w:right w:val="single" w:color="auto" w:sz="4" w:space="0"/>
            </w:tcBorders>
            <w:vAlign w:val="center"/>
          </w:tcPr>
          <w:p w14:paraId="546D4570">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100≤Y＜500</w:t>
            </w:r>
          </w:p>
        </w:tc>
        <w:tc>
          <w:tcPr>
            <w:tcW w:w="1009" w:type="dxa"/>
            <w:tcBorders>
              <w:top w:val="nil"/>
              <w:left w:val="nil"/>
              <w:bottom w:val="single" w:color="auto" w:sz="4" w:space="0"/>
              <w:right w:val="single" w:color="auto" w:sz="4" w:space="0"/>
            </w:tcBorders>
            <w:vAlign w:val="center"/>
          </w:tcPr>
          <w:p w14:paraId="7F0DB326">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Y＜100</w:t>
            </w:r>
          </w:p>
        </w:tc>
      </w:tr>
      <w:tr w14:paraId="2958B75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27A1B7E">
            <w:pPr>
              <w:widowControl/>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交通运输业</w:t>
            </w:r>
          </w:p>
        </w:tc>
        <w:tc>
          <w:tcPr>
            <w:tcW w:w="1701" w:type="dxa"/>
            <w:tcBorders>
              <w:top w:val="nil"/>
              <w:left w:val="nil"/>
              <w:bottom w:val="single" w:color="auto" w:sz="4" w:space="0"/>
              <w:right w:val="single" w:color="auto" w:sz="4" w:space="0"/>
            </w:tcBorders>
            <w:vAlign w:val="center"/>
          </w:tcPr>
          <w:p w14:paraId="417D8418">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074165F6">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人</w:t>
            </w:r>
          </w:p>
        </w:tc>
        <w:tc>
          <w:tcPr>
            <w:tcW w:w="1846" w:type="dxa"/>
            <w:tcBorders>
              <w:top w:val="nil"/>
              <w:left w:val="nil"/>
              <w:bottom w:val="single" w:color="auto" w:sz="4" w:space="0"/>
              <w:right w:val="single" w:color="auto" w:sz="4" w:space="0"/>
            </w:tcBorders>
            <w:vAlign w:val="center"/>
          </w:tcPr>
          <w:p w14:paraId="72F14EA7">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2E635707">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20≤X＜300</w:t>
            </w:r>
          </w:p>
        </w:tc>
        <w:tc>
          <w:tcPr>
            <w:tcW w:w="1009" w:type="dxa"/>
            <w:tcBorders>
              <w:top w:val="nil"/>
              <w:left w:val="nil"/>
              <w:bottom w:val="single" w:color="auto" w:sz="4" w:space="0"/>
              <w:right w:val="single" w:color="auto" w:sz="4" w:space="0"/>
            </w:tcBorders>
            <w:vAlign w:val="center"/>
          </w:tcPr>
          <w:p w14:paraId="340E72D9">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X＜20</w:t>
            </w:r>
          </w:p>
        </w:tc>
      </w:tr>
      <w:tr w14:paraId="3C93685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B7F3E08">
            <w:pPr>
              <w:widowControl/>
              <w:jc w:val="left"/>
              <w:rPr>
                <w:rFonts w:ascii="Times New Roman" w:hAnsi="Times New Roman" w:eastAsia="宋体" w:cs="Times New Roman"/>
                <w:color w:val="auto"/>
                <w:szCs w:val="21"/>
                <w:highlight w:val="none"/>
              </w:rPr>
            </w:pPr>
          </w:p>
        </w:tc>
        <w:tc>
          <w:tcPr>
            <w:tcW w:w="1701" w:type="dxa"/>
            <w:tcBorders>
              <w:top w:val="nil"/>
              <w:left w:val="nil"/>
              <w:bottom w:val="single" w:color="auto" w:sz="4" w:space="0"/>
              <w:right w:val="single" w:color="auto" w:sz="4" w:space="0"/>
            </w:tcBorders>
            <w:vAlign w:val="center"/>
          </w:tcPr>
          <w:p w14:paraId="6B7B8B2D">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7D97281E">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万元</w:t>
            </w:r>
          </w:p>
        </w:tc>
        <w:tc>
          <w:tcPr>
            <w:tcW w:w="1846" w:type="dxa"/>
            <w:tcBorders>
              <w:top w:val="nil"/>
              <w:left w:val="nil"/>
              <w:bottom w:val="single" w:color="auto" w:sz="4" w:space="0"/>
              <w:right w:val="single" w:color="auto" w:sz="4" w:space="0"/>
            </w:tcBorders>
            <w:vAlign w:val="center"/>
          </w:tcPr>
          <w:p w14:paraId="2AEB00F5">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3000≤Y＜30000</w:t>
            </w:r>
          </w:p>
        </w:tc>
        <w:tc>
          <w:tcPr>
            <w:tcW w:w="1570" w:type="dxa"/>
            <w:tcBorders>
              <w:top w:val="nil"/>
              <w:left w:val="nil"/>
              <w:bottom w:val="single" w:color="auto" w:sz="4" w:space="0"/>
              <w:right w:val="single" w:color="auto" w:sz="4" w:space="0"/>
            </w:tcBorders>
            <w:vAlign w:val="center"/>
          </w:tcPr>
          <w:p w14:paraId="14908CCD">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200≤Y＜3000</w:t>
            </w:r>
          </w:p>
        </w:tc>
        <w:tc>
          <w:tcPr>
            <w:tcW w:w="1009" w:type="dxa"/>
            <w:tcBorders>
              <w:top w:val="nil"/>
              <w:left w:val="nil"/>
              <w:bottom w:val="single" w:color="auto" w:sz="4" w:space="0"/>
              <w:right w:val="single" w:color="auto" w:sz="4" w:space="0"/>
            </w:tcBorders>
            <w:vAlign w:val="center"/>
          </w:tcPr>
          <w:p w14:paraId="08764721">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Y＜200</w:t>
            </w:r>
          </w:p>
        </w:tc>
      </w:tr>
      <w:tr w14:paraId="7B8D540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E17E4DE">
            <w:pPr>
              <w:widowControl/>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仓储业</w:t>
            </w:r>
          </w:p>
        </w:tc>
        <w:tc>
          <w:tcPr>
            <w:tcW w:w="1701" w:type="dxa"/>
            <w:tcBorders>
              <w:top w:val="nil"/>
              <w:left w:val="nil"/>
              <w:bottom w:val="single" w:color="auto" w:sz="4" w:space="0"/>
              <w:right w:val="single" w:color="auto" w:sz="4" w:space="0"/>
            </w:tcBorders>
            <w:vAlign w:val="center"/>
          </w:tcPr>
          <w:p w14:paraId="75B4091D">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16CE901A">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人</w:t>
            </w:r>
          </w:p>
        </w:tc>
        <w:tc>
          <w:tcPr>
            <w:tcW w:w="1846" w:type="dxa"/>
            <w:tcBorders>
              <w:top w:val="nil"/>
              <w:left w:val="nil"/>
              <w:bottom w:val="single" w:color="auto" w:sz="4" w:space="0"/>
              <w:right w:val="single" w:color="auto" w:sz="4" w:space="0"/>
            </w:tcBorders>
            <w:vAlign w:val="center"/>
          </w:tcPr>
          <w:p w14:paraId="0D7B04F3">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100≤X＜200</w:t>
            </w:r>
          </w:p>
        </w:tc>
        <w:tc>
          <w:tcPr>
            <w:tcW w:w="1570" w:type="dxa"/>
            <w:tcBorders>
              <w:top w:val="nil"/>
              <w:left w:val="nil"/>
              <w:bottom w:val="single" w:color="auto" w:sz="4" w:space="0"/>
              <w:right w:val="single" w:color="auto" w:sz="4" w:space="0"/>
            </w:tcBorders>
            <w:vAlign w:val="center"/>
          </w:tcPr>
          <w:p w14:paraId="4379870A">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20≤X＜100</w:t>
            </w:r>
          </w:p>
        </w:tc>
        <w:tc>
          <w:tcPr>
            <w:tcW w:w="1009" w:type="dxa"/>
            <w:tcBorders>
              <w:top w:val="nil"/>
              <w:left w:val="nil"/>
              <w:bottom w:val="single" w:color="auto" w:sz="4" w:space="0"/>
              <w:right w:val="single" w:color="auto" w:sz="4" w:space="0"/>
            </w:tcBorders>
            <w:vAlign w:val="center"/>
          </w:tcPr>
          <w:p w14:paraId="283E5D48">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X＜20</w:t>
            </w:r>
          </w:p>
        </w:tc>
      </w:tr>
      <w:tr w14:paraId="234FFA3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7DE0F5F">
            <w:pPr>
              <w:widowControl/>
              <w:jc w:val="left"/>
              <w:rPr>
                <w:rFonts w:ascii="Times New Roman" w:hAnsi="Times New Roman" w:eastAsia="宋体" w:cs="Times New Roman"/>
                <w:color w:val="auto"/>
                <w:szCs w:val="21"/>
                <w:highlight w:val="none"/>
              </w:rPr>
            </w:pPr>
          </w:p>
        </w:tc>
        <w:tc>
          <w:tcPr>
            <w:tcW w:w="1701" w:type="dxa"/>
            <w:tcBorders>
              <w:top w:val="nil"/>
              <w:left w:val="nil"/>
              <w:bottom w:val="single" w:color="auto" w:sz="4" w:space="0"/>
              <w:right w:val="single" w:color="auto" w:sz="4" w:space="0"/>
            </w:tcBorders>
            <w:vAlign w:val="center"/>
          </w:tcPr>
          <w:p w14:paraId="1D00A693">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3D032101">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万元</w:t>
            </w:r>
          </w:p>
        </w:tc>
        <w:tc>
          <w:tcPr>
            <w:tcW w:w="1846" w:type="dxa"/>
            <w:tcBorders>
              <w:top w:val="nil"/>
              <w:left w:val="nil"/>
              <w:bottom w:val="single" w:color="auto" w:sz="4" w:space="0"/>
              <w:right w:val="single" w:color="auto" w:sz="4" w:space="0"/>
            </w:tcBorders>
            <w:vAlign w:val="center"/>
          </w:tcPr>
          <w:p w14:paraId="3C1607C5">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1000≤Y＜30000</w:t>
            </w:r>
          </w:p>
        </w:tc>
        <w:tc>
          <w:tcPr>
            <w:tcW w:w="1570" w:type="dxa"/>
            <w:tcBorders>
              <w:top w:val="nil"/>
              <w:left w:val="nil"/>
              <w:bottom w:val="single" w:color="auto" w:sz="4" w:space="0"/>
              <w:right w:val="single" w:color="auto" w:sz="4" w:space="0"/>
            </w:tcBorders>
            <w:vAlign w:val="center"/>
          </w:tcPr>
          <w:p w14:paraId="3434D354">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100≤Y＜1000</w:t>
            </w:r>
          </w:p>
        </w:tc>
        <w:tc>
          <w:tcPr>
            <w:tcW w:w="1009" w:type="dxa"/>
            <w:tcBorders>
              <w:top w:val="nil"/>
              <w:left w:val="nil"/>
              <w:bottom w:val="single" w:color="auto" w:sz="4" w:space="0"/>
              <w:right w:val="single" w:color="auto" w:sz="4" w:space="0"/>
            </w:tcBorders>
            <w:vAlign w:val="center"/>
          </w:tcPr>
          <w:p w14:paraId="699C1149">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Y＜100</w:t>
            </w:r>
          </w:p>
        </w:tc>
      </w:tr>
      <w:tr w14:paraId="7B28870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E3E912E">
            <w:pPr>
              <w:widowControl/>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邮政业</w:t>
            </w:r>
          </w:p>
        </w:tc>
        <w:tc>
          <w:tcPr>
            <w:tcW w:w="1701" w:type="dxa"/>
            <w:tcBorders>
              <w:top w:val="nil"/>
              <w:left w:val="nil"/>
              <w:bottom w:val="single" w:color="auto" w:sz="4" w:space="0"/>
              <w:right w:val="single" w:color="auto" w:sz="4" w:space="0"/>
            </w:tcBorders>
            <w:vAlign w:val="center"/>
          </w:tcPr>
          <w:p w14:paraId="515467F4">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2E24D81B">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人</w:t>
            </w:r>
          </w:p>
        </w:tc>
        <w:tc>
          <w:tcPr>
            <w:tcW w:w="1846" w:type="dxa"/>
            <w:tcBorders>
              <w:top w:val="nil"/>
              <w:left w:val="nil"/>
              <w:bottom w:val="single" w:color="auto" w:sz="4" w:space="0"/>
              <w:right w:val="single" w:color="auto" w:sz="4" w:space="0"/>
            </w:tcBorders>
            <w:vAlign w:val="center"/>
          </w:tcPr>
          <w:p w14:paraId="56833CD4">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03C173A0">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20≤X＜300</w:t>
            </w:r>
          </w:p>
        </w:tc>
        <w:tc>
          <w:tcPr>
            <w:tcW w:w="1009" w:type="dxa"/>
            <w:tcBorders>
              <w:top w:val="nil"/>
              <w:left w:val="nil"/>
              <w:bottom w:val="single" w:color="auto" w:sz="4" w:space="0"/>
              <w:right w:val="single" w:color="auto" w:sz="4" w:space="0"/>
            </w:tcBorders>
            <w:vAlign w:val="center"/>
          </w:tcPr>
          <w:p w14:paraId="2F7D761A">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X＜20</w:t>
            </w:r>
          </w:p>
        </w:tc>
      </w:tr>
      <w:tr w14:paraId="0585402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CD1119A">
            <w:pPr>
              <w:widowControl/>
              <w:jc w:val="left"/>
              <w:rPr>
                <w:rFonts w:ascii="Times New Roman" w:hAnsi="Times New Roman" w:eastAsia="宋体" w:cs="Times New Roman"/>
                <w:color w:val="auto"/>
                <w:szCs w:val="21"/>
                <w:highlight w:val="none"/>
              </w:rPr>
            </w:pPr>
          </w:p>
        </w:tc>
        <w:tc>
          <w:tcPr>
            <w:tcW w:w="1701" w:type="dxa"/>
            <w:tcBorders>
              <w:top w:val="nil"/>
              <w:left w:val="nil"/>
              <w:bottom w:val="single" w:color="auto" w:sz="4" w:space="0"/>
              <w:right w:val="single" w:color="auto" w:sz="4" w:space="0"/>
            </w:tcBorders>
            <w:vAlign w:val="center"/>
          </w:tcPr>
          <w:p w14:paraId="5B9D16BD">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347E29AD">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万元</w:t>
            </w:r>
          </w:p>
        </w:tc>
        <w:tc>
          <w:tcPr>
            <w:tcW w:w="1846" w:type="dxa"/>
            <w:tcBorders>
              <w:top w:val="nil"/>
              <w:left w:val="nil"/>
              <w:bottom w:val="single" w:color="auto" w:sz="4" w:space="0"/>
              <w:right w:val="single" w:color="auto" w:sz="4" w:space="0"/>
            </w:tcBorders>
            <w:vAlign w:val="center"/>
          </w:tcPr>
          <w:p w14:paraId="6711A398">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2000≤Y＜30000</w:t>
            </w:r>
          </w:p>
        </w:tc>
        <w:tc>
          <w:tcPr>
            <w:tcW w:w="1570" w:type="dxa"/>
            <w:tcBorders>
              <w:top w:val="nil"/>
              <w:left w:val="nil"/>
              <w:bottom w:val="single" w:color="auto" w:sz="4" w:space="0"/>
              <w:right w:val="single" w:color="auto" w:sz="4" w:space="0"/>
            </w:tcBorders>
            <w:vAlign w:val="center"/>
          </w:tcPr>
          <w:p w14:paraId="2ABDDE94">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51109DDE">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Y＜100</w:t>
            </w:r>
          </w:p>
        </w:tc>
      </w:tr>
      <w:tr w14:paraId="1FB1395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3FA6D88">
            <w:pPr>
              <w:widowControl/>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住宿业</w:t>
            </w:r>
          </w:p>
        </w:tc>
        <w:tc>
          <w:tcPr>
            <w:tcW w:w="1701" w:type="dxa"/>
            <w:tcBorders>
              <w:top w:val="nil"/>
              <w:left w:val="nil"/>
              <w:bottom w:val="single" w:color="auto" w:sz="4" w:space="0"/>
              <w:right w:val="single" w:color="auto" w:sz="4" w:space="0"/>
            </w:tcBorders>
            <w:vAlign w:val="center"/>
          </w:tcPr>
          <w:p w14:paraId="1948ED0D">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1DBABBC1">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人</w:t>
            </w:r>
          </w:p>
        </w:tc>
        <w:tc>
          <w:tcPr>
            <w:tcW w:w="1846" w:type="dxa"/>
            <w:tcBorders>
              <w:top w:val="nil"/>
              <w:left w:val="nil"/>
              <w:bottom w:val="single" w:color="auto" w:sz="4" w:space="0"/>
              <w:right w:val="single" w:color="auto" w:sz="4" w:space="0"/>
            </w:tcBorders>
            <w:vAlign w:val="center"/>
          </w:tcPr>
          <w:p w14:paraId="1FC19F27">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100≤X＜300</w:t>
            </w:r>
          </w:p>
        </w:tc>
        <w:tc>
          <w:tcPr>
            <w:tcW w:w="1570" w:type="dxa"/>
            <w:tcBorders>
              <w:top w:val="nil"/>
              <w:left w:val="nil"/>
              <w:bottom w:val="single" w:color="auto" w:sz="4" w:space="0"/>
              <w:right w:val="single" w:color="auto" w:sz="4" w:space="0"/>
            </w:tcBorders>
            <w:vAlign w:val="center"/>
          </w:tcPr>
          <w:p w14:paraId="62034BF2">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10≤X＜100</w:t>
            </w:r>
          </w:p>
        </w:tc>
        <w:tc>
          <w:tcPr>
            <w:tcW w:w="1009" w:type="dxa"/>
            <w:tcBorders>
              <w:top w:val="nil"/>
              <w:left w:val="nil"/>
              <w:bottom w:val="single" w:color="auto" w:sz="4" w:space="0"/>
              <w:right w:val="single" w:color="auto" w:sz="4" w:space="0"/>
            </w:tcBorders>
            <w:vAlign w:val="center"/>
          </w:tcPr>
          <w:p w14:paraId="33856645">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X＜10</w:t>
            </w:r>
          </w:p>
        </w:tc>
      </w:tr>
      <w:tr w14:paraId="15FFA95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CF26585">
            <w:pPr>
              <w:widowControl/>
              <w:jc w:val="left"/>
              <w:rPr>
                <w:rFonts w:ascii="Times New Roman" w:hAnsi="Times New Roman" w:eastAsia="宋体" w:cs="Times New Roman"/>
                <w:color w:val="auto"/>
                <w:szCs w:val="21"/>
                <w:highlight w:val="none"/>
              </w:rPr>
            </w:pPr>
          </w:p>
        </w:tc>
        <w:tc>
          <w:tcPr>
            <w:tcW w:w="1701" w:type="dxa"/>
            <w:tcBorders>
              <w:top w:val="nil"/>
              <w:left w:val="nil"/>
              <w:bottom w:val="single" w:color="auto" w:sz="4" w:space="0"/>
              <w:right w:val="single" w:color="auto" w:sz="4" w:space="0"/>
            </w:tcBorders>
            <w:vAlign w:val="center"/>
          </w:tcPr>
          <w:p w14:paraId="2A2D9D1F">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32F18734">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万元</w:t>
            </w:r>
          </w:p>
        </w:tc>
        <w:tc>
          <w:tcPr>
            <w:tcW w:w="1846" w:type="dxa"/>
            <w:tcBorders>
              <w:top w:val="nil"/>
              <w:left w:val="nil"/>
              <w:bottom w:val="single" w:color="auto" w:sz="4" w:space="0"/>
              <w:right w:val="single" w:color="auto" w:sz="4" w:space="0"/>
            </w:tcBorders>
            <w:vAlign w:val="center"/>
          </w:tcPr>
          <w:p w14:paraId="76DCA0AB">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2000≤Y＜10000</w:t>
            </w:r>
          </w:p>
        </w:tc>
        <w:tc>
          <w:tcPr>
            <w:tcW w:w="1570" w:type="dxa"/>
            <w:tcBorders>
              <w:top w:val="nil"/>
              <w:left w:val="nil"/>
              <w:bottom w:val="single" w:color="auto" w:sz="4" w:space="0"/>
              <w:right w:val="single" w:color="auto" w:sz="4" w:space="0"/>
            </w:tcBorders>
            <w:vAlign w:val="center"/>
          </w:tcPr>
          <w:p w14:paraId="090CA49B">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451371C0">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Y＜100</w:t>
            </w:r>
          </w:p>
        </w:tc>
      </w:tr>
      <w:tr w14:paraId="6D09E33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C115418">
            <w:pPr>
              <w:widowControl/>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餐饮业</w:t>
            </w:r>
          </w:p>
        </w:tc>
        <w:tc>
          <w:tcPr>
            <w:tcW w:w="1701" w:type="dxa"/>
            <w:tcBorders>
              <w:top w:val="nil"/>
              <w:left w:val="nil"/>
              <w:bottom w:val="single" w:color="auto" w:sz="4" w:space="0"/>
              <w:right w:val="single" w:color="auto" w:sz="4" w:space="0"/>
            </w:tcBorders>
            <w:vAlign w:val="center"/>
          </w:tcPr>
          <w:p w14:paraId="0FD3C123">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49A519D5">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人</w:t>
            </w:r>
          </w:p>
        </w:tc>
        <w:tc>
          <w:tcPr>
            <w:tcW w:w="1846" w:type="dxa"/>
            <w:tcBorders>
              <w:top w:val="nil"/>
              <w:left w:val="nil"/>
              <w:bottom w:val="single" w:color="auto" w:sz="4" w:space="0"/>
              <w:right w:val="single" w:color="auto" w:sz="4" w:space="0"/>
            </w:tcBorders>
            <w:vAlign w:val="center"/>
          </w:tcPr>
          <w:p w14:paraId="5DDCCA1B">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100≤X＜300</w:t>
            </w:r>
          </w:p>
        </w:tc>
        <w:tc>
          <w:tcPr>
            <w:tcW w:w="1570" w:type="dxa"/>
            <w:tcBorders>
              <w:top w:val="nil"/>
              <w:left w:val="nil"/>
              <w:bottom w:val="single" w:color="auto" w:sz="4" w:space="0"/>
              <w:right w:val="single" w:color="auto" w:sz="4" w:space="0"/>
            </w:tcBorders>
            <w:vAlign w:val="center"/>
          </w:tcPr>
          <w:p w14:paraId="7A4263D1">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10≤X＜100</w:t>
            </w:r>
          </w:p>
        </w:tc>
        <w:tc>
          <w:tcPr>
            <w:tcW w:w="1009" w:type="dxa"/>
            <w:tcBorders>
              <w:top w:val="nil"/>
              <w:left w:val="nil"/>
              <w:bottom w:val="single" w:color="auto" w:sz="4" w:space="0"/>
              <w:right w:val="single" w:color="auto" w:sz="4" w:space="0"/>
            </w:tcBorders>
            <w:vAlign w:val="center"/>
          </w:tcPr>
          <w:p w14:paraId="5FFC4C59">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X＜10</w:t>
            </w:r>
          </w:p>
        </w:tc>
      </w:tr>
      <w:tr w14:paraId="41AE7D0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F5FDDD3">
            <w:pPr>
              <w:widowControl/>
              <w:jc w:val="left"/>
              <w:rPr>
                <w:rFonts w:ascii="Times New Roman" w:hAnsi="Times New Roman" w:eastAsia="宋体" w:cs="Times New Roman"/>
                <w:color w:val="auto"/>
                <w:szCs w:val="21"/>
                <w:highlight w:val="none"/>
              </w:rPr>
            </w:pPr>
          </w:p>
        </w:tc>
        <w:tc>
          <w:tcPr>
            <w:tcW w:w="1701" w:type="dxa"/>
            <w:tcBorders>
              <w:top w:val="nil"/>
              <w:left w:val="nil"/>
              <w:bottom w:val="single" w:color="auto" w:sz="4" w:space="0"/>
              <w:right w:val="single" w:color="auto" w:sz="4" w:space="0"/>
            </w:tcBorders>
            <w:vAlign w:val="center"/>
          </w:tcPr>
          <w:p w14:paraId="0BCDBDE6">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6EFAD6A6">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万元</w:t>
            </w:r>
          </w:p>
        </w:tc>
        <w:tc>
          <w:tcPr>
            <w:tcW w:w="1846" w:type="dxa"/>
            <w:tcBorders>
              <w:top w:val="nil"/>
              <w:left w:val="nil"/>
              <w:bottom w:val="single" w:color="auto" w:sz="4" w:space="0"/>
              <w:right w:val="single" w:color="auto" w:sz="4" w:space="0"/>
            </w:tcBorders>
            <w:vAlign w:val="center"/>
          </w:tcPr>
          <w:p w14:paraId="2809A40E">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2000≤Y＜10000</w:t>
            </w:r>
          </w:p>
        </w:tc>
        <w:tc>
          <w:tcPr>
            <w:tcW w:w="1570" w:type="dxa"/>
            <w:tcBorders>
              <w:top w:val="nil"/>
              <w:left w:val="nil"/>
              <w:bottom w:val="single" w:color="auto" w:sz="4" w:space="0"/>
              <w:right w:val="single" w:color="auto" w:sz="4" w:space="0"/>
            </w:tcBorders>
            <w:vAlign w:val="center"/>
          </w:tcPr>
          <w:p w14:paraId="14E76968">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0CC376BA">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Y＜100</w:t>
            </w:r>
          </w:p>
        </w:tc>
      </w:tr>
      <w:tr w14:paraId="6DEE3B1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DFF9656">
            <w:pPr>
              <w:widowControl/>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信息传输业</w:t>
            </w:r>
          </w:p>
        </w:tc>
        <w:tc>
          <w:tcPr>
            <w:tcW w:w="1701" w:type="dxa"/>
            <w:tcBorders>
              <w:top w:val="nil"/>
              <w:left w:val="nil"/>
              <w:bottom w:val="single" w:color="auto" w:sz="4" w:space="0"/>
              <w:right w:val="single" w:color="auto" w:sz="4" w:space="0"/>
            </w:tcBorders>
            <w:vAlign w:val="center"/>
          </w:tcPr>
          <w:p w14:paraId="313759CE">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337CF147">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人</w:t>
            </w:r>
          </w:p>
        </w:tc>
        <w:tc>
          <w:tcPr>
            <w:tcW w:w="1846" w:type="dxa"/>
            <w:tcBorders>
              <w:top w:val="nil"/>
              <w:left w:val="nil"/>
              <w:bottom w:val="single" w:color="auto" w:sz="4" w:space="0"/>
              <w:right w:val="single" w:color="auto" w:sz="4" w:space="0"/>
            </w:tcBorders>
            <w:vAlign w:val="center"/>
          </w:tcPr>
          <w:p w14:paraId="5B410888">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100≤X＜2000</w:t>
            </w:r>
          </w:p>
        </w:tc>
        <w:tc>
          <w:tcPr>
            <w:tcW w:w="1570" w:type="dxa"/>
            <w:tcBorders>
              <w:top w:val="nil"/>
              <w:left w:val="nil"/>
              <w:bottom w:val="single" w:color="auto" w:sz="4" w:space="0"/>
              <w:right w:val="single" w:color="auto" w:sz="4" w:space="0"/>
            </w:tcBorders>
            <w:vAlign w:val="center"/>
          </w:tcPr>
          <w:p w14:paraId="68F13E24">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10≤X＜100</w:t>
            </w:r>
          </w:p>
        </w:tc>
        <w:tc>
          <w:tcPr>
            <w:tcW w:w="1009" w:type="dxa"/>
            <w:tcBorders>
              <w:top w:val="nil"/>
              <w:left w:val="nil"/>
              <w:bottom w:val="single" w:color="auto" w:sz="4" w:space="0"/>
              <w:right w:val="single" w:color="auto" w:sz="4" w:space="0"/>
            </w:tcBorders>
            <w:vAlign w:val="center"/>
          </w:tcPr>
          <w:p w14:paraId="09E9EB22">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X＜10</w:t>
            </w:r>
          </w:p>
        </w:tc>
      </w:tr>
      <w:tr w14:paraId="2460F40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75D9C9F">
            <w:pPr>
              <w:widowControl/>
              <w:jc w:val="left"/>
              <w:rPr>
                <w:rFonts w:ascii="Times New Roman" w:hAnsi="Times New Roman" w:eastAsia="宋体" w:cs="Times New Roman"/>
                <w:color w:val="auto"/>
                <w:szCs w:val="21"/>
                <w:highlight w:val="none"/>
              </w:rPr>
            </w:pPr>
          </w:p>
        </w:tc>
        <w:tc>
          <w:tcPr>
            <w:tcW w:w="1701" w:type="dxa"/>
            <w:tcBorders>
              <w:top w:val="nil"/>
              <w:left w:val="nil"/>
              <w:bottom w:val="single" w:color="auto" w:sz="4" w:space="0"/>
              <w:right w:val="single" w:color="auto" w:sz="4" w:space="0"/>
            </w:tcBorders>
            <w:vAlign w:val="center"/>
          </w:tcPr>
          <w:p w14:paraId="0D4E73AE">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15B88D9D">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万元</w:t>
            </w:r>
          </w:p>
        </w:tc>
        <w:tc>
          <w:tcPr>
            <w:tcW w:w="1846" w:type="dxa"/>
            <w:tcBorders>
              <w:top w:val="nil"/>
              <w:left w:val="nil"/>
              <w:bottom w:val="single" w:color="auto" w:sz="4" w:space="0"/>
              <w:right w:val="single" w:color="auto" w:sz="4" w:space="0"/>
            </w:tcBorders>
            <w:vAlign w:val="center"/>
          </w:tcPr>
          <w:p w14:paraId="641D8ABD">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1000≤Y＜100000</w:t>
            </w:r>
          </w:p>
        </w:tc>
        <w:tc>
          <w:tcPr>
            <w:tcW w:w="1570" w:type="dxa"/>
            <w:tcBorders>
              <w:top w:val="nil"/>
              <w:left w:val="nil"/>
              <w:bottom w:val="single" w:color="auto" w:sz="4" w:space="0"/>
              <w:right w:val="single" w:color="auto" w:sz="4" w:space="0"/>
            </w:tcBorders>
            <w:vAlign w:val="center"/>
          </w:tcPr>
          <w:p w14:paraId="5C60522B">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100≤Y＜1000</w:t>
            </w:r>
          </w:p>
        </w:tc>
        <w:tc>
          <w:tcPr>
            <w:tcW w:w="1009" w:type="dxa"/>
            <w:tcBorders>
              <w:top w:val="nil"/>
              <w:left w:val="nil"/>
              <w:bottom w:val="single" w:color="auto" w:sz="4" w:space="0"/>
              <w:right w:val="single" w:color="auto" w:sz="4" w:space="0"/>
            </w:tcBorders>
            <w:vAlign w:val="center"/>
          </w:tcPr>
          <w:p w14:paraId="763D2FD5">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Y＜100</w:t>
            </w:r>
          </w:p>
        </w:tc>
      </w:tr>
      <w:tr w14:paraId="0A7C4CC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67E1E30">
            <w:pPr>
              <w:widowControl/>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软件和信息技术服务业</w:t>
            </w:r>
          </w:p>
        </w:tc>
        <w:tc>
          <w:tcPr>
            <w:tcW w:w="1701" w:type="dxa"/>
            <w:tcBorders>
              <w:top w:val="nil"/>
              <w:left w:val="nil"/>
              <w:bottom w:val="single" w:color="auto" w:sz="4" w:space="0"/>
              <w:right w:val="single" w:color="auto" w:sz="4" w:space="0"/>
            </w:tcBorders>
            <w:vAlign w:val="center"/>
          </w:tcPr>
          <w:p w14:paraId="1F58DE06">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2F4A43B4">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人</w:t>
            </w:r>
          </w:p>
        </w:tc>
        <w:tc>
          <w:tcPr>
            <w:tcW w:w="1846" w:type="dxa"/>
            <w:tcBorders>
              <w:top w:val="nil"/>
              <w:left w:val="nil"/>
              <w:bottom w:val="single" w:color="auto" w:sz="4" w:space="0"/>
              <w:right w:val="single" w:color="auto" w:sz="4" w:space="0"/>
            </w:tcBorders>
            <w:vAlign w:val="center"/>
          </w:tcPr>
          <w:p w14:paraId="4F141AB8">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100≤X＜300</w:t>
            </w:r>
          </w:p>
        </w:tc>
        <w:tc>
          <w:tcPr>
            <w:tcW w:w="1570" w:type="dxa"/>
            <w:tcBorders>
              <w:top w:val="nil"/>
              <w:left w:val="nil"/>
              <w:bottom w:val="single" w:color="auto" w:sz="4" w:space="0"/>
              <w:right w:val="single" w:color="auto" w:sz="4" w:space="0"/>
            </w:tcBorders>
            <w:vAlign w:val="center"/>
          </w:tcPr>
          <w:p w14:paraId="5151E5E0">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10≤X＜100</w:t>
            </w:r>
          </w:p>
        </w:tc>
        <w:tc>
          <w:tcPr>
            <w:tcW w:w="1009" w:type="dxa"/>
            <w:tcBorders>
              <w:top w:val="nil"/>
              <w:left w:val="nil"/>
              <w:bottom w:val="single" w:color="auto" w:sz="4" w:space="0"/>
              <w:right w:val="single" w:color="auto" w:sz="4" w:space="0"/>
            </w:tcBorders>
            <w:vAlign w:val="center"/>
          </w:tcPr>
          <w:p w14:paraId="4DECA4D5">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X＜10</w:t>
            </w:r>
          </w:p>
        </w:tc>
      </w:tr>
      <w:tr w14:paraId="7D81A5C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D9A607B">
            <w:pPr>
              <w:widowControl/>
              <w:jc w:val="left"/>
              <w:rPr>
                <w:rFonts w:ascii="Times New Roman" w:hAnsi="Times New Roman" w:eastAsia="宋体" w:cs="Times New Roman"/>
                <w:color w:val="auto"/>
                <w:szCs w:val="21"/>
                <w:highlight w:val="none"/>
              </w:rPr>
            </w:pPr>
          </w:p>
        </w:tc>
        <w:tc>
          <w:tcPr>
            <w:tcW w:w="1701" w:type="dxa"/>
            <w:tcBorders>
              <w:top w:val="nil"/>
              <w:left w:val="nil"/>
              <w:bottom w:val="single" w:color="auto" w:sz="4" w:space="0"/>
              <w:right w:val="single" w:color="auto" w:sz="4" w:space="0"/>
            </w:tcBorders>
            <w:vAlign w:val="center"/>
          </w:tcPr>
          <w:p w14:paraId="067447FF">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35FAB809">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万元</w:t>
            </w:r>
          </w:p>
        </w:tc>
        <w:tc>
          <w:tcPr>
            <w:tcW w:w="1846" w:type="dxa"/>
            <w:tcBorders>
              <w:top w:val="nil"/>
              <w:left w:val="nil"/>
              <w:bottom w:val="single" w:color="auto" w:sz="4" w:space="0"/>
              <w:right w:val="single" w:color="auto" w:sz="4" w:space="0"/>
            </w:tcBorders>
            <w:vAlign w:val="center"/>
          </w:tcPr>
          <w:p w14:paraId="6E730629">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1000≤Y＜10000</w:t>
            </w:r>
          </w:p>
        </w:tc>
        <w:tc>
          <w:tcPr>
            <w:tcW w:w="1570" w:type="dxa"/>
            <w:tcBorders>
              <w:top w:val="nil"/>
              <w:left w:val="nil"/>
              <w:bottom w:val="single" w:color="auto" w:sz="4" w:space="0"/>
              <w:right w:val="single" w:color="auto" w:sz="4" w:space="0"/>
            </w:tcBorders>
            <w:vAlign w:val="center"/>
          </w:tcPr>
          <w:p w14:paraId="4DC04B61">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50≤Y＜1000</w:t>
            </w:r>
          </w:p>
        </w:tc>
        <w:tc>
          <w:tcPr>
            <w:tcW w:w="1009" w:type="dxa"/>
            <w:tcBorders>
              <w:top w:val="nil"/>
              <w:left w:val="nil"/>
              <w:bottom w:val="single" w:color="auto" w:sz="4" w:space="0"/>
              <w:right w:val="single" w:color="auto" w:sz="4" w:space="0"/>
            </w:tcBorders>
            <w:vAlign w:val="center"/>
          </w:tcPr>
          <w:p w14:paraId="6518A513">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Y＜50</w:t>
            </w:r>
          </w:p>
        </w:tc>
      </w:tr>
      <w:tr w14:paraId="2DC8953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1C11E33">
            <w:pPr>
              <w:widowControl/>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房地产开发经营</w:t>
            </w:r>
          </w:p>
        </w:tc>
        <w:tc>
          <w:tcPr>
            <w:tcW w:w="1701" w:type="dxa"/>
            <w:tcBorders>
              <w:top w:val="nil"/>
              <w:left w:val="nil"/>
              <w:bottom w:val="single" w:color="auto" w:sz="4" w:space="0"/>
              <w:right w:val="single" w:color="auto" w:sz="4" w:space="0"/>
            </w:tcBorders>
            <w:vAlign w:val="center"/>
          </w:tcPr>
          <w:p w14:paraId="18B08E2E">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484B33BB">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万元</w:t>
            </w:r>
          </w:p>
        </w:tc>
        <w:tc>
          <w:tcPr>
            <w:tcW w:w="1846" w:type="dxa"/>
            <w:tcBorders>
              <w:top w:val="nil"/>
              <w:left w:val="nil"/>
              <w:bottom w:val="single" w:color="auto" w:sz="4" w:space="0"/>
              <w:right w:val="single" w:color="auto" w:sz="4" w:space="0"/>
            </w:tcBorders>
            <w:vAlign w:val="center"/>
          </w:tcPr>
          <w:p w14:paraId="080C6F8B">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1000≤Y＜200000</w:t>
            </w:r>
          </w:p>
        </w:tc>
        <w:tc>
          <w:tcPr>
            <w:tcW w:w="1570" w:type="dxa"/>
            <w:tcBorders>
              <w:top w:val="nil"/>
              <w:left w:val="nil"/>
              <w:bottom w:val="single" w:color="auto" w:sz="4" w:space="0"/>
              <w:right w:val="single" w:color="auto" w:sz="4" w:space="0"/>
            </w:tcBorders>
            <w:vAlign w:val="center"/>
          </w:tcPr>
          <w:p w14:paraId="601FDC78">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100≤X＜1000</w:t>
            </w:r>
          </w:p>
        </w:tc>
        <w:tc>
          <w:tcPr>
            <w:tcW w:w="1009" w:type="dxa"/>
            <w:tcBorders>
              <w:top w:val="nil"/>
              <w:left w:val="nil"/>
              <w:bottom w:val="single" w:color="auto" w:sz="4" w:space="0"/>
              <w:right w:val="single" w:color="auto" w:sz="4" w:space="0"/>
            </w:tcBorders>
            <w:vAlign w:val="center"/>
          </w:tcPr>
          <w:p w14:paraId="4159D18B">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X＜100</w:t>
            </w:r>
          </w:p>
        </w:tc>
      </w:tr>
      <w:tr w14:paraId="5DD3400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3104E86">
            <w:pPr>
              <w:widowControl/>
              <w:jc w:val="left"/>
              <w:rPr>
                <w:rFonts w:ascii="Times New Roman" w:hAnsi="Times New Roman" w:eastAsia="宋体" w:cs="Times New Roman"/>
                <w:color w:val="auto"/>
                <w:szCs w:val="21"/>
                <w:highlight w:val="none"/>
              </w:rPr>
            </w:pPr>
          </w:p>
        </w:tc>
        <w:tc>
          <w:tcPr>
            <w:tcW w:w="1701" w:type="dxa"/>
            <w:tcBorders>
              <w:top w:val="nil"/>
              <w:left w:val="nil"/>
              <w:bottom w:val="single" w:color="auto" w:sz="4" w:space="0"/>
              <w:right w:val="single" w:color="auto" w:sz="4" w:space="0"/>
            </w:tcBorders>
            <w:vAlign w:val="center"/>
          </w:tcPr>
          <w:p w14:paraId="23A1165D">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75E3C3A7">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万元</w:t>
            </w:r>
          </w:p>
        </w:tc>
        <w:tc>
          <w:tcPr>
            <w:tcW w:w="1846" w:type="dxa"/>
            <w:tcBorders>
              <w:top w:val="nil"/>
              <w:left w:val="nil"/>
              <w:bottom w:val="single" w:color="auto" w:sz="4" w:space="0"/>
              <w:right w:val="single" w:color="auto" w:sz="4" w:space="0"/>
            </w:tcBorders>
            <w:vAlign w:val="center"/>
          </w:tcPr>
          <w:p w14:paraId="3DD5D4A8">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5000≤Z＜10000</w:t>
            </w:r>
          </w:p>
        </w:tc>
        <w:tc>
          <w:tcPr>
            <w:tcW w:w="1570" w:type="dxa"/>
            <w:tcBorders>
              <w:top w:val="nil"/>
              <w:left w:val="nil"/>
              <w:bottom w:val="single" w:color="auto" w:sz="4" w:space="0"/>
              <w:right w:val="single" w:color="auto" w:sz="4" w:space="0"/>
            </w:tcBorders>
            <w:vAlign w:val="center"/>
          </w:tcPr>
          <w:p w14:paraId="4F4BF597">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2000≤Y＜5000</w:t>
            </w:r>
          </w:p>
        </w:tc>
        <w:tc>
          <w:tcPr>
            <w:tcW w:w="1009" w:type="dxa"/>
            <w:tcBorders>
              <w:top w:val="nil"/>
              <w:left w:val="nil"/>
              <w:bottom w:val="single" w:color="auto" w:sz="4" w:space="0"/>
              <w:right w:val="single" w:color="auto" w:sz="4" w:space="0"/>
            </w:tcBorders>
            <w:vAlign w:val="center"/>
          </w:tcPr>
          <w:p w14:paraId="3019836A">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Y＜2000</w:t>
            </w:r>
          </w:p>
        </w:tc>
      </w:tr>
      <w:tr w14:paraId="0AB24B8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C4BB060">
            <w:pPr>
              <w:widowControl/>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物业管理</w:t>
            </w:r>
          </w:p>
        </w:tc>
        <w:tc>
          <w:tcPr>
            <w:tcW w:w="1701" w:type="dxa"/>
            <w:tcBorders>
              <w:top w:val="nil"/>
              <w:left w:val="nil"/>
              <w:bottom w:val="single" w:color="auto" w:sz="4" w:space="0"/>
              <w:right w:val="single" w:color="auto" w:sz="4" w:space="0"/>
            </w:tcBorders>
            <w:vAlign w:val="center"/>
          </w:tcPr>
          <w:p w14:paraId="4EB9FAF6">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4FDD9006">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人</w:t>
            </w:r>
          </w:p>
        </w:tc>
        <w:tc>
          <w:tcPr>
            <w:tcW w:w="1846" w:type="dxa"/>
            <w:tcBorders>
              <w:top w:val="nil"/>
              <w:left w:val="nil"/>
              <w:bottom w:val="single" w:color="auto" w:sz="4" w:space="0"/>
              <w:right w:val="single" w:color="auto" w:sz="4" w:space="0"/>
            </w:tcBorders>
            <w:vAlign w:val="center"/>
          </w:tcPr>
          <w:p w14:paraId="01EB1C29">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33A40C8A">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100≤X＜300</w:t>
            </w:r>
          </w:p>
        </w:tc>
        <w:tc>
          <w:tcPr>
            <w:tcW w:w="1009" w:type="dxa"/>
            <w:tcBorders>
              <w:top w:val="nil"/>
              <w:left w:val="nil"/>
              <w:bottom w:val="single" w:color="auto" w:sz="4" w:space="0"/>
              <w:right w:val="single" w:color="auto" w:sz="4" w:space="0"/>
            </w:tcBorders>
            <w:vAlign w:val="center"/>
          </w:tcPr>
          <w:p w14:paraId="3781D417">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X＜100</w:t>
            </w:r>
          </w:p>
        </w:tc>
      </w:tr>
      <w:tr w14:paraId="26B7DFB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50927DA">
            <w:pPr>
              <w:widowControl/>
              <w:jc w:val="left"/>
              <w:rPr>
                <w:rFonts w:ascii="Times New Roman" w:hAnsi="Times New Roman" w:eastAsia="宋体" w:cs="Times New Roman"/>
                <w:color w:val="auto"/>
                <w:szCs w:val="21"/>
                <w:highlight w:val="none"/>
              </w:rPr>
            </w:pPr>
          </w:p>
        </w:tc>
        <w:tc>
          <w:tcPr>
            <w:tcW w:w="1701" w:type="dxa"/>
            <w:tcBorders>
              <w:top w:val="nil"/>
              <w:left w:val="nil"/>
              <w:bottom w:val="single" w:color="auto" w:sz="4" w:space="0"/>
              <w:right w:val="single" w:color="auto" w:sz="4" w:space="0"/>
            </w:tcBorders>
            <w:vAlign w:val="center"/>
          </w:tcPr>
          <w:p w14:paraId="7B4AC8E8">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7F0A7014">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万元</w:t>
            </w:r>
          </w:p>
        </w:tc>
        <w:tc>
          <w:tcPr>
            <w:tcW w:w="1846" w:type="dxa"/>
            <w:tcBorders>
              <w:top w:val="nil"/>
              <w:left w:val="nil"/>
              <w:bottom w:val="single" w:color="auto" w:sz="4" w:space="0"/>
              <w:right w:val="single" w:color="auto" w:sz="4" w:space="0"/>
            </w:tcBorders>
            <w:vAlign w:val="center"/>
          </w:tcPr>
          <w:p w14:paraId="4E7A9C96">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1000≤Y＜5000</w:t>
            </w:r>
          </w:p>
        </w:tc>
        <w:tc>
          <w:tcPr>
            <w:tcW w:w="1570" w:type="dxa"/>
            <w:tcBorders>
              <w:top w:val="nil"/>
              <w:left w:val="nil"/>
              <w:bottom w:val="single" w:color="auto" w:sz="4" w:space="0"/>
              <w:right w:val="single" w:color="auto" w:sz="4" w:space="0"/>
            </w:tcBorders>
            <w:vAlign w:val="center"/>
          </w:tcPr>
          <w:p w14:paraId="50D600EE">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500≤Y＜1000</w:t>
            </w:r>
          </w:p>
        </w:tc>
        <w:tc>
          <w:tcPr>
            <w:tcW w:w="1009" w:type="dxa"/>
            <w:tcBorders>
              <w:top w:val="nil"/>
              <w:left w:val="nil"/>
              <w:bottom w:val="single" w:color="auto" w:sz="4" w:space="0"/>
              <w:right w:val="single" w:color="auto" w:sz="4" w:space="0"/>
            </w:tcBorders>
            <w:vAlign w:val="center"/>
          </w:tcPr>
          <w:p w14:paraId="3CEE8D84">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Y＜500</w:t>
            </w:r>
          </w:p>
        </w:tc>
      </w:tr>
      <w:tr w14:paraId="6942052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70F26E1">
            <w:pPr>
              <w:widowControl/>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租赁和商务服务业</w:t>
            </w:r>
          </w:p>
        </w:tc>
        <w:tc>
          <w:tcPr>
            <w:tcW w:w="1701" w:type="dxa"/>
            <w:tcBorders>
              <w:top w:val="nil"/>
              <w:left w:val="nil"/>
              <w:bottom w:val="single" w:color="auto" w:sz="4" w:space="0"/>
              <w:right w:val="single" w:color="auto" w:sz="4" w:space="0"/>
            </w:tcBorders>
            <w:vAlign w:val="center"/>
          </w:tcPr>
          <w:p w14:paraId="1B53820C">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6DB0C705">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人</w:t>
            </w:r>
          </w:p>
        </w:tc>
        <w:tc>
          <w:tcPr>
            <w:tcW w:w="1846" w:type="dxa"/>
            <w:tcBorders>
              <w:top w:val="nil"/>
              <w:left w:val="nil"/>
              <w:bottom w:val="single" w:color="auto" w:sz="4" w:space="0"/>
              <w:right w:val="single" w:color="auto" w:sz="4" w:space="0"/>
            </w:tcBorders>
            <w:vAlign w:val="center"/>
          </w:tcPr>
          <w:p w14:paraId="31D001A7">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100≤X＜300</w:t>
            </w:r>
          </w:p>
        </w:tc>
        <w:tc>
          <w:tcPr>
            <w:tcW w:w="1570" w:type="dxa"/>
            <w:tcBorders>
              <w:top w:val="nil"/>
              <w:left w:val="nil"/>
              <w:bottom w:val="single" w:color="auto" w:sz="4" w:space="0"/>
              <w:right w:val="single" w:color="auto" w:sz="4" w:space="0"/>
            </w:tcBorders>
            <w:vAlign w:val="center"/>
          </w:tcPr>
          <w:p w14:paraId="13DC40CF">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10≤X＜100</w:t>
            </w:r>
          </w:p>
        </w:tc>
        <w:tc>
          <w:tcPr>
            <w:tcW w:w="1009" w:type="dxa"/>
            <w:tcBorders>
              <w:top w:val="nil"/>
              <w:left w:val="nil"/>
              <w:bottom w:val="single" w:color="auto" w:sz="4" w:space="0"/>
              <w:right w:val="single" w:color="auto" w:sz="4" w:space="0"/>
            </w:tcBorders>
            <w:vAlign w:val="center"/>
          </w:tcPr>
          <w:p w14:paraId="03AEF036">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X＜10</w:t>
            </w:r>
          </w:p>
        </w:tc>
      </w:tr>
      <w:tr w14:paraId="070AB22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4CBC810">
            <w:pPr>
              <w:widowControl/>
              <w:jc w:val="left"/>
              <w:rPr>
                <w:rFonts w:ascii="Times New Roman" w:hAnsi="Times New Roman" w:eastAsia="宋体" w:cs="Times New Roman"/>
                <w:color w:val="auto"/>
                <w:szCs w:val="21"/>
                <w:highlight w:val="none"/>
              </w:rPr>
            </w:pPr>
          </w:p>
        </w:tc>
        <w:tc>
          <w:tcPr>
            <w:tcW w:w="1701" w:type="dxa"/>
            <w:tcBorders>
              <w:top w:val="nil"/>
              <w:left w:val="nil"/>
              <w:bottom w:val="single" w:color="auto" w:sz="4" w:space="0"/>
              <w:right w:val="single" w:color="auto" w:sz="4" w:space="0"/>
            </w:tcBorders>
            <w:vAlign w:val="center"/>
          </w:tcPr>
          <w:p w14:paraId="38C6D811">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3F5BDE3D">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万元</w:t>
            </w:r>
          </w:p>
        </w:tc>
        <w:tc>
          <w:tcPr>
            <w:tcW w:w="1846" w:type="dxa"/>
            <w:tcBorders>
              <w:top w:val="nil"/>
              <w:left w:val="nil"/>
              <w:bottom w:val="single" w:color="auto" w:sz="4" w:space="0"/>
              <w:right w:val="single" w:color="auto" w:sz="4" w:space="0"/>
            </w:tcBorders>
            <w:vAlign w:val="center"/>
          </w:tcPr>
          <w:p w14:paraId="4269B0BD">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8000≤Z＜120000</w:t>
            </w:r>
          </w:p>
        </w:tc>
        <w:tc>
          <w:tcPr>
            <w:tcW w:w="1570" w:type="dxa"/>
            <w:tcBorders>
              <w:top w:val="nil"/>
              <w:left w:val="nil"/>
              <w:bottom w:val="single" w:color="auto" w:sz="4" w:space="0"/>
              <w:right w:val="single" w:color="auto" w:sz="4" w:space="0"/>
            </w:tcBorders>
            <w:vAlign w:val="center"/>
          </w:tcPr>
          <w:p w14:paraId="6BAE0FAF">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100≤Z＜8000</w:t>
            </w:r>
          </w:p>
        </w:tc>
        <w:tc>
          <w:tcPr>
            <w:tcW w:w="1009" w:type="dxa"/>
            <w:tcBorders>
              <w:top w:val="nil"/>
              <w:left w:val="nil"/>
              <w:bottom w:val="single" w:color="auto" w:sz="4" w:space="0"/>
              <w:right w:val="single" w:color="auto" w:sz="4" w:space="0"/>
            </w:tcBorders>
            <w:vAlign w:val="center"/>
          </w:tcPr>
          <w:p w14:paraId="0F9CA24A">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Y＜100</w:t>
            </w:r>
          </w:p>
        </w:tc>
      </w:tr>
      <w:tr w14:paraId="0212C0B3">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4061174C">
            <w:pPr>
              <w:widowControl/>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其他未列明行业</w:t>
            </w:r>
          </w:p>
        </w:tc>
        <w:tc>
          <w:tcPr>
            <w:tcW w:w="1701" w:type="dxa"/>
            <w:tcBorders>
              <w:top w:val="nil"/>
              <w:left w:val="nil"/>
              <w:bottom w:val="single" w:color="auto" w:sz="4" w:space="0"/>
              <w:right w:val="single" w:color="auto" w:sz="4" w:space="0"/>
            </w:tcBorders>
            <w:vAlign w:val="center"/>
          </w:tcPr>
          <w:p w14:paraId="67C7A0FD">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7077F6B4">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人</w:t>
            </w:r>
          </w:p>
        </w:tc>
        <w:tc>
          <w:tcPr>
            <w:tcW w:w="1846" w:type="dxa"/>
            <w:tcBorders>
              <w:top w:val="nil"/>
              <w:left w:val="nil"/>
              <w:bottom w:val="single" w:color="auto" w:sz="4" w:space="0"/>
              <w:right w:val="single" w:color="auto" w:sz="4" w:space="0"/>
            </w:tcBorders>
            <w:vAlign w:val="center"/>
          </w:tcPr>
          <w:p w14:paraId="45404DB4">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100≤X＜300</w:t>
            </w:r>
          </w:p>
        </w:tc>
        <w:tc>
          <w:tcPr>
            <w:tcW w:w="1570" w:type="dxa"/>
            <w:tcBorders>
              <w:top w:val="nil"/>
              <w:left w:val="nil"/>
              <w:bottom w:val="single" w:color="auto" w:sz="4" w:space="0"/>
              <w:right w:val="single" w:color="auto" w:sz="4" w:space="0"/>
            </w:tcBorders>
            <w:vAlign w:val="center"/>
          </w:tcPr>
          <w:p w14:paraId="4EF1C509">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10≤X＜100</w:t>
            </w:r>
          </w:p>
        </w:tc>
        <w:tc>
          <w:tcPr>
            <w:tcW w:w="1009" w:type="dxa"/>
            <w:tcBorders>
              <w:top w:val="nil"/>
              <w:left w:val="nil"/>
              <w:bottom w:val="single" w:color="auto" w:sz="4" w:space="0"/>
              <w:right w:val="single" w:color="auto" w:sz="4" w:space="0"/>
            </w:tcBorders>
            <w:vAlign w:val="center"/>
          </w:tcPr>
          <w:p w14:paraId="2C20D186">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X＜10</w:t>
            </w:r>
          </w:p>
        </w:tc>
      </w:tr>
    </w:tbl>
    <w:p w14:paraId="24773D4A">
      <w:pPr>
        <w:spacing w:line="360" w:lineRule="auto"/>
        <w:ind w:firstLine="525" w:firstLineChars="25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bookmarkEnd w:id="25"/>
    <w:p w14:paraId="12ECE18B">
      <w:pPr>
        <w:spacing w:line="360" w:lineRule="auto"/>
        <w:outlineLvl w:val="0"/>
        <w:rPr>
          <w:rFonts w:ascii="Times New Roman" w:hAnsi="Times New Roman" w:eastAsia="宋体" w:cs="Times New Roman"/>
          <w:color w:val="auto"/>
          <w:szCs w:val="21"/>
          <w:highlight w:val="none"/>
        </w:rPr>
        <w:sectPr>
          <w:pgSz w:w="11906" w:h="16838"/>
          <w:pgMar w:top="993" w:right="1133" w:bottom="1246" w:left="1418" w:header="851" w:footer="992" w:gutter="0"/>
          <w:cols w:space="720" w:num="1"/>
          <w:titlePg/>
          <w:docGrid w:linePitch="312" w:charSpace="0"/>
        </w:sectPr>
      </w:pPr>
    </w:p>
    <w:p w14:paraId="29F25B9D">
      <w:pPr>
        <w:spacing w:line="360" w:lineRule="auto"/>
        <w:rPr>
          <w:rFonts w:ascii="Times New Roman" w:hAnsi="Times New Roman" w:eastAsia="宋体" w:cs="Times New Roman"/>
          <w:color w:val="auto"/>
          <w:szCs w:val="21"/>
          <w:highlight w:val="none"/>
        </w:rPr>
      </w:pPr>
      <w:bookmarkStart w:id="26" w:name="_Hlk132878609"/>
    </w:p>
    <w:bookmarkEnd w:id="26"/>
    <w:p w14:paraId="51B1537A">
      <w:pPr>
        <w:spacing w:line="360" w:lineRule="auto"/>
        <w:ind w:firstLine="3200" w:firstLineChars="1000"/>
        <w:outlineLvl w:val="0"/>
        <w:rPr>
          <w:rFonts w:ascii="Times New Roman" w:hAnsi="Times New Roman" w:eastAsia="宋体" w:cs="Times New Roman"/>
          <w:color w:val="auto"/>
          <w:sz w:val="32"/>
          <w:szCs w:val="32"/>
          <w:highlight w:val="none"/>
        </w:rPr>
      </w:pPr>
      <w:bookmarkStart w:id="27" w:name="_Toc13402"/>
      <w:r>
        <w:rPr>
          <w:rFonts w:hint="eastAsia" w:ascii="Times New Roman" w:hAnsi="Times New Roman" w:eastAsia="宋体" w:cs="Times New Roman"/>
          <w:color w:val="auto"/>
          <w:sz w:val="32"/>
          <w:szCs w:val="32"/>
          <w:highlight w:val="none"/>
        </w:rPr>
        <w:t>第</w:t>
      </w:r>
      <w:r>
        <w:rPr>
          <w:rFonts w:ascii="Times New Roman" w:hAnsi="Times New Roman" w:eastAsia="宋体" w:cs="Times New Roman"/>
          <w:color w:val="auto"/>
          <w:sz w:val="32"/>
          <w:szCs w:val="32"/>
          <w:highlight w:val="none"/>
        </w:rPr>
        <w:t xml:space="preserve">三章  </w:t>
      </w:r>
      <w:r>
        <w:rPr>
          <w:rFonts w:hint="eastAsia" w:ascii="Times New Roman" w:hAnsi="Times New Roman" w:eastAsia="宋体" w:cs="Times New Roman"/>
          <w:color w:val="auto"/>
          <w:sz w:val="32"/>
          <w:szCs w:val="32"/>
          <w:highlight w:val="none"/>
        </w:rPr>
        <w:t>投标人</w:t>
      </w:r>
      <w:r>
        <w:rPr>
          <w:rFonts w:ascii="Times New Roman" w:hAnsi="Times New Roman" w:eastAsia="宋体" w:cs="Times New Roman"/>
          <w:color w:val="auto"/>
          <w:sz w:val="32"/>
          <w:szCs w:val="32"/>
          <w:highlight w:val="none"/>
        </w:rPr>
        <w:t>须知</w:t>
      </w:r>
      <w:bookmarkEnd w:id="27"/>
      <w:bookmarkStart w:id="28" w:name="_Toc254970667"/>
      <w:bookmarkStart w:id="29" w:name="_Toc254970526"/>
    </w:p>
    <w:p w14:paraId="1ADC4710">
      <w:pPr>
        <w:keepNext/>
        <w:keepLines/>
        <w:spacing w:before="40" w:after="40" w:line="413" w:lineRule="auto"/>
        <w:jc w:val="center"/>
        <w:outlineLvl w:val="1"/>
        <w:rPr>
          <w:rFonts w:ascii="Times New Roman" w:hAnsi="Times New Roman" w:eastAsia="宋体" w:cs="Times New Roman"/>
          <w:b/>
          <w:bCs/>
          <w:color w:val="auto"/>
          <w:sz w:val="24"/>
          <w:szCs w:val="24"/>
          <w:highlight w:val="none"/>
        </w:rPr>
      </w:pPr>
      <w:bookmarkStart w:id="30" w:name="_投标人须知前附表"/>
      <w:bookmarkEnd w:id="30"/>
      <w:bookmarkStart w:id="31" w:name="_Hlk89163557"/>
      <w:r>
        <w:rPr>
          <w:rFonts w:hint="eastAsia" w:ascii="Times New Roman" w:hAnsi="Times New Roman" w:eastAsia="宋体" w:cs="Times New Roman"/>
          <w:b/>
          <w:bCs/>
          <w:color w:val="auto"/>
          <w:sz w:val="24"/>
          <w:szCs w:val="24"/>
          <w:highlight w:val="none"/>
        </w:rPr>
        <w:t>投标人</w:t>
      </w:r>
      <w:r>
        <w:rPr>
          <w:rFonts w:ascii="Times New Roman" w:hAnsi="Times New Roman" w:eastAsia="宋体" w:cs="Times New Roman"/>
          <w:b/>
          <w:bCs/>
          <w:color w:val="auto"/>
          <w:sz w:val="24"/>
          <w:szCs w:val="24"/>
          <w:highlight w:val="none"/>
        </w:rPr>
        <w:t>须知前附表</w:t>
      </w:r>
      <w:bookmarkEnd w:id="28"/>
      <w:bookmarkEnd w:id="29"/>
    </w:p>
    <w:bookmarkEnd w:id="31"/>
    <w:tbl>
      <w:tblPr>
        <w:tblStyle w:val="43"/>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07A3F9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vAlign w:val="center"/>
          </w:tcPr>
          <w:p w14:paraId="0F9EFF31">
            <w:pPr>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vAlign w:val="center"/>
          </w:tcPr>
          <w:p w14:paraId="61B0AE20">
            <w:pPr>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vAlign w:val="center"/>
          </w:tcPr>
          <w:p w14:paraId="5214EBB9">
            <w:pPr>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内容、要求</w:t>
            </w:r>
          </w:p>
        </w:tc>
      </w:tr>
      <w:tr w14:paraId="702C5B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vAlign w:val="center"/>
          </w:tcPr>
          <w:p w14:paraId="38B47A95">
            <w:pPr>
              <w:spacing w:line="300" w:lineRule="exact"/>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1.3.1</w:t>
            </w:r>
          </w:p>
        </w:tc>
        <w:tc>
          <w:tcPr>
            <w:tcW w:w="1248" w:type="dxa"/>
            <w:tcBorders>
              <w:top w:val="single" w:color="auto" w:sz="4" w:space="0"/>
              <w:left w:val="single" w:color="auto" w:sz="4" w:space="0"/>
              <w:bottom w:val="single" w:color="auto" w:sz="4" w:space="0"/>
              <w:right w:val="single" w:color="auto" w:sz="4" w:space="0"/>
            </w:tcBorders>
            <w:vAlign w:val="center"/>
          </w:tcPr>
          <w:p w14:paraId="7ECF78EC">
            <w:pPr>
              <w:spacing w:line="3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vAlign w:val="center"/>
          </w:tcPr>
          <w:p w14:paraId="785EEAEB">
            <w:pPr>
              <w:spacing w:line="300" w:lineRule="exact"/>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项目名称：</w:t>
            </w:r>
            <w:r>
              <w:rPr>
                <w:rFonts w:hint="eastAsia" w:ascii="Times New Roman" w:hAnsi="Times New Roman" w:eastAsia="宋体" w:cs="Times New Roman"/>
                <w:color w:val="auto"/>
                <w:szCs w:val="21"/>
                <w:highlight w:val="none"/>
              </w:rPr>
              <w:t xml:space="preserve">武鸣校区通勤车运营服务 </w:t>
            </w:r>
          </w:p>
          <w:p w14:paraId="6C673CDE">
            <w:pPr>
              <w:spacing w:line="300" w:lineRule="exact"/>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项目编号：</w:t>
            </w:r>
            <w:r>
              <w:rPr>
                <w:rFonts w:hint="eastAsia" w:ascii="Times New Roman" w:hAnsi="Times New Roman" w:eastAsia="宋体" w:cs="Times New Roman"/>
                <w:color w:val="auto"/>
                <w:szCs w:val="21"/>
                <w:highlight w:val="none"/>
              </w:rPr>
              <w:t xml:space="preserve">GXZC2025-G3-001995-JDZB </w:t>
            </w:r>
          </w:p>
          <w:p w14:paraId="4F970875">
            <w:pPr>
              <w:spacing w:line="300" w:lineRule="exact"/>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采购计划号：广西政采[2025]11668号</w:t>
            </w:r>
          </w:p>
        </w:tc>
      </w:tr>
      <w:tr w14:paraId="0135EC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14:paraId="70BC4627">
            <w:pPr>
              <w:spacing w:line="300" w:lineRule="exact"/>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1.3.2</w:t>
            </w:r>
          </w:p>
        </w:tc>
        <w:tc>
          <w:tcPr>
            <w:tcW w:w="1248" w:type="dxa"/>
            <w:tcBorders>
              <w:top w:val="single" w:color="auto" w:sz="4" w:space="0"/>
              <w:left w:val="single" w:color="auto" w:sz="4" w:space="0"/>
              <w:bottom w:val="single" w:color="auto" w:sz="4" w:space="0"/>
              <w:right w:val="single" w:color="auto" w:sz="4" w:space="0"/>
            </w:tcBorders>
            <w:vAlign w:val="center"/>
          </w:tcPr>
          <w:p w14:paraId="01DC3331">
            <w:pPr>
              <w:spacing w:line="300" w:lineRule="exact"/>
              <w:jc w:val="center"/>
              <w:rPr>
                <w:rFonts w:ascii="Times New Roman" w:hAnsi="Times New Roman" w:eastAsia="宋体" w:cs="Times New Roman"/>
                <w:color w:val="auto"/>
                <w:szCs w:val="21"/>
                <w:highlight w:val="none"/>
                <w:lang w:val="zh-CN"/>
              </w:rPr>
            </w:pPr>
            <w:r>
              <w:rPr>
                <w:rFonts w:hint="eastAsia" w:ascii="Times New Roman" w:hAnsi="Times New Roman" w:eastAsia="宋体" w:cs="Times New Roman"/>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vAlign w:val="center"/>
          </w:tcPr>
          <w:p w14:paraId="77A49D5D">
            <w:pPr>
              <w:spacing w:line="300" w:lineRule="exact"/>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公开招标。</w:t>
            </w:r>
          </w:p>
        </w:tc>
      </w:tr>
      <w:tr w14:paraId="440DED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14:paraId="0CB82085">
            <w:pPr>
              <w:spacing w:line="300" w:lineRule="exact"/>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1.4</w:t>
            </w:r>
          </w:p>
        </w:tc>
        <w:tc>
          <w:tcPr>
            <w:tcW w:w="1248" w:type="dxa"/>
            <w:tcBorders>
              <w:top w:val="single" w:color="auto" w:sz="4" w:space="0"/>
              <w:left w:val="single" w:color="auto" w:sz="4" w:space="0"/>
              <w:bottom w:val="single" w:color="auto" w:sz="4" w:space="0"/>
              <w:right w:val="single" w:color="auto" w:sz="4" w:space="0"/>
            </w:tcBorders>
            <w:vAlign w:val="center"/>
          </w:tcPr>
          <w:p w14:paraId="0EC4452B">
            <w:pPr>
              <w:spacing w:line="300" w:lineRule="exact"/>
              <w:jc w:val="center"/>
              <w:rPr>
                <w:rFonts w:ascii="Times New Roman" w:hAnsi="Times New Roman" w:eastAsia="宋体" w:cs="Times New Roman"/>
                <w:color w:val="auto"/>
                <w:szCs w:val="21"/>
                <w:highlight w:val="none"/>
                <w:lang w:val="zh-CN"/>
              </w:rPr>
            </w:pPr>
            <w:r>
              <w:rPr>
                <w:rFonts w:hint="eastAsia" w:ascii="Times New Roman" w:hAnsi="Times New Roman" w:eastAsia="宋体" w:cs="Times New Roman"/>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vAlign w:val="center"/>
          </w:tcPr>
          <w:p w14:paraId="1A9E401A">
            <w:pPr>
              <w:spacing w:line="300" w:lineRule="exact"/>
              <w:jc w:val="left"/>
              <w:rPr>
                <w:rFonts w:ascii="Times New Roman" w:hAnsi="Times New Roman" w:eastAsia="宋体" w:cs="Times New Roman"/>
                <w:color w:val="auto"/>
                <w:szCs w:val="21"/>
                <w:highlight w:val="none"/>
              </w:rPr>
            </w:pPr>
            <w:r>
              <w:rPr>
                <w:rFonts w:ascii="Times New Roman" w:hAnsi="Times New Roman" w:eastAsia="宋体" w:cs="Times New Roman"/>
                <w:color w:val="auto"/>
                <w:kern w:val="0"/>
                <w:szCs w:val="21"/>
                <w:highlight w:val="none"/>
              </w:rPr>
              <w:t>本项目</w:t>
            </w:r>
            <w:r>
              <w:rPr>
                <w:rFonts w:hint="eastAsia" w:ascii="Times New Roman" w:hAnsi="Times New Roman" w:eastAsia="宋体" w:cs="Times New Roman"/>
                <w:color w:val="auto"/>
                <w:kern w:val="0"/>
                <w:szCs w:val="21"/>
                <w:highlight w:val="none"/>
              </w:rPr>
              <w:t>非专门面向中小微企业</w:t>
            </w:r>
            <w:r>
              <w:rPr>
                <w:rFonts w:hint="eastAsia" w:ascii="Times New Roman" w:hAnsi="Times New Roman" w:eastAsia="宋体" w:cs="Times New Roman"/>
                <w:color w:val="auto"/>
                <w:szCs w:val="21"/>
                <w:highlight w:val="none"/>
              </w:rPr>
              <w:t>。</w:t>
            </w:r>
          </w:p>
        </w:tc>
      </w:tr>
      <w:tr w14:paraId="48037F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655CB3E8">
            <w:pPr>
              <w:spacing w:line="300" w:lineRule="exact"/>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1.5.1</w:t>
            </w:r>
          </w:p>
        </w:tc>
        <w:tc>
          <w:tcPr>
            <w:tcW w:w="1248" w:type="dxa"/>
            <w:tcBorders>
              <w:top w:val="single" w:color="auto" w:sz="4" w:space="0"/>
              <w:left w:val="single" w:color="auto" w:sz="4" w:space="0"/>
              <w:bottom w:val="single" w:color="auto" w:sz="4" w:space="0"/>
              <w:right w:val="single" w:color="auto" w:sz="4" w:space="0"/>
            </w:tcBorders>
            <w:vAlign w:val="center"/>
          </w:tcPr>
          <w:p w14:paraId="306EA532">
            <w:pPr>
              <w:spacing w:line="30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lang w:val="zh-CN"/>
              </w:rPr>
              <w:t>资格条件</w:t>
            </w:r>
          </w:p>
        </w:tc>
        <w:tc>
          <w:tcPr>
            <w:tcW w:w="7229" w:type="dxa"/>
            <w:tcBorders>
              <w:top w:val="single" w:color="auto" w:sz="4" w:space="0"/>
              <w:left w:val="single" w:color="auto" w:sz="4" w:space="0"/>
              <w:bottom w:val="single" w:color="auto" w:sz="4" w:space="0"/>
              <w:right w:val="single" w:color="auto" w:sz="4" w:space="0"/>
            </w:tcBorders>
            <w:vAlign w:val="center"/>
          </w:tcPr>
          <w:p w14:paraId="1FC447CE">
            <w:pPr>
              <w:spacing w:line="300" w:lineRule="exact"/>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详</w:t>
            </w:r>
            <w:r>
              <w:rPr>
                <w:rFonts w:ascii="Times New Roman" w:hAnsi="Times New Roman" w:eastAsia="宋体" w:cs="Times New Roman"/>
                <w:color w:val="auto"/>
                <w:szCs w:val="21"/>
                <w:highlight w:val="none"/>
              </w:rPr>
              <w:t>见招标公告</w:t>
            </w:r>
            <w:r>
              <w:rPr>
                <w:rFonts w:hint="eastAsia" w:ascii="Times New Roman" w:hAnsi="Times New Roman" w:eastAsia="宋体" w:cs="Times New Roman"/>
                <w:color w:val="auto"/>
                <w:szCs w:val="21"/>
                <w:highlight w:val="none"/>
              </w:rPr>
              <w:t>。</w:t>
            </w:r>
          </w:p>
        </w:tc>
      </w:tr>
      <w:tr w14:paraId="44FA1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vAlign w:val="center"/>
          </w:tcPr>
          <w:p w14:paraId="492FFD68">
            <w:pPr>
              <w:spacing w:line="300" w:lineRule="exact"/>
              <w:jc w:val="center"/>
              <w:rPr>
                <w:rFonts w:ascii="Times New Roman" w:hAnsi="Times New Roman" w:eastAsia="宋体" w:cs="Times New Roman"/>
                <w:b/>
                <w:color w:val="auto"/>
                <w:szCs w:val="21"/>
                <w:highlight w:val="none"/>
              </w:rPr>
            </w:pPr>
            <w:bookmarkStart w:id="32" w:name="_Hlk85555568"/>
            <w:r>
              <w:rPr>
                <w:rFonts w:ascii="Times New Roman" w:hAnsi="Times New Roman" w:eastAsia="宋体" w:cs="Times New Roman"/>
                <w:b/>
                <w:color w:val="auto"/>
                <w:szCs w:val="21"/>
                <w:highlight w:val="none"/>
              </w:rPr>
              <w:t>1.</w:t>
            </w:r>
            <w:r>
              <w:rPr>
                <w:rFonts w:hint="eastAsia" w:ascii="Times New Roman" w:hAnsi="Times New Roman" w:eastAsia="宋体" w:cs="Times New Roman"/>
                <w:b/>
                <w:color w:val="auto"/>
                <w:szCs w:val="21"/>
                <w:highlight w:val="none"/>
              </w:rPr>
              <w:t>5</w:t>
            </w:r>
            <w:r>
              <w:rPr>
                <w:rFonts w:ascii="Times New Roman" w:hAnsi="Times New Roman" w:eastAsia="宋体" w:cs="Times New Roman"/>
                <w:b/>
                <w:color w:val="auto"/>
                <w:szCs w:val="21"/>
                <w:highlight w:val="none"/>
              </w:rPr>
              <w:t>.3</w:t>
            </w:r>
          </w:p>
        </w:tc>
        <w:tc>
          <w:tcPr>
            <w:tcW w:w="1248" w:type="dxa"/>
            <w:tcBorders>
              <w:top w:val="single" w:color="auto" w:sz="4" w:space="0"/>
              <w:left w:val="single" w:color="auto" w:sz="4" w:space="0"/>
              <w:right w:val="single" w:color="auto" w:sz="4" w:space="0"/>
            </w:tcBorders>
            <w:vAlign w:val="center"/>
          </w:tcPr>
          <w:p w14:paraId="51196D60">
            <w:pPr>
              <w:spacing w:line="30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联合体</w:t>
            </w:r>
          </w:p>
        </w:tc>
        <w:tc>
          <w:tcPr>
            <w:tcW w:w="7229" w:type="dxa"/>
            <w:tcBorders>
              <w:top w:val="single" w:color="auto" w:sz="4" w:space="0"/>
              <w:left w:val="single" w:color="auto" w:sz="4" w:space="0"/>
              <w:right w:val="single" w:color="auto" w:sz="4" w:space="0"/>
            </w:tcBorders>
            <w:vAlign w:val="center"/>
          </w:tcPr>
          <w:p w14:paraId="5785D99C">
            <w:pPr>
              <w:spacing w:line="300" w:lineRule="exact"/>
              <w:jc w:val="left"/>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1"/>
                <w:highlight w:val="none"/>
              </w:rPr>
              <w:t>不接受联合体投标</w:t>
            </w:r>
            <w:r>
              <w:rPr>
                <w:rFonts w:hint="eastAsia" w:ascii="Times New Roman" w:hAnsi="Times New Roman" w:eastAsia="宋体" w:cs="Times New Roman"/>
                <w:color w:val="auto"/>
                <w:szCs w:val="20"/>
                <w:highlight w:val="none"/>
              </w:rPr>
              <w:t>。</w:t>
            </w:r>
          </w:p>
        </w:tc>
      </w:tr>
      <w:bookmarkEnd w:id="32"/>
      <w:tr w14:paraId="1B5CC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4987F6DF">
            <w:pPr>
              <w:spacing w:line="300" w:lineRule="exact"/>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1.</w:t>
            </w:r>
            <w:r>
              <w:rPr>
                <w:rFonts w:hint="eastAsia" w:ascii="Times New Roman" w:hAnsi="Times New Roman" w:eastAsia="宋体" w:cs="Times New Roman"/>
                <w:b/>
                <w:color w:val="auto"/>
                <w:szCs w:val="21"/>
                <w:highlight w:val="none"/>
              </w:rPr>
              <w:t>6</w:t>
            </w:r>
          </w:p>
        </w:tc>
        <w:tc>
          <w:tcPr>
            <w:tcW w:w="1248" w:type="dxa"/>
            <w:tcBorders>
              <w:top w:val="single" w:color="auto" w:sz="4" w:space="0"/>
              <w:left w:val="single" w:color="auto" w:sz="4" w:space="0"/>
              <w:bottom w:val="single" w:color="auto" w:sz="4" w:space="0"/>
              <w:right w:val="single" w:color="auto" w:sz="4" w:space="0"/>
            </w:tcBorders>
            <w:vAlign w:val="center"/>
          </w:tcPr>
          <w:p w14:paraId="0016AAB9">
            <w:pPr>
              <w:spacing w:line="30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vAlign w:val="center"/>
          </w:tcPr>
          <w:p w14:paraId="00A0294B">
            <w:pPr>
              <w:spacing w:line="300" w:lineRule="exact"/>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否</w:t>
            </w:r>
          </w:p>
        </w:tc>
      </w:tr>
      <w:tr w14:paraId="4A982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737" w:type="dxa"/>
            <w:tcBorders>
              <w:top w:val="single" w:color="auto" w:sz="4" w:space="0"/>
              <w:left w:val="single" w:color="auto" w:sz="4" w:space="0"/>
              <w:bottom w:val="single" w:color="auto" w:sz="4" w:space="0"/>
              <w:right w:val="single" w:color="auto" w:sz="4" w:space="0"/>
            </w:tcBorders>
            <w:vAlign w:val="center"/>
          </w:tcPr>
          <w:p w14:paraId="51D3ACCE">
            <w:pPr>
              <w:spacing w:line="300" w:lineRule="exact"/>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1.7.2</w:t>
            </w:r>
          </w:p>
        </w:tc>
        <w:tc>
          <w:tcPr>
            <w:tcW w:w="1248" w:type="dxa"/>
            <w:tcBorders>
              <w:top w:val="single" w:color="auto" w:sz="4" w:space="0"/>
              <w:left w:val="single" w:color="auto" w:sz="4" w:space="0"/>
              <w:bottom w:val="single" w:color="auto" w:sz="4" w:space="0"/>
              <w:right w:val="single" w:color="auto" w:sz="4" w:space="0"/>
            </w:tcBorders>
            <w:vAlign w:val="center"/>
          </w:tcPr>
          <w:p w14:paraId="40992919">
            <w:pPr>
              <w:spacing w:line="3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4ECA868A">
            <w:pPr>
              <w:spacing w:line="300" w:lineRule="exact"/>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不接受 </w:t>
            </w:r>
          </w:p>
        </w:tc>
      </w:tr>
      <w:tr w14:paraId="0BA3E6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4A7E3899">
            <w:pPr>
              <w:spacing w:line="300" w:lineRule="exact"/>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vAlign w:val="center"/>
          </w:tcPr>
          <w:p w14:paraId="674E1887">
            <w:pPr>
              <w:spacing w:line="3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招标文件澄清、修改</w:t>
            </w:r>
          </w:p>
        </w:tc>
        <w:tc>
          <w:tcPr>
            <w:tcW w:w="7229" w:type="dxa"/>
            <w:tcBorders>
              <w:top w:val="single" w:color="auto" w:sz="4" w:space="0"/>
              <w:left w:val="single" w:color="auto" w:sz="4" w:space="0"/>
              <w:bottom w:val="single" w:color="auto" w:sz="4" w:space="0"/>
              <w:right w:val="single" w:color="auto" w:sz="4" w:space="0"/>
            </w:tcBorders>
            <w:vAlign w:val="center"/>
          </w:tcPr>
          <w:p w14:paraId="3A0FCFCE">
            <w:pPr>
              <w:spacing w:line="300" w:lineRule="exact"/>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在招标公告发布媒介发布</w:t>
            </w:r>
            <w:r>
              <w:rPr>
                <w:rFonts w:hint="eastAsia" w:ascii="Times New Roman" w:hAnsi="Times New Roman" w:eastAsia="宋体" w:cs="Times New Roman"/>
                <w:color w:val="auto"/>
                <w:szCs w:val="21"/>
                <w:highlight w:val="none"/>
              </w:rPr>
              <w:t>。</w:t>
            </w:r>
          </w:p>
        </w:tc>
      </w:tr>
      <w:tr w14:paraId="63A2CB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vAlign w:val="center"/>
          </w:tcPr>
          <w:p w14:paraId="29D7660F">
            <w:pPr>
              <w:spacing w:line="300" w:lineRule="exact"/>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vAlign w:val="center"/>
          </w:tcPr>
          <w:p w14:paraId="477303EC">
            <w:pPr>
              <w:spacing w:line="3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vAlign w:val="center"/>
          </w:tcPr>
          <w:p w14:paraId="226A5099">
            <w:pPr>
              <w:spacing w:line="300" w:lineRule="exact"/>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澄清、修改文件</w:t>
            </w:r>
            <w:r>
              <w:rPr>
                <w:rFonts w:hint="eastAsia" w:ascii="Times New Roman" w:hAnsi="Times New Roman" w:eastAsia="宋体" w:cs="Times New Roman"/>
                <w:color w:val="auto"/>
                <w:szCs w:val="21"/>
                <w:highlight w:val="none"/>
              </w:rPr>
              <w:t>自招标</w:t>
            </w:r>
            <w:r>
              <w:rPr>
                <w:rFonts w:ascii="Times New Roman" w:hAnsi="Times New Roman" w:eastAsia="宋体" w:cs="Times New Roman"/>
                <w:color w:val="auto"/>
                <w:szCs w:val="21"/>
                <w:highlight w:val="none"/>
              </w:rPr>
              <w:t>公告发布媒</w:t>
            </w:r>
            <w:r>
              <w:rPr>
                <w:rFonts w:hint="eastAsia" w:ascii="Times New Roman" w:hAnsi="Times New Roman" w:eastAsia="宋体" w:cs="Times New Roman"/>
                <w:color w:val="auto"/>
                <w:szCs w:val="21"/>
                <w:highlight w:val="none"/>
              </w:rPr>
              <w:t>体</w:t>
            </w:r>
            <w:r>
              <w:rPr>
                <w:rFonts w:ascii="Times New Roman" w:hAnsi="Times New Roman" w:eastAsia="宋体" w:cs="Times New Roman"/>
                <w:color w:val="auto"/>
                <w:szCs w:val="21"/>
                <w:highlight w:val="none"/>
              </w:rPr>
              <w:t>发布之日起，视为</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已收到该澄清、修改。</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未及时关注</w:t>
            </w:r>
            <w:r>
              <w:rPr>
                <w:rFonts w:hint="eastAsia" w:ascii="Times New Roman" w:hAnsi="Times New Roman" w:eastAsia="宋体" w:cs="Times New Roman"/>
                <w:color w:val="auto"/>
                <w:szCs w:val="21"/>
                <w:highlight w:val="none"/>
              </w:rPr>
              <w:t>招标</w:t>
            </w:r>
            <w:r>
              <w:rPr>
                <w:rFonts w:ascii="Times New Roman" w:hAnsi="Times New Roman" w:eastAsia="宋体" w:cs="Times New Roman"/>
                <w:color w:val="auto"/>
                <w:szCs w:val="21"/>
                <w:highlight w:val="none"/>
              </w:rPr>
              <w:t>公告发布媒</w:t>
            </w:r>
            <w:r>
              <w:rPr>
                <w:rFonts w:hint="eastAsia" w:ascii="Times New Roman" w:hAnsi="Times New Roman" w:eastAsia="宋体" w:cs="Times New Roman"/>
                <w:color w:val="auto"/>
                <w:szCs w:val="21"/>
                <w:highlight w:val="none"/>
              </w:rPr>
              <w:t>体</w:t>
            </w:r>
            <w:r>
              <w:rPr>
                <w:rFonts w:ascii="Times New Roman" w:hAnsi="Times New Roman" w:eastAsia="宋体" w:cs="Times New Roman"/>
                <w:color w:val="auto"/>
                <w:szCs w:val="21"/>
                <w:highlight w:val="none"/>
              </w:rPr>
              <w:t>造成的损失，由</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自行负责。</w:t>
            </w:r>
          </w:p>
        </w:tc>
      </w:tr>
      <w:tr w14:paraId="293095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vAlign w:val="center"/>
          </w:tcPr>
          <w:p w14:paraId="7768F056">
            <w:pPr>
              <w:spacing w:line="300" w:lineRule="exact"/>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3.4.1</w:t>
            </w:r>
          </w:p>
        </w:tc>
        <w:tc>
          <w:tcPr>
            <w:tcW w:w="1248" w:type="dxa"/>
            <w:tcBorders>
              <w:top w:val="single" w:color="auto" w:sz="4" w:space="0"/>
              <w:left w:val="single" w:color="auto" w:sz="4" w:space="0"/>
              <w:bottom w:val="single" w:color="auto" w:sz="4" w:space="0"/>
              <w:right w:val="single" w:color="auto" w:sz="4" w:space="0"/>
            </w:tcBorders>
            <w:vAlign w:val="center"/>
          </w:tcPr>
          <w:p w14:paraId="0FD911F3">
            <w:pPr>
              <w:spacing w:line="3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投标有效期</w:t>
            </w:r>
          </w:p>
        </w:tc>
        <w:tc>
          <w:tcPr>
            <w:tcW w:w="7229" w:type="dxa"/>
            <w:tcBorders>
              <w:top w:val="single" w:color="auto" w:sz="4" w:space="0"/>
              <w:left w:val="single" w:color="auto" w:sz="4" w:space="0"/>
              <w:bottom w:val="single" w:color="auto" w:sz="4" w:space="0"/>
              <w:right w:val="single" w:color="auto" w:sz="4" w:space="0"/>
            </w:tcBorders>
            <w:vAlign w:val="center"/>
          </w:tcPr>
          <w:p w14:paraId="159250C0">
            <w:pPr>
              <w:spacing w:line="300" w:lineRule="exact"/>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投标截止之日起90天。</w:t>
            </w:r>
          </w:p>
        </w:tc>
      </w:tr>
      <w:tr w14:paraId="08B82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47E1D2A9">
            <w:pPr>
              <w:spacing w:line="300" w:lineRule="exact"/>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3.5</w:t>
            </w:r>
          </w:p>
        </w:tc>
        <w:tc>
          <w:tcPr>
            <w:tcW w:w="1248" w:type="dxa"/>
            <w:tcBorders>
              <w:top w:val="single" w:color="auto" w:sz="4" w:space="0"/>
              <w:left w:val="single" w:color="auto" w:sz="4" w:space="0"/>
              <w:bottom w:val="single" w:color="auto" w:sz="4" w:space="0"/>
              <w:right w:val="single" w:color="auto" w:sz="4" w:space="0"/>
            </w:tcBorders>
            <w:vAlign w:val="center"/>
          </w:tcPr>
          <w:p w14:paraId="3D5B8997">
            <w:pPr>
              <w:spacing w:line="3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投标保证金</w:t>
            </w:r>
          </w:p>
        </w:tc>
        <w:tc>
          <w:tcPr>
            <w:tcW w:w="7229" w:type="dxa"/>
            <w:tcBorders>
              <w:top w:val="single" w:color="auto" w:sz="4" w:space="0"/>
              <w:left w:val="single" w:color="auto" w:sz="4" w:space="0"/>
              <w:bottom w:val="single" w:color="auto" w:sz="4" w:space="0"/>
              <w:right w:val="single" w:color="auto" w:sz="4" w:space="0"/>
            </w:tcBorders>
            <w:vAlign w:val="center"/>
          </w:tcPr>
          <w:p w14:paraId="7BBA4AC8">
            <w:pPr>
              <w:spacing w:line="312" w:lineRule="auto"/>
              <w:jc w:val="left"/>
              <w:rPr>
                <w:rFonts w:ascii="Times New Roman" w:hAnsi="Times New Roman" w:eastAsia="宋体" w:cs="Times New Roman"/>
                <w:color w:val="auto"/>
                <w:kern w:val="0"/>
                <w:szCs w:val="21"/>
                <w:highlight w:val="none"/>
              </w:rPr>
            </w:pPr>
            <w:r>
              <w:rPr>
                <w:rFonts w:ascii="Times New Roman" w:hAnsi="Times New Roman" w:eastAsia="宋体" w:cs="Times New Roman"/>
                <w:color w:val="auto"/>
                <w:szCs w:val="21"/>
                <w:highlight w:val="none"/>
              </w:rPr>
              <w:t>投标保证</w:t>
            </w:r>
            <w:r>
              <w:rPr>
                <w:rFonts w:hint="eastAsia" w:ascii="Times New Roman" w:hAnsi="Times New Roman" w:eastAsia="宋体" w:cs="Times New Roman"/>
                <w:color w:val="auto"/>
                <w:szCs w:val="21"/>
                <w:highlight w:val="none"/>
              </w:rPr>
              <w:t>金金额：人民币肆万元整（</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4</w:t>
            </w:r>
            <w:r>
              <w:rPr>
                <w:rFonts w:ascii="Times New Roman" w:hAnsi="Times New Roman" w:eastAsia="宋体" w:cs="Times New Roman"/>
                <w:color w:val="auto"/>
                <w:szCs w:val="21"/>
                <w:highlight w:val="none"/>
              </w:rPr>
              <w:t>0,000.00</w:t>
            </w:r>
            <w:r>
              <w:rPr>
                <w:rFonts w:hint="eastAsia" w:ascii="Times New Roman" w:hAnsi="Times New Roman" w:eastAsia="宋体" w:cs="Times New Roman"/>
                <w:color w:val="auto"/>
                <w:szCs w:val="21"/>
                <w:highlight w:val="none"/>
              </w:rPr>
              <w:t>）；</w:t>
            </w:r>
          </w:p>
          <w:p w14:paraId="34D3CE32">
            <w:pPr>
              <w:spacing w:line="300" w:lineRule="exact"/>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（1）缴纳方式一：</w:t>
            </w:r>
          </w:p>
          <w:p w14:paraId="3C9A319A">
            <w:pPr>
              <w:spacing w:line="300" w:lineRule="exact"/>
              <w:jc w:val="left"/>
              <w:rPr>
                <w:rFonts w:ascii="Times New Roman" w:hAnsi="Times New Roman" w:eastAsia="宋体" w:cs="Times New Roman"/>
                <w:color w:val="auto"/>
                <w:szCs w:val="21"/>
                <w:highlight w:val="none"/>
              </w:rPr>
            </w:pPr>
            <w:r>
              <w:rPr>
                <w:rFonts w:hint="eastAsia" w:ascii="宋体" w:hAnsi="宋体" w:eastAsia="宋体" w:cs="Times New Roman"/>
                <w:color w:val="auto"/>
                <w:szCs w:val="21"/>
                <w:highlight w:val="none"/>
              </w:rPr>
              <w:t>①</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应于</w:t>
            </w:r>
            <w:r>
              <w:rPr>
                <w:rFonts w:hint="eastAsia" w:ascii="Times New Roman" w:hAnsi="Times New Roman" w:eastAsia="宋体" w:cs="Times New Roman"/>
                <w:color w:val="auto"/>
                <w:szCs w:val="21"/>
                <w:highlight w:val="none"/>
              </w:rPr>
              <w:t>投标截止</w:t>
            </w:r>
            <w:r>
              <w:rPr>
                <w:rFonts w:ascii="Times New Roman" w:hAnsi="Times New Roman" w:eastAsia="宋体" w:cs="Times New Roman"/>
                <w:color w:val="auto"/>
                <w:szCs w:val="21"/>
                <w:highlight w:val="none"/>
              </w:rPr>
              <w:t>时间前将投标保证金以电汇、转账形式从</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账户一次性足额</w:t>
            </w:r>
            <w:r>
              <w:rPr>
                <w:rFonts w:hint="eastAsia" w:ascii="Times New Roman" w:hAnsi="Times New Roman" w:eastAsia="宋体" w:cs="Times New Roman"/>
                <w:color w:val="auto"/>
                <w:szCs w:val="21"/>
                <w:highlight w:val="none"/>
              </w:rPr>
              <w:t>缴</w:t>
            </w:r>
            <w:r>
              <w:rPr>
                <w:rFonts w:ascii="Times New Roman" w:hAnsi="Times New Roman" w:eastAsia="宋体" w:cs="Times New Roman"/>
                <w:color w:val="auto"/>
                <w:szCs w:val="21"/>
                <w:highlight w:val="none"/>
              </w:rPr>
              <w:t>纳至本项目对应的专用虚拟账号，所交纳的投标保证金仅限当次项目有效，不得重复替代使用。本项目投标保证金</w:t>
            </w:r>
            <w:r>
              <w:rPr>
                <w:rFonts w:hint="eastAsia" w:ascii="Times New Roman" w:hAnsi="Times New Roman" w:eastAsia="宋体" w:cs="Times New Roman"/>
                <w:color w:val="auto"/>
                <w:szCs w:val="21"/>
                <w:highlight w:val="none"/>
              </w:rPr>
              <w:t>缴</w:t>
            </w:r>
            <w:r>
              <w:rPr>
                <w:rFonts w:ascii="Times New Roman" w:hAnsi="Times New Roman" w:eastAsia="宋体" w:cs="Times New Roman"/>
                <w:color w:val="auto"/>
                <w:szCs w:val="21"/>
                <w:highlight w:val="none"/>
              </w:rPr>
              <w:t>纳专用虚拟账号信息</w:t>
            </w:r>
            <w:r>
              <w:rPr>
                <w:rFonts w:hint="eastAsia" w:ascii="Times New Roman" w:hAnsi="Times New Roman" w:eastAsia="宋体" w:cs="Times New Roman"/>
                <w:color w:val="auto"/>
                <w:szCs w:val="21"/>
                <w:highlight w:val="none"/>
              </w:rPr>
              <w:t>如下：</w:t>
            </w:r>
          </w:p>
          <w:p w14:paraId="026DA7D5">
            <w:pPr>
              <w:spacing w:line="300" w:lineRule="exact"/>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开户银行：平安银行南宁分行营业部</w:t>
            </w:r>
          </w:p>
          <w:p w14:paraId="43CC4369">
            <w:pPr>
              <w:spacing w:line="300" w:lineRule="exact"/>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开户名称：广西机电设备招标有限公司</w:t>
            </w:r>
          </w:p>
          <w:p w14:paraId="041D1298">
            <w:pPr>
              <w:spacing w:line="300" w:lineRule="exact"/>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开户账户：30210485912192</w:t>
            </w:r>
          </w:p>
          <w:p w14:paraId="397EBD3B">
            <w:pPr>
              <w:spacing w:line="300" w:lineRule="exact"/>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特别说明：本项目保证金采用虚拟账号，为保证投标保证金与项目一一对应，</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如</w:t>
            </w:r>
            <w:r>
              <w:rPr>
                <w:rFonts w:hint="eastAsia" w:ascii="Times New Roman" w:hAnsi="Times New Roman" w:eastAsia="宋体" w:cs="Times New Roman"/>
                <w:color w:val="auto"/>
                <w:szCs w:val="21"/>
                <w:highlight w:val="none"/>
              </w:rPr>
              <w:t>参加</w:t>
            </w:r>
            <w:r>
              <w:rPr>
                <w:rFonts w:ascii="Times New Roman" w:hAnsi="Times New Roman" w:eastAsia="宋体" w:cs="Times New Roman"/>
                <w:color w:val="auto"/>
                <w:szCs w:val="21"/>
                <w:highlight w:val="none"/>
              </w:rPr>
              <w:t>本项目多个</w:t>
            </w:r>
            <w:r>
              <w:rPr>
                <w:rFonts w:hint="eastAsia" w:ascii="Times New Roman" w:hAnsi="Times New Roman" w:eastAsia="宋体" w:cs="Times New Roman"/>
                <w:color w:val="auto"/>
                <w:szCs w:val="21"/>
                <w:highlight w:val="none"/>
              </w:rPr>
              <w:t>分标</w:t>
            </w:r>
            <w:r>
              <w:rPr>
                <w:rFonts w:ascii="Times New Roman" w:hAnsi="Times New Roman" w:eastAsia="宋体" w:cs="Times New Roman"/>
                <w:color w:val="auto"/>
                <w:szCs w:val="21"/>
                <w:highlight w:val="none"/>
              </w:rPr>
              <w:t>的</w:t>
            </w:r>
            <w:r>
              <w:rPr>
                <w:rFonts w:hint="eastAsia" w:ascii="Times New Roman" w:hAnsi="Times New Roman" w:eastAsia="宋体" w:cs="Times New Roman"/>
                <w:color w:val="auto"/>
                <w:szCs w:val="21"/>
                <w:highlight w:val="none"/>
              </w:rPr>
              <w:t>投标</w:t>
            </w:r>
            <w:r>
              <w:rPr>
                <w:rFonts w:ascii="Times New Roman" w:hAnsi="Times New Roman" w:eastAsia="宋体" w:cs="Times New Roman"/>
                <w:color w:val="auto"/>
                <w:szCs w:val="21"/>
                <w:highlight w:val="none"/>
              </w:rPr>
              <w:t>，应按各</w:t>
            </w:r>
            <w:r>
              <w:rPr>
                <w:rFonts w:hint="eastAsia" w:ascii="Times New Roman" w:hAnsi="Times New Roman" w:eastAsia="宋体" w:cs="Times New Roman"/>
                <w:color w:val="auto"/>
                <w:szCs w:val="21"/>
                <w:highlight w:val="none"/>
              </w:rPr>
              <w:t>分标</w:t>
            </w:r>
            <w:r>
              <w:rPr>
                <w:rFonts w:ascii="Times New Roman" w:hAnsi="Times New Roman" w:eastAsia="宋体" w:cs="Times New Roman"/>
                <w:color w:val="auto"/>
                <w:szCs w:val="21"/>
                <w:highlight w:val="none"/>
              </w:rPr>
              <w:t>对应的专用虚拟账号分别</w:t>
            </w:r>
            <w:r>
              <w:rPr>
                <w:rFonts w:hint="eastAsia" w:ascii="Times New Roman" w:hAnsi="Times New Roman" w:eastAsia="宋体" w:cs="Times New Roman"/>
                <w:color w:val="auto"/>
                <w:szCs w:val="21"/>
                <w:highlight w:val="none"/>
              </w:rPr>
              <w:t>缴纳</w:t>
            </w:r>
            <w:r>
              <w:rPr>
                <w:rFonts w:ascii="Times New Roman" w:hAnsi="Times New Roman" w:eastAsia="宋体" w:cs="Times New Roman"/>
                <w:color w:val="auto"/>
                <w:szCs w:val="21"/>
                <w:highlight w:val="none"/>
              </w:rPr>
              <w:t>投标保证金。</w:t>
            </w:r>
          </w:p>
          <w:p w14:paraId="4E2E4BBC">
            <w:pPr>
              <w:spacing w:line="300" w:lineRule="exact"/>
              <w:jc w:val="left"/>
              <w:rPr>
                <w:rFonts w:ascii="Times New Roman" w:hAnsi="Times New Roman" w:eastAsia="宋体" w:cs="Times New Roman"/>
                <w:color w:val="auto"/>
                <w:szCs w:val="21"/>
                <w:highlight w:val="none"/>
              </w:rPr>
            </w:pPr>
            <w:r>
              <w:rPr>
                <w:rFonts w:hint="eastAsia" w:ascii="宋体" w:hAnsi="宋体" w:eastAsia="宋体" w:cs="Times New Roman"/>
                <w:color w:val="auto"/>
                <w:szCs w:val="21"/>
                <w:highlight w:val="none"/>
              </w:rPr>
              <w:t>②</w:t>
            </w:r>
            <w:r>
              <w:rPr>
                <w:rFonts w:ascii="Times New Roman" w:hAnsi="Times New Roman" w:eastAsia="宋体" w:cs="Times New Roman"/>
                <w:color w:val="auto"/>
                <w:szCs w:val="21"/>
                <w:highlight w:val="none"/>
              </w:rPr>
              <w:t>投标保证金币种应与投标报价币种相同。</w:t>
            </w:r>
            <w:r>
              <w:rPr>
                <w:rFonts w:hint="eastAsia" w:ascii="Times New Roman" w:hAnsi="Times New Roman" w:eastAsia="宋体" w:cs="Times New Roman"/>
                <w:color w:val="auto"/>
                <w:szCs w:val="21"/>
                <w:highlight w:val="none"/>
              </w:rPr>
              <w:t>投标</w:t>
            </w:r>
            <w:r>
              <w:rPr>
                <w:rFonts w:ascii="Times New Roman" w:hAnsi="Times New Roman" w:eastAsia="宋体" w:cs="Times New Roman"/>
                <w:color w:val="auto"/>
                <w:szCs w:val="21"/>
                <w:highlight w:val="none"/>
              </w:rPr>
              <w:t>保证金</w:t>
            </w:r>
            <w:r>
              <w:rPr>
                <w:rFonts w:hint="eastAsia" w:ascii="Times New Roman" w:hAnsi="Times New Roman" w:eastAsia="宋体" w:cs="Times New Roman"/>
                <w:color w:val="auto"/>
                <w:szCs w:val="21"/>
                <w:highlight w:val="none"/>
              </w:rPr>
              <w:t>缴纳</w:t>
            </w:r>
            <w:r>
              <w:rPr>
                <w:rFonts w:ascii="Times New Roman" w:hAnsi="Times New Roman" w:eastAsia="宋体" w:cs="Times New Roman"/>
                <w:color w:val="auto"/>
                <w:szCs w:val="21"/>
                <w:highlight w:val="none"/>
              </w:rPr>
              <w:t>后无需开具收据，但必须在</w:t>
            </w:r>
            <w:r>
              <w:rPr>
                <w:rFonts w:hint="eastAsia" w:ascii="Times New Roman" w:hAnsi="Times New Roman" w:eastAsia="宋体" w:cs="Times New Roman"/>
                <w:color w:val="auto"/>
                <w:szCs w:val="21"/>
                <w:highlight w:val="none"/>
              </w:rPr>
              <w:t>投标</w:t>
            </w:r>
            <w:r>
              <w:rPr>
                <w:rFonts w:ascii="Times New Roman" w:hAnsi="Times New Roman" w:eastAsia="宋体" w:cs="Times New Roman"/>
                <w:color w:val="auto"/>
                <w:szCs w:val="21"/>
                <w:highlight w:val="none"/>
              </w:rPr>
              <w:t>截</w:t>
            </w:r>
            <w:r>
              <w:rPr>
                <w:rFonts w:hint="eastAsia" w:ascii="Times New Roman" w:hAnsi="Times New Roman" w:eastAsia="宋体" w:cs="Times New Roman"/>
                <w:color w:val="auto"/>
                <w:szCs w:val="21"/>
                <w:highlight w:val="none"/>
              </w:rPr>
              <w:t>止</w:t>
            </w:r>
            <w:r>
              <w:rPr>
                <w:rFonts w:ascii="Times New Roman" w:hAnsi="Times New Roman" w:eastAsia="宋体" w:cs="Times New Roman"/>
                <w:color w:val="auto"/>
                <w:szCs w:val="21"/>
                <w:highlight w:val="none"/>
              </w:rPr>
              <w:t>时间之前到达指定账号，其到账时间以银行确认的到账时间为准。</w:t>
            </w:r>
          </w:p>
          <w:p w14:paraId="611C5A30">
            <w:pPr>
              <w:spacing w:line="300" w:lineRule="exact"/>
              <w:jc w:val="left"/>
              <w:rPr>
                <w:rFonts w:ascii="Times New Roman" w:hAnsi="Times New Roman" w:eastAsia="宋体" w:cs="Times New Roman"/>
                <w:color w:val="auto"/>
                <w:szCs w:val="21"/>
                <w:highlight w:val="none"/>
              </w:rPr>
            </w:pPr>
            <w:r>
              <w:rPr>
                <w:rFonts w:hint="eastAsia" w:ascii="宋体" w:hAnsi="宋体" w:eastAsia="宋体" w:cs="Times New Roman"/>
                <w:color w:val="auto"/>
                <w:szCs w:val="21"/>
                <w:highlight w:val="none"/>
              </w:rPr>
              <w:t>③</w:t>
            </w:r>
            <w:r>
              <w:rPr>
                <w:rFonts w:ascii="Times New Roman" w:hAnsi="Times New Roman" w:eastAsia="宋体" w:cs="Times New Roman"/>
                <w:color w:val="auto"/>
                <w:szCs w:val="21"/>
                <w:highlight w:val="none"/>
              </w:rPr>
              <w:t>除</w:t>
            </w:r>
            <w:r>
              <w:rPr>
                <w:rFonts w:hint="eastAsia" w:ascii="Times New Roman" w:hAnsi="Times New Roman" w:eastAsia="宋体" w:cs="Times New Roman"/>
                <w:color w:val="auto"/>
                <w:szCs w:val="21"/>
                <w:highlight w:val="none"/>
              </w:rPr>
              <w:t>招标文件</w:t>
            </w:r>
            <w:r>
              <w:rPr>
                <w:rFonts w:ascii="Times New Roman" w:hAnsi="Times New Roman" w:eastAsia="宋体" w:cs="Times New Roman"/>
                <w:color w:val="auto"/>
                <w:szCs w:val="21"/>
                <w:highlight w:val="none"/>
              </w:rPr>
              <w:t>规定不予退还保证金的情形外，采购代理机构</w:t>
            </w:r>
            <w:r>
              <w:rPr>
                <w:rFonts w:hint="eastAsia" w:ascii="Times New Roman" w:hAnsi="Times New Roman" w:eastAsia="宋体" w:cs="Times New Roman"/>
                <w:color w:val="auto"/>
                <w:szCs w:val="21"/>
                <w:highlight w:val="none"/>
              </w:rPr>
              <w:t>在法定时间内通过银行原路</w:t>
            </w:r>
            <w:r>
              <w:rPr>
                <w:rFonts w:ascii="Times New Roman" w:hAnsi="Times New Roman" w:eastAsia="宋体" w:cs="Times New Roman"/>
                <w:color w:val="auto"/>
                <w:szCs w:val="21"/>
                <w:highlight w:val="none"/>
              </w:rPr>
              <w:t>退</w:t>
            </w:r>
            <w:r>
              <w:rPr>
                <w:rFonts w:hint="eastAsia" w:ascii="Times New Roman" w:hAnsi="Times New Roman" w:eastAsia="宋体" w:cs="Times New Roman"/>
                <w:color w:val="auto"/>
                <w:szCs w:val="21"/>
                <w:highlight w:val="none"/>
              </w:rPr>
              <w:t>还保证金至投标人缴纳账户。投标人</w:t>
            </w:r>
            <w:r>
              <w:rPr>
                <w:rFonts w:ascii="Times New Roman" w:hAnsi="Times New Roman" w:eastAsia="宋体" w:cs="Times New Roman"/>
                <w:color w:val="auto"/>
                <w:szCs w:val="21"/>
                <w:highlight w:val="none"/>
              </w:rPr>
              <w:t>自行承担</w:t>
            </w:r>
            <w:r>
              <w:rPr>
                <w:rFonts w:hint="eastAsia" w:ascii="Times New Roman" w:hAnsi="Times New Roman" w:eastAsia="宋体" w:cs="Times New Roman"/>
                <w:color w:val="auto"/>
                <w:szCs w:val="21"/>
                <w:highlight w:val="none"/>
              </w:rPr>
              <w:t>交纳保证金后未参加投标活动或投标保证金缴纳错误而</w:t>
            </w:r>
            <w:r>
              <w:rPr>
                <w:rFonts w:ascii="Times New Roman" w:hAnsi="Times New Roman" w:eastAsia="宋体" w:cs="Times New Roman"/>
                <w:color w:val="auto"/>
                <w:szCs w:val="21"/>
                <w:highlight w:val="none"/>
              </w:rPr>
              <w:t>导致</w:t>
            </w:r>
            <w:r>
              <w:rPr>
                <w:rFonts w:hint="eastAsia" w:ascii="Times New Roman" w:hAnsi="Times New Roman" w:eastAsia="宋体" w:cs="Times New Roman"/>
                <w:color w:val="auto"/>
                <w:szCs w:val="21"/>
                <w:highlight w:val="none"/>
              </w:rPr>
              <w:t>投标</w:t>
            </w:r>
            <w:r>
              <w:rPr>
                <w:rFonts w:ascii="Times New Roman" w:hAnsi="Times New Roman" w:eastAsia="宋体" w:cs="Times New Roman"/>
                <w:color w:val="auto"/>
                <w:szCs w:val="21"/>
                <w:highlight w:val="none"/>
              </w:rPr>
              <w:t>保证金无法及时退还的责任</w:t>
            </w:r>
            <w:r>
              <w:rPr>
                <w:rFonts w:hint="eastAsia" w:ascii="Times New Roman" w:hAnsi="Times New Roman" w:eastAsia="宋体" w:cs="Times New Roman"/>
                <w:color w:val="auto"/>
                <w:szCs w:val="21"/>
                <w:highlight w:val="none"/>
              </w:rPr>
              <w:t>。</w:t>
            </w:r>
          </w:p>
          <w:p w14:paraId="17BCDD0D">
            <w:pPr>
              <w:spacing w:line="300" w:lineRule="exact"/>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（2）缴纳方式二：</w:t>
            </w:r>
          </w:p>
          <w:p w14:paraId="4378E7A1">
            <w:pPr>
              <w:spacing w:line="300" w:lineRule="exact"/>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投标人可</w:t>
            </w:r>
            <w:r>
              <w:rPr>
                <w:rFonts w:ascii="Times New Roman" w:hAnsi="Times New Roman" w:eastAsia="宋体" w:cs="Times New Roman"/>
                <w:color w:val="auto"/>
                <w:szCs w:val="21"/>
                <w:highlight w:val="none"/>
              </w:rPr>
              <w:t>于</w:t>
            </w:r>
            <w:r>
              <w:rPr>
                <w:rFonts w:hint="eastAsia" w:ascii="Times New Roman" w:hAnsi="Times New Roman" w:eastAsia="宋体" w:cs="Times New Roman"/>
                <w:color w:val="auto"/>
                <w:szCs w:val="21"/>
                <w:highlight w:val="none"/>
              </w:rPr>
              <w:t>投标截止</w:t>
            </w:r>
            <w:r>
              <w:rPr>
                <w:rFonts w:ascii="Times New Roman" w:hAnsi="Times New Roman" w:eastAsia="宋体" w:cs="Times New Roman"/>
                <w:color w:val="auto"/>
                <w:szCs w:val="21"/>
                <w:highlight w:val="none"/>
              </w:rPr>
              <w:t>时间前</w:t>
            </w:r>
            <w:r>
              <w:rPr>
                <w:rFonts w:hint="eastAsia" w:ascii="Times New Roman" w:hAnsi="Times New Roman" w:eastAsia="宋体" w:cs="Times New Roman"/>
                <w:color w:val="auto"/>
                <w:szCs w:val="21"/>
                <w:highlight w:val="none"/>
              </w:rPr>
              <w:t>选择其他非现金形式（担保保函或银行保函等）缴纳投标</w:t>
            </w:r>
            <w:r>
              <w:rPr>
                <w:rFonts w:ascii="Times New Roman" w:hAnsi="Times New Roman" w:eastAsia="宋体" w:cs="Times New Roman"/>
                <w:color w:val="auto"/>
                <w:szCs w:val="21"/>
                <w:highlight w:val="none"/>
              </w:rPr>
              <w:t>保证金</w:t>
            </w:r>
            <w:r>
              <w:rPr>
                <w:rFonts w:hint="eastAsia" w:ascii="Times New Roman" w:hAnsi="Times New Roman" w:eastAsia="宋体" w:cs="Times New Roman"/>
                <w:color w:val="auto"/>
                <w:szCs w:val="21"/>
                <w:highlight w:val="none"/>
              </w:rPr>
              <w:t>。</w:t>
            </w:r>
          </w:p>
          <w:p w14:paraId="105AF644">
            <w:pPr>
              <w:spacing w:line="300" w:lineRule="exact"/>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w:t>
            </w:r>
            <w:r>
              <w:rPr>
                <w:rFonts w:ascii="Times New Roman" w:hAnsi="Times New Roman" w:eastAsia="宋体" w:cs="Times New Roman"/>
                <w:color w:val="auto"/>
                <w:szCs w:val="21"/>
                <w:highlight w:val="none"/>
              </w:rPr>
              <w:t>财务部联系电话：0771-2821398</w:t>
            </w:r>
          </w:p>
          <w:p w14:paraId="0CA63BF7">
            <w:pPr>
              <w:spacing w:line="300" w:lineRule="exact"/>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（4）</w:t>
            </w:r>
            <w:r>
              <w:rPr>
                <w:rFonts w:ascii="Times New Roman" w:hAnsi="Times New Roman" w:eastAsia="宋体" w:cs="Times New Roman"/>
                <w:color w:val="auto"/>
                <w:szCs w:val="21"/>
                <w:highlight w:val="none"/>
              </w:rPr>
              <w:t>未按</w:t>
            </w:r>
            <w:r>
              <w:rPr>
                <w:rFonts w:hint="eastAsia" w:ascii="Times New Roman" w:hAnsi="Times New Roman" w:eastAsia="宋体" w:cs="Times New Roman"/>
                <w:color w:val="auto"/>
                <w:szCs w:val="21"/>
                <w:highlight w:val="none"/>
              </w:rPr>
              <w:t>以上</w:t>
            </w:r>
            <w:r>
              <w:rPr>
                <w:rFonts w:ascii="Times New Roman" w:hAnsi="Times New Roman" w:eastAsia="宋体" w:cs="Times New Roman"/>
                <w:color w:val="auto"/>
                <w:szCs w:val="21"/>
                <w:highlight w:val="none"/>
              </w:rPr>
              <w:t>要求</w:t>
            </w:r>
            <w:r>
              <w:rPr>
                <w:rFonts w:hint="eastAsia" w:ascii="Times New Roman" w:hAnsi="Times New Roman" w:eastAsia="宋体" w:cs="Times New Roman"/>
                <w:color w:val="auto"/>
                <w:szCs w:val="21"/>
                <w:highlight w:val="none"/>
              </w:rPr>
              <w:t>缴</w:t>
            </w:r>
            <w:r>
              <w:rPr>
                <w:rFonts w:ascii="Times New Roman" w:hAnsi="Times New Roman" w:eastAsia="宋体" w:cs="Times New Roman"/>
                <w:color w:val="auto"/>
                <w:szCs w:val="21"/>
                <w:highlight w:val="none"/>
              </w:rPr>
              <w:t>纳</w:t>
            </w:r>
            <w:r>
              <w:rPr>
                <w:rFonts w:hint="eastAsia" w:ascii="Times New Roman" w:hAnsi="Times New Roman" w:eastAsia="宋体" w:cs="Times New Roman"/>
                <w:color w:val="auto"/>
                <w:szCs w:val="21"/>
                <w:highlight w:val="none"/>
              </w:rPr>
              <w:t>投标</w:t>
            </w:r>
            <w:r>
              <w:rPr>
                <w:rFonts w:ascii="Times New Roman" w:hAnsi="Times New Roman" w:eastAsia="宋体" w:cs="Times New Roman"/>
                <w:color w:val="auto"/>
                <w:szCs w:val="21"/>
                <w:highlight w:val="none"/>
              </w:rPr>
              <w:t>保证金的</w:t>
            </w:r>
            <w:r>
              <w:rPr>
                <w:rFonts w:hint="eastAsia" w:ascii="Times New Roman" w:hAnsi="Times New Roman" w:eastAsia="宋体" w:cs="Times New Roman"/>
                <w:color w:val="auto"/>
                <w:szCs w:val="21"/>
                <w:highlight w:val="none"/>
              </w:rPr>
              <w:t>投标</w:t>
            </w:r>
            <w:r>
              <w:rPr>
                <w:rFonts w:ascii="Times New Roman" w:hAnsi="Times New Roman" w:eastAsia="宋体" w:cs="Times New Roman"/>
                <w:color w:val="auto"/>
                <w:szCs w:val="21"/>
                <w:highlight w:val="none"/>
              </w:rPr>
              <w:t>文件，将作无效投标文件处理。</w:t>
            </w:r>
          </w:p>
          <w:p w14:paraId="60571B1D">
            <w:pPr>
              <w:spacing w:line="300" w:lineRule="exact"/>
              <w:jc w:val="left"/>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rPr>
              <w:t>注：为保证投标保证金退还的及时性与便利性，鼓励优先采用方式一递交投标保证金。</w:t>
            </w:r>
          </w:p>
        </w:tc>
      </w:tr>
      <w:tr w14:paraId="200091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vAlign w:val="center"/>
          </w:tcPr>
          <w:p w14:paraId="1B4C75AC">
            <w:pPr>
              <w:spacing w:line="300" w:lineRule="exact"/>
              <w:jc w:val="center"/>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3</w:t>
            </w:r>
            <w:r>
              <w:rPr>
                <w:rFonts w:ascii="Times New Roman" w:hAnsi="Times New Roman" w:eastAsia="宋体" w:cs="Times New Roman"/>
                <w:b/>
                <w:color w:val="auto"/>
                <w:szCs w:val="21"/>
                <w:highlight w:val="none"/>
              </w:rPr>
              <w:t>.6</w:t>
            </w:r>
          </w:p>
        </w:tc>
        <w:tc>
          <w:tcPr>
            <w:tcW w:w="1248" w:type="dxa"/>
            <w:tcBorders>
              <w:top w:val="single" w:color="auto" w:sz="4" w:space="0"/>
              <w:left w:val="single" w:color="auto" w:sz="4" w:space="0"/>
              <w:right w:val="single" w:color="auto" w:sz="4" w:space="0"/>
            </w:tcBorders>
            <w:vAlign w:val="center"/>
          </w:tcPr>
          <w:p w14:paraId="5F4B04A0">
            <w:pPr>
              <w:spacing w:line="30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投标文件的编制</w:t>
            </w:r>
          </w:p>
        </w:tc>
        <w:tc>
          <w:tcPr>
            <w:tcW w:w="7229" w:type="dxa"/>
            <w:tcBorders>
              <w:top w:val="single" w:color="auto" w:sz="4" w:space="0"/>
              <w:left w:val="single" w:color="auto" w:sz="4" w:space="0"/>
              <w:right w:val="single" w:color="auto" w:sz="4" w:space="0"/>
            </w:tcBorders>
            <w:vAlign w:val="center"/>
          </w:tcPr>
          <w:p w14:paraId="5BFD505B">
            <w:pPr>
              <w:spacing w:line="300" w:lineRule="exact"/>
              <w:jc w:val="left"/>
              <w:rPr>
                <w:rFonts w:ascii="Times New Roman" w:hAnsi="Times New Roman" w:eastAsia="宋体" w:cs="Times New Roman"/>
                <w:color w:val="auto"/>
                <w:szCs w:val="21"/>
                <w:highlight w:val="none"/>
              </w:rPr>
            </w:pPr>
            <w:r>
              <w:rPr>
                <w:rFonts w:hint="eastAsia" w:ascii="Times New Roman" w:hAnsi="宋体" w:eastAsia="宋体" w:cs="Times New Roman"/>
                <w:color w:val="auto"/>
                <w:szCs w:val="21"/>
                <w:highlight w:val="none"/>
              </w:rPr>
              <w:t>投标文件应按第六章投标文件格式分别编制并使用下载的</w:t>
            </w:r>
            <w:r>
              <w:rPr>
                <w:rFonts w:hint="eastAsia" w:ascii="宋体" w:hAnsi="宋体" w:eastAsia="宋体" w:cs="宋体"/>
                <w:color w:val="auto"/>
                <w:kern w:val="0"/>
                <w:szCs w:val="21"/>
                <w:highlight w:val="none"/>
              </w:rPr>
              <w:t>广西政府采购云平台</w:t>
            </w:r>
            <w:r>
              <w:rPr>
                <w:rFonts w:hint="eastAsia" w:ascii="Times New Roman" w:hAnsi="宋体" w:eastAsia="宋体" w:cs="Times New Roman"/>
                <w:color w:val="auto"/>
                <w:szCs w:val="21"/>
                <w:highlight w:val="none"/>
              </w:rPr>
              <w:t>投标客户端制作并上传。</w:t>
            </w:r>
          </w:p>
        </w:tc>
      </w:tr>
      <w:tr w14:paraId="55503E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vAlign w:val="center"/>
          </w:tcPr>
          <w:p w14:paraId="50EABC90">
            <w:pPr>
              <w:spacing w:line="300" w:lineRule="exact"/>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3.7</w:t>
            </w:r>
          </w:p>
        </w:tc>
        <w:tc>
          <w:tcPr>
            <w:tcW w:w="1248" w:type="dxa"/>
            <w:tcBorders>
              <w:top w:val="single" w:color="auto" w:sz="4" w:space="0"/>
              <w:left w:val="single" w:color="auto" w:sz="4" w:space="0"/>
              <w:bottom w:val="single" w:color="auto" w:sz="4" w:space="0"/>
              <w:right w:val="single" w:color="auto" w:sz="4" w:space="0"/>
            </w:tcBorders>
            <w:vAlign w:val="center"/>
          </w:tcPr>
          <w:p w14:paraId="5850B222">
            <w:pPr>
              <w:spacing w:line="3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投标文件递交</w:t>
            </w:r>
            <w:r>
              <w:rPr>
                <w:rFonts w:hint="eastAsia" w:ascii="Times New Roman" w:hAnsi="Times New Roman" w:eastAsia="宋体" w:cs="Times New Roman"/>
                <w:color w:val="auto"/>
                <w:szCs w:val="21"/>
                <w:highlight w:val="none"/>
              </w:rPr>
              <w:t>截止时间及开标时间</w:t>
            </w:r>
          </w:p>
        </w:tc>
        <w:tc>
          <w:tcPr>
            <w:tcW w:w="7229" w:type="dxa"/>
            <w:tcBorders>
              <w:top w:val="single" w:color="auto" w:sz="4" w:space="0"/>
              <w:left w:val="single" w:color="auto" w:sz="4" w:space="0"/>
              <w:bottom w:val="single" w:color="auto" w:sz="4" w:space="0"/>
              <w:right w:val="single" w:color="auto" w:sz="4" w:space="0"/>
            </w:tcBorders>
            <w:vAlign w:val="center"/>
          </w:tcPr>
          <w:p w14:paraId="2ACEA9AE">
            <w:pPr>
              <w:spacing w:line="300" w:lineRule="exact"/>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kern w:val="0"/>
                <w:szCs w:val="21"/>
                <w:highlight w:val="none"/>
              </w:rPr>
              <w:t>见招标公告要求</w:t>
            </w:r>
            <w:r>
              <w:rPr>
                <w:rFonts w:hint="eastAsia" w:ascii="Times New Roman" w:hAnsi="Times New Roman" w:eastAsia="宋体" w:cs="Times New Roman"/>
                <w:color w:val="auto"/>
                <w:szCs w:val="21"/>
                <w:highlight w:val="none"/>
              </w:rPr>
              <w:t>。</w:t>
            </w:r>
          </w:p>
        </w:tc>
      </w:tr>
      <w:tr w14:paraId="7866AD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026ED0AC">
            <w:pPr>
              <w:spacing w:line="300" w:lineRule="exact"/>
              <w:jc w:val="center"/>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4</w:t>
            </w:r>
            <w:r>
              <w:rPr>
                <w:rFonts w:ascii="Times New Roman" w:hAnsi="Times New Roman" w:eastAsia="宋体" w:cs="Times New Roman"/>
                <w:b/>
                <w:color w:val="auto"/>
                <w:szCs w:val="21"/>
                <w:highlight w:val="none"/>
              </w:rPr>
              <w:t>.2</w:t>
            </w:r>
          </w:p>
        </w:tc>
        <w:tc>
          <w:tcPr>
            <w:tcW w:w="1248" w:type="dxa"/>
            <w:tcBorders>
              <w:top w:val="single" w:color="auto" w:sz="4" w:space="0"/>
              <w:left w:val="single" w:color="auto" w:sz="4" w:space="0"/>
              <w:bottom w:val="single" w:color="auto" w:sz="4" w:space="0"/>
              <w:right w:val="single" w:color="auto" w:sz="4" w:space="0"/>
            </w:tcBorders>
            <w:vAlign w:val="center"/>
          </w:tcPr>
          <w:p w14:paraId="7047F50D">
            <w:pPr>
              <w:spacing w:line="300" w:lineRule="exact"/>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1"/>
                <w:highlight w:val="none"/>
              </w:rPr>
              <w:t>备份投标文件</w:t>
            </w:r>
          </w:p>
        </w:tc>
        <w:tc>
          <w:tcPr>
            <w:tcW w:w="7229" w:type="dxa"/>
            <w:tcBorders>
              <w:top w:val="single" w:color="auto" w:sz="4" w:space="0"/>
              <w:left w:val="single" w:color="auto" w:sz="4" w:space="0"/>
              <w:bottom w:val="single" w:color="auto" w:sz="4" w:space="0"/>
              <w:right w:val="single" w:color="auto" w:sz="4" w:space="0"/>
            </w:tcBorders>
            <w:vAlign w:val="center"/>
          </w:tcPr>
          <w:p w14:paraId="1390F820">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本项目</w:t>
            </w:r>
            <w:r>
              <w:rPr>
                <w:rFonts w:ascii="Times New Roman" w:hAnsi="Times New Roman" w:eastAsia="宋体" w:cs="Times New Roman"/>
                <w:color w:val="auto"/>
                <w:sz w:val="22"/>
                <w:highlight w:val="none"/>
              </w:rPr>
              <w:sym w:font="Wingdings 2" w:char="F052"/>
            </w:r>
            <w:r>
              <w:rPr>
                <w:rFonts w:hint="eastAsia" w:ascii="Times New Roman" w:hAnsi="Times New Roman" w:eastAsia="宋体" w:cs="Times New Roman"/>
                <w:color w:val="auto"/>
                <w:szCs w:val="21"/>
                <w:highlight w:val="none"/>
              </w:rPr>
              <w:t>接受   □不接受</w:t>
            </w:r>
            <w:r>
              <w:rPr>
                <w:rFonts w:hint="eastAsia" w:ascii="宋体" w:hAnsi="宋体" w:eastAsia="宋体" w:cs="Times New Roman"/>
                <w:color w:val="auto"/>
                <w:szCs w:val="21"/>
                <w:highlight w:val="none"/>
              </w:rPr>
              <w:t>备份投标文件</w:t>
            </w:r>
          </w:p>
          <w:p w14:paraId="3B8BAC88">
            <w:pPr>
              <w:spacing w:line="276" w:lineRule="auto"/>
              <w:rPr>
                <w:rFonts w:ascii="Times New Roman" w:hAnsi="Times New Roman" w:eastAsia="宋体" w:cs="Times New Roman"/>
                <w:color w:val="auto"/>
                <w:sz w:val="22"/>
                <w:highlight w:val="none"/>
              </w:rPr>
            </w:pPr>
            <w:r>
              <w:rPr>
                <w:rFonts w:hint="eastAsia" w:ascii="宋体" w:hAnsi="宋体" w:eastAsia="宋体" w:cs="Times New Roman"/>
                <w:color w:val="auto"/>
                <w:szCs w:val="21"/>
                <w:highlight w:val="none"/>
              </w:rPr>
              <w:t>以</w:t>
            </w:r>
            <w:r>
              <w:rPr>
                <w:rFonts w:hint="eastAsia" w:ascii="宋体" w:hAnsi="宋体" w:eastAsia="宋体" w:cs="宋体"/>
                <w:color w:val="auto"/>
                <w:kern w:val="0"/>
                <w:szCs w:val="21"/>
                <w:highlight w:val="none"/>
              </w:rPr>
              <w:t>广西政府采购云平台</w:t>
            </w:r>
            <w:r>
              <w:rPr>
                <w:rFonts w:hint="eastAsia" w:ascii="宋体" w:hAnsi="宋体" w:eastAsia="宋体" w:cs="Times New Roman"/>
                <w:color w:val="auto"/>
                <w:szCs w:val="21"/>
                <w:highlight w:val="none"/>
              </w:rPr>
              <w:t>系统自动生成的备份文件为依据，当项目允许接受备份响应文件时，投标人才可以按规定上传备份响应文件。</w:t>
            </w:r>
          </w:p>
        </w:tc>
      </w:tr>
      <w:tr w14:paraId="45B57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160CAF05">
            <w:pPr>
              <w:spacing w:line="300" w:lineRule="exact"/>
              <w:jc w:val="center"/>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4</w:t>
            </w:r>
            <w:r>
              <w:rPr>
                <w:rFonts w:ascii="Times New Roman" w:hAnsi="Times New Roman" w:eastAsia="宋体" w:cs="Times New Roman"/>
                <w:b/>
                <w:color w:val="auto"/>
                <w:szCs w:val="21"/>
                <w:highlight w:val="none"/>
              </w:rPr>
              <w:t>.3</w:t>
            </w:r>
          </w:p>
        </w:tc>
        <w:tc>
          <w:tcPr>
            <w:tcW w:w="1248" w:type="dxa"/>
            <w:tcBorders>
              <w:top w:val="single" w:color="auto" w:sz="4" w:space="0"/>
              <w:left w:val="single" w:color="auto" w:sz="4" w:space="0"/>
              <w:bottom w:val="single" w:color="auto" w:sz="4" w:space="0"/>
              <w:right w:val="single" w:color="auto" w:sz="4" w:space="0"/>
            </w:tcBorders>
            <w:vAlign w:val="center"/>
          </w:tcPr>
          <w:p w14:paraId="7FA3192C">
            <w:pPr>
              <w:spacing w:line="30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vAlign w:val="center"/>
          </w:tcPr>
          <w:p w14:paraId="2F099C54">
            <w:pPr>
              <w:spacing w:line="276"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 w:val="22"/>
                <w:highlight w:val="none"/>
              </w:rPr>
              <w:sym w:font="Wingdings 2" w:char="F052"/>
            </w:r>
            <w:r>
              <w:rPr>
                <w:rFonts w:hint="eastAsia" w:ascii="Times New Roman" w:hAnsi="Times New Roman" w:eastAsia="宋体" w:cs="Times New Roman"/>
                <w:color w:val="auto"/>
                <w:szCs w:val="21"/>
                <w:highlight w:val="none"/>
              </w:rPr>
              <w:t>否   □是</w:t>
            </w:r>
          </w:p>
          <w:p w14:paraId="1EBF195C">
            <w:pPr>
              <w:spacing w:line="276" w:lineRule="auto"/>
              <w:rPr>
                <w:rFonts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1"/>
                <w:highlight w:val="none"/>
              </w:rPr>
              <w:t>演示内容：</w:t>
            </w:r>
            <w:r>
              <w:rPr>
                <w:rFonts w:hint="eastAsia"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p>
          <w:p w14:paraId="243CA5E8">
            <w:pPr>
              <w:spacing w:line="276" w:lineRule="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演示形式：</w:t>
            </w:r>
            <w:r>
              <w:rPr>
                <w:rFonts w:ascii="Times New Roman" w:hAnsi="Times New Roman" w:eastAsia="宋体" w:cs="Times New Roman"/>
                <w:color w:val="auto"/>
                <w:szCs w:val="21"/>
                <w:highlight w:val="none"/>
              </w:rPr>
              <w:t xml:space="preserve"> </w:t>
            </w:r>
          </w:p>
        </w:tc>
      </w:tr>
      <w:tr w14:paraId="23F26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5D245944">
            <w:pPr>
              <w:spacing w:line="300" w:lineRule="exact"/>
              <w:jc w:val="center"/>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4</w:t>
            </w:r>
            <w:r>
              <w:rPr>
                <w:rFonts w:ascii="Times New Roman" w:hAnsi="Times New Roman" w:eastAsia="宋体" w:cs="Times New Roman"/>
                <w:b/>
                <w:color w:val="auto"/>
                <w:szCs w:val="21"/>
                <w:highlight w:val="none"/>
              </w:rPr>
              <w:t>.4</w:t>
            </w:r>
          </w:p>
        </w:tc>
        <w:tc>
          <w:tcPr>
            <w:tcW w:w="1248" w:type="dxa"/>
            <w:tcBorders>
              <w:top w:val="single" w:color="auto" w:sz="4" w:space="0"/>
              <w:left w:val="single" w:color="auto" w:sz="4" w:space="0"/>
              <w:bottom w:val="single" w:color="auto" w:sz="4" w:space="0"/>
              <w:right w:val="single" w:color="auto" w:sz="4" w:space="0"/>
            </w:tcBorders>
            <w:vAlign w:val="center"/>
          </w:tcPr>
          <w:p w14:paraId="56816B3B">
            <w:pPr>
              <w:spacing w:line="30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vAlign w:val="center"/>
          </w:tcPr>
          <w:p w14:paraId="3DFB94FE">
            <w:pPr>
              <w:spacing w:line="276"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 w:val="24"/>
                <w:szCs w:val="24"/>
                <w:highlight w:val="none"/>
              </w:rPr>
              <w:sym w:font="Wingdings 2" w:char="F052"/>
            </w:r>
            <w:r>
              <w:rPr>
                <w:rFonts w:hint="eastAsia" w:ascii="Times New Roman" w:hAnsi="Times New Roman" w:eastAsia="宋体" w:cs="Times New Roman"/>
                <w:color w:val="auto"/>
                <w:szCs w:val="21"/>
                <w:highlight w:val="none"/>
              </w:rPr>
              <w:t>否   □是</w:t>
            </w:r>
          </w:p>
          <w:p w14:paraId="778FB6F3">
            <w:pPr>
              <w:spacing w:line="276" w:lineRule="auto"/>
              <w:rPr>
                <w:rFonts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1"/>
                <w:highlight w:val="none"/>
              </w:rPr>
              <w:t>样品制作的标准和要求：</w:t>
            </w:r>
            <w:r>
              <w:rPr>
                <w:rFonts w:hint="eastAsia"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p>
          <w:p w14:paraId="5F6A90F2">
            <w:pPr>
              <w:spacing w:line="276" w:lineRule="auto"/>
              <w:rPr>
                <w:rFonts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1"/>
                <w:highlight w:val="none"/>
              </w:rPr>
              <w:t>样品检测机构的要求：</w:t>
            </w:r>
            <w:r>
              <w:rPr>
                <w:rFonts w:hint="eastAsia"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p>
          <w:p w14:paraId="164779BF">
            <w:pPr>
              <w:spacing w:line="276" w:lineRule="auto"/>
              <w:rPr>
                <w:rFonts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1"/>
                <w:highlight w:val="none"/>
              </w:rPr>
              <w:t>检测内容：</w:t>
            </w:r>
            <w:r>
              <w:rPr>
                <w:rFonts w:hint="eastAsia"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p>
          <w:p w14:paraId="4F164218">
            <w:pPr>
              <w:spacing w:line="276" w:lineRule="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样品递交方式：</w:t>
            </w:r>
            <w:r>
              <w:rPr>
                <w:rFonts w:ascii="Times New Roman" w:hAnsi="Times New Roman" w:eastAsia="宋体" w:cs="Times New Roman"/>
                <w:color w:val="auto"/>
                <w:szCs w:val="21"/>
                <w:highlight w:val="none"/>
              </w:rPr>
              <w:t xml:space="preserve"> </w:t>
            </w:r>
          </w:p>
        </w:tc>
      </w:tr>
      <w:tr w14:paraId="2036A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251648D0">
            <w:pPr>
              <w:spacing w:line="300" w:lineRule="exact"/>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6.5</w:t>
            </w:r>
            <w:r>
              <w:rPr>
                <w:rFonts w:hint="eastAsia" w:ascii="Times New Roman" w:hAnsi="Times New Roman" w:eastAsia="宋体" w:cs="Times New Roman"/>
                <w:b/>
                <w:color w:val="auto"/>
                <w:szCs w:val="21"/>
                <w:highlight w:val="none"/>
              </w:rPr>
              <w:t>.1</w:t>
            </w:r>
          </w:p>
        </w:tc>
        <w:tc>
          <w:tcPr>
            <w:tcW w:w="1248" w:type="dxa"/>
            <w:tcBorders>
              <w:top w:val="single" w:color="auto" w:sz="4" w:space="0"/>
              <w:left w:val="single" w:color="auto" w:sz="4" w:space="0"/>
              <w:bottom w:val="single" w:color="auto" w:sz="4" w:space="0"/>
              <w:right w:val="single" w:color="auto" w:sz="4" w:space="0"/>
            </w:tcBorders>
            <w:vAlign w:val="center"/>
          </w:tcPr>
          <w:p w14:paraId="62F42B4D">
            <w:pPr>
              <w:spacing w:line="30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结果</w:t>
            </w:r>
            <w:r>
              <w:rPr>
                <w:rFonts w:ascii="Times New Roman" w:hAnsi="Times New Roman" w:eastAsia="宋体" w:cs="Times New Roman"/>
                <w:color w:val="auto"/>
                <w:szCs w:val="21"/>
                <w:highlight w:val="none"/>
              </w:rPr>
              <w:t>公告</w:t>
            </w:r>
          </w:p>
        </w:tc>
        <w:tc>
          <w:tcPr>
            <w:tcW w:w="7229" w:type="dxa"/>
            <w:tcBorders>
              <w:top w:val="single" w:color="auto" w:sz="4" w:space="0"/>
              <w:left w:val="single" w:color="auto" w:sz="4" w:space="0"/>
              <w:bottom w:val="single" w:color="auto" w:sz="4" w:space="0"/>
              <w:right w:val="single" w:color="auto" w:sz="4" w:space="0"/>
            </w:tcBorders>
            <w:vAlign w:val="center"/>
          </w:tcPr>
          <w:p w14:paraId="4C2E1DB6">
            <w:pPr>
              <w:spacing w:line="300" w:lineRule="exact"/>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采购代理机构在采购人依法确认中标人后2个工作日内在招标公告发布的媒体上发布</w:t>
            </w:r>
            <w:r>
              <w:rPr>
                <w:rFonts w:hint="eastAsia" w:ascii="Times New Roman" w:hAnsi="Times New Roman" w:eastAsia="宋体" w:cs="Times New Roman"/>
                <w:color w:val="auto"/>
                <w:szCs w:val="21"/>
                <w:highlight w:val="none"/>
              </w:rPr>
              <w:t>结果</w:t>
            </w:r>
            <w:r>
              <w:rPr>
                <w:rFonts w:ascii="Times New Roman" w:hAnsi="Times New Roman" w:eastAsia="宋体" w:cs="Times New Roman"/>
                <w:color w:val="auto"/>
                <w:szCs w:val="21"/>
                <w:highlight w:val="none"/>
              </w:rPr>
              <w:t>公告</w:t>
            </w:r>
            <w:r>
              <w:rPr>
                <w:rFonts w:hint="eastAsia" w:ascii="Times New Roman" w:hAnsi="Times New Roman" w:eastAsia="宋体" w:cs="Times New Roman"/>
                <w:color w:val="auto"/>
                <w:szCs w:val="21"/>
                <w:highlight w:val="none"/>
              </w:rPr>
              <w:t>。</w:t>
            </w:r>
          </w:p>
        </w:tc>
      </w:tr>
      <w:tr w14:paraId="3D0D0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6BF6D0EF">
            <w:pPr>
              <w:spacing w:line="300" w:lineRule="exact"/>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6.5.2</w:t>
            </w:r>
          </w:p>
        </w:tc>
        <w:tc>
          <w:tcPr>
            <w:tcW w:w="1248" w:type="dxa"/>
            <w:tcBorders>
              <w:top w:val="single" w:color="auto" w:sz="4" w:space="0"/>
              <w:left w:val="single" w:color="auto" w:sz="4" w:space="0"/>
              <w:bottom w:val="single" w:color="auto" w:sz="4" w:space="0"/>
              <w:right w:val="single" w:color="auto" w:sz="4" w:space="0"/>
            </w:tcBorders>
            <w:vAlign w:val="center"/>
          </w:tcPr>
          <w:p w14:paraId="76BA4274">
            <w:pPr>
              <w:spacing w:line="30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中标通知书</w:t>
            </w:r>
          </w:p>
        </w:tc>
        <w:tc>
          <w:tcPr>
            <w:tcW w:w="7229" w:type="dxa"/>
            <w:tcBorders>
              <w:top w:val="single" w:color="auto" w:sz="4" w:space="0"/>
              <w:left w:val="single" w:color="auto" w:sz="4" w:space="0"/>
              <w:bottom w:val="single" w:color="auto" w:sz="4" w:space="0"/>
              <w:right w:val="single" w:color="auto" w:sz="4" w:space="0"/>
            </w:tcBorders>
            <w:vAlign w:val="center"/>
          </w:tcPr>
          <w:p w14:paraId="6294500E">
            <w:pPr>
              <w:spacing w:line="300" w:lineRule="exact"/>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采购代理机构通过广西政府采购云平台发出</w:t>
            </w:r>
            <w:r>
              <w:rPr>
                <w:rFonts w:ascii="Times New Roman" w:hAnsi="Times New Roman" w:eastAsia="宋体" w:cs="Times New Roman"/>
                <w:color w:val="auto"/>
                <w:szCs w:val="21"/>
                <w:highlight w:val="none"/>
              </w:rPr>
              <w:t>中标通知书。</w:t>
            </w:r>
          </w:p>
          <w:p w14:paraId="6ED002EC">
            <w:pPr>
              <w:spacing w:line="300" w:lineRule="exact"/>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中标通知书在广西政府采购云平台推送之日起，视为中标人已收到，中标人自行承担未及时查收的后果。</w:t>
            </w:r>
          </w:p>
        </w:tc>
      </w:tr>
      <w:tr w14:paraId="6EE690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3922D21B">
            <w:pPr>
              <w:spacing w:line="300" w:lineRule="exact"/>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6.5.3</w:t>
            </w:r>
          </w:p>
        </w:tc>
        <w:tc>
          <w:tcPr>
            <w:tcW w:w="1248" w:type="dxa"/>
            <w:tcBorders>
              <w:top w:val="single" w:color="auto" w:sz="4" w:space="0"/>
              <w:left w:val="single" w:color="auto" w:sz="4" w:space="0"/>
              <w:bottom w:val="single" w:color="auto" w:sz="4" w:space="0"/>
              <w:right w:val="single" w:color="auto" w:sz="4" w:space="0"/>
            </w:tcBorders>
            <w:vAlign w:val="center"/>
          </w:tcPr>
          <w:p w14:paraId="07E331F9">
            <w:pPr>
              <w:spacing w:line="30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招标结果通知书</w:t>
            </w:r>
          </w:p>
        </w:tc>
        <w:tc>
          <w:tcPr>
            <w:tcW w:w="7229" w:type="dxa"/>
            <w:tcBorders>
              <w:top w:val="single" w:color="auto" w:sz="4" w:space="0"/>
              <w:left w:val="single" w:color="auto" w:sz="4" w:space="0"/>
              <w:bottom w:val="single" w:color="auto" w:sz="4" w:space="0"/>
              <w:right w:val="single" w:color="auto" w:sz="4" w:space="0"/>
            </w:tcBorders>
            <w:vAlign w:val="center"/>
          </w:tcPr>
          <w:p w14:paraId="3200E0F8">
            <w:pPr>
              <w:spacing w:line="300" w:lineRule="exact"/>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采购代理机构通过</w:t>
            </w:r>
            <w:r>
              <w:rPr>
                <w:rFonts w:hint="eastAsia" w:ascii="宋体" w:hAnsi="宋体" w:eastAsia="宋体" w:cs="宋体"/>
                <w:color w:val="auto"/>
                <w:kern w:val="0"/>
                <w:szCs w:val="21"/>
                <w:highlight w:val="none"/>
              </w:rPr>
              <w:t>广西政府采购云平台</w:t>
            </w:r>
            <w:r>
              <w:rPr>
                <w:rFonts w:hint="eastAsia" w:ascii="Times New Roman" w:hAnsi="Times New Roman" w:eastAsia="宋体" w:cs="Times New Roman"/>
                <w:color w:val="auto"/>
                <w:szCs w:val="21"/>
                <w:highlight w:val="none"/>
              </w:rPr>
              <w:t>发出招标结果</w:t>
            </w:r>
            <w:r>
              <w:rPr>
                <w:rFonts w:ascii="Times New Roman" w:hAnsi="Times New Roman" w:eastAsia="宋体" w:cs="Times New Roman"/>
                <w:color w:val="auto"/>
                <w:szCs w:val="21"/>
                <w:highlight w:val="none"/>
              </w:rPr>
              <w:t>通知书</w:t>
            </w:r>
          </w:p>
          <w:p w14:paraId="66C356D1">
            <w:pPr>
              <w:spacing w:line="300" w:lineRule="exact"/>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招标结果通知书在广西政府采购云平台推送之日起，视为中标人已收到，中标人自行承担未及时查收的后果。</w:t>
            </w:r>
          </w:p>
        </w:tc>
      </w:tr>
      <w:tr w14:paraId="38AE40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1E3413AA">
            <w:pPr>
              <w:spacing w:line="300" w:lineRule="exact"/>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8.1</w:t>
            </w:r>
          </w:p>
        </w:tc>
        <w:tc>
          <w:tcPr>
            <w:tcW w:w="1248" w:type="dxa"/>
            <w:tcBorders>
              <w:top w:val="single" w:color="auto" w:sz="4" w:space="0"/>
              <w:left w:val="single" w:color="auto" w:sz="4" w:space="0"/>
              <w:bottom w:val="single" w:color="auto" w:sz="4" w:space="0"/>
              <w:right w:val="single" w:color="auto" w:sz="4" w:space="0"/>
            </w:tcBorders>
            <w:vAlign w:val="center"/>
          </w:tcPr>
          <w:p w14:paraId="4EE313EF">
            <w:pPr>
              <w:spacing w:line="30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vAlign w:val="center"/>
          </w:tcPr>
          <w:p w14:paraId="788093FC">
            <w:pPr>
              <w:spacing w:line="300" w:lineRule="exact"/>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（1）投标人</w:t>
            </w:r>
            <w:r>
              <w:rPr>
                <w:rFonts w:ascii="Times New Roman" w:hAnsi="Times New Roman" w:eastAsia="宋体" w:cs="Times New Roman"/>
                <w:color w:val="auto"/>
                <w:szCs w:val="21"/>
                <w:highlight w:val="none"/>
              </w:rPr>
              <w:t>认为</w:t>
            </w:r>
            <w:r>
              <w:rPr>
                <w:rFonts w:hint="eastAsia" w:ascii="Times New Roman" w:hAnsi="Times New Roman" w:eastAsia="宋体" w:cs="Times New Roman"/>
                <w:color w:val="auto"/>
                <w:szCs w:val="21"/>
                <w:highlight w:val="none"/>
              </w:rPr>
              <w:t>招标文件</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采购</w:t>
            </w:r>
            <w:r>
              <w:rPr>
                <w:rFonts w:ascii="Times New Roman" w:hAnsi="Times New Roman" w:eastAsia="宋体" w:cs="Times New Roman"/>
                <w:color w:val="auto"/>
                <w:szCs w:val="21"/>
                <w:highlight w:val="none"/>
              </w:rPr>
              <w:t>过程、中标</w:t>
            </w:r>
            <w:r>
              <w:rPr>
                <w:rFonts w:hint="eastAsia" w:ascii="Times New Roman" w:hAnsi="Times New Roman" w:eastAsia="宋体" w:cs="Times New Roman"/>
                <w:color w:val="auto"/>
                <w:szCs w:val="21"/>
                <w:highlight w:val="none"/>
              </w:rPr>
              <w:t>或者成交</w:t>
            </w:r>
            <w:r>
              <w:rPr>
                <w:rFonts w:ascii="Times New Roman" w:hAnsi="Times New Roman" w:eastAsia="宋体" w:cs="Times New Roman"/>
                <w:color w:val="auto"/>
                <w:szCs w:val="21"/>
                <w:highlight w:val="none"/>
              </w:rPr>
              <w:t>结果使自己的权益受到损害的，可以在知道或者应知其权益受到损害之日起7个工作日内，</w:t>
            </w:r>
            <w:r>
              <w:rPr>
                <w:rFonts w:hint="eastAsia" w:ascii="Times New Roman" w:hAnsi="Times New Roman" w:eastAsia="宋体" w:cs="Times New Roman"/>
                <w:color w:val="auto"/>
                <w:szCs w:val="21"/>
                <w:highlight w:val="none"/>
              </w:rPr>
              <w:t>通过以下方式</w:t>
            </w:r>
            <w:r>
              <w:rPr>
                <w:rFonts w:ascii="Times New Roman" w:hAnsi="Times New Roman" w:eastAsia="宋体" w:cs="Times New Roman"/>
                <w:color w:val="auto"/>
                <w:szCs w:val="21"/>
                <w:highlight w:val="none"/>
              </w:rPr>
              <w:t>向采购人、采购代理机构提出质疑。提出质疑的</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必须是参与本项目采购活动的</w:t>
            </w:r>
            <w:r>
              <w:rPr>
                <w:rFonts w:hint="eastAsia" w:ascii="Times New Roman" w:hAnsi="Times New Roman" w:eastAsia="宋体" w:cs="Times New Roman"/>
                <w:color w:val="auto"/>
                <w:szCs w:val="21"/>
                <w:highlight w:val="none"/>
              </w:rPr>
              <w:t>投标人，并须在</w:t>
            </w:r>
            <w:r>
              <w:rPr>
                <w:rFonts w:ascii="Times New Roman" w:hAnsi="Times New Roman" w:eastAsia="宋体" w:cs="Times New Roman"/>
                <w:color w:val="auto"/>
                <w:szCs w:val="21"/>
                <w:highlight w:val="none"/>
              </w:rPr>
              <w:t>法定质疑期内一次性提出针对同一采购程序环节的质疑。质疑函应使用财政部发布的</w:t>
            </w:r>
            <w:r>
              <w:rPr>
                <w:rFonts w:hint="eastAsia" w:ascii="Times New Roman" w:hAnsi="Times New Roman" w:eastAsia="宋体" w:cs="Times New Roman"/>
                <w:color w:val="auto"/>
                <w:szCs w:val="21"/>
                <w:highlight w:val="none"/>
              </w:rPr>
              <w:t>政府采购投标人质疑函范本，并应按照“质疑函制作说明”进行制作。</w:t>
            </w:r>
          </w:p>
          <w:p w14:paraId="77BA146B">
            <w:pPr>
              <w:spacing w:line="300" w:lineRule="exact"/>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w:t>
            </w:r>
            <w:r>
              <w:rPr>
                <w:rFonts w:ascii="Times New Roman" w:hAnsi="Times New Roman" w:eastAsia="宋体" w:cs="Times New Roman"/>
                <w:color w:val="auto"/>
                <w:szCs w:val="21"/>
                <w:highlight w:val="none"/>
              </w:rPr>
              <w:t>本项目不接受传真、移动通信</w:t>
            </w:r>
            <w:r>
              <w:rPr>
                <w:rFonts w:hint="eastAsia" w:ascii="Times New Roman" w:hAnsi="Times New Roman" w:eastAsia="宋体" w:cs="Times New Roman"/>
                <w:color w:val="auto"/>
                <w:szCs w:val="21"/>
                <w:highlight w:val="none"/>
              </w:rPr>
              <w:t>、广西政府采购云平台</w:t>
            </w:r>
            <w:r>
              <w:rPr>
                <w:rFonts w:ascii="Times New Roman" w:hAnsi="Times New Roman" w:eastAsia="宋体" w:cs="Times New Roman"/>
                <w:color w:val="auto"/>
                <w:szCs w:val="21"/>
                <w:highlight w:val="none"/>
              </w:rPr>
              <w:t>等</w:t>
            </w:r>
            <w:r>
              <w:rPr>
                <w:rFonts w:hint="eastAsia" w:ascii="Times New Roman" w:hAnsi="Times New Roman" w:eastAsia="宋体" w:cs="Times New Roman"/>
                <w:color w:val="auto"/>
                <w:szCs w:val="21"/>
                <w:highlight w:val="none"/>
              </w:rPr>
              <w:t>方式</w:t>
            </w:r>
            <w:r>
              <w:rPr>
                <w:rFonts w:ascii="Times New Roman" w:hAnsi="Times New Roman" w:eastAsia="宋体" w:cs="Times New Roman"/>
                <w:color w:val="auto"/>
                <w:szCs w:val="21"/>
                <w:highlight w:val="none"/>
              </w:rPr>
              <w:t>送达的质疑材料</w:t>
            </w:r>
            <w:r>
              <w:rPr>
                <w:rFonts w:hint="eastAsia" w:ascii="Times New Roman" w:hAnsi="Times New Roman" w:eastAsia="宋体" w:cs="Times New Roman"/>
                <w:color w:val="auto"/>
                <w:szCs w:val="21"/>
                <w:highlight w:val="none"/>
              </w:rPr>
              <w:t>，投标人可通过现场或邮寄方式递交书面质疑材料。投标人应于质疑有效期内将质疑函原件递交或邮寄至招标公告中采购代理机构信息中的联系人。</w:t>
            </w:r>
          </w:p>
        </w:tc>
      </w:tr>
      <w:tr w14:paraId="319130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2" w:hRule="atLeast"/>
        </w:trPr>
        <w:tc>
          <w:tcPr>
            <w:tcW w:w="737" w:type="dxa"/>
            <w:tcBorders>
              <w:top w:val="single" w:color="auto" w:sz="4" w:space="0"/>
              <w:left w:val="single" w:color="auto" w:sz="4" w:space="0"/>
              <w:bottom w:val="single" w:color="auto" w:sz="4" w:space="0"/>
              <w:right w:val="single" w:color="auto" w:sz="4" w:space="0"/>
            </w:tcBorders>
            <w:vAlign w:val="center"/>
          </w:tcPr>
          <w:p w14:paraId="0FDB7A28">
            <w:pPr>
              <w:spacing w:line="300" w:lineRule="exact"/>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9.1</w:t>
            </w:r>
          </w:p>
        </w:tc>
        <w:tc>
          <w:tcPr>
            <w:tcW w:w="1248" w:type="dxa"/>
            <w:tcBorders>
              <w:top w:val="single" w:color="auto" w:sz="4" w:space="0"/>
              <w:left w:val="single" w:color="auto" w:sz="4" w:space="0"/>
              <w:bottom w:val="single" w:color="auto" w:sz="4" w:space="0"/>
              <w:right w:val="single" w:color="auto" w:sz="4" w:space="0"/>
            </w:tcBorders>
            <w:vAlign w:val="center"/>
          </w:tcPr>
          <w:p w14:paraId="71E9FEAF">
            <w:pPr>
              <w:spacing w:line="3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vAlign w:val="center"/>
          </w:tcPr>
          <w:p w14:paraId="4EA6FFC6">
            <w:pPr>
              <w:rPr>
                <w:rFonts w:ascii="Calibri" w:hAnsi="Calibri" w:eastAsia="宋体" w:cs="Times New Roman"/>
                <w:color w:val="auto"/>
                <w:szCs w:val="21"/>
                <w:highlight w:val="none"/>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szCs w:val="20"/>
                <w:highlight w:val="none"/>
              </w:rPr>
              <w:t>代理服务费</w:t>
            </w:r>
            <w:r>
              <w:rPr>
                <w:rFonts w:ascii="Calibri" w:hAnsi="Calibri" w:eastAsia="宋体" w:cs="Times New Roman"/>
                <w:color w:val="auto"/>
                <w:szCs w:val="21"/>
                <w:highlight w:val="none"/>
              </w:rPr>
              <w:t>按照原国家计委关于《招标代理服务收费管理暂行办法》的通知（计价格〔2002〕1980号）、《国家发展改革委办公厅关于招标代理服务收费有关问题的通知》（发改办价格［2003］857号）以及《国家发展改革委关于降低部分建设项目收费标准规范收费行为等有关问题的通知》（发改价格〔2011〕534号）的规定，</w:t>
            </w:r>
            <w:bookmarkStart w:id="33" w:name="_Hlk43886637"/>
            <w:r>
              <w:rPr>
                <w:rFonts w:ascii="Calibri" w:hAnsi="Calibri" w:eastAsia="宋体" w:cs="Times New Roman"/>
                <w:color w:val="auto"/>
                <w:szCs w:val="21"/>
                <w:highlight w:val="none"/>
              </w:rPr>
              <w:t>按差额定率累进法</w:t>
            </w:r>
            <w:r>
              <w:rPr>
                <w:rFonts w:hint="eastAsia" w:ascii="Calibri" w:hAnsi="Calibri" w:eastAsia="宋体" w:cs="Times New Roman"/>
                <w:color w:val="auto"/>
                <w:szCs w:val="21"/>
                <w:highlight w:val="none"/>
              </w:rPr>
              <w:t>下浮20%</w:t>
            </w:r>
            <w:r>
              <w:rPr>
                <w:rFonts w:ascii="Calibri" w:hAnsi="Calibri" w:eastAsia="宋体" w:cs="Times New Roman"/>
                <w:color w:val="auto"/>
                <w:szCs w:val="21"/>
                <w:highlight w:val="none"/>
              </w:rPr>
              <w:t>计算</w:t>
            </w:r>
            <w:r>
              <w:rPr>
                <w:rFonts w:hint="eastAsia" w:ascii="Calibri" w:hAnsi="Calibri" w:eastAsia="宋体" w:cs="Times New Roman"/>
                <w:color w:val="auto"/>
                <w:szCs w:val="21"/>
                <w:highlight w:val="none"/>
              </w:rPr>
              <w:t>（不足6000按6000算）</w:t>
            </w:r>
            <w:r>
              <w:rPr>
                <w:rFonts w:ascii="Calibri" w:hAnsi="Calibri" w:eastAsia="宋体" w:cs="Times New Roman"/>
                <w:color w:val="auto"/>
                <w:szCs w:val="21"/>
                <w:highlight w:val="none"/>
              </w:rPr>
              <w:t>。</w:t>
            </w:r>
            <w:bookmarkEnd w:id="33"/>
          </w:p>
          <w:p w14:paraId="5D31E945">
            <w:pPr>
              <w:spacing w:line="300" w:lineRule="exact"/>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（2）中标人在中标通知书发出前以银行转账或现金形式支付代理服务费；采购代理机构也可以从中标人的投标保证金中扣除上述金额的代理服务费，余款按</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所汇入投标保证金的账户原路退回，如无法原路返回，则按《代理服务费承诺书》列明的账户退回。</w:t>
            </w:r>
          </w:p>
          <w:p w14:paraId="5ECEDD06">
            <w:pPr>
              <w:spacing w:line="300" w:lineRule="exact"/>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开户银行：广西北部湾银行南宁市金湖支行</w:t>
            </w:r>
          </w:p>
          <w:p w14:paraId="41020AAB">
            <w:pPr>
              <w:spacing w:line="300" w:lineRule="exact"/>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（银行地址：南宁市金湖路57号文德大厦1楼）</w:t>
            </w:r>
          </w:p>
          <w:p w14:paraId="066013A6">
            <w:pPr>
              <w:spacing w:line="300" w:lineRule="exact"/>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开户名称：广西机电设备招标有限公司</w:t>
            </w:r>
          </w:p>
          <w:p w14:paraId="2EDE6C65">
            <w:pPr>
              <w:spacing w:line="300" w:lineRule="exact"/>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银行账号：1705012090027723 (联行号 313611017053)</w:t>
            </w:r>
          </w:p>
          <w:p w14:paraId="25F13529">
            <w:pPr>
              <w:spacing w:line="300" w:lineRule="exact"/>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财务联系人：吴茜（电话：0771-2821398）</w:t>
            </w:r>
          </w:p>
        </w:tc>
      </w:tr>
      <w:tr w14:paraId="7A580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vAlign w:val="center"/>
          </w:tcPr>
          <w:p w14:paraId="2A0DBA94">
            <w:pPr>
              <w:spacing w:line="300" w:lineRule="exact"/>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vAlign w:val="center"/>
          </w:tcPr>
          <w:p w14:paraId="6BBB7D21">
            <w:pPr>
              <w:spacing w:line="300" w:lineRule="exact"/>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vAlign w:val="center"/>
          </w:tcPr>
          <w:p w14:paraId="12BC5221">
            <w:pPr>
              <w:spacing w:line="276"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 w:val="22"/>
                <w:highlight w:val="none"/>
              </w:rPr>
              <w:sym w:font="Wingdings 2" w:char="F052"/>
            </w:r>
            <w:r>
              <w:rPr>
                <w:rFonts w:hint="eastAsia" w:ascii="Times New Roman" w:hAnsi="Times New Roman" w:eastAsia="宋体" w:cs="Times New Roman"/>
                <w:color w:val="auto"/>
                <w:szCs w:val="21"/>
                <w:highlight w:val="none"/>
              </w:rPr>
              <w:t>无</w:t>
            </w:r>
          </w:p>
          <w:p w14:paraId="5DA76845">
            <w:pPr>
              <w:spacing w:line="276" w:lineRule="auto"/>
              <w:rPr>
                <w:rFonts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1"/>
                <w:highlight w:val="none"/>
              </w:rPr>
              <w:t>□有，详见：</w:t>
            </w:r>
            <w:r>
              <w:rPr>
                <w:rFonts w:hint="eastAsia"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p>
        </w:tc>
      </w:tr>
      <w:tr w14:paraId="7414DC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vAlign w:val="center"/>
          </w:tcPr>
          <w:p w14:paraId="1DF736CE">
            <w:pPr>
              <w:spacing w:line="300" w:lineRule="exact"/>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vAlign w:val="center"/>
          </w:tcPr>
          <w:p w14:paraId="2FFE4D89">
            <w:pPr>
              <w:spacing w:line="300" w:lineRule="exact"/>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vAlign w:val="center"/>
          </w:tcPr>
          <w:p w14:paraId="49F14C4C">
            <w:pPr>
              <w:spacing w:line="276"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 w:val="22"/>
                <w:highlight w:val="none"/>
              </w:rPr>
              <w:sym w:font="Wingdings 2" w:char="F052"/>
            </w:r>
            <w:r>
              <w:rPr>
                <w:rFonts w:hint="eastAsia" w:ascii="Times New Roman" w:hAnsi="Times New Roman" w:eastAsia="宋体" w:cs="Times New Roman"/>
                <w:color w:val="auto"/>
                <w:szCs w:val="21"/>
                <w:highlight w:val="none"/>
              </w:rPr>
              <w:t>无</w:t>
            </w:r>
          </w:p>
          <w:p w14:paraId="4908DD0B">
            <w:pPr>
              <w:spacing w:line="276" w:lineRule="auto"/>
              <w:rPr>
                <w:rFonts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1"/>
                <w:highlight w:val="none"/>
              </w:rPr>
              <w:t>□有，详见：</w:t>
            </w:r>
            <w:r>
              <w:rPr>
                <w:rFonts w:hint="eastAsia"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p>
        </w:tc>
      </w:tr>
      <w:tr w14:paraId="7ADAA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737" w:type="dxa"/>
            <w:tcBorders>
              <w:top w:val="single" w:color="auto" w:sz="4" w:space="0"/>
              <w:left w:val="single" w:color="auto" w:sz="4" w:space="0"/>
              <w:bottom w:val="single" w:color="auto" w:sz="4" w:space="0"/>
              <w:right w:val="single" w:color="auto" w:sz="4" w:space="0"/>
            </w:tcBorders>
            <w:vAlign w:val="center"/>
          </w:tcPr>
          <w:p w14:paraId="5F5209EB">
            <w:pPr>
              <w:spacing w:line="300" w:lineRule="exact"/>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9.4</w:t>
            </w:r>
          </w:p>
        </w:tc>
        <w:tc>
          <w:tcPr>
            <w:tcW w:w="1248" w:type="dxa"/>
            <w:tcBorders>
              <w:top w:val="single" w:color="auto" w:sz="4" w:space="0"/>
              <w:left w:val="single" w:color="auto" w:sz="4" w:space="0"/>
              <w:bottom w:val="single" w:color="auto" w:sz="4" w:space="0"/>
              <w:right w:val="single" w:color="auto" w:sz="4" w:space="0"/>
            </w:tcBorders>
            <w:vAlign w:val="center"/>
          </w:tcPr>
          <w:p w14:paraId="69535CA7">
            <w:pPr>
              <w:spacing w:line="300" w:lineRule="exact"/>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vAlign w:val="center"/>
          </w:tcPr>
          <w:p w14:paraId="3E165C2B">
            <w:pPr>
              <w:spacing w:line="300" w:lineRule="exact"/>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Cs w:val="20"/>
                <w:highlight w:val="none"/>
              </w:rPr>
              <w:t>本文件中内容如有前后不一致，以在招标文件先出现的为准。</w:t>
            </w:r>
          </w:p>
        </w:tc>
      </w:tr>
    </w:tbl>
    <w:p w14:paraId="41CB06FD">
      <w:pPr>
        <w:spacing w:before="120" w:line="320" w:lineRule="atLeast"/>
        <w:outlineLvl w:val="1"/>
        <w:rPr>
          <w:rFonts w:ascii="Times New Roman" w:hAnsi="Times New Roman" w:eastAsia="宋体" w:cs="Times New Roman"/>
          <w:bCs/>
          <w:color w:val="auto"/>
          <w:kern w:val="0"/>
          <w:sz w:val="28"/>
          <w:szCs w:val="28"/>
          <w:highlight w:val="none"/>
        </w:rPr>
        <w:sectPr>
          <w:pgSz w:w="11906" w:h="16838"/>
          <w:pgMar w:top="993" w:right="1133" w:bottom="1246" w:left="1418" w:header="851" w:footer="992" w:gutter="0"/>
          <w:cols w:space="720" w:num="1"/>
          <w:titlePg/>
          <w:docGrid w:linePitch="312" w:charSpace="0"/>
        </w:sectPr>
      </w:pPr>
    </w:p>
    <w:p w14:paraId="50D5C4AB">
      <w:pPr>
        <w:spacing w:before="120" w:line="320" w:lineRule="atLeast"/>
        <w:outlineLvl w:val="1"/>
        <w:rPr>
          <w:rFonts w:ascii="Times New Roman" w:hAnsi="Times New Roman" w:eastAsia="宋体" w:cs="Times New Roman"/>
          <w:b/>
          <w:bCs/>
          <w:color w:val="auto"/>
          <w:kern w:val="0"/>
          <w:szCs w:val="21"/>
          <w:highlight w:val="none"/>
        </w:rPr>
      </w:pPr>
      <w:bookmarkStart w:id="34" w:name="_Toc254970549"/>
      <w:bookmarkStart w:id="35" w:name="_Toc254970690"/>
      <w:r>
        <w:rPr>
          <w:rFonts w:ascii="Times New Roman" w:hAnsi="Times New Roman" w:eastAsia="宋体" w:cs="Times New Roman"/>
          <w:color w:val="auto"/>
          <w:sz w:val="32"/>
          <w:szCs w:val="32"/>
          <w:highlight w:val="none"/>
        </w:rPr>
        <w:tab/>
      </w:r>
      <w:bookmarkStart w:id="36" w:name="_Hlk88949215"/>
      <w:r>
        <w:rPr>
          <w:rFonts w:ascii="Times New Roman" w:hAnsi="Times New Roman" w:eastAsia="宋体" w:cs="Times New Roman"/>
          <w:b/>
          <w:bCs/>
          <w:color w:val="auto"/>
          <w:kern w:val="0"/>
          <w:szCs w:val="21"/>
          <w:highlight w:val="none"/>
        </w:rPr>
        <w:t>1．总则</w:t>
      </w:r>
    </w:p>
    <w:p w14:paraId="33E6A6B1">
      <w:pPr>
        <w:spacing w:before="120" w:line="320" w:lineRule="atLeast"/>
        <w:ind w:firstLine="422" w:firstLineChars="200"/>
        <w:outlineLvl w:val="2"/>
        <w:rPr>
          <w:rFonts w:ascii="Times New Roman" w:hAnsi="Times New Roman" w:eastAsia="宋体" w:cs="Times New Roman"/>
          <w:b/>
          <w:bCs/>
          <w:color w:val="auto"/>
          <w:kern w:val="0"/>
          <w:szCs w:val="21"/>
          <w:highlight w:val="none"/>
        </w:rPr>
      </w:pPr>
      <w:bookmarkStart w:id="37" w:name="_Toc254970668"/>
      <w:bookmarkStart w:id="38" w:name="_Toc254970527"/>
      <w:r>
        <w:rPr>
          <w:rFonts w:ascii="Times New Roman" w:hAnsi="Times New Roman" w:eastAsia="宋体" w:cs="Times New Roman"/>
          <w:b/>
          <w:bCs/>
          <w:color w:val="auto"/>
          <w:kern w:val="0"/>
          <w:szCs w:val="21"/>
          <w:highlight w:val="none"/>
        </w:rPr>
        <w:t>1.1适用范围</w:t>
      </w:r>
      <w:bookmarkEnd w:id="37"/>
      <w:bookmarkEnd w:id="38"/>
    </w:p>
    <w:p w14:paraId="3295B496">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本招标文件适用于</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须知前附表所述项目的</w:t>
      </w:r>
      <w:r>
        <w:rPr>
          <w:rFonts w:hint="eastAsia" w:ascii="Times New Roman" w:hAnsi="Times New Roman" w:eastAsia="宋体" w:cs="Times New Roman"/>
          <w:color w:val="auto"/>
          <w:szCs w:val="21"/>
          <w:highlight w:val="none"/>
        </w:rPr>
        <w:t>政府采购活动。</w:t>
      </w:r>
    </w:p>
    <w:p w14:paraId="343DA1A1">
      <w:pPr>
        <w:spacing w:before="120" w:line="320" w:lineRule="atLeast"/>
        <w:ind w:firstLine="422" w:firstLineChars="200"/>
        <w:outlineLvl w:val="2"/>
        <w:rPr>
          <w:rFonts w:ascii="Times New Roman" w:hAnsi="Times New Roman" w:eastAsia="宋体" w:cs="Times New Roman"/>
          <w:b/>
          <w:bCs/>
          <w:color w:val="auto"/>
          <w:kern w:val="0"/>
          <w:szCs w:val="21"/>
          <w:highlight w:val="none"/>
        </w:rPr>
      </w:pPr>
      <w:bookmarkStart w:id="39" w:name="_Toc254970669"/>
      <w:bookmarkStart w:id="40" w:name="_Toc254970528"/>
      <w:r>
        <w:rPr>
          <w:rFonts w:ascii="Times New Roman" w:hAnsi="Times New Roman" w:eastAsia="宋体" w:cs="Times New Roman"/>
          <w:b/>
          <w:bCs/>
          <w:color w:val="auto"/>
          <w:kern w:val="0"/>
          <w:szCs w:val="21"/>
          <w:highlight w:val="none"/>
        </w:rPr>
        <w:t>1.2定义</w:t>
      </w:r>
      <w:bookmarkEnd w:id="39"/>
      <w:bookmarkEnd w:id="40"/>
    </w:p>
    <w:p w14:paraId="641FD171">
      <w:pPr>
        <w:spacing w:before="120"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1.2.1“采购人”系指依法进行政府采购的国家机关、事业单位、团体组织。</w:t>
      </w:r>
    </w:p>
    <w:p w14:paraId="210024E1">
      <w:pPr>
        <w:spacing w:before="120"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1.2.2“供应商”系指向采购人提供货物、工程或者服务的法人、其他组织或者自然人。</w:t>
      </w:r>
    </w:p>
    <w:p w14:paraId="22295743">
      <w:pPr>
        <w:spacing w:before="120"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1.2.3“投标人”系指响应招标、参加投标的法人、其他组织或者自然人。 </w:t>
      </w:r>
    </w:p>
    <w:p w14:paraId="5FA14084">
      <w:pPr>
        <w:spacing w:before="120"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1.2.4 本文件中的“法定代表人”若无特别说明，当投标人是企业的，是指企业法人营业执照上的法 定代表人；当投标人是事业单位的，是指事业单位法人证书上的法定代表人；当投标人是社会团体、民 办非企业的，是指法人登记证书中的法定代表人；当投标人是个体工商户的，是指个体工商户营业执照 上的经营者；当投标人是自然人的，是指参与本项目响应的自然人本人。 </w:t>
      </w:r>
    </w:p>
    <w:p w14:paraId="7050EDD1">
      <w:pPr>
        <w:spacing w:before="120"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1.2.5 本文件中的“公章”是指根据我国对公章的管理规定，用投标人法定主体行为名称制作的印章， 除本文件有特殊规定外，投标人的财务章、部门章、分公司章、工会章、合同章、投标专用章、业务专 用章及银行的转账章、现金收讫章、现金付讫章等其他形式印章均不能代替公章。本文件中的“签章” 是指电子签名的一种表现形式，利用图像处理技术将电子签名操作转化为与纸质文件盖章操作相同的可 视效果，同时利用电子签名技术保障电子信息的真实性和完整性以及签名人的不可否认性。   </w:t>
      </w:r>
    </w:p>
    <w:p w14:paraId="3B9AD70C">
      <w:pPr>
        <w:spacing w:before="120"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1.2.6“书面形式”如无特殊规定，书面形式是合同书、信件、电报、电传等可以有形地表现所载内容 的形式。以电子数据交换、电子邮件等方式能够有形地表现所载内容，并可以随时调取查用的数据电文， 视为书面形式。招标文件如有特殊规定，以招标文件规定为准。 </w:t>
      </w:r>
    </w:p>
    <w:p w14:paraId="3E38A9D2">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1.2.</w:t>
      </w:r>
      <w:r>
        <w:rPr>
          <w:rFonts w:hint="eastAsia" w:ascii="Times New Roman" w:hAnsi="Times New Roman" w:eastAsia="宋体" w:cs="Times New Roman"/>
          <w:color w:val="auto"/>
          <w:szCs w:val="21"/>
          <w:highlight w:val="none"/>
        </w:rPr>
        <w:t>7本项目的技术商务要求重要性分为“▲”（如有）、“#”（如有）和一般无标识指标。▲代表实质性要求指标，</w:t>
      </w:r>
      <w:r>
        <w:rPr>
          <w:rFonts w:hint="eastAsia" w:ascii="Times New Roman" w:hAnsi="Times New Roman" w:eastAsia="宋体" w:cs="Times New Roman"/>
          <w:b/>
          <w:bCs/>
          <w:color w:val="auto"/>
          <w:szCs w:val="21"/>
          <w:highlight w:val="none"/>
        </w:rPr>
        <w:t>不满足该指标项将导致投标被否决</w:t>
      </w:r>
      <w:r>
        <w:rPr>
          <w:rFonts w:hint="eastAsia" w:ascii="Times New Roman" w:hAnsi="Times New Roman" w:eastAsia="宋体" w:cs="Times New Roman"/>
          <w:color w:val="auto"/>
          <w:szCs w:val="21"/>
          <w:highlight w:val="none"/>
        </w:rPr>
        <w:t>，#代表重要指标，无标识则表示一般指标项。</w:t>
      </w:r>
    </w:p>
    <w:p w14:paraId="1ED7BB8D">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1.2.</w:t>
      </w:r>
      <w:r>
        <w:rPr>
          <w:rFonts w:hint="eastAsia" w:ascii="Times New Roman" w:hAnsi="Times New Roman" w:eastAsia="宋体" w:cs="Times New Roman"/>
          <w:color w:val="auto"/>
          <w:szCs w:val="21"/>
          <w:highlight w:val="none"/>
        </w:rPr>
        <w:t>8 本</w:t>
      </w:r>
      <w:r>
        <w:rPr>
          <w:rFonts w:ascii="Times New Roman" w:hAnsi="Times New Roman" w:eastAsia="宋体" w:cs="Times New Roman"/>
          <w:color w:val="auto"/>
          <w:szCs w:val="21"/>
          <w:highlight w:val="none"/>
        </w:rPr>
        <w:t>招标文件</w:t>
      </w:r>
      <w:r>
        <w:rPr>
          <w:rFonts w:hint="eastAsia" w:ascii="Times New Roman" w:hAnsi="Times New Roman" w:eastAsia="宋体" w:cs="Times New Roman"/>
          <w:color w:val="auto"/>
          <w:szCs w:val="21"/>
          <w:highlight w:val="none"/>
        </w:rPr>
        <w:t>出现多种选项的条款，以“</w:t>
      </w:r>
      <w:r>
        <w:rPr>
          <w:rFonts w:ascii="Times New Roman" w:hAnsi="Times New Roman" w:eastAsia="宋体" w:cs="Times New Roman"/>
          <w:color w:val="auto"/>
          <w:szCs w:val="24"/>
          <w:highlight w:val="none"/>
        </w:rPr>
        <w:sym w:font="Wingdings 2" w:char="F052"/>
      </w:r>
      <w:r>
        <w:rPr>
          <w:rFonts w:hint="eastAsia" w:ascii="Times New Roman" w:hAnsi="Times New Roman" w:eastAsia="宋体" w:cs="Times New Roman"/>
          <w:color w:val="auto"/>
          <w:szCs w:val="21"/>
          <w:highlight w:val="none"/>
        </w:rPr>
        <w:t>”表示本条款所选择的方式。</w:t>
      </w:r>
    </w:p>
    <w:p w14:paraId="5542D707">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w:t>
      </w: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.9</w:t>
      </w:r>
      <w:r>
        <w:rPr>
          <w:rFonts w:ascii="Times New Roman" w:hAnsi="Times New Roman" w:eastAsia="宋体" w:cs="Times New Roman"/>
          <w:color w:val="auto"/>
          <w:szCs w:val="21"/>
          <w:highlight w:val="none"/>
        </w:rPr>
        <w:t xml:space="preserve"> “</w:t>
      </w:r>
      <w:r>
        <w:rPr>
          <w:rFonts w:hint="eastAsia" w:ascii="Times New Roman" w:hAnsi="Times New Roman" w:eastAsia="宋体" w:cs="Times New Roman"/>
          <w:color w:val="auto"/>
          <w:szCs w:val="21"/>
          <w:highlight w:val="none"/>
        </w:rPr>
        <w:t>电子交易平台</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是指以数据电文形式在线完成采购活动的信息平台，本招标文件中也称</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广西政府采购云平台</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w:t>
      </w:r>
    </w:p>
    <w:p w14:paraId="00401A56">
      <w:pPr>
        <w:spacing w:before="120" w:line="320" w:lineRule="atLeast"/>
        <w:ind w:firstLine="422" w:firstLineChars="200"/>
        <w:outlineLvl w:val="2"/>
        <w:rPr>
          <w:rFonts w:ascii="Times New Roman" w:hAnsi="Times New Roman" w:eastAsia="宋体" w:cs="Times New Roman"/>
          <w:b/>
          <w:bCs/>
          <w:color w:val="auto"/>
          <w:kern w:val="0"/>
          <w:szCs w:val="21"/>
          <w:highlight w:val="none"/>
        </w:rPr>
      </w:pPr>
      <w:r>
        <w:rPr>
          <w:rFonts w:hint="eastAsia" w:ascii="Times New Roman" w:hAnsi="Times New Roman" w:eastAsia="宋体" w:cs="Times New Roman"/>
          <w:b/>
          <w:bCs/>
          <w:color w:val="auto"/>
          <w:kern w:val="0"/>
          <w:szCs w:val="21"/>
          <w:highlight w:val="none"/>
        </w:rPr>
        <w:t>1</w:t>
      </w:r>
      <w:r>
        <w:rPr>
          <w:rFonts w:ascii="Times New Roman" w:hAnsi="Times New Roman" w:eastAsia="宋体" w:cs="Times New Roman"/>
          <w:b/>
          <w:bCs/>
          <w:color w:val="auto"/>
          <w:kern w:val="0"/>
          <w:szCs w:val="21"/>
          <w:highlight w:val="none"/>
        </w:rPr>
        <w:t>.3</w:t>
      </w:r>
      <w:r>
        <w:rPr>
          <w:rFonts w:hint="eastAsia" w:ascii="Times New Roman" w:hAnsi="Times New Roman" w:eastAsia="宋体" w:cs="Times New Roman"/>
          <w:b/>
          <w:bCs/>
          <w:color w:val="auto"/>
          <w:kern w:val="0"/>
          <w:szCs w:val="21"/>
          <w:highlight w:val="none"/>
        </w:rPr>
        <w:t>项目信息</w:t>
      </w:r>
    </w:p>
    <w:p w14:paraId="363F1335">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w:t>
      </w:r>
      <w:r>
        <w:rPr>
          <w:rFonts w:ascii="Times New Roman" w:hAnsi="Times New Roman" w:eastAsia="宋体" w:cs="Times New Roman"/>
          <w:color w:val="auto"/>
          <w:szCs w:val="21"/>
          <w:highlight w:val="none"/>
        </w:rPr>
        <w:t>.3.1</w:t>
      </w:r>
      <w:r>
        <w:rPr>
          <w:rFonts w:hint="eastAsia" w:ascii="Times New Roman" w:hAnsi="Times New Roman" w:eastAsia="宋体" w:cs="Times New Roman"/>
          <w:color w:val="auto"/>
          <w:szCs w:val="21"/>
          <w:highlight w:val="none"/>
        </w:rPr>
        <w:t>项目名称及编号：详见投标人须知前附表</w:t>
      </w:r>
    </w:p>
    <w:p w14:paraId="2CD0BA6A">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w:t>
      </w:r>
      <w:r>
        <w:rPr>
          <w:rFonts w:ascii="Times New Roman" w:hAnsi="Times New Roman" w:eastAsia="宋体" w:cs="Times New Roman"/>
          <w:color w:val="auto"/>
          <w:szCs w:val="21"/>
          <w:highlight w:val="none"/>
        </w:rPr>
        <w:t>.3.2</w:t>
      </w:r>
      <w:r>
        <w:rPr>
          <w:rFonts w:hint="eastAsia" w:ascii="Times New Roman" w:hAnsi="Times New Roman" w:eastAsia="宋体" w:cs="Times New Roman"/>
          <w:color w:val="auto"/>
          <w:szCs w:val="21"/>
          <w:highlight w:val="none"/>
        </w:rPr>
        <w:t>采购方式：详见投标人须知前附表</w:t>
      </w:r>
    </w:p>
    <w:p w14:paraId="5E8C346C">
      <w:pPr>
        <w:spacing w:before="120" w:line="320" w:lineRule="atLeast"/>
        <w:ind w:firstLine="422" w:firstLineChars="200"/>
        <w:outlineLvl w:val="2"/>
        <w:rPr>
          <w:rFonts w:ascii="Times New Roman" w:hAnsi="Times New Roman" w:eastAsia="宋体" w:cs="Times New Roman"/>
          <w:b/>
          <w:bCs/>
          <w:color w:val="auto"/>
          <w:kern w:val="0"/>
          <w:szCs w:val="21"/>
          <w:highlight w:val="none"/>
        </w:rPr>
      </w:pPr>
      <w:bookmarkStart w:id="41" w:name="_Hlk132881026"/>
      <w:r>
        <w:rPr>
          <w:rFonts w:hint="eastAsia" w:ascii="Times New Roman" w:hAnsi="Times New Roman" w:eastAsia="宋体" w:cs="Times New Roman"/>
          <w:b/>
          <w:bCs/>
          <w:color w:val="auto"/>
          <w:kern w:val="0"/>
          <w:szCs w:val="21"/>
          <w:highlight w:val="none"/>
        </w:rPr>
        <w:t>1</w:t>
      </w:r>
      <w:r>
        <w:rPr>
          <w:rFonts w:ascii="Times New Roman" w:hAnsi="Times New Roman" w:eastAsia="宋体" w:cs="Times New Roman"/>
          <w:b/>
          <w:bCs/>
          <w:color w:val="auto"/>
          <w:kern w:val="0"/>
          <w:szCs w:val="21"/>
          <w:highlight w:val="none"/>
        </w:rPr>
        <w:t>.4</w:t>
      </w:r>
      <w:r>
        <w:rPr>
          <w:rFonts w:hint="eastAsia" w:ascii="Times New Roman" w:hAnsi="Times New Roman" w:eastAsia="宋体" w:cs="Times New Roman"/>
          <w:b/>
          <w:bCs/>
          <w:color w:val="auto"/>
          <w:kern w:val="0"/>
          <w:szCs w:val="21"/>
          <w:highlight w:val="none"/>
        </w:rPr>
        <w:t>促进中小企业发展政策</w:t>
      </w:r>
    </w:p>
    <w:p w14:paraId="43C3EAC0">
      <w:pPr>
        <w:spacing w:before="120" w:line="320" w:lineRule="atLeast"/>
        <w:ind w:left="2" w:leftChars="1"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1.4.1</w:t>
      </w:r>
      <w:r>
        <w:rPr>
          <w:rFonts w:hint="eastAsia" w:ascii="Times New Roman" w:hAnsi="Times New Roman" w:eastAsia="宋体" w:cs="Times New Roman"/>
          <w:color w:val="auto"/>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14:paraId="4E11A795">
      <w:pPr>
        <w:spacing w:before="120" w:line="320" w:lineRule="atLeast"/>
        <w:ind w:left="2" w:leftChars="1" w:firstLine="420" w:firstLineChars="200"/>
        <w:rPr>
          <w:rFonts w:ascii="Times New Roman" w:hAnsi="Times New Roman" w:eastAsia="宋体" w:cs="Times New Roman"/>
          <w:color w:val="auto"/>
          <w:szCs w:val="21"/>
          <w:highlight w:val="none"/>
        </w:rPr>
      </w:pPr>
      <w:bookmarkStart w:id="42" w:name="_Hlk92205820"/>
      <w:r>
        <w:rPr>
          <w:rFonts w:hint="eastAsia" w:ascii="Times New Roman" w:hAnsi="Times New Roman" w:eastAsia="宋体" w:cs="Times New Roman"/>
          <w:color w:val="auto"/>
          <w:szCs w:val="21"/>
          <w:highlight w:val="none"/>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工业和信息化部政府采购促进中小企业发展管理办法的通知》（桂财采[2021]70号）规定，价格扣除比例在第四章评审方法及标准中规定，对小型企业和微型企业同等对待，不作区分。</w:t>
      </w:r>
    </w:p>
    <w:p w14:paraId="1656E52F">
      <w:pPr>
        <w:spacing w:before="120" w:line="320" w:lineRule="atLeast"/>
        <w:ind w:left="2" w:leftChars="1"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1.4.2</w:t>
      </w:r>
      <w:r>
        <w:rPr>
          <w:rFonts w:hint="eastAsia" w:ascii="Times New Roman" w:hAnsi="Times New Roman" w:eastAsia="宋体" w:cs="Times New Roman"/>
          <w:color w:val="auto"/>
          <w:szCs w:val="21"/>
          <w:highlight w:val="none"/>
        </w:rPr>
        <w:t>中小企业定义</w:t>
      </w:r>
    </w:p>
    <w:p w14:paraId="1EA2FEB0">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1.4.2.1</w:t>
      </w:r>
      <w:r>
        <w:rPr>
          <w:rFonts w:hint="eastAsia" w:ascii="Times New Roman" w:hAnsi="Times New Roman" w:eastAsia="宋体" w:cs="Times New Roman"/>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6E116BC5">
      <w:pPr>
        <w:spacing w:before="120" w:line="320" w:lineRule="atLeast"/>
        <w:ind w:left="2" w:leftChars="1"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1.4.2.2</w:t>
      </w:r>
      <w:r>
        <w:rPr>
          <w:rFonts w:hint="eastAsia" w:ascii="Times New Roman" w:hAnsi="Times New Roman" w:eastAsia="宋体" w:cs="Times New Roman"/>
          <w:color w:val="auto"/>
          <w:szCs w:val="21"/>
          <w:highlight w:val="none"/>
        </w:rPr>
        <w:t>投标人提供的货物、工程或者服务符合下列情形的，享受本款规定的促进中小企业发展政策：</w:t>
      </w:r>
    </w:p>
    <w:p w14:paraId="2D60497F">
      <w:pPr>
        <w:spacing w:before="120" w:line="320" w:lineRule="atLeast"/>
        <w:ind w:left="2" w:leftChars="1"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在货物采购项目中，货物由中小企业制造，即货物由中小企业生产且使用该中小企业商号或者注册商标；</w:t>
      </w:r>
    </w:p>
    <w:p w14:paraId="61F05A63">
      <w:pPr>
        <w:spacing w:before="120" w:line="320" w:lineRule="atLeast"/>
        <w:ind w:left="2" w:leftChars="1"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在工程采购项目中，工程由中小企业承建，即</w:t>
      </w:r>
      <w:r>
        <w:rPr>
          <w:rFonts w:hint="eastAsia" w:ascii="Times New Roman" w:hAnsi="Times New Roman" w:eastAsia="宋体" w:cs="Times New Roman"/>
          <w:color w:val="auto"/>
          <w:szCs w:val="24"/>
          <w:highlight w:val="none"/>
        </w:rPr>
        <w:t>工程施工单位</w:t>
      </w:r>
      <w:r>
        <w:rPr>
          <w:rFonts w:hint="eastAsia" w:ascii="Times New Roman" w:hAnsi="Times New Roman" w:eastAsia="宋体" w:cs="Times New Roman"/>
          <w:color w:val="auto"/>
          <w:szCs w:val="21"/>
          <w:highlight w:val="none"/>
        </w:rPr>
        <w:t>为中小企业；</w:t>
      </w:r>
    </w:p>
    <w:p w14:paraId="5CC86C38">
      <w:pPr>
        <w:spacing w:before="120" w:line="320" w:lineRule="atLeast"/>
        <w:ind w:left="2" w:leftChars="1"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在服务采购项目中，服务由中小企业承接，即提供服务的人员为中小企业依照《中华人民共和国劳动合同法》订立劳动合同的从业人员。</w:t>
      </w:r>
    </w:p>
    <w:p w14:paraId="0FEC7B89">
      <w:pPr>
        <w:spacing w:before="120" w:line="320" w:lineRule="atLeast"/>
        <w:ind w:left="2" w:leftChars="1"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在货物采购项目中，投标人提供的货物既有中小企业制造货物，也有大型企业制造货物的，不享受本款规定的促进中小企业发展政策。</w:t>
      </w:r>
    </w:p>
    <w:p w14:paraId="7E4BEC6A">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1.4.2</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3</w:t>
      </w:r>
      <w:r>
        <w:rPr>
          <w:rFonts w:hint="eastAsia" w:ascii="Times New Roman" w:hAnsi="Times New Roman" w:eastAsia="宋体" w:cs="Times New Roman"/>
          <w:color w:val="auto"/>
          <w:szCs w:val="21"/>
          <w:highlight w:val="none"/>
        </w:rPr>
        <w:t>本项目标的所属行业在第二章采购需求中规定。投标人根据中小企业划分标准（《关于印发中小企业划型标准规定的通知》（工信部联企业〔2011〕300号）判断是否为中小企业。（见附件）</w:t>
      </w:r>
    </w:p>
    <w:p w14:paraId="41B9A0CF">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符合条件的货物制造商、</w:t>
      </w:r>
      <w:r>
        <w:rPr>
          <w:rFonts w:hint="eastAsia" w:ascii="Times New Roman" w:hAnsi="Times New Roman" w:eastAsia="宋体" w:cs="Times New Roman"/>
          <w:color w:val="auto"/>
          <w:szCs w:val="24"/>
          <w:highlight w:val="none"/>
        </w:rPr>
        <w:t>工程施工单位</w:t>
      </w:r>
      <w:r>
        <w:rPr>
          <w:rFonts w:hint="eastAsia" w:ascii="Times New Roman" w:hAnsi="Times New Roman" w:eastAsia="宋体" w:cs="Times New Roman"/>
          <w:color w:val="auto"/>
          <w:szCs w:val="21"/>
          <w:highlight w:val="none"/>
        </w:rPr>
        <w:t>、服务承接单位为中小企业的，应按招标文件规定在投标文件中提供声明函。</w:t>
      </w:r>
    </w:p>
    <w:p w14:paraId="095AFA3F">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1.4</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4</w:t>
      </w:r>
      <w:r>
        <w:rPr>
          <w:rFonts w:hint="eastAsia" w:ascii="Times New Roman" w:hAnsi="Times New Roman" w:eastAsia="宋体" w:cs="Times New Roman"/>
          <w:color w:val="auto"/>
          <w:szCs w:val="21"/>
          <w:highlight w:val="none"/>
        </w:rPr>
        <w:t>视同中小企业情形</w:t>
      </w:r>
    </w:p>
    <w:p w14:paraId="023EFC96">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（1）符合中小企业划分标准的个体工商户，视同中小企业。</w:t>
      </w:r>
    </w:p>
    <w:p w14:paraId="456CB4B9">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（2）以联合体形式参加政府采购活动，联合体各方均为中小企业的，联合体视同中小企业。其中，联合体各方均为小微企业的，联合体视同小微企业。</w:t>
      </w:r>
    </w:p>
    <w:p w14:paraId="765DF9D1">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0E45CB41">
      <w:pPr>
        <w:spacing w:before="120" w:line="320" w:lineRule="atLeast"/>
        <w:ind w:left="2" w:leftChars="1"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符合条件的货物制造商、</w:t>
      </w:r>
      <w:r>
        <w:rPr>
          <w:rFonts w:hint="eastAsia" w:ascii="Times New Roman" w:hAnsi="Times New Roman" w:eastAsia="宋体" w:cs="Times New Roman"/>
          <w:color w:val="auto"/>
          <w:szCs w:val="24"/>
          <w:highlight w:val="none"/>
        </w:rPr>
        <w:t>工程施工单位</w:t>
      </w:r>
      <w:r>
        <w:rPr>
          <w:rFonts w:hint="eastAsia" w:ascii="Times New Roman" w:hAnsi="Times New Roman" w:eastAsia="宋体" w:cs="Times New Roman"/>
          <w:color w:val="auto"/>
          <w:szCs w:val="21"/>
          <w:highlight w:val="none"/>
        </w:rPr>
        <w:t>、服务承接单位为监狱企业或残疾人福利性单位的，应按招标文件规定在投标文件中提供相关证明文件。</w:t>
      </w:r>
      <w:bookmarkEnd w:id="42"/>
    </w:p>
    <w:bookmarkEnd w:id="41"/>
    <w:p w14:paraId="6F4B4D51">
      <w:pPr>
        <w:spacing w:before="120" w:line="320" w:lineRule="atLeast"/>
        <w:ind w:left="2" w:leftChars="1"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1.5 投标人资格要求</w:t>
      </w:r>
    </w:p>
    <w:p w14:paraId="3C65F418">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1.5.1 投标人资格要求：详见投标人须知前附表 </w:t>
      </w:r>
    </w:p>
    <w:p w14:paraId="7F209D4E">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1.5.2 按照招标公告的规定获得招标文件。 </w:t>
      </w:r>
    </w:p>
    <w:p w14:paraId="5A310D6A">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1.5.3 本项目是否接受联合体投标，见“投标人须知前附表”规定。</w:t>
      </w:r>
    </w:p>
    <w:p w14:paraId="26DC7905">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如接受联合体投标，联合体投标要求如下： </w:t>
      </w:r>
    </w:p>
    <w:p w14:paraId="731B82AA">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）投标人可以组成一个投标联合体，以一个投标人的身份共同参加投标。联合体投标的，须提供《联合体协议书》（格式后附）</w:t>
      </w:r>
    </w:p>
    <w:p w14:paraId="0170A966">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以联合体形式参加投标的，联合体各方均必须具备《中华人民共和国政府采购法》第二十二条第一款规定的基本条件。本项目有特殊要求规定投标人特定条件的，联合体各方中至少有一方必须符合招标文件规定的特定条件。</w:t>
      </w:r>
    </w:p>
    <w:p w14:paraId="5A1F686C">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01F5E42F">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（4）以联合体形式参加政府采购活动的，联合体各方不得再单独参加或者与其他投标人另外组成联合体参加同一合同项下的政府采购活动。</w:t>
      </w:r>
    </w:p>
    <w:p w14:paraId="513FA20F">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（5）联合体中有同类资质的投标人按照联合体分工承担相同工作的，应当按照资质等级较低的投标人确定资质等级。</w:t>
      </w:r>
    </w:p>
    <w:p w14:paraId="11390221">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（6）联合体投标业绩、履约能力按照联合体各方其中较高的一方认定并计算（招标文件其他章节另有规定的除外）。</w:t>
      </w:r>
    </w:p>
    <w:p w14:paraId="53136CF3">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（7）投标人为联合体的，可以由联合体中的一方或者多方共同交纳投标保证金，其交纳的保证金对联合体各方均具有约束力。</w:t>
      </w:r>
    </w:p>
    <w:p w14:paraId="2B4792A0">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（8）联合体各方均应按照招标文件的规定提交资格证明文件。</w:t>
      </w:r>
    </w:p>
    <w:p w14:paraId="73D0D0A0">
      <w:pPr>
        <w:spacing w:before="120" w:line="320" w:lineRule="atLeast"/>
        <w:ind w:firstLine="422" w:firstLineChars="200"/>
        <w:outlineLvl w:val="2"/>
        <w:rPr>
          <w:rFonts w:ascii="Times New Roman" w:hAnsi="Times New Roman" w:eastAsia="宋体" w:cs="Times New Roman"/>
          <w:b/>
          <w:bCs/>
          <w:color w:val="auto"/>
          <w:kern w:val="0"/>
          <w:szCs w:val="21"/>
          <w:highlight w:val="none"/>
        </w:rPr>
      </w:pPr>
      <w:bookmarkStart w:id="43" w:name="_Toc254970531"/>
      <w:bookmarkStart w:id="44" w:name="_Toc254970672"/>
      <w:r>
        <w:rPr>
          <w:rFonts w:ascii="Times New Roman" w:hAnsi="Times New Roman" w:eastAsia="宋体" w:cs="Times New Roman"/>
          <w:b/>
          <w:bCs/>
          <w:color w:val="auto"/>
          <w:kern w:val="0"/>
          <w:szCs w:val="21"/>
          <w:highlight w:val="none"/>
        </w:rPr>
        <w:t>1.</w:t>
      </w:r>
      <w:r>
        <w:rPr>
          <w:rFonts w:hint="eastAsia" w:ascii="Times New Roman" w:hAnsi="Times New Roman" w:eastAsia="宋体" w:cs="Times New Roman"/>
          <w:b/>
          <w:bCs/>
          <w:color w:val="auto"/>
          <w:kern w:val="0"/>
          <w:szCs w:val="21"/>
          <w:highlight w:val="none"/>
        </w:rPr>
        <w:t>6</w:t>
      </w:r>
      <w:r>
        <w:rPr>
          <w:rFonts w:ascii="Times New Roman" w:hAnsi="Times New Roman" w:eastAsia="宋体" w:cs="Times New Roman"/>
          <w:b/>
          <w:bCs/>
          <w:color w:val="auto"/>
          <w:kern w:val="0"/>
          <w:szCs w:val="21"/>
          <w:highlight w:val="none"/>
        </w:rPr>
        <w:t>现场踏勘及投标费用</w:t>
      </w:r>
      <w:bookmarkEnd w:id="43"/>
      <w:bookmarkEnd w:id="44"/>
    </w:p>
    <w:p w14:paraId="2CE0756C">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6</w:t>
      </w:r>
      <w:r>
        <w:rPr>
          <w:rFonts w:ascii="Times New Roman" w:hAnsi="Times New Roman" w:eastAsia="宋体" w:cs="Times New Roman"/>
          <w:color w:val="auto"/>
          <w:szCs w:val="21"/>
          <w:highlight w:val="none"/>
        </w:rPr>
        <w:t>.1前附表如规定现场踏勘的，</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应按规定时间地点参加踏勘。</w:t>
      </w:r>
    </w:p>
    <w:p w14:paraId="3A058E45">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6</w:t>
      </w: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均应自行承担所有与投标有关的全部费用（招标文件有相关的规定除外）。</w:t>
      </w:r>
    </w:p>
    <w:p w14:paraId="022FC556">
      <w:pPr>
        <w:spacing w:before="120" w:line="320" w:lineRule="atLeast"/>
        <w:ind w:firstLine="422" w:firstLineChars="200"/>
        <w:outlineLvl w:val="2"/>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kern w:val="0"/>
          <w:szCs w:val="21"/>
          <w:highlight w:val="none"/>
        </w:rPr>
        <w:t>1.</w:t>
      </w:r>
      <w:r>
        <w:rPr>
          <w:rFonts w:hint="eastAsia" w:ascii="Times New Roman" w:hAnsi="Times New Roman" w:eastAsia="宋体" w:cs="Times New Roman"/>
          <w:b/>
          <w:bCs/>
          <w:color w:val="auto"/>
          <w:kern w:val="0"/>
          <w:szCs w:val="21"/>
          <w:highlight w:val="none"/>
        </w:rPr>
        <w:t>7</w:t>
      </w:r>
      <w:r>
        <w:rPr>
          <w:rFonts w:ascii="Times New Roman" w:hAnsi="Times New Roman" w:eastAsia="宋体" w:cs="Times New Roman"/>
          <w:b/>
          <w:bCs/>
          <w:color w:val="auto"/>
          <w:kern w:val="0"/>
          <w:szCs w:val="21"/>
          <w:highlight w:val="none"/>
        </w:rPr>
        <w:t>转包与分包</w:t>
      </w:r>
    </w:p>
    <w:p w14:paraId="7DB226AA">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7</w:t>
      </w:r>
      <w:r>
        <w:rPr>
          <w:rFonts w:ascii="Times New Roman" w:hAnsi="Times New Roman" w:eastAsia="宋体" w:cs="Times New Roman"/>
          <w:color w:val="auto"/>
          <w:szCs w:val="21"/>
          <w:highlight w:val="none"/>
        </w:rPr>
        <w:t>.1如</w:t>
      </w:r>
      <w:r>
        <w:rPr>
          <w:rFonts w:hint="eastAsia" w:ascii="Times New Roman" w:hAnsi="Times New Roman" w:eastAsia="宋体" w:cs="Times New Roman"/>
          <w:color w:val="auto"/>
          <w:szCs w:val="21"/>
          <w:highlight w:val="none"/>
        </w:rPr>
        <w:t>招标</w:t>
      </w:r>
      <w:r>
        <w:rPr>
          <w:rFonts w:ascii="Times New Roman" w:hAnsi="Times New Roman" w:eastAsia="宋体" w:cs="Times New Roman"/>
          <w:color w:val="auto"/>
          <w:szCs w:val="21"/>
          <w:highlight w:val="none"/>
        </w:rPr>
        <w:t>文件其他地方无特别规定</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本项目不允许转包。</w:t>
      </w:r>
    </w:p>
    <w:p w14:paraId="36825154">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7</w:t>
      </w: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4076E0F4">
      <w:pPr>
        <w:spacing w:before="120" w:line="276" w:lineRule="auto"/>
        <w:ind w:firstLine="422" w:firstLineChars="200"/>
        <w:outlineLvl w:val="2"/>
        <w:rPr>
          <w:rFonts w:ascii="Times New Roman" w:hAnsi="Times New Roman" w:eastAsia="宋体" w:cs="Times New Roman"/>
          <w:b/>
          <w:bCs/>
          <w:color w:val="auto"/>
          <w:kern w:val="0"/>
          <w:szCs w:val="21"/>
          <w:highlight w:val="none"/>
        </w:rPr>
      </w:pPr>
      <w:bookmarkStart w:id="45" w:name="_Toc254970532"/>
      <w:bookmarkStart w:id="46" w:name="_Toc254970673"/>
      <w:r>
        <w:rPr>
          <w:rFonts w:ascii="Times New Roman" w:hAnsi="Times New Roman" w:eastAsia="宋体" w:cs="Times New Roman"/>
          <w:b/>
          <w:bCs/>
          <w:color w:val="auto"/>
          <w:kern w:val="0"/>
          <w:szCs w:val="21"/>
          <w:highlight w:val="none"/>
        </w:rPr>
        <w:t>1.</w:t>
      </w:r>
      <w:r>
        <w:rPr>
          <w:rFonts w:hint="eastAsia" w:ascii="Times New Roman" w:hAnsi="Times New Roman" w:eastAsia="宋体" w:cs="Times New Roman"/>
          <w:b/>
          <w:bCs/>
          <w:color w:val="auto"/>
          <w:kern w:val="0"/>
          <w:szCs w:val="21"/>
          <w:highlight w:val="none"/>
        </w:rPr>
        <w:t>8</w:t>
      </w:r>
      <w:r>
        <w:rPr>
          <w:rFonts w:ascii="Times New Roman" w:hAnsi="Times New Roman" w:eastAsia="宋体" w:cs="Times New Roman"/>
          <w:b/>
          <w:bCs/>
          <w:color w:val="auto"/>
          <w:kern w:val="0"/>
          <w:szCs w:val="21"/>
          <w:highlight w:val="none"/>
        </w:rPr>
        <w:t>特别说明</w:t>
      </w:r>
      <w:bookmarkEnd w:id="45"/>
      <w:bookmarkEnd w:id="46"/>
    </w:p>
    <w:p w14:paraId="2BA0B786">
      <w:pPr>
        <w:spacing w:line="276"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8</w:t>
      </w:r>
      <w:r>
        <w:rPr>
          <w:rFonts w:ascii="Times New Roman" w:hAnsi="Times New Roman" w:eastAsia="宋体" w:cs="Times New Roman"/>
          <w:color w:val="auto"/>
          <w:szCs w:val="21"/>
          <w:highlight w:val="none"/>
        </w:rPr>
        <w:t xml:space="preserve">.1 </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应保证其提供的联系方式（电话、传真、电子邮件）有效，以保证往来函件（澄清、修改等）能及时通知</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，并能及时反馈，否则采购人</w:t>
      </w:r>
      <w:r>
        <w:rPr>
          <w:rFonts w:hint="eastAsia" w:ascii="Times New Roman" w:hAnsi="Times New Roman" w:eastAsia="宋体" w:cs="Times New Roman"/>
          <w:color w:val="auto"/>
          <w:szCs w:val="21"/>
          <w:highlight w:val="none"/>
        </w:rPr>
        <w:t>及代理机构</w:t>
      </w:r>
      <w:r>
        <w:rPr>
          <w:rFonts w:ascii="Times New Roman" w:hAnsi="Times New Roman" w:eastAsia="宋体" w:cs="Times New Roman"/>
          <w:color w:val="auto"/>
          <w:szCs w:val="21"/>
          <w:highlight w:val="none"/>
        </w:rPr>
        <w:t>不承担由此引起的一切后果。</w:t>
      </w:r>
    </w:p>
    <w:p w14:paraId="4FAD6313">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8</w:t>
      </w: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应仔细阅读招标文件的所有内容，按照招标文件的要求提交投标文件，并对所提供的全部资料的真实性承担法律责任。</w:t>
      </w:r>
    </w:p>
    <w:p w14:paraId="49BEB01C">
      <w:pPr>
        <w:spacing w:before="120"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8</w:t>
      </w:r>
      <w:r>
        <w:rPr>
          <w:rFonts w:ascii="Times New Roman" w:hAnsi="Times New Roman" w:eastAsia="宋体" w:cs="Times New Roman"/>
          <w:color w:val="auto"/>
          <w:szCs w:val="21"/>
          <w:highlight w:val="none"/>
        </w:rPr>
        <w:t>.3</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在投标活动中提供任何虚假材料，</w:t>
      </w:r>
      <w:r>
        <w:rPr>
          <w:rFonts w:hint="eastAsia" w:ascii="Times New Roman" w:hAnsi="Times New Roman" w:eastAsia="宋体" w:cs="Times New Roman"/>
          <w:color w:val="auto"/>
          <w:szCs w:val="21"/>
          <w:highlight w:val="none"/>
        </w:rPr>
        <w:t>将</w:t>
      </w:r>
      <w:r>
        <w:rPr>
          <w:rFonts w:ascii="Times New Roman" w:hAnsi="Times New Roman" w:eastAsia="宋体" w:cs="Times New Roman"/>
          <w:color w:val="auto"/>
          <w:szCs w:val="21"/>
          <w:highlight w:val="none"/>
        </w:rPr>
        <w:t xml:space="preserve">报监管部门查处； </w:t>
      </w:r>
    </w:p>
    <w:p w14:paraId="337704B4">
      <w:pPr>
        <w:spacing w:before="120" w:line="320" w:lineRule="atLeast"/>
        <w:ind w:left="2" w:leftChars="1" w:firstLine="422" w:firstLineChars="200"/>
        <w:outlineLvl w:val="1"/>
        <w:rPr>
          <w:rFonts w:ascii="Times New Roman" w:hAnsi="Times New Roman" w:eastAsia="宋体" w:cs="Times New Roman"/>
          <w:b/>
          <w:bCs/>
          <w:color w:val="auto"/>
          <w:kern w:val="0"/>
          <w:szCs w:val="21"/>
          <w:highlight w:val="none"/>
        </w:rPr>
      </w:pPr>
      <w:bookmarkStart w:id="47" w:name="_Toc254970675"/>
      <w:bookmarkStart w:id="48" w:name="_Toc254970534"/>
      <w:r>
        <w:rPr>
          <w:rFonts w:ascii="Times New Roman" w:hAnsi="Times New Roman" w:eastAsia="宋体" w:cs="Times New Roman"/>
          <w:b/>
          <w:bCs/>
          <w:color w:val="auto"/>
          <w:kern w:val="0"/>
          <w:szCs w:val="21"/>
          <w:highlight w:val="none"/>
        </w:rPr>
        <w:t>2．招标文件</w:t>
      </w:r>
      <w:bookmarkEnd w:id="47"/>
      <w:bookmarkEnd w:id="48"/>
    </w:p>
    <w:p w14:paraId="77FC41C2">
      <w:pPr>
        <w:spacing w:before="120" w:line="320" w:lineRule="atLeast"/>
        <w:ind w:firstLine="422" w:firstLineChars="200"/>
        <w:outlineLvl w:val="2"/>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kern w:val="0"/>
          <w:szCs w:val="21"/>
          <w:highlight w:val="none"/>
        </w:rPr>
        <w:t>2.1招标文件的构成</w:t>
      </w:r>
    </w:p>
    <w:p w14:paraId="23739D8C">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第一章 招标公告</w:t>
      </w:r>
    </w:p>
    <w:p w14:paraId="256FD742">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第二章 采购需求</w:t>
      </w:r>
    </w:p>
    <w:p w14:paraId="4EA1B8D2">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第三章 </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须知</w:t>
      </w:r>
    </w:p>
    <w:p w14:paraId="2D3C32D2">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第四章 评审方法及标准</w:t>
      </w:r>
    </w:p>
    <w:p w14:paraId="797676A8">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第五章 合同主要条款格式</w:t>
      </w:r>
    </w:p>
    <w:p w14:paraId="50B2F91A">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第六章 投标文件格式</w:t>
      </w:r>
    </w:p>
    <w:p w14:paraId="44CBAF9A">
      <w:pPr>
        <w:spacing w:before="120" w:line="320" w:lineRule="atLeast"/>
        <w:ind w:firstLine="422" w:firstLineChars="200"/>
        <w:outlineLvl w:val="2"/>
        <w:rPr>
          <w:rFonts w:ascii="宋体" w:hAnsi="宋体" w:eastAsia="宋体" w:cs="宋体"/>
          <w:color w:val="auto"/>
          <w:sz w:val="24"/>
          <w:szCs w:val="24"/>
          <w:highlight w:val="none"/>
        </w:rPr>
      </w:pPr>
      <w:r>
        <w:rPr>
          <w:rFonts w:ascii="Times New Roman" w:hAnsi="Times New Roman" w:eastAsia="宋体" w:cs="Times New Roman"/>
          <w:b/>
          <w:bCs/>
          <w:color w:val="auto"/>
          <w:kern w:val="0"/>
          <w:szCs w:val="21"/>
          <w:highlight w:val="none"/>
        </w:rPr>
        <w:t>2.2 投标人的风险</w:t>
      </w:r>
      <w:r>
        <w:rPr>
          <w:rFonts w:ascii="宋体" w:hAnsi="宋体" w:eastAsia="宋体" w:cs="宋体"/>
          <w:color w:val="auto"/>
          <w:sz w:val="24"/>
          <w:szCs w:val="24"/>
          <w:highlight w:val="none"/>
        </w:rPr>
        <w:t xml:space="preserve"> </w:t>
      </w:r>
    </w:p>
    <w:p w14:paraId="410543A6">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投标人没有按照招标文件要求提供全部资料，或者投标人没有对招标文件在各方面作出实质性响应</w:t>
      </w:r>
    </w:p>
    <w:p w14:paraId="19822EC7">
      <w:pPr>
        <w:spacing w:before="120" w:line="320" w:lineRule="atLeas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是投标人的风险，并可能导致其投标被否决。</w:t>
      </w:r>
    </w:p>
    <w:p w14:paraId="2D09EC98">
      <w:pPr>
        <w:spacing w:before="120" w:line="320" w:lineRule="atLeast"/>
        <w:ind w:firstLine="422" w:firstLineChars="200"/>
        <w:outlineLvl w:val="2"/>
        <w:rPr>
          <w:rFonts w:ascii="Times New Roman" w:hAnsi="Times New Roman" w:eastAsia="宋体" w:cs="Times New Roman"/>
          <w:b/>
          <w:color w:val="auto"/>
          <w:szCs w:val="21"/>
          <w:highlight w:val="none"/>
        </w:rPr>
      </w:pPr>
      <w:r>
        <w:rPr>
          <w:rFonts w:ascii="Times New Roman" w:hAnsi="Times New Roman" w:eastAsia="宋体" w:cs="Times New Roman"/>
          <w:b/>
          <w:bCs/>
          <w:color w:val="auto"/>
          <w:kern w:val="0"/>
          <w:szCs w:val="21"/>
          <w:highlight w:val="none"/>
        </w:rPr>
        <w:t>2.3招标文件的澄清与修改</w:t>
      </w:r>
    </w:p>
    <w:p w14:paraId="025E3A5A">
      <w:pPr>
        <w:spacing w:before="120" w:line="360" w:lineRule="auto"/>
        <w:ind w:left="420" w:left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2.3.1 任何已获得招标文件的潜在投标人，均可以书面形式要求采购代理机构作出书面解释、澄清。 2.3.2 采购人或者采购代理机构可以对已发出的招标文件进行必要的澄清或者修改。澄清或者修改</w:t>
      </w:r>
    </w:p>
    <w:p w14:paraId="725CCFE5">
      <w:pPr>
        <w:spacing w:before="120"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 的内容可能影响投标文件编制的，采购人或者采购代理机构应当在投标截止时间至少15日前，在投标 人须知前附表规定的方式通知所有获取招标文件的潜在投标人；不足15日的，采购人或者采购代理机 构应当顺延提交投标文件的截止时间。 </w:t>
      </w:r>
    </w:p>
    <w:p w14:paraId="1B647EB6">
      <w:pPr>
        <w:spacing w:before="120"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2.3.3 招标文件澄清、答复、修改、补充的内容为招标文件的组成部分。当招标文件与招标文件的答复、澄清、修改、补充通知就同一内容的表述不一致时，以最后发出的公告或书面文件为准。</w:t>
      </w:r>
    </w:p>
    <w:p w14:paraId="795DC5F5">
      <w:pPr>
        <w:spacing w:before="120" w:line="320" w:lineRule="atLeast"/>
        <w:ind w:left="2" w:leftChars="1" w:firstLine="422" w:firstLineChars="200"/>
        <w:outlineLvl w:val="1"/>
        <w:rPr>
          <w:rFonts w:ascii="Times New Roman" w:hAnsi="Times New Roman" w:eastAsia="宋体" w:cs="Times New Roman"/>
          <w:b/>
          <w:bCs/>
          <w:color w:val="auto"/>
          <w:kern w:val="0"/>
          <w:szCs w:val="21"/>
          <w:highlight w:val="none"/>
        </w:rPr>
      </w:pPr>
      <w:bookmarkStart w:id="49" w:name="_Toc254970676"/>
      <w:bookmarkStart w:id="50" w:name="_Toc254970535"/>
      <w:r>
        <w:rPr>
          <w:rFonts w:ascii="Times New Roman" w:hAnsi="Times New Roman" w:eastAsia="宋体" w:cs="Times New Roman"/>
          <w:b/>
          <w:bCs/>
          <w:color w:val="auto"/>
          <w:kern w:val="0"/>
          <w:szCs w:val="21"/>
          <w:highlight w:val="none"/>
        </w:rPr>
        <w:t>3．投标文件</w:t>
      </w:r>
      <w:bookmarkEnd w:id="49"/>
      <w:bookmarkEnd w:id="50"/>
    </w:p>
    <w:p w14:paraId="1D8050E6">
      <w:pPr>
        <w:spacing w:before="120" w:line="360" w:lineRule="auto"/>
        <w:ind w:firstLine="422" w:firstLineChars="200"/>
        <w:outlineLvl w:val="2"/>
        <w:rPr>
          <w:rFonts w:ascii="Times New Roman" w:hAnsi="Times New Roman" w:eastAsia="宋体" w:cs="Times New Roman"/>
          <w:b/>
          <w:bCs/>
          <w:color w:val="auto"/>
          <w:kern w:val="0"/>
          <w:szCs w:val="21"/>
          <w:highlight w:val="none"/>
        </w:rPr>
      </w:pPr>
      <w:bookmarkStart w:id="51" w:name="_Toc254970536"/>
      <w:bookmarkStart w:id="52" w:name="_Toc254970677"/>
      <w:r>
        <w:rPr>
          <w:rFonts w:ascii="Times New Roman" w:hAnsi="Times New Roman" w:eastAsia="宋体" w:cs="Times New Roman"/>
          <w:b/>
          <w:bCs/>
          <w:color w:val="auto"/>
          <w:kern w:val="0"/>
          <w:szCs w:val="21"/>
          <w:highlight w:val="none"/>
        </w:rPr>
        <w:t>3.1投标文件的组成</w:t>
      </w:r>
      <w:bookmarkEnd w:id="51"/>
      <w:bookmarkEnd w:id="52"/>
    </w:p>
    <w:p w14:paraId="24ABA603">
      <w:pPr>
        <w:spacing w:before="120" w:line="360" w:lineRule="auto"/>
        <w:ind w:firstLine="420" w:firstLineChars="200"/>
        <w:rPr>
          <w:rFonts w:ascii="Times New Roman" w:hAnsi="Times New Roman" w:eastAsia="宋体" w:cs="Times New Roman"/>
          <w:color w:val="auto"/>
          <w:szCs w:val="21"/>
          <w:highlight w:val="none"/>
        </w:rPr>
      </w:pPr>
      <w:bookmarkStart w:id="53" w:name="_Toc254970678"/>
      <w:bookmarkStart w:id="54" w:name="_Toc254970537"/>
      <w:r>
        <w:rPr>
          <w:rFonts w:ascii="Times New Roman" w:hAnsi="Times New Roman" w:eastAsia="宋体" w:cs="Times New Roman"/>
          <w:color w:val="auto"/>
          <w:szCs w:val="21"/>
          <w:highlight w:val="none"/>
        </w:rPr>
        <w:t>投标文件由第六章“投标文件格式”规定的内容和投标人所作的一切有效补充、修改和承诺等文件组 成</w:t>
      </w:r>
      <w:r>
        <w:rPr>
          <w:rFonts w:hint="eastAsia" w:ascii="Times New Roman" w:hAnsi="Times New Roman" w:eastAsia="宋体" w:cs="Times New Roman"/>
          <w:color w:val="auto"/>
          <w:szCs w:val="21"/>
          <w:highlight w:val="none"/>
        </w:rPr>
        <w:t>。</w:t>
      </w:r>
    </w:p>
    <w:p w14:paraId="15523AAD">
      <w:pPr>
        <w:spacing w:before="120" w:line="320" w:lineRule="atLeast"/>
        <w:ind w:firstLine="422" w:firstLineChars="200"/>
        <w:outlineLvl w:val="2"/>
        <w:rPr>
          <w:rFonts w:ascii="Times New Roman" w:hAnsi="Times New Roman" w:eastAsia="宋体" w:cs="Times New Roman"/>
          <w:b/>
          <w:bCs/>
          <w:color w:val="auto"/>
          <w:kern w:val="0"/>
          <w:szCs w:val="21"/>
          <w:highlight w:val="none"/>
        </w:rPr>
      </w:pPr>
      <w:r>
        <w:rPr>
          <w:rFonts w:ascii="Times New Roman" w:hAnsi="Times New Roman" w:eastAsia="宋体" w:cs="Times New Roman"/>
          <w:b/>
          <w:color w:val="auto"/>
          <w:szCs w:val="21"/>
          <w:highlight w:val="none"/>
        </w:rPr>
        <w:t>3.2</w:t>
      </w:r>
      <w:r>
        <w:rPr>
          <w:rFonts w:ascii="Times New Roman" w:hAnsi="Times New Roman" w:eastAsia="宋体" w:cs="Times New Roman"/>
          <w:b/>
          <w:bCs/>
          <w:color w:val="auto"/>
          <w:kern w:val="0"/>
          <w:szCs w:val="21"/>
          <w:highlight w:val="none"/>
        </w:rPr>
        <w:t>投标文件的语言及计量</w:t>
      </w:r>
      <w:bookmarkEnd w:id="53"/>
      <w:bookmarkEnd w:id="54"/>
    </w:p>
    <w:p w14:paraId="23414D0C">
      <w:pPr>
        <w:spacing w:before="120"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3.2.1 投标文件以及投标人与采购人就有关投标事宜的所有来往函电，均应以中文书写（除专用术 语外，与招标投标有关的语言均使用中文。必要时专用术语应附有中文注释）。</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 xml:space="preserve">提交的支持文件 和印刷的文献可以使用别的语言，但其相应内容应同时附中文翻译文本，在解释投标文件时以中文翻译 文本为主。对不同文字文本投标文件的解释发生异议的，以中文文本为准。 </w:t>
      </w:r>
    </w:p>
    <w:p w14:paraId="2D21F1F2">
      <w:pPr>
        <w:spacing w:before="120"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3.2.2 计量单位招标文件已有明确规定的，投标使用招标文件规定的计量单位；招标文件没有规定 的，应采用中华人民共和国法定计量单位。</w:t>
      </w:r>
    </w:p>
    <w:p w14:paraId="4022E296">
      <w:pPr>
        <w:spacing w:before="120" w:line="320" w:lineRule="atLeast"/>
        <w:ind w:firstLine="422" w:firstLineChars="200"/>
        <w:outlineLvl w:val="2"/>
        <w:rPr>
          <w:rFonts w:ascii="Times New Roman" w:hAnsi="Times New Roman" w:eastAsia="宋体" w:cs="Times New Roman"/>
          <w:b/>
          <w:bCs/>
          <w:color w:val="auto"/>
          <w:kern w:val="0"/>
          <w:szCs w:val="21"/>
          <w:highlight w:val="none"/>
        </w:rPr>
      </w:pPr>
      <w:bookmarkStart w:id="55" w:name="_Toc254970538"/>
      <w:bookmarkStart w:id="56" w:name="_Toc254970679"/>
      <w:r>
        <w:rPr>
          <w:rFonts w:ascii="Times New Roman" w:hAnsi="Times New Roman" w:eastAsia="宋体" w:cs="Times New Roman"/>
          <w:b/>
          <w:bCs/>
          <w:color w:val="auto"/>
          <w:kern w:val="0"/>
          <w:szCs w:val="21"/>
          <w:highlight w:val="none"/>
        </w:rPr>
        <w:t>3.3投标报价</w:t>
      </w:r>
      <w:bookmarkEnd w:id="55"/>
      <w:bookmarkEnd w:id="56"/>
    </w:p>
    <w:p w14:paraId="471228C3">
      <w:pPr>
        <w:spacing w:before="120"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3.3.1 投标报价应按招标文件中相关附表格式填写。</w:t>
      </w:r>
    </w:p>
    <w:p w14:paraId="275B32E8">
      <w:pPr>
        <w:spacing w:before="120"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3.3.2 投标文件只允许有一个报价，有选择的或有条件的报价将不予接受。 </w:t>
      </w:r>
    </w:p>
    <w:p w14:paraId="08A8073D">
      <w:pPr>
        <w:spacing w:before="120"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3.3.3 对于本文件中未列明，而投标人认为必需的费用也需列入投标报价。在合同实施时，采购人将不予支付中标人没有列入的项目费用，并认为此项目的费用已包括在投标报价中。</w:t>
      </w:r>
    </w:p>
    <w:p w14:paraId="2AE9EBC8">
      <w:pPr>
        <w:spacing w:before="120"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3.3.4 采购人不接受</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给予的赠品、回扣或者与采购无关的其他商品、服务。</w:t>
      </w:r>
    </w:p>
    <w:p w14:paraId="6B071000">
      <w:pPr>
        <w:spacing w:before="120" w:line="320" w:lineRule="atLeast"/>
        <w:ind w:firstLine="422" w:firstLineChars="200"/>
        <w:outlineLvl w:val="2"/>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kern w:val="0"/>
          <w:szCs w:val="21"/>
          <w:highlight w:val="none"/>
        </w:rPr>
        <w:t>3.4投标有效期</w:t>
      </w:r>
    </w:p>
    <w:p w14:paraId="6FB9156F">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3.4.1 如招标文件其他地方无特别规定，投标有效期则为投标截止之日起90天。在投标有效期内投 标文件应保持有效。</w:t>
      </w:r>
      <w:r>
        <w:rPr>
          <w:rFonts w:ascii="Times New Roman" w:hAnsi="Times New Roman" w:eastAsia="宋体" w:cs="Times New Roman"/>
          <w:b/>
          <w:bCs/>
          <w:color w:val="auto"/>
          <w:szCs w:val="21"/>
          <w:highlight w:val="none"/>
        </w:rPr>
        <w:t>有效期不足的投标文件将被否决。</w:t>
      </w:r>
    </w:p>
    <w:p w14:paraId="639479F1">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3.4.2 在特殊情况下，采购人可与投标人协商延长投标文件的有效期，这种要求和答复均以书面形 式进行。 </w:t>
      </w:r>
    </w:p>
    <w:p w14:paraId="5562DBB0">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3.4.3 投标人同意延长的投标有效期的，如本项目要求提交保证金则应相应延长其投标保证金的有 效期，但不得要求或被允许修改或撤销其投标文件；投标人拒绝延长的，其投标无效，但投标人有权收 回其投标保证金。</w:t>
      </w:r>
    </w:p>
    <w:p w14:paraId="0A517868">
      <w:pPr>
        <w:spacing w:before="120" w:line="320" w:lineRule="atLeast"/>
        <w:ind w:firstLine="422" w:firstLineChars="200"/>
        <w:outlineLvl w:val="2"/>
        <w:rPr>
          <w:rFonts w:ascii="Times New Roman" w:hAnsi="Times New Roman" w:eastAsia="宋体" w:cs="Times New Roman"/>
          <w:b/>
          <w:bCs/>
          <w:color w:val="auto"/>
          <w:kern w:val="0"/>
          <w:szCs w:val="21"/>
          <w:highlight w:val="none"/>
        </w:rPr>
      </w:pPr>
      <w:bookmarkStart w:id="57" w:name="_Toc254970682"/>
      <w:bookmarkStart w:id="58" w:name="_Toc254970541"/>
      <w:r>
        <w:rPr>
          <w:rFonts w:ascii="Times New Roman" w:hAnsi="Times New Roman" w:eastAsia="宋体" w:cs="Times New Roman"/>
          <w:b/>
          <w:bCs/>
          <w:color w:val="auto"/>
          <w:kern w:val="0"/>
          <w:szCs w:val="21"/>
          <w:highlight w:val="none"/>
        </w:rPr>
        <w:t>3.5投标保证金</w:t>
      </w:r>
      <w:bookmarkEnd w:id="57"/>
      <w:bookmarkEnd w:id="58"/>
    </w:p>
    <w:p w14:paraId="7284D3D8">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3.5.1</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须按须知前附表规定提交投标保证金，</w:t>
      </w:r>
      <w:r>
        <w:rPr>
          <w:rFonts w:ascii="Times New Roman" w:hAnsi="Times New Roman" w:eastAsia="宋体" w:cs="Times New Roman"/>
          <w:b/>
          <w:bCs/>
          <w:color w:val="auto"/>
          <w:szCs w:val="21"/>
          <w:highlight w:val="none"/>
        </w:rPr>
        <w:t>否则其投标将被否决</w:t>
      </w:r>
      <w:r>
        <w:rPr>
          <w:rFonts w:ascii="Times New Roman" w:hAnsi="Times New Roman" w:eastAsia="宋体" w:cs="Times New Roman"/>
          <w:color w:val="auto"/>
          <w:szCs w:val="21"/>
          <w:highlight w:val="none"/>
        </w:rPr>
        <w:t>。除招标文件规定不予退还保证金的情形外，代理机构在规定时间内退回</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的投标保证金（</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自行承担因未按</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须知前附表要求交纳导致投标保证金无法及时退还的责任）。</w:t>
      </w:r>
    </w:p>
    <w:p w14:paraId="6CBFE9CC">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3.5.2投标保证金币种应与投标报价币种相同。</w:t>
      </w:r>
    </w:p>
    <w:p w14:paraId="19791958">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3.5.3未中标人的投标保证金在中标通知书发出后5个工作日内退还。中标人的投标保证金在合同签订后5个工作日内退还（办理退还手续时需要向采购代理机构提供两份合同复印件）。</w:t>
      </w:r>
    </w:p>
    <w:p w14:paraId="55CDFD8A">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3.5.4</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有下列情形之一的，投标保证金将不予退还：</w:t>
      </w:r>
    </w:p>
    <w:p w14:paraId="5A84764A">
      <w:pPr>
        <w:numPr>
          <w:ilvl w:val="0"/>
          <w:numId w:val="0"/>
        </w:numPr>
        <w:spacing w:before="120" w:line="320" w:lineRule="atLeast"/>
        <w:ind w:left="1140" w:leftChars="0" w:hanging="720" w:firstLineChars="0"/>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2"/>
          <w:sz w:val="21"/>
          <w:szCs w:val="21"/>
          <w:lang w:val="en-US" w:eastAsia="zh-CN" w:bidi="ar-SA"/>
        </w:rPr>
        <w:t>（1）</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在投标有效期内撤销投标文件的；</w:t>
      </w:r>
    </w:p>
    <w:p w14:paraId="26BAE8F3">
      <w:pPr>
        <w:numPr>
          <w:ilvl w:val="0"/>
          <w:numId w:val="0"/>
        </w:numPr>
        <w:spacing w:before="120" w:line="320" w:lineRule="atLeast"/>
        <w:ind w:left="1140" w:leftChars="0" w:hanging="720" w:firstLineChars="0"/>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2"/>
          <w:sz w:val="21"/>
          <w:szCs w:val="21"/>
          <w:lang w:val="en-US" w:eastAsia="zh-CN" w:bidi="ar-SA"/>
        </w:rPr>
        <w:t>（2）</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在投标过程中弄虚作假，提供虚假材料的；</w:t>
      </w:r>
    </w:p>
    <w:p w14:paraId="6B87739D">
      <w:pPr>
        <w:numPr>
          <w:ilvl w:val="0"/>
          <w:numId w:val="0"/>
        </w:numPr>
        <w:spacing w:before="120" w:line="320" w:lineRule="atLeast"/>
        <w:ind w:left="1140" w:leftChars="0" w:hanging="720" w:firstLineChars="0"/>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2"/>
          <w:sz w:val="21"/>
          <w:szCs w:val="21"/>
          <w:lang w:val="en-US" w:eastAsia="zh-CN" w:bidi="ar-SA"/>
        </w:rPr>
        <w:t>（3）</w:t>
      </w:r>
      <w:r>
        <w:rPr>
          <w:rFonts w:ascii="Times New Roman" w:hAnsi="Times New Roman" w:eastAsia="宋体" w:cs="Times New Roman"/>
          <w:color w:val="auto"/>
          <w:szCs w:val="21"/>
          <w:highlight w:val="none"/>
        </w:rPr>
        <w:t>中标人无正当理由不与采购人签订合同的；</w:t>
      </w:r>
    </w:p>
    <w:p w14:paraId="466B36DC">
      <w:pPr>
        <w:numPr>
          <w:ilvl w:val="0"/>
          <w:numId w:val="0"/>
        </w:numPr>
        <w:spacing w:before="120" w:line="320" w:lineRule="atLeast"/>
        <w:ind w:left="1140" w:leftChars="0" w:hanging="720" w:firstLineChars="0"/>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2"/>
          <w:sz w:val="21"/>
          <w:szCs w:val="21"/>
          <w:lang w:val="en-US" w:eastAsia="zh-CN" w:bidi="ar-SA"/>
        </w:rPr>
        <w:t>（4）</w:t>
      </w:r>
      <w:r>
        <w:rPr>
          <w:rFonts w:ascii="Times New Roman" w:hAnsi="Times New Roman" w:eastAsia="宋体" w:cs="Times New Roman"/>
          <w:color w:val="auto"/>
          <w:szCs w:val="21"/>
          <w:highlight w:val="none"/>
        </w:rPr>
        <w:t>将中标项目转让给他人或者在投标文件中未说明且未经采购人同意，将中标项目分包给他人的；</w:t>
      </w:r>
    </w:p>
    <w:p w14:paraId="1A247442">
      <w:pPr>
        <w:numPr>
          <w:ilvl w:val="0"/>
          <w:numId w:val="0"/>
        </w:numPr>
        <w:spacing w:before="120" w:line="320" w:lineRule="atLeast"/>
        <w:ind w:left="1140" w:leftChars="0" w:hanging="720" w:firstLineChars="0"/>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2"/>
          <w:sz w:val="21"/>
          <w:szCs w:val="21"/>
          <w:lang w:val="en-US" w:eastAsia="zh-CN" w:bidi="ar-SA"/>
        </w:rPr>
        <w:t>（5）</w:t>
      </w:r>
      <w:r>
        <w:rPr>
          <w:rFonts w:ascii="Times New Roman" w:hAnsi="Times New Roman" w:eastAsia="宋体" w:cs="Times New Roman"/>
          <w:color w:val="auto"/>
          <w:szCs w:val="21"/>
          <w:highlight w:val="none"/>
        </w:rPr>
        <w:t>拒绝履行合同义务的；</w:t>
      </w:r>
    </w:p>
    <w:p w14:paraId="038CD5C2">
      <w:pPr>
        <w:numPr>
          <w:ilvl w:val="0"/>
          <w:numId w:val="0"/>
        </w:numPr>
        <w:spacing w:before="120" w:line="320" w:lineRule="atLeast"/>
        <w:ind w:left="1140" w:leftChars="0" w:hanging="720" w:firstLineChars="0"/>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2"/>
          <w:sz w:val="21"/>
          <w:szCs w:val="21"/>
          <w:lang w:val="en-US" w:eastAsia="zh-CN" w:bidi="ar-SA"/>
        </w:rPr>
        <w:t>（6）</w:t>
      </w:r>
      <w:r>
        <w:rPr>
          <w:rFonts w:ascii="Times New Roman" w:hAnsi="Times New Roman" w:eastAsia="宋体" w:cs="Times New Roman"/>
          <w:color w:val="auto"/>
          <w:szCs w:val="21"/>
          <w:highlight w:val="none"/>
        </w:rPr>
        <w:t>其他严重扰乱招投标程序的</w:t>
      </w:r>
      <w:r>
        <w:rPr>
          <w:rFonts w:hint="eastAsia" w:ascii="Times New Roman" w:hAnsi="Times New Roman" w:eastAsia="宋体" w:cs="Times New Roman"/>
          <w:color w:val="auto"/>
          <w:szCs w:val="21"/>
          <w:highlight w:val="none"/>
        </w:rPr>
        <w:t>。</w:t>
      </w:r>
    </w:p>
    <w:p w14:paraId="4CF1156B">
      <w:pPr>
        <w:spacing w:before="120" w:line="320" w:lineRule="atLeast"/>
        <w:ind w:firstLine="422" w:firstLineChars="200"/>
        <w:outlineLvl w:val="2"/>
        <w:rPr>
          <w:rFonts w:ascii="Times New Roman" w:hAnsi="Times New Roman" w:eastAsia="宋体" w:cs="Times New Roman"/>
          <w:b/>
          <w:bCs/>
          <w:color w:val="auto"/>
          <w:kern w:val="0"/>
          <w:szCs w:val="21"/>
          <w:highlight w:val="none"/>
        </w:rPr>
      </w:pPr>
      <w:bookmarkStart w:id="59" w:name="_Toc254970542"/>
      <w:bookmarkStart w:id="60" w:name="_Toc254970683"/>
      <w:r>
        <w:rPr>
          <w:rFonts w:ascii="Times New Roman" w:hAnsi="Times New Roman" w:eastAsia="宋体" w:cs="Times New Roman"/>
          <w:b/>
          <w:bCs/>
          <w:color w:val="auto"/>
          <w:kern w:val="0"/>
          <w:szCs w:val="21"/>
          <w:highlight w:val="none"/>
        </w:rPr>
        <w:t>3.6投标文件的</w:t>
      </w:r>
      <w:bookmarkEnd w:id="59"/>
      <w:bookmarkEnd w:id="60"/>
      <w:r>
        <w:rPr>
          <w:rFonts w:ascii="Times New Roman" w:hAnsi="Times New Roman" w:eastAsia="宋体" w:cs="Times New Roman"/>
          <w:b/>
          <w:bCs/>
          <w:color w:val="auto"/>
          <w:kern w:val="0"/>
          <w:szCs w:val="21"/>
          <w:highlight w:val="none"/>
        </w:rPr>
        <w:t>编制要求</w:t>
      </w:r>
    </w:p>
    <w:p w14:paraId="57CF8E93">
      <w:pPr>
        <w:spacing w:before="120" w:line="320" w:lineRule="atLeast"/>
        <w:ind w:firstLine="420" w:firstLineChars="200"/>
        <w:rPr>
          <w:rFonts w:ascii="Times New Roman" w:hAnsi="Times New Roman" w:eastAsia="宋体" w:cs="Times New Roman"/>
          <w:b/>
          <w:bCs/>
          <w:color w:val="auto"/>
          <w:kern w:val="0"/>
          <w:szCs w:val="21"/>
          <w:highlight w:val="none"/>
        </w:rPr>
      </w:pPr>
      <w:r>
        <w:rPr>
          <w:rFonts w:hint="eastAsia" w:ascii="Times New Roman" w:hAnsi="Times New Roman" w:eastAsia="宋体" w:cs="Times New Roman"/>
          <w:color w:val="auto"/>
          <w:kern w:val="0"/>
          <w:szCs w:val="21"/>
          <w:highlight w:val="none"/>
        </w:rPr>
        <w:t>3</w:t>
      </w:r>
      <w:r>
        <w:rPr>
          <w:rFonts w:ascii="Times New Roman" w:hAnsi="Times New Roman" w:eastAsia="宋体" w:cs="Times New Roman"/>
          <w:color w:val="auto"/>
          <w:kern w:val="0"/>
          <w:szCs w:val="21"/>
          <w:highlight w:val="none"/>
        </w:rPr>
        <w:t>.6.1</w:t>
      </w:r>
      <w:r>
        <w:rPr>
          <w:rFonts w:hint="eastAsia" w:ascii="Times New Roman" w:hAnsi="Times New Roman" w:eastAsia="宋体" w:cs="Times New Roman"/>
          <w:color w:val="auto"/>
          <w:kern w:val="0"/>
          <w:szCs w:val="21"/>
          <w:highlight w:val="none"/>
        </w:rPr>
        <w:t>投标人</w:t>
      </w:r>
      <w:r>
        <w:rPr>
          <w:rFonts w:ascii="Times New Roman" w:hAnsi="Times New Roman" w:eastAsia="宋体" w:cs="Times New Roman"/>
          <w:color w:val="auto"/>
          <w:kern w:val="0"/>
          <w:szCs w:val="21"/>
          <w:highlight w:val="none"/>
        </w:rPr>
        <w:t>应先安装广西政府采购云平台新版客户端</w:t>
      </w:r>
      <w:r>
        <w:rPr>
          <w:rFonts w:hint="eastAsia" w:ascii="Times New Roman" w:hAnsi="Times New Roman" w:eastAsia="宋体" w:cs="Times New Roman"/>
          <w:color w:val="auto"/>
          <w:szCs w:val="21"/>
          <w:highlight w:val="none"/>
        </w:rPr>
        <w:t>，通过账号密码或C</w:t>
      </w:r>
      <w:r>
        <w:rPr>
          <w:rFonts w:ascii="Times New Roman" w:hAnsi="Times New Roman" w:eastAsia="宋体" w:cs="Times New Roman"/>
          <w:color w:val="auto"/>
          <w:szCs w:val="21"/>
          <w:highlight w:val="none"/>
        </w:rPr>
        <w:t>A</w:t>
      </w:r>
      <w:r>
        <w:rPr>
          <w:rFonts w:hint="eastAsia" w:ascii="Times New Roman" w:hAnsi="Times New Roman" w:eastAsia="宋体" w:cs="Times New Roman"/>
          <w:color w:val="auto"/>
          <w:szCs w:val="21"/>
          <w:highlight w:val="none"/>
        </w:rPr>
        <w:t>登录客户端制作投标文件。</w:t>
      </w:r>
    </w:p>
    <w:p w14:paraId="509D7C09">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3.6.2</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应按本招标文件规定的格式和顺序编制投标文件</w:t>
      </w:r>
      <w:r>
        <w:rPr>
          <w:rFonts w:hint="eastAsia" w:ascii="Times New Roman" w:hAnsi="Times New Roman" w:eastAsia="宋体" w:cs="Times New Roman"/>
          <w:color w:val="auto"/>
          <w:szCs w:val="21"/>
          <w:highlight w:val="none"/>
        </w:rPr>
        <w:t>并进行关联定位</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以便评审委员会在评审时，点击评分项可直接定位到该评分项内容。如对招标文件的某项要求，投标人的投标文件未能关联定位提供相应的内容与其对应，则评审委员会在评审时如做出对投标人不利的评审由投标人自行承担。投标文件如内容不完整、编排混乱导致投标文件被误读、漏读，或者在按招标文件规定的部位查找不到相关内容的，由投标人自行承担。</w:t>
      </w:r>
    </w:p>
    <w:p w14:paraId="44AC4EEB">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3.6.3 </w:t>
      </w:r>
      <w:r>
        <w:rPr>
          <w:rFonts w:hint="eastAsia" w:ascii="Times New Roman" w:hAnsi="Times New Roman" w:eastAsia="宋体" w:cs="Times New Roman"/>
          <w:color w:val="auto"/>
          <w:szCs w:val="21"/>
          <w:highlight w:val="none"/>
        </w:rPr>
        <w:t>投标人的投标文件未按照招标文件要求签署、盖章的，</w:t>
      </w:r>
      <w:r>
        <w:rPr>
          <w:rFonts w:hint="eastAsia" w:ascii="Times New Roman" w:hAnsi="Times New Roman" w:eastAsia="宋体" w:cs="Times New Roman"/>
          <w:b/>
          <w:bCs/>
          <w:color w:val="auto"/>
          <w:szCs w:val="21"/>
          <w:highlight w:val="none"/>
        </w:rPr>
        <w:t>其投标无效</w:t>
      </w:r>
      <w:r>
        <w:rPr>
          <w:rFonts w:hint="eastAsia" w:ascii="Times New Roman" w:hAnsi="Times New Roman" w:eastAsia="宋体" w:cs="Times New Roman"/>
          <w:color w:val="auto"/>
          <w:szCs w:val="21"/>
          <w:highlight w:val="none"/>
        </w:rPr>
        <w:t>。</w:t>
      </w:r>
    </w:p>
    <w:p w14:paraId="215C6B8F">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3.6.4</w:t>
      </w:r>
      <w:r>
        <w:rPr>
          <w:rFonts w:hint="eastAsia" w:ascii="Times New Roman" w:hAnsi="Times New Roman" w:eastAsia="宋体" w:cs="Times New Roman"/>
          <w:color w:val="auto"/>
          <w:szCs w:val="21"/>
          <w:highlight w:val="none"/>
        </w:rPr>
        <w:t>为确保网上操作合法、有效和安全，投标人应当在投标截止时间前完成在广西政府采购云平台的身份认证，确保在电子投标过程中能够对相关数据电文进行加密和使用电子签名。</w:t>
      </w:r>
    </w:p>
    <w:p w14:paraId="71970CC9">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w:t>
      </w:r>
      <w:r>
        <w:rPr>
          <w:rFonts w:ascii="Times New Roman" w:hAnsi="Times New Roman" w:eastAsia="宋体" w:cs="Times New Roman"/>
          <w:color w:val="auto"/>
          <w:szCs w:val="21"/>
          <w:highlight w:val="none"/>
        </w:rPr>
        <w:t>.6.5</w:t>
      </w:r>
      <w:r>
        <w:rPr>
          <w:rFonts w:hint="eastAsia" w:ascii="Times New Roman" w:hAnsi="Times New Roman" w:eastAsia="宋体" w:cs="Times New Roman"/>
          <w:color w:val="auto"/>
          <w:szCs w:val="21"/>
          <w:highlight w:val="none"/>
        </w:rPr>
        <w:t>投标文件中标注的投标人名称应与主体资格证明（如营业执照、事业单位法人证书、执业许可证、个体工商户营业执照、自然人身份证等）和公章/电子签章一致，</w:t>
      </w:r>
      <w:r>
        <w:rPr>
          <w:rFonts w:hint="eastAsia" w:ascii="Times New Roman" w:hAnsi="Times New Roman" w:eastAsia="宋体" w:cs="Times New Roman"/>
          <w:b/>
          <w:bCs/>
          <w:color w:val="auto"/>
          <w:szCs w:val="21"/>
          <w:highlight w:val="none"/>
        </w:rPr>
        <w:t>否则作无效投标处理。</w:t>
      </w:r>
    </w:p>
    <w:p w14:paraId="4AD271EE">
      <w:pPr>
        <w:spacing w:before="120" w:line="320" w:lineRule="atLeast"/>
        <w:ind w:firstLine="422" w:firstLineChars="200"/>
        <w:outlineLvl w:val="2"/>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kern w:val="0"/>
          <w:szCs w:val="21"/>
          <w:highlight w:val="none"/>
        </w:rPr>
        <w:t>3.7投标文件的递交、修改和撤回</w:t>
      </w:r>
    </w:p>
    <w:p w14:paraId="06699B7E">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3.7.1</w:t>
      </w:r>
      <w:r>
        <w:rPr>
          <w:rFonts w:hint="eastAsia" w:ascii="Times New Roman" w:hAnsi="Times New Roman" w:eastAsia="宋体" w:cs="Times New Roman"/>
          <w:color w:val="auto"/>
          <w:szCs w:val="21"/>
          <w:highlight w:val="none"/>
        </w:rPr>
        <w:t xml:space="preserve">投标人必须在“投标人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 </w:t>
      </w:r>
    </w:p>
    <w:p w14:paraId="1C7EF70F">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w:t>
      </w:r>
      <w:r>
        <w:rPr>
          <w:rFonts w:ascii="Times New Roman" w:hAnsi="Times New Roman" w:eastAsia="宋体" w:cs="Times New Roman"/>
          <w:color w:val="auto"/>
          <w:szCs w:val="21"/>
          <w:highlight w:val="none"/>
        </w:rPr>
        <w:t>.7.2</w:t>
      </w:r>
      <w:r>
        <w:rPr>
          <w:rFonts w:hint="eastAsia" w:ascii="Times New Roman" w:hAnsi="Times New Roman" w:eastAsia="宋体" w:cs="Times New Roman"/>
          <w:color w:val="auto"/>
          <w:szCs w:val="21"/>
          <w:highlight w:val="none"/>
        </w:rPr>
        <w:t xml:space="preserve">未在规定时间内提交或者未按照招标文件要求签章、加密的电子投标文件，广西政府采购云平台将拒收。 </w:t>
      </w:r>
    </w:p>
    <w:p w14:paraId="4DD8BC76">
      <w:pPr>
        <w:spacing w:before="120" w:line="320" w:lineRule="atLeast"/>
        <w:ind w:left="2" w:leftChars="1" w:firstLine="420" w:firstLineChars="200"/>
        <w:rPr>
          <w:rFonts w:ascii="Times New Roman" w:hAnsi="Times New Roman" w:eastAsia="宋体" w:cs="Times New Roman"/>
          <w:color w:val="auto"/>
          <w:szCs w:val="21"/>
          <w:highlight w:val="none"/>
        </w:rPr>
      </w:pPr>
      <w:bookmarkStart w:id="61" w:name="_Toc254970544"/>
      <w:bookmarkStart w:id="62" w:name="_Toc254970685"/>
      <w:r>
        <w:rPr>
          <w:rFonts w:hint="eastAsia" w:ascii="Times New Roman" w:hAnsi="Times New Roman" w:eastAsia="宋体" w:cs="Times New Roman"/>
          <w:color w:val="auto"/>
          <w:szCs w:val="21"/>
          <w:highlight w:val="none"/>
        </w:rPr>
        <w:t>3</w:t>
      </w:r>
      <w:r>
        <w:rPr>
          <w:rFonts w:ascii="Times New Roman" w:hAnsi="Times New Roman" w:eastAsia="宋体" w:cs="Times New Roman"/>
          <w:color w:val="auto"/>
          <w:szCs w:val="21"/>
          <w:highlight w:val="none"/>
        </w:rPr>
        <w:t>.7.3</w:t>
      </w:r>
      <w:r>
        <w:rPr>
          <w:rFonts w:hint="eastAsia" w:ascii="Times New Roman" w:hAnsi="Times New Roman" w:eastAsia="宋体" w:cs="Times New Roman"/>
          <w:color w:val="auto"/>
          <w:szCs w:val="21"/>
          <w:highlight w:val="none"/>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0EC2D5AF">
      <w:pPr>
        <w:spacing w:before="120" w:line="320" w:lineRule="atLeast"/>
        <w:ind w:left="2" w:leftChars="1"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3.7.4</w:t>
      </w:r>
      <w:r>
        <w:rPr>
          <w:rFonts w:hint="eastAsia" w:ascii="Times New Roman" w:hAnsi="Times New Roman" w:eastAsia="宋体" w:cs="Times New Roman"/>
          <w:color w:val="auto"/>
          <w:szCs w:val="21"/>
          <w:highlight w:val="none"/>
        </w:rPr>
        <w:t>在投标截止时间前，除投标人补充、修改或者撤回投标文件外，任何单位和个人不得解密或提取投标文件。</w:t>
      </w:r>
    </w:p>
    <w:p w14:paraId="638C53BE">
      <w:pPr>
        <w:spacing w:before="120" w:line="320" w:lineRule="atLeast"/>
        <w:ind w:left="2" w:leftChars="1"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3.7.5</w:t>
      </w:r>
      <w:r>
        <w:rPr>
          <w:rFonts w:hint="eastAsia" w:ascii="Times New Roman" w:hAnsi="Times New Roman" w:eastAsia="宋体" w:cs="Times New Roman"/>
          <w:color w:val="auto"/>
          <w:szCs w:val="21"/>
          <w:highlight w:val="none"/>
        </w:rPr>
        <w:t>在投标截止时间止提交电子版投标文件的投标人不足3家时，电子版投标文件由代理机构在广西政府采购云平台操作退回，除此之外采购人和采购代理机构对已提交的投标文件概不退回。</w:t>
      </w:r>
    </w:p>
    <w:p w14:paraId="19759092">
      <w:pPr>
        <w:spacing w:before="120" w:line="320" w:lineRule="atLeast"/>
        <w:ind w:left="2" w:leftChars="1"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w:t>
      </w:r>
      <w:r>
        <w:rPr>
          <w:rFonts w:ascii="Times New Roman" w:hAnsi="Times New Roman" w:eastAsia="宋体" w:cs="Times New Roman"/>
          <w:color w:val="auto"/>
          <w:szCs w:val="21"/>
          <w:highlight w:val="none"/>
        </w:rPr>
        <w:t>.7.6</w:t>
      </w:r>
      <w:r>
        <w:rPr>
          <w:rFonts w:hint="eastAsia" w:ascii="Times New Roman" w:hAnsi="Times New Roman" w:eastAsia="宋体" w:cs="Times New Roman"/>
          <w:color w:val="auto"/>
          <w:szCs w:val="21"/>
          <w:highlight w:val="none"/>
        </w:rPr>
        <w:t>招标文件</w:t>
      </w:r>
      <w:bookmarkStart w:id="63" w:name="_Hlk106638610"/>
      <w:bookmarkStart w:id="64" w:name="_Hlk106637937"/>
      <w:r>
        <w:rPr>
          <w:rFonts w:hint="eastAsia" w:ascii="Times New Roman" w:hAnsi="Times New Roman" w:eastAsia="宋体" w:cs="Times New Roman"/>
          <w:color w:val="auto"/>
          <w:szCs w:val="21"/>
          <w:highlight w:val="none"/>
        </w:rPr>
        <w:t>未允许同一投标人提交两个或以上不同的响应文件，但存在</w:t>
      </w:r>
      <w:r>
        <w:rPr>
          <w:rFonts w:hint="eastAsia" w:ascii="Times New Roman" w:hAnsi="Times New Roman" w:eastAsia="宋体" w:cs="Times New Roman"/>
          <w:color w:val="auto"/>
          <w:szCs w:val="24"/>
          <w:highlight w:val="none"/>
        </w:rPr>
        <w:t>同</w:t>
      </w:r>
      <w:r>
        <w:rPr>
          <w:rFonts w:hint="eastAsia" w:ascii="Times New Roman" w:hAnsi="Times New Roman" w:eastAsia="宋体" w:cs="Times New Roman"/>
          <w:color w:val="auto"/>
          <w:szCs w:val="21"/>
          <w:highlight w:val="none"/>
        </w:rPr>
        <w:t>一投标人提交两个或以上不同的响应文件的</w:t>
      </w:r>
      <w:bookmarkEnd w:id="63"/>
      <w:bookmarkEnd w:id="64"/>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b/>
          <w:bCs/>
          <w:color w:val="auto"/>
          <w:szCs w:val="21"/>
          <w:highlight w:val="none"/>
        </w:rPr>
        <w:t>其投标无效。</w:t>
      </w:r>
      <w:r>
        <w:rPr>
          <w:rFonts w:hint="eastAsia" w:ascii="Times New Roman" w:hAnsi="Times New Roman" w:eastAsia="宋体" w:cs="Times New Roman"/>
          <w:color w:val="auto"/>
          <w:szCs w:val="21"/>
          <w:highlight w:val="none"/>
        </w:rPr>
        <w:t>投标人在同一投标文件中对某项技术、商务要求提供有选择性的响应参数或方案等同于提交两个或以上不同的投标文件。</w:t>
      </w:r>
    </w:p>
    <w:p w14:paraId="4E37DDC5">
      <w:pPr>
        <w:spacing w:before="120" w:line="320" w:lineRule="atLeast"/>
        <w:ind w:left="2" w:leftChars="1" w:firstLine="422" w:firstLineChars="200"/>
        <w:outlineLvl w:val="1"/>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kern w:val="0"/>
          <w:szCs w:val="21"/>
          <w:highlight w:val="none"/>
        </w:rPr>
        <w:t>4．开标</w:t>
      </w:r>
      <w:bookmarkEnd w:id="61"/>
      <w:bookmarkEnd w:id="62"/>
    </w:p>
    <w:p w14:paraId="5043B943">
      <w:pPr>
        <w:spacing w:before="120" w:line="320" w:lineRule="atLeast"/>
        <w:ind w:firstLine="422" w:firstLineChars="200"/>
        <w:outlineLvl w:val="2"/>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kern w:val="0"/>
          <w:szCs w:val="21"/>
          <w:highlight w:val="none"/>
        </w:rPr>
        <w:t>4.1开标准备</w:t>
      </w:r>
    </w:p>
    <w:p w14:paraId="5127325B">
      <w:pPr>
        <w:spacing w:before="120" w:line="276"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本项目投标截止时间及地点见“</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须知前附表”规定。</w:t>
      </w:r>
    </w:p>
    <w:p w14:paraId="67C39FED">
      <w:pPr>
        <w:autoSpaceDE w:val="0"/>
        <w:autoSpaceDN w:val="0"/>
        <w:adjustRightInd w:val="0"/>
        <w:spacing w:line="276"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全流程电子化项目没有现场递交投标文件及现场开标环节。采购代理机构将按照招标文件规定的时间通过广西政府采购云平台组织线上开标活动、开启投标文件，所有投标人均应当准时在线参加。投标人</w:t>
      </w:r>
      <w:r>
        <w:rPr>
          <w:rFonts w:ascii="Times New Roman" w:hAnsi="Times New Roman" w:eastAsia="宋体" w:cs="Times New Roman"/>
          <w:color w:val="auto"/>
          <w:szCs w:val="21"/>
          <w:highlight w:val="none"/>
        </w:rPr>
        <w:t>如不</w:t>
      </w:r>
      <w:r>
        <w:rPr>
          <w:rFonts w:hint="eastAsia" w:ascii="Times New Roman" w:hAnsi="Times New Roman" w:eastAsia="宋体" w:cs="Times New Roman"/>
          <w:color w:val="auto"/>
          <w:szCs w:val="21"/>
          <w:highlight w:val="none"/>
        </w:rPr>
        <w:t>参加</w:t>
      </w:r>
      <w:r>
        <w:rPr>
          <w:rFonts w:ascii="Times New Roman" w:hAnsi="Times New Roman" w:eastAsia="宋体" w:cs="Times New Roman"/>
          <w:color w:val="auto"/>
          <w:szCs w:val="21"/>
          <w:highlight w:val="none"/>
        </w:rPr>
        <w:t>开标大会的，</w:t>
      </w:r>
      <w:r>
        <w:rPr>
          <w:rFonts w:hint="eastAsia" w:ascii="Times New Roman" w:hAnsi="Times New Roman" w:eastAsia="宋体" w:cs="Times New Roman"/>
          <w:color w:val="auto"/>
          <w:szCs w:val="21"/>
          <w:highlight w:val="none"/>
        </w:rPr>
        <w:t>视同认可开标结果，</w:t>
      </w:r>
      <w:r>
        <w:rPr>
          <w:rFonts w:ascii="Times New Roman" w:hAnsi="Times New Roman" w:eastAsia="宋体" w:cs="Times New Roman"/>
          <w:color w:val="auto"/>
          <w:szCs w:val="21"/>
          <w:highlight w:val="none"/>
        </w:rPr>
        <w:t>事后不得对采购相关人员、开标过程和开标结果提出异议</w:t>
      </w:r>
      <w:r>
        <w:rPr>
          <w:rFonts w:hint="eastAsia" w:ascii="Times New Roman" w:hAnsi="Times New Roman" w:eastAsia="宋体" w:cs="Times New Roman"/>
          <w:color w:val="auto"/>
          <w:szCs w:val="21"/>
          <w:highlight w:val="none"/>
        </w:rPr>
        <w:t>，同时投标人因未在线参加开标而导致投标文件无法按时解密等一切后果由投标人自己承担。</w:t>
      </w:r>
    </w:p>
    <w:p w14:paraId="56DB4341">
      <w:pPr>
        <w:spacing w:before="120" w:line="276"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如投标人成功解密投标文件，但未在“</w:t>
      </w:r>
      <w:r>
        <w:rPr>
          <w:rFonts w:hint="eastAsia" w:ascii="宋体" w:hAnsi="宋体" w:eastAsia="宋体" w:cs="宋体"/>
          <w:color w:val="auto"/>
          <w:kern w:val="0"/>
          <w:szCs w:val="21"/>
          <w:highlight w:val="none"/>
        </w:rPr>
        <w:t>广西政府采购云平台</w:t>
      </w:r>
      <w:r>
        <w:rPr>
          <w:rFonts w:hint="eastAsia" w:ascii="Times New Roman" w:hAnsi="Times New Roman" w:eastAsia="宋体" w:cs="Times New Roman"/>
          <w:color w:val="auto"/>
          <w:szCs w:val="21"/>
          <w:highlight w:val="none"/>
        </w:rPr>
        <w:t xml:space="preserve">”电子开标大厅参加开标的，视同认可开标过程和结果，由此产生的后果由投标人自行负责。 </w:t>
      </w:r>
    </w:p>
    <w:p w14:paraId="34AFEDA1">
      <w:pPr>
        <w:spacing w:before="120" w:line="320" w:lineRule="atLeast"/>
        <w:ind w:firstLine="422" w:firstLineChars="200"/>
        <w:outlineLvl w:val="2"/>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kern w:val="0"/>
          <w:szCs w:val="21"/>
          <w:highlight w:val="none"/>
        </w:rPr>
        <w:t>4.2开标程序</w:t>
      </w:r>
    </w:p>
    <w:p w14:paraId="5C3C0B3C">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4.2.1</w:t>
      </w:r>
      <w:r>
        <w:rPr>
          <w:rFonts w:hint="eastAsia" w:ascii="Times New Roman" w:hAnsi="Times New Roman" w:eastAsia="宋体" w:cs="Times New Roman"/>
          <w:color w:val="auto"/>
          <w:szCs w:val="21"/>
          <w:highlight w:val="none"/>
        </w:rPr>
        <w:t>投标人登录广西政府采购云平台进入开标大厅签到。</w:t>
      </w:r>
    </w:p>
    <w:p w14:paraId="0687DD29">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4</w:t>
      </w:r>
      <w:r>
        <w:rPr>
          <w:rFonts w:ascii="Times New Roman" w:hAnsi="Times New Roman" w:eastAsia="宋体" w:cs="Times New Roman"/>
          <w:color w:val="auto"/>
          <w:szCs w:val="21"/>
          <w:highlight w:val="none"/>
        </w:rPr>
        <w:t>.2.2</w:t>
      </w:r>
      <w:r>
        <w:rPr>
          <w:rFonts w:hint="eastAsia" w:ascii="Times New Roman" w:hAnsi="Times New Roman" w:eastAsia="宋体" w:cs="Times New Roman"/>
          <w:color w:val="auto"/>
          <w:szCs w:val="21"/>
          <w:highlight w:val="none"/>
        </w:rPr>
        <w:t>解密电子投标文件。广西政府采购云平台按开标时间自动提取所有投标文件。采购代理机构在广西政府采购云平台向各投标人发出电子加密投标文件开始解密通知，由投标人平台设置时间内自行进行投标文件解密。投标人须使用加密时所用的CA锁准时登录到广西政府采购云平台电子开标大厅签到并对电子投标文件解密。开标后投标人未及时进行解密的，代理机构可通知投标人。</w:t>
      </w:r>
      <w:r>
        <w:rPr>
          <w:rFonts w:hint="eastAsia" w:ascii="Times New Roman" w:hAnsi="Times New Roman" w:eastAsia="宋体" w:cs="Times New Roman"/>
          <w:color w:val="auto"/>
          <w:szCs w:val="24"/>
          <w:highlight w:val="none"/>
        </w:rPr>
        <w:t>通知后投标人仍未在上述规定时间内解密响应文件</w:t>
      </w:r>
      <w:r>
        <w:rPr>
          <w:rFonts w:hint="eastAsia" w:ascii="Times New Roman" w:hAnsi="Times New Roman" w:eastAsia="宋体" w:cs="Times New Roman"/>
          <w:color w:val="auto"/>
          <w:szCs w:val="21"/>
          <w:highlight w:val="none"/>
        </w:rPr>
        <w:t>，或者投标人没预留联系方式或预留联系方式无效导致代理机构无法联系到投标人进行解密的，均视为无效投标。</w:t>
      </w:r>
    </w:p>
    <w:p w14:paraId="253C11A3">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4</w:t>
      </w:r>
      <w:r>
        <w:rPr>
          <w:rFonts w:ascii="Times New Roman" w:hAnsi="Times New Roman" w:eastAsia="宋体" w:cs="Times New Roman"/>
          <w:color w:val="auto"/>
          <w:szCs w:val="21"/>
          <w:highlight w:val="none"/>
        </w:rPr>
        <w:t>.2.3</w:t>
      </w:r>
      <w:bookmarkStart w:id="65" w:name="_Hlk106637968"/>
      <w:r>
        <w:rPr>
          <w:rFonts w:hint="eastAsia" w:ascii="Times New Roman" w:hAnsi="Times New Roman" w:eastAsia="宋体" w:cs="Times New Roman"/>
          <w:color w:val="auto"/>
          <w:szCs w:val="21"/>
          <w:highlight w:val="none"/>
        </w:rPr>
        <w:t>广西政府采购云平台设置有备份响应文件功能。备份响应文件是指平台设置为接受备份响应 文件时，如出现投标人上传的响应文件存在问题或其他投标人原因引起解密异常时，投标人可以在规定 时间内将备份响应文件通过邮箱发送至采购代理机构，由代理机构上传备份响应文件后自动解密从而避 免被视为无效响应。是否接受备份响应文件详见投标人须知前附表，如接受备份文件，投标人未在规定 时间内发送备份响应文件的将视为无效响应。</w:t>
      </w:r>
    </w:p>
    <w:bookmarkEnd w:id="65"/>
    <w:p w14:paraId="0C7D6658">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4</w:t>
      </w:r>
      <w:r>
        <w:rPr>
          <w:rFonts w:ascii="Times New Roman" w:hAnsi="Times New Roman" w:eastAsia="宋体" w:cs="Times New Roman"/>
          <w:color w:val="auto"/>
          <w:szCs w:val="21"/>
          <w:highlight w:val="none"/>
        </w:rPr>
        <w:t>.2.4</w:t>
      </w:r>
      <w:r>
        <w:rPr>
          <w:rFonts w:hint="eastAsia" w:ascii="Times New Roman" w:hAnsi="Times New Roman" w:eastAsia="宋体" w:cs="Times New Roman"/>
          <w:color w:val="auto"/>
          <w:szCs w:val="21"/>
          <w:highlight w:val="none"/>
        </w:rPr>
        <w:t>解密异常情况处理：详见本章</w:t>
      </w:r>
      <w:r>
        <w:rPr>
          <w:rFonts w:ascii="Times New Roman" w:hAnsi="Times New Roman" w:eastAsia="宋体" w:cs="Times New Roman"/>
          <w:color w:val="auto"/>
          <w:szCs w:val="21"/>
          <w:highlight w:val="none"/>
        </w:rPr>
        <w:t>9.2</w:t>
      </w:r>
      <w:r>
        <w:rPr>
          <w:rFonts w:hint="eastAsia" w:ascii="Times New Roman" w:hAnsi="Times New Roman" w:eastAsia="宋体" w:cs="Times New Roman"/>
          <w:color w:val="auto"/>
          <w:szCs w:val="21"/>
          <w:highlight w:val="none"/>
        </w:rPr>
        <w:t>电子交易活动的中止。</w:t>
      </w:r>
    </w:p>
    <w:p w14:paraId="41CC066D">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4</w:t>
      </w:r>
      <w:r>
        <w:rPr>
          <w:rFonts w:ascii="Times New Roman" w:hAnsi="Times New Roman" w:eastAsia="宋体" w:cs="Times New Roman"/>
          <w:color w:val="auto"/>
          <w:szCs w:val="21"/>
          <w:highlight w:val="none"/>
        </w:rPr>
        <w:t>.2.5</w:t>
      </w:r>
      <w:r>
        <w:rPr>
          <w:rFonts w:hint="eastAsia" w:ascii="Times New Roman" w:hAnsi="Times New Roman" w:eastAsia="宋体" w:cs="Times New Roman"/>
          <w:color w:val="auto"/>
          <w:szCs w:val="21"/>
          <w:highlight w:val="none"/>
        </w:rPr>
        <w:t>投标人对报价进行确认。</w:t>
      </w:r>
    </w:p>
    <w:p w14:paraId="4B1F4FE0">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4.2.6开标结束。</w:t>
      </w:r>
    </w:p>
    <w:p w14:paraId="0B481AC5">
      <w:pPr>
        <w:snapToGrid w:val="0"/>
        <w:spacing w:line="440" w:lineRule="exact"/>
        <w:ind w:firstLine="422" w:firstLineChars="200"/>
        <w:rPr>
          <w:rFonts w:ascii="宋体" w:hAnsi="宋体" w:eastAsia="宋体" w:cs="Courier New"/>
          <w:color w:val="auto"/>
          <w:szCs w:val="21"/>
          <w:highlight w:val="none"/>
        </w:rPr>
      </w:pPr>
      <w:r>
        <w:rPr>
          <w:rFonts w:hint="eastAsia" w:ascii="宋体" w:hAnsi="宋体" w:eastAsia="宋体" w:cs="Courier New"/>
          <w:b/>
          <w:bCs/>
          <w:color w:val="auto"/>
          <w:szCs w:val="21"/>
          <w:highlight w:val="none"/>
        </w:rPr>
        <w:t>特别说明：</w:t>
      </w:r>
      <w:r>
        <w:rPr>
          <w:rFonts w:hint="eastAsia" w:ascii="宋体" w:hAnsi="宋体" w:eastAsia="宋体" w:cs="Courier New"/>
          <w:color w:val="auto"/>
          <w:szCs w:val="21"/>
          <w:highlight w:val="none"/>
        </w:rPr>
        <w:t>如遇广西政府采购云平台电子化开标或评审程序调整的，按调整后的程序执行。</w:t>
      </w:r>
    </w:p>
    <w:p w14:paraId="6837BB99">
      <w:pPr>
        <w:spacing w:before="120" w:line="320" w:lineRule="atLeast"/>
        <w:ind w:firstLine="422" w:firstLineChars="200"/>
        <w:outlineLvl w:val="2"/>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kern w:val="0"/>
          <w:szCs w:val="21"/>
          <w:highlight w:val="none"/>
        </w:rPr>
        <w:t>4.3演示</w:t>
      </w:r>
    </w:p>
    <w:p w14:paraId="3D24DA16">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4.3.1“</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须知前附表”规定在开标会议结束后进行演示的，</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应按规定进行演示。</w:t>
      </w:r>
    </w:p>
    <w:p w14:paraId="49CF6159">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4.3.2未按规定时间进行演示可能引起的演示分数被计为0分或投标无效等后果由</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自行承担。</w:t>
      </w:r>
    </w:p>
    <w:p w14:paraId="33D667A1">
      <w:pPr>
        <w:spacing w:before="120" w:line="320" w:lineRule="atLeast"/>
        <w:ind w:firstLine="422" w:firstLineChars="200"/>
        <w:outlineLvl w:val="2"/>
        <w:rPr>
          <w:rFonts w:ascii="Times New Roman" w:hAnsi="Times New Roman" w:eastAsia="宋体" w:cs="Times New Roman"/>
          <w:color w:val="auto"/>
          <w:szCs w:val="21"/>
          <w:highlight w:val="none"/>
        </w:rPr>
      </w:pPr>
      <w:r>
        <w:rPr>
          <w:rFonts w:ascii="Times New Roman" w:hAnsi="Times New Roman" w:eastAsia="宋体" w:cs="Times New Roman"/>
          <w:b/>
          <w:bCs/>
          <w:color w:val="auto"/>
          <w:kern w:val="0"/>
          <w:szCs w:val="21"/>
          <w:highlight w:val="none"/>
        </w:rPr>
        <w:t>4.4样品</w:t>
      </w:r>
    </w:p>
    <w:p w14:paraId="43524C3A">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4.4.1“</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须知前附表”规定递交样品的，</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应按前附表规定递交样品，递交样品时应附样品递交表（格式见第六章）。</w:t>
      </w:r>
    </w:p>
    <w:p w14:paraId="47432483">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4.4.2未按规定时间递交样品可能引起的样品分数被计为0分或投标无效等后果由</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自行承担。</w:t>
      </w:r>
    </w:p>
    <w:p w14:paraId="75DC8E74">
      <w:pPr>
        <w:spacing w:before="120" w:line="320" w:lineRule="atLeast"/>
        <w:ind w:firstLine="420" w:firstLineChars="200"/>
        <w:rPr>
          <w:rFonts w:ascii="Times New Roman" w:hAnsi="Times New Roman" w:eastAsia="宋体" w:cs="Times New Roman"/>
          <w:color w:val="auto"/>
          <w:szCs w:val="21"/>
          <w:highlight w:val="none"/>
        </w:rPr>
      </w:pPr>
      <w:bookmarkStart w:id="66" w:name="_Toc254970686"/>
      <w:bookmarkStart w:id="67" w:name="_Toc254970545"/>
      <w:r>
        <w:rPr>
          <w:rFonts w:ascii="Times New Roman" w:hAnsi="Times New Roman" w:eastAsia="宋体" w:cs="Times New Roman"/>
          <w:color w:val="auto"/>
          <w:szCs w:val="21"/>
          <w:highlight w:val="none"/>
        </w:rPr>
        <w:t>4.4.3样品封存或退还的说明请见第六章投标文件格式所附样品递交表。</w:t>
      </w:r>
    </w:p>
    <w:p w14:paraId="2951E251">
      <w:pPr>
        <w:spacing w:before="120" w:line="320" w:lineRule="atLeast"/>
        <w:ind w:left="2" w:leftChars="1" w:firstLine="422" w:firstLineChars="200"/>
        <w:outlineLvl w:val="1"/>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kern w:val="0"/>
          <w:szCs w:val="21"/>
          <w:highlight w:val="none"/>
        </w:rPr>
        <w:t>5．</w:t>
      </w:r>
      <w:r>
        <w:rPr>
          <w:rFonts w:hint="eastAsia" w:ascii="Times New Roman" w:hAnsi="Times New Roman" w:eastAsia="宋体" w:cs="Times New Roman"/>
          <w:b/>
          <w:bCs/>
          <w:color w:val="auto"/>
          <w:kern w:val="0"/>
          <w:szCs w:val="21"/>
          <w:highlight w:val="none"/>
        </w:rPr>
        <w:t>资格审查</w:t>
      </w:r>
    </w:p>
    <w:p w14:paraId="4563FFBD">
      <w:pPr>
        <w:spacing w:before="120" w:line="320" w:lineRule="atLeast"/>
        <w:ind w:left="2" w:leftChars="1" w:firstLine="420" w:firstLineChars="200"/>
        <w:outlineLvl w:val="1"/>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5</w:t>
      </w:r>
      <w:r>
        <w:rPr>
          <w:rFonts w:ascii="Times New Roman" w:hAnsi="Times New Roman" w:eastAsia="宋体" w:cs="Times New Roman"/>
          <w:bCs/>
          <w:color w:val="auto"/>
          <w:kern w:val="0"/>
          <w:szCs w:val="21"/>
          <w:highlight w:val="none"/>
        </w:rPr>
        <w:t>.1</w:t>
      </w:r>
      <w:r>
        <w:rPr>
          <w:rFonts w:ascii="宋体" w:hAnsi="宋体" w:eastAsia="宋体" w:cs="Times New Roman"/>
          <w:bCs/>
          <w:color w:val="auto"/>
          <w:szCs w:val="21"/>
          <w:highlight w:val="none"/>
        </w:rPr>
        <w:t>开标结束后，</w:t>
      </w:r>
      <w:r>
        <w:rPr>
          <w:rFonts w:hint="eastAsia" w:ascii="宋体" w:hAnsi="宋体" w:eastAsia="宋体" w:cs="Times New Roman"/>
          <w:bCs/>
          <w:color w:val="auto"/>
          <w:szCs w:val="21"/>
          <w:highlight w:val="none"/>
        </w:rPr>
        <w:t>采购人或者采购代理机构通过电子交易平台</w:t>
      </w:r>
      <w:r>
        <w:rPr>
          <w:rFonts w:ascii="宋体" w:hAnsi="宋体" w:eastAsia="宋体" w:cs="Times New Roman"/>
          <w:bCs/>
          <w:color w:val="auto"/>
          <w:szCs w:val="21"/>
          <w:highlight w:val="none"/>
        </w:rPr>
        <w:t>对</w:t>
      </w:r>
      <w:r>
        <w:rPr>
          <w:rFonts w:hint="eastAsia" w:ascii="宋体" w:hAnsi="宋体" w:eastAsia="宋体" w:cs="Times New Roman"/>
          <w:bCs/>
          <w:color w:val="auto"/>
          <w:szCs w:val="21"/>
          <w:highlight w:val="none"/>
        </w:rPr>
        <w:t>投标人</w:t>
      </w:r>
      <w:r>
        <w:rPr>
          <w:rFonts w:ascii="宋体" w:hAnsi="宋体" w:eastAsia="宋体" w:cs="Times New Roman"/>
          <w:bCs/>
          <w:color w:val="auto"/>
          <w:szCs w:val="21"/>
          <w:highlight w:val="none"/>
        </w:rPr>
        <w:t>的资格进行审查。</w:t>
      </w:r>
      <w:r>
        <w:rPr>
          <w:rFonts w:hint="eastAsia" w:ascii="宋体" w:hAnsi="宋体" w:eastAsia="宋体" w:cs="Times New Roman"/>
          <w:bCs/>
          <w:color w:val="auto"/>
          <w:szCs w:val="21"/>
          <w:highlight w:val="none"/>
        </w:rPr>
        <w:t>资格审查</w:t>
      </w:r>
      <w:r>
        <w:rPr>
          <w:rFonts w:hint="eastAsia" w:ascii="Times New Roman" w:hAnsi="Times New Roman" w:eastAsia="宋体" w:cs="Times New Roman"/>
          <w:bCs/>
          <w:color w:val="auto"/>
          <w:kern w:val="0"/>
          <w:szCs w:val="21"/>
          <w:highlight w:val="none"/>
        </w:rPr>
        <w:t>是根据法律法规和招标文件的规定，对</w:t>
      </w:r>
      <w:r>
        <w:rPr>
          <w:rFonts w:hint="eastAsia" w:ascii="Times New Roman" w:hAnsi="Times New Roman" w:eastAsia="宋体" w:cs="Times New Roman"/>
          <w:color w:val="auto"/>
          <w:szCs w:val="21"/>
          <w:highlight w:val="none"/>
        </w:rPr>
        <w:t>投标人</w:t>
      </w:r>
      <w:r>
        <w:rPr>
          <w:rFonts w:hint="eastAsia" w:ascii="Times New Roman" w:hAnsi="Times New Roman" w:eastAsia="宋体" w:cs="Times New Roman"/>
          <w:bCs/>
          <w:color w:val="auto"/>
          <w:kern w:val="0"/>
          <w:szCs w:val="21"/>
          <w:highlight w:val="none"/>
        </w:rPr>
        <w:t>的基本资格条件、特定资格条件进行审查。</w:t>
      </w:r>
    </w:p>
    <w:p w14:paraId="2856C5FC">
      <w:pPr>
        <w:spacing w:before="120" w:line="320" w:lineRule="atLeast"/>
        <w:ind w:left="2" w:leftChars="1" w:firstLine="420" w:firstLineChars="200"/>
        <w:outlineLvl w:val="1"/>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5.</w:t>
      </w:r>
      <w:r>
        <w:rPr>
          <w:rFonts w:ascii="Times New Roman" w:hAnsi="Times New Roman" w:eastAsia="宋体" w:cs="Times New Roman"/>
          <w:bCs/>
          <w:color w:val="auto"/>
          <w:kern w:val="0"/>
          <w:szCs w:val="21"/>
          <w:highlight w:val="none"/>
        </w:rPr>
        <w:t>2</w:t>
      </w:r>
      <w:r>
        <w:rPr>
          <w:rFonts w:hint="eastAsia" w:ascii="Times New Roman" w:hAnsi="Times New Roman" w:eastAsia="宋体" w:cs="Times New Roman"/>
          <w:bCs/>
          <w:color w:val="auto"/>
          <w:kern w:val="0"/>
          <w:szCs w:val="21"/>
          <w:highlight w:val="none"/>
        </w:rPr>
        <w:t>资格审查标准在第四章评审方法及标准中规定，符合资格审查标准要求的</w:t>
      </w:r>
      <w:r>
        <w:rPr>
          <w:rFonts w:hint="eastAsia" w:ascii="Times New Roman" w:hAnsi="Times New Roman" w:eastAsia="宋体" w:cs="Times New Roman"/>
          <w:color w:val="auto"/>
          <w:szCs w:val="21"/>
          <w:highlight w:val="none"/>
        </w:rPr>
        <w:t>投标人</w:t>
      </w:r>
      <w:r>
        <w:rPr>
          <w:rFonts w:hint="eastAsia" w:ascii="Times New Roman" w:hAnsi="Times New Roman" w:eastAsia="宋体" w:cs="Times New Roman"/>
          <w:bCs/>
          <w:color w:val="auto"/>
          <w:kern w:val="0"/>
          <w:szCs w:val="21"/>
          <w:highlight w:val="none"/>
        </w:rPr>
        <w:t>即为资格审查合格。</w:t>
      </w:r>
    </w:p>
    <w:p w14:paraId="23F62399">
      <w:pPr>
        <w:spacing w:before="120" w:line="276" w:lineRule="auto"/>
        <w:ind w:left="2" w:leftChars="1" w:firstLine="420" w:firstLineChars="200"/>
        <w:outlineLvl w:val="1"/>
        <w:rPr>
          <w:rFonts w:ascii="Times New Roman" w:hAnsi="Times New Roman" w:eastAsia="宋体" w:cs="Times New Roman"/>
          <w:bCs/>
          <w:color w:val="auto"/>
          <w:kern w:val="0"/>
          <w:szCs w:val="21"/>
          <w:highlight w:val="none"/>
        </w:rPr>
      </w:pPr>
      <w:r>
        <w:rPr>
          <w:rFonts w:ascii="Times New Roman" w:hAnsi="Times New Roman" w:eastAsia="宋体" w:cs="Times New Roman"/>
          <w:bCs/>
          <w:color w:val="auto"/>
          <w:kern w:val="0"/>
          <w:szCs w:val="21"/>
          <w:highlight w:val="none"/>
        </w:rPr>
        <w:t>5.3</w:t>
      </w:r>
      <w:r>
        <w:rPr>
          <w:rFonts w:hint="eastAsia" w:ascii="Times New Roman" w:hAnsi="Times New Roman" w:eastAsia="宋体" w:cs="Times New Roman"/>
          <w:bCs/>
          <w:color w:val="auto"/>
          <w:kern w:val="0"/>
          <w:szCs w:val="21"/>
          <w:highlight w:val="none"/>
        </w:rPr>
        <w:t>投标人有下列情形之一的，资格审查不合格，作无效投标处理：</w:t>
      </w:r>
    </w:p>
    <w:p w14:paraId="34C07043">
      <w:pPr>
        <w:spacing w:line="276" w:lineRule="auto"/>
        <w:ind w:firstLine="420" w:firstLineChars="200"/>
        <w:rPr>
          <w:rFonts w:ascii="Times New Roman" w:hAnsi="宋体" w:eastAsia="宋体" w:cs="Times New Roman"/>
          <w:color w:val="auto"/>
          <w:szCs w:val="24"/>
          <w:highlight w:val="none"/>
        </w:rPr>
      </w:pPr>
      <w:r>
        <w:rPr>
          <w:rFonts w:hint="eastAsia" w:ascii="Times New Roman" w:hAnsi="Times New Roman" w:eastAsia="宋体" w:cs="Times New Roman"/>
          <w:color w:val="auto"/>
          <w:szCs w:val="21"/>
          <w:highlight w:val="none"/>
        </w:rPr>
        <w:t>5</w:t>
      </w:r>
      <w:r>
        <w:rPr>
          <w:rFonts w:ascii="Times New Roman" w:hAnsi="Times New Roman" w:eastAsia="宋体" w:cs="Times New Roman"/>
          <w:color w:val="auto"/>
          <w:szCs w:val="21"/>
          <w:highlight w:val="none"/>
        </w:rPr>
        <w:t>.3.1</w:t>
      </w:r>
      <w:r>
        <w:rPr>
          <w:rFonts w:hint="eastAsia" w:ascii="Times New Roman" w:hAnsi="Times New Roman" w:eastAsia="宋体" w:cs="Times New Roman"/>
          <w:color w:val="auto"/>
          <w:szCs w:val="21"/>
          <w:highlight w:val="none"/>
        </w:rPr>
        <w:t>不具备招标文件中规定的资格要求或资格条件的；</w:t>
      </w:r>
      <w:r>
        <w:rPr>
          <w:rFonts w:ascii="Times New Roman" w:hAnsi="Times New Roman" w:eastAsia="宋体" w:cs="Times New Roman"/>
          <w:color w:val="auto"/>
          <w:szCs w:val="21"/>
          <w:highlight w:val="none"/>
        </w:rPr>
        <w:t xml:space="preserve"> </w:t>
      </w:r>
      <w:r>
        <w:rPr>
          <w:rFonts w:hint="eastAsia" w:ascii="Times New Roman" w:hAnsi="宋体" w:eastAsia="宋体" w:cs="Times New Roman"/>
          <w:color w:val="auto"/>
          <w:szCs w:val="24"/>
          <w:highlight w:val="none"/>
        </w:rPr>
        <w:t>（注：其中信用查询规则见“投标人须知前附表”，广西政府采购云平台已与“信用中国”平台做接口，审查专家可直接在线查询）</w:t>
      </w:r>
    </w:p>
    <w:p w14:paraId="559F7F59">
      <w:pPr>
        <w:spacing w:before="120" w:line="276"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w:t>
      </w:r>
      <w:r>
        <w:rPr>
          <w:rFonts w:ascii="Times New Roman" w:hAnsi="Times New Roman" w:eastAsia="宋体" w:cs="Times New Roman"/>
          <w:color w:val="auto"/>
          <w:szCs w:val="21"/>
          <w:highlight w:val="none"/>
        </w:rPr>
        <w:t>.3.2</w:t>
      </w:r>
      <w:r>
        <w:rPr>
          <w:rFonts w:hint="eastAsia" w:ascii="Times New Roman" w:hAnsi="Times New Roman" w:eastAsia="宋体" w:cs="Times New Roman"/>
          <w:color w:val="auto"/>
          <w:szCs w:val="21"/>
          <w:highlight w:val="none"/>
        </w:rPr>
        <w:t>投标文件缺少任何一项资格证明文件或不符合第四章评审方法及标准中资格审查标准规定的评审内容的；</w:t>
      </w:r>
    </w:p>
    <w:p w14:paraId="62E55E55">
      <w:pPr>
        <w:spacing w:before="120" w:line="276" w:lineRule="auto"/>
        <w:ind w:left="2" w:leftChars="1" w:firstLine="420" w:firstLineChars="200"/>
        <w:outlineLvl w:val="1"/>
        <w:rPr>
          <w:rFonts w:ascii="Times New Roman" w:hAnsi="Times New Roman" w:eastAsia="宋体" w:cs="Times New Roman"/>
          <w:bCs/>
          <w:color w:val="auto"/>
          <w:kern w:val="0"/>
          <w:szCs w:val="21"/>
          <w:highlight w:val="none"/>
        </w:rPr>
      </w:pPr>
      <w:r>
        <w:rPr>
          <w:rFonts w:ascii="Times New Roman" w:hAnsi="Times New Roman" w:eastAsia="宋体" w:cs="Times New Roman"/>
          <w:bCs/>
          <w:color w:val="auto"/>
          <w:kern w:val="0"/>
          <w:szCs w:val="21"/>
          <w:highlight w:val="none"/>
        </w:rPr>
        <w:t>5.4</w:t>
      </w:r>
      <w:r>
        <w:rPr>
          <w:rFonts w:hint="eastAsia" w:ascii="Times New Roman" w:hAnsi="Times New Roman" w:eastAsia="宋体" w:cs="Times New Roman"/>
          <w:bCs/>
          <w:color w:val="auto"/>
          <w:kern w:val="0"/>
          <w:szCs w:val="21"/>
          <w:highlight w:val="none"/>
        </w:rPr>
        <w:t>资格审查合格的</w:t>
      </w:r>
      <w:r>
        <w:rPr>
          <w:rFonts w:hint="eastAsia" w:ascii="Times New Roman" w:hAnsi="Times New Roman" w:eastAsia="宋体" w:cs="Times New Roman"/>
          <w:color w:val="auto"/>
          <w:szCs w:val="21"/>
          <w:highlight w:val="none"/>
        </w:rPr>
        <w:t>投标人</w:t>
      </w:r>
      <w:r>
        <w:rPr>
          <w:rFonts w:hint="eastAsia" w:ascii="Times New Roman" w:hAnsi="Times New Roman" w:eastAsia="宋体" w:cs="Times New Roman"/>
          <w:bCs/>
          <w:color w:val="auto"/>
          <w:kern w:val="0"/>
          <w:szCs w:val="21"/>
          <w:highlight w:val="none"/>
        </w:rPr>
        <w:t>不足3家的，不得评审。</w:t>
      </w:r>
    </w:p>
    <w:p w14:paraId="1460DD64">
      <w:pPr>
        <w:spacing w:before="120" w:line="320" w:lineRule="atLeast"/>
        <w:ind w:left="2" w:leftChars="1" w:firstLine="422" w:firstLineChars="200"/>
        <w:outlineLvl w:val="1"/>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kern w:val="0"/>
          <w:szCs w:val="21"/>
          <w:highlight w:val="none"/>
        </w:rPr>
        <w:t>6．评审</w:t>
      </w:r>
      <w:bookmarkEnd w:id="66"/>
      <w:bookmarkEnd w:id="67"/>
    </w:p>
    <w:p w14:paraId="6319F821">
      <w:pPr>
        <w:spacing w:before="120" w:line="320" w:lineRule="atLeast"/>
        <w:ind w:firstLine="422" w:firstLineChars="200"/>
        <w:outlineLvl w:val="2"/>
        <w:rPr>
          <w:rFonts w:ascii="Times New Roman" w:hAnsi="Times New Roman" w:eastAsia="宋体" w:cs="Times New Roman"/>
          <w:b/>
          <w:bCs/>
          <w:color w:val="auto"/>
          <w:kern w:val="0"/>
          <w:szCs w:val="21"/>
          <w:highlight w:val="none"/>
        </w:rPr>
      </w:pPr>
      <w:bookmarkStart w:id="68" w:name="_Toc254970687"/>
      <w:bookmarkStart w:id="69" w:name="_Toc254970546"/>
      <w:r>
        <w:rPr>
          <w:rFonts w:ascii="Times New Roman" w:hAnsi="Times New Roman" w:eastAsia="宋体" w:cs="Times New Roman"/>
          <w:b/>
          <w:bCs/>
          <w:color w:val="auto"/>
          <w:kern w:val="0"/>
          <w:szCs w:val="21"/>
          <w:highlight w:val="none"/>
        </w:rPr>
        <w:t>6.1评审委员会</w:t>
      </w:r>
      <w:r>
        <w:rPr>
          <w:rFonts w:hint="eastAsia" w:ascii="Times New Roman" w:hAnsi="Times New Roman" w:eastAsia="宋体" w:cs="Times New Roman"/>
          <w:b/>
          <w:bCs/>
          <w:color w:val="auto"/>
          <w:kern w:val="0"/>
          <w:szCs w:val="21"/>
          <w:highlight w:val="none"/>
        </w:rPr>
        <w:t>及评审原则</w:t>
      </w:r>
    </w:p>
    <w:p w14:paraId="7650E9AB">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6.1.1</w:t>
      </w:r>
      <w:r>
        <w:rPr>
          <w:rFonts w:ascii="Times New Roman" w:hAnsi="Times New Roman" w:eastAsia="宋体" w:cs="Times New Roman"/>
          <w:color w:val="auto"/>
          <w:szCs w:val="21"/>
          <w:highlight w:val="none"/>
        </w:rPr>
        <w:t>本项目</w:t>
      </w:r>
      <w:r>
        <w:rPr>
          <w:rFonts w:hint="eastAsia" w:ascii="Times New Roman" w:hAnsi="Times New Roman" w:eastAsia="宋体" w:cs="Times New Roman"/>
          <w:color w:val="auto"/>
          <w:szCs w:val="21"/>
          <w:highlight w:val="none"/>
        </w:rPr>
        <w:t>评审工作由</w:t>
      </w:r>
      <w:r>
        <w:rPr>
          <w:rFonts w:ascii="Times New Roman" w:hAnsi="Times New Roman" w:eastAsia="宋体" w:cs="Times New Roman"/>
          <w:color w:val="auto"/>
          <w:szCs w:val="21"/>
          <w:highlight w:val="none"/>
        </w:rPr>
        <w:t>评审委员会</w:t>
      </w:r>
      <w:r>
        <w:rPr>
          <w:rFonts w:hint="eastAsia" w:ascii="Times New Roman" w:hAnsi="Times New Roman" w:eastAsia="宋体" w:cs="Times New Roman"/>
          <w:color w:val="auto"/>
          <w:szCs w:val="21"/>
          <w:highlight w:val="none"/>
        </w:rPr>
        <w:t>负责，评审委员会</w:t>
      </w:r>
      <w:r>
        <w:rPr>
          <w:rFonts w:ascii="Times New Roman" w:hAnsi="Times New Roman" w:eastAsia="宋体" w:cs="Times New Roman"/>
          <w:color w:val="auto"/>
          <w:szCs w:val="21"/>
          <w:highlight w:val="none"/>
        </w:rPr>
        <w:t>由</w:t>
      </w:r>
      <w:r>
        <w:rPr>
          <w:rFonts w:hint="eastAsia" w:ascii="Times New Roman" w:hAnsi="Times New Roman" w:eastAsia="宋体" w:cs="Times New Roman"/>
          <w:color w:val="auto"/>
          <w:szCs w:val="21"/>
          <w:highlight w:val="none"/>
        </w:rPr>
        <w:t>评审专家</w:t>
      </w:r>
      <w:r>
        <w:rPr>
          <w:rFonts w:ascii="Times New Roman" w:hAnsi="Times New Roman" w:eastAsia="宋体" w:cs="Times New Roman"/>
          <w:color w:val="auto"/>
          <w:szCs w:val="21"/>
          <w:highlight w:val="none"/>
        </w:rPr>
        <w:t>和采购人代表</w:t>
      </w:r>
      <w:r>
        <w:rPr>
          <w:rFonts w:hint="eastAsia" w:ascii="Times New Roman" w:hAnsi="Times New Roman" w:eastAsia="宋体" w:cs="Times New Roman"/>
          <w:color w:val="auto"/>
          <w:szCs w:val="21"/>
          <w:highlight w:val="none"/>
        </w:rPr>
        <w:t>（如有）</w:t>
      </w:r>
      <w:r>
        <w:rPr>
          <w:rFonts w:ascii="Times New Roman" w:hAnsi="Times New Roman" w:eastAsia="宋体" w:cs="Times New Roman"/>
          <w:color w:val="auto"/>
          <w:szCs w:val="21"/>
          <w:highlight w:val="none"/>
        </w:rPr>
        <w:t>组成。</w:t>
      </w:r>
      <w:r>
        <w:rPr>
          <w:rFonts w:hint="eastAsia" w:ascii="Times New Roman" w:hAnsi="Times New Roman" w:eastAsia="宋体" w:cs="Times New Roman"/>
          <w:color w:val="auto"/>
          <w:szCs w:val="21"/>
          <w:highlight w:val="none"/>
        </w:rPr>
        <w:t>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w:t>
      </w:r>
      <w:r>
        <w:rPr>
          <w:rFonts w:ascii="Times New Roman" w:hAnsi="Times New Roman" w:eastAsia="宋体" w:cs="Times New Roman"/>
          <w:color w:val="auto"/>
          <w:szCs w:val="21"/>
          <w:highlight w:val="none"/>
        </w:rPr>
        <w:t>评审专家发现本人与参加采购活动的</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有利害关系的，应当主动提出回避</w:t>
      </w:r>
      <w:r>
        <w:rPr>
          <w:rFonts w:hint="eastAsia" w:ascii="Times New Roman" w:hAnsi="Times New Roman" w:eastAsia="宋体" w:cs="Times New Roman"/>
          <w:color w:val="auto"/>
          <w:szCs w:val="21"/>
          <w:highlight w:val="none"/>
        </w:rPr>
        <w:t>。</w:t>
      </w:r>
    </w:p>
    <w:p w14:paraId="1921439A">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由采购代理机构记录在评审报告中。</w:t>
      </w:r>
    </w:p>
    <w:p w14:paraId="2C2B35CD">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10BBBE8F">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6.1.4本项目评审过程实行全程网上留痕及录音、录像监控，投标人在评审过程中所进行的试图影响评审结果的不公正活动，可能导致其投标按无效处理。</w:t>
      </w:r>
    </w:p>
    <w:p w14:paraId="0D8A3990">
      <w:pPr>
        <w:spacing w:before="120" w:line="320" w:lineRule="atLeast"/>
        <w:ind w:firstLine="422" w:firstLineChars="200"/>
        <w:outlineLvl w:val="2"/>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kern w:val="0"/>
          <w:szCs w:val="21"/>
          <w:highlight w:val="none"/>
        </w:rPr>
        <w:t>6.2</w:t>
      </w:r>
      <w:r>
        <w:rPr>
          <w:rFonts w:hint="eastAsia" w:ascii="Times New Roman" w:hAnsi="Times New Roman" w:eastAsia="宋体" w:cs="Times New Roman"/>
          <w:b/>
          <w:bCs/>
          <w:color w:val="auto"/>
          <w:kern w:val="0"/>
          <w:szCs w:val="21"/>
          <w:highlight w:val="none"/>
        </w:rPr>
        <w:t>评审方法及依据</w:t>
      </w:r>
    </w:p>
    <w:p w14:paraId="0ACEF2FA">
      <w:pPr>
        <w:spacing w:before="120" w:line="320" w:lineRule="atLeast"/>
        <w:ind w:firstLine="420" w:firstLineChars="200"/>
        <w:rPr>
          <w:rFonts w:ascii="Times New Roman" w:hAnsi="Times New Roman" w:eastAsia="宋体" w:cs="Times New Roman"/>
          <w:bCs/>
          <w:color w:val="auto"/>
          <w:kern w:val="0"/>
          <w:szCs w:val="21"/>
          <w:highlight w:val="none"/>
        </w:rPr>
      </w:pPr>
      <w:r>
        <w:rPr>
          <w:rFonts w:ascii="Times New Roman" w:hAnsi="Times New Roman" w:eastAsia="宋体" w:cs="Times New Roman"/>
          <w:bCs/>
          <w:color w:val="auto"/>
          <w:kern w:val="0"/>
          <w:szCs w:val="21"/>
          <w:highlight w:val="none"/>
        </w:rPr>
        <w:t>6.2.1</w:t>
      </w:r>
      <w:r>
        <w:rPr>
          <w:rFonts w:hint="eastAsia" w:ascii="Times New Roman" w:hAnsi="Times New Roman" w:eastAsia="宋体" w:cs="Times New Roman"/>
          <w:bCs/>
          <w:color w:val="auto"/>
          <w:kern w:val="0"/>
          <w:szCs w:val="21"/>
          <w:highlight w:val="none"/>
        </w:rPr>
        <w:t>本项目采用第四章评审方法及标准规定的方法进行评审。</w:t>
      </w:r>
    </w:p>
    <w:p w14:paraId="404C13FF">
      <w:pPr>
        <w:suppressAutoHyphens/>
        <w:spacing w:before="120" w:line="320" w:lineRule="atLeast"/>
        <w:ind w:firstLine="420" w:firstLineChars="200"/>
        <w:rPr>
          <w:rFonts w:ascii="Times New Roman" w:hAnsi="Times New Roman" w:eastAsia="宋体" w:cs="Times New Roman"/>
          <w:bCs/>
          <w:color w:val="auto"/>
          <w:kern w:val="0"/>
          <w:szCs w:val="21"/>
          <w:highlight w:val="none"/>
        </w:rPr>
      </w:pPr>
      <w:r>
        <w:rPr>
          <w:rFonts w:ascii="Times New Roman" w:hAnsi="Times New Roman" w:eastAsia="宋体" w:cs="Times New Roman"/>
          <w:bCs/>
          <w:color w:val="auto"/>
          <w:kern w:val="0"/>
          <w:szCs w:val="21"/>
          <w:highlight w:val="none"/>
        </w:rPr>
        <w:t>6.2.2</w:t>
      </w:r>
      <w:r>
        <w:rPr>
          <w:rFonts w:hint="eastAsia" w:ascii="Times New Roman" w:hAnsi="Times New Roman" w:eastAsia="宋体" w:cs="Times New Roman"/>
          <w:color w:val="auto"/>
          <w:szCs w:val="24"/>
          <w:highlight w:val="none"/>
        </w:rPr>
        <w:t>评标委员会</w:t>
      </w:r>
      <w:r>
        <w:rPr>
          <w:rFonts w:ascii="Times New Roman" w:hAnsi="Times New Roman" w:eastAsia="宋体" w:cs="Times New Roman"/>
          <w:color w:val="auto"/>
          <w:szCs w:val="24"/>
          <w:highlight w:val="none"/>
        </w:rPr>
        <w:t>以</w:t>
      </w:r>
      <w:r>
        <w:rPr>
          <w:rFonts w:hint="eastAsia" w:ascii="Times New Roman" w:hAnsi="Times New Roman" w:eastAsia="宋体" w:cs="Times New Roman"/>
          <w:color w:val="auto"/>
          <w:szCs w:val="24"/>
          <w:highlight w:val="none"/>
        </w:rPr>
        <w:t>招标</w:t>
      </w:r>
      <w:r>
        <w:rPr>
          <w:rFonts w:ascii="Times New Roman" w:hAnsi="Times New Roman" w:eastAsia="宋体" w:cs="Times New Roman"/>
          <w:color w:val="auto"/>
          <w:szCs w:val="24"/>
          <w:highlight w:val="none"/>
        </w:rPr>
        <w:t>文件、补充文件、</w:t>
      </w:r>
      <w:r>
        <w:rPr>
          <w:rFonts w:hint="eastAsia" w:ascii="Times New Roman" w:hAnsi="Times New Roman" w:eastAsia="宋体" w:cs="Times New Roman"/>
          <w:color w:val="auto"/>
          <w:szCs w:val="24"/>
          <w:highlight w:val="none"/>
        </w:rPr>
        <w:t>投标</w:t>
      </w:r>
      <w:r>
        <w:rPr>
          <w:rFonts w:ascii="Times New Roman" w:hAnsi="Times New Roman" w:eastAsia="宋体" w:cs="Times New Roman"/>
          <w:color w:val="auto"/>
          <w:szCs w:val="24"/>
          <w:highlight w:val="none"/>
        </w:rPr>
        <w:t>文件、澄清及答复为评审依据</w:t>
      </w:r>
      <w:r>
        <w:rPr>
          <w:rFonts w:hint="eastAsia" w:ascii="Times New Roman" w:hAnsi="Times New Roman" w:eastAsia="宋体" w:cs="Times New Roman"/>
          <w:color w:val="auto"/>
          <w:szCs w:val="24"/>
          <w:highlight w:val="none"/>
        </w:rPr>
        <w:t>，</w:t>
      </w:r>
      <w:r>
        <w:rPr>
          <w:rFonts w:hint="eastAsia" w:ascii="Times New Roman" w:hAnsi="Times New Roman" w:eastAsia="宋体" w:cs="Times New Roman"/>
          <w:bCs/>
          <w:color w:val="auto"/>
          <w:kern w:val="0"/>
          <w:szCs w:val="21"/>
          <w:highlight w:val="none"/>
        </w:rPr>
        <w:t>第四章评审方法及标准没有规定的评审方法、标准及因素，不得作为评审依据。</w:t>
      </w:r>
    </w:p>
    <w:p w14:paraId="41A7F9CC">
      <w:pPr>
        <w:spacing w:before="120" w:line="320" w:lineRule="atLeast"/>
        <w:ind w:firstLine="422" w:firstLineChars="200"/>
        <w:outlineLvl w:val="2"/>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kern w:val="0"/>
          <w:szCs w:val="21"/>
          <w:highlight w:val="none"/>
        </w:rPr>
        <w:t>6.3评审</w:t>
      </w:r>
      <w:r>
        <w:rPr>
          <w:rFonts w:hint="eastAsia" w:ascii="Times New Roman" w:hAnsi="Times New Roman" w:eastAsia="宋体" w:cs="Times New Roman"/>
          <w:b/>
          <w:bCs/>
          <w:color w:val="auto"/>
          <w:kern w:val="0"/>
          <w:szCs w:val="21"/>
          <w:highlight w:val="none"/>
        </w:rPr>
        <w:t>程序</w:t>
      </w:r>
    </w:p>
    <w:p w14:paraId="6426F0FB">
      <w:pPr>
        <w:spacing w:before="120" w:line="320" w:lineRule="atLeast"/>
        <w:ind w:firstLine="42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6.3.1</w:t>
      </w:r>
      <w:r>
        <w:rPr>
          <w:rFonts w:hint="eastAsia" w:ascii="Times New Roman" w:hAnsi="Times New Roman" w:eastAsia="宋体" w:cs="Times New Roman"/>
          <w:color w:val="auto"/>
          <w:szCs w:val="24"/>
          <w:highlight w:val="none"/>
        </w:rPr>
        <w:t>符合性审查</w:t>
      </w:r>
    </w:p>
    <w:p w14:paraId="44F7C046">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bCs/>
          <w:color w:val="auto"/>
          <w:kern w:val="1"/>
          <w:szCs w:val="21"/>
          <w:highlight w:val="none"/>
        </w:rPr>
        <w:t>资格审查结束后，</w:t>
      </w:r>
      <w:r>
        <w:rPr>
          <w:rFonts w:hint="eastAsia" w:ascii="Times New Roman" w:hAnsi="宋体" w:eastAsia="宋体" w:cs="Times New Roman"/>
          <w:color w:val="auto"/>
          <w:szCs w:val="24"/>
          <w:highlight w:val="none"/>
        </w:rPr>
        <w:t>评审委员会对</w:t>
      </w:r>
      <w:r>
        <w:rPr>
          <w:rFonts w:ascii="Times New Roman" w:hAnsi="Times New Roman" w:eastAsia="宋体" w:cs="Times New Roman"/>
          <w:color w:val="auto"/>
          <w:szCs w:val="24"/>
          <w:highlight w:val="none"/>
        </w:rPr>
        <w:t>通过资格审查的</w:t>
      </w:r>
      <w:r>
        <w:rPr>
          <w:rFonts w:hint="eastAsia" w:ascii="Times New Roman" w:hAnsi="Times New Roman" w:eastAsia="宋体" w:cs="Times New Roman"/>
          <w:color w:val="auto"/>
          <w:szCs w:val="24"/>
          <w:highlight w:val="none"/>
        </w:rPr>
        <w:t>投标人</w:t>
      </w:r>
      <w:r>
        <w:rPr>
          <w:rFonts w:hint="eastAsia" w:ascii="Times New Roman" w:hAnsi="宋体" w:eastAsia="宋体" w:cs="Times New Roman"/>
          <w:color w:val="auto"/>
          <w:szCs w:val="24"/>
          <w:highlight w:val="none"/>
        </w:rPr>
        <w:t>的投标文件进行报价、商务资信、技术等方面实质性内容进行符合性审查，</w:t>
      </w:r>
      <w:r>
        <w:rPr>
          <w:rFonts w:hint="eastAsia" w:ascii="Times New Roman" w:hAnsi="Times New Roman" w:eastAsia="宋体" w:cs="Times New Roman"/>
          <w:color w:val="auto"/>
          <w:szCs w:val="21"/>
          <w:highlight w:val="none"/>
        </w:rPr>
        <w:t>符合性审查标准</w:t>
      </w:r>
      <w:r>
        <w:rPr>
          <w:rFonts w:ascii="Times New Roman" w:hAnsi="Times New Roman" w:eastAsia="宋体" w:cs="Times New Roman"/>
          <w:color w:val="auto"/>
          <w:szCs w:val="21"/>
          <w:highlight w:val="none"/>
        </w:rPr>
        <w:t>详见第四章评审方法及标准。</w:t>
      </w:r>
    </w:p>
    <w:p w14:paraId="6F981744">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6</w:t>
      </w:r>
      <w:r>
        <w:rPr>
          <w:rFonts w:ascii="Times New Roman" w:hAnsi="Times New Roman" w:eastAsia="宋体" w:cs="Times New Roman"/>
          <w:color w:val="auto"/>
          <w:szCs w:val="21"/>
          <w:highlight w:val="none"/>
        </w:rPr>
        <w:t>.3.2</w:t>
      </w:r>
      <w:r>
        <w:rPr>
          <w:rFonts w:ascii="Times New Roman" w:hAnsi="宋体" w:eastAsia="宋体" w:cs="Times New Roman"/>
          <w:color w:val="auto"/>
          <w:szCs w:val="24"/>
          <w:highlight w:val="none"/>
        </w:rPr>
        <w:t>强制性</w:t>
      </w:r>
      <w:r>
        <w:rPr>
          <w:rFonts w:ascii="Times New Roman" w:hAnsi="Times New Roman" w:eastAsia="宋体" w:cs="Times New Roman"/>
          <w:color w:val="auto"/>
          <w:szCs w:val="21"/>
          <w:highlight w:val="none"/>
        </w:rPr>
        <w:t>采购要求</w:t>
      </w:r>
      <w:bookmarkStart w:id="70" w:name="_Hlk92979720"/>
      <w:r>
        <w:rPr>
          <w:rFonts w:hint="eastAsia" w:ascii="Times New Roman" w:hAnsi="Times New Roman" w:eastAsia="宋体" w:cs="Times New Roman"/>
          <w:color w:val="auto"/>
          <w:szCs w:val="21"/>
          <w:highlight w:val="none"/>
        </w:rPr>
        <w:t>（仅适用于货物采购项目）</w:t>
      </w:r>
      <w:bookmarkEnd w:id="70"/>
    </w:p>
    <w:p w14:paraId="38C183BD">
      <w:pPr>
        <w:suppressAutoHyphens/>
        <w:spacing w:before="120" w:line="320" w:lineRule="atLeast"/>
        <w:ind w:firstLine="422" w:firstLineChars="2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投标人的投标货物必须使用政府强制采购的节能产品，否则投标文件作无效处理；属于品目清单内非标注“★”的产品时，应优先采购。</w:t>
      </w:r>
    </w:p>
    <w:p w14:paraId="72E7C332">
      <w:pPr>
        <w:spacing w:before="120" w:line="320" w:lineRule="atLeast"/>
        <w:ind w:firstLine="420" w:firstLineChars="200"/>
        <w:rPr>
          <w:rFonts w:ascii="Times New Roman" w:hAnsi="Times New Roman" w:eastAsia="宋体" w:cs="Times New Roman"/>
          <w:color w:val="auto"/>
          <w:szCs w:val="21"/>
          <w:highlight w:val="none"/>
        </w:rPr>
      </w:pPr>
      <w:bookmarkStart w:id="71" w:name="_Hlk19176155"/>
      <w:r>
        <w:rPr>
          <w:rFonts w:hint="eastAsia" w:ascii="Times New Roman" w:hAnsi="Times New Roman" w:eastAsia="宋体" w:cs="Times New Roman"/>
          <w:color w:val="auto"/>
          <w:szCs w:val="21"/>
          <w:highlight w:val="none"/>
        </w:rPr>
        <w:t>（2 ）根据《关于调整网络安全专用产品安全管理有关事项的公告》（2023年1号）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403857B1">
      <w:pPr>
        <w:spacing w:before="120" w:line="320" w:lineRule="atLeas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1"/>
          <w:highlight w:val="none"/>
        </w:rPr>
        <w:t>注：网络安全专用产品在中共中央网络安全和信息化委员会办公室网站上发布的《网络关键设备和网络安全专用产品目录》中查询。 目前共15类：路由器、交换机、服务器（机架式）、可编程逻辑控制器（PLC设备）、数据备份一体机、防火墙（硬件）、WEB应用防火墙（WAF）、入侵检测系统（IDS）、入侵防御系统（IPS）、安全隔离与信息交换产品（网闸）、反垃圾邮件产品、网络综合审计系统、网络脆弱性扫描产品、安全数据库系统、网站恢复产品（硬件）。</w:t>
      </w:r>
    </w:p>
    <w:p w14:paraId="4C88E4F6">
      <w:pPr>
        <w:spacing w:before="120" w:line="320" w:lineRule="atLeast"/>
        <w:ind w:firstLine="42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6.3.3澄清、说明或补正</w:t>
      </w:r>
    </w:p>
    <w:p w14:paraId="3AC48C08">
      <w:pPr>
        <w:spacing w:before="120" w:line="320" w:lineRule="atLeas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（1）对投标文件中含义不明确、同类问题表述不一致或者有明显文字和计算错误的内容，评审委员会应在广西政府采购云平台发布电子澄清函，要求</w:t>
      </w:r>
      <w:r>
        <w:rPr>
          <w:rFonts w:hint="eastAsia" w:ascii="Times New Roman" w:hAnsi="Times New Roman" w:eastAsia="宋体" w:cs="Times New Roman"/>
          <w:color w:val="auto"/>
          <w:szCs w:val="21"/>
          <w:highlight w:val="none"/>
        </w:rPr>
        <w:t>投标人</w:t>
      </w:r>
      <w:r>
        <w:rPr>
          <w:rFonts w:hint="eastAsia" w:ascii="Times New Roman" w:hAnsi="Times New Roman" w:eastAsia="宋体" w:cs="Times New Roman"/>
          <w:color w:val="auto"/>
          <w:szCs w:val="24"/>
          <w:highlight w:val="none"/>
        </w:rPr>
        <w:t>在平台设置的时间内作出必要的澄清、说明或者补正。</w:t>
      </w:r>
      <w:r>
        <w:rPr>
          <w:rFonts w:hint="eastAsia" w:ascii="Times New Roman" w:hAnsi="Times New Roman" w:eastAsia="宋体" w:cs="Times New Roman"/>
          <w:color w:val="auto"/>
          <w:szCs w:val="21"/>
          <w:highlight w:val="none"/>
        </w:rPr>
        <w:t>投标人</w:t>
      </w:r>
      <w:r>
        <w:rPr>
          <w:rFonts w:hint="eastAsia" w:ascii="Times New Roman" w:hAnsi="Times New Roman" w:eastAsia="宋体" w:cs="Times New Roman"/>
          <w:color w:val="auto"/>
          <w:szCs w:val="24"/>
          <w:highlight w:val="none"/>
        </w:rPr>
        <w:t>在广西政府采购云平台接收到电子澄清函后根据澄清函内容直接在线编辑或上传PDF格式回函，电子澄清答复函使用CA证书加盖单位电子签章后提交至评审委员会。</w:t>
      </w:r>
      <w:r>
        <w:rPr>
          <w:rFonts w:hint="eastAsia" w:ascii="Times New Roman" w:hAnsi="Times New Roman" w:eastAsia="宋体" w:cs="Times New Roman"/>
          <w:color w:val="auto"/>
          <w:szCs w:val="21"/>
          <w:highlight w:val="none"/>
        </w:rPr>
        <w:t>投标人</w:t>
      </w:r>
      <w:r>
        <w:rPr>
          <w:rFonts w:hint="eastAsia" w:ascii="Times New Roman" w:hAnsi="Times New Roman" w:eastAsia="宋体" w:cs="Times New Roman"/>
          <w:color w:val="auto"/>
          <w:szCs w:val="24"/>
          <w:highlight w:val="none"/>
        </w:rPr>
        <w:t>的澄清、说明或者补正不得超出投标文件的范围或者改变投标文件的实质性内容。</w:t>
      </w:r>
      <w:r>
        <w:rPr>
          <w:rFonts w:hint="eastAsia" w:ascii="Times New Roman" w:hAnsi="Times New Roman" w:eastAsia="宋体" w:cs="Times New Roman"/>
          <w:color w:val="auto"/>
          <w:szCs w:val="21"/>
          <w:highlight w:val="none"/>
        </w:rPr>
        <w:t>投标人</w:t>
      </w:r>
      <w:r>
        <w:rPr>
          <w:rFonts w:hint="eastAsia" w:ascii="Times New Roman" w:hAnsi="Times New Roman" w:eastAsia="宋体" w:cs="Times New Roman"/>
          <w:color w:val="auto"/>
          <w:szCs w:val="24"/>
          <w:highlight w:val="none"/>
        </w:rPr>
        <w:t>未在规定时间内进行澄清、说明或者补正的，按无效投标处理。</w:t>
      </w:r>
    </w:p>
    <w:p w14:paraId="213CE081">
      <w:pPr>
        <w:spacing w:before="120" w:line="320" w:lineRule="atLeas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（2）异常情况处理：如遇无法正常使用线上发送澄清函的情况，将以书面形式执行。评审委员会以书面形式要求</w:t>
      </w:r>
      <w:r>
        <w:rPr>
          <w:rFonts w:hint="eastAsia" w:ascii="Times New Roman" w:hAnsi="Times New Roman" w:eastAsia="宋体" w:cs="Times New Roman"/>
          <w:color w:val="auto"/>
          <w:szCs w:val="21"/>
          <w:highlight w:val="none"/>
        </w:rPr>
        <w:t>投标人</w:t>
      </w:r>
      <w:r>
        <w:rPr>
          <w:rFonts w:hint="eastAsia" w:ascii="Times New Roman" w:hAnsi="Times New Roman" w:eastAsia="宋体" w:cs="Times New Roman"/>
          <w:color w:val="auto"/>
          <w:szCs w:val="24"/>
          <w:highlight w:val="none"/>
        </w:rPr>
        <w:t>在规定时间内作出必要的澄清、说明或者补正。</w:t>
      </w:r>
      <w:r>
        <w:rPr>
          <w:rFonts w:hint="eastAsia" w:ascii="Times New Roman" w:hAnsi="Times New Roman" w:eastAsia="宋体" w:cs="Times New Roman"/>
          <w:color w:val="auto"/>
          <w:szCs w:val="21"/>
          <w:highlight w:val="none"/>
        </w:rPr>
        <w:t>投标人</w:t>
      </w:r>
      <w:r>
        <w:rPr>
          <w:rFonts w:hint="eastAsia" w:ascii="Times New Roman" w:hAnsi="Times New Roman" w:eastAsia="宋体" w:cs="Times New Roman"/>
          <w:color w:val="auto"/>
          <w:szCs w:val="24"/>
          <w:highlight w:val="none"/>
        </w:rPr>
        <w:t>的澄清、说明或者补正必须采用书面形式，并加盖公章或者由法定代表人或者其授权的代表签字。</w:t>
      </w:r>
    </w:p>
    <w:p w14:paraId="377D8749">
      <w:pPr>
        <w:spacing w:before="120" w:line="320" w:lineRule="atLeast"/>
        <w:ind w:firstLine="42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6.3.4</w:t>
      </w:r>
      <w:r>
        <w:rPr>
          <w:rFonts w:hint="eastAsia" w:ascii="Times New Roman" w:hAnsi="Times New Roman" w:eastAsia="宋体" w:cs="Times New Roman"/>
          <w:color w:val="auto"/>
          <w:szCs w:val="24"/>
          <w:highlight w:val="none"/>
        </w:rPr>
        <w:t>报价</w:t>
      </w:r>
      <w:r>
        <w:rPr>
          <w:rFonts w:ascii="Times New Roman" w:hAnsi="Times New Roman" w:eastAsia="宋体" w:cs="Times New Roman"/>
          <w:color w:val="auto"/>
          <w:szCs w:val="24"/>
          <w:highlight w:val="none"/>
        </w:rPr>
        <w:t>修正</w:t>
      </w:r>
    </w:p>
    <w:p w14:paraId="65BBCDDD">
      <w:pPr>
        <w:spacing w:before="120" w:line="320" w:lineRule="atLeas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（1）报价出现前后不一致的，按照下列规定修正：</w:t>
      </w:r>
    </w:p>
    <w:p w14:paraId="70D58906">
      <w:pPr>
        <w:spacing w:before="120" w:line="320" w:lineRule="atLeast"/>
        <w:ind w:firstLine="420" w:firstLineChars="200"/>
        <w:rPr>
          <w:rFonts w:ascii="Times New Roman" w:hAnsi="Times New Roman" w:eastAsia="宋体" w:cs="Times New Roman"/>
          <w:color w:val="auto"/>
          <w:szCs w:val="21"/>
          <w:highlight w:val="none"/>
        </w:rPr>
      </w:pPr>
      <w:r>
        <w:rPr>
          <w:rFonts w:hint="eastAsia" w:ascii="宋体" w:hAnsi="宋体" w:eastAsia="宋体" w:cs="Times New Roman"/>
          <w:color w:val="auto"/>
          <w:szCs w:val="21"/>
          <w:highlight w:val="none"/>
        </w:rPr>
        <w:t>①</w:t>
      </w:r>
      <w:r>
        <w:rPr>
          <w:rFonts w:ascii="Times New Roman" w:hAnsi="Times New Roman" w:eastAsia="宋体" w:cs="Times New Roman"/>
          <w:color w:val="auto"/>
          <w:szCs w:val="21"/>
          <w:highlight w:val="none"/>
        </w:rPr>
        <w:t>投标文件中开标一览表（报价表）内容与投标文件中相应内容不一致的，以开标一览表（报价表）为准；</w:t>
      </w:r>
    </w:p>
    <w:p w14:paraId="4AF6A10B">
      <w:pPr>
        <w:spacing w:before="120" w:line="320" w:lineRule="atLeast"/>
        <w:ind w:firstLine="420" w:firstLineChars="200"/>
        <w:rPr>
          <w:rFonts w:ascii="Times New Roman" w:hAnsi="Times New Roman" w:eastAsia="宋体" w:cs="Times New Roman"/>
          <w:color w:val="auto"/>
          <w:szCs w:val="21"/>
          <w:highlight w:val="none"/>
        </w:rPr>
      </w:pPr>
      <w:r>
        <w:rPr>
          <w:rFonts w:ascii="宋体" w:hAnsi="宋体" w:eastAsia="宋体" w:cs="Times New Roman"/>
          <w:color w:val="auto"/>
          <w:szCs w:val="21"/>
          <w:highlight w:val="none"/>
        </w:rPr>
        <w:t>②</w:t>
      </w:r>
      <w:r>
        <w:rPr>
          <w:rFonts w:ascii="Times New Roman" w:hAnsi="Times New Roman" w:eastAsia="宋体" w:cs="Times New Roman"/>
          <w:color w:val="auto"/>
          <w:szCs w:val="21"/>
          <w:highlight w:val="none"/>
        </w:rPr>
        <w:t>大写金额和小写金额不一致的，以大写金额为准；</w:t>
      </w:r>
    </w:p>
    <w:p w14:paraId="728CF231">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③</w:t>
      </w:r>
      <w:r>
        <w:rPr>
          <w:rFonts w:ascii="Times New Roman" w:hAnsi="Times New Roman" w:eastAsia="宋体" w:cs="Times New Roman"/>
          <w:color w:val="auto"/>
          <w:szCs w:val="21"/>
          <w:highlight w:val="none"/>
        </w:rPr>
        <w:t>单价金额小数点或者百分比有明显错位的，以开标一览表的总价为准，并修改单价；</w:t>
      </w:r>
    </w:p>
    <w:p w14:paraId="243441C8">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④</w:t>
      </w:r>
      <w:r>
        <w:rPr>
          <w:rFonts w:ascii="Times New Roman" w:hAnsi="Times New Roman" w:eastAsia="宋体" w:cs="Times New Roman"/>
          <w:color w:val="auto"/>
          <w:szCs w:val="21"/>
          <w:highlight w:val="none"/>
        </w:rPr>
        <w:t>总价金额与按单价汇总金额不一致的，以单价金额计算结果为准</w:t>
      </w:r>
      <w:r>
        <w:rPr>
          <w:rFonts w:hint="eastAsia" w:ascii="Times New Roman" w:hAnsi="Times New Roman" w:eastAsia="宋体" w:cs="Times New Roman"/>
          <w:color w:val="auto"/>
          <w:szCs w:val="21"/>
          <w:highlight w:val="none"/>
        </w:rPr>
        <w:t>。</w:t>
      </w:r>
    </w:p>
    <w:p w14:paraId="03CC526D">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同时出现两种以上不一致的，按照上述</w:t>
      </w:r>
      <w:r>
        <w:rPr>
          <w:rFonts w:hint="eastAsia" w:ascii="宋体" w:hAnsi="宋体" w:eastAsia="宋体" w:cs="Times New Roman"/>
          <w:color w:val="auto"/>
          <w:szCs w:val="21"/>
          <w:highlight w:val="none"/>
        </w:rPr>
        <w:t>①-</w:t>
      </w:r>
      <w:r>
        <w:rPr>
          <w:rFonts w:hint="eastAsia" w:ascii="Times New Roman" w:hAnsi="Times New Roman" w:eastAsia="宋体" w:cs="Times New Roman"/>
          <w:color w:val="auto"/>
          <w:szCs w:val="21"/>
          <w:highlight w:val="none"/>
        </w:rPr>
        <w:t>④顺序修正。修正后的报价按照上述“</w:t>
      </w:r>
      <w:r>
        <w:rPr>
          <w:rFonts w:ascii="Times New Roman" w:hAnsi="Times New Roman" w:eastAsia="宋体" w:cs="Times New Roman"/>
          <w:color w:val="auto"/>
          <w:szCs w:val="21"/>
          <w:highlight w:val="none"/>
        </w:rPr>
        <w:t>6.3.3</w:t>
      </w:r>
      <w:r>
        <w:rPr>
          <w:rFonts w:hint="eastAsia" w:ascii="Times New Roman" w:hAnsi="Times New Roman" w:eastAsia="宋体" w:cs="Times New Roman"/>
          <w:color w:val="auto"/>
          <w:szCs w:val="21"/>
          <w:highlight w:val="none"/>
        </w:rPr>
        <w:t>澄清、说明或补正”的规定经投标人确认后产生约束力，投标人不确认的，其投标无效。</w:t>
      </w:r>
    </w:p>
    <w:p w14:paraId="5082DEFC">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评审委员会认为投标人的报价明显低于其他通过符合性审查投标人的报价，有可能影响产品质量或者不能诚信履约的，应当要求其在合理的时间内提交相关书面证明材料；评审委员会可以要求投标人就提供货物的主要成本、销售费用、管理费用、财务费用、履约费用、计划利润、税金及附加等成本构成事项进行详细陈述。书面证明应当按照上述“</w:t>
      </w:r>
      <w:r>
        <w:rPr>
          <w:rFonts w:ascii="Times New Roman" w:hAnsi="Times New Roman" w:eastAsia="宋体" w:cs="Times New Roman"/>
          <w:color w:val="auto"/>
          <w:szCs w:val="21"/>
          <w:highlight w:val="none"/>
        </w:rPr>
        <w:t>6.3.3</w:t>
      </w:r>
      <w:r>
        <w:rPr>
          <w:rFonts w:hint="eastAsia" w:ascii="Times New Roman" w:hAnsi="Times New Roman" w:eastAsia="宋体" w:cs="Times New Roman"/>
          <w:color w:val="auto"/>
          <w:szCs w:val="21"/>
          <w:highlight w:val="none"/>
        </w:rPr>
        <w:t>澄清、说明或补正”的规定提交。投标人未按规定提交或不能证明其报价合理性的，评审委员会应当将其作为无效投标处理。</w:t>
      </w:r>
    </w:p>
    <w:p w14:paraId="47B15D03">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3</w:t>
      </w:r>
      <w:r>
        <w:rPr>
          <w:rFonts w:hint="eastAsia" w:ascii="Times New Roman" w:hAnsi="Times New Roman" w:eastAsia="宋体" w:cs="Times New Roman"/>
          <w:color w:val="auto"/>
          <w:szCs w:val="21"/>
          <w:highlight w:val="none"/>
        </w:rPr>
        <w:t>）经投标人确认修正后的报价若超过采购预算金额或者最高限价，其投标文件作无效投标处理。</w:t>
      </w:r>
    </w:p>
    <w:p w14:paraId="7A4A1267">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4</w:t>
      </w:r>
      <w:r>
        <w:rPr>
          <w:rFonts w:hint="eastAsia" w:ascii="Times New Roman" w:hAnsi="Times New Roman" w:eastAsia="宋体" w:cs="Times New Roman"/>
          <w:color w:val="auto"/>
          <w:szCs w:val="21"/>
          <w:highlight w:val="none"/>
        </w:rPr>
        <w:t>）经投标人确认修正后的报价作为签订合同的依据，并以此报价计算价格分。</w:t>
      </w:r>
    </w:p>
    <w:p w14:paraId="06B10337">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6</w:t>
      </w:r>
      <w:r>
        <w:rPr>
          <w:rFonts w:ascii="Times New Roman" w:hAnsi="Times New Roman" w:eastAsia="宋体" w:cs="Times New Roman"/>
          <w:color w:val="auto"/>
          <w:szCs w:val="21"/>
          <w:highlight w:val="none"/>
        </w:rPr>
        <w:t>.3.5</w:t>
      </w:r>
      <w:r>
        <w:rPr>
          <w:rFonts w:hint="eastAsia" w:ascii="Times New Roman" w:hAnsi="Times New Roman" w:eastAsia="宋体" w:cs="Times New Roman"/>
          <w:color w:val="auto"/>
          <w:szCs w:val="21"/>
          <w:highlight w:val="none"/>
        </w:rPr>
        <w:t>相同品牌认定（仅适用于货物采购项目）</w:t>
      </w:r>
    </w:p>
    <w:p w14:paraId="4FD509F4">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（1）单一产品采购项目，</w:t>
      </w:r>
      <w:r>
        <w:rPr>
          <w:rFonts w:ascii="Times New Roman" w:hAnsi="Times New Roman" w:eastAsia="宋体" w:cs="Times New Roman"/>
          <w:color w:val="auto"/>
          <w:szCs w:val="24"/>
          <w:highlight w:val="none"/>
        </w:rPr>
        <w:t>不同</w:t>
      </w:r>
      <w:r>
        <w:rPr>
          <w:rFonts w:hint="eastAsia" w:ascii="Times New Roman" w:hAnsi="Times New Roman" w:eastAsia="宋体" w:cs="Times New Roman"/>
          <w:color w:val="auto"/>
          <w:szCs w:val="24"/>
          <w:highlight w:val="none"/>
        </w:rPr>
        <w:t>投标人</w:t>
      </w:r>
      <w:r>
        <w:rPr>
          <w:rFonts w:ascii="Times New Roman" w:hAnsi="Times New Roman" w:eastAsia="宋体" w:cs="Times New Roman"/>
          <w:color w:val="auto"/>
          <w:szCs w:val="24"/>
          <w:highlight w:val="none"/>
        </w:rPr>
        <w:t>提供的产品品牌相同时，</w:t>
      </w:r>
      <w:r>
        <w:rPr>
          <w:rFonts w:hint="eastAsia" w:ascii="Times New Roman" w:hAnsi="Times New Roman" w:eastAsia="宋体" w:cs="Times New Roman"/>
          <w:color w:val="auto"/>
          <w:szCs w:val="24"/>
          <w:highlight w:val="none"/>
        </w:rPr>
        <w:t>按以下</w:t>
      </w:r>
      <w:r>
        <w:rPr>
          <w:rFonts w:ascii="Times New Roman" w:hAnsi="Times New Roman" w:eastAsia="宋体" w:cs="Times New Roman"/>
          <w:color w:val="auto"/>
          <w:szCs w:val="24"/>
          <w:highlight w:val="none"/>
        </w:rPr>
        <w:t>规定</w:t>
      </w:r>
      <w:r>
        <w:rPr>
          <w:rFonts w:hint="eastAsia" w:ascii="Times New Roman" w:hAnsi="Times New Roman" w:eastAsia="宋体" w:cs="Times New Roman"/>
          <w:color w:val="auto"/>
          <w:szCs w:val="24"/>
          <w:highlight w:val="none"/>
        </w:rPr>
        <w:t>确定</w:t>
      </w:r>
      <w:r>
        <w:rPr>
          <w:rFonts w:ascii="Times New Roman" w:hAnsi="Times New Roman" w:eastAsia="宋体" w:cs="Times New Roman"/>
          <w:bCs/>
          <w:color w:val="auto"/>
          <w:kern w:val="0"/>
          <w:szCs w:val="21"/>
          <w:highlight w:val="none"/>
        </w:rPr>
        <w:t>相同品牌的投标有效性</w:t>
      </w:r>
      <w:r>
        <w:rPr>
          <w:rFonts w:ascii="Times New Roman" w:hAnsi="Times New Roman" w:eastAsia="宋体" w:cs="Times New Roman"/>
          <w:color w:val="auto"/>
          <w:szCs w:val="24"/>
          <w:highlight w:val="none"/>
        </w:rPr>
        <w:t>。</w:t>
      </w:r>
    </w:p>
    <w:bookmarkEnd w:id="71"/>
    <w:p w14:paraId="193FCDC0">
      <w:pPr>
        <w:spacing w:before="120" w:line="320" w:lineRule="atLeast"/>
        <w:ind w:firstLine="630" w:firstLineChars="3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①采用综合评分法的采购项目，提供相同品牌产品且通过资格审查、符合性审查的不同投标人参加 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435269AD">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 ②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 </w:t>
      </w:r>
    </w:p>
    <w:p w14:paraId="3DD225DB">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（2）非单一产品采购项目，采购人应当确定核心产品，并在招标文件中载明。不同投标人提供的 核心产品品牌相同的，按上述规定处理。核心产品在第二章采购需求规定。</w:t>
      </w:r>
    </w:p>
    <w:p w14:paraId="49581C99">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6.3.6串通投标认定</w:t>
      </w:r>
    </w:p>
    <w:p w14:paraId="544DFAF3">
      <w:pPr>
        <w:spacing w:before="120" w:line="320" w:lineRule="atLeast"/>
        <w:ind w:firstLine="42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1"/>
          <w:highlight w:val="none"/>
        </w:rPr>
        <w:t>评审委员会须根据</w:t>
      </w:r>
      <w:r>
        <w:rPr>
          <w:rFonts w:hint="eastAsia" w:ascii="Times New Roman" w:hAnsi="Times New Roman" w:eastAsia="宋体" w:cs="Times New Roman"/>
          <w:color w:val="auto"/>
          <w:szCs w:val="21"/>
          <w:highlight w:val="none"/>
        </w:rPr>
        <w:t>以下</w:t>
      </w:r>
      <w:r>
        <w:rPr>
          <w:rFonts w:ascii="Times New Roman" w:hAnsi="Times New Roman" w:eastAsia="宋体" w:cs="Times New Roman"/>
          <w:color w:val="auto"/>
          <w:szCs w:val="21"/>
          <w:highlight w:val="none"/>
        </w:rPr>
        <w:t>规定</w:t>
      </w:r>
      <w:r>
        <w:rPr>
          <w:rFonts w:hint="eastAsia" w:ascii="Times New Roman" w:hAnsi="Times New Roman" w:eastAsia="宋体" w:cs="Times New Roman"/>
          <w:color w:val="auto"/>
          <w:szCs w:val="21"/>
          <w:highlight w:val="none"/>
        </w:rPr>
        <w:t>认定投标人</w:t>
      </w:r>
      <w:r>
        <w:rPr>
          <w:rFonts w:ascii="Times New Roman" w:hAnsi="Times New Roman" w:eastAsia="宋体" w:cs="Times New Roman"/>
          <w:color w:val="auto"/>
          <w:szCs w:val="21"/>
          <w:highlight w:val="none"/>
        </w:rPr>
        <w:t>是否有</w:t>
      </w:r>
      <w:r>
        <w:rPr>
          <w:rFonts w:ascii="Times New Roman" w:hAnsi="Times New Roman" w:eastAsia="宋体" w:cs="Times New Roman"/>
          <w:bCs/>
          <w:color w:val="auto"/>
          <w:kern w:val="0"/>
          <w:szCs w:val="21"/>
          <w:highlight w:val="none"/>
        </w:rPr>
        <w:t>串通投标的行为</w:t>
      </w:r>
      <w:r>
        <w:rPr>
          <w:rFonts w:ascii="Times New Roman" w:hAnsi="Times New Roman" w:eastAsia="宋体" w:cs="Times New Roman"/>
          <w:color w:val="auto"/>
          <w:szCs w:val="24"/>
          <w:highlight w:val="none"/>
        </w:rPr>
        <w:t>。</w:t>
      </w:r>
    </w:p>
    <w:p w14:paraId="4EA12ADF">
      <w:pPr>
        <w:spacing w:before="120" w:line="320" w:lineRule="atLeast"/>
        <w:ind w:firstLine="420" w:firstLineChars="200"/>
        <w:rPr>
          <w:rFonts w:ascii="Times New Roman" w:hAnsi="Times New Roman" w:eastAsia="宋体" w:cs="Times New Roman"/>
          <w:color w:val="auto"/>
          <w:szCs w:val="21"/>
          <w:highlight w:val="none"/>
        </w:rPr>
      </w:pPr>
      <w:bookmarkStart w:id="72" w:name="_Hlk19122026"/>
      <w:r>
        <w:rPr>
          <w:rFonts w:hint="eastAsia" w:ascii="Times New Roman" w:hAnsi="Times New Roman" w:eastAsia="宋体" w:cs="Times New Roman"/>
          <w:color w:val="auto"/>
          <w:szCs w:val="21"/>
          <w:highlight w:val="none"/>
        </w:rPr>
        <w:t>（1）</w:t>
      </w:r>
      <w:bookmarkEnd w:id="72"/>
      <w:r>
        <w:rPr>
          <w:rFonts w:ascii="Times New Roman" w:hAnsi="Times New Roman" w:eastAsia="宋体" w:cs="Times New Roman"/>
          <w:color w:val="auto"/>
          <w:szCs w:val="21"/>
          <w:highlight w:val="none"/>
        </w:rPr>
        <w:t>根据《关于防治政府采购招标中串通投标行为的通知》</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桂财采[2016]42号</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规定，出现下述情况的，相关</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的投标作无效投标处理。</w:t>
      </w:r>
    </w:p>
    <w:p w14:paraId="17F68AC0">
      <w:pPr>
        <w:spacing w:before="120" w:line="320" w:lineRule="atLeast"/>
        <w:ind w:firstLine="420" w:firstLineChars="200"/>
        <w:rPr>
          <w:rFonts w:ascii="Times New Roman" w:hAnsi="Times New Roman" w:eastAsia="宋体" w:cs="Times New Roman"/>
          <w:color w:val="auto"/>
          <w:szCs w:val="21"/>
          <w:highlight w:val="none"/>
        </w:rPr>
      </w:pPr>
      <w:bookmarkStart w:id="73" w:name="_Hlk19122039"/>
      <w:r>
        <w:rPr>
          <w:rFonts w:hint="eastAsia" w:ascii="宋体" w:hAnsi="宋体" w:eastAsia="宋体" w:cs="宋体"/>
          <w:color w:val="auto"/>
          <w:szCs w:val="21"/>
          <w:highlight w:val="none"/>
        </w:rPr>
        <w:t>①</w:t>
      </w:r>
      <w:r>
        <w:rPr>
          <w:rFonts w:ascii="Times New Roman" w:hAnsi="Times New Roman" w:eastAsia="宋体" w:cs="Times New Roman"/>
          <w:color w:val="auto"/>
          <w:szCs w:val="21"/>
          <w:highlight w:val="none"/>
        </w:rPr>
        <w:t>单位负责人为同一人或者存在直接控股、管理关系，参加同一合同项下政府采购活动的不同</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w:t>
      </w:r>
    </w:p>
    <w:p w14:paraId="6835A424">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②</w:t>
      </w:r>
      <w:r>
        <w:rPr>
          <w:rFonts w:ascii="Times New Roman" w:hAnsi="Times New Roman" w:eastAsia="宋体" w:cs="Times New Roman"/>
          <w:color w:val="auto"/>
          <w:szCs w:val="21"/>
          <w:highlight w:val="none"/>
        </w:rPr>
        <w:t>授权给</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后参加同一合同项（分标、分包）投标的生产厂商。</w:t>
      </w:r>
    </w:p>
    <w:p w14:paraId="6CE6E25A">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③</w:t>
      </w:r>
      <w:r>
        <w:rPr>
          <w:rFonts w:ascii="Times New Roman" w:hAnsi="Times New Roman" w:eastAsia="宋体" w:cs="Times New Roman"/>
          <w:color w:val="auto"/>
          <w:szCs w:val="21"/>
          <w:highlight w:val="none"/>
        </w:rPr>
        <w:t>视为或被认定为串通投标的相关</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w:t>
      </w:r>
    </w:p>
    <w:bookmarkEnd w:id="73"/>
    <w:p w14:paraId="70867866">
      <w:pPr>
        <w:spacing w:before="120" w:line="320" w:lineRule="atLeast"/>
        <w:ind w:firstLine="420" w:firstLineChars="200"/>
        <w:rPr>
          <w:rFonts w:ascii="Times New Roman" w:hAnsi="Times New Roman" w:eastAsia="宋体" w:cs="Times New Roman"/>
          <w:color w:val="auto"/>
          <w:szCs w:val="21"/>
          <w:highlight w:val="none"/>
        </w:rPr>
      </w:pPr>
      <w:bookmarkStart w:id="74" w:name="_Hlk19122058"/>
      <w:r>
        <w:rPr>
          <w:rFonts w:hint="eastAsia" w:ascii="Times New Roman" w:hAnsi="Times New Roman" w:eastAsia="宋体" w:cs="Times New Roman"/>
          <w:color w:val="auto"/>
          <w:szCs w:val="21"/>
          <w:highlight w:val="none"/>
        </w:rPr>
        <w:t>（2）</w:t>
      </w:r>
      <w:bookmarkEnd w:id="74"/>
      <w:r>
        <w:rPr>
          <w:rFonts w:ascii="Times New Roman" w:hAnsi="Times New Roman" w:eastAsia="宋体" w:cs="Times New Roman"/>
          <w:color w:val="auto"/>
          <w:szCs w:val="21"/>
          <w:highlight w:val="none"/>
        </w:rPr>
        <w:t>根据《关于防治政府采购招标中串通投标行为的通知》</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桂财采[2016]42号</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规定，有下列情形之一的视为</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相互串通投标，投标文件将被视为无效。</w:t>
      </w:r>
    </w:p>
    <w:p w14:paraId="71C5DBDC">
      <w:pPr>
        <w:spacing w:before="120" w:line="320" w:lineRule="atLeast"/>
        <w:ind w:firstLine="420" w:firstLineChars="200"/>
        <w:rPr>
          <w:rFonts w:ascii="Times New Roman" w:hAnsi="Times New Roman" w:eastAsia="宋体" w:cs="Times New Roman"/>
          <w:color w:val="auto"/>
          <w:szCs w:val="21"/>
          <w:highlight w:val="none"/>
        </w:rPr>
      </w:pPr>
      <w:bookmarkStart w:id="75" w:name="_Hlk19122048"/>
      <w:r>
        <w:rPr>
          <w:rFonts w:hint="eastAsia" w:ascii="宋体" w:hAnsi="宋体" w:eastAsia="宋体" w:cs="宋体"/>
          <w:color w:val="auto"/>
          <w:szCs w:val="21"/>
          <w:highlight w:val="none"/>
        </w:rPr>
        <w:t>①</w:t>
      </w:r>
      <w:r>
        <w:rPr>
          <w:rFonts w:ascii="Times New Roman" w:hAnsi="Times New Roman" w:eastAsia="宋体" w:cs="Times New Roman"/>
          <w:color w:val="auto"/>
          <w:szCs w:val="21"/>
          <w:highlight w:val="none"/>
        </w:rPr>
        <w:t>不同</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的投标文件由同一单位或者个人编制；或不同</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报名的IP地址一致的；</w:t>
      </w:r>
    </w:p>
    <w:p w14:paraId="4E907C09">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②</w:t>
      </w:r>
      <w:r>
        <w:rPr>
          <w:rFonts w:ascii="Times New Roman" w:hAnsi="Times New Roman" w:eastAsia="宋体" w:cs="Times New Roman"/>
          <w:color w:val="auto"/>
          <w:szCs w:val="21"/>
          <w:highlight w:val="none"/>
        </w:rPr>
        <w:t>不同</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委托同一单位或者个人办理投标事宜；</w:t>
      </w:r>
    </w:p>
    <w:p w14:paraId="17F33B84">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③</w:t>
      </w:r>
      <w:r>
        <w:rPr>
          <w:rFonts w:ascii="Times New Roman" w:hAnsi="Times New Roman" w:eastAsia="宋体" w:cs="Times New Roman"/>
          <w:color w:val="auto"/>
          <w:szCs w:val="21"/>
          <w:highlight w:val="none"/>
        </w:rPr>
        <w:t>不同的</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的投标文件载明的项目管理员为同一个人；</w:t>
      </w:r>
    </w:p>
    <w:p w14:paraId="693EED0D">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④</w:t>
      </w:r>
      <w:r>
        <w:rPr>
          <w:rFonts w:ascii="Times New Roman" w:hAnsi="Times New Roman" w:eastAsia="宋体" w:cs="Times New Roman"/>
          <w:color w:val="auto"/>
          <w:szCs w:val="21"/>
          <w:highlight w:val="none"/>
        </w:rPr>
        <w:t>不同</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的投标文件异常一致或投标报价呈规律性差异；</w:t>
      </w:r>
    </w:p>
    <w:p w14:paraId="2E18EB1C">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⑤</w:t>
      </w:r>
      <w:r>
        <w:rPr>
          <w:rFonts w:ascii="Times New Roman" w:hAnsi="Times New Roman" w:eastAsia="宋体" w:cs="Times New Roman"/>
          <w:color w:val="auto"/>
          <w:szCs w:val="21"/>
          <w:highlight w:val="none"/>
        </w:rPr>
        <w:t>不同</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的投标文件相互混装；</w:t>
      </w:r>
    </w:p>
    <w:p w14:paraId="0D004D6B">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⑥</w:t>
      </w:r>
      <w:r>
        <w:rPr>
          <w:rFonts w:ascii="Times New Roman" w:hAnsi="Times New Roman" w:eastAsia="宋体" w:cs="Times New Roman"/>
          <w:color w:val="auto"/>
          <w:szCs w:val="21"/>
          <w:highlight w:val="none"/>
        </w:rPr>
        <w:t>不同</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的保证金从同一单位或者个人账户转出。</w:t>
      </w:r>
    </w:p>
    <w:bookmarkEnd w:id="75"/>
    <w:p w14:paraId="5FA6B6D8">
      <w:pPr>
        <w:spacing w:before="120" w:line="320" w:lineRule="atLeast"/>
        <w:ind w:firstLine="420" w:firstLineChars="200"/>
        <w:rPr>
          <w:rFonts w:ascii="Times New Roman" w:hAnsi="Times New Roman" w:eastAsia="宋体" w:cs="Times New Roman"/>
          <w:color w:val="auto"/>
          <w:szCs w:val="21"/>
          <w:highlight w:val="none"/>
        </w:rPr>
      </w:pPr>
      <w:bookmarkStart w:id="76" w:name="_Hlk19122102"/>
      <w:r>
        <w:rPr>
          <w:rFonts w:hint="eastAsia" w:ascii="Times New Roman" w:hAnsi="Times New Roman" w:eastAsia="宋体" w:cs="Times New Roman"/>
          <w:color w:val="auto"/>
          <w:szCs w:val="21"/>
          <w:highlight w:val="none"/>
        </w:rPr>
        <w:t>（3）</w:t>
      </w:r>
      <w:bookmarkEnd w:id="76"/>
      <w:r>
        <w:rPr>
          <w:rFonts w:ascii="Times New Roman" w:hAnsi="Times New Roman" w:eastAsia="宋体" w:cs="Times New Roman"/>
          <w:color w:val="auto"/>
          <w:szCs w:val="21"/>
          <w:highlight w:val="none"/>
        </w:rPr>
        <w:t>根据《关于防治政府采购招标中串通投标行为的通知》</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桂财采[2016]42号</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规定，</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有下列情形之一的，属于恶意串通行为，投标文件将被视为无效。</w:t>
      </w:r>
    </w:p>
    <w:p w14:paraId="19C1666C">
      <w:pPr>
        <w:spacing w:before="120" w:line="320" w:lineRule="atLeast"/>
        <w:ind w:firstLine="420" w:firstLineChars="200"/>
        <w:rPr>
          <w:rFonts w:ascii="Times New Roman" w:hAnsi="Times New Roman" w:eastAsia="宋体" w:cs="Times New Roman"/>
          <w:color w:val="auto"/>
          <w:szCs w:val="21"/>
          <w:highlight w:val="none"/>
        </w:rPr>
      </w:pPr>
      <w:bookmarkStart w:id="77" w:name="_Hlk19122095"/>
      <w:r>
        <w:rPr>
          <w:rFonts w:hint="eastAsia" w:ascii="Times New Roman" w:hAnsi="Times New Roman" w:eastAsia="宋体" w:cs="Times New Roman"/>
          <w:color w:val="auto"/>
          <w:szCs w:val="21"/>
          <w:highlight w:val="none"/>
        </w:rPr>
        <w:t>①投标人</w:t>
      </w:r>
      <w:r>
        <w:rPr>
          <w:rFonts w:ascii="Times New Roman" w:hAnsi="Times New Roman" w:eastAsia="宋体" w:cs="Times New Roman"/>
          <w:color w:val="auto"/>
          <w:szCs w:val="21"/>
          <w:highlight w:val="none"/>
        </w:rPr>
        <w:t>直接或者间接从采购人或者采购代理机构处获得其他</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的相关信息并修改其投标文件或者响应文件；</w:t>
      </w:r>
    </w:p>
    <w:p w14:paraId="2B82EA91">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②投标人</w:t>
      </w:r>
      <w:r>
        <w:rPr>
          <w:rFonts w:ascii="Times New Roman" w:hAnsi="Times New Roman" w:eastAsia="宋体" w:cs="Times New Roman"/>
          <w:color w:val="auto"/>
          <w:szCs w:val="21"/>
          <w:highlight w:val="none"/>
        </w:rPr>
        <w:t>按照采购人或者采购代理机构的授意撤换、修改投标文件或者响应文件;；</w:t>
      </w:r>
    </w:p>
    <w:p w14:paraId="586D9265">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③投标人</w:t>
      </w:r>
      <w:r>
        <w:rPr>
          <w:rFonts w:ascii="Times New Roman" w:hAnsi="Times New Roman" w:eastAsia="宋体" w:cs="Times New Roman"/>
          <w:color w:val="auto"/>
          <w:szCs w:val="21"/>
          <w:highlight w:val="none"/>
        </w:rPr>
        <w:t>之间协商报价、技术方案等投标文件或者响应文件的实质性内容；</w:t>
      </w:r>
    </w:p>
    <w:p w14:paraId="7E95FEBC">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④</w:t>
      </w:r>
      <w:r>
        <w:rPr>
          <w:rFonts w:ascii="Times New Roman" w:hAnsi="Times New Roman" w:eastAsia="宋体" w:cs="Times New Roman"/>
          <w:color w:val="auto"/>
          <w:szCs w:val="21"/>
          <w:highlight w:val="none"/>
        </w:rPr>
        <w:t>属于同一集团、协会、商会等组织成员的</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按照该组织要求协同参加政府采购活动；</w:t>
      </w:r>
    </w:p>
    <w:p w14:paraId="5B5A6E87">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⑤投标人</w:t>
      </w:r>
      <w:r>
        <w:rPr>
          <w:rFonts w:ascii="Times New Roman" w:hAnsi="Times New Roman" w:eastAsia="宋体" w:cs="Times New Roman"/>
          <w:color w:val="auto"/>
          <w:szCs w:val="21"/>
          <w:highlight w:val="none"/>
        </w:rPr>
        <w:t>之间事先约定一致抬高或者压低投标报价，或者在招标项目中事先约定轮流以高价位或者低价位中标，或者事先约定由某一特定</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中标，然后再参加投标；</w:t>
      </w:r>
    </w:p>
    <w:p w14:paraId="374F112D">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⑥投标人</w:t>
      </w:r>
      <w:r>
        <w:rPr>
          <w:rFonts w:ascii="Times New Roman" w:hAnsi="Times New Roman" w:eastAsia="宋体" w:cs="Times New Roman"/>
          <w:color w:val="auto"/>
          <w:szCs w:val="21"/>
          <w:highlight w:val="none"/>
        </w:rPr>
        <w:t>之间商定部分</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放弃参加政府采购活动或者放弃中标；</w:t>
      </w:r>
    </w:p>
    <w:p w14:paraId="6F52C6E8">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⑦投标人</w:t>
      </w:r>
      <w:r>
        <w:rPr>
          <w:rFonts w:ascii="Times New Roman" w:hAnsi="Times New Roman" w:eastAsia="宋体" w:cs="Times New Roman"/>
          <w:color w:val="auto"/>
          <w:szCs w:val="21"/>
          <w:highlight w:val="none"/>
        </w:rPr>
        <w:t>与采购人或者采购代理机构之间、</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相互之间，为谋求特定</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中标或者排斥其他</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的其他串通行为。</w:t>
      </w:r>
    </w:p>
    <w:bookmarkEnd w:id="77"/>
    <w:p w14:paraId="55A5B122">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6.3.7投标</w:t>
      </w:r>
      <w:r>
        <w:rPr>
          <w:rFonts w:hint="eastAsia" w:ascii="Times New Roman" w:hAnsi="Times New Roman" w:eastAsia="宋体" w:cs="Times New Roman"/>
          <w:color w:val="auto"/>
          <w:szCs w:val="21"/>
          <w:highlight w:val="none"/>
        </w:rPr>
        <w:t>无效</w:t>
      </w:r>
      <w:r>
        <w:rPr>
          <w:rFonts w:ascii="Times New Roman" w:hAnsi="Times New Roman" w:eastAsia="宋体" w:cs="Times New Roman"/>
          <w:color w:val="auto"/>
          <w:szCs w:val="21"/>
          <w:highlight w:val="none"/>
        </w:rPr>
        <w:t>认定</w:t>
      </w:r>
    </w:p>
    <w:p w14:paraId="5089531F">
      <w:pPr>
        <w:spacing w:before="120" w:line="320" w:lineRule="atLeast"/>
        <w:ind w:firstLine="420" w:firstLineChars="200"/>
        <w:rPr>
          <w:rFonts w:ascii="Times New Roman" w:hAnsi="Times New Roman" w:eastAsia="宋体" w:cs="Times New Roman"/>
          <w:color w:val="auto"/>
          <w:szCs w:val="21"/>
          <w:highlight w:val="none"/>
        </w:rPr>
      </w:pPr>
      <w:bookmarkStart w:id="78" w:name="_Hlk19113301"/>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1）在</w:t>
      </w:r>
      <w:r>
        <w:rPr>
          <w:rFonts w:hint="eastAsia" w:ascii="Times New Roman" w:hAnsi="Times New Roman" w:eastAsia="宋体" w:cs="Times New Roman"/>
          <w:color w:val="auto"/>
          <w:szCs w:val="21"/>
          <w:highlight w:val="none"/>
        </w:rPr>
        <w:t>评审过程中</w:t>
      </w:r>
      <w:r>
        <w:rPr>
          <w:rFonts w:ascii="Times New Roman" w:hAnsi="Times New Roman" w:eastAsia="宋体" w:cs="Times New Roman"/>
          <w:color w:val="auto"/>
          <w:szCs w:val="21"/>
          <w:highlight w:val="none"/>
        </w:rPr>
        <w:t>如发现下列情形之一的，投标文件将被视为无效：</w:t>
      </w:r>
    </w:p>
    <w:p w14:paraId="3F46AA13">
      <w:pPr>
        <w:spacing w:before="120" w:line="320" w:lineRule="atLeas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1"/>
          <w:highlight w:val="none"/>
        </w:rPr>
        <w:t>①</w:t>
      </w:r>
      <w:r>
        <w:rPr>
          <w:rFonts w:ascii="Times New Roman" w:hAnsi="Times New Roman" w:eastAsia="宋体" w:cs="Times New Roman"/>
          <w:color w:val="auto"/>
          <w:szCs w:val="21"/>
          <w:highlight w:val="none"/>
        </w:rPr>
        <w:t>投标文件</w:t>
      </w:r>
      <w:r>
        <w:rPr>
          <w:rFonts w:hint="eastAsia" w:ascii="Times New Roman" w:hAnsi="Times New Roman" w:eastAsia="宋体" w:cs="Times New Roman"/>
          <w:color w:val="auto"/>
          <w:szCs w:val="21"/>
          <w:highlight w:val="none"/>
        </w:rPr>
        <w:t>存在法律、法规及监督部门有关文件规定的无效情形</w:t>
      </w:r>
      <w:r>
        <w:rPr>
          <w:rFonts w:ascii="Times New Roman" w:hAnsi="Times New Roman" w:eastAsia="宋体" w:cs="Times New Roman"/>
          <w:color w:val="auto"/>
          <w:szCs w:val="21"/>
          <w:highlight w:val="none"/>
        </w:rPr>
        <w:t>。</w:t>
      </w:r>
    </w:p>
    <w:p w14:paraId="14F75E44">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②</w:t>
      </w:r>
      <w:r>
        <w:rPr>
          <w:rFonts w:ascii="Times New Roman" w:hAnsi="Times New Roman" w:eastAsia="宋体" w:cs="Times New Roman"/>
          <w:color w:val="auto"/>
          <w:szCs w:val="21"/>
          <w:highlight w:val="none"/>
        </w:rPr>
        <w:t>投标文件</w:t>
      </w:r>
      <w:r>
        <w:rPr>
          <w:rFonts w:hint="eastAsia" w:ascii="Times New Roman" w:hAnsi="Times New Roman" w:eastAsia="宋体" w:cs="Times New Roman"/>
          <w:color w:val="auto"/>
          <w:szCs w:val="21"/>
          <w:highlight w:val="none"/>
        </w:rPr>
        <w:t>存在招标文件规定的无效情形。</w:t>
      </w:r>
    </w:p>
    <w:bookmarkEnd w:id="78"/>
    <w:p w14:paraId="70E8157E">
      <w:pPr>
        <w:spacing w:before="120" w:line="320" w:lineRule="atLeast"/>
        <w:ind w:firstLine="420" w:firstLineChars="200"/>
        <w:rPr>
          <w:rFonts w:ascii="Times New Roman" w:hAnsi="Times New Roman" w:eastAsia="宋体" w:cs="Times New Roman"/>
          <w:color w:val="auto"/>
          <w:szCs w:val="21"/>
          <w:highlight w:val="none"/>
        </w:rPr>
      </w:pPr>
      <w:bookmarkStart w:id="79" w:name="_Hlk19113313"/>
      <w:r>
        <w:rPr>
          <w:rFonts w:hint="eastAsia" w:ascii="Times New Roman" w:hAnsi="Times New Roman" w:eastAsia="宋体" w:cs="Times New Roman"/>
          <w:color w:val="auto"/>
          <w:szCs w:val="21"/>
          <w:highlight w:val="none"/>
        </w:rPr>
        <w:t>（2）根据</w:t>
      </w:r>
      <w:r>
        <w:rPr>
          <w:rFonts w:ascii="Times New Roman" w:hAnsi="Times New Roman" w:eastAsia="宋体" w:cs="Times New Roman"/>
          <w:color w:val="auto"/>
          <w:szCs w:val="21"/>
          <w:highlight w:val="none"/>
        </w:rPr>
        <w:t>财库</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关于促进政府采购公平竞争优化营商环境的通知</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〔2019〕38号</w:t>
      </w:r>
      <w:r>
        <w:rPr>
          <w:rFonts w:hint="eastAsia" w:ascii="Times New Roman" w:hAnsi="Times New Roman" w:eastAsia="宋体" w:cs="Times New Roman"/>
          <w:color w:val="auto"/>
          <w:szCs w:val="21"/>
          <w:highlight w:val="none"/>
        </w:rPr>
        <w:t>）以及《广西壮族自治区财政厅转发财政部关于促进政府采购公平竞争优化营商环境的通知》（桂财采〔2019〕41号）规定，评审委员会不得因装订、纸张、文件排序等非实质性的格式、形式问题认定投标无效或否决投标，从而限制和影响投标人投标（响应）。</w:t>
      </w:r>
    </w:p>
    <w:bookmarkEnd w:id="79"/>
    <w:p w14:paraId="128D64DC">
      <w:pPr>
        <w:spacing w:before="120" w:line="320" w:lineRule="atLeast"/>
        <w:ind w:firstLine="420" w:firstLineChars="200"/>
        <w:rPr>
          <w:rFonts w:ascii="Times New Roman" w:hAnsi="Times New Roman" w:eastAsia="宋体" w:cs="Times New Roman"/>
          <w:color w:val="auto"/>
          <w:szCs w:val="21"/>
          <w:highlight w:val="none"/>
        </w:rPr>
      </w:pPr>
      <w:bookmarkStart w:id="80" w:name="_Hlk19113363"/>
      <w:r>
        <w:rPr>
          <w:rFonts w:ascii="Times New Roman" w:hAnsi="Times New Roman" w:eastAsia="宋体" w:cs="Times New Roman"/>
          <w:color w:val="auto"/>
          <w:szCs w:val="21"/>
          <w:highlight w:val="none"/>
        </w:rPr>
        <w:t>6.3.8比较与评价</w:t>
      </w:r>
    </w:p>
    <w:p w14:paraId="5562F68E">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（1）评审委员会</w:t>
      </w:r>
      <w:r>
        <w:rPr>
          <w:rFonts w:ascii="Times New Roman" w:hAnsi="Times New Roman" w:eastAsia="宋体" w:cs="Times New Roman"/>
          <w:color w:val="auto"/>
          <w:szCs w:val="21"/>
          <w:highlight w:val="none"/>
        </w:rPr>
        <w:t>按招标文件中规定的评审方法和标准，对符合性审查合格的投标文件进行综合比较与评价。</w:t>
      </w:r>
    </w:p>
    <w:p w14:paraId="50998CFC">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w:t>
      </w:r>
      <w:r>
        <w:rPr>
          <w:rFonts w:ascii="Times New Roman" w:hAnsi="Times New Roman" w:eastAsia="宋体" w:cs="Times New Roman"/>
          <w:color w:val="auto"/>
          <w:szCs w:val="21"/>
          <w:highlight w:val="none"/>
        </w:rPr>
        <w:t>评审委员会各成员独立对每个有效</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的投标文件进行评价</w:t>
      </w:r>
      <w:r>
        <w:rPr>
          <w:rFonts w:hint="eastAsia" w:ascii="Times New Roman" w:hAnsi="Times New Roman" w:eastAsia="宋体" w:cs="Times New Roman"/>
          <w:color w:val="auto"/>
          <w:szCs w:val="21"/>
          <w:highlight w:val="none"/>
        </w:rPr>
        <w:t>。评价</w:t>
      </w:r>
      <w:r>
        <w:rPr>
          <w:rFonts w:ascii="Times New Roman" w:hAnsi="Times New Roman" w:eastAsia="宋体" w:cs="Times New Roman"/>
          <w:color w:val="auto"/>
          <w:szCs w:val="21"/>
          <w:highlight w:val="none"/>
        </w:rPr>
        <w:t>有误的应及时进行修正。</w:t>
      </w:r>
      <w:r>
        <w:rPr>
          <w:rFonts w:hint="eastAsia" w:ascii="Times New Roman" w:hAnsi="Times New Roman" w:eastAsia="宋体" w:cs="Times New Roman"/>
          <w:color w:val="auto"/>
          <w:szCs w:val="21"/>
          <w:highlight w:val="none"/>
        </w:rPr>
        <w:t>评分</w:t>
      </w:r>
      <w:r>
        <w:rPr>
          <w:rFonts w:ascii="Times New Roman" w:hAnsi="Times New Roman" w:eastAsia="宋体" w:cs="Times New Roman"/>
          <w:color w:val="auto"/>
          <w:szCs w:val="21"/>
          <w:highlight w:val="none"/>
        </w:rPr>
        <w:t>标准如有客观分定义，评审委员会所有成员的客观分</w:t>
      </w:r>
      <w:r>
        <w:rPr>
          <w:rFonts w:hint="eastAsia" w:ascii="Times New Roman" w:hAnsi="Times New Roman" w:eastAsia="宋体" w:cs="Times New Roman"/>
          <w:color w:val="auto"/>
          <w:szCs w:val="21"/>
          <w:highlight w:val="none"/>
        </w:rPr>
        <w:t>评分分值</w:t>
      </w:r>
      <w:r>
        <w:rPr>
          <w:rFonts w:ascii="Times New Roman" w:hAnsi="Times New Roman" w:eastAsia="宋体" w:cs="Times New Roman"/>
          <w:color w:val="auto"/>
          <w:szCs w:val="21"/>
          <w:highlight w:val="none"/>
        </w:rPr>
        <w:t>应当一致。</w:t>
      </w:r>
    </w:p>
    <w:p w14:paraId="2DC292DD">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（3）评审委员会</w:t>
      </w:r>
      <w:r>
        <w:rPr>
          <w:rFonts w:ascii="Times New Roman" w:hAnsi="Times New Roman" w:eastAsia="宋体" w:cs="Times New Roman"/>
          <w:color w:val="auto"/>
          <w:szCs w:val="21"/>
          <w:highlight w:val="none"/>
        </w:rPr>
        <w:t>按</w:t>
      </w:r>
      <w:r>
        <w:rPr>
          <w:rFonts w:hint="eastAsia" w:ascii="Times New Roman" w:hAnsi="Times New Roman" w:eastAsia="宋体" w:cs="Times New Roman"/>
          <w:color w:val="auto"/>
          <w:szCs w:val="21"/>
          <w:highlight w:val="none"/>
        </w:rPr>
        <w:t>综合评</w:t>
      </w:r>
      <w:r>
        <w:rPr>
          <w:rFonts w:ascii="Times New Roman" w:hAnsi="Times New Roman" w:eastAsia="宋体" w:cs="Times New Roman"/>
          <w:color w:val="auto"/>
          <w:szCs w:val="21"/>
          <w:highlight w:val="none"/>
        </w:rPr>
        <w:t>分由高到低的排列顺序推荐综合</w:t>
      </w:r>
      <w:r>
        <w:rPr>
          <w:rFonts w:hint="eastAsia" w:ascii="Times New Roman" w:hAnsi="Times New Roman" w:eastAsia="宋体" w:cs="Times New Roman"/>
          <w:color w:val="auto"/>
          <w:szCs w:val="21"/>
          <w:highlight w:val="none"/>
        </w:rPr>
        <w:t>评</w:t>
      </w:r>
      <w:r>
        <w:rPr>
          <w:rFonts w:ascii="Times New Roman" w:hAnsi="Times New Roman" w:eastAsia="宋体" w:cs="Times New Roman"/>
          <w:color w:val="auto"/>
          <w:szCs w:val="21"/>
          <w:highlight w:val="none"/>
        </w:rPr>
        <w:t>分排名第一的为第一中标候选人。若中标候选人综合</w:t>
      </w:r>
      <w:r>
        <w:rPr>
          <w:rFonts w:hint="eastAsia" w:ascii="Times New Roman" w:hAnsi="Times New Roman" w:eastAsia="宋体" w:cs="Times New Roman"/>
          <w:color w:val="auto"/>
          <w:szCs w:val="21"/>
          <w:highlight w:val="none"/>
        </w:rPr>
        <w:t>评</w:t>
      </w:r>
      <w:r>
        <w:rPr>
          <w:rFonts w:ascii="Times New Roman" w:hAnsi="Times New Roman" w:eastAsia="宋体" w:cs="Times New Roman"/>
          <w:color w:val="auto"/>
          <w:szCs w:val="21"/>
          <w:highlight w:val="none"/>
        </w:rPr>
        <w:t>分相同的，按投标报价由低到高顺序排列；综合</w:t>
      </w:r>
      <w:r>
        <w:rPr>
          <w:rFonts w:hint="eastAsia" w:ascii="Times New Roman" w:hAnsi="Times New Roman" w:eastAsia="宋体" w:cs="Times New Roman"/>
          <w:color w:val="auto"/>
          <w:szCs w:val="21"/>
          <w:highlight w:val="none"/>
        </w:rPr>
        <w:t>评</w:t>
      </w:r>
      <w:r>
        <w:rPr>
          <w:rFonts w:ascii="Times New Roman" w:hAnsi="Times New Roman" w:eastAsia="宋体" w:cs="Times New Roman"/>
          <w:color w:val="auto"/>
          <w:szCs w:val="21"/>
          <w:highlight w:val="none"/>
        </w:rPr>
        <w:t>分且投标报价相同的</w:t>
      </w:r>
      <w:r>
        <w:rPr>
          <w:rFonts w:ascii="Times New Roman" w:hAnsi="Times New Roman" w:eastAsia="宋体" w:cs="Times New Roman"/>
          <w:color w:val="auto"/>
          <w:szCs w:val="24"/>
          <w:highlight w:val="none"/>
        </w:rPr>
        <w:t>并列</w:t>
      </w:r>
      <w:r>
        <w:rPr>
          <w:rFonts w:ascii="Times New Roman" w:hAnsi="Times New Roman" w:eastAsia="宋体" w:cs="Times New Roman"/>
          <w:color w:val="auto"/>
          <w:szCs w:val="21"/>
          <w:highlight w:val="none"/>
        </w:rPr>
        <w:t>；中标候选人并列的，按技术部分得分由高到低顺序排列，若综合评分、投标报价、技术部分均相同的，按商务部分得分由高到低顺序排列。</w:t>
      </w:r>
    </w:p>
    <w:p w14:paraId="1C88F0AB">
      <w:pPr>
        <w:spacing w:before="120" w:line="320" w:lineRule="atLeas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4</w:t>
      </w:r>
      <w:r>
        <w:rPr>
          <w:rFonts w:hint="eastAsia" w:ascii="Times New Roman" w:hAnsi="Times New Roman" w:eastAsia="宋体" w:cs="Times New Roman"/>
          <w:color w:val="auto"/>
          <w:szCs w:val="21"/>
          <w:highlight w:val="none"/>
        </w:rPr>
        <w:t>）评审委员会根据评审记录及评审结果编写评审报告，评审委员会成员均应当在评审报告上签字，对自己的评审意见承担法律责任。</w:t>
      </w:r>
      <w:r>
        <w:rPr>
          <w:rFonts w:ascii="Times New Roman" w:hAnsi="Times New Roman" w:eastAsia="宋体" w:cs="Times New Roman"/>
          <w:color w:val="auto"/>
          <w:szCs w:val="24"/>
          <w:highlight w:val="none"/>
        </w:rPr>
        <w:t>评审报告签署前，经复核发现存在以</w:t>
      </w:r>
      <w:r>
        <w:rPr>
          <w:rFonts w:hint="eastAsia" w:ascii="Times New Roman" w:hAnsi="Times New Roman" w:eastAsia="宋体" w:cs="Times New Roman"/>
          <w:color w:val="auto"/>
          <w:szCs w:val="24"/>
          <w:highlight w:val="none"/>
        </w:rPr>
        <w:t>下</w:t>
      </w:r>
      <w:r>
        <w:rPr>
          <w:rFonts w:ascii="Times New Roman" w:hAnsi="Times New Roman" w:eastAsia="宋体" w:cs="Times New Roman"/>
          <w:color w:val="auto"/>
          <w:szCs w:val="24"/>
          <w:highlight w:val="none"/>
        </w:rPr>
        <w:t>情形之一的，评审委员会应当当场修改评审结果，并在评审报告中记载；评审报告签署后，采购人或者采购代理机构发现存在以</w:t>
      </w:r>
      <w:r>
        <w:rPr>
          <w:rFonts w:hint="eastAsia" w:ascii="Times New Roman" w:hAnsi="Times New Roman" w:eastAsia="宋体" w:cs="Times New Roman"/>
          <w:color w:val="auto"/>
          <w:szCs w:val="24"/>
          <w:highlight w:val="none"/>
        </w:rPr>
        <w:t>下</w:t>
      </w:r>
      <w:r>
        <w:rPr>
          <w:rFonts w:ascii="Times New Roman" w:hAnsi="Times New Roman" w:eastAsia="宋体" w:cs="Times New Roman"/>
          <w:color w:val="auto"/>
          <w:szCs w:val="24"/>
          <w:highlight w:val="none"/>
        </w:rPr>
        <w:t>情形之一的，应当组织原评审委员会进行重新评审。</w:t>
      </w:r>
    </w:p>
    <w:p w14:paraId="4C85956E">
      <w:pPr>
        <w:spacing w:before="120" w:line="320" w:lineRule="atLeast"/>
        <w:ind w:firstLine="42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分值汇总计算错误的；分项评分超出评分标准范围的；评审委员会成员对客观评审因素评分不一致的；经评审委员会认定评分畸高、畸低的。</w:t>
      </w:r>
    </w:p>
    <w:bookmarkEnd w:id="68"/>
    <w:bookmarkEnd w:id="69"/>
    <w:bookmarkEnd w:id="80"/>
    <w:p w14:paraId="3BC2777A">
      <w:pPr>
        <w:spacing w:before="120" w:line="320" w:lineRule="atLeast"/>
        <w:ind w:firstLine="422" w:firstLineChars="200"/>
        <w:outlineLvl w:val="2"/>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kern w:val="0"/>
          <w:szCs w:val="21"/>
          <w:highlight w:val="none"/>
        </w:rPr>
        <w:t>6.4确定中标人</w:t>
      </w:r>
    </w:p>
    <w:p w14:paraId="2E6E46FB">
      <w:pPr>
        <w:spacing w:before="120" w:line="276"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6.</w:t>
      </w:r>
      <w:r>
        <w:rPr>
          <w:rFonts w:ascii="Times New Roman" w:hAnsi="Times New Roman" w:eastAsia="宋体" w:cs="Times New Roman"/>
          <w:color w:val="auto"/>
          <w:szCs w:val="21"/>
          <w:highlight w:val="none"/>
        </w:rPr>
        <w:t>4.1采购代理机构在评审结束后2个工作日内将评审报告送采购人，采购人在5个工作日内按照评审报告中推荐的中标候选</w:t>
      </w:r>
      <w:r>
        <w:rPr>
          <w:rFonts w:hint="eastAsia" w:ascii="Times New Roman" w:hAnsi="Times New Roman" w:eastAsia="宋体" w:cs="Times New Roman"/>
          <w:color w:val="auto"/>
          <w:szCs w:val="21"/>
          <w:highlight w:val="none"/>
        </w:rPr>
        <w:t>人</w:t>
      </w:r>
      <w:r>
        <w:rPr>
          <w:rFonts w:ascii="Times New Roman" w:hAnsi="Times New Roman" w:eastAsia="宋体" w:cs="Times New Roman"/>
          <w:color w:val="auto"/>
          <w:szCs w:val="21"/>
          <w:highlight w:val="none"/>
        </w:rPr>
        <w:t>顺序确定中标人。</w:t>
      </w:r>
      <w:r>
        <w:rPr>
          <w:rFonts w:hint="eastAsia" w:ascii="Times New Roman" w:hAnsi="Times New Roman" w:eastAsia="宋体" w:cs="Times New Roman"/>
          <w:color w:val="auto"/>
          <w:szCs w:val="21"/>
          <w:highlight w:val="none"/>
        </w:rPr>
        <w:t>中标候选人并列的，由采购人或者采购人委托评标委员会按照招标文件规定的方式确定中标人；招标文件未规定的，采取随机抽取的方式确定。</w:t>
      </w:r>
    </w:p>
    <w:p w14:paraId="57A5E5D9">
      <w:pPr>
        <w:spacing w:before="120" w:line="276"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6.4.2</w:t>
      </w:r>
      <w:r>
        <w:rPr>
          <w:rFonts w:hint="eastAsia" w:ascii="Times New Roman" w:hAnsi="Times New Roman" w:eastAsia="宋体" w:cs="Times New Roman"/>
          <w:color w:val="auto"/>
          <w:szCs w:val="21"/>
          <w:highlight w:val="none"/>
        </w:rPr>
        <w:t>采购人、采购代理机构认为投标人对采购过程、中标结果提出的质疑成立且影响或者可能影响中标结果的，合格投标人符合法定数量时，可以从合格的中标候选人中另行确定中标人的，应当依法另行确定中标人；否则应当重新开展采购活动。</w:t>
      </w:r>
    </w:p>
    <w:p w14:paraId="126F876F">
      <w:pPr>
        <w:spacing w:before="120" w:line="320" w:lineRule="atLeast"/>
        <w:ind w:firstLine="422" w:firstLineChars="200"/>
        <w:outlineLvl w:val="2"/>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kern w:val="0"/>
          <w:szCs w:val="21"/>
          <w:highlight w:val="none"/>
        </w:rPr>
        <w:t>6.5</w:t>
      </w:r>
      <w:r>
        <w:rPr>
          <w:rFonts w:hint="eastAsia" w:ascii="Times New Roman" w:hAnsi="Times New Roman" w:eastAsia="宋体" w:cs="Times New Roman"/>
          <w:b/>
          <w:bCs/>
          <w:color w:val="auto"/>
          <w:kern w:val="0"/>
          <w:szCs w:val="21"/>
          <w:highlight w:val="none"/>
        </w:rPr>
        <w:t>结果公告</w:t>
      </w:r>
    </w:p>
    <w:p w14:paraId="5BAB5961">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6</w:t>
      </w:r>
      <w:r>
        <w:rPr>
          <w:rFonts w:ascii="Times New Roman" w:hAnsi="Times New Roman" w:eastAsia="宋体" w:cs="Times New Roman"/>
          <w:color w:val="auto"/>
          <w:szCs w:val="21"/>
          <w:highlight w:val="none"/>
        </w:rPr>
        <w:t>.5.1自中标人确定后2个工作日内，采购代理机构</w:t>
      </w:r>
      <w:r>
        <w:rPr>
          <w:rFonts w:hint="eastAsia" w:ascii="Times New Roman" w:hAnsi="Times New Roman" w:eastAsia="宋体" w:cs="Times New Roman"/>
          <w:color w:val="auto"/>
          <w:szCs w:val="21"/>
          <w:highlight w:val="none"/>
        </w:rPr>
        <w:t>按照投标人须知</w:t>
      </w:r>
      <w:r>
        <w:rPr>
          <w:rFonts w:hint="eastAsia" w:ascii="Times New Roman" w:hAnsi="Times New Roman" w:eastAsia="宋体" w:cs="Times New Roman"/>
          <w:color w:val="auto"/>
          <w:kern w:val="0"/>
          <w:szCs w:val="21"/>
          <w:highlight w:val="none"/>
        </w:rPr>
        <w:t>前附表的规定</w:t>
      </w:r>
      <w:r>
        <w:rPr>
          <w:rFonts w:ascii="Times New Roman" w:hAnsi="Times New Roman" w:eastAsia="宋体" w:cs="Times New Roman"/>
          <w:color w:val="auto"/>
          <w:kern w:val="0"/>
          <w:szCs w:val="21"/>
          <w:highlight w:val="none"/>
        </w:rPr>
        <w:t>公告</w:t>
      </w:r>
      <w:r>
        <w:rPr>
          <w:rFonts w:ascii="Times New Roman" w:hAnsi="Times New Roman" w:eastAsia="宋体" w:cs="Times New Roman"/>
          <w:color w:val="auto"/>
          <w:szCs w:val="21"/>
          <w:highlight w:val="none"/>
        </w:rPr>
        <w:t>中标结果。</w:t>
      </w:r>
    </w:p>
    <w:p w14:paraId="5790D6F2">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6</w:t>
      </w:r>
      <w:r>
        <w:rPr>
          <w:rFonts w:ascii="Times New Roman" w:hAnsi="Times New Roman" w:eastAsia="宋体" w:cs="Times New Roman"/>
          <w:color w:val="auto"/>
          <w:szCs w:val="21"/>
          <w:highlight w:val="none"/>
        </w:rPr>
        <w:t>.5.2在发布</w:t>
      </w:r>
      <w:r>
        <w:rPr>
          <w:rFonts w:hint="eastAsia" w:ascii="Times New Roman" w:hAnsi="Times New Roman" w:eastAsia="宋体" w:cs="Times New Roman"/>
          <w:color w:val="auto"/>
          <w:szCs w:val="21"/>
          <w:highlight w:val="none"/>
        </w:rPr>
        <w:t>结果</w:t>
      </w:r>
      <w:r>
        <w:rPr>
          <w:rFonts w:ascii="Times New Roman" w:hAnsi="Times New Roman" w:eastAsia="宋体" w:cs="Times New Roman"/>
          <w:color w:val="auto"/>
          <w:szCs w:val="21"/>
          <w:highlight w:val="none"/>
        </w:rPr>
        <w:t>公告的同时，采购代理机构以</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须知前附表规定的形式向中标人发出中标通知书。中标通知书发出后，采购人改变中标结果，或者中标人放弃中标，应当承担相应的法律责任。</w:t>
      </w:r>
    </w:p>
    <w:p w14:paraId="6A92F3A7">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6</w:t>
      </w:r>
      <w:r>
        <w:rPr>
          <w:rFonts w:ascii="Times New Roman" w:hAnsi="Times New Roman" w:eastAsia="宋体" w:cs="Times New Roman"/>
          <w:color w:val="auto"/>
          <w:szCs w:val="21"/>
          <w:highlight w:val="none"/>
        </w:rPr>
        <w:t>.5.3</w:t>
      </w:r>
      <w:r>
        <w:rPr>
          <w:rFonts w:hint="eastAsia" w:ascii="Times New Roman" w:hAnsi="Times New Roman" w:eastAsia="宋体" w:cs="Times New Roman"/>
          <w:color w:val="auto"/>
          <w:szCs w:val="21"/>
          <w:highlight w:val="none"/>
        </w:rPr>
        <w:t>在发布结果公告的同时，</w:t>
      </w:r>
      <w:r>
        <w:rPr>
          <w:rFonts w:ascii="Times New Roman" w:hAnsi="Times New Roman" w:eastAsia="宋体" w:cs="Times New Roman"/>
          <w:color w:val="auto"/>
          <w:szCs w:val="21"/>
          <w:highlight w:val="none"/>
        </w:rPr>
        <w:t>采购代理机构以</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须知前附表规定的形式</w:t>
      </w:r>
      <w:r>
        <w:rPr>
          <w:rFonts w:hint="eastAsia" w:ascii="Times New Roman" w:hAnsi="Times New Roman" w:eastAsia="宋体" w:cs="Times New Roman"/>
          <w:color w:val="auto"/>
          <w:szCs w:val="21"/>
          <w:highlight w:val="none"/>
        </w:rPr>
        <w:t>向未中标人发出招标结果通知书，投标人自行承担未及时查收的后果。</w:t>
      </w:r>
    </w:p>
    <w:p w14:paraId="229A4388">
      <w:pPr>
        <w:suppressAutoHyphens/>
        <w:spacing w:before="120" w:line="320" w:lineRule="atLeast"/>
        <w:ind w:firstLine="422" w:firstLineChars="200"/>
        <w:outlineLvl w:val="2"/>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kern w:val="0"/>
          <w:szCs w:val="21"/>
          <w:highlight w:val="none"/>
        </w:rPr>
        <w:t>6.6</w:t>
      </w:r>
      <w:r>
        <w:rPr>
          <w:rFonts w:hint="eastAsia" w:ascii="Times New Roman" w:hAnsi="Times New Roman" w:eastAsia="宋体" w:cs="Times New Roman"/>
          <w:b/>
          <w:bCs/>
          <w:color w:val="auto"/>
          <w:kern w:val="0"/>
          <w:szCs w:val="21"/>
          <w:highlight w:val="none"/>
        </w:rPr>
        <w:t>废标</w:t>
      </w:r>
    </w:p>
    <w:p w14:paraId="131D8789">
      <w:pPr>
        <w:spacing w:before="120" w:line="320" w:lineRule="atLeast"/>
        <w:ind w:firstLine="420" w:firstLineChars="200"/>
        <w:rPr>
          <w:rFonts w:ascii="Times New Roman" w:hAnsi="Times New Roman" w:eastAsia="宋体" w:cs="Times New Roman"/>
          <w:color w:val="auto"/>
          <w:kern w:val="1"/>
          <w:szCs w:val="21"/>
          <w:highlight w:val="none"/>
        </w:rPr>
      </w:pPr>
      <w:r>
        <w:rPr>
          <w:rFonts w:ascii="Times New Roman" w:hAnsi="Times New Roman" w:eastAsia="宋体" w:cs="Times New Roman"/>
          <w:color w:val="auto"/>
          <w:kern w:val="1"/>
          <w:szCs w:val="21"/>
          <w:highlight w:val="none"/>
        </w:rPr>
        <w:t>6.6.1</w:t>
      </w:r>
      <w:r>
        <w:rPr>
          <w:rFonts w:hint="eastAsia" w:ascii="Times New Roman" w:hAnsi="Times New Roman" w:eastAsia="宋体" w:cs="Times New Roman"/>
          <w:color w:val="auto"/>
          <w:kern w:val="1"/>
          <w:szCs w:val="21"/>
          <w:highlight w:val="none"/>
        </w:rPr>
        <w:t xml:space="preserve">出现下列情形之一，将导致项目废标： </w:t>
      </w:r>
    </w:p>
    <w:p w14:paraId="6EE53F0D">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kern w:val="1"/>
          <w:szCs w:val="21"/>
          <w:highlight w:val="none"/>
        </w:rPr>
        <w:t>（1</w:t>
      </w:r>
      <w:r>
        <w:rPr>
          <w:rFonts w:hint="eastAsia" w:ascii="Times New Roman" w:hAnsi="Times New Roman" w:eastAsia="宋体" w:cs="Times New Roman"/>
          <w:color w:val="auto"/>
          <w:szCs w:val="21"/>
          <w:highlight w:val="none"/>
        </w:rPr>
        <w:t>）符合专业条件的投标人或者对招标文件做实质性响应的投标人不足三家；</w:t>
      </w:r>
    </w:p>
    <w:p w14:paraId="6BB0BCF9">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（2）出现影响采购公正的违法、违规行为的；</w:t>
      </w:r>
    </w:p>
    <w:p w14:paraId="764E81FB">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（3）投标人的报价均超过了采购预算，采购人不能支付的；</w:t>
      </w:r>
    </w:p>
    <w:p w14:paraId="3CDD7F2F">
      <w:pPr>
        <w:spacing w:before="120" w:line="320" w:lineRule="atLeas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1"/>
          <w:highlight w:val="none"/>
        </w:rPr>
        <w:t>（4）</w:t>
      </w:r>
      <w:r>
        <w:rPr>
          <w:rFonts w:hint="eastAsia" w:ascii="Times New Roman" w:hAnsi="Times New Roman" w:eastAsia="宋体" w:cs="Times New Roman"/>
          <w:color w:val="auto"/>
          <w:szCs w:val="24"/>
          <w:highlight w:val="none"/>
        </w:rPr>
        <w:t>因发生重大变故或采购任务取消的。</w:t>
      </w:r>
    </w:p>
    <w:p w14:paraId="1864F170">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kern w:val="1"/>
          <w:szCs w:val="21"/>
          <w:highlight w:val="none"/>
        </w:rPr>
        <w:t>6.6.2</w:t>
      </w:r>
      <w:r>
        <w:rPr>
          <w:rFonts w:hint="eastAsia" w:ascii="Times New Roman" w:hAnsi="Times New Roman" w:eastAsia="宋体" w:cs="Times New Roman"/>
          <w:color w:val="auto"/>
          <w:kern w:val="1"/>
          <w:szCs w:val="21"/>
          <w:highlight w:val="none"/>
        </w:rPr>
        <w:t>废标后</w:t>
      </w:r>
      <w:r>
        <w:rPr>
          <w:rFonts w:hint="eastAsia" w:ascii="Times New Roman" w:hAnsi="Times New Roman" w:eastAsia="宋体" w:cs="Times New Roman"/>
          <w:color w:val="auto"/>
          <w:szCs w:val="21"/>
          <w:highlight w:val="none"/>
        </w:rPr>
        <w:t>采购</w:t>
      </w:r>
      <w:r>
        <w:rPr>
          <w:rFonts w:hint="eastAsia" w:ascii="Times New Roman" w:hAnsi="Times New Roman" w:eastAsia="宋体" w:cs="Times New Roman"/>
          <w:color w:val="auto"/>
          <w:kern w:val="1"/>
          <w:szCs w:val="21"/>
          <w:highlight w:val="none"/>
        </w:rPr>
        <w:t>代理机构将发布废标公告通知</w:t>
      </w:r>
      <w:r>
        <w:rPr>
          <w:rFonts w:hint="eastAsia" w:ascii="Times New Roman" w:hAnsi="Times New Roman" w:eastAsia="宋体" w:cs="Times New Roman"/>
          <w:color w:val="auto"/>
          <w:szCs w:val="21"/>
          <w:highlight w:val="none"/>
        </w:rPr>
        <w:t>投标人</w:t>
      </w:r>
      <w:r>
        <w:rPr>
          <w:rFonts w:hint="eastAsia" w:ascii="Times New Roman" w:hAnsi="Times New Roman" w:eastAsia="宋体" w:cs="Times New Roman"/>
          <w:color w:val="auto"/>
          <w:kern w:val="1"/>
          <w:szCs w:val="21"/>
          <w:highlight w:val="none"/>
        </w:rPr>
        <w:t>。</w:t>
      </w:r>
    </w:p>
    <w:p w14:paraId="738F1479">
      <w:pPr>
        <w:spacing w:before="120" w:line="320" w:lineRule="atLeast"/>
        <w:ind w:left="2" w:leftChars="1" w:firstLine="422" w:firstLineChars="200"/>
        <w:outlineLvl w:val="1"/>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kern w:val="0"/>
          <w:szCs w:val="21"/>
          <w:highlight w:val="none"/>
        </w:rPr>
        <w:t>7．签订合同</w:t>
      </w:r>
    </w:p>
    <w:p w14:paraId="53116E67">
      <w:pPr>
        <w:spacing w:before="120" w:line="320" w:lineRule="atLeast"/>
        <w:ind w:firstLine="422" w:firstLineChars="200"/>
        <w:outlineLvl w:val="2"/>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kern w:val="0"/>
          <w:szCs w:val="21"/>
          <w:highlight w:val="none"/>
        </w:rPr>
        <w:t>7.1合同授予标准</w:t>
      </w:r>
    </w:p>
    <w:p w14:paraId="5EC5366A">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合同将授予被确定实质上响应招标文件要求，具备履行合同能力，综合评分排名第一的</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。在</w:t>
      </w:r>
      <w:r>
        <w:rPr>
          <w:rFonts w:hint="eastAsia" w:ascii="Times New Roman" w:hAnsi="Times New Roman" w:eastAsia="宋体" w:cs="Times New Roman"/>
          <w:color w:val="auto"/>
          <w:szCs w:val="21"/>
          <w:highlight w:val="none"/>
        </w:rPr>
        <w:t>中标</w:t>
      </w:r>
      <w:r>
        <w:rPr>
          <w:rFonts w:ascii="Times New Roman" w:hAnsi="Times New Roman" w:eastAsia="宋体" w:cs="Times New Roman"/>
          <w:color w:val="auto"/>
          <w:szCs w:val="21"/>
          <w:highlight w:val="none"/>
        </w:rPr>
        <w:t>通知书发出前或签订合同前，如果</w:t>
      </w:r>
      <w:r>
        <w:rPr>
          <w:rFonts w:hint="eastAsia" w:ascii="Times New Roman" w:hAnsi="Times New Roman" w:eastAsia="宋体" w:cs="Times New Roman"/>
          <w:color w:val="auto"/>
          <w:szCs w:val="21"/>
          <w:highlight w:val="none"/>
        </w:rPr>
        <w:t>中标</w:t>
      </w:r>
      <w:r>
        <w:rPr>
          <w:rFonts w:ascii="Times New Roman" w:hAnsi="Times New Roman" w:eastAsia="宋体" w:cs="Times New Roman"/>
          <w:color w:val="auto"/>
          <w:szCs w:val="21"/>
          <w:highlight w:val="none"/>
        </w:rPr>
        <w:t>人的组织机构</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经营、财务状况发生较大变化，可能造成不能履行合同、无法按照</w:t>
      </w:r>
      <w:r>
        <w:rPr>
          <w:rFonts w:hint="eastAsia" w:ascii="Times New Roman" w:hAnsi="Times New Roman" w:eastAsia="宋体" w:cs="Times New Roman"/>
          <w:color w:val="auto"/>
          <w:szCs w:val="21"/>
          <w:highlight w:val="none"/>
        </w:rPr>
        <w:t>招标</w:t>
      </w:r>
      <w:r>
        <w:rPr>
          <w:rFonts w:ascii="Times New Roman" w:hAnsi="Times New Roman" w:eastAsia="宋体" w:cs="Times New Roman"/>
          <w:color w:val="auto"/>
          <w:szCs w:val="21"/>
          <w:highlight w:val="none"/>
        </w:rPr>
        <w:t>文件要求提交履约保证金等情形，不符合中标条件或不满足</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资格条件要求 ，应在</w:t>
      </w:r>
      <w:r>
        <w:rPr>
          <w:rFonts w:hint="eastAsia" w:ascii="Times New Roman" w:hAnsi="Times New Roman" w:eastAsia="宋体" w:cs="Times New Roman"/>
          <w:color w:val="auto"/>
          <w:szCs w:val="21"/>
          <w:highlight w:val="none"/>
        </w:rPr>
        <w:t>中标</w:t>
      </w:r>
      <w:r>
        <w:rPr>
          <w:rFonts w:ascii="Times New Roman" w:hAnsi="Times New Roman" w:eastAsia="宋体" w:cs="Times New Roman"/>
          <w:color w:val="auto"/>
          <w:szCs w:val="21"/>
          <w:highlight w:val="none"/>
        </w:rPr>
        <w:t>通知书发出前或签订合同前及时书面告知采购人</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未主动告知</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给采购人造成损失的</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采购人有权</w:t>
      </w:r>
      <w:r>
        <w:rPr>
          <w:rFonts w:hint="eastAsia" w:ascii="Times New Roman" w:hAnsi="Times New Roman" w:eastAsia="宋体" w:cs="Times New Roman"/>
          <w:color w:val="auto"/>
          <w:szCs w:val="21"/>
          <w:highlight w:val="none"/>
        </w:rPr>
        <w:t>取消其中标资格并</w:t>
      </w:r>
      <w:r>
        <w:rPr>
          <w:rFonts w:ascii="Times New Roman" w:hAnsi="Times New Roman" w:eastAsia="宋体" w:cs="Times New Roman"/>
          <w:color w:val="auto"/>
          <w:szCs w:val="21"/>
          <w:highlight w:val="none"/>
        </w:rPr>
        <w:t>没收投标保证金</w:t>
      </w:r>
      <w:r>
        <w:rPr>
          <w:rFonts w:hint="eastAsia" w:ascii="Times New Roman" w:hAnsi="Times New Roman" w:eastAsia="宋体" w:cs="Times New Roman"/>
          <w:color w:val="auto"/>
          <w:szCs w:val="21"/>
          <w:highlight w:val="none"/>
        </w:rPr>
        <w:t>。</w:t>
      </w:r>
    </w:p>
    <w:p w14:paraId="4EC567E9">
      <w:pPr>
        <w:spacing w:before="120" w:line="320" w:lineRule="atLeast"/>
        <w:ind w:firstLine="422" w:firstLineChars="200"/>
        <w:outlineLvl w:val="2"/>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kern w:val="0"/>
          <w:szCs w:val="21"/>
          <w:highlight w:val="none"/>
        </w:rPr>
        <w:t>7.2签订合同</w:t>
      </w:r>
    </w:p>
    <w:p w14:paraId="0630229A">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7.2.1如</w:t>
      </w:r>
      <w:r>
        <w:rPr>
          <w:rFonts w:hint="eastAsia" w:ascii="Times New Roman" w:hAnsi="Times New Roman" w:eastAsia="宋体" w:cs="Times New Roman"/>
          <w:color w:val="auto"/>
          <w:szCs w:val="21"/>
          <w:highlight w:val="none"/>
        </w:rPr>
        <w:t>招标</w:t>
      </w:r>
      <w:r>
        <w:rPr>
          <w:rFonts w:ascii="Times New Roman" w:hAnsi="Times New Roman" w:eastAsia="宋体" w:cs="Times New Roman"/>
          <w:color w:val="auto"/>
          <w:szCs w:val="21"/>
          <w:highlight w:val="none"/>
        </w:rPr>
        <w:t>文件无</w:t>
      </w:r>
      <w:r>
        <w:rPr>
          <w:rFonts w:hint="eastAsia" w:ascii="Times New Roman" w:hAnsi="Times New Roman" w:eastAsia="宋体" w:cs="Times New Roman"/>
          <w:color w:val="auto"/>
          <w:szCs w:val="21"/>
          <w:highlight w:val="none"/>
        </w:rPr>
        <w:t>特别</w:t>
      </w:r>
      <w:r>
        <w:rPr>
          <w:rFonts w:ascii="Times New Roman" w:hAnsi="Times New Roman" w:eastAsia="宋体" w:cs="Times New Roman"/>
          <w:color w:val="auto"/>
          <w:szCs w:val="21"/>
          <w:highlight w:val="none"/>
        </w:rPr>
        <w:t>规定，</w:t>
      </w:r>
      <w:r>
        <w:rPr>
          <w:rFonts w:hint="eastAsia" w:ascii="Times New Roman" w:hAnsi="Times New Roman" w:eastAsia="宋体" w:cs="Times New Roman"/>
          <w:color w:val="auto"/>
          <w:szCs w:val="21"/>
          <w:highlight w:val="none"/>
        </w:rPr>
        <w:t>中标人按招标文件确定的事项签订政府采购合同。</w:t>
      </w:r>
    </w:p>
    <w:p w14:paraId="7FAC0FF6">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7.2.2</w:t>
      </w:r>
      <w:r>
        <w:rPr>
          <w:rFonts w:hint="eastAsia" w:ascii="Times New Roman" w:hAnsi="Times New Roman" w:eastAsia="宋体" w:cs="Times New Roman"/>
          <w:color w:val="auto"/>
          <w:szCs w:val="21"/>
          <w:highlight w:val="none"/>
        </w:rPr>
        <w:t>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06ED3C0B">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7.2.3如中标人不按中标通知书的规定签订合同，</w:t>
      </w:r>
      <w:r>
        <w:rPr>
          <w:rFonts w:hint="eastAsia" w:ascii="Times New Roman" w:hAnsi="Times New Roman" w:eastAsia="宋体" w:cs="Times New Roman"/>
          <w:color w:val="auto"/>
          <w:szCs w:val="21"/>
          <w:highlight w:val="none"/>
        </w:rPr>
        <w:t>其投标保证金将不予退还，并报由同级政府采购监督管理部门处理。</w:t>
      </w:r>
    </w:p>
    <w:p w14:paraId="56252638">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7</w:t>
      </w:r>
      <w:r>
        <w:rPr>
          <w:rFonts w:ascii="Times New Roman" w:hAnsi="Times New Roman" w:eastAsia="宋体" w:cs="Times New Roman"/>
          <w:color w:val="auto"/>
          <w:szCs w:val="21"/>
          <w:highlight w:val="none"/>
        </w:rPr>
        <w:t>.2.4</w:t>
      </w:r>
      <w:r>
        <w:rPr>
          <w:rFonts w:hint="eastAsia" w:ascii="Times New Roman" w:hAnsi="Times New Roman" w:eastAsia="宋体" w:cs="Times New Roman"/>
          <w:color w:val="auto"/>
          <w:szCs w:val="21"/>
          <w:highlight w:val="none"/>
        </w:rPr>
        <w:t>中标人拒绝与采购人签订合同的，采购人可以按照评审报告推荐的中标候选人名单排序，确定下一候选人为中标人，也可以重新开展政府采购活动。</w:t>
      </w:r>
    </w:p>
    <w:p w14:paraId="6A382355">
      <w:pPr>
        <w:spacing w:before="120" w:line="320" w:lineRule="atLeast"/>
        <w:ind w:firstLine="420" w:firstLineChars="200"/>
        <w:rPr>
          <w:rFonts w:ascii="Times New Roman" w:hAnsi="Times New Roman" w:eastAsia="宋体" w:cs="Times New Roman"/>
          <w:color w:val="auto"/>
          <w:szCs w:val="21"/>
          <w:highlight w:val="none"/>
        </w:rPr>
      </w:pPr>
      <w:bookmarkStart w:id="81" w:name="_Hlk155170999"/>
      <w:r>
        <w:rPr>
          <w:rFonts w:hint="eastAsia" w:ascii="Times New Roman" w:hAnsi="Times New Roman" w:eastAsia="宋体" w:cs="Times New Roman"/>
          <w:color w:val="auto"/>
          <w:szCs w:val="21"/>
          <w:highlight w:val="none"/>
        </w:rPr>
        <w:t>7</w:t>
      </w:r>
      <w:r>
        <w:rPr>
          <w:rFonts w:ascii="Times New Roman" w:hAnsi="Times New Roman" w:eastAsia="宋体" w:cs="Times New Roman"/>
          <w:color w:val="auto"/>
          <w:szCs w:val="21"/>
          <w:highlight w:val="none"/>
        </w:rPr>
        <w:t>.2.5</w:t>
      </w:r>
      <w:r>
        <w:rPr>
          <w:rFonts w:hint="eastAsia" w:ascii="Times New Roman" w:hAnsi="Times New Roman" w:eastAsia="宋体" w:cs="Times New Roman"/>
          <w:color w:val="auto"/>
          <w:szCs w:val="21"/>
          <w:highlight w:val="none"/>
        </w:rPr>
        <w:t>采购人因不可抗力原因迟延签订合同的，应当自不可抗力事由消除之日起7日内完成合同签订事宜。</w:t>
      </w:r>
      <w:bookmarkEnd w:id="81"/>
    </w:p>
    <w:p w14:paraId="06B070CA">
      <w:pPr>
        <w:spacing w:before="120" w:line="320" w:lineRule="atLeast"/>
        <w:ind w:firstLine="422" w:firstLineChars="200"/>
        <w:outlineLvl w:val="2"/>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kern w:val="0"/>
          <w:szCs w:val="21"/>
          <w:highlight w:val="none"/>
        </w:rPr>
        <w:t>7.3合同公告</w:t>
      </w:r>
    </w:p>
    <w:p w14:paraId="39E3A0FE">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7.3.1如</w:t>
      </w:r>
      <w:r>
        <w:rPr>
          <w:rFonts w:hint="eastAsia" w:ascii="Times New Roman" w:hAnsi="Times New Roman" w:eastAsia="宋体" w:cs="Times New Roman"/>
          <w:color w:val="auto"/>
          <w:szCs w:val="21"/>
          <w:highlight w:val="none"/>
        </w:rPr>
        <w:t>招标</w:t>
      </w:r>
      <w:r>
        <w:rPr>
          <w:rFonts w:ascii="Times New Roman" w:hAnsi="Times New Roman" w:eastAsia="宋体" w:cs="Times New Roman"/>
          <w:color w:val="auto"/>
          <w:szCs w:val="21"/>
          <w:highlight w:val="none"/>
        </w:rPr>
        <w:t>文件无特殊规定</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中标人应在签订合同后1个工作日内，将政府采购合同副本送采购代理机构</w:t>
      </w:r>
      <w:r>
        <w:rPr>
          <w:rFonts w:hint="eastAsia" w:ascii="Times New Roman" w:hAnsi="Times New Roman" w:eastAsia="宋体" w:cs="Times New Roman"/>
          <w:color w:val="auto"/>
          <w:szCs w:val="21"/>
          <w:highlight w:val="none"/>
        </w:rPr>
        <w:t>存档</w:t>
      </w:r>
      <w:r>
        <w:rPr>
          <w:rFonts w:ascii="Times New Roman" w:hAnsi="Times New Roman" w:eastAsia="宋体" w:cs="Times New Roman"/>
          <w:color w:val="auto"/>
          <w:szCs w:val="21"/>
          <w:highlight w:val="none"/>
        </w:rPr>
        <w:t>。</w:t>
      </w:r>
    </w:p>
    <w:p w14:paraId="6CA3FF2C">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6A811F16">
      <w:pPr>
        <w:spacing w:before="120" w:line="320" w:lineRule="atLeast"/>
        <w:ind w:firstLine="420" w:firstLineChars="200"/>
        <w:rPr>
          <w:rFonts w:ascii="Times New Roman" w:hAnsi="Times New Roman" w:eastAsia="宋体" w:cs="Times New Roman"/>
          <w:color w:val="auto"/>
          <w:szCs w:val="21"/>
          <w:highlight w:val="none"/>
        </w:rPr>
      </w:pPr>
      <w:bookmarkStart w:id="82" w:name="_Hlk155171014"/>
      <w:r>
        <w:rPr>
          <w:rFonts w:hint="eastAsia" w:ascii="Times New Roman" w:hAnsi="Times New Roman" w:eastAsia="宋体" w:cs="Times New Roman"/>
          <w:color w:val="auto"/>
          <w:szCs w:val="21"/>
          <w:highlight w:val="none"/>
        </w:rPr>
        <w:t>7</w:t>
      </w:r>
      <w:r>
        <w:rPr>
          <w:rFonts w:ascii="Times New Roman" w:hAnsi="Times New Roman" w:eastAsia="宋体" w:cs="Times New Roman"/>
          <w:color w:val="auto"/>
          <w:szCs w:val="21"/>
          <w:highlight w:val="none"/>
        </w:rPr>
        <w:t xml:space="preserve">.3.3 </w:t>
      </w:r>
      <w:r>
        <w:rPr>
          <w:rFonts w:hint="eastAsia" w:ascii="Times New Roman" w:hAnsi="Times New Roman" w:eastAsia="宋体" w:cs="Times New Roman"/>
          <w:color w:val="auto"/>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82"/>
    </w:p>
    <w:p w14:paraId="7692829B">
      <w:pPr>
        <w:spacing w:before="120" w:line="320" w:lineRule="atLeast"/>
        <w:ind w:firstLine="422" w:firstLineChars="200"/>
        <w:outlineLvl w:val="2"/>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kern w:val="0"/>
          <w:szCs w:val="21"/>
          <w:highlight w:val="none"/>
        </w:rPr>
        <w:t>7.4 履行合同</w:t>
      </w:r>
    </w:p>
    <w:p w14:paraId="6DA9588F">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7.4.1</w:t>
      </w:r>
      <w:bookmarkStart w:id="83" w:name="_Toc217446070"/>
      <w:bookmarkStart w:id="84" w:name="_Toc308164814"/>
      <w:r>
        <w:rPr>
          <w:rFonts w:hint="eastAsia" w:ascii="Times New Roman" w:hAnsi="Times New Roman" w:eastAsia="宋体" w:cs="Times New Roman"/>
          <w:color w:val="auto"/>
          <w:szCs w:val="21"/>
          <w:highlight w:val="none"/>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14B767A7">
      <w:pPr>
        <w:spacing w:before="120" w:line="320" w:lineRule="atLeast"/>
        <w:ind w:firstLine="422" w:firstLineChars="200"/>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kern w:val="0"/>
          <w:szCs w:val="21"/>
          <w:highlight w:val="none"/>
        </w:rPr>
        <w:t>7.5履约验收</w:t>
      </w:r>
      <w:bookmarkEnd w:id="83"/>
      <w:bookmarkEnd w:id="84"/>
    </w:p>
    <w:p w14:paraId="5B103554">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7.5.1采购人可以根据政府采购项目具体情况自行组织验收，或者委托政府采购代理机构、国家认可的质量检测机构开展采购项目履约验收工作。</w:t>
      </w:r>
    </w:p>
    <w:p w14:paraId="17DAB22E">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7.5.2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3BF2604F">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5C65891E">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7.5.4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p w14:paraId="3E4A3C9C">
      <w:pPr>
        <w:spacing w:before="120" w:line="320" w:lineRule="atLeast"/>
        <w:ind w:left="2" w:leftChars="1" w:firstLine="422" w:firstLineChars="200"/>
        <w:outlineLvl w:val="1"/>
        <w:rPr>
          <w:rFonts w:ascii="Times New Roman" w:hAnsi="Times New Roman" w:eastAsia="宋体" w:cs="Times New Roman"/>
          <w:b/>
          <w:bCs/>
          <w:color w:val="auto"/>
          <w:kern w:val="0"/>
          <w:szCs w:val="21"/>
          <w:highlight w:val="none"/>
        </w:rPr>
      </w:pPr>
      <w:bookmarkStart w:id="85" w:name="_Toc254970533"/>
      <w:bookmarkStart w:id="86" w:name="_Toc254970674"/>
      <w:r>
        <w:rPr>
          <w:rFonts w:ascii="Times New Roman" w:hAnsi="Times New Roman" w:eastAsia="宋体" w:cs="Times New Roman"/>
          <w:b/>
          <w:bCs/>
          <w:color w:val="auto"/>
          <w:kern w:val="0"/>
          <w:szCs w:val="21"/>
          <w:highlight w:val="none"/>
        </w:rPr>
        <w:t>8．质疑和投诉</w:t>
      </w:r>
      <w:bookmarkEnd w:id="85"/>
      <w:bookmarkEnd w:id="86"/>
    </w:p>
    <w:p w14:paraId="4103F80D">
      <w:pPr>
        <w:spacing w:before="120" w:line="320" w:lineRule="atLeast"/>
        <w:ind w:firstLine="422" w:firstLineChars="200"/>
        <w:outlineLvl w:val="2"/>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kern w:val="0"/>
          <w:szCs w:val="21"/>
          <w:highlight w:val="none"/>
        </w:rPr>
        <w:t>8.1质疑</w:t>
      </w:r>
    </w:p>
    <w:p w14:paraId="504FDA39">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8.1.1质疑内容、时限</w:t>
      </w:r>
    </w:p>
    <w:p w14:paraId="22738BD5">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（1）投标人对政府采购活动有疑问的，可以向采购人或采购代理机构提出询问。采购人或者采购代理机构应当在3个工作日内对投标人依法提出的询问作出答复。</w:t>
      </w:r>
    </w:p>
    <w:p w14:paraId="45C83D06">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（2）投标人为认为招标文件、采购过程、中标或者成交结果使自己的权益受到损害的，可以在知道或者应知其权益受到损害之日起7个工作日内向采购人或采购代理机构提出质疑。采购人或</w:t>
      </w:r>
      <w:r>
        <w:rPr>
          <w:rFonts w:ascii="Times New Roman" w:hAnsi="Times New Roman" w:eastAsia="宋体" w:cs="Times New Roman"/>
          <w:color w:val="auto"/>
          <w:szCs w:val="21"/>
          <w:highlight w:val="none"/>
        </w:rPr>
        <w:t>采购代理机构在收到</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书面质疑后7个工作日内，对质疑内容作出答复。</w:t>
      </w:r>
    </w:p>
    <w:p w14:paraId="2DD9F66F">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8.1.2质疑形式</w:t>
      </w:r>
    </w:p>
    <w:p w14:paraId="1DCFBF57">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质疑应当采用</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须知前附表所规定的形式，质疑书应明确阐述</w:t>
      </w:r>
      <w:r>
        <w:rPr>
          <w:rFonts w:hint="eastAsia" w:ascii="Times New Roman" w:hAnsi="Times New Roman" w:eastAsia="宋体" w:cs="Times New Roman"/>
          <w:color w:val="auto"/>
          <w:szCs w:val="21"/>
          <w:highlight w:val="none"/>
        </w:rPr>
        <w:t>招标文件</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采购</w:t>
      </w:r>
      <w:r>
        <w:rPr>
          <w:rFonts w:ascii="Times New Roman" w:hAnsi="Times New Roman" w:eastAsia="宋体" w:cs="Times New Roman"/>
          <w:color w:val="auto"/>
          <w:szCs w:val="21"/>
          <w:highlight w:val="none"/>
        </w:rPr>
        <w:t>过程或中标结果中使自己合法权益受到损害的实质性内容，提供相关事实、依据和证据及其来源或线索，便于有关单位调查、答复和处理。</w:t>
      </w:r>
    </w:p>
    <w:p w14:paraId="45EC3D3A">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8</w:t>
      </w:r>
      <w:r>
        <w:rPr>
          <w:rFonts w:ascii="Times New Roman" w:hAnsi="Times New Roman" w:eastAsia="宋体" w:cs="Times New Roman"/>
          <w:color w:val="auto"/>
          <w:szCs w:val="21"/>
          <w:highlight w:val="none"/>
        </w:rPr>
        <w:t>.1.3</w:t>
      </w:r>
      <w:r>
        <w:rPr>
          <w:rFonts w:hint="eastAsia"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1"/>
          <w:highlight w:val="none"/>
        </w:rPr>
        <w:t>投标人提出质疑应当提交质疑函和必要的证明材料。质疑函应当包括下列内容：</w:t>
      </w:r>
    </w:p>
    <w:p w14:paraId="12F5C4FF">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（1）投标人的姓名或者名称、地址、邮编、联系人及联系电话；</w:t>
      </w:r>
    </w:p>
    <w:p w14:paraId="799325D4">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（2）质疑项目的名称、编号；</w:t>
      </w:r>
    </w:p>
    <w:p w14:paraId="1D1F22E4">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（3）具体、明确的质疑事项和与质疑事项相关的请求；</w:t>
      </w:r>
    </w:p>
    <w:p w14:paraId="4E8A3575">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（4）事实依据；</w:t>
      </w:r>
    </w:p>
    <w:p w14:paraId="27319EED">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（5）必要的法律依据；</w:t>
      </w:r>
    </w:p>
    <w:p w14:paraId="35AAA046">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（6）提出质疑的日期。</w:t>
      </w:r>
    </w:p>
    <w:p w14:paraId="6DD35D6A">
      <w:pPr>
        <w:spacing w:before="120" w:line="32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投标人为自然人的，应当由本人签字；投标人为法人或者其他组织的，应当由法定代表人、主要负责人，或者其授权代表签字或者盖章，并加盖公章。</w:t>
      </w:r>
      <w:r>
        <w:rPr>
          <w:rFonts w:ascii="Times New Roman" w:hAnsi="Times New Roman" w:eastAsia="宋体" w:cs="Times New Roman"/>
          <w:color w:val="auto"/>
          <w:szCs w:val="21"/>
          <w:highlight w:val="none"/>
        </w:rPr>
        <w:t xml:space="preserve"> </w:t>
      </w:r>
    </w:p>
    <w:p w14:paraId="60B3B05B">
      <w:pPr>
        <w:spacing w:before="120" w:line="320" w:lineRule="atLeast"/>
        <w:ind w:firstLine="422" w:firstLineChars="200"/>
        <w:outlineLvl w:val="2"/>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kern w:val="0"/>
          <w:szCs w:val="21"/>
          <w:highlight w:val="none"/>
        </w:rPr>
        <w:t>8.2投诉</w:t>
      </w:r>
    </w:p>
    <w:p w14:paraId="68816ED8">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8.2.1</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对采购人、采购代理机构的答复不满意，或者采购人、采购代理机构未在规定时间内答复的，可在答复期满后15个工作日内按有关规定，向同级财政部门投诉。</w:t>
      </w:r>
    </w:p>
    <w:p w14:paraId="488641DD">
      <w:pPr>
        <w:spacing w:before="120" w:line="32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8.2.</w:t>
      </w:r>
      <w:r>
        <w:rPr>
          <w:rFonts w:hint="eastAsia" w:ascii="Times New Roman" w:hAnsi="Times New Roman" w:eastAsia="宋体" w:cs="Times New Roman"/>
          <w:color w:val="auto"/>
          <w:szCs w:val="21"/>
          <w:highlight w:val="none"/>
        </w:rPr>
        <w:t>2投诉</w:t>
      </w:r>
      <w:r>
        <w:rPr>
          <w:rFonts w:ascii="Times New Roman" w:hAnsi="Times New Roman" w:eastAsia="宋体" w:cs="Times New Roman"/>
          <w:color w:val="auto"/>
          <w:szCs w:val="21"/>
          <w:highlight w:val="none"/>
        </w:rPr>
        <w:t>书应使用财政部发布的</w:t>
      </w:r>
      <w:r>
        <w:rPr>
          <w:rFonts w:hint="eastAsia" w:ascii="Times New Roman" w:hAnsi="Times New Roman" w:eastAsia="宋体" w:cs="Times New Roman"/>
          <w:color w:val="auto"/>
          <w:szCs w:val="21"/>
          <w:highlight w:val="none"/>
        </w:rPr>
        <w:t>政府采购供应投诉书范本，并应按照“投诉书制作说明”进行编写。</w:t>
      </w:r>
    </w:p>
    <w:p w14:paraId="61999C9E">
      <w:pPr>
        <w:spacing w:before="120" w:line="320" w:lineRule="atLeast"/>
        <w:ind w:left="2" w:leftChars="1" w:firstLine="422" w:firstLineChars="200"/>
        <w:outlineLvl w:val="1"/>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kern w:val="0"/>
          <w:szCs w:val="21"/>
          <w:highlight w:val="none"/>
        </w:rPr>
        <w:t>9．其他事项</w:t>
      </w:r>
    </w:p>
    <w:p w14:paraId="5D1A315D">
      <w:pPr>
        <w:spacing w:before="120" w:line="320" w:lineRule="atLeast"/>
        <w:ind w:left="2" w:leftChars="1"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9.1代理服务收费由采购代理机构向中标人收取。</w:t>
      </w:r>
      <w:r>
        <w:rPr>
          <w:rFonts w:hint="eastAsia" w:ascii="Times New Roman" w:hAnsi="Times New Roman" w:eastAsia="宋体" w:cs="Times New Roman"/>
          <w:color w:val="auto"/>
          <w:szCs w:val="21"/>
          <w:highlight w:val="none"/>
        </w:rPr>
        <w:t>领取中标通知书</w:t>
      </w:r>
      <w:r>
        <w:rPr>
          <w:rFonts w:ascii="Times New Roman" w:hAnsi="Times New Roman" w:eastAsia="宋体" w:cs="Times New Roman"/>
          <w:color w:val="auto"/>
          <w:szCs w:val="21"/>
          <w:highlight w:val="none"/>
        </w:rPr>
        <w:t>前，中标人应向采购代理机构一次付清代理服务费。</w:t>
      </w:r>
    </w:p>
    <w:p w14:paraId="50E4A010">
      <w:pPr>
        <w:spacing w:before="120" w:line="320" w:lineRule="atLeast"/>
        <w:ind w:left="2" w:leftChars="1"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9.2</w:t>
      </w:r>
      <w:r>
        <w:rPr>
          <w:rFonts w:hint="eastAsia" w:ascii="Times New Roman" w:hAnsi="Times New Roman" w:eastAsia="宋体" w:cs="Times New Roman"/>
          <w:color w:val="auto"/>
          <w:szCs w:val="21"/>
          <w:highlight w:val="none"/>
        </w:rPr>
        <w:t>电子交易活动的中止。采购过程中出现以下情形，导致电子交易平台无法正常运行，或者无法保证电子交易的公平、公正和安全时，采购机构可中止电子交易活动：</w:t>
      </w:r>
    </w:p>
    <w:p w14:paraId="6DDD7980">
      <w:pPr>
        <w:spacing w:before="120" w:line="276"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（1）电子交易平台发生故障而无法登录访问的； </w:t>
      </w:r>
    </w:p>
    <w:p w14:paraId="648B0EB8">
      <w:pPr>
        <w:spacing w:before="120" w:line="276"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（2）电子交易平台应用或数据库出现错误，不能进行正常操作的；</w:t>
      </w:r>
    </w:p>
    <w:p w14:paraId="45C0A659">
      <w:pPr>
        <w:spacing w:before="120" w:line="276"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（3）电子交易平台发现严重安全漏洞，有潜在泄密危险的；</w:t>
      </w:r>
    </w:p>
    <w:p w14:paraId="0ABA87B1">
      <w:pPr>
        <w:spacing w:before="120" w:line="276"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（4）病毒发作导致不能进行正常操作的； </w:t>
      </w:r>
    </w:p>
    <w:p w14:paraId="30F43F3C">
      <w:pPr>
        <w:spacing w:before="120" w:line="276"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5</w:t>
      </w:r>
      <w:r>
        <w:rPr>
          <w:rFonts w:hint="eastAsia" w:ascii="Times New Roman" w:hAnsi="Times New Roman" w:eastAsia="宋体" w:cs="Times New Roman"/>
          <w:color w:val="auto"/>
          <w:szCs w:val="21"/>
          <w:highlight w:val="none"/>
        </w:rPr>
        <w:t>）其他无法保证电子交易的公平、公正和安全的情况。</w:t>
      </w:r>
    </w:p>
    <w:p w14:paraId="252AA189">
      <w:pPr>
        <w:tabs>
          <w:tab w:val="left" w:pos="4820"/>
        </w:tabs>
        <w:spacing w:before="120"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rFonts w:ascii="Times New Roman" w:hAnsi="Times New Roman" w:eastAsia="宋体" w:cs="Times New Roman"/>
          <w:color w:val="auto"/>
          <w:szCs w:val="21"/>
          <w:highlight w:val="none"/>
        </w:rPr>
        <w:t xml:space="preserve"> </w:t>
      </w:r>
    </w:p>
    <w:p w14:paraId="6F83DC35">
      <w:pPr>
        <w:spacing w:before="120" w:line="320" w:lineRule="atLeast"/>
        <w:ind w:left="2" w:leftChars="1"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9.3</w:t>
      </w:r>
      <w:r>
        <w:rPr>
          <w:rFonts w:hint="eastAsia" w:ascii="Times New Roman" w:hAnsi="Times New Roman" w:eastAsia="宋体" w:cs="Times New Roman"/>
          <w:color w:val="auto"/>
          <w:szCs w:val="21"/>
          <w:highlight w:val="none"/>
        </w:rPr>
        <w:t>本项目的附件及图纸</w:t>
      </w:r>
      <w:r>
        <w:rPr>
          <w:rFonts w:ascii="Times New Roman" w:hAnsi="Times New Roman" w:eastAsia="宋体" w:cs="Times New Roman"/>
          <w:color w:val="auto"/>
          <w:szCs w:val="21"/>
          <w:highlight w:val="none"/>
        </w:rPr>
        <w:t>详见</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须知前附表</w:t>
      </w:r>
      <w:r>
        <w:rPr>
          <w:rFonts w:hint="eastAsia" w:ascii="Times New Roman" w:hAnsi="Times New Roman" w:eastAsia="宋体" w:cs="Times New Roman"/>
          <w:color w:val="auto"/>
          <w:szCs w:val="21"/>
          <w:highlight w:val="none"/>
        </w:rPr>
        <w:t>。</w:t>
      </w:r>
    </w:p>
    <w:p w14:paraId="30A3DC7C">
      <w:pPr>
        <w:spacing w:before="120" w:line="320" w:lineRule="atLeast"/>
        <w:ind w:left="2" w:leftChars="1"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9.4</w:t>
      </w:r>
      <w:r>
        <w:rPr>
          <w:rFonts w:hint="eastAsia" w:ascii="Times New Roman" w:hAnsi="Times New Roman" w:eastAsia="宋体" w:cs="Times New Roman"/>
          <w:color w:val="auto"/>
          <w:szCs w:val="21"/>
          <w:highlight w:val="none"/>
        </w:rPr>
        <w:t>本项目的其他事项</w:t>
      </w:r>
      <w:r>
        <w:rPr>
          <w:rFonts w:ascii="Times New Roman" w:hAnsi="Times New Roman" w:eastAsia="宋体" w:cs="Times New Roman"/>
          <w:color w:val="auto"/>
          <w:szCs w:val="21"/>
          <w:highlight w:val="none"/>
        </w:rPr>
        <w:t>详见</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须知前附表</w:t>
      </w:r>
      <w:r>
        <w:rPr>
          <w:rFonts w:hint="eastAsia" w:ascii="Times New Roman" w:hAnsi="Times New Roman" w:eastAsia="宋体" w:cs="Times New Roman"/>
          <w:color w:val="auto"/>
          <w:szCs w:val="21"/>
          <w:highlight w:val="none"/>
        </w:rPr>
        <w:t>。</w:t>
      </w:r>
    </w:p>
    <w:p w14:paraId="194E4502">
      <w:pPr>
        <w:spacing w:before="120" w:line="320" w:lineRule="atLeast"/>
        <w:ind w:left="2" w:leftChars="1" w:firstLine="422" w:firstLineChars="200"/>
        <w:outlineLvl w:val="1"/>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kern w:val="0"/>
          <w:szCs w:val="21"/>
          <w:highlight w:val="none"/>
        </w:rPr>
        <w:t>10．</w:t>
      </w:r>
      <w:r>
        <w:rPr>
          <w:rFonts w:hint="eastAsia" w:ascii="Times New Roman" w:hAnsi="Times New Roman" w:eastAsia="宋体" w:cs="Times New Roman"/>
          <w:b/>
          <w:bCs/>
          <w:color w:val="auto"/>
          <w:kern w:val="0"/>
          <w:szCs w:val="21"/>
          <w:highlight w:val="none"/>
        </w:rPr>
        <w:t>其他说明</w:t>
      </w:r>
    </w:p>
    <w:p w14:paraId="6ABA2DE6">
      <w:pPr>
        <w:spacing w:before="120" w:line="320" w:lineRule="atLeast"/>
        <w:ind w:left="2" w:leftChars="1" w:firstLine="422" w:firstLineChars="200"/>
        <w:outlineLvl w:val="1"/>
        <w:rPr>
          <w:rFonts w:ascii="Times New Roman" w:hAnsi="Times New Roman" w:eastAsia="宋体" w:cs="Times New Roman"/>
          <w:color w:val="auto"/>
          <w:kern w:val="0"/>
          <w:szCs w:val="21"/>
          <w:highlight w:val="none"/>
        </w:rPr>
      </w:pPr>
      <w:r>
        <w:rPr>
          <w:rFonts w:hint="eastAsia" w:ascii="Times New Roman" w:hAnsi="Times New Roman" w:eastAsia="宋体" w:cs="Times New Roman"/>
          <w:b/>
          <w:bCs/>
          <w:color w:val="auto"/>
          <w:kern w:val="0"/>
          <w:szCs w:val="21"/>
          <w:highlight w:val="none"/>
        </w:rPr>
        <w:t>1</w:t>
      </w:r>
      <w:r>
        <w:rPr>
          <w:rFonts w:ascii="Times New Roman" w:hAnsi="Times New Roman" w:eastAsia="宋体" w:cs="Times New Roman"/>
          <w:b/>
          <w:bCs/>
          <w:color w:val="auto"/>
          <w:kern w:val="0"/>
          <w:szCs w:val="21"/>
          <w:highlight w:val="none"/>
        </w:rPr>
        <w:t>0.1</w:t>
      </w:r>
      <w:r>
        <w:rPr>
          <w:rFonts w:hint="eastAsia" w:ascii="Times New Roman" w:hAnsi="Times New Roman" w:eastAsia="宋体" w:cs="Times New Roman"/>
          <w:color w:val="auto"/>
          <w:kern w:val="0"/>
          <w:szCs w:val="21"/>
          <w:highlight w:val="none"/>
        </w:rPr>
        <w:t>其余未尽事宜按</w:t>
      </w:r>
      <w:r>
        <w:rPr>
          <w:rFonts w:ascii="Times New Roman" w:hAnsi="Times New Roman" w:eastAsia="宋体" w:cs="Times New Roman"/>
          <w:color w:val="auto"/>
          <w:kern w:val="0"/>
          <w:szCs w:val="21"/>
          <w:highlight w:val="none"/>
        </w:rPr>
        <w:t>《中华人民共和国政府采购法》、《中华人民共和国政府采购法实施条例》</w:t>
      </w:r>
      <w:r>
        <w:rPr>
          <w:rFonts w:hint="eastAsia" w:ascii="Times New Roman" w:hAnsi="Times New Roman" w:eastAsia="宋体" w:cs="Times New Roman"/>
          <w:color w:val="auto"/>
          <w:kern w:val="0"/>
          <w:szCs w:val="21"/>
          <w:highlight w:val="none"/>
        </w:rPr>
        <w:t>的相关规定执行。</w:t>
      </w:r>
    </w:p>
    <w:p w14:paraId="037FB809">
      <w:pPr>
        <w:spacing w:before="120" w:line="320" w:lineRule="atLeast"/>
        <w:ind w:left="2" w:leftChars="1" w:firstLine="422" w:firstLineChars="200"/>
        <w:outlineLvl w:val="1"/>
        <w:rPr>
          <w:rFonts w:ascii="Times New Roman" w:hAnsi="Times New Roman" w:eastAsia="宋体" w:cs="Times New Roman"/>
          <w:color w:val="auto"/>
          <w:sz w:val="32"/>
          <w:szCs w:val="32"/>
          <w:highlight w:val="none"/>
        </w:rPr>
      </w:pPr>
      <w:r>
        <w:rPr>
          <w:rFonts w:ascii="Times New Roman" w:hAnsi="Times New Roman" w:eastAsia="宋体" w:cs="Times New Roman"/>
          <w:b/>
          <w:bCs/>
          <w:color w:val="auto"/>
          <w:kern w:val="0"/>
          <w:szCs w:val="21"/>
          <w:highlight w:val="none"/>
        </w:rPr>
        <w:t>10.2</w:t>
      </w:r>
      <w:r>
        <w:rPr>
          <w:rFonts w:hint="eastAsia" w:ascii="Times New Roman" w:hAnsi="Times New Roman" w:eastAsia="宋体" w:cs="Times New Roman"/>
          <w:color w:val="auto"/>
          <w:szCs w:val="24"/>
          <w:highlight w:val="none"/>
        </w:rPr>
        <w:t>本</w:t>
      </w:r>
      <w:r>
        <w:rPr>
          <w:rFonts w:ascii="Times New Roman" w:hAnsi="Times New Roman" w:eastAsia="宋体" w:cs="Times New Roman"/>
          <w:color w:val="auto"/>
          <w:szCs w:val="24"/>
          <w:highlight w:val="none"/>
        </w:rPr>
        <w:t>招标文件是根据国家有关法律及有关政策、法规和参照国际惯例编制，解释权属采购代理机构。</w:t>
      </w:r>
      <w:bookmarkEnd w:id="36"/>
    </w:p>
    <w:p w14:paraId="55C3DED3">
      <w:pPr>
        <w:snapToGrid w:val="0"/>
        <w:spacing w:before="120" w:after="120" w:line="320" w:lineRule="exact"/>
        <w:jc w:val="center"/>
        <w:outlineLvl w:val="0"/>
        <w:rPr>
          <w:rFonts w:ascii="Times New Roman" w:hAnsi="Times New Roman" w:eastAsia="宋体" w:cs="Times New Roman"/>
          <w:color w:val="auto"/>
          <w:sz w:val="32"/>
          <w:szCs w:val="32"/>
          <w:highlight w:val="none"/>
        </w:rPr>
      </w:pPr>
      <w:r>
        <w:rPr>
          <w:rFonts w:ascii="宋体" w:hAnsi="Courier New" w:eastAsia="宋体" w:cs="Courier New"/>
          <w:color w:val="auto"/>
          <w:szCs w:val="21"/>
          <w:highlight w:val="none"/>
        </w:rPr>
        <w:br w:type="page"/>
      </w:r>
      <w:bookmarkStart w:id="87" w:name="_Toc8741"/>
      <w:r>
        <w:rPr>
          <w:rFonts w:ascii="Times New Roman" w:hAnsi="Times New Roman" w:eastAsia="宋体" w:cs="Times New Roman"/>
          <w:color w:val="auto"/>
          <w:sz w:val="32"/>
          <w:szCs w:val="32"/>
          <w:highlight w:val="none"/>
        </w:rPr>
        <w:t>第四章  评审方法及标准</w:t>
      </w:r>
      <w:bookmarkEnd w:id="87"/>
    </w:p>
    <w:p w14:paraId="56482F46">
      <w:pPr>
        <w:spacing w:before="120" w:line="320" w:lineRule="atLeast"/>
        <w:ind w:firstLine="413" w:firstLineChars="196"/>
        <w:outlineLvl w:val="1"/>
        <w:rPr>
          <w:rFonts w:ascii="Times New Roman" w:hAnsi="Times New Roman" w:eastAsia="宋体" w:cs="Times New Roman"/>
          <w:b/>
          <w:bCs/>
          <w:color w:val="auto"/>
          <w:kern w:val="0"/>
          <w:szCs w:val="21"/>
          <w:highlight w:val="none"/>
        </w:rPr>
      </w:pPr>
      <w:r>
        <w:rPr>
          <w:rFonts w:hint="eastAsia" w:ascii="Times New Roman" w:hAnsi="Times New Roman" w:eastAsia="宋体" w:cs="Times New Roman"/>
          <w:b/>
          <w:bCs/>
          <w:color w:val="auto"/>
          <w:kern w:val="0"/>
          <w:szCs w:val="21"/>
          <w:highlight w:val="none"/>
        </w:rPr>
        <w:t>1.</w:t>
      </w:r>
      <w:r>
        <w:rPr>
          <w:rFonts w:ascii="Times New Roman" w:hAnsi="Times New Roman" w:eastAsia="宋体" w:cs="Times New Roman"/>
          <w:b/>
          <w:bCs/>
          <w:color w:val="auto"/>
          <w:kern w:val="0"/>
          <w:szCs w:val="21"/>
          <w:highlight w:val="none"/>
        </w:rPr>
        <w:t>评审方法</w:t>
      </w:r>
    </w:p>
    <w:p w14:paraId="2A4A7C7A">
      <w:pPr>
        <w:suppressAutoHyphens/>
        <w:spacing w:before="120" w:line="320" w:lineRule="atLeast"/>
        <w:ind w:firstLine="42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1"/>
          <w:highlight w:val="none"/>
        </w:rPr>
        <w:sym w:font="Wingdings 2" w:char="F052"/>
      </w:r>
      <w:r>
        <w:rPr>
          <w:rFonts w:ascii="Times New Roman" w:hAnsi="Times New Roman" w:eastAsia="宋体" w:cs="Times New Roman"/>
          <w:color w:val="auto"/>
          <w:szCs w:val="24"/>
          <w:highlight w:val="none"/>
        </w:rPr>
        <w:t>本项目采用综合评分法进行评审。</w:t>
      </w:r>
    </w:p>
    <w:p w14:paraId="06962B51">
      <w:pPr>
        <w:suppressAutoHyphens/>
        <w:spacing w:before="120" w:line="320" w:lineRule="atLeast"/>
        <w:ind w:firstLine="42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综合评分法，是指投标文件满足招标文件全部实质性要求且按照评审因素的量化指标评审得分最高的</w:t>
      </w:r>
      <w:r>
        <w:rPr>
          <w:rFonts w:hint="eastAsia" w:ascii="Times New Roman" w:hAnsi="Times New Roman" w:eastAsia="宋体" w:cs="Times New Roman"/>
          <w:color w:val="auto"/>
          <w:szCs w:val="24"/>
          <w:highlight w:val="none"/>
        </w:rPr>
        <w:t>投标人</w:t>
      </w:r>
      <w:r>
        <w:rPr>
          <w:rFonts w:ascii="Times New Roman" w:hAnsi="Times New Roman" w:eastAsia="宋体" w:cs="Times New Roman"/>
          <w:color w:val="auto"/>
          <w:szCs w:val="24"/>
          <w:highlight w:val="none"/>
        </w:rPr>
        <w:t>为中标候选人的评审方法。</w:t>
      </w:r>
    </w:p>
    <w:p w14:paraId="4A08717B">
      <w:pPr>
        <w:suppressAutoHyphens/>
        <w:spacing w:before="120" w:line="320" w:lineRule="atLeast"/>
        <w:ind w:firstLine="420" w:firstLineChars="200"/>
        <w:rPr>
          <w:rFonts w:ascii="Times New Roman" w:hAnsi="Times New Roman" w:eastAsia="宋体" w:cs="Times New Roman"/>
          <w:color w:val="auto"/>
          <w:szCs w:val="24"/>
          <w:highlight w:val="none"/>
        </w:rPr>
      </w:pPr>
      <w:r>
        <w:rPr>
          <w:rFonts w:hint="eastAsia" w:ascii="Times New Roman" w:hAnsi="宋体" w:eastAsia="宋体" w:cs="Times New Roman"/>
          <w:color w:val="auto"/>
          <w:szCs w:val="24"/>
          <w:highlight w:val="none"/>
        </w:rPr>
        <w:t>□</w:t>
      </w:r>
      <w:r>
        <w:rPr>
          <w:rFonts w:ascii="Times New Roman" w:hAnsi="Times New Roman" w:eastAsia="宋体" w:cs="Times New Roman"/>
          <w:color w:val="auto"/>
          <w:szCs w:val="24"/>
          <w:highlight w:val="none"/>
        </w:rPr>
        <w:t>本项目采用</w:t>
      </w:r>
      <w:r>
        <w:rPr>
          <w:rFonts w:hint="eastAsia" w:ascii="Times New Roman" w:hAnsi="Times New Roman" w:eastAsia="宋体" w:cs="Times New Roman"/>
          <w:color w:val="auto"/>
          <w:szCs w:val="24"/>
          <w:highlight w:val="none"/>
        </w:rPr>
        <w:t>最低评标价</w:t>
      </w:r>
      <w:r>
        <w:rPr>
          <w:rFonts w:ascii="Times New Roman" w:hAnsi="Times New Roman" w:eastAsia="宋体" w:cs="Times New Roman"/>
          <w:color w:val="auto"/>
          <w:szCs w:val="24"/>
          <w:highlight w:val="none"/>
        </w:rPr>
        <w:t>法进行评审。</w:t>
      </w:r>
    </w:p>
    <w:p w14:paraId="40F65838">
      <w:pPr>
        <w:suppressAutoHyphens/>
        <w:spacing w:before="120" w:line="320" w:lineRule="atLeas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最低评标价法，是指投标文件满足招标文件全部实质性要求且投标报价最低的投标人为中标候选人的评标方法。</w:t>
      </w:r>
    </w:p>
    <w:p w14:paraId="45A342B2">
      <w:pPr>
        <w:suppressAutoHyphens/>
        <w:spacing w:before="120" w:line="320" w:lineRule="atLeas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本项目评审的其他详细规定在第三章投标人须知中规定。</w:t>
      </w:r>
    </w:p>
    <w:p w14:paraId="23428527">
      <w:pPr>
        <w:spacing w:before="120" w:line="320" w:lineRule="atLeast"/>
        <w:ind w:firstLine="413" w:firstLineChars="196"/>
        <w:outlineLvl w:val="1"/>
        <w:rPr>
          <w:rFonts w:ascii="Times New Roman" w:hAnsi="Times New Roman" w:eastAsia="宋体" w:cs="Times New Roman"/>
          <w:b/>
          <w:color w:val="auto"/>
          <w:kern w:val="0"/>
          <w:szCs w:val="21"/>
          <w:highlight w:val="none"/>
        </w:rPr>
      </w:pPr>
      <w:r>
        <w:rPr>
          <w:rFonts w:ascii="Times New Roman" w:hAnsi="Times New Roman" w:eastAsia="宋体" w:cs="Times New Roman"/>
          <w:b/>
          <w:color w:val="auto"/>
          <w:kern w:val="0"/>
          <w:szCs w:val="21"/>
          <w:highlight w:val="none"/>
        </w:rPr>
        <w:t>2</w:t>
      </w:r>
      <w:r>
        <w:rPr>
          <w:rFonts w:hint="eastAsia" w:ascii="Times New Roman" w:hAnsi="Times New Roman" w:eastAsia="宋体" w:cs="Times New Roman"/>
          <w:b/>
          <w:color w:val="auto"/>
          <w:kern w:val="0"/>
          <w:szCs w:val="21"/>
          <w:highlight w:val="none"/>
        </w:rPr>
        <w:t>.资格审查标准</w:t>
      </w:r>
      <w:r>
        <w:rPr>
          <w:rFonts w:hint="eastAsia" w:ascii="Times New Roman" w:hAnsi="Times New Roman" w:eastAsia="宋体" w:cs="Times New Roman"/>
          <w:b/>
          <w:bCs/>
          <w:color w:val="auto"/>
          <w:kern w:val="0"/>
          <w:szCs w:val="21"/>
          <w:highlight w:val="none"/>
        </w:rPr>
        <w:t>（不满足任何一项审查内容要求，资格审查即为不合格）</w:t>
      </w:r>
    </w:p>
    <w:tbl>
      <w:tblPr>
        <w:tblStyle w:val="43"/>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2EE7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49FADE8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b/>
                <w:color w:val="auto"/>
                <w:kern w:val="0"/>
                <w:szCs w:val="21"/>
                <w:highlight w:val="none"/>
              </w:rPr>
            </w:pPr>
            <w:r>
              <w:rPr>
                <w:rFonts w:hint="eastAsia" w:ascii="Times New Roman" w:hAnsi="Times New Roman" w:eastAsia="宋体" w:cs="Times New Roman"/>
                <w:b/>
                <w:color w:val="auto"/>
                <w:kern w:val="0"/>
                <w:szCs w:val="21"/>
                <w:highlight w:val="none"/>
              </w:rPr>
              <w:t>审查</w:t>
            </w:r>
            <w:r>
              <w:rPr>
                <w:rFonts w:ascii="Times New Roman" w:hAnsi="Times New Roman" w:eastAsia="宋体" w:cs="Times New Roman"/>
                <w:b/>
                <w:color w:val="auto"/>
                <w:kern w:val="0"/>
                <w:szCs w:val="21"/>
                <w:highlight w:val="none"/>
              </w:rPr>
              <w:t>因素</w:t>
            </w:r>
          </w:p>
        </w:tc>
        <w:tc>
          <w:tcPr>
            <w:tcW w:w="1843" w:type="dxa"/>
            <w:vAlign w:val="center"/>
          </w:tcPr>
          <w:p w14:paraId="3837546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b/>
                <w:color w:val="auto"/>
                <w:kern w:val="0"/>
                <w:szCs w:val="21"/>
                <w:highlight w:val="none"/>
              </w:rPr>
            </w:pPr>
            <w:r>
              <w:rPr>
                <w:rFonts w:hint="eastAsia" w:ascii="Times New Roman" w:hAnsi="Times New Roman" w:eastAsia="宋体" w:cs="Times New Roman"/>
                <w:b/>
                <w:color w:val="auto"/>
                <w:kern w:val="0"/>
                <w:szCs w:val="21"/>
                <w:highlight w:val="none"/>
              </w:rPr>
              <w:t>审查</w:t>
            </w:r>
            <w:r>
              <w:rPr>
                <w:rFonts w:ascii="Times New Roman" w:hAnsi="Times New Roman" w:eastAsia="宋体" w:cs="Times New Roman"/>
                <w:b/>
                <w:color w:val="auto"/>
                <w:kern w:val="0"/>
                <w:szCs w:val="21"/>
                <w:highlight w:val="none"/>
              </w:rPr>
              <w:t>内容</w:t>
            </w:r>
          </w:p>
        </w:tc>
        <w:tc>
          <w:tcPr>
            <w:tcW w:w="6242" w:type="dxa"/>
            <w:vAlign w:val="center"/>
          </w:tcPr>
          <w:p w14:paraId="3DACF2B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b/>
                <w:color w:val="auto"/>
                <w:kern w:val="0"/>
                <w:szCs w:val="21"/>
                <w:highlight w:val="none"/>
              </w:rPr>
            </w:pPr>
            <w:r>
              <w:rPr>
                <w:rFonts w:hint="eastAsia" w:ascii="Times New Roman" w:hAnsi="Times New Roman" w:eastAsia="宋体" w:cs="Times New Roman"/>
                <w:b/>
                <w:color w:val="auto"/>
                <w:kern w:val="0"/>
                <w:szCs w:val="21"/>
                <w:highlight w:val="none"/>
              </w:rPr>
              <w:t>说明</w:t>
            </w:r>
          </w:p>
        </w:tc>
      </w:tr>
      <w:tr w14:paraId="69A5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6" w:type="dxa"/>
            <w:vMerge w:val="restart"/>
            <w:vAlign w:val="center"/>
          </w:tcPr>
          <w:p w14:paraId="79BDDCA0">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color w:val="auto"/>
                <w:szCs w:val="21"/>
                <w:highlight w:val="none"/>
                <w:lang w:val="zh-CN"/>
              </w:rPr>
            </w:pP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lang w:val="zh-CN"/>
              </w:rPr>
              <w:t>应符合的</w:t>
            </w:r>
            <w:r>
              <w:rPr>
                <w:rFonts w:hint="eastAsia" w:ascii="Times New Roman" w:hAnsi="Times New Roman" w:eastAsia="宋体" w:cs="Times New Roman"/>
                <w:color w:val="auto"/>
                <w:szCs w:val="21"/>
                <w:highlight w:val="none"/>
                <w:lang w:val="zh-CN"/>
              </w:rPr>
              <w:t>基本</w:t>
            </w:r>
            <w:r>
              <w:rPr>
                <w:rFonts w:ascii="Times New Roman" w:hAnsi="Times New Roman" w:eastAsia="宋体" w:cs="Times New Roman"/>
                <w:color w:val="auto"/>
                <w:szCs w:val="21"/>
                <w:highlight w:val="none"/>
              </w:rPr>
              <w:t>资格</w:t>
            </w:r>
            <w:r>
              <w:rPr>
                <w:rFonts w:hint="eastAsia" w:ascii="Times New Roman" w:hAnsi="Times New Roman" w:eastAsia="宋体" w:cs="Times New Roman"/>
                <w:color w:val="auto"/>
                <w:szCs w:val="21"/>
                <w:highlight w:val="none"/>
              </w:rPr>
              <w:t>要求</w:t>
            </w:r>
          </w:p>
        </w:tc>
        <w:tc>
          <w:tcPr>
            <w:tcW w:w="1843" w:type="dxa"/>
            <w:vAlign w:val="center"/>
          </w:tcPr>
          <w:p w14:paraId="03C5EE6C">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（1）具有独立承担民事责任的能力</w:t>
            </w:r>
          </w:p>
        </w:tc>
        <w:tc>
          <w:tcPr>
            <w:tcW w:w="6242" w:type="dxa"/>
          </w:tcPr>
          <w:p w14:paraId="5B58684B">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审查投标人为法人或者其他组织的，提供营业执照等证明文件（如营业执照或者事业单位法人证书或者执业许可证等），投标人为自然人的，提供身份证复印件</w:t>
            </w:r>
          </w:p>
        </w:tc>
      </w:tr>
      <w:tr w14:paraId="7EF49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6" w:type="dxa"/>
            <w:vMerge w:val="continue"/>
            <w:vAlign w:val="center"/>
          </w:tcPr>
          <w:p w14:paraId="1EB09B08">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color w:val="auto"/>
                <w:szCs w:val="21"/>
                <w:highlight w:val="none"/>
                <w:lang w:val="zh-CN"/>
              </w:rPr>
            </w:pPr>
          </w:p>
        </w:tc>
        <w:tc>
          <w:tcPr>
            <w:tcW w:w="1843" w:type="dxa"/>
            <w:vAlign w:val="center"/>
          </w:tcPr>
          <w:p w14:paraId="78385154">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lang w:val="zh-CN"/>
              </w:rPr>
              <w:t>（2）</w:t>
            </w:r>
            <w:r>
              <w:rPr>
                <w:rFonts w:ascii="Times New Roman" w:hAnsi="Times New Roman" w:eastAsia="宋体" w:cs="Times New Roman"/>
                <w:color w:val="auto"/>
                <w:szCs w:val="21"/>
                <w:highlight w:val="none"/>
              </w:rPr>
              <w:t>具有良好的商业信誉和健全的财务会计制度</w:t>
            </w:r>
          </w:p>
        </w:tc>
        <w:tc>
          <w:tcPr>
            <w:tcW w:w="6242" w:type="dxa"/>
          </w:tcPr>
          <w:p w14:paraId="2394F209">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宋体" w:cs="Times New Roman"/>
                <w:color w:val="auto"/>
                <w:szCs w:val="21"/>
                <w:highlight w:val="none"/>
              </w:rPr>
            </w:pPr>
            <w:r>
              <w:rPr>
                <w:rFonts w:hint="eastAsia" w:ascii="宋体" w:hAnsi="宋体" w:eastAsia="宋体" w:cs="宋体"/>
                <w:color w:val="auto"/>
                <w:szCs w:val="21"/>
                <w:highlight w:val="none"/>
              </w:rPr>
              <w:t>①</w:t>
            </w:r>
            <w:r>
              <w:rPr>
                <w:rFonts w:ascii="Times New Roman" w:hAnsi="Times New Roman" w:eastAsia="宋体" w:cs="Times New Roman"/>
                <w:color w:val="auto"/>
                <w:szCs w:val="21"/>
                <w:highlight w:val="none"/>
              </w:rPr>
              <w:t>审查商业信誉声明。须提供，格式见第六章投标文件格式“投标声明书”。</w:t>
            </w:r>
          </w:p>
          <w:p w14:paraId="24161A1D">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宋体" w:cs="Times New Roman"/>
                <w:color w:val="auto"/>
                <w:szCs w:val="21"/>
                <w:highlight w:val="none"/>
              </w:rPr>
            </w:pPr>
            <w:r>
              <w:rPr>
                <w:rFonts w:hint="eastAsia" w:ascii="宋体" w:hAnsi="宋体" w:eastAsia="宋体" w:cs="宋体"/>
                <w:color w:val="auto"/>
                <w:szCs w:val="21"/>
                <w:highlight w:val="none"/>
              </w:rPr>
              <w:t>②</w:t>
            </w:r>
            <w:r>
              <w:rPr>
                <w:rFonts w:ascii="Times New Roman" w:hAnsi="Times New Roman" w:eastAsia="宋体" w:cs="Times New Roman"/>
                <w:color w:val="auto"/>
                <w:szCs w:val="21"/>
                <w:highlight w:val="none"/>
              </w:rPr>
              <w:t>审查</w:t>
            </w:r>
            <w:r>
              <w:rPr>
                <w:rFonts w:hint="eastAsia" w:ascii="Times New Roman" w:hAnsi="Times New Roman" w:eastAsia="宋体" w:cs="Times New Roman"/>
                <w:color w:val="auto"/>
                <w:szCs w:val="21"/>
                <w:highlight w:val="none"/>
              </w:rPr>
              <w:t>2023或2</w:t>
            </w:r>
            <w:r>
              <w:rPr>
                <w:rFonts w:ascii="Times New Roman" w:hAnsi="Times New Roman" w:eastAsia="宋体" w:cs="Times New Roman"/>
                <w:color w:val="auto"/>
                <w:szCs w:val="21"/>
                <w:highlight w:val="none"/>
              </w:rPr>
              <w:t>02</w:t>
            </w:r>
            <w:r>
              <w:rPr>
                <w:rFonts w:hint="eastAsia" w:ascii="Times New Roman" w:hAnsi="Times New Roman" w:eastAsia="宋体" w:cs="Times New Roman"/>
                <w:color w:val="auto"/>
                <w:szCs w:val="21"/>
                <w:highlight w:val="none"/>
              </w:rPr>
              <w:t>4年度</w:t>
            </w:r>
            <w:r>
              <w:rPr>
                <w:rFonts w:ascii="Times New Roman" w:hAnsi="Times New Roman" w:eastAsia="宋体" w:cs="Times New Roman"/>
                <w:color w:val="auto"/>
                <w:szCs w:val="21"/>
                <w:highlight w:val="none"/>
              </w:rPr>
              <w:t>财务状况报告（表）复印件或银行出具的资信证明复印件，</w:t>
            </w:r>
            <w:r>
              <w:rPr>
                <w:rFonts w:ascii="Times New Roman" w:hAnsi="Times New Roman" w:eastAsia="宋体" w:cs="Times New Roman"/>
                <w:color w:val="auto"/>
                <w:szCs w:val="24"/>
                <w:highlight w:val="none"/>
              </w:rPr>
              <w:t>对于从取得营业执照时间起到投标文件递交截止时间为止不足1年的</w:t>
            </w:r>
            <w:r>
              <w:rPr>
                <w:rFonts w:hint="eastAsia" w:ascii="Times New Roman" w:hAnsi="Times New Roman" w:eastAsia="宋体" w:cs="Times New Roman"/>
                <w:color w:val="auto"/>
                <w:szCs w:val="24"/>
                <w:highlight w:val="none"/>
              </w:rPr>
              <w:t>投标人</w:t>
            </w:r>
            <w:r>
              <w:rPr>
                <w:rFonts w:ascii="Times New Roman" w:hAnsi="Times New Roman" w:eastAsia="宋体" w:cs="Times New Roman"/>
                <w:color w:val="auto"/>
                <w:szCs w:val="24"/>
                <w:highlight w:val="none"/>
              </w:rPr>
              <w:t>，只需提交</w:t>
            </w:r>
            <w:r>
              <w:rPr>
                <w:rFonts w:ascii="Times New Roman" w:hAnsi="Times New Roman" w:eastAsia="宋体" w:cs="Times New Roman"/>
                <w:color w:val="auto"/>
                <w:szCs w:val="21"/>
                <w:highlight w:val="none"/>
              </w:rPr>
              <w:t>投标文件递交截止时间前一个月的财务状况报告（表）复印件。</w:t>
            </w:r>
          </w:p>
        </w:tc>
      </w:tr>
      <w:tr w14:paraId="78EA0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6" w:type="dxa"/>
            <w:vMerge w:val="continue"/>
            <w:vAlign w:val="center"/>
          </w:tcPr>
          <w:p w14:paraId="0792883C">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color w:val="auto"/>
                <w:szCs w:val="21"/>
                <w:highlight w:val="none"/>
                <w:lang w:val="zh-CN"/>
              </w:rPr>
            </w:pPr>
          </w:p>
        </w:tc>
        <w:tc>
          <w:tcPr>
            <w:tcW w:w="1843" w:type="dxa"/>
            <w:vAlign w:val="center"/>
          </w:tcPr>
          <w:p w14:paraId="1B81251D">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lang w:val="zh-CN"/>
              </w:rPr>
              <w:t>（3）具有履行合同所必需的设备和专业技术能力</w:t>
            </w:r>
          </w:p>
        </w:tc>
        <w:tc>
          <w:tcPr>
            <w:tcW w:w="6242" w:type="dxa"/>
          </w:tcPr>
          <w:p w14:paraId="44798FAB">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宋体" w:cs="Times New Roman"/>
                <w:color w:val="auto"/>
                <w:szCs w:val="21"/>
                <w:highlight w:val="none"/>
              </w:rPr>
            </w:pPr>
            <w:r>
              <w:rPr>
                <w:rFonts w:hint="eastAsia" w:ascii="宋体" w:hAnsi="宋体" w:eastAsia="宋体" w:cs="宋体"/>
                <w:color w:val="auto"/>
                <w:szCs w:val="21"/>
                <w:highlight w:val="none"/>
              </w:rPr>
              <w:t>①</w:t>
            </w:r>
            <w:r>
              <w:rPr>
                <w:rFonts w:ascii="Times New Roman" w:hAnsi="Times New Roman" w:eastAsia="宋体" w:cs="Times New Roman"/>
                <w:color w:val="auto"/>
                <w:szCs w:val="21"/>
                <w:highlight w:val="none"/>
              </w:rPr>
              <w:t>审查</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 xml:space="preserve">营业执照，须有效； </w:t>
            </w:r>
          </w:p>
          <w:p w14:paraId="06896D90">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宋体" w:cs="Times New Roman"/>
                <w:color w:val="auto"/>
                <w:szCs w:val="21"/>
                <w:highlight w:val="none"/>
              </w:rPr>
            </w:pPr>
            <w:r>
              <w:rPr>
                <w:rFonts w:hint="eastAsia" w:ascii="宋体" w:hAnsi="宋体" w:eastAsia="宋体" w:cs="宋体"/>
                <w:color w:val="auto"/>
                <w:szCs w:val="21"/>
                <w:highlight w:val="none"/>
              </w:rPr>
              <w:t>②</w:t>
            </w:r>
            <w:r>
              <w:rPr>
                <w:rFonts w:ascii="Times New Roman" w:hAnsi="Times New Roman" w:eastAsia="宋体" w:cs="Times New Roman"/>
                <w:color w:val="auto"/>
                <w:szCs w:val="21"/>
                <w:highlight w:val="none"/>
              </w:rPr>
              <w:t>审查书面声明。须提供，格式见第六章投标文件格式“</w:t>
            </w:r>
            <w:r>
              <w:rPr>
                <w:rFonts w:ascii="Times New Roman" w:hAnsi="Times New Roman" w:eastAsia="宋体" w:cs="Times New Roman"/>
                <w:color w:val="auto"/>
                <w:szCs w:val="24"/>
                <w:highlight w:val="none"/>
              </w:rPr>
              <w:t>投标声明书</w:t>
            </w:r>
            <w:r>
              <w:rPr>
                <w:rFonts w:ascii="Times New Roman" w:hAnsi="Times New Roman" w:eastAsia="宋体" w:cs="Times New Roman"/>
                <w:color w:val="auto"/>
                <w:szCs w:val="21"/>
                <w:highlight w:val="none"/>
              </w:rPr>
              <w:t>”。</w:t>
            </w:r>
          </w:p>
          <w:p w14:paraId="613CEA0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审查</w:t>
            </w:r>
            <w:r>
              <w:rPr>
                <w:rFonts w:hint="eastAsia" w:ascii="宋体" w:hAnsi="宋体" w:eastAsia="宋体" w:cs="宋体"/>
                <w:color w:val="auto"/>
                <w:szCs w:val="21"/>
                <w:highlight w:val="none"/>
              </w:rPr>
              <w:t>①</w:t>
            </w:r>
            <w:r>
              <w:rPr>
                <w:rFonts w:ascii="Times New Roman" w:hAnsi="Times New Roman" w:eastAsia="宋体" w:cs="Times New Roman"/>
                <w:color w:val="auto"/>
                <w:szCs w:val="21"/>
                <w:highlight w:val="none"/>
              </w:rPr>
              <w:t>或</w:t>
            </w:r>
            <w:r>
              <w:rPr>
                <w:rFonts w:hint="eastAsia" w:ascii="宋体" w:hAnsi="宋体" w:eastAsia="宋体" w:cs="宋体"/>
                <w:color w:val="auto"/>
                <w:szCs w:val="21"/>
                <w:highlight w:val="none"/>
              </w:rPr>
              <w:t>②</w:t>
            </w:r>
            <w:r>
              <w:rPr>
                <w:rFonts w:ascii="Times New Roman" w:hAnsi="Times New Roman" w:eastAsia="宋体" w:cs="Times New Roman"/>
                <w:color w:val="auto"/>
                <w:szCs w:val="21"/>
                <w:highlight w:val="none"/>
              </w:rPr>
              <w:t>，满足其一，即为符合要求。</w:t>
            </w:r>
          </w:p>
        </w:tc>
      </w:tr>
      <w:tr w14:paraId="43DA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6" w:type="dxa"/>
            <w:vMerge w:val="continue"/>
            <w:vAlign w:val="center"/>
          </w:tcPr>
          <w:p w14:paraId="45210E07">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color w:val="auto"/>
                <w:szCs w:val="21"/>
                <w:highlight w:val="none"/>
                <w:lang w:val="zh-CN"/>
              </w:rPr>
            </w:pPr>
          </w:p>
        </w:tc>
        <w:tc>
          <w:tcPr>
            <w:tcW w:w="1843" w:type="dxa"/>
            <w:vAlign w:val="center"/>
          </w:tcPr>
          <w:p w14:paraId="2023F87D">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lang w:val="zh-CN"/>
              </w:rPr>
              <w:t>（4）有依法缴纳税收和社会保障金的良好记录</w:t>
            </w:r>
          </w:p>
        </w:tc>
        <w:tc>
          <w:tcPr>
            <w:tcW w:w="6242" w:type="dxa"/>
          </w:tcPr>
          <w:p w14:paraId="1F009400">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宋体" w:cs="Times New Roman"/>
                <w:color w:val="auto"/>
                <w:szCs w:val="21"/>
                <w:highlight w:val="none"/>
              </w:rPr>
            </w:pPr>
            <w:r>
              <w:rPr>
                <w:rFonts w:hint="eastAsia" w:ascii="宋体" w:hAnsi="宋体" w:eastAsia="宋体" w:cs="宋体"/>
                <w:color w:val="auto"/>
                <w:szCs w:val="21"/>
                <w:highlight w:val="none"/>
              </w:rPr>
              <w:t>①</w:t>
            </w:r>
            <w:r>
              <w:rPr>
                <w:rFonts w:ascii="Times New Roman" w:hAnsi="Times New Roman" w:eastAsia="宋体" w:cs="Times New Roman"/>
                <w:color w:val="auto"/>
                <w:szCs w:val="21"/>
                <w:highlight w:val="none"/>
              </w:rPr>
              <w:t>审查投标截止时间前6个月内，</w:t>
            </w:r>
            <w:r>
              <w:rPr>
                <w:rFonts w:hint="eastAsia" w:ascii="Times New Roman" w:hAnsi="Times New Roman" w:eastAsia="宋体" w:cs="Times New Roman"/>
                <w:color w:val="auto"/>
                <w:szCs w:val="24"/>
                <w:highlight w:val="none"/>
              </w:rPr>
              <w:t>投标人</w:t>
            </w:r>
            <w:r>
              <w:rPr>
                <w:rFonts w:ascii="Times New Roman" w:hAnsi="Times New Roman" w:eastAsia="宋体" w:cs="Times New Roman"/>
                <w:color w:val="auto"/>
                <w:szCs w:val="24"/>
                <w:highlight w:val="none"/>
              </w:rPr>
              <w:t>任意</w:t>
            </w:r>
            <w:r>
              <w:rPr>
                <w:rFonts w:hint="eastAsia" w:ascii="Times New Roman" w:hAnsi="Times New Roman" w:eastAsia="宋体" w:cs="Times New Roman"/>
                <w:color w:val="auto"/>
                <w:szCs w:val="24"/>
                <w:highlight w:val="none"/>
              </w:rPr>
              <w:t>1个月</w:t>
            </w:r>
            <w:r>
              <w:rPr>
                <w:rFonts w:ascii="Times New Roman" w:hAnsi="Times New Roman" w:eastAsia="宋体" w:cs="Times New Roman"/>
                <w:color w:val="auto"/>
                <w:szCs w:val="21"/>
                <w:highlight w:val="none"/>
              </w:rPr>
              <w:t>依法缴纳税费证明复印件加盖</w:t>
            </w:r>
            <w:r>
              <w:rPr>
                <w:rFonts w:hint="eastAsia" w:ascii="Times New Roman" w:hAnsi="Times New Roman" w:eastAsia="宋体" w:cs="Times New Roman"/>
                <w:color w:val="auto"/>
                <w:szCs w:val="21"/>
                <w:highlight w:val="none"/>
              </w:rPr>
              <w:t>投标人电子签章</w:t>
            </w:r>
            <w:r>
              <w:rPr>
                <w:rFonts w:ascii="Times New Roman" w:hAnsi="Times New Roman" w:eastAsia="宋体" w:cs="Times New Roman"/>
                <w:color w:val="auto"/>
                <w:szCs w:val="21"/>
                <w:highlight w:val="none"/>
              </w:rPr>
              <w:t>。</w:t>
            </w:r>
          </w:p>
          <w:p w14:paraId="743A8D80">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宋体" w:cs="Times New Roman"/>
                <w:color w:val="auto"/>
                <w:szCs w:val="21"/>
                <w:highlight w:val="none"/>
              </w:rPr>
            </w:pPr>
            <w:r>
              <w:rPr>
                <w:rFonts w:hint="eastAsia" w:ascii="宋体" w:hAnsi="宋体" w:eastAsia="宋体" w:cs="宋体"/>
                <w:color w:val="auto"/>
                <w:szCs w:val="21"/>
                <w:highlight w:val="none"/>
              </w:rPr>
              <w:t>②</w:t>
            </w:r>
            <w:r>
              <w:rPr>
                <w:rFonts w:ascii="Times New Roman" w:hAnsi="Times New Roman" w:eastAsia="宋体" w:cs="Times New Roman"/>
                <w:color w:val="auto"/>
                <w:szCs w:val="21"/>
                <w:highlight w:val="none"/>
              </w:rPr>
              <w:t>审查投标截止时间前6个月内，</w:t>
            </w:r>
            <w:r>
              <w:rPr>
                <w:rFonts w:hint="eastAsia" w:ascii="Times New Roman" w:hAnsi="Times New Roman" w:eastAsia="宋体" w:cs="Times New Roman"/>
                <w:color w:val="auto"/>
                <w:szCs w:val="24"/>
                <w:highlight w:val="none"/>
              </w:rPr>
              <w:t>投标人</w:t>
            </w:r>
            <w:r>
              <w:rPr>
                <w:rFonts w:ascii="Times New Roman" w:hAnsi="Times New Roman" w:eastAsia="宋体" w:cs="Times New Roman"/>
                <w:color w:val="auto"/>
                <w:szCs w:val="24"/>
                <w:highlight w:val="none"/>
              </w:rPr>
              <w:t>任意</w:t>
            </w:r>
            <w:r>
              <w:rPr>
                <w:rFonts w:hint="eastAsia" w:ascii="Times New Roman" w:hAnsi="Times New Roman" w:eastAsia="宋体" w:cs="Times New Roman"/>
                <w:color w:val="auto"/>
                <w:szCs w:val="24"/>
                <w:highlight w:val="none"/>
              </w:rPr>
              <w:t>1个月</w:t>
            </w:r>
            <w:r>
              <w:rPr>
                <w:rFonts w:ascii="Times New Roman" w:hAnsi="Times New Roman" w:eastAsia="宋体" w:cs="Times New Roman"/>
                <w:color w:val="auto"/>
                <w:szCs w:val="21"/>
                <w:highlight w:val="none"/>
              </w:rPr>
              <w:t>的社保缴费证明记录复印件加盖</w:t>
            </w:r>
            <w:r>
              <w:rPr>
                <w:rFonts w:hint="eastAsia" w:ascii="Times New Roman" w:hAnsi="Times New Roman" w:eastAsia="宋体" w:cs="Times New Roman"/>
                <w:color w:val="auto"/>
                <w:szCs w:val="24"/>
                <w:highlight w:val="none"/>
              </w:rPr>
              <w:t>投标人</w:t>
            </w:r>
            <w:r>
              <w:rPr>
                <w:rFonts w:hint="eastAsia" w:ascii="Times New Roman" w:hAnsi="Times New Roman" w:eastAsia="宋体" w:cs="Times New Roman"/>
                <w:color w:val="auto"/>
                <w:szCs w:val="21"/>
                <w:highlight w:val="none"/>
              </w:rPr>
              <w:t>电子签章</w:t>
            </w:r>
            <w:r>
              <w:rPr>
                <w:rFonts w:ascii="Times New Roman" w:hAnsi="Times New Roman" w:eastAsia="宋体" w:cs="Times New Roman"/>
                <w:color w:val="auto"/>
                <w:szCs w:val="21"/>
                <w:highlight w:val="none"/>
              </w:rPr>
              <w:t>。</w:t>
            </w:r>
          </w:p>
          <w:p w14:paraId="05536EF9">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4"/>
                <w:highlight w:val="none"/>
              </w:rPr>
              <w:t>投标人</w:t>
            </w:r>
            <w:r>
              <w:rPr>
                <w:rFonts w:ascii="Times New Roman" w:hAnsi="Times New Roman" w:eastAsia="宋体" w:cs="Times New Roman"/>
                <w:color w:val="auto"/>
                <w:szCs w:val="21"/>
                <w:highlight w:val="none"/>
              </w:rPr>
              <w:t>成立不足</w:t>
            </w:r>
            <w:r>
              <w:rPr>
                <w:rFonts w:hint="eastAsia" w:ascii="Times New Roman" w:hAnsi="Times New Roman" w:eastAsia="宋体" w:cs="Times New Roman"/>
                <w:color w:val="auto"/>
                <w:szCs w:val="21"/>
                <w:highlight w:val="none"/>
              </w:rPr>
              <w:t>1个月的，无须提供</w:t>
            </w:r>
            <w:r>
              <w:rPr>
                <w:rFonts w:ascii="Times New Roman" w:hAnsi="Times New Roman" w:eastAsia="宋体" w:cs="Times New Roman"/>
                <w:color w:val="auto"/>
                <w:szCs w:val="21"/>
                <w:highlight w:val="none"/>
              </w:rPr>
              <w:t>缴纳税费证明及社保缴费证明加盖</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电子签章</w:t>
            </w:r>
            <w:r>
              <w:rPr>
                <w:rFonts w:hint="eastAsia" w:ascii="Times New Roman" w:hAnsi="Times New Roman" w:eastAsia="宋体" w:cs="Times New Roman"/>
                <w:color w:val="auto"/>
                <w:szCs w:val="21"/>
                <w:highlight w:val="none"/>
              </w:rPr>
              <w:t>。</w:t>
            </w:r>
          </w:p>
          <w:p w14:paraId="6CD50984">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依法免税或不需要缴纳社会保障资金的</w:t>
            </w:r>
            <w:r>
              <w:rPr>
                <w:rFonts w:hint="eastAsia" w:ascii="Times New Roman" w:hAnsi="Times New Roman" w:eastAsia="宋体" w:cs="Times New Roman"/>
                <w:color w:val="auto"/>
                <w:szCs w:val="24"/>
                <w:highlight w:val="none"/>
              </w:rPr>
              <w:t>投标人</w:t>
            </w:r>
            <w:r>
              <w:rPr>
                <w:rFonts w:ascii="Times New Roman" w:hAnsi="Times New Roman" w:eastAsia="宋体" w:cs="Times New Roman"/>
                <w:color w:val="auto"/>
                <w:szCs w:val="21"/>
                <w:highlight w:val="none"/>
              </w:rPr>
              <w:t>，须提供相应文件证明其依法免税或不需要缴纳社会保障资金。</w:t>
            </w:r>
          </w:p>
        </w:tc>
      </w:tr>
      <w:tr w14:paraId="6F33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6" w:type="dxa"/>
            <w:vMerge w:val="continue"/>
            <w:vAlign w:val="center"/>
          </w:tcPr>
          <w:p w14:paraId="431945EF">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color w:val="auto"/>
                <w:szCs w:val="21"/>
                <w:highlight w:val="none"/>
                <w:lang w:val="zh-CN"/>
              </w:rPr>
            </w:pPr>
          </w:p>
        </w:tc>
        <w:tc>
          <w:tcPr>
            <w:tcW w:w="1843" w:type="dxa"/>
            <w:vAlign w:val="center"/>
          </w:tcPr>
          <w:p w14:paraId="3B9CBF2F">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（5）参加政府采购活动前三年内，在经营活动中没有重大违法记录</w:t>
            </w:r>
            <w:r>
              <w:rPr>
                <w:rFonts w:hint="eastAsia" w:ascii="Times New Roman" w:hAnsi="Times New Roman" w:eastAsia="宋体" w:cs="Times New Roman"/>
                <w:color w:val="auto"/>
                <w:szCs w:val="21"/>
                <w:highlight w:val="none"/>
              </w:rPr>
              <w:t>。</w:t>
            </w:r>
          </w:p>
        </w:tc>
        <w:tc>
          <w:tcPr>
            <w:tcW w:w="6242" w:type="dxa"/>
            <w:vAlign w:val="center"/>
          </w:tcPr>
          <w:p w14:paraId="075F545B">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审查无重大违法记录声明。须提供，格式见第六章投标文件格式“投标声明书”。 </w:t>
            </w:r>
          </w:p>
        </w:tc>
      </w:tr>
      <w:tr w14:paraId="5503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6" w:type="dxa"/>
            <w:vMerge w:val="continue"/>
            <w:vAlign w:val="center"/>
          </w:tcPr>
          <w:p w14:paraId="32FA6F74">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color w:val="auto"/>
                <w:szCs w:val="21"/>
                <w:highlight w:val="none"/>
                <w:lang w:val="zh-CN"/>
              </w:rPr>
            </w:pPr>
          </w:p>
        </w:tc>
        <w:tc>
          <w:tcPr>
            <w:tcW w:w="1843" w:type="dxa"/>
            <w:vAlign w:val="center"/>
          </w:tcPr>
          <w:p w14:paraId="4C9274E7">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（6）具备法律、行政法规规定的其他要求</w:t>
            </w:r>
          </w:p>
        </w:tc>
        <w:tc>
          <w:tcPr>
            <w:tcW w:w="6242" w:type="dxa"/>
            <w:vAlign w:val="center"/>
          </w:tcPr>
          <w:p w14:paraId="299BB1DD">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无。</w:t>
            </w:r>
          </w:p>
        </w:tc>
      </w:tr>
      <w:tr w14:paraId="3683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6" w:type="dxa"/>
            <w:vAlign w:val="center"/>
          </w:tcPr>
          <w:p w14:paraId="75E217F0">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color w:val="auto"/>
                <w:szCs w:val="21"/>
                <w:highlight w:val="none"/>
                <w:lang w:val="zh-CN"/>
              </w:rPr>
            </w:pPr>
            <w:r>
              <w:rPr>
                <w:rFonts w:hint="eastAsia" w:ascii="Times New Roman" w:hAnsi="Times New Roman" w:eastAsia="宋体" w:cs="Times New Roman"/>
                <w:color w:val="auto"/>
                <w:kern w:val="0"/>
                <w:szCs w:val="21"/>
                <w:highlight w:val="none"/>
              </w:rPr>
              <w:t>采购政策</w:t>
            </w:r>
          </w:p>
        </w:tc>
        <w:tc>
          <w:tcPr>
            <w:tcW w:w="1843" w:type="dxa"/>
            <w:vAlign w:val="center"/>
          </w:tcPr>
          <w:p w14:paraId="7DBD4234">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落实政府采购政策需满足的资格要求</w:t>
            </w:r>
          </w:p>
        </w:tc>
        <w:tc>
          <w:tcPr>
            <w:tcW w:w="6242" w:type="dxa"/>
            <w:vAlign w:val="center"/>
          </w:tcPr>
          <w:p w14:paraId="60A1B402">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本项目不专门面向中小微企业</w:t>
            </w:r>
          </w:p>
        </w:tc>
      </w:tr>
      <w:tr w14:paraId="39BD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6" w:type="dxa"/>
            <w:vMerge w:val="restart"/>
            <w:vAlign w:val="center"/>
          </w:tcPr>
          <w:p w14:paraId="718F9584">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4"/>
                <w:highlight w:val="none"/>
              </w:rPr>
              <w:t>投标人</w:t>
            </w:r>
            <w:r>
              <w:rPr>
                <w:rFonts w:ascii="Times New Roman" w:hAnsi="Times New Roman" w:eastAsia="宋体" w:cs="Times New Roman"/>
                <w:color w:val="auto"/>
                <w:szCs w:val="21"/>
                <w:highlight w:val="none"/>
                <w:lang w:val="zh-CN"/>
              </w:rPr>
              <w:t>应符合的</w:t>
            </w:r>
            <w:r>
              <w:rPr>
                <w:rFonts w:ascii="Times New Roman" w:hAnsi="Times New Roman" w:eastAsia="宋体" w:cs="Times New Roman"/>
                <w:color w:val="auto"/>
                <w:szCs w:val="21"/>
                <w:highlight w:val="none"/>
              </w:rPr>
              <w:t>特定资格</w:t>
            </w:r>
            <w:r>
              <w:rPr>
                <w:rFonts w:hint="eastAsia" w:ascii="Times New Roman" w:hAnsi="Times New Roman" w:eastAsia="宋体" w:cs="Times New Roman"/>
                <w:color w:val="auto"/>
                <w:szCs w:val="21"/>
                <w:highlight w:val="none"/>
              </w:rPr>
              <w:t>要求</w:t>
            </w:r>
          </w:p>
        </w:tc>
        <w:tc>
          <w:tcPr>
            <w:tcW w:w="1843" w:type="dxa"/>
            <w:vAlign w:val="center"/>
          </w:tcPr>
          <w:p w14:paraId="2C67D0BB">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（1）资质</w:t>
            </w:r>
            <w:r>
              <w:rPr>
                <w:rFonts w:hint="eastAsia" w:ascii="Times New Roman" w:hAnsi="Times New Roman" w:eastAsia="宋体" w:cs="Times New Roman"/>
                <w:color w:val="auto"/>
                <w:szCs w:val="21"/>
                <w:highlight w:val="none"/>
              </w:rPr>
              <w:t>要求</w:t>
            </w:r>
          </w:p>
        </w:tc>
        <w:tc>
          <w:tcPr>
            <w:tcW w:w="6242" w:type="dxa"/>
            <w:vAlign w:val="center"/>
          </w:tcPr>
          <w:p w14:paraId="25BF5F7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须符合</w:t>
            </w:r>
            <w:r>
              <w:rPr>
                <w:rFonts w:hint="eastAsia" w:ascii="Times New Roman" w:hAnsi="Times New Roman" w:eastAsia="宋体" w:cs="Times New Roman"/>
                <w:color w:val="auto"/>
                <w:szCs w:val="21"/>
                <w:highlight w:val="none"/>
              </w:rPr>
              <w:t>“第一章招标公告”</w:t>
            </w:r>
            <w:r>
              <w:rPr>
                <w:rFonts w:ascii="Times New Roman" w:hAnsi="Times New Roman" w:eastAsia="宋体" w:cs="Times New Roman"/>
                <w:color w:val="auto"/>
                <w:szCs w:val="21"/>
                <w:highlight w:val="none"/>
              </w:rPr>
              <w:t>的要求</w:t>
            </w:r>
          </w:p>
        </w:tc>
      </w:tr>
      <w:tr w14:paraId="7D2AD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6" w:type="dxa"/>
            <w:vMerge w:val="continue"/>
            <w:vAlign w:val="center"/>
          </w:tcPr>
          <w:p w14:paraId="296C512C">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color w:val="auto"/>
                <w:szCs w:val="21"/>
                <w:highlight w:val="none"/>
              </w:rPr>
            </w:pPr>
          </w:p>
        </w:tc>
        <w:tc>
          <w:tcPr>
            <w:tcW w:w="1843" w:type="dxa"/>
            <w:vAlign w:val="center"/>
          </w:tcPr>
          <w:p w14:paraId="3B72CE44">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（2）业绩要求</w:t>
            </w:r>
          </w:p>
        </w:tc>
        <w:tc>
          <w:tcPr>
            <w:tcW w:w="6242" w:type="dxa"/>
            <w:vAlign w:val="center"/>
          </w:tcPr>
          <w:p w14:paraId="3E5FD2E8">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须符合</w:t>
            </w:r>
            <w:r>
              <w:rPr>
                <w:rFonts w:hint="eastAsia" w:ascii="Times New Roman" w:hAnsi="Times New Roman" w:eastAsia="宋体" w:cs="Times New Roman"/>
                <w:color w:val="auto"/>
                <w:szCs w:val="21"/>
                <w:highlight w:val="none"/>
              </w:rPr>
              <w:t>“第一章招标公告”</w:t>
            </w:r>
            <w:r>
              <w:rPr>
                <w:rFonts w:ascii="Times New Roman" w:hAnsi="Times New Roman" w:eastAsia="宋体" w:cs="Times New Roman"/>
                <w:color w:val="auto"/>
                <w:szCs w:val="21"/>
                <w:highlight w:val="none"/>
              </w:rPr>
              <w:t>的要求</w:t>
            </w:r>
          </w:p>
        </w:tc>
      </w:tr>
      <w:tr w14:paraId="06AA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6" w:type="dxa"/>
            <w:vMerge w:val="continue"/>
            <w:vAlign w:val="center"/>
          </w:tcPr>
          <w:p w14:paraId="708830E8">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宋体" w:cs="Times New Roman"/>
                <w:color w:val="auto"/>
                <w:szCs w:val="21"/>
                <w:highlight w:val="none"/>
              </w:rPr>
            </w:pPr>
          </w:p>
        </w:tc>
        <w:tc>
          <w:tcPr>
            <w:tcW w:w="1843" w:type="dxa"/>
            <w:vAlign w:val="center"/>
          </w:tcPr>
          <w:p w14:paraId="33C9317D">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3</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4"/>
                <w:highlight w:val="none"/>
              </w:rPr>
              <w:t>投标人</w:t>
            </w:r>
            <w:r>
              <w:rPr>
                <w:rFonts w:hint="eastAsia" w:ascii="Times New Roman" w:hAnsi="Times New Roman" w:eastAsia="宋体" w:cs="Times New Roman"/>
                <w:color w:val="auto"/>
                <w:szCs w:val="21"/>
                <w:highlight w:val="none"/>
              </w:rPr>
              <w:t>不得参加投标的情形</w:t>
            </w:r>
          </w:p>
        </w:tc>
        <w:tc>
          <w:tcPr>
            <w:tcW w:w="6242" w:type="dxa"/>
            <w:vAlign w:val="center"/>
          </w:tcPr>
          <w:p w14:paraId="487C4FF7">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单位负责人为同一人或者存在直接控股、管理关系的不同</w:t>
            </w:r>
            <w:r>
              <w:rPr>
                <w:rFonts w:hint="eastAsia" w:ascii="Times New Roman" w:hAnsi="Times New Roman" w:eastAsia="宋体" w:cs="Times New Roman"/>
                <w:color w:val="auto"/>
                <w:kern w:val="0"/>
                <w:szCs w:val="21"/>
                <w:highlight w:val="none"/>
              </w:rPr>
              <w:t>投标人</w:t>
            </w:r>
            <w:r>
              <w:rPr>
                <w:rFonts w:ascii="Times New Roman" w:hAnsi="Times New Roman" w:eastAsia="宋体" w:cs="Times New Roman"/>
                <w:color w:val="auto"/>
                <w:kern w:val="0"/>
                <w:szCs w:val="21"/>
                <w:highlight w:val="none"/>
              </w:rPr>
              <w:t>，不得参加本项目同一合同项下的政府采购活动。为本项目提供整体设计、规范编制或者项目管理、监理、检测等服务的</w:t>
            </w:r>
            <w:r>
              <w:rPr>
                <w:rFonts w:hint="eastAsia" w:ascii="Times New Roman" w:hAnsi="Times New Roman" w:eastAsia="宋体" w:cs="Times New Roman"/>
                <w:color w:val="auto"/>
                <w:szCs w:val="24"/>
                <w:highlight w:val="none"/>
              </w:rPr>
              <w:t>投标人</w:t>
            </w:r>
            <w:r>
              <w:rPr>
                <w:rFonts w:ascii="Times New Roman" w:hAnsi="Times New Roman" w:eastAsia="宋体" w:cs="Times New Roman"/>
                <w:color w:val="auto"/>
                <w:kern w:val="0"/>
                <w:szCs w:val="21"/>
                <w:highlight w:val="none"/>
              </w:rPr>
              <w:t>，不得再参加</w:t>
            </w:r>
            <w:r>
              <w:rPr>
                <w:rFonts w:hint="eastAsia" w:ascii="Times New Roman" w:hAnsi="Times New Roman" w:eastAsia="宋体" w:cs="Times New Roman"/>
                <w:color w:val="auto"/>
                <w:kern w:val="0"/>
                <w:szCs w:val="21"/>
                <w:highlight w:val="none"/>
              </w:rPr>
              <w:t>本</w:t>
            </w:r>
            <w:r>
              <w:rPr>
                <w:rFonts w:ascii="Times New Roman" w:hAnsi="Times New Roman" w:eastAsia="宋体" w:cs="Times New Roman"/>
                <w:color w:val="auto"/>
                <w:kern w:val="0"/>
                <w:szCs w:val="21"/>
                <w:highlight w:val="none"/>
              </w:rPr>
              <w:t>项目的采购活动。</w:t>
            </w:r>
          </w:p>
          <w:p w14:paraId="6414A27A">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须提供，格式见第六章投标文件格式“</w:t>
            </w:r>
            <w:r>
              <w:rPr>
                <w:rFonts w:hint="eastAsia" w:ascii="Times New Roman" w:hAnsi="Times New Roman" w:eastAsia="宋体" w:cs="Times New Roman"/>
                <w:color w:val="auto"/>
                <w:szCs w:val="21"/>
                <w:highlight w:val="none"/>
              </w:rPr>
              <w:t>投标人直接控股股东、管理关系信息表</w:t>
            </w:r>
            <w:r>
              <w:rPr>
                <w:rFonts w:ascii="Times New Roman" w:hAnsi="Times New Roman" w:eastAsia="宋体" w:cs="Times New Roman"/>
                <w:color w:val="auto"/>
                <w:szCs w:val="21"/>
                <w:highlight w:val="none"/>
              </w:rPr>
              <w:t>”。</w:t>
            </w:r>
          </w:p>
        </w:tc>
      </w:tr>
      <w:tr w14:paraId="0B45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6" w:type="dxa"/>
            <w:vMerge w:val="continue"/>
            <w:vAlign w:val="center"/>
          </w:tcPr>
          <w:p w14:paraId="4360B560">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宋体" w:cs="Times New Roman"/>
                <w:color w:val="auto"/>
                <w:kern w:val="0"/>
                <w:szCs w:val="21"/>
                <w:highlight w:val="none"/>
              </w:rPr>
            </w:pPr>
          </w:p>
        </w:tc>
        <w:tc>
          <w:tcPr>
            <w:tcW w:w="1843" w:type="dxa"/>
            <w:vAlign w:val="center"/>
          </w:tcPr>
          <w:p w14:paraId="701AFEE9">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4</w:t>
            </w:r>
            <w:r>
              <w:rPr>
                <w:rFonts w:hint="eastAsia" w:ascii="Times New Roman" w:hAnsi="Times New Roman" w:eastAsia="宋体" w:cs="Times New Roman"/>
                <w:color w:val="auto"/>
                <w:szCs w:val="21"/>
                <w:highlight w:val="none"/>
              </w:rPr>
              <w:t>）诚信要求</w:t>
            </w:r>
          </w:p>
        </w:tc>
        <w:tc>
          <w:tcPr>
            <w:tcW w:w="6242" w:type="dxa"/>
          </w:tcPr>
          <w:p w14:paraId="56B2251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失信被执行人、重大税收违法案件当事人名单、政府采购严重违法失信行为记录名单</w:t>
            </w:r>
            <w:r>
              <w:rPr>
                <w:rFonts w:ascii="Times New Roman" w:hAnsi="Times New Roman" w:eastAsia="宋体" w:cs="Times New Roman"/>
                <w:color w:val="auto"/>
                <w:kern w:val="0"/>
                <w:szCs w:val="21"/>
                <w:highlight w:val="none"/>
              </w:rPr>
              <w:t>。</w:t>
            </w:r>
          </w:p>
        </w:tc>
      </w:tr>
      <w:tr w14:paraId="6F3B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6" w:type="dxa"/>
            <w:vMerge w:val="continue"/>
            <w:vAlign w:val="center"/>
          </w:tcPr>
          <w:p w14:paraId="038AEB2A">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宋体" w:cs="Times New Roman"/>
                <w:color w:val="auto"/>
                <w:kern w:val="0"/>
                <w:szCs w:val="21"/>
                <w:highlight w:val="none"/>
              </w:rPr>
            </w:pPr>
          </w:p>
        </w:tc>
        <w:tc>
          <w:tcPr>
            <w:tcW w:w="1843" w:type="dxa"/>
            <w:vAlign w:val="center"/>
          </w:tcPr>
          <w:p w14:paraId="036C5BCA">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（5）分包</w:t>
            </w:r>
          </w:p>
        </w:tc>
        <w:tc>
          <w:tcPr>
            <w:tcW w:w="6242" w:type="dxa"/>
            <w:vAlign w:val="center"/>
          </w:tcPr>
          <w:p w14:paraId="6F0A0A54">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rPr>
              <w:t>须符合</w:t>
            </w:r>
            <w:r>
              <w:rPr>
                <w:rFonts w:hint="eastAsia" w:ascii="Times New Roman" w:hAnsi="Times New Roman" w:eastAsia="宋体" w:cs="Times New Roman"/>
                <w:color w:val="auto"/>
                <w:szCs w:val="21"/>
                <w:highlight w:val="none"/>
              </w:rPr>
              <w:t>“第一章招标公告”</w:t>
            </w:r>
            <w:r>
              <w:rPr>
                <w:rFonts w:ascii="Times New Roman" w:hAnsi="Times New Roman" w:eastAsia="宋体" w:cs="Times New Roman"/>
                <w:color w:val="auto"/>
                <w:szCs w:val="21"/>
                <w:highlight w:val="none"/>
              </w:rPr>
              <w:t>的要求</w:t>
            </w:r>
          </w:p>
        </w:tc>
      </w:tr>
      <w:tr w14:paraId="01B42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6" w:type="dxa"/>
            <w:vMerge w:val="continue"/>
            <w:vAlign w:val="center"/>
          </w:tcPr>
          <w:p w14:paraId="4CB9CB13">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宋体" w:cs="Times New Roman"/>
                <w:color w:val="auto"/>
                <w:kern w:val="0"/>
                <w:szCs w:val="21"/>
                <w:highlight w:val="none"/>
              </w:rPr>
            </w:pPr>
          </w:p>
        </w:tc>
        <w:tc>
          <w:tcPr>
            <w:tcW w:w="1843" w:type="dxa"/>
            <w:vAlign w:val="center"/>
          </w:tcPr>
          <w:p w14:paraId="0EB0798A">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（6）联合体</w:t>
            </w:r>
          </w:p>
        </w:tc>
        <w:tc>
          <w:tcPr>
            <w:tcW w:w="6242" w:type="dxa"/>
            <w:vAlign w:val="center"/>
          </w:tcPr>
          <w:p w14:paraId="23334A3F">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zh-CN"/>
              </w:rPr>
              <w:t>须符合“</w:t>
            </w:r>
            <w:r>
              <w:rPr>
                <w:rFonts w:hint="eastAsia" w:ascii="Times New Roman" w:hAnsi="Times New Roman" w:eastAsia="宋体" w:cs="Times New Roman"/>
                <w:color w:val="auto"/>
                <w:szCs w:val="21"/>
                <w:highlight w:val="none"/>
              </w:rPr>
              <w:t>第一章</w:t>
            </w:r>
            <w:r>
              <w:rPr>
                <w:rFonts w:hint="eastAsia" w:ascii="Times New Roman" w:hAnsi="Times New Roman" w:eastAsia="宋体" w:cs="Times New Roman"/>
                <w:color w:val="auto"/>
                <w:szCs w:val="21"/>
                <w:highlight w:val="none"/>
                <w:lang w:val="zh-CN"/>
              </w:rPr>
              <w:t>招标公告”的要求</w:t>
            </w:r>
          </w:p>
        </w:tc>
      </w:tr>
      <w:tr w14:paraId="7B0F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6" w:type="dxa"/>
            <w:vMerge w:val="continue"/>
            <w:vAlign w:val="center"/>
          </w:tcPr>
          <w:p w14:paraId="7716796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宋体" w:cs="Times New Roman"/>
                <w:color w:val="auto"/>
                <w:kern w:val="0"/>
                <w:szCs w:val="21"/>
                <w:highlight w:val="none"/>
              </w:rPr>
            </w:pPr>
          </w:p>
        </w:tc>
        <w:tc>
          <w:tcPr>
            <w:tcW w:w="1843" w:type="dxa"/>
            <w:vAlign w:val="center"/>
          </w:tcPr>
          <w:p w14:paraId="343C1B32">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（7）其他要求</w:t>
            </w:r>
          </w:p>
        </w:tc>
        <w:tc>
          <w:tcPr>
            <w:tcW w:w="6242" w:type="dxa"/>
            <w:vAlign w:val="center"/>
          </w:tcPr>
          <w:p w14:paraId="00EC0F2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按</w:t>
            </w:r>
            <w:r>
              <w:rPr>
                <w:rFonts w:ascii="Times New Roman" w:hAnsi="Times New Roman" w:eastAsia="宋体" w:cs="Times New Roman"/>
                <w:color w:val="auto"/>
                <w:kern w:val="0"/>
                <w:szCs w:val="21"/>
                <w:highlight w:val="none"/>
              </w:rPr>
              <w:t>照招标公告规定获得招标文件。</w:t>
            </w:r>
            <w:r>
              <w:rPr>
                <w:rFonts w:hint="eastAsia" w:ascii="Times New Roman" w:hAnsi="Times New Roman" w:eastAsia="宋体" w:cs="Times New Roman"/>
                <w:color w:val="auto"/>
                <w:kern w:val="0"/>
                <w:szCs w:val="21"/>
                <w:highlight w:val="none"/>
              </w:rPr>
              <w:t>足额、及时缴纳投标保证金。</w:t>
            </w:r>
          </w:p>
        </w:tc>
      </w:tr>
    </w:tbl>
    <w:p w14:paraId="0B52606F">
      <w:pPr>
        <w:spacing w:before="120" w:line="320" w:lineRule="atLeast"/>
        <w:ind w:firstLine="413" w:firstLineChars="196"/>
        <w:outlineLvl w:val="1"/>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kern w:val="0"/>
          <w:szCs w:val="21"/>
          <w:highlight w:val="none"/>
        </w:rPr>
        <w:t>3</w:t>
      </w:r>
      <w:r>
        <w:rPr>
          <w:rFonts w:hint="eastAsia" w:ascii="Times New Roman" w:hAnsi="Times New Roman" w:eastAsia="宋体" w:cs="Times New Roman"/>
          <w:b/>
          <w:bCs/>
          <w:color w:val="auto"/>
          <w:kern w:val="0"/>
          <w:szCs w:val="21"/>
          <w:highlight w:val="none"/>
        </w:rPr>
        <w:t>.</w:t>
      </w:r>
      <w:r>
        <w:rPr>
          <w:rFonts w:ascii="Times New Roman" w:hAnsi="Times New Roman" w:eastAsia="宋体" w:cs="Times New Roman"/>
          <w:b/>
          <w:bCs/>
          <w:color w:val="auto"/>
          <w:kern w:val="0"/>
          <w:szCs w:val="21"/>
          <w:highlight w:val="none"/>
        </w:rPr>
        <w:t>符合性审查</w:t>
      </w:r>
      <w:r>
        <w:rPr>
          <w:rFonts w:hint="eastAsia" w:ascii="Times New Roman" w:hAnsi="Times New Roman" w:eastAsia="宋体" w:cs="Times New Roman"/>
          <w:b/>
          <w:bCs/>
          <w:color w:val="auto"/>
          <w:kern w:val="0"/>
          <w:szCs w:val="21"/>
          <w:highlight w:val="none"/>
        </w:rPr>
        <w:t>标准（不满足任何一项审查内容要求，符合性审查即为不合格）</w:t>
      </w:r>
    </w:p>
    <w:tbl>
      <w:tblPr>
        <w:tblStyle w:val="43"/>
        <w:tblW w:w="88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322"/>
        <w:gridCol w:w="5061"/>
      </w:tblGrid>
      <w:tr w14:paraId="3CC2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5" w:type="dxa"/>
            <w:vAlign w:val="center"/>
          </w:tcPr>
          <w:p w14:paraId="724A31C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b/>
                <w:color w:val="auto"/>
                <w:kern w:val="0"/>
                <w:szCs w:val="21"/>
                <w:highlight w:val="none"/>
              </w:rPr>
            </w:pPr>
            <w:bookmarkStart w:id="88" w:name="_Hlk92966680"/>
            <w:r>
              <w:rPr>
                <w:rFonts w:hint="eastAsia" w:ascii="Times New Roman" w:hAnsi="Times New Roman" w:eastAsia="宋体" w:cs="Times New Roman"/>
                <w:b/>
                <w:color w:val="auto"/>
                <w:kern w:val="0"/>
                <w:szCs w:val="21"/>
                <w:highlight w:val="none"/>
              </w:rPr>
              <w:t>审查</w:t>
            </w:r>
            <w:r>
              <w:rPr>
                <w:rFonts w:ascii="Times New Roman" w:hAnsi="Times New Roman" w:eastAsia="宋体" w:cs="Times New Roman"/>
                <w:b/>
                <w:color w:val="auto"/>
                <w:kern w:val="0"/>
                <w:szCs w:val="21"/>
                <w:highlight w:val="none"/>
              </w:rPr>
              <w:t>因素</w:t>
            </w:r>
          </w:p>
        </w:tc>
        <w:tc>
          <w:tcPr>
            <w:tcW w:w="2322" w:type="dxa"/>
            <w:vAlign w:val="center"/>
          </w:tcPr>
          <w:p w14:paraId="2363922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b/>
                <w:color w:val="auto"/>
                <w:kern w:val="0"/>
                <w:szCs w:val="21"/>
                <w:highlight w:val="none"/>
              </w:rPr>
            </w:pPr>
            <w:r>
              <w:rPr>
                <w:rFonts w:hint="eastAsia" w:ascii="Times New Roman" w:hAnsi="Times New Roman" w:eastAsia="宋体" w:cs="Times New Roman"/>
                <w:b/>
                <w:color w:val="auto"/>
                <w:kern w:val="0"/>
                <w:szCs w:val="21"/>
                <w:highlight w:val="none"/>
              </w:rPr>
              <w:t>审查内容</w:t>
            </w:r>
          </w:p>
        </w:tc>
        <w:tc>
          <w:tcPr>
            <w:tcW w:w="5061" w:type="dxa"/>
          </w:tcPr>
          <w:p w14:paraId="3DE9CDB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b/>
                <w:color w:val="auto"/>
                <w:kern w:val="0"/>
                <w:szCs w:val="21"/>
                <w:highlight w:val="none"/>
              </w:rPr>
            </w:pPr>
          </w:p>
          <w:p w14:paraId="4D8685A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b/>
                <w:color w:val="auto"/>
                <w:kern w:val="0"/>
                <w:szCs w:val="21"/>
                <w:highlight w:val="none"/>
              </w:rPr>
            </w:pPr>
            <w:r>
              <w:rPr>
                <w:rFonts w:hint="eastAsia" w:ascii="Times New Roman" w:hAnsi="Times New Roman" w:eastAsia="宋体" w:cs="Times New Roman"/>
                <w:b/>
                <w:color w:val="auto"/>
                <w:kern w:val="0"/>
                <w:szCs w:val="21"/>
                <w:highlight w:val="none"/>
              </w:rPr>
              <w:t>说明</w:t>
            </w:r>
          </w:p>
        </w:tc>
      </w:tr>
      <w:tr w14:paraId="4295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5" w:type="dxa"/>
            <w:vMerge w:val="restart"/>
            <w:vAlign w:val="center"/>
          </w:tcPr>
          <w:p w14:paraId="045632D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商务资信</w:t>
            </w:r>
          </w:p>
        </w:tc>
        <w:tc>
          <w:tcPr>
            <w:tcW w:w="2322" w:type="dxa"/>
            <w:vAlign w:val="center"/>
          </w:tcPr>
          <w:p w14:paraId="79E950EC">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法定代表人身份证明及授权委托书</w:t>
            </w:r>
          </w:p>
        </w:tc>
        <w:tc>
          <w:tcPr>
            <w:tcW w:w="5061" w:type="dxa"/>
            <w:vAlign w:val="center"/>
          </w:tcPr>
          <w:p w14:paraId="06D26061">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授权</w:t>
            </w:r>
            <w:r>
              <w:rPr>
                <w:rFonts w:ascii="Times New Roman" w:hAnsi="Times New Roman" w:eastAsia="宋体" w:cs="Times New Roman"/>
                <w:color w:val="auto"/>
                <w:szCs w:val="21"/>
                <w:highlight w:val="none"/>
              </w:rPr>
              <w:t>代表</w:t>
            </w:r>
            <w:r>
              <w:rPr>
                <w:rFonts w:hint="eastAsia" w:ascii="Times New Roman" w:hAnsi="Times New Roman" w:eastAsia="宋体" w:cs="Times New Roman"/>
                <w:color w:val="auto"/>
                <w:szCs w:val="21"/>
                <w:highlight w:val="none"/>
              </w:rPr>
              <w:t>参加投标</w:t>
            </w:r>
            <w:r>
              <w:rPr>
                <w:rFonts w:ascii="Times New Roman" w:hAnsi="Times New Roman" w:eastAsia="宋体" w:cs="Times New Roman"/>
                <w:color w:val="auto"/>
                <w:szCs w:val="21"/>
                <w:highlight w:val="none"/>
              </w:rPr>
              <w:t>时审查</w:t>
            </w:r>
            <w:r>
              <w:rPr>
                <w:rFonts w:ascii="Times New Roman" w:hAnsi="Times New Roman" w:eastAsia="宋体" w:cs="Times New Roman"/>
                <w:color w:val="auto"/>
                <w:szCs w:val="24"/>
                <w:highlight w:val="none"/>
              </w:rPr>
              <w:t>：</w:t>
            </w:r>
            <w:r>
              <w:rPr>
                <w:rFonts w:ascii="宋体" w:hAnsi="宋体" w:eastAsia="宋体" w:cs="Times New Roman"/>
                <w:color w:val="auto"/>
                <w:szCs w:val="21"/>
                <w:highlight w:val="none"/>
              </w:rPr>
              <w:t>法定代表人授权委托书及附件</w:t>
            </w:r>
            <w:r>
              <w:rPr>
                <w:rFonts w:ascii="Times New Roman" w:hAnsi="Times New Roman" w:eastAsia="宋体" w:cs="Times New Roman"/>
                <w:color w:val="auto"/>
                <w:szCs w:val="21"/>
                <w:highlight w:val="none"/>
              </w:rPr>
              <w:t xml:space="preserve"> </w:t>
            </w:r>
          </w:p>
          <w:p w14:paraId="4FC8196B">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eastAsia="宋体" w:cs="Times New Roman"/>
                <w:color w:val="auto"/>
                <w:szCs w:val="21"/>
                <w:highlight w:val="none"/>
              </w:rPr>
            </w:pPr>
            <w:r>
              <w:rPr>
                <w:rFonts w:hint="eastAsia" w:ascii="Times New Roman" w:hAnsi="Times New Roman" w:eastAsia="宋体" w:cs="Times New Roman"/>
                <w:color w:val="auto"/>
                <w:szCs w:val="21"/>
                <w:highlight w:val="none"/>
              </w:rPr>
              <w:t>法定代表人直接参加投标</w:t>
            </w:r>
            <w:r>
              <w:rPr>
                <w:rFonts w:ascii="Times New Roman" w:hAnsi="Times New Roman" w:eastAsia="宋体" w:cs="Times New Roman"/>
                <w:color w:val="auto"/>
                <w:szCs w:val="21"/>
                <w:highlight w:val="none"/>
              </w:rPr>
              <w:t>时审查</w:t>
            </w:r>
            <w:r>
              <w:rPr>
                <w:rFonts w:ascii="Times New Roman" w:hAnsi="Times New Roman" w:eastAsia="宋体" w:cs="Times New Roman"/>
                <w:color w:val="auto"/>
                <w:szCs w:val="24"/>
                <w:highlight w:val="none"/>
              </w:rPr>
              <w:t>：</w:t>
            </w:r>
            <w:r>
              <w:rPr>
                <w:rFonts w:ascii="宋体" w:hAnsi="宋体" w:eastAsia="宋体" w:cs="Times New Roman"/>
                <w:color w:val="auto"/>
                <w:szCs w:val="21"/>
                <w:highlight w:val="none"/>
              </w:rPr>
              <w:t>法定代表人身份证明</w:t>
            </w:r>
            <w:r>
              <w:rPr>
                <w:rFonts w:hint="eastAsia" w:ascii="宋体" w:hAnsi="宋体" w:eastAsia="宋体" w:cs="Times New Roman"/>
                <w:color w:val="auto"/>
                <w:szCs w:val="21"/>
                <w:highlight w:val="none"/>
              </w:rPr>
              <w:t>及</w:t>
            </w:r>
            <w:r>
              <w:rPr>
                <w:rFonts w:ascii="宋体" w:hAnsi="宋体" w:eastAsia="宋体" w:cs="Times New Roman"/>
                <w:color w:val="auto"/>
                <w:szCs w:val="21"/>
                <w:highlight w:val="none"/>
              </w:rPr>
              <w:t>附件</w:t>
            </w:r>
          </w:p>
          <w:p w14:paraId="4A83EFD8">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color w:val="auto"/>
                <w:szCs w:val="24"/>
                <w:highlight w:val="none"/>
              </w:rPr>
            </w:pPr>
            <w:r>
              <w:rPr>
                <w:rFonts w:ascii="宋体" w:hAnsi="宋体" w:eastAsia="宋体" w:cs="Times New Roman"/>
                <w:color w:val="auto"/>
                <w:szCs w:val="21"/>
                <w:highlight w:val="none"/>
              </w:rPr>
              <w:t>格式及附件见第六章投标文件格式要求</w:t>
            </w:r>
          </w:p>
        </w:tc>
      </w:tr>
      <w:tr w14:paraId="2534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5" w:type="dxa"/>
            <w:vMerge w:val="continue"/>
            <w:vAlign w:val="center"/>
          </w:tcPr>
          <w:p w14:paraId="693BFA4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Cs w:val="21"/>
                <w:highlight w:val="none"/>
              </w:rPr>
            </w:pPr>
          </w:p>
        </w:tc>
        <w:tc>
          <w:tcPr>
            <w:tcW w:w="2322" w:type="dxa"/>
            <w:vAlign w:val="center"/>
          </w:tcPr>
          <w:p w14:paraId="3CFC5CDD">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实质性条款响应</w:t>
            </w:r>
          </w:p>
        </w:tc>
        <w:tc>
          <w:tcPr>
            <w:tcW w:w="5061" w:type="dxa"/>
            <w:vAlign w:val="center"/>
          </w:tcPr>
          <w:p w14:paraId="38836E8A">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color w:val="auto"/>
                <w:szCs w:val="21"/>
                <w:highlight w:val="none"/>
              </w:rPr>
            </w:pPr>
            <w:r>
              <w:rPr>
                <w:rFonts w:hint="eastAsia" w:ascii="宋体" w:hAnsi="宋体" w:eastAsia="宋体" w:cs="Times New Roman"/>
                <w:color w:val="auto"/>
                <w:szCs w:val="21"/>
                <w:highlight w:val="none"/>
              </w:rPr>
              <w:t>招标文件实质性要求响应均无负偏离</w:t>
            </w:r>
          </w:p>
        </w:tc>
      </w:tr>
      <w:tr w14:paraId="29CD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5" w:type="dxa"/>
            <w:vMerge w:val="continue"/>
            <w:vAlign w:val="center"/>
          </w:tcPr>
          <w:p w14:paraId="6A0548C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Cs w:val="21"/>
                <w:highlight w:val="none"/>
              </w:rPr>
            </w:pPr>
          </w:p>
        </w:tc>
        <w:tc>
          <w:tcPr>
            <w:tcW w:w="2322" w:type="dxa"/>
            <w:vAlign w:val="center"/>
          </w:tcPr>
          <w:p w14:paraId="67C6BC68">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串通投标</w:t>
            </w:r>
          </w:p>
        </w:tc>
        <w:tc>
          <w:tcPr>
            <w:tcW w:w="5061" w:type="dxa"/>
            <w:vAlign w:val="center"/>
          </w:tcPr>
          <w:p w14:paraId="4E36DD1D">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color w:val="auto"/>
                <w:szCs w:val="21"/>
                <w:highlight w:val="none"/>
              </w:rPr>
            </w:pPr>
            <w:r>
              <w:rPr>
                <w:rFonts w:hint="eastAsia" w:ascii="宋体" w:hAnsi="宋体" w:eastAsia="宋体" w:cs="Times New Roman"/>
                <w:color w:val="auto"/>
                <w:szCs w:val="21"/>
                <w:highlight w:val="none"/>
              </w:rPr>
              <w:t>不属于投标人须知正文第</w:t>
            </w:r>
            <w:r>
              <w:rPr>
                <w:rFonts w:ascii="宋体" w:hAnsi="宋体" w:eastAsia="宋体" w:cs="Times New Roman"/>
                <w:color w:val="auto"/>
                <w:szCs w:val="21"/>
                <w:highlight w:val="none"/>
              </w:rPr>
              <w:t>6</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3</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6</w:t>
            </w:r>
            <w:r>
              <w:rPr>
                <w:rFonts w:hint="eastAsia" w:ascii="宋体" w:hAnsi="宋体" w:eastAsia="宋体" w:cs="Times New Roman"/>
                <w:color w:val="auto"/>
                <w:szCs w:val="21"/>
                <w:highlight w:val="none"/>
              </w:rPr>
              <w:t>规定的串通投标情形，见</w:t>
            </w:r>
            <w:r>
              <w:rPr>
                <w:rFonts w:ascii="宋体" w:hAnsi="宋体" w:eastAsia="宋体" w:cs="Times New Roman"/>
                <w:color w:val="auto"/>
                <w:szCs w:val="21"/>
                <w:highlight w:val="none"/>
              </w:rPr>
              <w:t>第六章投标文件格式要求</w:t>
            </w:r>
          </w:p>
        </w:tc>
      </w:tr>
      <w:tr w14:paraId="4771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5" w:type="dxa"/>
            <w:vMerge w:val="restart"/>
            <w:vAlign w:val="center"/>
          </w:tcPr>
          <w:p w14:paraId="4AE624D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报价</w:t>
            </w:r>
          </w:p>
        </w:tc>
        <w:tc>
          <w:tcPr>
            <w:tcW w:w="2322" w:type="dxa"/>
            <w:vAlign w:val="center"/>
          </w:tcPr>
          <w:p w14:paraId="7A202857">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有效报价</w:t>
            </w:r>
          </w:p>
        </w:tc>
        <w:tc>
          <w:tcPr>
            <w:tcW w:w="5061" w:type="dxa"/>
            <w:vAlign w:val="center"/>
          </w:tcPr>
          <w:p w14:paraId="3EB88273">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color w:val="auto"/>
                <w:kern w:val="0"/>
                <w:szCs w:val="21"/>
                <w:highlight w:val="none"/>
              </w:rPr>
            </w:pPr>
            <w:r>
              <w:rPr>
                <w:rFonts w:hint="eastAsia" w:ascii="Times New Roman" w:hAnsi="Times New Roman" w:eastAsia="宋体" w:cs="Times New Roman"/>
                <w:color w:val="auto"/>
                <w:szCs w:val="24"/>
                <w:highlight w:val="none"/>
              </w:rPr>
              <w:t>报价未超出采购预算金额，也未超出最高限价（如有）</w:t>
            </w:r>
          </w:p>
        </w:tc>
      </w:tr>
      <w:tr w14:paraId="365F1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5" w:type="dxa"/>
            <w:vMerge w:val="continue"/>
            <w:vAlign w:val="center"/>
          </w:tcPr>
          <w:p w14:paraId="5E78CF8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Cs w:val="21"/>
                <w:highlight w:val="none"/>
              </w:rPr>
            </w:pPr>
          </w:p>
        </w:tc>
        <w:tc>
          <w:tcPr>
            <w:tcW w:w="2322" w:type="dxa"/>
            <w:vAlign w:val="center"/>
          </w:tcPr>
          <w:p w14:paraId="5BBF66DB">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漏项报价</w:t>
            </w:r>
          </w:p>
        </w:tc>
        <w:tc>
          <w:tcPr>
            <w:tcW w:w="5061" w:type="dxa"/>
            <w:vAlign w:val="center"/>
          </w:tcPr>
          <w:p w14:paraId="58D9CB74">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宋体" w:eastAsia="宋体" w:cs="Times New Roman"/>
                <w:color w:val="auto"/>
                <w:szCs w:val="21"/>
                <w:highlight w:val="none"/>
              </w:rPr>
            </w:pPr>
            <w:r>
              <w:rPr>
                <w:rFonts w:hint="eastAsia" w:ascii="宋体" w:hAnsi="宋体" w:eastAsia="宋体" w:cs="Times New Roman"/>
                <w:color w:val="auto"/>
                <w:szCs w:val="21"/>
                <w:highlight w:val="none"/>
              </w:rPr>
              <w:t>未就所投分标进行报价或者存在漏项报价；</w:t>
            </w:r>
          </w:p>
        </w:tc>
      </w:tr>
      <w:tr w14:paraId="14AF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5" w:type="dxa"/>
            <w:vMerge w:val="continue"/>
            <w:vAlign w:val="center"/>
          </w:tcPr>
          <w:p w14:paraId="780B1B9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Cs w:val="21"/>
                <w:highlight w:val="none"/>
              </w:rPr>
            </w:pPr>
          </w:p>
        </w:tc>
        <w:tc>
          <w:tcPr>
            <w:tcW w:w="2322" w:type="dxa"/>
            <w:vAlign w:val="center"/>
          </w:tcPr>
          <w:p w14:paraId="5D2F0B75">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投标报价唯一性</w:t>
            </w:r>
          </w:p>
        </w:tc>
        <w:tc>
          <w:tcPr>
            <w:tcW w:w="5061" w:type="dxa"/>
            <w:vAlign w:val="center"/>
          </w:tcPr>
          <w:p w14:paraId="70D774F9">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color w:val="auto"/>
                <w:szCs w:val="21"/>
                <w:highlight w:val="none"/>
              </w:rPr>
            </w:pPr>
            <w:r>
              <w:rPr>
                <w:rFonts w:hint="eastAsia" w:ascii="宋体" w:hAnsi="宋体" w:eastAsia="宋体" w:cs="Times New Roman"/>
                <w:color w:val="auto"/>
                <w:szCs w:val="21"/>
                <w:highlight w:val="none"/>
              </w:rPr>
              <w:t>不存在有选择、有条件报价（招标文件允许有备选方案或者其他约定的除外）</w:t>
            </w:r>
          </w:p>
        </w:tc>
      </w:tr>
      <w:tr w14:paraId="1AB6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5" w:type="dxa"/>
            <w:vMerge w:val="continue"/>
            <w:vAlign w:val="center"/>
          </w:tcPr>
          <w:p w14:paraId="2686525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Cs w:val="21"/>
                <w:highlight w:val="none"/>
              </w:rPr>
            </w:pPr>
          </w:p>
        </w:tc>
        <w:tc>
          <w:tcPr>
            <w:tcW w:w="2322" w:type="dxa"/>
            <w:vAlign w:val="center"/>
          </w:tcPr>
          <w:p w14:paraId="0A10F773">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color w:val="auto"/>
                <w:szCs w:val="21"/>
                <w:highlight w:val="none"/>
                <w:lang w:val="zh-CN"/>
              </w:rPr>
            </w:pPr>
            <w:r>
              <w:rPr>
                <w:rFonts w:hint="eastAsia" w:ascii="Times New Roman" w:hAnsi="Times New Roman" w:eastAsia="宋体" w:cs="Times New Roman"/>
                <w:color w:val="auto"/>
                <w:szCs w:val="21"/>
                <w:highlight w:val="none"/>
                <w:lang w:val="zh-CN"/>
              </w:rPr>
              <w:t>过低报价合理性</w:t>
            </w:r>
          </w:p>
        </w:tc>
        <w:tc>
          <w:tcPr>
            <w:tcW w:w="5061" w:type="dxa"/>
            <w:vAlign w:val="center"/>
          </w:tcPr>
          <w:p w14:paraId="47F19A38">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宋体" w:eastAsia="宋体" w:cs="Times New Roman"/>
                <w:color w:val="auto"/>
                <w:szCs w:val="21"/>
                <w:highlight w:val="none"/>
              </w:rPr>
            </w:pPr>
            <w:r>
              <w:rPr>
                <w:rFonts w:hint="eastAsia" w:ascii="宋体" w:hAnsi="宋体" w:eastAsia="宋体" w:cs="Times New Roman"/>
                <w:color w:val="auto"/>
                <w:szCs w:val="21"/>
                <w:highlight w:val="none"/>
              </w:rPr>
              <w:t>投标人</w:t>
            </w:r>
            <w:r>
              <w:rPr>
                <w:rFonts w:ascii="Times New Roman" w:hAnsi="Times New Roman" w:eastAsia="宋体" w:cs="Times New Roman"/>
                <w:color w:val="auto"/>
                <w:szCs w:val="24"/>
                <w:highlight w:val="none"/>
              </w:rPr>
              <w:t>的报价</w:t>
            </w:r>
            <w:r>
              <w:rPr>
                <w:rFonts w:hint="eastAsia" w:ascii="Times New Roman" w:hAnsi="Times New Roman" w:eastAsia="宋体" w:cs="Times New Roman"/>
                <w:color w:val="auto"/>
                <w:szCs w:val="24"/>
                <w:highlight w:val="none"/>
              </w:rPr>
              <w:t>不存在</w:t>
            </w:r>
            <w:r>
              <w:rPr>
                <w:rFonts w:ascii="Times New Roman" w:hAnsi="Times New Roman" w:eastAsia="宋体" w:cs="Times New Roman"/>
                <w:color w:val="auto"/>
                <w:szCs w:val="24"/>
                <w:highlight w:val="none"/>
              </w:rPr>
              <w:t>明显低于其他通过符合性审查</w:t>
            </w:r>
            <w:r>
              <w:rPr>
                <w:rFonts w:hint="eastAsia" w:ascii="宋体" w:hAnsi="宋体" w:eastAsia="宋体" w:cs="Times New Roman"/>
                <w:color w:val="auto"/>
                <w:szCs w:val="21"/>
                <w:highlight w:val="none"/>
              </w:rPr>
              <w:t>投标人</w:t>
            </w:r>
            <w:r>
              <w:rPr>
                <w:rFonts w:ascii="Times New Roman" w:hAnsi="Times New Roman" w:eastAsia="宋体" w:cs="Times New Roman"/>
                <w:color w:val="auto"/>
                <w:szCs w:val="24"/>
                <w:highlight w:val="none"/>
              </w:rPr>
              <w:t>报价</w:t>
            </w:r>
            <w:r>
              <w:rPr>
                <w:rFonts w:hint="eastAsia" w:ascii="Times New Roman" w:hAnsi="Times New Roman" w:eastAsia="宋体" w:cs="Times New Roman"/>
                <w:color w:val="auto"/>
                <w:szCs w:val="24"/>
                <w:highlight w:val="none"/>
              </w:rPr>
              <w:t>的情况</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并可能</w:t>
            </w:r>
            <w:r>
              <w:rPr>
                <w:rFonts w:ascii="Times New Roman" w:hAnsi="Times New Roman" w:eastAsia="宋体" w:cs="Times New Roman"/>
                <w:color w:val="auto"/>
                <w:szCs w:val="24"/>
                <w:highlight w:val="none"/>
              </w:rPr>
              <w:t>影响产品质量或者不能诚信履约</w:t>
            </w:r>
            <w:r>
              <w:rPr>
                <w:rFonts w:hint="eastAsia" w:ascii="Times New Roman" w:hAnsi="Times New Roman" w:eastAsia="宋体" w:cs="Times New Roman"/>
                <w:color w:val="auto"/>
                <w:szCs w:val="24"/>
                <w:highlight w:val="none"/>
              </w:rPr>
              <w:t>。</w:t>
            </w:r>
            <w:r>
              <w:rPr>
                <w:rFonts w:hint="eastAsia" w:ascii="Times New Roman" w:hAnsi="Times New Roman" w:eastAsia="宋体" w:cs="Times New Roman"/>
                <w:color w:val="auto"/>
                <w:szCs w:val="21"/>
                <w:highlight w:val="none"/>
              </w:rPr>
              <w:t>如存在应提供书面说明，必要时提交相关证明材料；</w:t>
            </w:r>
          </w:p>
        </w:tc>
      </w:tr>
      <w:tr w14:paraId="24D0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5" w:type="dxa"/>
            <w:vMerge w:val="continue"/>
            <w:vAlign w:val="center"/>
          </w:tcPr>
          <w:p w14:paraId="59E7B24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Cs w:val="21"/>
                <w:highlight w:val="none"/>
              </w:rPr>
            </w:pPr>
          </w:p>
        </w:tc>
        <w:tc>
          <w:tcPr>
            <w:tcW w:w="2322" w:type="dxa"/>
            <w:vAlign w:val="center"/>
          </w:tcPr>
          <w:p w14:paraId="28B04B7B">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eastAsia="宋体" w:cs="Times New Roman"/>
                <w:color w:val="auto"/>
                <w:szCs w:val="21"/>
                <w:highlight w:val="none"/>
              </w:rPr>
            </w:pPr>
            <w:r>
              <w:rPr>
                <w:rFonts w:hint="eastAsia" w:ascii="Times New Roman" w:hAnsi="Times New Roman" w:eastAsia="宋体" w:cs="Times New Roman"/>
                <w:color w:val="auto"/>
                <w:szCs w:val="21"/>
                <w:highlight w:val="none"/>
              </w:rPr>
              <w:t>投标有效期</w:t>
            </w:r>
          </w:p>
        </w:tc>
        <w:tc>
          <w:tcPr>
            <w:tcW w:w="5061" w:type="dxa"/>
            <w:vAlign w:val="center"/>
          </w:tcPr>
          <w:p w14:paraId="0E4C6BCD">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color w:val="auto"/>
                <w:szCs w:val="21"/>
                <w:highlight w:val="none"/>
              </w:rPr>
            </w:pPr>
            <w:r>
              <w:rPr>
                <w:rFonts w:hint="eastAsia" w:ascii="宋体" w:hAnsi="宋体" w:eastAsia="宋体" w:cs="Times New Roman"/>
                <w:color w:val="auto"/>
                <w:szCs w:val="21"/>
                <w:highlight w:val="none"/>
              </w:rPr>
              <w:t>满足招标文件规定</w:t>
            </w:r>
          </w:p>
        </w:tc>
      </w:tr>
      <w:bookmarkEnd w:id="88"/>
    </w:tbl>
    <w:p w14:paraId="692DD78A">
      <w:pPr>
        <w:spacing w:before="120" w:line="320" w:lineRule="atLeast"/>
        <w:outlineLvl w:val="1"/>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kern w:val="0"/>
          <w:szCs w:val="21"/>
          <w:highlight w:val="none"/>
        </w:rPr>
        <w:br w:type="page"/>
      </w:r>
      <w:r>
        <w:rPr>
          <w:rFonts w:ascii="Times New Roman" w:hAnsi="Times New Roman" w:eastAsia="宋体" w:cs="Times New Roman"/>
          <w:b/>
          <w:bCs/>
          <w:color w:val="auto"/>
          <w:kern w:val="0"/>
          <w:szCs w:val="21"/>
          <w:highlight w:val="none"/>
        </w:rPr>
        <w:t>4.</w:t>
      </w:r>
      <w:r>
        <w:rPr>
          <w:rFonts w:hint="eastAsia" w:ascii="Times New Roman" w:hAnsi="Times New Roman" w:eastAsia="宋体" w:cs="Times New Roman"/>
          <w:b/>
          <w:bCs/>
          <w:color w:val="auto"/>
          <w:kern w:val="0"/>
          <w:szCs w:val="21"/>
          <w:highlight w:val="none"/>
        </w:rPr>
        <w:t>评分</w:t>
      </w:r>
      <w:r>
        <w:rPr>
          <w:rFonts w:ascii="Times New Roman" w:hAnsi="Times New Roman" w:eastAsia="宋体" w:cs="Times New Roman"/>
          <w:b/>
          <w:bCs/>
          <w:color w:val="auto"/>
          <w:kern w:val="0"/>
          <w:szCs w:val="21"/>
          <w:highlight w:val="none"/>
        </w:rPr>
        <w:t>标准</w:t>
      </w:r>
    </w:p>
    <w:tbl>
      <w:tblPr>
        <w:tblStyle w:val="43"/>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709"/>
        <w:gridCol w:w="850"/>
        <w:gridCol w:w="6096"/>
        <w:gridCol w:w="54"/>
        <w:gridCol w:w="851"/>
      </w:tblGrid>
      <w:tr w14:paraId="01E9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39FE0F60">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序号</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4CEC45">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评审因素</w:t>
            </w:r>
          </w:p>
        </w:tc>
        <w:tc>
          <w:tcPr>
            <w:tcW w:w="6096" w:type="dxa"/>
            <w:tcBorders>
              <w:top w:val="single" w:color="auto" w:sz="4" w:space="0"/>
              <w:left w:val="single" w:color="auto" w:sz="4" w:space="0"/>
              <w:bottom w:val="single" w:color="auto" w:sz="4" w:space="0"/>
              <w:right w:val="single" w:color="auto" w:sz="4" w:space="0"/>
            </w:tcBorders>
            <w:shd w:val="clear" w:color="auto" w:fill="auto"/>
            <w:vAlign w:val="center"/>
          </w:tcPr>
          <w:p w14:paraId="48A91126">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评审因素具体内容</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3B0B19">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分值</w:t>
            </w:r>
          </w:p>
        </w:tc>
      </w:tr>
      <w:tr w14:paraId="6BCAE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76896736">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E8AD13">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价格分</w:t>
            </w:r>
          </w:p>
          <w:p w14:paraId="2BBB30F8">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（满分30分）</w:t>
            </w:r>
          </w:p>
        </w:tc>
        <w:tc>
          <w:tcPr>
            <w:tcW w:w="6096" w:type="dxa"/>
            <w:tcBorders>
              <w:top w:val="single" w:color="auto" w:sz="4" w:space="0"/>
              <w:left w:val="single" w:color="auto" w:sz="4" w:space="0"/>
              <w:bottom w:val="single" w:color="auto" w:sz="4" w:space="0"/>
              <w:right w:val="single" w:color="auto" w:sz="4" w:space="0"/>
            </w:tcBorders>
            <w:shd w:val="clear" w:color="auto" w:fill="auto"/>
          </w:tcPr>
          <w:p w14:paraId="384655D2">
            <w:pPr>
              <w:keepNext w:val="0"/>
              <w:keepLines w:val="0"/>
              <w:pageBreakBefore w:val="0"/>
              <w:kinsoku/>
              <w:wordWrap/>
              <w:overflowPunct/>
              <w:topLinePunct w:val="0"/>
              <w:autoSpaceDE/>
              <w:autoSpaceDN/>
              <w:bidi w:val="0"/>
              <w:snapToGrid w:val="0"/>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bidi="ar"/>
              </w:rPr>
              <w:t>（1）评标报价</w:t>
            </w:r>
            <w:r>
              <w:rPr>
                <w:rFonts w:hint="eastAsia" w:ascii="宋体" w:hAnsi="宋体" w:eastAsia="宋体" w:cs="宋体"/>
                <w:color w:val="auto"/>
                <w:szCs w:val="21"/>
                <w:highlight w:val="none"/>
                <w:lang w:bidi="ar"/>
              </w:rPr>
              <w:t>为投标人的投标报价进行政策性扣除后的价格，评标报价只是作为评标时使用。最终中标人的中标金额等于投标报价（如有修正，以确认修正后的投标报价为准）。</w:t>
            </w:r>
          </w:p>
          <w:p w14:paraId="39CBE1E4">
            <w:pPr>
              <w:pStyle w:val="24"/>
              <w:keepNext w:val="0"/>
              <w:keepLines w:val="0"/>
              <w:pageBreakBefore w:val="0"/>
              <w:widowControl/>
              <w:kinsoku/>
              <w:wordWrap/>
              <w:overflowPunct/>
              <w:topLinePunct w:val="0"/>
              <w:autoSpaceDE/>
              <w:autoSpaceDN/>
              <w:bidi w:val="0"/>
              <w:snapToGrid w:val="0"/>
              <w:spacing w:line="24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highlight w:val="none"/>
              </w:rPr>
              <w:t>（2）政府采购政策性扣除计算方法</w:t>
            </w:r>
          </w:p>
          <w:p w14:paraId="730E9D48">
            <w:pPr>
              <w:keepNext w:val="0"/>
              <w:keepLines w:val="0"/>
              <w:pageBreakBefore w:val="0"/>
              <w:kinsoku/>
              <w:wordWrap/>
              <w:overflowPunct/>
              <w:topLinePunct w:val="0"/>
              <w:autoSpaceDE/>
              <w:autoSpaceDN/>
              <w:bidi w:val="0"/>
              <w:snapToGrid w:val="0"/>
              <w:spacing w:line="24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根据《政府采购促进中小企业发展管理办法》（财库〔2020〕46号）的规定，投标人在其投标文件中提供《中小企业声明函》，且服务全部由小微企业承接，对投标人的投标报价给予20%的扣除，扣除后的价格为评标报价，即评标报价=（1-折扣率）×（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bCs/>
                <w:color w:val="auto"/>
                <w:szCs w:val="21"/>
                <w:highlight w:val="none"/>
                <w:u w:val="single"/>
                <w:lang w:bidi="ar"/>
              </w:rPr>
              <w:t xml:space="preserve"> 6% </w:t>
            </w:r>
            <w:r>
              <w:rPr>
                <w:rFonts w:hint="eastAsia" w:ascii="宋体" w:hAnsi="宋体" w:eastAsia="宋体" w:cs="宋体"/>
                <w:bCs/>
                <w:color w:val="auto"/>
                <w:szCs w:val="21"/>
                <w:highlight w:val="none"/>
                <w:lang w:bidi="ar"/>
              </w:rPr>
              <w:t>的扣除，用扣除后的价格参加评标，扣除后的价格为评标报价，即评标报价=（1-折扣率）×（1-</w:t>
            </w:r>
            <w:r>
              <w:rPr>
                <w:rFonts w:hint="eastAsia" w:ascii="宋体" w:hAnsi="宋体" w:eastAsia="宋体" w:cs="宋体"/>
                <w:bCs/>
                <w:color w:val="auto"/>
                <w:szCs w:val="21"/>
                <w:highlight w:val="none"/>
                <w:u w:val="single"/>
                <w:lang w:bidi="ar"/>
              </w:rPr>
              <w:t xml:space="preserve"> 6 </w:t>
            </w:r>
            <w:r>
              <w:rPr>
                <w:rFonts w:hint="eastAsia" w:ascii="宋体" w:hAnsi="宋体" w:eastAsia="宋体" w:cs="宋体"/>
                <w:bCs/>
                <w:color w:val="auto"/>
                <w:szCs w:val="21"/>
                <w:highlight w:val="none"/>
                <w:lang w:bidi="ar"/>
              </w:rPr>
              <w:t>%）。除上述情况外，评标报价=（1-折扣率）。</w:t>
            </w:r>
          </w:p>
          <w:p w14:paraId="2A16665F">
            <w:pPr>
              <w:keepNext w:val="0"/>
              <w:keepLines w:val="0"/>
              <w:pageBreakBefore w:val="0"/>
              <w:kinsoku/>
              <w:wordWrap/>
              <w:overflowPunct/>
              <w:topLinePunct w:val="0"/>
              <w:autoSpaceDE/>
              <w:autoSpaceDN/>
              <w:bidi w:val="0"/>
              <w:snapToGrid w:val="0"/>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eastAsia="宋体" w:cs="宋体"/>
                <w:bCs/>
                <w:color w:val="auto"/>
                <w:szCs w:val="21"/>
                <w:highlight w:val="none"/>
                <w:lang w:bidi="ar"/>
              </w:rPr>
              <w:t>监狱企业属于小型、微型企业的，</w:t>
            </w:r>
            <w:r>
              <w:rPr>
                <w:rFonts w:hint="eastAsia" w:ascii="宋体" w:hAnsi="宋体" w:eastAsia="宋体" w:cs="宋体"/>
                <w:color w:val="auto"/>
                <w:szCs w:val="21"/>
                <w:highlight w:val="none"/>
                <w:lang w:bidi="ar"/>
              </w:rPr>
              <w:t>不重复享受政策。</w:t>
            </w:r>
          </w:p>
          <w:p w14:paraId="29DA8DBA">
            <w:pPr>
              <w:keepNext w:val="0"/>
              <w:keepLines w:val="0"/>
              <w:pageBreakBefore w:val="0"/>
              <w:kinsoku/>
              <w:wordWrap/>
              <w:overflowPunct/>
              <w:topLinePunct w:val="0"/>
              <w:autoSpaceDE/>
              <w:autoSpaceDN/>
              <w:bidi w:val="0"/>
              <w:snapToGrid w:val="0"/>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BB54026">
            <w:pPr>
              <w:pStyle w:val="24"/>
              <w:keepNext w:val="0"/>
              <w:keepLines w:val="0"/>
              <w:pageBreakBefore w:val="0"/>
              <w:widowControl/>
              <w:kinsoku/>
              <w:wordWrap/>
              <w:overflowPunct/>
              <w:topLinePunct w:val="0"/>
              <w:autoSpaceDE/>
              <w:autoSpaceDN/>
              <w:bidi w:val="0"/>
              <w:snapToGrid w:val="0"/>
              <w:spacing w:line="24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(5) 本项目报价采用折扣率报价，由投标人根据市场价格及自我承受能力按折扣率进行报价，报价的有效范围：0%&lt;折扣率≤100%。</w:t>
            </w:r>
          </w:p>
          <w:p w14:paraId="6A0ADF01">
            <w:pPr>
              <w:pStyle w:val="24"/>
              <w:keepNext w:val="0"/>
              <w:keepLines w:val="0"/>
              <w:pageBreakBefore w:val="0"/>
              <w:widowControl/>
              <w:kinsoku/>
              <w:wordWrap/>
              <w:overflowPunct/>
              <w:topLinePunct w:val="0"/>
              <w:autoSpaceDE/>
              <w:autoSpaceDN/>
              <w:bidi w:val="0"/>
              <w:snapToGrid w:val="0"/>
              <w:spacing w:line="24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（6）以进入比较与评价环节的最低的</w:t>
            </w:r>
            <w:r>
              <w:rPr>
                <w:rFonts w:hint="eastAsia" w:ascii="宋体" w:hAnsi="宋体" w:eastAsia="宋体" w:cs="宋体"/>
                <w:bCs/>
                <w:color w:val="auto"/>
                <w:highlight w:val="none"/>
                <w:lang w:bidi="ar"/>
              </w:rPr>
              <w:t>评标报价</w:t>
            </w:r>
            <w:r>
              <w:rPr>
                <w:rFonts w:hint="eastAsia" w:ascii="宋体" w:hAnsi="宋体" w:eastAsia="宋体" w:cs="宋体"/>
                <w:bCs/>
                <w:color w:val="auto"/>
                <w:highlight w:val="none"/>
              </w:rPr>
              <w:t>为基准价，基准价得分为</w:t>
            </w:r>
            <w:r>
              <w:rPr>
                <w:rFonts w:hint="eastAsia" w:ascii="宋体" w:hAnsi="宋体" w:eastAsia="宋体" w:cs="宋体"/>
                <w:bCs/>
                <w:color w:val="auto"/>
                <w:highlight w:val="none"/>
                <w:u w:val="none"/>
              </w:rPr>
              <w:t xml:space="preserve"> 30分</w:t>
            </w:r>
            <w:r>
              <w:rPr>
                <w:rFonts w:hint="eastAsia" w:ascii="宋体" w:hAnsi="宋体" w:eastAsia="宋体" w:cs="宋体"/>
                <w:bCs/>
                <w:color w:val="auto"/>
                <w:highlight w:val="none"/>
              </w:rPr>
              <w:t>。</w:t>
            </w:r>
          </w:p>
          <w:p w14:paraId="456D7D0C">
            <w:pPr>
              <w:pStyle w:val="24"/>
              <w:keepNext w:val="0"/>
              <w:keepLines w:val="0"/>
              <w:pageBreakBefore w:val="0"/>
              <w:widowControl/>
              <w:kinsoku/>
              <w:wordWrap/>
              <w:overflowPunct/>
              <w:topLinePunct w:val="0"/>
              <w:autoSpaceDE/>
              <w:autoSpaceDN/>
              <w:bidi w:val="0"/>
              <w:snapToGrid w:val="0"/>
              <w:spacing w:line="24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（7）价格分计算公式：</w:t>
            </w:r>
          </w:p>
          <w:p w14:paraId="039306B8">
            <w:pPr>
              <w:pStyle w:val="24"/>
              <w:keepNext w:val="0"/>
              <w:keepLines w:val="0"/>
              <w:pageBreakBefore w:val="0"/>
              <w:widowControl/>
              <w:kinsoku/>
              <w:wordWrap/>
              <w:overflowPunct/>
              <w:topLinePunct w:val="0"/>
              <w:autoSpaceDE/>
              <w:autoSpaceDN/>
              <w:bidi w:val="0"/>
              <w:snapToGrid w:val="0"/>
              <w:spacing w:line="24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报价得分=（基准价/</w:t>
            </w:r>
            <w:r>
              <w:rPr>
                <w:rFonts w:hint="eastAsia" w:ascii="宋体" w:hAnsi="宋体" w:eastAsia="宋体" w:cs="宋体"/>
                <w:color w:val="auto"/>
                <w:spacing w:val="11"/>
                <w:highlight w:val="none"/>
              </w:rPr>
              <w:t>评标报价</w:t>
            </w:r>
            <w:r>
              <w:rPr>
                <w:rFonts w:hint="eastAsia" w:ascii="宋体" w:hAnsi="宋体" w:eastAsia="宋体" w:cs="宋体"/>
                <w:bCs/>
                <w:color w:val="auto"/>
                <w:highlight w:val="none"/>
              </w:rPr>
              <w:t>）×</w:t>
            </w:r>
            <w:r>
              <w:rPr>
                <w:rFonts w:hint="eastAsia" w:ascii="宋体" w:hAnsi="宋体" w:eastAsia="宋体" w:cs="宋体"/>
                <w:bCs/>
                <w:color w:val="auto"/>
                <w:highlight w:val="none"/>
                <w:u w:val="none"/>
              </w:rPr>
              <w:t xml:space="preserve"> 30 分</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134EB8">
            <w:pPr>
              <w:pStyle w:val="24"/>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color w:val="auto"/>
                <w:highlight w:val="none"/>
              </w:rPr>
            </w:pPr>
            <w:r>
              <w:rPr>
                <w:rFonts w:hint="eastAsia" w:ascii="宋体" w:hAnsi="宋体" w:eastAsia="宋体" w:cs="宋体"/>
                <w:bCs/>
                <w:color w:val="auto"/>
                <w:highlight w:val="none"/>
              </w:rPr>
              <w:t>30分</w:t>
            </w:r>
          </w:p>
        </w:tc>
      </w:tr>
      <w:tr w14:paraId="397B9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25BFE483">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bidi="ar"/>
              </w:rPr>
              <w:t>2</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58A0A4">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bidi="ar"/>
              </w:rPr>
              <w:t>技术分</w:t>
            </w:r>
          </w:p>
        </w:tc>
        <w:tc>
          <w:tcPr>
            <w:tcW w:w="7001" w:type="dxa"/>
            <w:gridSpan w:val="3"/>
            <w:tcBorders>
              <w:top w:val="single" w:color="auto" w:sz="4" w:space="0"/>
              <w:left w:val="single" w:color="auto" w:sz="4" w:space="0"/>
              <w:bottom w:val="single" w:color="auto" w:sz="4" w:space="0"/>
              <w:right w:val="single" w:color="auto" w:sz="4" w:space="0"/>
            </w:tcBorders>
            <w:shd w:val="clear" w:color="auto" w:fill="auto"/>
          </w:tcPr>
          <w:p w14:paraId="296E9200">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评审因素</w:t>
            </w:r>
          </w:p>
        </w:tc>
      </w:tr>
      <w:tr w14:paraId="13DDD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7EC276">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center"/>
              <w:textAlignment w:val="baseline"/>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2.1</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C0909F">
            <w:pPr>
              <w:keepNext w:val="0"/>
              <w:keepLines w:val="0"/>
              <w:pageBreakBefore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服务方案分</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E52F536">
            <w:pPr>
              <w:keepNext w:val="0"/>
              <w:keepLines w:val="0"/>
              <w:pageBreakBefore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 xml:space="preserve">2.1.1企业管理制度分 </w:t>
            </w:r>
          </w:p>
        </w:tc>
        <w:tc>
          <w:tcPr>
            <w:tcW w:w="6096" w:type="dxa"/>
            <w:tcBorders>
              <w:top w:val="single" w:color="auto" w:sz="4" w:space="0"/>
              <w:left w:val="single" w:color="auto" w:sz="4" w:space="0"/>
              <w:bottom w:val="single" w:color="auto" w:sz="4" w:space="0"/>
              <w:right w:val="single" w:color="auto" w:sz="4" w:space="0"/>
            </w:tcBorders>
            <w:shd w:val="clear" w:color="auto" w:fill="auto"/>
            <w:vAlign w:val="center"/>
          </w:tcPr>
          <w:p w14:paraId="40247F0B">
            <w:pPr>
              <w:pStyle w:val="24"/>
              <w:keepNext w:val="0"/>
              <w:keepLines w:val="0"/>
              <w:pageBreakBefore w:val="0"/>
              <w:widowControl/>
              <w:kinsoku/>
              <w:wordWrap/>
              <w:overflowPunct/>
              <w:topLinePunct w:val="0"/>
              <w:autoSpaceDE/>
              <w:autoSpaceDN/>
              <w:bidi w:val="0"/>
              <w:snapToGrid w:val="0"/>
              <w:spacing w:line="240" w:lineRule="auto"/>
              <w:ind w:firstLine="210" w:firstLineChars="100"/>
              <w:jc w:val="left"/>
              <w:rPr>
                <w:rFonts w:hint="eastAsia" w:ascii="宋体" w:hAnsi="宋体" w:eastAsia="宋体" w:cs="宋体"/>
                <w:bCs/>
                <w:color w:val="auto"/>
                <w:highlight w:val="none"/>
              </w:rPr>
            </w:pPr>
            <w:r>
              <w:rPr>
                <w:rFonts w:hint="eastAsia" w:ascii="宋体" w:hAnsi="宋体" w:eastAsia="宋体" w:cs="宋体"/>
                <w:bCs/>
                <w:color w:val="auto"/>
                <w:highlight w:val="none"/>
              </w:rPr>
              <w:t>一档（3分）：投标人企业内部管理制度简单，无驾驶员管理、车辆维护管理等相关制度或制度不完善；</w:t>
            </w:r>
          </w:p>
          <w:p w14:paraId="7B7E4CA0">
            <w:pPr>
              <w:pStyle w:val="24"/>
              <w:keepNext w:val="0"/>
              <w:keepLines w:val="0"/>
              <w:pageBreakBefore w:val="0"/>
              <w:widowControl/>
              <w:kinsoku/>
              <w:wordWrap/>
              <w:overflowPunct/>
              <w:topLinePunct w:val="0"/>
              <w:autoSpaceDE/>
              <w:autoSpaceDN/>
              <w:bidi w:val="0"/>
              <w:snapToGrid w:val="0"/>
              <w:spacing w:line="240" w:lineRule="auto"/>
              <w:ind w:firstLine="210" w:firstLineChars="100"/>
              <w:jc w:val="left"/>
              <w:rPr>
                <w:rFonts w:hint="eastAsia" w:ascii="宋体" w:hAnsi="宋体" w:eastAsia="宋体" w:cs="宋体"/>
                <w:bCs/>
                <w:color w:val="auto"/>
                <w:highlight w:val="none"/>
              </w:rPr>
            </w:pPr>
            <w:r>
              <w:rPr>
                <w:rFonts w:hint="eastAsia" w:ascii="宋体" w:hAnsi="宋体" w:eastAsia="宋体" w:cs="宋体"/>
                <w:bCs/>
                <w:color w:val="auto"/>
                <w:highlight w:val="none"/>
              </w:rPr>
              <w:t>二档（7分）：投标人企业内部管理制度比较完善，有相应的安全管理、服务质量管理、驾驶员管理、车辆维护管理，每部分内容完整且切合项目管理，利于实施；</w:t>
            </w:r>
          </w:p>
          <w:p w14:paraId="65B22212">
            <w:pPr>
              <w:pStyle w:val="24"/>
              <w:keepNext w:val="0"/>
              <w:keepLines w:val="0"/>
              <w:pageBreakBefore w:val="0"/>
              <w:widowControl/>
              <w:kinsoku/>
              <w:wordWrap/>
              <w:overflowPunct/>
              <w:topLinePunct w:val="0"/>
              <w:autoSpaceDE/>
              <w:autoSpaceDN/>
              <w:bidi w:val="0"/>
              <w:snapToGrid w:val="0"/>
              <w:spacing w:line="240" w:lineRule="auto"/>
              <w:ind w:firstLine="210" w:firstLineChars="100"/>
              <w:jc w:val="left"/>
              <w:rPr>
                <w:rFonts w:hint="eastAsia" w:ascii="宋体" w:hAnsi="宋体" w:eastAsia="宋体" w:cs="宋体"/>
                <w:bCs/>
                <w:color w:val="auto"/>
                <w:highlight w:val="none"/>
              </w:rPr>
            </w:pPr>
            <w:r>
              <w:rPr>
                <w:rFonts w:hint="eastAsia" w:ascii="宋体" w:hAnsi="宋体" w:eastAsia="宋体" w:cs="宋体"/>
                <w:bCs/>
                <w:color w:val="auto"/>
                <w:highlight w:val="none"/>
              </w:rPr>
              <w:t>三档（10分）：在满足二档基础上，各项管理制度严谨规范，且能够提供有利于采购人的优化服务措施。</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E70167">
            <w:pPr>
              <w:pStyle w:val="24"/>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10分</w:t>
            </w:r>
          </w:p>
        </w:tc>
      </w:tr>
      <w:tr w14:paraId="68E1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7540FA">
            <w:pPr>
              <w:keepNext w:val="0"/>
              <w:keepLines w:val="0"/>
              <w:pageBreakBefore w:val="0"/>
              <w:kinsoku/>
              <w:wordWrap/>
              <w:overflowPunct/>
              <w:topLinePunct w:val="0"/>
              <w:autoSpaceDE/>
              <w:autoSpaceDN/>
              <w:bidi w:val="0"/>
              <w:snapToGrid w:val="0"/>
              <w:spacing w:line="240" w:lineRule="auto"/>
              <w:rPr>
                <w:rFonts w:hint="eastAsia" w:ascii="宋体" w:hAnsi="宋体" w:eastAsia="宋体" w:cs="宋体"/>
                <w:color w:val="auto"/>
                <w:highlight w:val="none"/>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2A6381">
            <w:pPr>
              <w:keepNext w:val="0"/>
              <w:keepLines w:val="0"/>
              <w:pageBreakBefore w:val="0"/>
              <w:kinsoku/>
              <w:wordWrap/>
              <w:overflowPunct/>
              <w:topLinePunct w:val="0"/>
              <w:autoSpaceDE/>
              <w:autoSpaceDN/>
              <w:bidi w:val="0"/>
              <w:snapToGrid w:val="0"/>
              <w:spacing w:line="240" w:lineRule="auto"/>
              <w:rPr>
                <w:rFonts w:hint="eastAsia" w:ascii="宋体" w:hAnsi="宋体" w:eastAsia="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AB80203">
            <w:pPr>
              <w:keepNext w:val="0"/>
              <w:keepLines w:val="0"/>
              <w:pageBreakBefore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2.1.2应急处置方案分</w:t>
            </w:r>
          </w:p>
        </w:tc>
        <w:tc>
          <w:tcPr>
            <w:tcW w:w="6096" w:type="dxa"/>
            <w:tcBorders>
              <w:top w:val="single" w:color="auto" w:sz="4" w:space="0"/>
              <w:left w:val="single" w:color="auto" w:sz="4" w:space="0"/>
              <w:bottom w:val="single" w:color="auto" w:sz="4" w:space="0"/>
              <w:right w:val="single" w:color="auto" w:sz="4" w:space="0"/>
            </w:tcBorders>
            <w:shd w:val="clear" w:color="auto" w:fill="auto"/>
            <w:vAlign w:val="center"/>
          </w:tcPr>
          <w:p w14:paraId="4800B610">
            <w:pPr>
              <w:pStyle w:val="24"/>
              <w:keepNext w:val="0"/>
              <w:keepLines w:val="0"/>
              <w:pageBreakBefore w:val="0"/>
              <w:widowControl/>
              <w:kinsoku/>
              <w:wordWrap/>
              <w:overflowPunct/>
              <w:topLinePunct w:val="0"/>
              <w:autoSpaceDE/>
              <w:autoSpaceDN/>
              <w:bidi w:val="0"/>
              <w:snapToGrid w:val="0"/>
              <w:spacing w:line="240" w:lineRule="auto"/>
              <w:ind w:firstLine="210" w:firstLineChars="100"/>
              <w:jc w:val="left"/>
              <w:rPr>
                <w:rFonts w:hint="eastAsia" w:ascii="宋体" w:hAnsi="宋体" w:eastAsia="宋体" w:cs="宋体"/>
                <w:bCs/>
                <w:color w:val="auto"/>
                <w:highlight w:val="none"/>
              </w:rPr>
            </w:pPr>
            <w:r>
              <w:rPr>
                <w:rFonts w:hint="eastAsia" w:ascii="宋体" w:hAnsi="宋体" w:eastAsia="宋体" w:cs="宋体"/>
                <w:bCs/>
                <w:color w:val="auto"/>
                <w:highlight w:val="none"/>
              </w:rPr>
              <w:t>一档（3分）：无应急处置方案或应急处置方案简单；</w:t>
            </w:r>
          </w:p>
          <w:p w14:paraId="7C5CE3D7">
            <w:pPr>
              <w:pStyle w:val="24"/>
              <w:keepNext w:val="0"/>
              <w:keepLines w:val="0"/>
              <w:pageBreakBefore w:val="0"/>
              <w:widowControl/>
              <w:kinsoku/>
              <w:wordWrap/>
              <w:overflowPunct/>
              <w:topLinePunct w:val="0"/>
              <w:autoSpaceDE/>
              <w:autoSpaceDN/>
              <w:bidi w:val="0"/>
              <w:snapToGrid w:val="0"/>
              <w:spacing w:line="240" w:lineRule="auto"/>
              <w:ind w:firstLine="210" w:firstLineChars="100"/>
              <w:jc w:val="left"/>
              <w:rPr>
                <w:rFonts w:hint="eastAsia" w:ascii="宋体" w:hAnsi="宋体" w:eastAsia="宋体" w:cs="宋体"/>
                <w:bCs/>
                <w:color w:val="auto"/>
                <w:highlight w:val="none"/>
              </w:rPr>
            </w:pPr>
            <w:r>
              <w:rPr>
                <w:rFonts w:hint="eastAsia" w:ascii="宋体" w:hAnsi="宋体" w:eastAsia="宋体" w:cs="宋体"/>
                <w:bCs/>
                <w:color w:val="auto"/>
                <w:highlight w:val="none"/>
              </w:rPr>
              <w:t>二档（7分）：投标人应急处置方案比较完善，有相应的事故处理、应急救援、故障排除，每部分内容完整且符合项目情况，利于实施；</w:t>
            </w:r>
          </w:p>
          <w:p w14:paraId="0BDE24FB">
            <w:pPr>
              <w:pStyle w:val="24"/>
              <w:keepNext w:val="0"/>
              <w:keepLines w:val="0"/>
              <w:pageBreakBefore w:val="0"/>
              <w:widowControl/>
              <w:kinsoku/>
              <w:wordWrap/>
              <w:overflowPunct/>
              <w:topLinePunct w:val="0"/>
              <w:autoSpaceDE/>
              <w:autoSpaceDN/>
              <w:bidi w:val="0"/>
              <w:snapToGrid w:val="0"/>
              <w:spacing w:line="240" w:lineRule="auto"/>
              <w:ind w:firstLine="210" w:firstLineChars="100"/>
              <w:rPr>
                <w:rFonts w:hint="eastAsia" w:ascii="宋体" w:hAnsi="宋体" w:eastAsia="宋体" w:cs="宋体"/>
                <w:bCs/>
                <w:color w:val="auto"/>
                <w:highlight w:val="none"/>
              </w:rPr>
            </w:pPr>
            <w:r>
              <w:rPr>
                <w:rFonts w:hint="eastAsia" w:ascii="宋体" w:hAnsi="宋体" w:eastAsia="宋体" w:cs="宋体"/>
                <w:bCs/>
                <w:color w:val="auto"/>
                <w:highlight w:val="none"/>
              </w:rPr>
              <w:t>三档（10分）：在满足二档基础上，各项管理制度严谨规范，且，承诺能在15分钟内响应服务及应急处置车辆故障，实施应急救援体系健全、事故控制得力、应急预案科学合理。</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B2A395">
            <w:pPr>
              <w:pStyle w:val="24"/>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10分</w:t>
            </w:r>
          </w:p>
        </w:tc>
      </w:tr>
      <w:tr w14:paraId="19512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1D05E5">
            <w:pPr>
              <w:keepNext w:val="0"/>
              <w:keepLines w:val="0"/>
              <w:pageBreakBefore w:val="0"/>
              <w:kinsoku/>
              <w:wordWrap/>
              <w:overflowPunct/>
              <w:topLinePunct w:val="0"/>
              <w:autoSpaceDE/>
              <w:autoSpaceDN/>
              <w:bidi w:val="0"/>
              <w:snapToGrid w:val="0"/>
              <w:spacing w:line="240" w:lineRule="auto"/>
              <w:rPr>
                <w:rFonts w:hint="eastAsia" w:ascii="宋体" w:hAnsi="宋体" w:eastAsia="宋体" w:cs="宋体"/>
                <w:color w:val="auto"/>
                <w:highlight w:val="none"/>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336D73">
            <w:pPr>
              <w:keepNext w:val="0"/>
              <w:keepLines w:val="0"/>
              <w:pageBreakBefore w:val="0"/>
              <w:kinsoku/>
              <w:wordWrap/>
              <w:overflowPunct/>
              <w:topLinePunct w:val="0"/>
              <w:autoSpaceDE/>
              <w:autoSpaceDN/>
              <w:bidi w:val="0"/>
              <w:snapToGrid w:val="0"/>
              <w:spacing w:line="240" w:lineRule="auto"/>
              <w:rPr>
                <w:rFonts w:hint="eastAsia" w:ascii="宋体" w:hAnsi="宋体" w:eastAsia="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08F8EA5">
            <w:pPr>
              <w:keepNext w:val="0"/>
              <w:keepLines w:val="0"/>
              <w:pageBreakBefore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2.1.3实施服务方案分</w:t>
            </w:r>
          </w:p>
        </w:tc>
        <w:tc>
          <w:tcPr>
            <w:tcW w:w="6096" w:type="dxa"/>
            <w:tcBorders>
              <w:top w:val="single" w:color="auto" w:sz="4" w:space="0"/>
              <w:left w:val="single" w:color="auto" w:sz="4" w:space="0"/>
              <w:bottom w:val="single" w:color="auto" w:sz="4" w:space="0"/>
              <w:right w:val="single" w:color="auto" w:sz="4" w:space="0"/>
            </w:tcBorders>
            <w:shd w:val="clear" w:color="auto" w:fill="auto"/>
            <w:vAlign w:val="center"/>
          </w:tcPr>
          <w:p w14:paraId="1969CAB2">
            <w:pPr>
              <w:keepNext w:val="0"/>
              <w:keepLines w:val="0"/>
              <w:pageBreakBefore w:val="0"/>
              <w:kinsoku/>
              <w:wordWrap/>
              <w:overflowPunct/>
              <w:topLinePunct w:val="0"/>
              <w:autoSpaceDE/>
              <w:autoSpaceDN/>
              <w:bidi w:val="0"/>
              <w:snapToGrid w:val="0"/>
              <w:spacing w:line="24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一档（3分）：有简单的工作安排说明及服务质量保障措施等内容，对可能发生的突发问题分析不到位，对应问题的解决措施简单、可行性一般；</w:t>
            </w:r>
          </w:p>
          <w:p w14:paraId="23611F42">
            <w:pPr>
              <w:pStyle w:val="24"/>
              <w:keepNext w:val="0"/>
              <w:keepLines w:val="0"/>
              <w:pageBreakBefore w:val="0"/>
              <w:kinsoku/>
              <w:wordWrap/>
              <w:overflowPunct/>
              <w:topLinePunct w:val="0"/>
              <w:autoSpaceDE/>
              <w:autoSpaceDN/>
              <w:bidi w:val="0"/>
              <w:snapToGrid w:val="0"/>
              <w:spacing w:line="240" w:lineRule="auto"/>
              <w:ind w:firstLine="308" w:firstLineChars="147"/>
              <w:rPr>
                <w:rFonts w:hint="eastAsia" w:ascii="宋体" w:hAnsi="宋体" w:eastAsia="宋体" w:cs="宋体"/>
                <w:bCs/>
                <w:color w:val="auto"/>
                <w:highlight w:val="none"/>
              </w:rPr>
            </w:pPr>
            <w:r>
              <w:rPr>
                <w:rFonts w:hint="eastAsia" w:ascii="宋体" w:hAnsi="宋体" w:eastAsia="宋体" w:cs="宋体"/>
                <w:bCs/>
                <w:color w:val="auto"/>
                <w:highlight w:val="none"/>
              </w:rPr>
              <w:t>二档（7分）：工作安排基本到位，有针对各实施阶段出具可行的服务质量保障措施，对可能发生的突发问题分析基本到位，对应问题的解决措施一般、基本可行；</w:t>
            </w:r>
          </w:p>
          <w:p w14:paraId="0770A9C9">
            <w:pPr>
              <w:keepNext w:val="0"/>
              <w:keepLines w:val="0"/>
              <w:pageBreakBefore w:val="0"/>
              <w:tabs>
                <w:tab w:val="left" w:pos="180"/>
                <w:tab w:val="left" w:pos="1620"/>
              </w:tabs>
              <w:kinsoku/>
              <w:wordWrap/>
              <w:overflowPunct/>
              <w:topLinePunct w:val="0"/>
              <w:autoSpaceDE/>
              <w:autoSpaceDN/>
              <w:bidi w:val="0"/>
              <w:snapToGrid w:val="0"/>
              <w:spacing w:line="240" w:lineRule="auto"/>
              <w:ind w:firstLine="420" w:firstLineChars="200"/>
              <w:jc w:val="left"/>
              <w:rPr>
                <w:rFonts w:hint="eastAsia" w:ascii="宋体" w:hAnsi="宋体" w:eastAsia="宋体" w:cs="宋体"/>
                <w:bCs/>
                <w:color w:val="auto"/>
                <w:highlight w:val="none"/>
              </w:rPr>
            </w:pPr>
            <w:r>
              <w:rPr>
                <w:rFonts w:hint="eastAsia" w:ascii="宋体" w:hAnsi="宋体" w:eastAsia="宋体" w:cs="宋体"/>
                <w:bCs/>
                <w:color w:val="auto"/>
                <w:highlight w:val="none"/>
              </w:rPr>
              <w:t>三档（10分）：能完全结合采购人实际需要及项目情况，各项工作安排详细、周密，针对各实施阶段出具详细可行的服务质量保障措施，对可能发生的突发问题分析精准到位，对应问题的解决措施具体、可行性强。</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A53676">
            <w:pPr>
              <w:pStyle w:val="24"/>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10分</w:t>
            </w:r>
          </w:p>
        </w:tc>
      </w:tr>
      <w:tr w14:paraId="6701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7EB246">
            <w:pPr>
              <w:keepNext w:val="0"/>
              <w:keepLines w:val="0"/>
              <w:pageBreakBefore w:val="0"/>
              <w:kinsoku/>
              <w:wordWrap/>
              <w:overflowPunct/>
              <w:topLinePunct w:val="0"/>
              <w:autoSpaceDE/>
              <w:autoSpaceDN/>
              <w:bidi w:val="0"/>
              <w:snapToGrid w:val="0"/>
              <w:spacing w:line="240" w:lineRule="auto"/>
              <w:rPr>
                <w:rFonts w:hint="eastAsia" w:ascii="宋体" w:hAnsi="宋体" w:eastAsia="宋体" w:cs="宋体"/>
                <w:color w:val="auto"/>
                <w:highlight w:val="none"/>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36B050">
            <w:pPr>
              <w:keepNext w:val="0"/>
              <w:keepLines w:val="0"/>
              <w:pageBreakBefore w:val="0"/>
              <w:kinsoku/>
              <w:wordWrap/>
              <w:overflowPunct/>
              <w:topLinePunct w:val="0"/>
              <w:autoSpaceDE/>
              <w:autoSpaceDN/>
              <w:bidi w:val="0"/>
              <w:snapToGrid w:val="0"/>
              <w:spacing w:line="240" w:lineRule="auto"/>
              <w:rPr>
                <w:rFonts w:hint="eastAsia" w:ascii="宋体" w:hAnsi="宋体" w:eastAsia="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6490F76">
            <w:pPr>
              <w:keepNext w:val="0"/>
              <w:keepLines w:val="0"/>
              <w:pageBreakBefore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2.1.4车辆保险险种分</w:t>
            </w:r>
          </w:p>
        </w:tc>
        <w:tc>
          <w:tcPr>
            <w:tcW w:w="6096" w:type="dxa"/>
            <w:tcBorders>
              <w:top w:val="single" w:color="auto" w:sz="4" w:space="0"/>
              <w:left w:val="single" w:color="auto" w:sz="4" w:space="0"/>
              <w:bottom w:val="single" w:color="auto" w:sz="4" w:space="0"/>
              <w:right w:val="single" w:color="auto" w:sz="4" w:space="0"/>
            </w:tcBorders>
            <w:shd w:val="clear" w:color="auto" w:fill="auto"/>
            <w:vAlign w:val="center"/>
          </w:tcPr>
          <w:p w14:paraId="3A067B3F">
            <w:pPr>
              <w:pStyle w:val="24"/>
              <w:keepNext w:val="0"/>
              <w:keepLines w:val="0"/>
              <w:pageBreakBefore w:val="0"/>
              <w:widowControl/>
              <w:numPr>
                <w:ilvl w:val="0"/>
                <w:numId w:val="2"/>
              </w:numPr>
              <w:kinsoku/>
              <w:wordWrap/>
              <w:overflowPunct/>
              <w:topLinePunct w:val="0"/>
              <w:autoSpaceDE/>
              <w:autoSpaceDN/>
              <w:bidi w:val="0"/>
              <w:snapToGrid w:val="0"/>
              <w:spacing w:line="240" w:lineRule="auto"/>
              <w:jc w:val="left"/>
              <w:rPr>
                <w:rFonts w:hint="eastAsia" w:ascii="宋体" w:hAnsi="宋体" w:eastAsia="宋体" w:cs="宋体"/>
                <w:bCs/>
                <w:color w:val="auto"/>
                <w:highlight w:val="none"/>
              </w:rPr>
            </w:pPr>
            <w:r>
              <w:rPr>
                <w:rFonts w:hint="eastAsia" w:ascii="宋体" w:hAnsi="宋体" w:eastAsia="宋体" w:cs="宋体"/>
                <w:bCs/>
                <w:color w:val="auto"/>
                <w:highlight w:val="none"/>
              </w:rPr>
              <w:t>具有机动车损失险的，得4分；</w:t>
            </w:r>
          </w:p>
          <w:p w14:paraId="59A53799">
            <w:pPr>
              <w:pStyle w:val="24"/>
              <w:keepNext w:val="0"/>
              <w:keepLines w:val="0"/>
              <w:pageBreakBefore w:val="0"/>
              <w:widowControl/>
              <w:numPr>
                <w:ilvl w:val="0"/>
                <w:numId w:val="2"/>
              </w:numPr>
              <w:kinsoku/>
              <w:wordWrap/>
              <w:overflowPunct/>
              <w:topLinePunct w:val="0"/>
              <w:autoSpaceDE/>
              <w:autoSpaceDN/>
              <w:bidi w:val="0"/>
              <w:snapToGrid w:val="0"/>
              <w:spacing w:line="240" w:lineRule="auto"/>
              <w:jc w:val="left"/>
              <w:rPr>
                <w:rFonts w:hint="eastAsia" w:ascii="宋体" w:hAnsi="宋体" w:eastAsia="宋体" w:cs="宋体"/>
                <w:bCs/>
                <w:color w:val="auto"/>
                <w:highlight w:val="none"/>
              </w:rPr>
            </w:pPr>
            <w:r>
              <w:rPr>
                <w:rFonts w:hint="eastAsia" w:ascii="宋体" w:hAnsi="宋体" w:eastAsia="宋体" w:cs="宋体"/>
                <w:bCs/>
                <w:color w:val="auto"/>
                <w:highlight w:val="none"/>
              </w:rPr>
              <w:t>机动车第三者责任险保额（满分6分）：</w:t>
            </w:r>
          </w:p>
          <w:p w14:paraId="51CDC724">
            <w:pPr>
              <w:pStyle w:val="24"/>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bCs/>
                <w:color w:val="auto"/>
                <w:highlight w:val="none"/>
              </w:rPr>
            </w:pPr>
            <w:r>
              <w:rPr>
                <w:rFonts w:hint="eastAsia" w:ascii="宋体" w:hAnsi="宋体" w:eastAsia="宋体" w:cs="宋体"/>
                <w:bCs/>
                <w:color w:val="auto"/>
                <w:highlight w:val="none"/>
              </w:rPr>
              <w:fldChar w:fldCharType="begin"/>
            </w:r>
            <w:r>
              <w:rPr>
                <w:rFonts w:hint="eastAsia" w:ascii="宋体" w:hAnsi="宋体" w:eastAsia="宋体" w:cs="宋体"/>
                <w:bCs/>
                <w:color w:val="auto"/>
                <w:highlight w:val="none"/>
              </w:rPr>
              <w:instrText xml:space="preserve"> = 1 \* GB3 </w:instrText>
            </w:r>
            <w:r>
              <w:rPr>
                <w:rFonts w:hint="eastAsia" w:ascii="宋体" w:hAnsi="宋体" w:eastAsia="宋体" w:cs="宋体"/>
                <w:bCs/>
                <w:color w:val="auto"/>
                <w:highlight w:val="none"/>
              </w:rPr>
              <w:fldChar w:fldCharType="separate"/>
            </w:r>
            <w:r>
              <w:rPr>
                <w:rFonts w:hint="eastAsia" w:ascii="宋体" w:hAnsi="宋体" w:eastAsia="宋体" w:cs="宋体"/>
                <w:bCs/>
                <w:color w:val="auto"/>
                <w:highlight w:val="none"/>
              </w:rPr>
              <w:t>①</w:t>
            </w:r>
            <w:r>
              <w:rPr>
                <w:rFonts w:hint="eastAsia" w:ascii="宋体" w:hAnsi="宋体" w:eastAsia="宋体" w:cs="宋体"/>
                <w:bCs/>
                <w:color w:val="auto"/>
                <w:highlight w:val="none"/>
              </w:rPr>
              <w:fldChar w:fldCharType="end"/>
            </w:r>
            <w:r>
              <w:rPr>
                <w:rFonts w:hint="eastAsia" w:ascii="宋体" w:hAnsi="宋体" w:eastAsia="宋体" w:cs="宋体"/>
                <w:bCs/>
                <w:color w:val="auto"/>
                <w:highlight w:val="none"/>
              </w:rPr>
              <w:t>具有第三者责任险保额300万（含）及以上的得6分（服务期内保险到期应承诺续保同等或以上金额保险）；</w:t>
            </w:r>
          </w:p>
          <w:p w14:paraId="16F4954D">
            <w:pPr>
              <w:pStyle w:val="24"/>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 2 \* GB3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②</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具有第三者责任险保额</w:t>
            </w:r>
            <w:r>
              <w:rPr>
                <w:rFonts w:hint="eastAsia" w:ascii="宋体" w:hAnsi="宋体" w:eastAsia="宋体" w:cs="宋体"/>
                <w:bCs/>
                <w:color w:val="auto"/>
                <w:szCs w:val="22"/>
                <w:highlight w:val="none"/>
              </w:rPr>
              <w:t>200万（含）及以上的得5分</w:t>
            </w:r>
            <w:r>
              <w:rPr>
                <w:rFonts w:hint="eastAsia" w:ascii="宋体" w:hAnsi="宋体" w:eastAsia="宋体" w:cs="宋体"/>
                <w:color w:val="auto"/>
                <w:highlight w:val="none"/>
              </w:rPr>
              <w:t>（服务期内保险到期应承诺续保同等或以上金额保险）；</w:t>
            </w:r>
          </w:p>
          <w:p w14:paraId="6FFC6B2E">
            <w:pPr>
              <w:pStyle w:val="24"/>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 3 \* GB3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③</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具有第三者责任险保额</w:t>
            </w:r>
            <w:r>
              <w:rPr>
                <w:rFonts w:hint="eastAsia" w:ascii="宋体" w:hAnsi="宋体" w:eastAsia="宋体" w:cs="宋体"/>
                <w:bCs/>
                <w:color w:val="auto"/>
                <w:szCs w:val="22"/>
                <w:highlight w:val="none"/>
              </w:rPr>
              <w:t>100万（含）及以上的得4分</w:t>
            </w:r>
            <w:r>
              <w:rPr>
                <w:rFonts w:hint="eastAsia" w:ascii="宋体" w:hAnsi="宋体" w:eastAsia="宋体" w:cs="宋体"/>
                <w:color w:val="auto"/>
                <w:highlight w:val="none"/>
              </w:rPr>
              <w:t>（服务期内保险到期应承诺续保同等或以上金额保险）；</w:t>
            </w:r>
          </w:p>
          <w:p w14:paraId="15B1BFE0">
            <w:pPr>
              <w:pStyle w:val="24"/>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color w:val="auto"/>
                <w:highlight w:val="none"/>
              </w:rPr>
            </w:pPr>
            <w:r>
              <w:rPr>
                <w:rFonts w:hint="eastAsia" w:ascii="宋体" w:hAnsi="宋体" w:eastAsia="宋体" w:cs="宋体"/>
                <w:color w:val="auto"/>
                <w:highlight w:val="none"/>
              </w:rPr>
              <w:t>④具有第三者责任险保额</w:t>
            </w:r>
            <w:r>
              <w:rPr>
                <w:rFonts w:hint="eastAsia" w:ascii="宋体" w:hAnsi="宋体" w:eastAsia="宋体" w:cs="宋体"/>
                <w:bCs/>
                <w:color w:val="auto"/>
                <w:szCs w:val="22"/>
                <w:highlight w:val="none"/>
              </w:rPr>
              <w:t>50万（含）及以上的得3分</w:t>
            </w:r>
            <w:r>
              <w:rPr>
                <w:rFonts w:hint="eastAsia" w:ascii="宋体" w:hAnsi="宋体" w:eastAsia="宋体" w:cs="宋体"/>
                <w:color w:val="auto"/>
                <w:highlight w:val="none"/>
              </w:rPr>
              <w:t>（服务期内保险到期应承诺续保同等或以上金额保险）；</w:t>
            </w:r>
          </w:p>
          <w:p w14:paraId="1BEAD7CB">
            <w:pPr>
              <w:pStyle w:val="24"/>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color w:val="auto"/>
                <w:highlight w:val="none"/>
              </w:rPr>
            </w:pPr>
            <w:r>
              <w:rPr>
                <w:rFonts w:hint="eastAsia" w:ascii="宋体" w:hAnsi="宋体" w:eastAsia="宋体" w:cs="宋体"/>
                <w:color w:val="auto"/>
                <w:highlight w:val="none"/>
              </w:rPr>
              <w:t>⑤承诺</w:t>
            </w:r>
            <w:r>
              <w:rPr>
                <w:rFonts w:hint="eastAsia" w:ascii="宋体" w:hAnsi="宋体" w:eastAsia="宋体" w:cs="宋体"/>
                <w:bCs/>
                <w:color w:val="auto"/>
                <w:highlight w:val="none"/>
              </w:rPr>
              <w:t>中标</w:t>
            </w:r>
            <w:r>
              <w:rPr>
                <w:rFonts w:hint="eastAsia" w:ascii="宋体" w:hAnsi="宋体" w:eastAsia="宋体" w:cs="宋体"/>
                <w:color w:val="auto"/>
                <w:highlight w:val="none"/>
              </w:rPr>
              <w:t>后投保第三者责任险保额300万（含）及以上的得3分；</w:t>
            </w:r>
          </w:p>
          <w:p w14:paraId="3FB5DFFD">
            <w:pPr>
              <w:pStyle w:val="24"/>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color w:val="auto"/>
                <w:highlight w:val="none"/>
              </w:rPr>
            </w:pPr>
            <w:r>
              <w:rPr>
                <w:rFonts w:hint="eastAsia" w:ascii="宋体" w:hAnsi="宋体" w:eastAsia="宋体" w:cs="宋体"/>
                <w:color w:val="auto"/>
                <w:highlight w:val="none"/>
              </w:rPr>
              <w:t>⑥承诺</w:t>
            </w:r>
            <w:r>
              <w:rPr>
                <w:rFonts w:hint="eastAsia" w:ascii="宋体" w:hAnsi="宋体" w:eastAsia="宋体" w:cs="宋体"/>
                <w:bCs/>
                <w:color w:val="auto"/>
                <w:highlight w:val="none"/>
              </w:rPr>
              <w:t>中标</w:t>
            </w:r>
            <w:r>
              <w:rPr>
                <w:rFonts w:hint="eastAsia" w:ascii="宋体" w:hAnsi="宋体" w:eastAsia="宋体" w:cs="宋体"/>
                <w:color w:val="auto"/>
                <w:highlight w:val="none"/>
              </w:rPr>
              <w:t>后投保第三者责任险保额200万（含）及以上的得2分；</w:t>
            </w:r>
          </w:p>
          <w:p w14:paraId="5EB46C78">
            <w:pPr>
              <w:pStyle w:val="24"/>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color w:val="auto"/>
                <w:highlight w:val="none"/>
              </w:rPr>
            </w:pPr>
            <w:r>
              <w:rPr>
                <w:rFonts w:hint="eastAsia" w:ascii="宋体" w:hAnsi="宋体" w:eastAsia="宋体" w:cs="宋体"/>
                <w:color w:val="auto"/>
                <w:highlight w:val="none"/>
              </w:rPr>
              <w:t>⑦承诺</w:t>
            </w:r>
            <w:r>
              <w:rPr>
                <w:rFonts w:hint="eastAsia" w:ascii="宋体" w:hAnsi="宋体" w:eastAsia="宋体" w:cs="宋体"/>
                <w:bCs/>
                <w:color w:val="auto"/>
                <w:highlight w:val="none"/>
              </w:rPr>
              <w:t>中标</w:t>
            </w:r>
            <w:r>
              <w:rPr>
                <w:rFonts w:hint="eastAsia" w:ascii="宋体" w:hAnsi="宋体" w:eastAsia="宋体" w:cs="宋体"/>
                <w:color w:val="auto"/>
                <w:highlight w:val="none"/>
              </w:rPr>
              <w:t>后投保第三者责任险保额100万（含）及以上的得1分；</w:t>
            </w:r>
          </w:p>
          <w:p w14:paraId="4218EEC4">
            <w:pPr>
              <w:pStyle w:val="24"/>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 8 \* GB3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⑧</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承诺</w:t>
            </w:r>
            <w:r>
              <w:rPr>
                <w:rFonts w:hint="eastAsia" w:ascii="宋体" w:hAnsi="宋体" w:eastAsia="宋体" w:cs="宋体"/>
                <w:bCs/>
                <w:color w:val="auto"/>
                <w:highlight w:val="none"/>
              </w:rPr>
              <w:t>中标</w:t>
            </w:r>
            <w:r>
              <w:rPr>
                <w:rFonts w:hint="eastAsia" w:ascii="宋体" w:hAnsi="宋体" w:eastAsia="宋体" w:cs="宋体"/>
                <w:color w:val="auto"/>
                <w:highlight w:val="none"/>
              </w:rPr>
              <w:t>后投保第三者责任险保额50万（含）及以下的不得分。</w:t>
            </w:r>
          </w:p>
          <w:p w14:paraId="55E4816C">
            <w:pPr>
              <w:pStyle w:val="72"/>
              <w:keepNext w:val="0"/>
              <w:keepLines w:val="0"/>
              <w:pageBreakBefore w:val="0"/>
              <w:kinsoku/>
              <w:wordWrap/>
              <w:overflowPunct/>
              <w:topLinePunct w:val="0"/>
              <w:autoSpaceDE/>
              <w:autoSpaceDN/>
              <w:bidi w:val="0"/>
              <w:snapToGrid w:val="0"/>
              <w:spacing w:line="24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（3）提供购买乘客座位险承诺及购买方案：承诺购买乘客座位险且保额达到200万元不少于10个座位，剩下座位保额不低于80万元，得3分。</w:t>
            </w:r>
          </w:p>
          <w:p w14:paraId="37539A7F">
            <w:pPr>
              <w:pStyle w:val="24"/>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bCs/>
                <w:color w:val="auto"/>
                <w:highlight w:val="none"/>
              </w:rPr>
            </w:pPr>
          </w:p>
          <w:p w14:paraId="4497799A">
            <w:pPr>
              <w:pStyle w:val="24"/>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b/>
                <w:color w:val="auto"/>
                <w:highlight w:val="none"/>
              </w:rPr>
            </w:pPr>
            <w:r>
              <w:rPr>
                <w:rFonts w:hint="eastAsia" w:ascii="宋体" w:hAnsi="宋体" w:eastAsia="宋体" w:cs="宋体"/>
                <w:b/>
                <w:color w:val="auto"/>
                <w:highlight w:val="none"/>
              </w:rPr>
              <w:t>注：各分项以得分高的计算，不重复计分。已投保的，提供拟投入本项目所有车辆保单扫描件或其他有效电子文件及续保承诺函原件；承诺成交后投保及承担相关费用的，提供承诺函原件；否则不得分。</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2B3136">
            <w:pPr>
              <w:pStyle w:val="24"/>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13分</w:t>
            </w:r>
          </w:p>
        </w:tc>
      </w:tr>
      <w:tr w14:paraId="4BD1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1928E4C2">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center"/>
              <w:textAlignment w:val="baseline"/>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2.2</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6E3CEF">
            <w:pPr>
              <w:keepNext w:val="0"/>
              <w:keepLines w:val="0"/>
              <w:pageBreakBefore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拟投入驾驶员</w:t>
            </w:r>
          </w:p>
        </w:tc>
        <w:tc>
          <w:tcPr>
            <w:tcW w:w="6096" w:type="dxa"/>
            <w:tcBorders>
              <w:top w:val="single" w:color="auto" w:sz="4" w:space="0"/>
              <w:left w:val="single" w:color="auto" w:sz="4" w:space="0"/>
              <w:bottom w:val="single" w:color="auto" w:sz="4" w:space="0"/>
              <w:right w:val="single" w:color="auto" w:sz="4" w:space="0"/>
            </w:tcBorders>
            <w:shd w:val="clear" w:color="auto" w:fill="auto"/>
            <w:vAlign w:val="center"/>
          </w:tcPr>
          <w:p w14:paraId="7290BE56">
            <w:pPr>
              <w:keepNext w:val="0"/>
              <w:keepLines w:val="0"/>
              <w:pageBreakBefore w:val="0"/>
              <w:kinsoku/>
              <w:wordWrap/>
              <w:overflowPunct/>
              <w:topLinePunct w:val="0"/>
              <w:autoSpaceDE/>
              <w:autoSpaceDN/>
              <w:bidi w:val="0"/>
              <w:snapToGrid w:val="0"/>
              <w:spacing w:line="240" w:lineRule="auto"/>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一档（3分）：拟投入司机取得相应车辆准驾资格后驾龄在5-7年，对突发事件的处理能力一般，无替补司机，综合素质一般。</w:t>
            </w:r>
          </w:p>
          <w:p w14:paraId="22E6F960">
            <w:pPr>
              <w:keepNext w:val="0"/>
              <w:keepLines w:val="0"/>
              <w:pageBreakBefore w:val="0"/>
              <w:kinsoku/>
              <w:wordWrap/>
              <w:overflowPunct/>
              <w:topLinePunct w:val="0"/>
              <w:autoSpaceDE/>
              <w:autoSpaceDN/>
              <w:bidi w:val="0"/>
              <w:snapToGrid w:val="0"/>
              <w:spacing w:line="240" w:lineRule="auto"/>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二档（7分）：拟投入司机取得相应车辆准驾资格后驾龄在7-9年，对突发事件的处理能力良好，具备至少2名替补司机，综合素质良好。</w:t>
            </w:r>
          </w:p>
          <w:p w14:paraId="4A68F3DB">
            <w:pPr>
              <w:keepNext w:val="0"/>
              <w:keepLines w:val="0"/>
              <w:pageBreakBefore w:val="0"/>
              <w:kinsoku/>
              <w:wordWrap/>
              <w:overflowPunct/>
              <w:topLinePunct w:val="0"/>
              <w:autoSpaceDE/>
              <w:autoSpaceDN/>
              <w:bidi w:val="0"/>
              <w:snapToGrid w:val="0"/>
              <w:spacing w:line="240" w:lineRule="auto"/>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三档（10分）：拟投入司机取得相应车辆准驾资格后驾龄在10年及以上，对突发事件的处理能力突出，具备4名及以上替补司机，综合素质好。</w:t>
            </w:r>
          </w:p>
          <w:p w14:paraId="56082F11">
            <w:pPr>
              <w:keepNext w:val="0"/>
              <w:keepLines w:val="0"/>
              <w:pageBreakBefore w:val="0"/>
              <w:kinsoku/>
              <w:wordWrap/>
              <w:overflowPunct/>
              <w:topLinePunct w:val="0"/>
              <w:autoSpaceDE/>
              <w:autoSpaceDN/>
              <w:bidi w:val="0"/>
              <w:snapToGrid w:val="0"/>
              <w:spacing w:line="240" w:lineRule="auto"/>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注：需提供驾驶员驾驶证复印件、投标人与其签订的有效劳动合同书或缴纳社保证明、3年内无重大以上交通责任事故证明材料（证明材料可以为网上查询截图），投标人为其缴纳的近半年内任意1个月社保证明材料。否则不得分。</w:t>
            </w:r>
          </w:p>
          <w:p w14:paraId="519B7512">
            <w:pPr>
              <w:keepNext w:val="0"/>
              <w:keepLines w:val="0"/>
              <w:pageBreakBefore w:val="0"/>
              <w:kinsoku/>
              <w:wordWrap/>
              <w:overflowPunct/>
              <w:topLinePunct w:val="0"/>
              <w:autoSpaceDE/>
              <w:autoSpaceDN/>
              <w:bidi w:val="0"/>
              <w:snapToGrid w:val="0"/>
              <w:spacing w:line="240" w:lineRule="auto"/>
              <w:rPr>
                <w:rFonts w:hint="eastAsia" w:ascii="宋体" w:hAnsi="宋体" w:eastAsia="宋体" w:cs="宋体"/>
                <w:bCs/>
                <w:color w:val="auto"/>
                <w:highlight w:val="none"/>
              </w:rPr>
            </w:pPr>
            <w:r>
              <w:rPr>
                <w:rFonts w:hint="eastAsia" w:ascii="宋体" w:hAnsi="宋体" w:eastAsia="宋体" w:cs="宋体"/>
                <w:bCs/>
                <w:color w:val="auto"/>
                <w:kern w:val="0"/>
                <w:szCs w:val="21"/>
                <w:highlight w:val="none"/>
                <w:lang w:bidi="ar"/>
              </w:rPr>
              <w:t>未提供相关内容或证明材料的，不得分。</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CF8686">
            <w:pPr>
              <w:pStyle w:val="24"/>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10分</w:t>
            </w:r>
          </w:p>
        </w:tc>
      </w:tr>
      <w:tr w14:paraId="6650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207754C6">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0937D9">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商务分</w:t>
            </w:r>
          </w:p>
        </w:tc>
        <w:tc>
          <w:tcPr>
            <w:tcW w:w="70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B3C1451">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评审因素</w:t>
            </w:r>
          </w:p>
        </w:tc>
      </w:tr>
      <w:tr w14:paraId="0DF3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0E94AEC2">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3.1</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0454AF">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业绩分</w:t>
            </w:r>
          </w:p>
        </w:tc>
        <w:tc>
          <w:tcPr>
            <w:tcW w:w="6150" w:type="dxa"/>
            <w:gridSpan w:val="2"/>
            <w:tcBorders>
              <w:top w:val="single" w:color="auto" w:sz="4" w:space="0"/>
              <w:left w:val="single" w:color="auto" w:sz="4" w:space="0"/>
              <w:bottom w:val="single" w:color="auto" w:sz="4" w:space="0"/>
              <w:right w:val="single" w:color="auto" w:sz="4" w:space="0"/>
            </w:tcBorders>
            <w:shd w:val="clear" w:color="auto" w:fill="auto"/>
          </w:tcPr>
          <w:p w14:paraId="26C13920">
            <w:pPr>
              <w:pStyle w:val="24"/>
              <w:keepNext w:val="0"/>
              <w:keepLines w:val="0"/>
              <w:pageBreakBefore w:val="0"/>
              <w:widowControl/>
              <w:kinsoku/>
              <w:wordWrap/>
              <w:overflowPunct/>
              <w:topLinePunct w:val="0"/>
              <w:autoSpaceDE/>
              <w:autoSpaceDN/>
              <w:bidi w:val="0"/>
              <w:snapToGrid w:val="0"/>
              <w:spacing w:line="240" w:lineRule="auto"/>
              <w:rPr>
                <w:rFonts w:hint="eastAsia" w:ascii="宋体" w:hAnsi="宋体" w:eastAsia="宋体" w:cs="宋体"/>
                <w:bCs/>
                <w:color w:val="auto"/>
                <w:highlight w:val="none"/>
              </w:rPr>
            </w:pPr>
            <w:r>
              <w:rPr>
                <w:rFonts w:hint="eastAsia" w:ascii="宋体" w:hAnsi="宋体" w:eastAsia="宋体" w:cs="宋体"/>
                <w:bCs/>
                <w:color w:val="auto"/>
                <w:highlight w:val="none"/>
              </w:rPr>
              <w:t>投标人近三年来（2022年1月1日至今）承担过定点车辆租赁服务项目的，每提供一个得1分，满分10分。（投标文件中提供合同或中标（成交）通知书复印件并加盖投标人公章，提供原件备查）</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F6E229A">
            <w:pPr>
              <w:pStyle w:val="24"/>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10分</w:t>
            </w:r>
          </w:p>
        </w:tc>
      </w:tr>
      <w:tr w14:paraId="360E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2D83E44E">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center"/>
              <w:textAlignment w:val="baseline"/>
              <w:rPr>
                <w:rFonts w:hint="eastAsia" w:ascii="宋体" w:hAnsi="宋体" w:eastAsia="宋体" w:cs="宋体"/>
                <w:color w:val="auto"/>
                <w:kern w:val="0"/>
                <w:szCs w:val="21"/>
                <w:highlight w:val="none"/>
                <w:lang w:bidi="ar"/>
              </w:rPr>
            </w:pPr>
            <w:r>
              <w:rPr>
                <w:rFonts w:hint="eastAsia" w:ascii="宋体" w:hAnsi="宋体" w:eastAsia="宋体" w:cs="宋体"/>
                <w:bCs/>
                <w:color w:val="auto"/>
                <w:kern w:val="0"/>
                <w:szCs w:val="21"/>
                <w:highlight w:val="none"/>
                <w:lang w:bidi="ar"/>
              </w:rPr>
              <w:t>3.2</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44085C">
            <w:pPr>
              <w:keepNext w:val="0"/>
              <w:keepLines w:val="0"/>
              <w:pageBreakBefore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Cs w:val="21"/>
                <w:highlight w:val="none"/>
                <w:lang w:bidi="ar"/>
              </w:rPr>
            </w:pPr>
            <w:r>
              <w:rPr>
                <w:rFonts w:hint="eastAsia" w:ascii="宋体" w:hAnsi="宋体" w:eastAsia="宋体" w:cs="宋体"/>
                <w:color w:val="auto"/>
                <w:kern w:val="0"/>
                <w:szCs w:val="21"/>
                <w:highlight w:val="none"/>
                <w:lang w:bidi="ar"/>
              </w:rPr>
              <w:t>信誉分</w:t>
            </w:r>
          </w:p>
        </w:tc>
        <w:tc>
          <w:tcPr>
            <w:tcW w:w="6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6D9FAB">
            <w:pPr>
              <w:keepNext w:val="0"/>
              <w:keepLines w:val="0"/>
              <w:pageBreakBefore w:val="0"/>
              <w:kinsoku/>
              <w:wordWrap/>
              <w:overflowPunct/>
              <w:topLinePunct w:val="0"/>
              <w:autoSpaceDE/>
              <w:autoSpaceDN/>
              <w:bidi w:val="0"/>
              <w:snapToGrid w:val="0"/>
              <w:spacing w:line="240" w:lineRule="auto"/>
              <w:rPr>
                <w:rFonts w:hint="eastAsia" w:ascii="宋体" w:hAnsi="宋体" w:eastAsia="宋体" w:cs="宋体"/>
                <w:bCs/>
                <w:color w:val="auto"/>
                <w:highlight w:val="none"/>
              </w:rPr>
            </w:pPr>
            <w:r>
              <w:rPr>
                <w:rFonts w:hint="eastAsia" w:ascii="宋体" w:hAnsi="宋体" w:eastAsia="宋体" w:cs="宋体"/>
                <w:bCs/>
                <w:color w:val="auto"/>
                <w:szCs w:val="21"/>
                <w:highlight w:val="none"/>
              </w:rPr>
              <w:t>投标人通过质量管理体系、环境管理体系及职业健康与安全管理体系有效认证的，每项得1分，满分得3分</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5420953">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center"/>
              <w:textAlignment w:val="baseline"/>
              <w:rPr>
                <w:rFonts w:hint="eastAsia" w:ascii="宋体" w:hAnsi="宋体" w:eastAsia="宋体" w:cs="宋体"/>
                <w:bCs/>
                <w:color w:val="auto"/>
                <w:highlight w:val="none"/>
              </w:rPr>
            </w:pPr>
            <w:r>
              <w:rPr>
                <w:rFonts w:hint="eastAsia" w:ascii="宋体" w:hAnsi="宋体" w:eastAsia="宋体" w:cs="宋体"/>
                <w:bCs/>
                <w:color w:val="auto"/>
                <w:kern w:val="0"/>
                <w:szCs w:val="21"/>
                <w:highlight w:val="none"/>
                <w:lang w:bidi="ar"/>
              </w:rPr>
              <w:t>3分</w:t>
            </w:r>
          </w:p>
        </w:tc>
      </w:tr>
      <w:tr w14:paraId="7F99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47892C73">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3.3</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96B885">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车辆维修资源分</w:t>
            </w:r>
          </w:p>
        </w:tc>
        <w:tc>
          <w:tcPr>
            <w:tcW w:w="6150" w:type="dxa"/>
            <w:gridSpan w:val="2"/>
            <w:tcBorders>
              <w:top w:val="single" w:color="auto" w:sz="4" w:space="0"/>
              <w:left w:val="single" w:color="auto" w:sz="4" w:space="0"/>
              <w:bottom w:val="single" w:color="auto" w:sz="4" w:space="0"/>
              <w:right w:val="single" w:color="auto" w:sz="4" w:space="0"/>
            </w:tcBorders>
            <w:shd w:val="clear" w:color="auto" w:fill="auto"/>
          </w:tcPr>
          <w:p w14:paraId="78CE6B8B">
            <w:pPr>
              <w:pStyle w:val="24"/>
              <w:keepNext w:val="0"/>
              <w:keepLines w:val="0"/>
              <w:pageBreakBefore w:val="0"/>
              <w:widowControl/>
              <w:kinsoku/>
              <w:wordWrap/>
              <w:overflowPunct/>
              <w:topLinePunct w:val="0"/>
              <w:autoSpaceDE/>
              <w:autoSpaceDN/>
              <w:bidi w:val="0"/>
              <w:snapToGrid w:val="0"/>
              <w:spacing w:line="240" w:lineRule="auto"/>
              <w:rPr>
                <w:rFonts w:hint="eastAsia" w:ascii="宋体" w:hAnsi="宋体" w:eastAsia="宋体" w:cs="宋体"/>
                <w:bCs/>
                <w:color w:val="auto"/>
                <w:highlight w:val="none"/>
              </w:rPr>
            </w:pPr>
            <w:r>
              <w:rPr>
                <w:rFonts w:hint="eastAsia" w:ascii="宋体" w:hAnsi="宋体" w:eastAsia="宋体" w:cs="宋体"/>
                <w:bCs/>
                <w:color w:val="auto"/>
                <w:highlight w:val="none"/>
              </w:rPr>
              <w:t>根据提供的相关证明文件，自有下属的维修厂的，得4分；与维修厂签订有合作协议的（协议有效期须在本项目服务期内），得2分；否则0分；未提供以上证明文件者不得分。</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9EF5808">
            <w:pPr>
              <w:pStyle w:val="24"/>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4分</w:t>
            </w:r>
          </w:p>
        </w:tc>
      </w:tr>
    </w:tbl>
    <w:p w14:paraId="7595D63C">
      <w:pPr>
        <w:spacing w:before="120" w:line="320" w:lineRule="atLeast"/>
        <w:outlineLvl w:val="1"/>
        <w:rPr>
          <w:rFonts w:ascii="Times New Roman" w:hAnsi="Times New Roman" w:eastAsia="宋体" w:cs="Times New Roman"/>
          <w:b/>
          <w:bCs/>
          <w:color w:val="auto"/>
          <w:kern w:val="0"/>
          <w:szCs w:val="21"/>
          <w:highlight w:val="none"/>
        </w:rPr>
      </w:pPr>
    </w:p>
    <w:p w14:paraId="5080CC92">
      <w:pPr>
        <w:pStyle w:val="26"/>
        <w:rPr>
          <w:color w:val="auto"/>
          <w:highlight w:val="none"/>
        </w:rPr>
        <w:sectPr>
          <w:headerReference r:id="rId12" w:type="default"/>
          <w:footerReference r:id="rId13" w:type="default"/>
          <w:pgSz w:w="11906" w:h="16838"/>
          <w:pgMar w:top="1418" w:right="1133" w:bottom="1246" w:left="1418" w:header="851" w:footer="992" w:gutter="0"/>
          <w:cols w:space="720" w:num="1"/>
          <w:docGrid w:linePitch="312" w:charSpace="0"/>
        </w:sectPr>
      </w:pPr>
    </w:p>
    <w:p w14:paraId="0A48972C">
      <w:pPr>
        <w:pStyle w:val="26"/>
        <w:ind w:firstLine="0"/>
        <w:rPr>
          <w:color w:val="auto"/>
          <w:highlight w:val="none"/>
        </w:rPr>
      </w:pPr>
    </w:p>
    <w:p w14:paraId="11347629">
      <w:pPr>
        <w:spacing w:before="120" w:line="360" w:lineRule="auto"/>
        <w:ind w:firstLine="422" w:firstLineChars="200"/>
        <w:rPr>
          <w:rFonts w:ascii="Times New Roman" w:hAnsi="Times New Roman" w:eastAsia="宋体" w:cs="Times New Roman"/>
          <w:b/>
          <w:bCs/>
          <w:color w:val="auto"/>
          <w:kern w:val="0"/>
          <w:szCs w:val="21"/>
          <w:highlight w:val="none"/>
        </w:rPr>
      </w:pPr>
    </w:p>
    <w:bookmarkEnd w:id="34"/>
    <w:bookmarkEnd w:id="35"/>
    <w:p w14:paraId="24FCA97D">
      <w:pPr>
        <w:pStyle w:val="2"/>
        <w:spacing w:before="200" w:after="200" w:line="240" w:lineRule="auto"/>
        <w:jc w:val="center"/>
        <w:rPr>
          <w:color w:val="auto"/>
          <w:highlight w:val="none"/>
        </w:rPr>
      </w:pPr>
      <w:bookmarkStart w:id="89" w:name="_Toc106118403"/>
      <w:bookmarkStart w:id="90" w:name="_Toc11726"/>
      <w:bookmarkStart w:id="91" w:name="_Hlk132881438"/>
      <w:bookmarkStart w:id="92" w:name="_Hlk132879714"/>
      <w:bookmarkStart w:id="93" w:name="_Hlk132879681"/>
      <w:r>
        <w:rPr>
          <w:rFonts w:hint="eastAsia"/>
          <w:color w:val="auto"/>
          <w:highlight w:val="none"/>
        </w:rPr>
        <w:t>第五章  拟签订的合同文本</w:t>
      </w:r>
      <w:bookmarkEnd w:id="89"/>
      <w:bookmarkEnd w:id="90"/>
    </w:p>
    <w:p w14:paraId="6F966928">
      <w:pPr>
        <w:rPr>
          <w:rFonts w:ascii="宋体" w:hAnsi="宋体"/>
          <w:bCs/>
          <w:color w:val="auto"/>
          <w:highlight w:val="none"/>
        </w:rPr>
      </w:pPr>
    </w:p>
    <w:p w14:paraId="08428104">
      <w:pPr>
        <w:spacing w:line="360" w:lineRule="auto"/>
        <w:ind w:left="210" w:leftChars="100"/>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广西壮族自治区政府采购</w:t>
      </w:r>
    </w:p>
    <w:p w14:paraId="22C5EB11">
      <w:pPr>
        <w:spacing w:line="360" w:lineRule="auto"/>
        <w:ind w:firstLine="420" w:firstLineChars="200"/>
        <w:rPr>
          <w:rFonts w:hint="eastAsia" w:ascii="宋体" w:hAnsi="宋体" w:eastAsia="宋体" w:cs="宋体"/>
          <w:color w:val="auto"/>
          <w:highlight w:val="none"/>
        </w:rPr>
      </w:pPr>
    </w:p>
    <w:p w14:paraId="2F4ECD8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25A743FE">
      <w:pPr>
        <w:spacing w:line="360" w:lineRule="auto"/>
        <w:jc w:val="center"/>
        <w:rPr>
          <w:rFonts w:hint="eastAsia" w:ascii="宋体" w:hAnsi="宋体" w:eastAsia="宋体" w:cs="宋体"/>
          <w:b/>
          <w:bCs/>
          <w:color w:val="auto"/>
          <w:sz w:val="44"/>
          <w:highlight w:val="none"/>
        </w:rPr>
      </w:pPr>
      <w:r>
        <w:rPr>
          <w:rFonts w:hint="eastAsia" w:ascii="宋体" w:hAnsi="宋体" w:eastAsia="宋体" w:cs="宋体"/>
          <w:b/>
          <w:bCs/>
          <w:color w:val="auto"/>
          <w:sz w:val="44"/>
          <w:highlight w:val="none"/>
          <w:u w:val="single"/>
        </w:rPr>
        <w:t>通勤车租赁服务采购</w:t>
      </w:r>
      <w:r>
        <w:rPr>
          <w:rFonts w:hint="eastAsia" w:ascii="宋体" w:hAnsi="宋体" w:eastAsia="宋体" w:cs="宋体"/>
          <w:b/>
          <w:bCs/>
          <w:color w:val="auto"/>
          <w:sz w:val="44"/>
          <w:highlight w:val="none"/>
        </w:rPr>
        <w:t>合同</w:t>
      </w:r>
    </w:p>
    <w:p w14:paraId="68E30C7C">
      <w:pPr>
        <w:spacing w:line="360" w:lineRule="auto"/>
        <w:jc w:val="center"/>
        <w:rPr>
          <w:rFonts w:hint="eastAsia" w:ascii="宋体" w:hAnsi="宋体" w:eastAsia="宋体" w:cs="宋体"/>
          <w:b/>
          <w:bCs/>
          <w:color w:val="auto"/>
          <w:sz w:val="44"/>
          <w:highlight w:val="none"/>
        </w:rPr>
      </w:pPr>
    </w:p>
    <w:p w14:paraId="39C4DE75">
      <w:pPr>
        <w:spacing w:line="360" w:lineRule="auto"/>
        <w:ind w:firstLine="3507" w:firstLineChars="794"/>
        <w:rPr>
          <w:rFonts w:hint="eastAsia" w:ascii="宋体" w:hAnsi="宋体" w:eastAsia="宋体" w:cs="宋体"/>
          <w:b/>
          <w:bCs/>
          <w:color w:val="auto"/>
          <w:sz w:val="44"/>
          <w:highlight w:val="none"/>
        </w:rPr>
      </w:pPr>
    </w:p>
    <w:p w14:paraId="03221EB8">
      <w:pPr>
        <w:spacing w:line="360" w:lineRule="auto"/>
        <w:ind w:firstLine="3507" w:firstLineChars="794"/>
        <w:rPr>
          <w:rFonts w:hint="eastAsia" w:ascii="宋体" w:hAnsi="宋体" w:eastAsia="宋体" w:cs="宋体"/>
          <w:b/>
          <w:bCs/>
          <w:color w:val="auto"/>
          <w:sz w:val="44"/>
          <w:highlight w:val="none"/>
        </w:rPr>
      </w:pPr>
    </w:p>
    <w:p w14:paraId="7D2E7DBF">
      <w:pPr>
        <w:ind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采购项目编号：</w:t>
      </w:r>
      <w:r>
        <w:rPr>
          <w:rFonts w:hint="eastAsia" w:ascii="宋体" w:hAnsi="宋体" w:eastAsia="宋体" w:cs="宋体"/>
          <w:b/>
          <w:color w:val="auto"/>
          <w:sz w:val="36"/>
          <w:szCs w:val="36"/>
          <w:highlight w:val="none"/>
          <w:u w:val="single"/>
        </w:rPr>
        <w:t xml:space="preserve">                </w:t>
      </w:r>
    </w:p>
    <w:p w14:paraId="257472A8">
      <w:pPr>
        <w:ind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采购计划编号：</w:t>
      </w:r>
      <w:r>
        <w:rPr>
          <w:rFonts w:hint="eastAsia" w:ascii="宋体" w:hAnsi="宋体" w:eastAsia="宋体" w:cs="宋体"/>
          <w:b/>
          <w:color w:val="auto"/>
          <w:sz w:val="36"/>
          <w:szCs w:val="36"/>
          <w:highlight w:val="none"/>
          <w:u w:val="single"/>
        </w:rPr>
        <w:t xml:space="preserve">                </w:t>
      </w:r>
    </w:p>
    <w:p w14:paraId="3A32D4BE">
      <w:pPr>
        <w:ind w:firstLine="1308" w:firstLineChars="545"/>
        <w:rPr>
          <w:rFonts w:hint="eastAsia" w:ascii="宋体" w:hAnsi="宋体" w:eastAsia="宋体" w:cs="宋体"/>
          <w:color w:val="auto"/>
          <w:sz w:val="24"/>
          <w:highlight w:val="none"/>
        </w:rPr>
      </w:pPr>
    </w:p>
    <w:p w14:paraId="5CB1F006">
      <w:pPr>
        <w:ind w:firstLine="1995" w:firstLineChars="552"/>
        <w:rPr>
          <w:rFonts w:hint="eastAsia" w:ascii="宋体" w:hAnsi="宋体" w:eastAsia="宋体" w:cs="宋体"/>
          <w:b/>
          <w:color w:val="auto"/>
          <w:sz w:val="36"/>
          <w:szCs w:val="36"/>
          <w:highlight w:val="none"/>
          <w:u w:val="single"/>
        </w:rPr>
      </w:pPr>
    </w:p>
    <w:p w14:paraId="572D5073">
      <w:pPr>
        <w:ind w:firstLine="1995" w:firstLineChars="552"/>
        <w:rPr>
          <w:rFonts w:hint="eastAsia" w:ascii="宋体" w:hAnsi="宋体" w:eastAsia="宋体" w:cs="宋体"/>
          <w:b/>
          <w:color w:val="auto"/>
          <w:sz w:val="36"/>
          <w:szCs w:val="36"/>
          <w:highlight w:val="none"/>
          <w:u w:val="single"/>
        </w:rPr>
      </w:pPr>
    </w:p>
    <w:p w14:paraId="12B759E5">
      <w:pPr>
        <w:ind w:firstLine="1995" w:firstLineChars="552"/>
        <w:rPr>
          <w:rFonts w:hint="eastAsia" w:ascii="宋体" w:hAnsi="宋体" w:eastAsia="宋体" w:cs="宋体"/>
          <w:b/>
          <w:color w:val="auto"/>
          <w:sz w:val="36"/>
          <w:szCs w:val="36"/>
          <w:highlight w:val="none"/>
          <w:u w:val="single"/>
        </w:rPr>
      </w:pPr>
    </w:p>
    <w:p w14:paraId="3F8AAE6E">
      <w:pPr>
        <w:ind w:firstLine="1995" w:firstLineChars="552"/>
        <w:rPr>
          <w:rFonts w:hint="eastAsia" w:ascii="宋体" w:hAnsi="宋体" w:eastAsia="宋体" w:cs="宋体"/>
          <w:b/>
          <w:color w:val="auto"/>
          <w:sz w:val="36"/>
          <w:szCs w:val="36"/>
          <w:highlight w:val="none"/>
          <w:u w:val="single"/>
        </w:rPr>
      </w:pPr>
    </w:p>
    <w:p w14:paraId="7CE5F4B5">
      <w:pPr>
        <w:ind w:firstLine="1995" w:firstLineChars="552"/>
        <w:rPr>
          <w:rFonts w:hint="eastAsia" w:ascii="宋体" w:hAnsi="宋体" w:eastAsia="宋体" w:cs="宋体"/>
          <w:b/>
          <w:color w:val="auto"/>
          <w:sz w:val="36"/>
          <w:szCs w:val="36"/>
          <w:highlight w:val="none"/>
          <w:u w:val="single"/>
        </w:rPr>
      </w:pPr>
    </w:p>
    <w:p w14:paraId="00EA40D5">
      <w:pPr>
        <w:tabs>
          <w:tab w:val="left" w:pos="7200"/>
        </w:tabs>
        <w:spacing w:line="360" w:lineRule="auto"/>
        <w:ind w:firstLine="1995" w:firstLineChars="552"/>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u w:val="single"/>
        </w:rPr>
        <w:t xml:space="preserve"> </w:t>
      </w:r>
      <w:bookmarkStart w:id="94" w:name="PO_3000001869_PM026"/>
      <w:r>
        <w:rPr>
          <w:rFonts w:hint="eastAsia" w:ascii="宋体" w:hAnsi="宋体" w:eastAsia="宋体" w:cs="宋体"/>
          <w:b/>
          <w:color w:val="auto"/>
          <w:sz w:val="36"/>
          <w:szCs w:val="36"/>
          <w:highlight w:val="none"/>
          <w:u w:val="single"/>
        </w:rPr>
        <w:t>广西民族大学</w:t>
      </w:r>
      <w:bookmarkEnd w:id="94"/>
      <w:r>
        <w:rPr>
          <w:rFonts w:hint="eastAsia" w:ascii="宋体" w:hAnsi="宋体" w:eastAsia="宋体" w:cs="宋体"/>
          <w:b/>
          <w:color w:val="auto"/>
          <w:sz w:val="36"/>
          <w:szCs w:val="36"/>
          <w:highlight w:val="none"/>
          <w:u w:val="single"/>
        </w:rPr>
        <w:t xml:space="preserve"> </w:t>
      </w:r>
    </w:p>
    <w:p w14:paraId="2E26E198">
      <w:pPr>
        <w:tabs>
          <w:tab w:val="left" w:pos="7380"/>
        </w:tabs>
        <w:spacing w:line="360" w:lineRule="auto"/>
        <w:ind w:firstLine="1995" w:firstLineChars="552"/>
        <w:rPr>
          <w:rFonts w:hint="eastAsia" w:ascii="宋体" w:hAnsi="宋体" w:eastAsia="宋体" w:cs="宋体"/>
          <w:b/>
          <w:bCs/>
          <w:color w:val="auto"/>
          <w:sz w:val="44"/>
          <w:highlight w:val="none"/>
        </w:rPr>
      </w:pPr>
      <w:r>
        <w:rPr>
          <w:rFonts w:hint="eastAsia" w:ascii="宋体" w:hAnsi="宋体" w:eastAsia="宋体" w:cs="宋体"/>
          <w:b/>
          <w:color w:val="auto"/>
          <w:sz w:val="36"/>
          <w:szCs w:val="36"/>
          <w:highlight w:val="none"/>
        </w:rPr>
        <w:t>中标人：</w:t>
      </w:r>
      <w:r>
        <w:rPr>
          <w:rFonts w:hint="eastAsia" w:ascii="宋体" w:hAnsi="宋体" w:eastAsia="宋体" w:cs="宋体"/>
          <w:b/>
          <w:color w:val="auto"/>
          <w:sz w:val="36"/>
          <w:szCs w:val="36"/>
          <w:highlight w:val="none"/>
          <w:u w:val="single"/>
        </w:rPr>
        <w:t xml:space="preserve">          </w:t>
      </w:r>
    </w:p>
    <w:p w14:paraId="217959D5">
      <w:pPr>
        <w:tabs>
          <w:tab w:val="left" w:pos="7380"/>
        </w:tabs>
        <w:spacing w:line="360" w:lineRule="auto"/>
        <w:rPr>
          <w:rFonts w:hint="eastAsia" w:ascii="宋体" w:hAnsi="宋体" w:eastAsia="宋体" w:cs="宋体"/>
          <w:b/>
          <w:bCs/>
          <w:color w:val="auto"/>
          <w:sz w:val="44"/>
          <w:highlight w:val="none"/>
        </w:rPr>
      </w:pPr>
    </w:p>
    <w:p w14:paraId="76C364A7">
      <w:pPr>
        <w:tabs>
          <w:tab w:val="left" w:pos="7380"/>
        </w:tabs>
        <w:spacing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签订时间：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p>
    <w:p w14:paraId="3C2D1BF3">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73F4D5E7">
      <w:pPr>
        <w:snapToGrid w:val="0"/>
        <w:spacing w:line="40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《广西壮族自治区政府采购合同》</w:t>
      </w:r>
      <w:r>
        <w:rPr>
          <w:rFonts w:hint="eastAsia" w:ascii="宋体" w:hAnsi="宋体" w:eastAsia="宋体" w:cs="宋体"/>
          <w:b/>
          <w:color w:val="auto"/>
          <w:sz w:val="36"/>
          <w:szCs w:val="36"/>
          <w:highlight w:val="none"/>
        </w:rPr>
        <w:t>文本</w:t>
      </w:r>
    </w:p>
    <w:p w14:paraId="154AAF55">
      <w:pPr>
        <w:snapToGrid w:val="0"/>
        <w:spacing w:line="400" w:lineRule="exact"/>
        <w:ind w:right="480" w:firstLine="5250" w:firstLineChars="2500"/>
        <w:rPr>
          <w:rFonts w:hint="eastAsia" w:ascii="宋体" w:hAnsi="宋体" w:eastAsia="宋体" w:cs="宋体"/>
          <w:bCs/>
          <w:color w:val="auto"/>
          <w:szCs w:val="21"/>
          <w:highlight w:val="none"/>
        </w:rPr>
      </w:pPr>
    </w:p>
    <w:p w14:paraId="1CD50FA4">
      <w:pPr>
        <w:snapToGrid w:val="0"/>
        <w:spacing w:line="360" w:lineRule="exact"/>
        <w:rPr>
          <w:rFonts w:hint="eastAsia" w:ascii="宋体" w:hAnsi="宋体" w:eastAsia="宋体" w:cs="宋体"/>
          <w:color w:val="auto"/>
          <w:szCs w:val="21"/>
          <w:highlight w:val="none"/>
        </w:rPr>
      </w:pPr>
    </w:p>
    <w:p w14:paraId="359822E8">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采购人（甲方）</w:t>
      </w:r>
      <w:r>
        <w:rPr>
          <w:rFonts w:hint="eastAsia" w:ascii="宋体" w:hAnsi="宋体" w:eastAsia="宋体" w:cs="宋体"/>
          <w:color w:val="auto"/>
          <w:sz w:val="24"/>
          <w:highlight w:val="none"/>
          <w:u w:val="single"/>
        </w:rPr>
        <w:t xml:space="preserve">   广西民族大学             </w:t>
      </w:r>
      <w:r>
        <w:rPr>
          <w:rFonts w:hint="eastAsia" w:ascii="宋体" w:hAnsi="宋体" w:eastAsia="宋体" w:cs="宋体"/>
          <w:color w:val="auto"/>
          <w:sz w:val="24"/>
          <w:highlight w:val="none"/>
        </w:rPr>
        <w:t xml:space="preserve">  </w:t>
      </w:r>
      <w:r>
        <w:rPr>
          <w:rFonts w:hint="eastAsia" w:ascii="宋体" w:hAnsi="宋体" w:eastAsia="宋体" w:cs="宋体"/>
          <w:color w:val="auto"/>
          <w:spacing w:val="-20"/>
          <w:sz w:val="24"/>
          <w:highlight w:val="none"/>
        </w:rPr>
        <w:t>采 购 计 划 号</w:t>
      </w:r>
      <w:r>
        <w:rPr>
          <w:rFonts w:hint="eastAsia" w:ascii="宋体" w:hAnsi="宋体" w:eastAsia="宋体" w:cs="宋体"/>
          <w:color w:val="auto"/>
          <w:sz w:val="24"/>
          <w:highlight w:val="none"/>
          <w:u w:val="single"/>
        </w:rPr>
        <w:t xml:space="preserve">             </w:t>
      </w:r>
    </w:p>
    <w:p w14:paraId="7F8C1F6C">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 应 商（乙方）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20"/>
          <w:sz w:val="24"/>
          <w:highlight w:val="none"/>
        </w:rPr>
        <w:t>招  标  编  号</w:t>
      </w:r>
      <w:r>
        <w:rPr>
          <w:rFonts w:hint="eastAsia" w:ascii="宋体" w:hAnsi="宋体" w:eastAsia="宋体" w:cs="宋体"/>
          <w:color w:val="auto"/>
          <w:sz w:val="24"/>
          <w:highlight w:val="none"/>
          <w:u w:val="single"/>
        </w:rPr>
        <w:t xml:space="preserve">             </w:t>
      </w:r>
    </w:p>
    <w:p w14:paraId="0831159F">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签  订  地  点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签 订 时 间</w:t>
      </w:r>
      <w:r>
        <w:rPr>
          <w:rFonts w:hint="eastAsia" w:ascii="宋体" w:hAnsi="宋体" w:eastAsia="宋体" w:cs="宋体"/>
          <w:color w:val="auto"/>
          <w:sz w:val="24"/>
          <w:highlight w:val="none"/>
          <w:u w:val="single"/>
        </w:rPr>
        <w:t xml:space="preserve">             </w:t>
      </w:r>
    </w:p>
    <w:p w14:paraId="07504535">
      <w:pPr>
        <w:snapToGrid w:val="0"/>
        <w:spacing w:line="360" w:lineRule="auto"/>
        <w:rPr>
          <w:rFonts w:hint="eastAsia" w:ascii="宋体" w:hAnsi="宋体" w:eastAsia="宋体" w:cs="宋体"/>
          <w:color w:val="auto"/>
          <w:sz w:val="24"/>
          <w:highlight w:val="none"/>
          <w:u w:val="single"/>
        </w:rPr>
      </w:pPr>
    </w:p>
    <w:p w14:paraId="2F3C91C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根据《中华人民共和国政府采购法》、《中华人民共和国民法典》等法律、法规规定，按照招标文件（采购文件）规定条款和中标（成交）人承诺，甲乙双方签订本合同。</w:t>
      </w:r>
    </w:p>
    <w:p w14:paraId="54CF2038">
      <w:pPr>
        <w:pStyle w:val="72"/>
        <w:numPr>
          <w:ilvl w:val="0"/>
          <w:numId w:val="3"/>
        </w:numPr>
        <w:spacing w:line="360" w:lineRule="auto"/>
        <w:ind w:firstLineChars="0"/>
        <w:rPr>
          <w:rFonts w:hint="eastAsia" w:ascii="宋体" w:hAnsi="宋体" w:eastAsia="宋体" w:cs="宋体"/>
          <w:color w:val="auto"/>
          <w:sz w:val="24"/>
          <w:highlight w:val="none"/>
        </w:rPr>
      </w:pPr>
      <w:r>
        <w:rPr>
          <w:rFonts w:hint="eastAsia" w:ascii="宋体" w:hAnsi="宋体" w:eastAsia="宋体" w:cs="宋体"/>
          <w:b/>
          <w:color w:val="auto"/>
          <w:sz w:val="24"/>
          <w:highlight w:val="none"/>
        </w:rPr>
        <w:t>合同标的</w:t>
      </w:r>
    </w:p>
    <w:p w14:paraId="54FD7E71">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1、提供车辆类型及数量：</w:t>
      </w:r>
      <w:r>
        <w:rPr>
          <w:rFonts w:hint="eastAsia" w:ascii="宋体" w:hAnsi="宋体" w:eastAsia="宋体" w:cs="宋体"/>
          <w:color w:val="auto"/>
          <w:sz w:val="24"/>
          <w:highlight w:val="none"/>
        </w:rPr>
        <w:t>49座位及以上核定载客人数的豪华空调大型客车3辆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下称日常通勤车</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及1辆5座小型客车</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下称应急通勤车</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14:paraId="17E3029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2、车辆用途：</w:t>
      </w:r>
    </w:p>
    <w:p w14:paraId="32B17A1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（一）3辆</w:t>
      </w:r>
      <w:r>
        <w:rPr>
          <w:rFonts w:hint="eastAsia" w:ascii="宋体" w:hAnsi="宋体" w:eastAsia="宋体" w:cs="宋体"/>
          <w:color w:val="auto"/>
          <w:sz w:val="24"/>
          <w:highlight w:val="none"/>
          <w:lang w:val="en-US" w:eastAsia="zh-CN"/>
        </w:rPr>
        <w:t>日常通勤车</w:t>
      </w:r>
      <w:r>
        <w:rPr>
          <w:rFonts w:hint="eastAsia" w:ascii="宋体" w:hAnsi="宋体" w:eastAsia="宋体" w:cs="宋体"/>
          <w:color w:val="auto"/>
          <w:sz w:val="24"/>
          <w:highlight w:val="none"/>
        </w:rPr>
        <w:t>：</w:t>
      </w:r>
    </w:p>
    <w:p w14:paraId="4B96BAD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主要用于接送相思湖校区至武鸣校区区间教职工上下班，工作日每天按不同时间段发车往返武鸣校区一趟。如有临时用车，租赁费用按照中标单价乘以实际运行车次另行计算。</w:t>
      </w:r>
    </w:p>
    <w:p w14:paraId="0EA856C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（二）1辆</w:t>
      </w:r>
      <w:r>
        <w:rPr>
          <w:rFonts w:hint="eastAsia" w:ascii="宋体" w:hAnsi="宋体" w:eastAsia="宋体" w:cs="宋体"/>
          <w:color w:val="auto"/>
          <w:sz w:val="24"/>
          <w:highlight w:val="none"/>
          <w:lang w:val="en-US" w:eastAsia="zh-CN"/>
        </w:rPr>
        <w:t>应急通勤车</w:t>
      </w:r>
      <w:r>
        <w:rPr>
          <w:rFonts w:hint="eastAsia" w:ascii="宋体" w:hAnsi="宋体" w:eastAsia="宋体" w:cs="宋体"/>
          <w:color w:val="auto"/>
          <w:sz w:val="24"/>
          <w:highlight w:val="none"/>
        </w:rPr>
        <w:t>：</w:t>
      </w:r>
    </w:p>
    <w:p w14:paraId="467754C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为了解决我校武鸣校区各部门、各学院遇到突发事件，武鸣校区打车不方便，学生晚上有事、生病外出医院看病，外出武鸣城区和南宁市城区内紧急公务等用车的问题，武鸣校区预留1辆</w:t>
      </w:r>
      <w:r>
        <w:rPr>
          <w:rFonts w:hint="eastAsia" w:ascii="宋体" w:hAnsi="宋体" w:eastAsia="宋体" w:cs="宋体"/>
          <w:color w:val="auto"/>
          <w:sz w:val="24"/>
          <w:highlight w:val="none"/>
          <w:lang w:val="en-US" w:eastAsia="zh-CN"/>
        </w:rPr>
        <w:t>应急</w:t>
      </w:r>
      <w:r>
        <w:rPr>
          <w:rFonts w:hint="eastAsia" w:ascii="宋体" w:hAnsi="宋体" w:eastAsia="宋体" w:cs="宋体"/>
          <w:color w:val="auto"/>
          <w:sz w:val="24"/>
          <w:highlight w:val="none"/>
        </w:rPr>
        <w:t>通勤车，并安排相应的驾驶员，24小时常驻武鸣校区值班，以备应急使用。</w:t>
      </w:r>
    </w:p>
    <w:p w14:paraId="299C9F62">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3、运行路线及距离：</w:t>
      </w:r>
      <w:r>
        <w:rPr>
          <w:rFonts w:hint="eastAsia" w:ascii="宋体" w:hAnsi="宋体" w:eastAsia="宋体" w:cs="宋体"/>
          <w:color w:val="auto"/>
          <w:sz w:val="24"/>
          <w:highlight w:val="none"/>
        </w:rPr>
        <w:t>相思湖校区北门-安吉西津站地铁口-武鸣绿地-武鸣校区，单程65公里，往返130公里。按照武鸣校区教学作息时间制订和调整发车。</w:t>
      </w:r>
    </w:p>
    <w:p w14:paraId="37CA3F8E">
      <w:pPr>
        <w:pStyle w:val="72"/>
        <w:numPr>
          <w:ilvl w:val="0"/>
          <w:numId w:val="3"/>
        </w:numPr>
        <w:spacing w:line="360" w:lineRule="auto"/>
        <w:ind w:firstLine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服务期限</w:t>
      </w:r>
    </w:p>
    <w:p w14:paraId="293ADB8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服务期限：叁年，从 2025年9月1日起至2028年8月31日止（包含节假日和国家法定的休息日）。</w:t>
      </w:r>
    </w:p>
    <w:p w14:paraId="5BC4CDEC">
      <w:pPr>
        <w:pStyle w:val="72"/>
        <w:numPr>
          <w:ilvl w:val="0"/>
          <w:numId w:val="3"/>
        </w:numPr>
        <w:spacing w:line="360" w:lineRule="auto"/>
        <w:ind w:firstLine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合同金额</w:t>
      </w:r>
    </w:p>
    <w:p w14:paraId="6B298ED9">
      <w:pPr>
        <w:spacing w:line="360" w:lineRule="auto"/>
        <w:ind w:firstLine="480" w:firstLineChars="200"/>
        <w:rPr>
          <w:rFonts w:hint="eastAsia" w:ascii="宋体" w:hAnsi="宋体" w:eastAsia="宋体" w:cs="宋体"/>
          <w:color w:val="auto"/>
          <w:sz w:val="24"/>
          <w:highlight w:val="none"/>
        </w:rPr>
      </w:pPr>
    </w:p>
    <w:p w14:paraId="1D8034E7">
      <w:pPr>
        <w:spacing w:line="360" w:lineRule="auto"/>
        <w:ind w:firstLine="480" w:firstLineChars="200"/>
        <w:rPr>
          <w:rFonts w:hint="eastAsia" w:ascii="宋体" w:hAnsi="宋体" w:eastAsia="宋体" w:cs="宋体"/>
          <w:color w:val="auto"/>
          <w:sz w:val="24"/>
          <w:highlight w:val="none"/>
        </w:rPr>
      </w:pPr>
    </w:p>
    <w:p w14:paraId="71E2FA2F">
      <w:pPr>
        <w:spacing w:line="360" w:lineRule="auto"/>
        <w:ind w:firstLine="480" w:firstLineChars="200"/>
        <w:rPr>
          <w:rFonts w:hint="eastAsia" w:ascii="宋体" w:hAnsi="宋体" w:eastAsia="宋体" w:cs="宋体"/>
          <w:color w:val="auto"/>
          <w:sz w:val="24"/>
          <w:highlight w:val="none"/>
        </w:rPr>
      </w:pPr>
    </w:p>
    <w:p w14:paraId="4A12F621">
      <w:pPr>
        <w:spacing w:line="360" w:lineRule="auto"/>
        <w:ind w:firstLine="480" w:firstLineChars="200"/>
        <w:rPr>
          <w:rFonts w:hint="eastAsia" w:ascii="宋体" w:hAnsi="宋体" w:eastAsia="宋体" w:cs="宋体"/>
          <w:color w:val="auto"/>
          <w:sz w:val="24"/>
          <w:highlight w:val="none"/>
        </w:rPr>
      </w:pPr>
    </w:p>
    <w:p w14:paraId="713F6E8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1、合同价</w:t>
      </w:r>
    </w:p>
    <w:tbl>
      <w:tblPr>
        <w:tblStyle w:val="43"/>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49"/>
        <w:gridCol w:w="928"/>
        <w:gridCol w:w="1360"/>
        <w:gridCol w:w="1512"/>
        <w:gridCol w:w="968"/>
        <w:gridCol w:w="1136"/>
        <w:gridCol w:w="1528"/>
      </w:tblGrid>
      <w:tr w14:paraId="3BB3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470FFA2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49" w:type="dxa"/>
            <w:tcBorders>
              <w:top w:val="single" w:color="auto" w:sz="4" w:space="0"/>
              <w:left w:val="single" w:color="auto" w:sz="4" w:space="0"/>
              <w:bottom w:val="single" w:color="auto" w:sz="4" w:space="0"/>
              <w:right w:val="single" w:color="auto" w:sz="4" w:space="0"/>
            </w:tcBorders>
            <w:vAlign w:val="center"/>
          </w:tcPr>
          <w:p w14:paraId="51F2DDE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928" w:type="dxa"/>
            <w:tcBorders>
              <w:top w:val="single" w:color="auto" w:sz="4" w:space="0"/>
              <w:left w:val="single" w:color="auto" w:sz="4" w:space="0"/>
              <w:bottom w:val="single" w:color="auto" w:sz="4" w:space="0"/>
              <w:right w:val="single" w:color="auto" w:sz="4" w:space="0"/>
            </w:tcBorders>
            <w:vAlign w:val="center"/>
          </w:tcPr>
          <w:p w14:paraId="04AC177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数量（辆）</w:t>
            </w:r>
          </w:p>
        </w:tc>
        <w:tc>
          <w:tcPr>
            <w:tcW w:w="1360" w:type="dxa"/>
            <w:tcBorders>
              <w:top w:val="single" w:color="auto" w:sz="4" w:space="0"/>
              <w:left w:val="single" w:color="auto" w:sz="4" w:space="0"/>
              <w:right w:val="single" w:color="auto" w:sz="4" w:space="0"/>
            </w:tcBorders>
            <w:vAlign w:val="center"/>
          </w:tcPr>
          <w:p w14:paraId="67FE284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512" w:type="dxa"/>
            <w:tcBorders>
              <w:top w:val="single" w:color="auto" w:sz="4" w:space="0"/>
              <w:left w:val="single" w:color="auto" w:sz="4" w:space="0"/>
              <w:right w:val="single" w:color="auto" w:sz="4" w:space="0"/>
            </w:tcBorders>
            <w:vAlign w:val="center"/>
          </w:tcPr>
          <w:p w14:paraId="03A0268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预计每年运行天数（天）</w:t>
            </w:r>
          </w:p>
        </w:tc>
        <w:tc>
          <w:tcPr>
            <w:tcW w:w="968" w:type="dxa"/>
            <w:tcBorders>
              <w:top w:val="single" w:color="auto" w:sz="4" w:space="0"/>
              <w:left w:val="single" w:color="auto" w:sz="4" w:space="0"/>
              <w:right w:val="single" w:color="auto" w:sz="4" w:space="0"/>
            </w:tcBorders>
            <w:vAlign w:val="center"/>
          </w:tcPr>
          <w:p w14:paraId="4270853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年限（年）</w:t>
            </w:r>
          </w:p>
        </w:tc>
        <w:tc>
          <w:tcPr>
            <w:tcW w:w="1136" w:type="dxa"/>
            <w:tcBorders>
              <w:top w:val="single" w:color="auto" w:sz="4" w:space="0"/>
              <w:left w:val="single" w:color="auto" w:sz="4" w:space="0"/>
              <w:bottom w:val="single" w:color="auto" w:sz="4" w:space="0"/>
              <w:right w:val="single" w:color="auto" w:sz="4" w:space="0"/>
            </w:tcBorders>
            <w:vAlign w:val="center"/>
          </w:tcPr>
          <w:p w14:paraId="7DB6149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折扣率（%）</w:t>
            </w:r>
          </w:p>
        </w:tc>
        <w:tc>
          <w:tcPr>
            <w:tcW w:w="1528" w:type="dxa"/>
            <w:tcBorders>
              <w:top w:val="single" w:color="auto" w:sz="4" w:space="0"/>
              <w:left w:val="single" w:color="auto" w:sz="4" w:space="0"/>
              <w:bottom w:val="single" w:color="auto" w:sz="4" w:space="0"/>
              <w:right w:val="single" w:color="auto" w:sz="4" w:space="0"/>
            </w:tcBorders>
            <w:vAlign w:val="center"/>
          </w:tcPr>
          <w:p w14:paraId="681A709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预计金额</w:t>
            </w:r>
          </w:p>
        </w:tc>
      </w:tr>
      <w:tr w14:paraId="7619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48BF303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49" w:type="dxa"/>
            <w:tcBorders>
              <w:top w:val="single" w:color="auto" w:sz="4" w:space="0"/>
              <w:left w:val="single" w:color="auto" w:sz="4" w:space="0"/>
              <w:bottom w:val="single" w:color="auto" w:sz="4" w:space="0"/>
              <w:right w:val="single" w:color="auto" w:sz="4" w:space="0"/>
            </w:tcBorders>
            <w:vAlign w:val="center"/>
          </w:tcPr>
          <w:p w14:paraId="01280D0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日常通勤车</w:t>
            </w:r>
          </w:p>
        </w:tc>
        <w:tc>
          <w:tcPr>
            <w:tcW w:w="928" w:type="dxa"/>
            <w:tcBorders>
              <w:top w:val="single" w:color="auto" w:sz="4" w:space="0"/>
              <w:left w:val="single" w:color="auto" w:sz="4" w:space="0"/>
              <w:bottom w:val="single" w:color="auto" w:sz="4" w:space="0"/>
              <w:right w:val="single" w:color="auto" w:sz="4" w:space="0"/>
            </w:tcBorders>
            <w:vAlign w:val="center"/>
          </w:tcPr>
          <w:p w14:paraId="3F22CC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60" w:type="dxa"/>
            <w:tcBorders>
              <w:left w:val="single" w:color="auto" w:sz="4" w:space="0"/>
              <w:right w:val="single" w:color="auto" w:sz="4" w:space="0"/>
            </w:tcBorders>
          </w:tcPr>
          <w:p w14:paraId="76777D4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往返武鸣校区运行的单价，</w:t>
            </w:r>
            <w:r>
              <w:rPr>
                <w:rFonts w:hint="eastAsia" w:ascii="宋体" w:hAnsi="宋体" w:eastAsia="宋体" w:cs="宋体"/>
                <w:color w:val="auto"/>
                <w:sz w:val="24"/>
                <w:szCs w:val="24"/>
                <w:highlight w:val="none"/>
                <w:u w:val="single"/>
              </w:rPr>
              <w:t>1368</w:t>
            </w:r>
            <w:r>
              <w:rPr>
                <w:rFonts w:hint="eastAsia" w:ascii="宋体" w:hAnsi="宋体" w:eastAsia="宋体" w:cs="宋体"/>
                <w:color w:val="auto"/>
                <w:sz w:val="24"/>
                <w:szCs w:val="24"/>
                <w:highlight w:val="none"/>
              </w:rPr>
              <w:t>元/次/辆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预计</w:t>
            </w:r>
            <w:r>
              <w:rPr>
                <w:rFonts w:hint="eastAsia" w:ascii="宋体" w:hAnsi="宋体" w:eastAsia="宋体" w:cs="宋体"/>
                <w:color w:val="auto"/>
                <w:kern w:val="2"/>
                <w:sz w:val="24"/>
                <w:szCs w:val="24"/>
                <w:highlight w:val="none"/>
              </w:rPr>
              <w:t>每天发4趟车</w:t>
            </w:r>
            <w:r>
              <w:rPr>
                <w:rFonts w:hint="eastAsia" w:ascii="宋体" w:hAnsi="宋体" w:eastAsia="宋体" w:cs="宋体"/>
                <w:color w:val="auto"/>
                <w:kern w:val="2"/>
                <w:sz w:val="24"/>
                <w:szCs w:val="24"/>
                <w:highlight w:val="none"/>
                <w:lang w:eastAsia="zh-CN"/>
              </w:rPr>
              <w:t>）</w:t>
            </w:r>
          </w:p>
        </w:tc>
        <w:tc>
          <w:tcPr>
            <w:tcW w:w="1512" w:type="dxa"/>
            <w:tcBorders>
              <w:left w:val="single" w:color="auto" w:sz="4" w:space="0"/>
              <w:right w:val="single" w:color="auto" w:sz="4" w:space="0"/>
            </w:tcBorders>
            <w:vAlign w:val="center"/>
          </w:tcPr>
          <w:p w14:paraId="145F5FD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270</w:t>
            </w:r>
          </w:p>
        </w:tc>
        <w:tc>
          <w:tcPr>
            <w:tcW w:w="968" w:type="dxa"/>
            <w:tcBorders>
              <w:left w:val="single" w:color="auto" w:sz="4" w:space="0"/>
              <w:right w:val="single" w:color="auto" w:sz="4" w:space="0"/>
            </w:tcBorders>
            <w:vAlign w:val="center"/>
          </w:tcPr>
          <w:p w14:paraId="77E8996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36" w:type="dxa"/>
            <w:vMerge w:val="restart"/>
            <w:tcBorders>
              <w:top w:val="single" w:color="auto" w:sz="4" w:space="0"/>
              <w:left w:val="single" w:color="auto" w:sz="4" w:space="0"/>
              <w:right w:val="single" w:color="auto" w:sz="4" w:space="0"/>
            </w:tcBorders>
            <w:vAlign w:val="center"/>
          </w:tcPr>
          <w:p w14:paraId="339F177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p>
        </w:tc>
        <w:tc>
          <w:tcPr>
            <w:tcW w:w="1528" w:type="dxa"/>
            <w:tcBorders>
              <w:top w:val="single" w:color="auto" w:sz="4" w:space="0"/>
              <w:left w:val="single" w:color="auto" w:sz="4" w:space="0"/>
              <w:bottom w:val="single" w:color="auto" w:sz="4" w:space="0"/>
              <w:right w:val="single" w:color="auto" w:sz="4" w:space="0"/>
            </w:tcBorders>
          </w:tcPr>
          <w:p w14:paraId="64531AD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highlight w:val="none"/>
              </w:rPr>
            </w:pPr>
          </w:p>
        </w:tc>
      </w:tr>
      <w:tr w14:paraId="45DB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38" w:type="dxa"/>
            <w:vMerge w:val="restart"/>
            <w:tcBorders>
              <w:top w:val="single" w:color="auto" w:sz="4" w:space="0"/>
              <w:left w:val="single" w:color="auto" w:sz="4" w:space="0"/>
              <w:right w:val="single" w:color="auto" w:sz="4" w:space="0"/>
            </w:tcBorders>
            <w:vAlign w:val="center"/>
          </w:tcPr>
          <w:p w14:paraId="7F54D5D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49" w:type="dxa"/>
            <w:vMerge w:val="restart"/>
            <w:tcBorders>
              <w:top w:val="single" w:color="auto" w:sz="4" w:space="0"/>
              <w:left w:val="single" w:color="auto" w:sz="4" w:space="0"/>
              <w:right w:val="single" w:color="auto" w:sz="4" w:space="0"/>
            </w:tcBorders>
            <w:vAlign w:val="center"/>
          </w:tcPr>
          <w:p w14:paraId="4686268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1"/>
                <w:sz w:val="24"/>
                <w:szCs w:val="24"/>
                <w:highlight w:val="none"/>
                <w:lang w:val="en-US" w:eastAsia="zh-CN"/>
              </w:rPr>
              <w:t>应急通勤车</w:t>
            </w:r>
          </w:p>
        </w:tc>
        <w:tc>
          <w:tcPr>
            <w:tcW w:w="928" w:type="dxa"/>
            <w:vMerge w:val="restart"/>
            <w:tcBorders>
              <w:top w:val="single" w:color="auto" w:sz="4" w:space="0"/>
              <w:left w:val="single" w:color="auto" w:sz="4" w:space="0"/>
              <w:right w:val="single" w:color="auto" w:sz="4" w:space="0"/>
            </w:tcBorders>
            <w:vAlign w:val="center"/>
          </w:tcPr>
          <w:p w14:paraId="5971D7B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60" w:type="dxa"/>
            <w:tcBorders>
              <w:left w:val="single" w:color="auto" w:sz="4" w:space="0"/>
              <w:right w:val="single" w:color="auto" w:sz="4" w:space="0"/>
            </w:tcBorders>
          </w:tcPr>
          <w:p w14:paraId="470CF00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运行时每天的价格，</w:t>
            </w:r>
            <w:r>
              <w:rPr>
                <w:rFonts w:hint="eastAsia" w:ascii="宋体" w:hAnsi="宋体" w:eastAsia="宋体" w:cs="宋体"/>
                <w:color w:val="auto"/>
                <w:sz w:val="24"/>
                <w:szCs w:val="24"/>
                <w:highlight w:val="none"/>
                <w:u w:val="single"/>
              </w:rPr>
              <w:t>430</w:t>
            </w:r>
            <w:r>
              <w:rPr>
                <w:rFonts w:hint="eastAsia" w:ascii="宋体" w:hAnsi="宋体" w:eastAsia="宋体" w:cs="宋体"/>
                <w:color w:val="auto"/>
                <w:sz w:val="24"/>
                <w:szCs w:val="24"/>
                <w:highlight w:val="none"/>
              </w:rPr>
              <w:t>元/天/辆</w:t>
            </w:r>
          </w:p>
        </w:tc>
        <w:tc>
          <w:tcPr>
            <w:tcW w:w="1512" w:type="dxa"/>
            <w:vMerge w:val="restart"/>
            <w:tcBorders>
              <w:left w:val="single" w:color="auto" w:sz="4" w:space="0"/>
              <w:right w:val="single" w:color="auto" w:sz="4" w:space="0"/>
            </w:tcBorders>
            <w:vAlign w:val="center"/>
          </w:tcPr>
          <w:p w14:paraId="6876BD4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968" w:type="dxa"/>
            <w:vMerge w:val="restart"/>
            <w:tcBorders>
              <w:left w:val="single" w:color="auto" w:sz="4" w:space="0"/>
              <w:right w:val="single" w:color="auto" w:sz="4" w:space="0"/>
            </w:tcBorders>
            <w:vAlign w:val="center"/>
          </w:tcPr>
          <w:p w14:paraId="1CF7C0B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36" w:type="dxa"/>
            <w:vMerge w:val="continue"/>
            <w:tcBorders>
              <w:left w:val="single" w:color="auto" w:sz="4" w:space="0"/>
              <w:right w:val="single" w:color="auto" w:sz="4" w:space="0"/>
            </w:tcBorders>
            <w:vAlign w:val="center"/>
          </w:tcPr>
          <w:p w14:paraId="1156122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p>
        </w:tc>
        <w:tc>
          <w:tcPr>
            <w:tcW w:w="1528" w:type="dxa"/>
            <w:vMerge w:val="restart"/>
            <w:tcBorders>
              <w:left w:val="single" w:color="auto" w:sz="4" w:space="0"/>
              <w:right w:val="single" w:color="auto" w:sz="4" w:space="0"/>
            </w:tcBorders>
          </w:tcPr>
          <w:p w14:paraId="7E47B9D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highlight w:val="none"/>
              </w:rPr>
            </w:pPr>
          </w:p>
        </w:tc>
      </w:tr>
      <w:tr w14:paraId="46A5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38" w:type="dxa"/>
            <w:vMerge w:val="continue"/>
            <w:tcBorders>
              <w:left w:val="single" w:color="auto" w:sz="4" w:space="0"/>
              <w:bottom w:val="single" w:color="auto" w:sz="4" w:space="0"/>
              <w:right w:val="single" w:color="auto" w:sz="4" w:space="0"/>
            </w:tcBorders>
            <w:vAlign w:val="center"/>
          </w:tcPr>
          <w:p w14:paraId="22CCA7F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p>
        </w:tc>
        <w:tc>
          <w:tcPr>
            <w:tcW w:w="1349" w:type="dxa"/>
            <w:vMerge w:val="continue"/>
            <w:tcBorders>
              <w:left w:val="single" w:color="auto" w:sz="4" w:space="0"/>
              <w:bottom w:val="single" w:color="auto" w:sz="4" w:space="0"/>
              <w:right w:val="single" w:color="auto" w:sz="4" w:space="0"/>
            </w:tcBorders>
            <w:vAlign w:val="center"/>
          </w:tcPr>
          <w:p w14:paraId="4DD77E7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p>
        </w:tc>
        <w:tc>
          <w:tcPr>
            <w:tcW w:w="928" w:type="dxa"/>
            <w:vMerge w:val="continue"/>
            <w:tcBorders>
              <w:left w:val="single" w:color="auto" w:sz="4" w:space="0"/>
              <w:bottom w:val="single" w:color="auto" w:sz="4" w:space="0"/>
              <w:right w:val="single" w:color="auto" w:sz="4" w:space="0"/>
            </w:tcBorders>
            <w:vAlign w:val="center"/>
          </w:tcPr>
          <w:p w14:paraId="54D22BC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highlight w:val="none"/>
              </w:rPr>
            </w:pPr>
          </w:p>
        </w:tc>
        <w:tc>
          <w:tcPr>
            <w:tcW w:w="1360" w:type="dxa"/>
            <w:tcBorders>
              <w:left w:val="single" w:color="auto" w:sz="4" w:space="0"/>
              <w:bottom w:val="single" w:color="auto" w:sz="4" w:space="0"/>
              <w:right w:val="single" w:color="auto" w:sz="4" w:space="0"/>
            </w:tcBorders>
          </w:tcPr>
          <w:p w14:paraId="4F9D218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未运行时每天的价格，</w:t>
            </w:r>
            <w:r>
              <w:rPr>
                <w:rFonts w:hint="eastAsia" w:ascii="宋体" w:hAnsi="宋体" w:eastAsia="宋体" w:cs="宋体"/>
                <w:color w:val="auto"/>
                <w:sz w:val="24"/>
                <w:szCs w:val="24"/>
                <w:highlight w:val="none"/>
                <w:u w:val="single"/>
              </w:rPr>
              <w:t>330</w:t>
            </w:r>
            <w:r>
              <w:rPr>
                <w:rFonts w:hint="eastAsia" w:ascii="宋体" w:hAnsi="宋体" w:eastAsia="宋体" w:cs="宋体"/>
                <w:color w:val="auto"/>
                <w:sz w:val="24"/>
                <w:szCs w:val="24"/>
                <w:highlight w:val="none"/>
              </w:rPr>
              <w:t>元/天/辆</w:t>
            </w:r>
          </w:p>
        </w:tc>
        <w:tc>
          <w:tcPr>
            <w:tcW w:w="1512" w:type="dxa"/>
            <w:vMerge w:val="continue"/>
            <w:tcBorders>
              <w:left w:val="single" w:color="auto" w:sz="4" w:space="0"/>
              <w:bottom w:val="single" w:color="auto" w:sz="4" w:space="0"/>
              <w:right w:val="single" w:color="auto" w:sz="4" w:space="0"/>
            </w:tcBorders>
          </w:tcPr>
          <w:p w14:paraId="0F9E5CF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p>
        </w:tc>
        <w:tc>
          <w:tcPr>
            <w:tcW w:w="968" w:type="dxa"/>
            <w:vMerge w:val="continue"/>
            <w:tcBorders>
              <w:left w:val="single" w:color="auto" w:sz="4" w:space="0"/>
              <w:bottom w:val="single" w:color="auto" w:sz="4" w:space="0"/>
              <w:right w:val="single" w:color="auto" w:sz="4" w:space="0"/>
            </w:tcBorders>
          </w:tcPr>
          <w:p w14:paraId="7420F90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p>
        </w:tc>
        <w:tc>
          <w:tcPr>
            <w:tcW w:w="1136" w:type="dxa"/>
            <w:vMerge w:val="continue"/>
            <w:tcBorders>
              <w:left w:val="single" w:color="auto" w:sz="4" w:space="0"/>
              <w:bottom w:val="single" w:color="auto" w:sz="4" w:space="0"/>
              <w:right w:val="single" w:color="auto" w:sz="4" w:space="0"/>
            </w:tcBorders>
            <w:vAlign w:val="center"/>
          </w:tcPr>
          <w:p w14:paraId="4F841EB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p>
        </w:tc>
        <w:tc>
          <w:tcPr>
            <w:tcW w:w="1528" w:type="dxa"/>
            <w:vMerge w:val="continue"/>
            <w:tcBorders>
              <w:left w:val="single" w:color="auto" w:sz="4" w:space="0"/>
              <w:bottom w:val="single" w:color="auto" w:sz="4" w:space="0"/>
              <w:right w:val="single" w:color="auto" w:sz="4" w:space="0"/>
            </w:tcBorders>
          </w:tcPr>
          <w:p w14:paraId="551E72A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highlight w:val="none"/>
              </w:rPr>
            </w:pPr>
          </w:p>
        </w:tc>
      </w:tr>
      <w:tr w14:paraId="515F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19" w:type="dxa"/>
            <w:gridSpan w:val="8"/>
            <w:tcBorders>
              <w:left w:val="single" w:color="auto" w:sz="4" w:space="0"/>
              <w:bottom w:val="single" w:color="auto" w:sz="4" w:space="0"/>
              <w:right w:val="single" w:color="auto" w:sz="4" w:space="0"/>
            </w:tcBorders>
            <w:vAlign w:val="center"/>
          </w:tcPr>
          <w:p w14:paraId="526D10C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合同预计金额合计：大写          小写：</w:t>
            </w:r>
          </w:p>
        </w:tc>
      </w:tr>
      <w:tr w14:paraId="4E9F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19" w:type="dxa"/>
            <w:gridSpan w:val="8"/>
            <w:tcBorders>
              <w:top w:val="single" w:color="auto" w:sz="4" w:space="0"/>
              <w:left w:val="single" w:color="auto" w:sz="4" w:space="0"/>
              <w:bottom w:val="single" w:color="auto" w:sz="4" w:space="0"/>
              <w:right w:val="single" w:color="auto" w:sz="4" w:space="0"/>
            </w:tcBorders>
            <w:vAlign w:val="center"/>
          </w:tcPr>
          <w:p w14:paraId="447BB54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bl>
    <w:p w14:paraId="43CFCA28">
      <w:pPr>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2、本项目</w:t>
      </w:r>
      <w:r>
        <w:rPr>
          <w:rFonts w:hint="eastAsia" w:ascii="宋体" w:hAnsi="宋体" w:eastAsia="宋体" w:cs="宋体"/>
          <w:color w:val="auto"/>
          <w:sz w:val="24"/>
          <w:highlight w:val="none"/>
          <w:lang w:val="en-US" w:eastAsia="zh-CN"/>
        </w:rPr>
        <w:t>日常通勤车</w:t>
      </w:r>
      <w:r>
        <w:rPr>
          <w:rFonts w:hint="eastAsia" w:ascii="宋体" w:hAnsi="宋体" w:eastAsia="宋体" w:cs="宋体"/>
          <w:color w:val="auto"/>
          <w:sz w:val="24"/>
          <w:highlight w:val="none"/>
        </w:rPr>
        <w:t>最终按实际运行往返次数</w:t>
      </w:r>
      <w:r>
        <w:rPr>
          <w:rFonts w:hint="default" w:ascii="宋体" w:hAnsi="宋体" w:eastAsia="宋体" w:cs="宋体"/>
          <w:color w:val="auto"/>
          <w:sz w:val="24"/>
          <w:highlight w:val="none"/>
          <w:lang w:val="en-US"/>
        </w:rPr>
        <w:t>乘以</w:t>
      </w:r>
      <w:r>
        <w:rPr>
          <w:rFonts w:hint="eastAsia" w:ascii="宋体" w:hAnsi="宋体" w:eastAsia="宋体" w:cs="宋体"/>
          <w:color w:val="auto"/>
          <w:sz w:val="24"/>
          <w:highlight w:val="none"/>
          <w:lang w:val="en-US" w:eastAsia="zh-CN"/>
        </w:rPr>
        <w:t>单价乘以中标折扣率</w:t>
      </w:r>
      <w:r>
        <w:rPr>
          <w:rFonts w:hint="eastAsia" w:ascii="宋体" w:hAnsi="宋体" w:eastAsia="宋体" w:cs="宋体"/>
          <w:color w:val="auto"/>
          <w:sz w:val="24"/>
          <w:highlight w:val="none"/>
        </w:rPr>
        <w:t>进行结算；</w:t>
      </w:r>
      <w:r>
        <w:rPr>
          <w:rFonts w:hint="eastAsia" w:ascii="宋体" w:hAnsi="宋体" w:eastAsia="宋体" w:cs="宋体"/>
          <w:color w:val="auto"/>
          <w:sz w:val="24"/>
          <w:highlight w:val="none"/>
          <w:lang w:val="en-US" w:eastAsia="zh-CN"/>
        </w:rPr>
        <w:t>应急通勤车</w:t>
      </w:r>
      <w:r>
        <w:rPr>
          <w:rFonts w:hint="eastAsia" w:ascii="宋体" w:hAnsi="宋体" w:eastAsia="宋体" w:cs="宋体"/>
          <w:color w:val="auto"/>
          <w:sz w:val="24"/>
          <w:highlight w:val="none"/>
        </w:rPr>
        <w:t>运行时按运行</w:t>
      </w:r>
      <w:r>
        <w:rPr>
          <w:rFonts w:hint="eastAsia" w:ascii="宋体" w:hAnsi="宋体" w:eastAsia="宋体" w:cs="宋体"/>
          <w:color w:val="auto"/>
          <w:sz w:val="24"/>
          <w:highlight w:val="none"/>
          <w:lang w:val="en-US" w:eastAsia="zh-CN"/>
        </w:rPr>
        <w:t>时</w:t>
      </w:r>
      <w:r>
        <w:rPr>
          <w:rFonts w:hint="eastAsia" w:ascii="宋体" w:hAnsi="宋体" w:eastAsia="宋体" w:cs="宋体"/>
          <w:color w:val="auto"/>
          <w:sz w:val="24"/>
          <w:highlight w:val="none"/>
        </w:rPr>
        <w:t>单价乘以</w:t>
      </w:r>
      <w:r>
        <w:rPr>
          <w:rFonts w:hint="eastAsia" w:ascii="宋体" w:hAnsi="宋体" w:eastAsia="宋体" w:cs="宋体"/>
          <w:color w:val="auto"/>
          <w:sz w:val="24"/>
          <w:highlight w:val="none"/>
          <w:lang w:val="en-US" w:eastAsia="zh-CN"/>
        </w:rPr>
        <w:t>中标折扣率乘以</w:t>
      </w:r>
      <w:r>
        <w:rPr>
          <w:rFonts w:hint="eastAsia" w:ascii="宋体" w:hAnsi="宋体" w:eastAsia="宋体" w:cs="宋体"/>
          <w:color w:val="auto"/>
          <w:sz w:val="24"/>
          <w:highlight w:val="none"/>
        </w:rPr>
        <w:t>运行天数结算，未运行时按未运行</w:t>
      </w:r>
      <w:r>
        <w:rPr>
          <w:rFonts w:hint="eastAsia" w:ascii="宋体" w:hAnsi="宋体" w:eastAsia="宋体" w:cs="宋体"/>
          <w:color w:val="auto"/>
          <w:sz w:val="24"/>
          <w:highlight w:val="none"/>
          <w:lang w:val="en-US" w:eastAsia="zh-CN"/>
        </w:rPr>
        <w:t>时</w:t>
      </w:r>
      <w:r>
        <w:rPr>
          <w:rFonts w:hint="eastAsia" w:ascii="宋体" w:hAnsi="宋体" w:eastAsia="宋体" w:cs="宋体"/>
          <w:color w:val="auto"/>
          <w:sz w:val="24"/>
          <w:highlight w:val="none"/>
        </w:rPr>
        <w:t>单价</w:t>
      </w:r>
      <w:r>
        <w:rPr>
          <w:rFonts w:hint="eastAsia" w:ascii="宋体" w:hAnsi="宋体" w:eastAsia="宋体" w:cs="宋体"/>
          <w:color w:val="auto"/>
          <w:sz w:val="24"/>
          <w:highlight w:val="none"/>
          <w:lang w:val="en-US" w:eastAsia="zh-CN"/>
        </w:rPr>
        <w:t>乘以中标折扣率</w:t>
      </w:r>
      <w:r>
        <w:rPr>
          <w:rFonts w:hint="eastAsia" w:ascii="宋体" w:hAnsi="宋体" w:eastAsia="宋体" w:cs="宋体"/>
          <w:color w:val="auto"/>
          <w:sz w:val="24"/>
          <w:highlight w:val="none"/>
        </w:rPr>
        <w:t>乘以等待天数结算(注：寒暑假不安排应急</w:t>
      </w:r>
      <w:r>
        <w:rPr>
          <w:rFonts w:hint="eastAsia" w:ascii="宋体" w:hAnsi="宋体" w:eastAsia="宋体" w:cs="宋体"/>
          <w:color w:val="auto"/>
          <w:sz w:val="24"/>
          <w:highlight w:val="none"/>
          <w:lang w:val="en-US" w:eastAsia="zh-CN"/>
        </w:rPr>
        <w:t>通勤车</w:t>
      </w:r>
      <w:r>
        <w:rPr>
          <w:rFonts w:hint="eastAsia" w:ascii="宋体" w:hAnsi="宋体" w:eastAsia="宋体" w:cs="宋体"/>
          <w:color w:val="auto"/>
          <w:sz w:val="24"/>
          <w:highlight w:val="none"/>
        </w:rPr>
        <w:t>，因此等待天数不包括寒暑假)。</w:t>
      </w:r>
    </w:p>
    <w:p w14:paraId="4520261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3、合同金额包括服务范围内所发生的租赁车辆的季审、年审、轮胎、维修、燃料、供养、税金、营运费、管理费、司机的薪金、购置交强险和乘客意外事故险商业险等一切费用。</w:t>
      </w:r>
    </w:p>
    <w:p w14:paraId="17C7EC07">
      <w:pPr>
        <w:pStyle w:val="72"/>
        <w:numPr>
          <w:ilvl w:val="0"/>
          <w:numId w:val="3"/>
        </w:numPr>
        <w:spacing w:line="360" w:lineRule="auto"/>
        <w:ind w:firstLine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质量保证</w:t>
      </w:r>
    </w:p>
    <w:p w14:paraId="6623D15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乙方所提供的服务及服务内容必须与投标文件承诺相一致，有国家强制性标准的，还必须符合国家强制性标准的规定，没有国家强制性标准但有其他强制性标准的，必须符合其他强制性标准的规定。</w:t>
      </w:r>
    </w:p>
    <w:p w14:paraId="7DB69AA0">
      <w:pPr>
        <w:pStyle w:val="72"/>
        <w:numPr>
          <w:ilvl w:val="0"/>
          <w:numId w:val="3"/>
        </w:numPr>
        <w:spacing w:line="360" w:lineRule="auto"/>
        <w:ind w:firstLine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权利保证</w:t>
      </w:r>
    </w:p>
    <w:p w14:paraId="0B8E70D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1、乙方应保证所提供服务在使用时不会侵犯任何第三方的专利权、商标权、工业设计权等知识产权及其他合法权利，且所有权、处分权等没有受到任何限制。</w:t>
      </w:r>
    </w:p>
    <w:p w14:paraId="2D479F8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没有甲方事先书面同意，乙方不得将由甲方提供的有关合同或者任何合同条文、规格、计划或者资料提供给与履行本合同无关的任何其他人。即使向履行本合同有关的人员提供，也应注意保密并限于履行合同的必需范围。乙方的保密义务持续有效，不因为本合同履行终止、解除或者无效而解除。</w:t>
      </w:r>
    </w:p>
    <w:p w14:paraId="41C899AA">
      <w:pPr>
        <w:pStyle w:val="72"/>
        <w:numPr>
          <w:ilvl w:val="0"/>
          <w:numId w:val="3"/>
        </w:numPr>
        <w:spacing w:line="360" w:lineRule="auto"/>
        <w:ind w:firstLine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服务要求</w:t>
      </w:r>
    </w:p>
    <w:p w14:paraId="541C3EB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按采购文件第二章采购需求的规定。</w:t>
      </w:r>
    </w:p>
    <w:p w14:paraId="1CDD7C1A">
      <w:pPr>
        <w:pStyle w:val="72"/>
        <w:numPr>
          <w:ilvl w:val="0"/>
          <w:numId w:val="3"/>
        </w:numPr>
        <w:spacing w:line="360" w:lineRule="auto"/>
        <w:ind w:firstLine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付款方式</w:t>
      </w:r>
    </w:p>
    <w:p w14:paraId="0F9FD588">
      <w:pPr>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付款方式：按月据实结算</w:t>
      </w:r>
    </w:p>
    <w:p w14:paraId="3D32DB2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日常通勤车</w:t>
      </w:r>
      <w:r>
        <w:rPr>
          <w:rFonts w:hint="eastAsia" w:ascii="宋体" w:hAnsi="宋体" w:eastAsia="宋体" w:cs="宋体"/>
          <w:color w:val="auto"/>
          <w:sz w:val="24"/>
          <w:highlight w:val="none"/>
        </w:rPr>
        <w:t>最终按实际运行往返次数乘以</w:t>
      </w:r>
      <w:r>
        <w:rPr>
          <w:rFonts w:hint="eastAsia" w:ascii="宋体" w:hAnsi="宋体" w:eastAsia="宋体" w:cs="宋体"/>
          <w:color w:val="auto"/>
          <w:sz w:val="24"/>
          <w:highlight w:val="none"/>
          <w:lang w:val="en-US" w:eastAsia="zh-CN"/>
        </w:rPr>
        <w:t>单价乘以中标折扣率</w:t>
      </w:r>
      <w:r>
        <w:rPr>
          <w:rFonts w:hint="eastAsia" w:ascii="宋体" w:hAnsi="宋体" w:eastAsia="宋体" w:cs="宋体"/>
          <w:color w:val="auto"/>
          <w:sz w:val="24"/>
          <w:highlight w:val="none"/>
        </w:rPr>
        <w:t>进行结算；</w:t>
      </w:r>
      <w:r>
        <w:rPr>
          <w:rFonts w:hint="eastAsia" w:ascii="宋体" w:hAnsi="宋体" w:eastAsia="宋体" w:cs="宋体"/>
          <w:color w:val="auto"/>
          <w:sz w:val="24"/>
          <w:highlight w:val="none"/>
          <w:lang w:val="en-US" w:eastAsia="zh-CN"/>
        </w:rPr>
        <w:t>应急通勤车</w:t>
      </w:r>
      <w:r>
        <w:rPr>
          <w:rFonts w:hint="eastAsia" w:ascii="宋体" w:hAnsi="宋体" w:eastAsia="宋体" w:cs="宋体"/>
          <w:color w:val="auto"/>
          <w:sz w:val="24"/>
          <w:highlight w:val="none"/>
        </w:rPr>
        <w:t>运行时按运行</w:t>
      </w:r>
      <w:r>
        <w:rPr>
          <w:rFonts w:hint="eastAsia" w:ascii="宋体" w:hAnsi="宋体" w:eastAsia="宋体" w:cs="宋体"/>
          <w:color w:val="auto"/>
          <w:sz w:val="24"/>
          <w:highlight w:val="none"/>
          <w:lang w:val="en-US" w:eastAsia="zh-CN"/>
        </w:rPr>
        <w:t>时</w:t>
      </w:r>
      <w:r>
        <w:rPr>
          <w:rFonts w:hint="eastAsia" w:ascii="宋体" w:hAnsi="宋体" w:eastAsia="宋体" w:cs="宋体"/>
          <w:color w:val="auto"/>
          <w:sz w:val="24"/>
          <w:highlight w:val="none"/>
        </w:rPr>
        <w:t>单价乘以</w:t>
      </w:r>
      <w:r>
        <w:rPr>
          <w:rFonts w:hint="eastAsia" w:ascii="宋体" w:hAnsi="宋体" w:eastAsia="宋体" w:cs="宋体"/>
          <w:color w:val="auto"/>
          <w:sz w:val="24"/>
          <w:highlight w:val="none"/>
          <w:lang w:val="en-US" w:eastAsia="zh-CN"/>
        </w:rPr>
        <w:t>中标折扣率乘以</w:t>
      </w:r>
      <w:r>
        <w:rPr>
          <w:rFonts w:hint="eastAsia" w:ascii="宋体" w:hAnsi="宋体" w:eastAsia="宋体" w:cs="宋体"/>
          <w:color w:val="auto"/>
          <w:sz w:val="24"/>
          <w:highlight w:val="none"/>
        </w:rPr>
        <w:t>运行天数结算，未运行时按未运行</w:t>
      </w:r>
      <w:r>
        <w:rPr>
          <w:rFonts w:hint="eastAsia" w:ascii="宋体" w:hAnsi="宋体" w:eastAsia="宋体" w:cs="宋体"/>
          <w:color w:val="auto"/>
          <w:sz w:val="24"/>
          <w:highlight w:val="none"/>
          <w:lang w:val="en-US" w:eastAsia="zh-CN"/>
        </w:rPr>
        <w:t>时</w:t>
      </w:r>
      <w:r>
        <w:rPr>
          <w:rFonts w:hint="eastAsia" w:ascii="宋体" w:hAnsi="宋体" w:eastAsia="宋体" w:cs="宋体"/>
          <w:color w:val="auto"/>
          <w:sz w:val="24"/>
          <w:highlight w:val="none"/>
        </w:rPr>
        <w:t>单价乘以</w:t>
      </w:r>
      <w:r>
        <w:rPr>
          <w:rFonts w:hint="eastAsia" w:ascii="宋体" w:hAnsi="宋体" w:eastAsia="宋体" w:cs="宋体"/>
          <w:color w:val="auto"/>
          <w:sz w:val="24"/>
          <w:highlight w:val="none"/>
          <w:lang w:val="en-US" w:eastAsia="zh-CN"/>
        </w:rPr>
        <w:t>中标折扣率乘以</w:t>
      </w:r>
      <w:r>
        <w:rPr>
          <w:rFonts w:hint="eastAsia" w:ascii="宋体" w:hAnsi="宋体" w:eastAsia="宋体" w:cs="宋体"/>
          <w:color w:val="auto"/>
          <w:sz w:val="24"/>
          <w:highlight w:val="none"/>
        </w:rPr>
        <w:t>等待天数结算(注：寒暑假不安排应急</w:t>
      </w:r>
      <w:r>
        <w:rPr>
          <w:rFonts w:hint="eastAsia" w:ascii="宋体" w:hAnsi="宋体" w:eastAsia="宋体" w:cs="宋体"/>
          <w:color w:val="auto"/>
          <w:sz w:val="24"/>
          <w:highlight w:val="none"/>
          <w:lang w:val="en-US" w:eastAsia="zh-CN"/>
        </w:rPr>
        <w:t>通勤车</w:t>
      </w:r>
      <w:r>
        <w:rPr>
          <w:rFonts w:hint="eastAsia" w:ascii="宋体" w:hAnsi="宋体" w:eastAsia="宋体" w:cs="宋体"/>
          <w:color w:val="auto"/>
          <w:sz w:val="24"/>
          <w:highlight w:val="none"/>
        </w:rPr>
        <w:t>，因此等待天数不包括寒暑假)。</w:t>
      </w:r>
    </w:p>
    <w:p w14:paraId="00D25FF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于每月结束后五个工作日内向甲方提供加盖广西民族大学武鸣校区公章的出车清单，甲方每月对乙方车辆运行情况进行确认和考核后，乙方开具发票给甲方，甲方在收到乙方发票之日起20个工作日内付清上月费用。</w:t>
      </w:r>
    </w:p>
    <w:p w14:paraId="55E9DE24">
      <w:pPr>
        <w:pStyle w:val="72"/>
        <w:numPr>
          <w:ilvl w:val="0"/>
          <w:numId w:val="3"/>
        </w:numPr>
        <w:spacing w:line="360" w:lineRule="auto"/>
        <w:ind w:firstLine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履约保证金</w:t>
      </w:r>
    </w:p>
    <w:p w14:paraId="132712F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在合同签订后五个工作日内，乙方按政府采购合同金额的2%向甲方提交履约保证金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 xml:space="preserve">即大写金额：      小写金额：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。乙方履行完所有合同约定权利义务事项后十个工作日内，乙方须向甲方提交退保证金申请，乙方在合同服务期限届满后验收并扣除违约金、赔偿金（如有）等费用后，十个工作日内无息返还剩余金额。</w:t>
      </w:r>
    </w:p>
    <w:p w14:paraId="4F2CC0C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下列情况因履约保证金不能退还或另行处理，所产生的后果由乙方负责：</w:t>
      </w:r>
    </w:p>
    <w:p w14:paraId="5AB4947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1、在履行合同约定权利义务期间，乙方不按合同履行合同义务的，甲方有权从乙方提交的履约保证金中扣除，履约保证金不足以抵扣的，不足部分由乙方承担。同时，甲方保留起诉乙方的权利。</w:t>
      </w:r>
    </w:p>
    <w:p w14:paraId="3CF798B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2、乙方履行所有合同约定权利义务事项满十个工作日后，乙方未提交退还履约保证金申请，经甲方通知乙方（合同指定联系人: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后五个工作日内，乙方不提出退还申请的，或乙方未履行完合同约定权利义务事项前，乙方变更单位名称、联系方式等不及时告知甲方并提供相关变更材料，造成甲方无法通知乙方的，视乙方自动放弃领回履约保证金权利，甲方有权对履约保证金进行另外处置。</w:t>
      </w:r>
    </w:p>
    <w:p w14:paraId="1BBBC67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3、其他因乙方原因导致履约保证金无法按时退回的情形。</w:t>
      </w:r>
    </w:p>
    <w:p w14:paraId="5914D47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4、履约保证金转账时请备注：武鸣校区通勤车运营服务项目履约金。</w:t>
      </w:r>
    </w:p>
    <w:p w14:paraId="058D35E9">
      <w:pPr>
        <w:pStyle w:val="72"/>
        <w:numPr>
          <w:ilvl w:val="0"/>
          <w:numId w:val="3"/>
        </w:numPr>
        <w:spacing w:line="360" w:lineRule="auto"/>
        <w:ind w:firstLine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税费</w:t>
      </w:r>
    </w:p>
    <w:p w14:paraId="049F9EA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本合同执行中相关的一切税费均由乙方负担，合同另有约定的除外。</w:t>
      </w:r>
    </w:p>
    <w:p w14:paraId="02BF21A6">
      <w:pPr>
        <w:pStyle w:val="72"/>
        <w:numPr>
          <w:ilvl w:val="0"/>
          <w:numId w:val="3"/>
        </w:numPr>
        <w:spacing w:line="360" w:lineRule="auto"/>
        <w:ind w:firstLine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违约责任</w:t>
      </w:r>
    </w:p>
    <w:p w14:paraId="60C81DF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1、除不可抗力原因外，乙方没有按照合同规定的时间提供服务的，甲方可要求乙方支付违约金或终止合同。</w:t>
      </w:r>
    </w:p>
    <w:p w14:paraId="2250B8F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2、乙方在收到甲方车辆租赁通知后3个工作日内未开始投入运行服务，即被视为无故终止合同。</w:t>
      </w:r>
    </w:p>
    <w:p w14:paraId="3A9932E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3、在合同履行期间，单方无故终止合同的，违约方应支付已发生车辆租赁费总额</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 xml:space="preserve"> %的违约金给对方。</w:t>
      </w:r>
    </w:p>
    <w:p w14:paraId="4AA96C1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4、乙方违反本合同规定，未能按时完成合同约定的服务内容或服务质量达不到要求，如一年内同一台车辆出现三次故障或不同台车车辆累计出现五次故障的，又或是</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rPr>
        <w:t>不服从</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指挥，经</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三次提出书面批评意见后，仍无改进的，</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有权终止合同，并且</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不承担违约责任。</w:t>
      </w:r>
    </w:p>
    <w:p w14:paraId="0EFFC6A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甲方应按期付清车辆租赁费，每逾期1天，加收欠款总额3‰的滞纳金，逾期超过30天，乙方有权撤回提供的车辆及服务人员，并依法向甲方索赔。但由于财政资金拨款不到位而导致甲方逾期付款的，甲方不承担违约责任，并且此情况不能成为乙方拒绝提供服务的理由。</w:t>
      </w:r>
    </w:p>
    <w:p w14:paraId="50F7ABD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6、乙方在工作期间要按照国家有关规定文明开车，如遇交通事故、被盗抢等，一切后果由乙方负责；驾驶员在为学校提供用车服务的全过程严禁饮酒、驾车途中禁止接打电话，</w:t>
      </w:r>
      <w:r>
        <w:rPr>
          <w:rFonts w:hint="eastAsia" w:ascii="宋体" w:hAnsi="宋体" w:eastAsia="宋体" w:cs="宋体"/>
          <w:color w:val="auto"/>
          <w:kern w:val="1"/>
          <w:sz w:val="24"/>
          <w:szCs w:val="24"/>
          <w:highlight w:val="none"/>
        </w:rPr>
        <w:t>如发现此类危险驾驶情况</w:t>
      </w:r>
      <w:r>
        <w:rPr>
          <w:rFonts w:hint="eastAsia" w:ascii="宋体" w:hAnsi="宋体" w:eastAsia="宋体" w:cs="宋体"/>
          <w:color w:val="auto"/>
          <w:kern w:val="1"/>
          <w:sz w:val="24"/>
          <w:szCs w:val="24"/>
          <w:highlight w:val="none"/>
          <w:lang w:eastAsia="zh-CN"/>
        </w:rPr>
        <w:t>（驾驶员酒后驾驶1次，或驾车途中接打电话超过30秒累计3次），</w:t>
      </w:r>
      <w:r>
        <w:rPr>
          <w:rFonts w:hint="eastAsia" w:ascii="宋体" w:hAnsi="宋体" w:eastAsia="宋体" w:cs="宋体"/>
          <w:color w:val="auto"/>
          <w:kern w:val="1"/>
          <w:sz w:val="24"/>
          <w:szCs w:val="24"/>
          <w:highlight w:val="none"/>
        </w:rPr>
        <w:t>学校有权终止合同并扣除租赁费总额 10%的违约金。</w:t>
      </w:r>
    </w:p>
    <w:p w14:paraId="4838D09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合同期内，双方都应遵守合同约定及国家有关规定，如果乙方出现违法违规行为或因乙方的违法违规行为造成学校及学校的教职员工任何损失的，甲方有权立即终止合同并扣除租赁费总额10%的违约金，并保留依法追究乙方各项责任的权利。</w:t>
      </w:r>
    </w:p>
    <w:p w14:paraId="40DD66E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8、乙方车辆必须按甲方指定的时间提前20分钟准时到达起点上客，如因乙方的原因（不可抗力因素除外）致使车辆超过规定时间</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0分钟才到达起点，乙方同样要派车，但应扣除乙方当班车次</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00元的转运费并按学校教学事故办法处理，从当月运行车次费用中扣除。如因乙方自身原因(如出车前后未做好车辆安全检查或驾驶人未按时间提前20分钟到岗)造成的出车延误并产生教学事故的，甲方将一次扣除乙方3000元，未产生教学事故的一次扣除1000元，从当月运行车次费用中扣除，当月费用不足以扣除的，从下月费用中补扣，扣完为止。乙方超过30分钟仍未派车到达甲方指定的起点，甲方可采取其他方式（四人辆/次座出租车）到目的地，所发生的车费由乙方负责。如车辆在行使途中发生故障排除或发生交通事故超过30分钟，当次车辆由乙方继续派出，并按原线路继续接载甲方人员。采甲方部分人员可采取四人辆/次座出租车回目的地，所发生的车费由乙方负责。</w:t>
      </w:r>
    </w:p>
    <w:p w14:paraId="70421D5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非特殊原因，合同期间不得更换投标时承诺的车辆及司机，如需更换备案车辆或司机的，须提前七天向甲方提出申请，经甲方同意后才能更换，更换的车辆及司机不得低于中标要求。如需临时更换必须获得甲方同意，但更换次数不得超过三次，如需长期更换必须以书面形式获得甲方审批，否则甲方有权取消合同。</w:t>
      </w:r>
    </w:p>
    <w:p w14:paraId="4FD3C5C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10、乙方提供的服务如侵犯了第三方合法权益而引发的任何纠纷或者诉讼，均由乙方负责交涉并承担全部责任。</w:t>
      </w:r>
    </w:p>
    <w:p w14:paraId="2A7764D4">
      <w:pPr>
        <w:pStyle w:val="72"/>
        <w:numPr>
          <w:ilvl w:val="0"/>
          <w:numId w:val="3"/>
        </w:numPr>
        <w:spacing w:line="360" w:lineRule="auto"/>
        <w:ind w:firstLine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履约验收及付款</w:t>
      </w:r>
    </w:p>
    <w:p w14:paraId="2B4D2C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1、履约验收主体：广西民族大学</w:t>
      </w:r>
    </w:p>
    <w:p w14:paraId="62939AB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2、履约验收时间</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履约验收方式</w:t>
      </w:r>
    </w:p>
    <w:p w14:paraId="4E5EAFB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于每月结束后五个工作日内向甲方提供加盖广西民族大学武鸣校区公章的出车清单，甲方每月对乙方车辆运行情况进行确认和考核后，乙方开具发票给甲方，甲方在收到乙方发票之日起20个工作日内付清上月费用。</w:t>
      </w:r>
    </w:p>
    <w:p w14:paraId="754CB29F">
      <w:pPr>
        <w:pStyle w:val="72"/>
        <w:numPr>
          <w:ilvl w:val="0"/>
          <w:numId w:val="3"/>
        </w:numPr>
        <w:spacing w:line="360" w:lineRule="auto"/>
        <w:ind w:firstLine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不可抗力</w:t>
      </w:r>
    </w:p>
    <w:p w14:paraId="585B8D3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可抗力指战争、严重火灾、洪水、台风、地震等或其他双方认定的不可抗力事件。甲乙双方的任何一方由于不可抗力的原因不能履行或不能完全履行合同时，应尽快向对方通报理由，在提供相应证明后，可允许延期履行、部分履行或不履行，并可根据情况部分或全部免于承担违约责任。</w:t>
      </w:r>
    </w:p>
    <w:p w14:paraId="47CD295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2、不可抗力事件延续一百二十天以上，双方应通过友好协商，确定是否继续履行合同。</w:t>
      </w:r>
    </w:p>
    <w:p w14:paraId="6E688242">
      <w:pPr>
        <w:pStyle w:val="72"/>
        <w:numPr>
          <w:ilvl w:val="0"/>
          <w:numId w:val="3"/>
        </w:numPr>
        <w:spacing w:line="360" w:lineRule="auto"/>
        <w:ind w:firstLine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合同争议解决</w:t>
      </w:r>
    </w:p>
    <w:p w14:paraId="001BC36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1、因服务成果质量问题发生争议的，应邀请国家认可的质量检测机构对服务成果质量进行鉴定。服务成果符合标准的，鉴定费由甲方承担；服务成果不符合标准的，鉴定费由乙方承担。</w:t>
      </w:r>
    </w:p>
    <w:p w14:paraId="4A03BA9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2、因履行本合同引起的或者与本合同有关的争议，甲乙双方应首先通过友好协商解决，如果协商不能解决，可向甲方所在地有管辖权的人民法院提起诉讼。</w:t>
      </w:r>
    </w:p>
    <w:p w14:paraId="7F6DA40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3、诉讼期间，本合同继续履行。</w:t>
      </w:r>
    </w:p>
    <w:p w14:paraId="6580CCB0">
      <w:pPr>
        <w:pStyle w:val="72"/>
        <w:numPr>
          <w:ilvl w:val="0"/>
          <w:numId w:val="3"/>
        </w:numPr>
        <w:spacing w:line="360" w:lineRule="auto"/>
        <w:ind w:firstLine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合同生效及其它</w:t>
      </w:r>
    </w:p>
    <w:p w14:paraId="37576BB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1、合同经甲乙双方法定代表人或者授权委托代理人签字并加盖单位公章后生效（授权委托代理人签字的需后附法定代表人授权委托书，格式自拟）。</w:t>
      </w:r>
    </w:p>
    <w:p w14:paraId="209FB38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2、合同执行中涉及采购资金和采购内容修改或者补充的，须签书面补充协议报财政部门备案，方可作为主合同不可分割的一部分。</w:t>
      </w:r>
    </w:p>
    <w:p w14:paraId="570D970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3、本合同未尽事宜，遵照《中华人民共和国民法典》有关条文执行。</w:t>
      </w:r>
    </w:p>
    <w:p w14:paraId="3BD1F2D1">
      <w:pPr>
        <w:pStyle w:val="72"/>
        <w:numPr>
          <w:ilvl w:val="0"/>
          <w:numId w:val="3"/>
        </w:numPr>
        <w:spacing w:line="360" w:lineRule="auto"/>
        <w:ind w:firstLine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合同的变更、终止与转让</w:t>
      </w:r>
    </w:p>
    <w:p w14:paraId="6792961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1、除《中华人民共和国政府采购法》第五十条规定的情形外，本合同一经签订，甲乙双方不得擅自变更、中止或者终止。</w:t>
      </w:r>
    </w:p>
    <w:p w14:paraId="4F529D7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2、乙方不得擅自转让其应履行的合同义务。</w:t>
      </w:r>
    </w:p>
    <w:p w14:paraId="510BCA96">
      <w:pPr>
        <w:pStyle w:val="72"/>
        <w:numPr>
          <w:ilvl w:val="0"/>
          <w:numId w:val="3"/>
        </w:numPr>
        <w:spacing w:line="360" w:lineRule="auto"/>
        <w:ind w:firstLine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签订本合同依据</w:t>
      </w:r>
    </w:p>
    <w:p w14:paraId="4504E17F">
      <w:pPr>
        <w:pStyle w:val="72"/>
        <w:numPr>
          <w:ilvl w:val="0"/>
          <w:numId w:val="4"/>
        </w:numPr>
        <w:spacing w:line="360" w:lineRule="auto"/>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政府采购招标文件；</w:t>
      </w:r>
    </w:p>
    <w:p w14:paraId="38908CCA">
      <w:pPr>
        <w:pStyle w:val="72"/>
        <w:numPr>
          <w:ilvl w:val="0"/>
          <w:numId w:val="4"/>
        </w:numPr>
        <w:spacing w:line="360" w:lineRule="auto"/>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乙方提供的投标文件；</w:t>
      </w:r>
    </w:p>
    <w:p w14:paraId="4204C921">
      <w:pPr>
        <w:pStyle w:val="72"/>
        <w:numPr>
          <w:ilvl w:val="0"/>
          <w:numId w:val="4"/>
        </w:numPr>
        <w:spacing w:line="360" w:lineRule="auto"/>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中标通知书</w:t>
      </w:r>
    </w:p>
    <w:p w14:paraId="44B2ADEF">
      <w:pPr>
        <w:pStyle w:val="72"/>
        <w:numPr>
          <w:ilvl w:val="0"/>
          <w:numId w:val="3"/>
        </w:numPr>
        <w:spacing w:line="360" w:lineRule="auto"/>
        <w:ind w:left="0" w:firstLine="48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本合同一式十二份，具有同等法律效力，甲方九份，乙方二份，采购代理机构一份（可根据需要另增加）。</w:t>
      </w:r>
    </w:p>
    <w:p w14:paraId="5AF1462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本合同自签订之日起2个工作日内，采购人或采购代理机构应当将采购合同在广西壮族自治区财政厅指定的媒体上公告。</w:t>
      </w:r>
    </w:p>
    <w:tbl>
      <w:tblPr>
        <w:tblStyle w:val="43"/>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6F00E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2" w:hRule="atLeast"/>
        </w:trPr>
        <w:tc>
          <w:tcPr>
            <w:tcW w:w="4516" w:type="dxa"/>
            <w:vAlign w:val="center"/>
          </w:tcPr>
          <w:p w14:paraId="68DC0612">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甲方（章）           </w:t>
            </w:r>
          </w:p>
          <w:p w14:paraId="73FC35AA">
            <w:pPr>
              <w:snapToGrid w:val="0"/>
              <w:spacing w:line="360" w:lineRule="auto"/>
              <w:ind w:firstLine="1080" w:firstLineChars="45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tc>
        <w:tc>
          <w:tcPr>
            <w:tcW w:w="4517" w:type="dxa"/>
            <w:vAlign w:val="center"/>
          </w:tcPr>
          <w:p w14:paraId="5BF2EEA4">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乙方（章）              </w:t>
            </w:r>
          </w:p>
          <w:p w14:paraId="2D8D47DF">
            <w:pPr>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tc>
      </w:tr>
      <w:tr w14:paraId="37DD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vAlign w:val="center"/>
          </w:tcPr>
          <w:p w14:paraId="0BCE9217">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p w14:paraId="2070E68E">
            <w:pPr>
              <w:snapToGrid w:val="0"/>
              <w:spacing w:line="360" w:lineRule="auto"/>
              <w:rPr>
                <w:rFonts w:hint="eastAsia" w:ascii="宋体" w:hAnsi="宋体" w:eastAsia="宋体" w:cs="宋体"/>
                <w:color w:val="auto"/>
                <w:sz w:val="24"/>
                <w:szCs w:val="24"/>
                <w:highlight w:val="none"/>
              </w:rPr>
            </w:pPr>
          </w:p>
        </w:tc>
        <w:tc>
          <w:tcPr>
            <w:tcW w:w="4517" w:type="dxa"/>
            <w:vAlign w:val="center"/>
          </w:tcPr>
          <w:p w14:paraId="7AC03F8D">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p w14:paraId="3AA6EB5F">
            <w:pPr>
              <w:snapToGrid w:val="0"/>
              <w:spacing w:line="360" w:lineRule="auto"/>
              <w:rPr>
                <w:rFonts w:hint="eastAsia" w:ascii="宋体" w:hAnsi="宋体" w:eastAsia="宋体" w:cs="宋体"/>
                <w:color w:val="auto"/>
                <w:sz w:val="24"/>
                <w:szCs w:val="24"/>
                <w:highlight w:val="none"/>
              </w:rPr>
            </w:pPr>
          </w:p>
        </w:tc>
      </w:tr>
      <w:tr w14:paraId="6B74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4516" w:type="dxa"/>
          </w:tcPr>
          <w:p w14:paraId="56CE409C">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6C7FE643">
            <w:pPr>
              <w:snapToGrid w:val="0"/>
              <w:spacing w:line="360" w:lineRule="auto"/>
              <w:rPr>
                <w:rFonts w:hint="eastAsia" w:ascii="宋体" w:hAnsi="宋体" w:eastAsia="宋体" w:cs="宋体"/>
                <w:color w:val="auto"/>
                <w:sz w:val="24"/>
                <w:szCs w:val="24"/>
                <w:highlight w:val="none"/>
              </w:rPr>
            </w:pPr>
          </w:p>
          <w:p w14:paraId="16D32A4A">
            <w:pPr>
              <w:snapToGrid w:val="0"/>
              <w:spacing w:line="360" w:lineRule="auto"/>
              <w:rPr>
                <w:rFonts w:hint="eastAsia" w:ascii="宋体" w:hAnsi="宋体" w:eastAsia="宋体" w:cs="宋体"/>
                <w:color w:val="auto"/>
                <w:sz w:val="24"/>
                <w:szCs w:val="24"/>
                <w:highlight w:val="none"/>
              </w:rPr>
            </w:pPr>
          </w:p>
        </w:tc>
        <w:tc>
          <w:tcPr>
            <w:tcW w:w="4517" w:type="dxa"/>
          </w:tcPr>
          <w:p w14:paraId="00DCC457">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5DB1CF37">
            <w:pPr>
              <w:snapToGrid w:val="0"/>
              <w:spacing w:line="360" w:lineRule="auto"/>
              <w:rPr>
                <w:rFonts w:hint="eastAsia" w:ascii="宋体" w:hAnsi="宋体" w:eastAsia="宋体" w:cs="宋体"/>
                <w:color w:val="auto"/>
                <w:sz w:val="24"/>
                <w:szCs w:val="24"/>
                <w:highlight w:val="none"/>
              </w:rPr>
            </w:pPr>
          </w:p>
          <w:p w14:paraId="1B1291C3">
            <w:pPr>
              <w:snapToGrid w:val="0"/>
              <w:spacing w:line="360" w:lineRule="auto"/>
              <w:rPr>
                <w:rFonts w:hint="eastAsia" w:ascii="宋体" w:hAnsi="宋体" w:eastAsia="宋体" w:cs="宋体"/>
                <w:color w:val="auto"/>
                <w:sz w:val="24"/>
                <w:szCs w:val="24"/>
                <w:highlight w:val="none"/>
              </w:rPr>
            </w:pPr>
          </w:p>
        </w:tc>
      </w:tr>
      <w:tr w14:paraId="63B2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trPr>
        <w:tc>
          <w:tcPr>
            <w:tcW w:w="4516" w:type="dxa"/>
          </w:tcPr>
          <w:p w14:paraId="581E0C2E">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或者委托代理人：</w:t>
            </w:r>
          </w:p>
          <w:p w14:paraId="50E80875">
            <w:pPr>
              <w:snapToGrid w:val="0"/>
              <w:spacing w:line="360" w:lineRule="auto"/>
              <w:rPr>
                <w:rFonts w:hint="eastAsia" w:ascii="宋体" w:hAnsi="宋体" w:eastAsia="宋体" w:cs="宋体"/>
                <w:color w:val="auto"/>
                <w:sz w:val="24"/>
                <w:szCs w:val="24"/>
                <w:highlight w:val="none"/>
              </w:rPr>
            </w:pPr>
          </w:p>
        </w:tc>
        <w:tc>
          <w:tcPr>
            <w:tcW w:w="4517" w:type="dxa"/>
          </w:tcPr>
          <w:p w14:paraId="7F78389A">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或者委托代理人：</w:t>
            </w:r>
          </w:p>
        </w:tc>
      </w:tr>
      <w:tr w14:paraId="6EEDE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vAlign w:val="center"/>
          </w:tcPr>
          <w:p w14:paraId="4F46C43E">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4517" w:type="dxa"/>
            <w:vAlign w:val="center"/>
          </w:tcPr>
          <w:p w14:paraId="586FA670">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r>
      <w:tr w14:paraId="1D3D8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vAlign w:val="center"/>
          </w:tcPr>
          <w:p w14:paraId="2435F22E">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4517" w:type="dxa"/>
            <w:vAlign w:val="center"/>
          </w:tcPr>
          <w:p w14:paraId="03CE1E8D">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r>
      <w:tr w14:paraId="6042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vAlign w:val="center"/>
          </w:tcPr>
          <w:p w14:paraId="012863BA">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4517" w:type="dxa"/>
            <w:vAlign w:val="center"/>
          </w:tcPr>
          <w:p w14:paraId="18D95405">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r>
      <w:tr w14:paraId="50FF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vAlign w:val="center"/>
          </w:tcPr>
          <w:p w14:paraId="12621E35">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4517" w:type="dxa"/>
            <w:vAlign w:val="center"/>
          </w:tcPr>
          <w:p w14:paraId="0AC0FCF9">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r>
      <w:tr w14:paraId="2239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vAlign w:val="center"/>
          </w:tcPr>
          <w:p w14:paraId="10E1D657">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4517" w:type="dxa"/>
            <w:vAlign w:val="center"/>
          </w:tcPr>
          <w:p w14:paraId="767CF17D">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r>
    </w:tbl>
    <w:p w14:paraId="79329D25">
      <w:pPr>
        <w:snapToGrid w:val="0"/>
        <w:spacing w:before="120" w:after="120" w:line="320" w:lineRule="exact"/>
        <w:jc w:val="center"/>
        <w:outlineLvl w:val="0"/>
        <w:rPr>
          <w:rFonts w:ascii="Times New Roman" w:hAnsi="Times New Roman" w:eastAsia="宋体" w:cs="Times New Roman"/>
          <w:color w:val="auto"/>
          <w:sz w:val="32"/>
          <w:szCs w:val="32"/>
          <w:highlight w:val="none"/>
        </w:rPr>
      </w:pPr>
    </w:p>
    <w:p w14:paraId="0C6CF4D0">
      <w:pPr>
        <w:snapToGrid w:val="0"/>
        <w:spacing w:line="360" w:lineRule="auto"/>
        <w:ind w:right="480"/>
        <w:jc w:val="center"/>
        <w:rPr>
          <w:rFonts w:ascii="宋体" w:hAnsi="宋体" w:eastAsia="宋体" w:cs="宋体"/>
          <w:bCs/>
          <w:color w:val="auto"/>
          <w:sz w:val="24"/>
          <w:szCs w:val="24"/>
          <w:highlight w:val="none"/>
        </w:rPr>
      </w:pPr>
    </w:p>
    <w:p w14:paraId="3412E8E4">
      <w:pPr>
        <w:jc w:val="center"/>
        <w:rPr>
          <w:rFonts w:ascii="宋体" w:hAnsi="宋体" w:eastAsia="宋体" w:cs="Times New Roman"/>
          <w:b/>
          <w:bCs/>
          <w:color w:val="auto"/>
          <w:sz w:val="52"/>
          <w:szCs w:val="52"/>
          <w:highlight w:val="none"/>
        </w:rPr>
      </w:pPr>
    </w:p>
    <w:bookmarkEnd w:id="91"/>
    <w:bookmarkEnd w:id="92"/>
    <w:p w14:paraId="46BBCB11">
      <w:pPr>
        <w:jc w:val="center"/>
        <w:rPr>
          <w:rFonts w:ascii="Times New Roman" w:hAnsi="Times New Roman" w:eastAsia="宋体" w:cs="Times New Roman"/>
          <w:color w:val="auto"/>
          <w:szCs w:val="24"/>
          <w:highlight w:val="none"/>
        </w:rPr>
        <w:sectPr>
          <w:pgSz w:w="11906" w:h="16838"/>
          <w:pgMar w:top="1418" w:right="1133" w:bottom="1246" w:left="1418" w:header="851" w:footer="992" w:gutter="0"/>
          <w:cols w:space="720" w:num="1"/>
          <w:docGrid w:linePitch="312" w:charSpace="0"/>
        </w:sectPr>
      </w:pPr>
    </w:p>
    <w:p w14:paraId="37DD1D73">
      <w:pPr>
        <w:spacing w:before="120" w:line="320" w:lineRule="atLeast"/>
        <w:jc w:val="left"/>
        <w:outlineLvl w:val="1"/>
        <w:rPr>
          <w:rFonts w:ascii="Times New Roman" w:hAnsi="Times New Roman" w:eastAsia="宋体" w:cs="Times New Roman"/>
          <w:color w:val="auto"/>
          <w:szCs w:val="24"/>
          <w:highlight w:val="none"/>
        </w:rPr>
      </w:pPr>
    </w:p>
    <w:bookmarkEnd w:id="93"/>
    <w:p w14:paraId="38BF8631">
      <w:pPr>
        <w:snapToGrid w:val="0"/>
        <w:spacing w:before="120" w:after="120" w:line="320" w:lineRule="exact"/>
        <w:jc w:val="center"/>
        <w:outlineLvl w:val="0"/>
        <w:rPr>
          <w:rFonts w:ascii="Times New Roman" w:hAnsi="Times New Roman" w:eastAsia="宋体" w:cs="Times New Roman"/>
          <w:color w:val="auto"/>
          <w:sz w:val="32"/>
          <w:szCs w:val="32"/>
          <w:highlight w:val="none"/>
        </w:rPr>
      </w:pPr>
      <w:bookmarkStart w:id="95" w:name="_Toc27299"/>
      <w:r>
        <w:rPr>
          <w:rFonts w:ascii="Times New Roman" w:hAnsi="Times New Roman" w:eastAsia="宋体" w:cs="Times New Roman"/>
          <w:color w:val="auto"/>
          <w:sz w:val="32"/>
          <w:szCs w:val="32"/>
          <w:highlight w:val="none"/>
        </w:rPr>
        <w:t>第六章  投标文件格式</w:t>
      </w:r>
      <w:bookmarkEnd w:id="95"/>
    </w:p>
    <w:p w14:paraId="268BCF3B">
      <w:pPr>
        <w:rPr>
          <w:rFonts w:ascii="Times New Roman" w:hAnsi="Times New Roman" w:eastAsia="宋体" w:cs="Times New Roman"/>
          <w:color w:val="auto"/>
          <w:sz w:val="28"/>
          <w:szCs w:val="28"/>
          <w:highlight w:val="none"/>
        </w:rPr>
      </w:pPr>
    </w:p>
    <w:p w14:paraId="5C99E492">
      <w:pPr>
        <w:rPr>
          <w:rFonts w:ascii="Times New Roman" w:hAnsi="Times New Roman" w:eastAsia="宋体" w:cs="Times New Roman"/>
          <w:color w:val="auto"/>
          <w:sz w:val="28"/>
          <w:szCs w:val="28"/>
          <w:highlight w:val="none"/>
        </w:rPr>
      </w:pPr>
    </w:p>
    <w:p w14:paraId="16E2A296">
      <w:pPr>
        <w:rPr>
          <w:rFonts w:ascii="Times New Roman" w:hAnsi="Times New Roman" w:eastAsia="宋体" w:cs="Times New Roman"/>
          <w:color w:val="auto"/>
          <w:sz w:val="28"/>
          <w:szCs w:val="28"/>
          <w:highlight w:val="none"/>
        </w:rPr>
      </w:pPr>
    </w:p>
    <w:p w14:paraId="0F841D67">
      <w:pPr>
        <w:rPr>
          <w:rFonts w:ascii="Times New Roman" w:hAnsi="Times New Roman" w:eastAsia="宋体" w:cs="Times New Roman"/>
          <w:color w:val="auto"/>
          <w:sz w:val="28"/>
          <w:szCs w:val="28"/>
          <w:highlight w:val="none"/>
        </w:rPr>
      </w:pPr>
    </w:p>
    <w:p w14:paraId="5A68A1C7">
      <w:pPr>
        <w:spacing w:line="500" w:lineRule="exact"/>
        <w:ind w:firstLine="560" w:firstLineChars="200"/>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注：有签字、盖章要求的应按要求</w:t>
      </w:r>
      <w:bookmarkStart w:id="96" w:name="_Hlk89032274"/>
      <w:r>
        <w:rPr>
          <w:rFonts w:hint="eastAsia" w:ascii="Times New Roman" w:hAnsi="Times New Roman" w:eastAsia="宋体" w:cs="Times New Roman"/>
          <w:color w:val="auto"/>
          <w:sz w:val="28"/>
          <w:szCs w:val="28"/>
          <w:highlight w:val="none"/>
        </w:rPr>
        <w:t>签字（签章）、盖章（签章）</w:t>
      </w:r>
      <w:bookmarkEnd w:id="96"/>
      <w:r>
        <w:rPr>
          <w:rFonts w:hint="eastAsia" w:ascii="Times New Roman" w:hAnsi="Times New Roman" w:eastAsia="宋体" w:cs="Times New Roman"/>
          <w:color w:val="auto"/>
          <w:sz w:val="28"/>
          <w:szCs w:val="28"/>
          <w:highlight w:val="none"/>
        </w:rPr>
        <w:t>。</w:t>
      </w:r>
    </w:p>
    <w:p w14:paraId="7B133352">
      <w:pPr>
        <w:snapToGrid w:val="0"/>
        <w:spacing w:before="120" w:beforeLines="50" w:after="50" w:line="440" w:lineRule="exact"/>
        <w:jc w:val="left"/>
        <w:outlineLvl w:val="1"/>
        <w:rPr>
          <w:rFonts w:ascii="Times New Roman" w:hAnsi="Times New Roman" w:eastAsia="宋体" w:cs="Times New Roman"/>
          <w:bCs/>
          <w:color w:val="auto"/>
          <w:sz w:val="24"/>
          <w:szCs w:val="24"/>
          <w:highlight w:val="none"/>
        </w:rPr>
      </w:pPr>
      <w:r>
        <w:rPr>
          <w:rFonts w:ascii="Times New Roman" w:hAnsi="Times New Roman" w:eastAsia="宋体" w:cs="Times New Roman"/>
          <w:color w:val="auto"/>
          <w:szCs w:val="24"/>
          <w:highlight w:val="none"/>
        </w:rPr>
        <w:br w:type="page"/>
      </w:r>
      <w:bookmarkStart w:id="97" w:name="_Toc254970557"/>
      <w:bookmarkStart w:id="98" w:name="_Toc254970698"/>
      <w:r>
        <w:rPr>
          <w:rFonts w:hint="eastAsia" w:ascii="Times New Roman" w:hAnsi="Times New Roman" w:eastAsia="宋体" w:cs="Times New Roman"/>
          <w:bCs/>
          <w:color w:val="auto"/>
          <w:sz w:val="24"/>
          <w:szCs w:val="24"/>
          <w:highlight w:val="none"/>
        </w:rPr>
        <w:t>1</w:t>
      </w:r>
      <w:r>
        <w:rPr>
          <w:rFonts w:ascii="Times New Roman" w:hAnsi="Times New Roman" w:eastAsia="宋体" w:cs="Times New Roman"/>
          <w:bCs/>
          <w:color w:val="auto"/>
          <w:sz w:val="24"/>
          <w:szCs w:val="24"/>
          <w:highlight w:val="none"/>
        </w:rPr>
        <w:t>．投标文件封面参考格式</w:t>
      </w:r>
      <w:r>
        <w:rPr>
          <w:rFonts w:hint="eastAsia" w:ascii="Times New Roman" w:hAnsi="Times New Roman" w:eastAsia="宋体" w:cs="Times New Roman"/>
          <w:bCs/>
          <w:color w:val="auto"/>
          <w:sz w:val="24"/>
          <w:szCs w:val="24"/>
          <w:highlight w:val="none"/>
        </w:rPr>
        <w:t>（资格证明文件）</w:t>
      </w:r>
      <w:r>
        <w:rPr>
          <w:rFonts w:ascii="Times New Roman" w:hAnsi="Times New Roman" w:eastAsia="宋体" w:cs="Times New Roman"/>
          <w:bCs/>
          <w:color w:val="auto"/>
          <w:sz w:val="24"/>
          <w:szCs w:val="24"/>
          <w:highlight w:val="none"/>
        </w:rPr>
        <w:t xml:space="preserve">： </w:t>
      </w:r>
    </w:p>
    <w:p w14:paraId="2AA4BD70">
      <w:pPr>
        <w:snapToGrid w:val="0"/>
        <w:spacing w:before="120" w:beforeLines="50" w:after="50" w:line="360" w:lineRule="exact"/>
        <w:rPr>
          <w:rFonts w:ascii="Times New Roman" w:hAnsi="Times New Roman" w:eastAsia="宋体" w:cs="Times New Roman"/>
          <w:color w:val="auto"/>
          <w:sz w:val="24"/>
          <w:szCs w:val="24"/>
          <w:highlight w:val="none"/>
        </w:rPr>
      </w:pPr>
    </w:p>
    <w:p w14:paraId="0D0433DA">
      <w:pPr>
        <w:snapToGrid w:val="0"/>
        <w:spacing w:before="120" w:beforeLines="50" w:after="50" w:line="360" w:lineRule="exact"/>
        <w:jc w:val="center"/>
        <w:rPr>
          <w:rFonts w:ascii="Times New Roman" w:hAnsi="Times New Roman" w:eastAsia="宋体" w:cs="Times New Roman"/>
          <w:bCs/>
          <w:color w:val="auto"/>
          <w:sz w:val="24"/>
          <w:szCs w:val="24"/>
          <w:highlight w:val="none"/>
        </w:rPr>
      </w:pPr>
    </w:p>
    <w:p w14:paraId="7545F494">
      <w:pPr>
        <w:snapToGrid w:val="0"/>
        <w:spacing w:before="120" w:beforeLines="50" w:after="50" w:line="360" w:lineRule="exact"/>
        <w:jc w:val="center"/>
        <w:rPr>
          <w:rFonts w:ascii="Times New Roman" w:hAnsi="Times New Roman" w:eastAsia="宋体" w:cs="Times New Roman"/>
          <w:b/>
          <w:bCs/>
          <w:color w:val="auto"/>
          <w:sz w:val="44"/>
          <w:szCs w:val="44"/>
          <w:highlight w:val="none"/>
        </w:rPr>
      </w:pPr>
      <w:r>
        <w:rPr>
          <w:rFonts w:hint="eastAsia" w:ascii="Times New Roman" w:hAnsi="Times New Roman" w:eastAsia="宋体" w:cs="Times New Roman"/>
          <w:b/>
          <w:bCs/>
          <w:color w:val="auto"/>
          <w:sz w:val="44"/>
          <w:szCs w:val="44"/>
          <w:highlight w:val="none"/>
        </w:rPr>
        <w:t>电子</w:t>
      </w:r>
      <w:r>
        <w:rPr>
          <w:rFonts w:ascii="Times New Roman" w:hAnsi="Times New Roman" w:eastAsia="宋体" w:cs="Times New Roman"/>
          <w:b/>
          <w:bCs/>
          <w:color w:val="auto"/>
          <w:sz w:val="44"/>
          <w:szCs w:val="44"/>
          <w:highlight w:val="none"/>
        </w:rPr>
        <w:t>投标文件</w:t>
      </w:r>
    </w:p>
    <w:p w14:paraId="17C4CF6C">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74562D3C">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2912502F">
      <w:pPr>
        <w:snapToGrid w:val="0"/>
        <w:spacing w:before="120" w:beforeLines="50" w:after="50" w:line="360" w:lineRule="exact"/>
        <w:jc w:val="center"/>
        <w:rPr>
          <w:rFonts w:ascii="Times New Roman" w:hAnsi="Times New Roman" w:eastAsia="宋体" w:cs="Times New Roman"/>
          <w:b/>
          <w:bCs/>
          <w:color w:val="auto"/>
          <w:sz w:val="44"/>
          <w:szCs w:val="44"/>
          <w:highlight w:val="none"/>
        </w:rPr>
      </w:pPr>
      <w:r>
        <w:rPr>
          <w:rFonts w:ascii="Times New Roman" w:hAnsi="Times New Roman" w:eastAsia="宋体" w:cs="Times New Roman"/>
          <w:b/>
          <w:bCs/>
          <w:color w:val="auto"/>
          <w:sz w:val="44"/>
          <w:szCs w:val="44"/>
          <w:highlight w:val="none"/>
        </w:rPr>
        <w:t>资格</w:t>
      </w:r>
      <w:r>
        <w:rPr>
          <w:rFonts w:hint="eastAsia" w:ascii="Times New Roman" w:hAnsi="Times New Roman" w:eastAsia="宋体" w:cs="Times New Roman"/>
          <w:b/>
          <w:bCs/>
          <w:color w:val="auto"/>
          <w:sz w:val="44"/>
          <w:szCs w:val="44"/>
          <w:highlight w:val="none"/>
        </w:rPr>
        <w:t>证明</w:t>
      </w:r>
      <w:r>
        <w:rPr>
          <w:rFonts w:ascii="Times New Roman" w:hAnsi="Times New Roman" w:eastAsia="宋体" w:cs="Times New Roman"/>
          <w:b/>
          <w:bCs/>
          <w:color w:val="auto"/>
          <w:sz w:val="44"/>
          <w:szCs w:val="44"/>
          <w:highlight w:val="none"/>
        </w:rPr>
        <w:t>文件</w:t>
      </w:r>
    </w:p>
    <w:p w14:paraId="3E9AD871">
      <w:pPr>
        <w:snapToGrid w:val="0"/>
        <w:spacing w:before="120" w:beforeLines="50" w:after="50" w:line="360" w:lineRule="exact"/>
        <w:rPr>
          <w:rFonts w:ascii="Times New Roman" w:hAnsi="Times New Roman" w:eastAsia="宋体" w:cs="Times New Roman"/>
          <w:bCs/>
          <w:color w:val="auto"/>
          <w:sz w:val="24"/>
          <w:szCs w:val="24"/>
          <w:highlight w:val="none"/>
        </w:rPr>
      </w:pPr>
    </w:p>
    <w:p w14:paraId="556E37D3">
      <w:pPr>
        <w:snapToGrid w:val="0"/>
        <w:spacing w:before="120" w:beforeLines="50" w:after="50" w:line="360" w:lineRule="exact"/>
        <w:rPr>
          <w:rFonts w:ascii="Times New Roman" w:hAnsi="Times New Roman" w:eastAsia="宋体" w:cs="Times New Roman"/>
          <w:bCs/>
          <w:color w:val="auto"/>
          <w:sz w:val="24"/>
          <w:szCs w:val="24"/>
          <w:highlight w:val="none"/>
        </w:rPr>
      </w:pPr>
    </w:p>
    <w:p w14:paraId="00606C27">
      <w:pPr>
        <w:snapToGrid w:val="0"/>
        <w:spacing w:before="120" w:beforeLines="50" w:after="50" w:line="360" w:lineRule="exact"/>
        <w:rPr>
          <w:rFonts w:ascii="Times New Roman" w:hAnsi="Times New Roman" w:eastAsia="宋体" w:cs="Times New Roman"/>
          <w:bCs/>
          <w:color w:val="auto"/>
          <w:sz w:val="24"/>
          <w:szCs w:val="24"/>
          <w:highlight w:val="none"/>
        </w:rPr>
      </w:pPr>
    </w:p>
    <w:p w14:paraId="0E21C71F">
      <w:pPr>
        <w:snapToGrid w:val="0"/>
        <w:spacing w:before="120" w:beforeLines="50" w:after="50" w:line="360" w:lineRule="exact"/>
        <w:ind w:firstLine="720" w:firstLineChars="300"/>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 xml:space="preserve">项目名称： </w:t>
      </w:r>
    </w:p>
    <w:p w14:paraId="40E0B785">
      <w:pPr>
        <w:snapToGrid w:val="0"/>
        <w:spacing w:before="120" w:beforeLines="50" w:after="50" w:line="360" w:lineRule="exact"/>
        <w:ind w:firstLine="720" w:firstLineChars="300"/>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项目编号：</w:t>
      </w:r>
    </w:p>
    <w:p w14:paraId="07ED4790">
      <w:pPr>
        <w:snapToGrid w:val="0"/>
        <w:spacing w:before="120" w:beforeLines="50" w:after="50" w:line="360" w:lineRule="exact"/>
        <w:ind w:firstLine="720" w:firstLineChars="300"/>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分标号：（若无</w:t>
      </w:r>
      <w:r>
        <w:rPr>
          <w:rFonts w:hint="eastAsia" w:ascii="Times New Roman" w:hAnsi="Times New Roman" w:eastAsia="宋体" w:cs="Times New Roman"/>
          <w:bCs/>
          <w:color w:val="auto"/>
          <w:sz w:val="24"/>
          <w:szCs w:val="24"/>
          <w:highlight w:val="none"/>
        </w:rPr>
        <w:t>留空或写</w:t>
      </w:r>
      <w:r>
        <w:rPr>
          <w:rFonts w:ascii="Times New Roman" w:hAnsi="Times New Roman" w:eastAsia="宋体" w:cs="Times New Roman"/>
          <w:bCs/>
          <w:color w:val="auto"/>
          <w:sz w:val="24"/>
          <w:szCs w:val="24"/>
          <w:highlight w:val="none"/>
        </w:rPr>
        <w:t>“/”）</w:t>
      </w:r>
    </w:p>
    <w:p w14:paraId="34DF07A0">
      <w:pPr>
        <w:snapToGrid w:val="0"/>
        <w:spacing w:before="120" w:beforeLines="50" w:after="50" w:line="360" w:lineRule="exact"/>
        <w:ind w:firstLine="720" w:firstLineChars="300"/>
        <w:rPr>
          <w:rFonts w:ascii="Times New Roman" w:hAnsi="Times New Roman" w:eastAsia="宋体" w:cs="Times New Roman"/>
          <w:bCs/>
          <w:color w:val="auto"/>
          <w:sz w:val="24"/>
          <w:szCs w:val="24"/>
          <w:highlight w:val="none"/>
        </w:rPr>
      </w:pPr>
      <w:r>
        <w:rPr>
          <w:rFonts w:hint="eastAsia" w:ascii="Times New Roman" w:hAnsi="Times New Roman" w:eastAsia="宋体" w:cs="Times New Roman"/>
          <w:bCs/>
          <w:color w:val="auto"/>
          <w:sz w:val="24"/>
          <w:szCs w:val="24"/>
          <w:highlight w:val="none"/>
        </w:rPr>
        <w:t>投标人</w:t>
      </w:r>
      <w:r>
        <w:rPr>
          <w:rFonts w:ascii="Times New Roman" w:hAnsi="Times New Roman" w:eastAsia="宋体" w:cs="Times New Roman"/>
          <w:bCs/>
          <w:color w:val="auto"/>
          <w:sz w:val="24"/>
          <w:szCs w:val="24"/>
          <w:highlight w:val="none"/>
        </w:rPr>
        <w:t>名称：</w:t>
      </w:r>
    </w:p>
    <w:p w14:paraId="6B345452">
      <w:pPr>
        <w:snapToGrid w:val="0"/>
        <w:spacing w:before="120" w:beforeLines="50" w:after="50" w:line="360" w:lineRule="exact"/>
        <w:ind w:firstLine="720" w:firstLineChars="300"/>
        <w:rPr>
          <w:rFonts w:ascii="Times New Roman" w:hAnsi="Times New Roman" w:eastAsia="宋体" w:cs="Times New Roman"/>
          <w:bCs/>
          <w:color w:val="auto"/>
          <w:sz w:val="24"/>
          <w:szCs w:val="24"/>
          <w:highlight w:val="none"/>
        </w:rPr>
      </w:pPr>
      <w:r>
        <w:rPr>
          <w:rFonts w:hint="eastAsia" w:ascii="Times New Roman" w:hAnsi="Times New Roman" w:eastAsia="宋体" w:cs="Times New Roman"/>
          <w:bCs/>
          <w:color w:val="auto"/>
          <w:sz w:val="24"/>
          <w:szCs w:val="24"/>
          <w:highlight w:val="none"/>
        </w:rPr>
        <w:t>投标人</w:t>
      </w:r>
      <w:r>
        <w:rPr>
          <w:rFonts w:ascii="Times New Roman" w:hAnsi="Times New Roman" w:eastAsia="宋体" w:cs="Times New Roman"/>
          <w:bCs/>
          <w:color w:val="auto"/>
          <w:sz w:val="24"/>
          <w:szCs w:val="24"/>
          <w:highlight w:val="none"/>
        </w:rPr>
        <w:t>地址：</w:t>
      </w:r>
    </w:p>
    <w:p w14:paraId="5193CDC4">
      <w:pPr>
        <w:snapToGrid w:val="0"/>
        <w:spacing w:before="50" w:after="50" w:line="360" w:lineRule="exact"/>
        <w:ind w:firstLine="960" w:firstLineChars="400"/>
        <w:rPr>
          <w:rFonts w:ascii="Times New Roman" w:hAnsi="Times New Roman" w:eastAsia="宋体" w:cs="Times New Roman"/>
          <w:bCs/>
          <w:color w:val="auto"/>
          <w:sz w:val="24"/>
          <w:szCs w:val="24"/>
          <w:highlight w:val="none"/>
        </w:rPr>
      </w:pPr>
    </w:p>
    <w:p w14:paraId="2E49BB56">
      <w:pPr>
        <w:snapToGrid w:val="0"/>
        <w:spacing w:before="120" w:beforeLines="50" w:after="50" w:line="36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                        年  月  日</w:t>
      </w:r>
    </w:p>
    <w:p w14:paraId="5DA491A1">
      <w:pPr>
        <w:snapToGrid w:val="0"/>
        <w:spacing w:before="120" w:beforeLines="50" w:after="50" w:line="360" w:lineRule="exact"/>
        <w:rPr>
          <w:rFonts w:ascii="Times New Roman" w:hAnsi="Times New Roman" w:eastAsia="宋体" w:cs="Times New Roman"/>
          <w:b/>
          <w:bCs/>
          <w:color w:val="auto"/>
          <w:sz w:val="24"/>
          <w:szCs w:val="24"/>
          <w:highlight w:val="none"/>
        </w:rPr>
      </w:pPr>
      <w:r>
        <w:rPr>
          <w:rFonts w:ascii="Times New Roman" w:hAnsi="Times New Roman" w:eastAsia="宋体" w:cs="Times New Roman"/>
          <w:color w:val="auto"/>
          <w:szCs w:val="24"/>
          <w:highlight w:val="none"/>
        </w:rPr>
        <w:br w:type="page"/>
      </w:r>
      <w:bookmarkEnd w:id="97"/>
      <w:bookmarkEnd w:id="98"/>
      <w:r>
        <w:rPr>
          <w:rFonts w:ascii="Times New Roman" w:hAnsi="Times New Roman" w:eastAsia="宋体" w:cs="Times New Roman"/>
          <w:b/>
          <w:bCs/>
          <w:color w:val="auto"/>
          <w:sz w:val="24"/>
          <w:szCs w:val="24"/>
          <w:highlight w:val="none"/>
        </w:rPr>
        <w:t xml:space="preserve"> </w:t>
      </w:r>
    </w:p>
    <w:p w14:paraId="0D73C0F5">
      <w:pPr>
        <w:snapToGrid w:val="0"/>
        <w:spacing w:before="50" w:after="50" w:line="440" w:lineRule="exact"/>
        <w:ind w:firstLine="138" w:firstLineChars="49"/>
        <w:jc w:val="center"/>
        <w:rPr>
          <w:rFonts w:ascii="Times New Roman" w:hAnsi="Times New Roman" w:eastAsia="宋体" w:cs="Times New Roman"/>
          <w:b/>
          <w:color w:val="auto"/>
          <w:sz w:val="28"/>
          <w:szCs w:val="28"/>
          <w:highlight w:val="none"/>
        </w:rPr>
      </w:pPr>
      <w:r>
        <w:rPr>
          <w:rFonts w:ascii="Times New Roman" w:hAnsi="Times New Roman" w:eastAsia="宋体" w:cs="Times New Roman"/>
          <w:b/>
          <w:color w:val="auto"/>
          <w:sz w:val="28"/>
          <w:szCs w:val="28"/>
          <w:highlight w:val="none"/>
        </w:rPr>
        <w:t>目录</w:t>
      </w:r>
    </w:p>
    <w:p w14:paraId="2CBE26F6">
      <w:pPr>
        <w:snapToGrid w:val="0"/>
        <w:spacing w:before="50" w:after="50" w:line="440" w:lineRule="exact"/>
        <w:ind w:firstLine="118" w:firstLineChars="49"/>
        <w:jc w:val="center"/>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（应有页码）</w:t>
      </w:r>
    </w:p>
    <w:p w14:paraId="15E96870">
      <w:pPr>
        <w:snapToGrid w:val="0"/>
        <w:spacing w:before="50" w:after="50" w:line="440" w:lineRule="exact"/>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br w:type="page"/>
      </w:r>
      <w:r>
        <w:rPr>
          <w:rFonts w:ascii="Times New Roman" w:hAnsi="Times New Roman" w:eastAsia="宋体" w:cs="Times New Roman"/>
          <w:b/>
          <w:color w:val="auto"/>
          <w:szCs w:val="21"/>
          <w:highlight w:val="none"/>
        </w:rPr>
        <w:t>1．投标声明书格式：</w:t>
      </w:r>
    </w:p>
    <w:p w14:paraId="36584596">
      <w:pPr>
        <w:snapToGrid w:val="0"/>
        <w:spacing w:before="50" w:after="50" w:line="440" w:lineRule="exact"/>
        <w:ind w:firstLine="157" w:firstLineChars="49"/>
        <w:jc w:val="left"/>
        <w:rPr>
          <w:rFonts w:ascii="Times New Roman" w:hAnsi="Times New Roman" w:eastAsia="宋体" w:cs="Times New Roman"/>
          <w:b/>
          <w:bCs/>
          <w:color w:val="auto"/>
          <w:sz w:val="32"/>
          <w:szCs w:val="32"/>
          <w:highlight w:val="none"/>
        </w:rPr>
      </w:pPr>
    </w:p>
    <w:p w14:paraId="73726E78">
      <w:pPr>
        <w:snapToGrid w:val="0"/>
        <w:spacing w:before="120" w:beforeLines="50" w:after="50" w:line="360" w:lineRule="exact"/>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投标声明书</w:t>
      </w:r>
    </w:p>
    <w:p w14:paraId="0804EFC7">
      <w:pPr>
        <w:snapToGrid w:val="0"/>
        <w:spacing w:before="120" w:beforeLines="50" w:after="50" w:line="360" w:lineRule="exact"/>
        <w:jc w:val="center"/>
        <w:rPr>
          <w:rFonts w:ascii="Times New Roman" w:hAnsi="Times New Roman" w:eastAsia="宋体" w:cs="Times New Roman"/>
          <w:color w:val="auto"/>
          <w:szCs w:val="21"/>
          <w:highlight w:val="none"/>
        </w:rPr>
      </w:pPr>
    </w:p>
    <w:p w14:paraId="406F5446">
      <w:pPr>
        <w:snapToGrid w:val="0"/>
        <w:spacing w:before="120" w:beforeLines="50" w:after="50" w:line="36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致：</w:t>
      </w:r>
      <w:r>
        <w:rPr>
          <w:rFonts w:ascii="Times New Roman" w:hAnsi="Times New Roman" w:eastAsia="宋体" w:cs="Times New Roman"/>
          <w:i/>
          <w:iCs/>
          <w:color w:val="auto"/>
          <w:szCs w:val="21"/>
          <w:highlight w:val="none"/>
          <w:u w:val="single"/>
        </w:rPr>
        <w:t>（采购</w:t>
      </w:r>
      <w:r>
        <w:rPr>
          <w:rFonts w:hint="eastAsia" w:ascii="Times New Roman" w:hAnsi="Times New Roman" w:eastAsia="宋体" w:cs="Times New Roman"/>
          <w:i/>
          <w:iCs/>
          <w:color w:val="auto"/>
          <w:szCs w:val="21"/>
          <w:highlight w:val="none"/>
          <w:u w:val="single"/>
        </w:rPr>
        <w:t>人</w:t>
      </w:r>
      <w:r>
        <w:rPr>
          <w:rFonts w:ascii="Times New Roman" w:hAnsi="Times New Roman" w:eastAsia="宋体" w:cs="Times New Roman"/>
          <w:i/>
          <w:iCs/>
          <w:color w:val="auto"/>
          <w:szCs w:val="21"/>
          <w:highlight w:val="none"/>
          <w:u w:val="single"/>
        </w:rPr>
        <w:t>名称）</w:t>
      </w:r>
      <w:r>
        <w:rPr>
          <w:rFonts w:ascii="Times New Roman" w:hAnsi="Times New Roman" w:eastAsia="宋体" w:cs="Times New Roman"/>
          <w:color w:val="auto"/>
          <w:szCs w:val="21"/>
          <w:highlight w:val="none"/>
        </w:rPr>
        <w:t>：</w:t>
      </w:r>
    </w:p>
    <w:p w14:paraId="0A00D700">
      <w:pPr>
        <w:snapToGrid w:val="0"/>
        <w:spacing w:before="120" w:beforeLines="50" w:after="50" w:line="360" w:lineRule="exact"/>
        <w:ind w:firstLine="630" w:firstLineChars="300"/>
        <w:rPr>
          <w:rFonts w:ascii="Times New Roman" w:hAnsi="Times New Roman" w:eastAsia="宋体" w:cs="Times New Roman"/>
          <w:color w:val="auto"/>
          <w:szCs w:val="21"/>
          <w:highlight w:val="none"/>
        </w:rPr>
      </w:pPr>
      <w:r>
        <w:rPr>
          <w:rFonts w:ascii="Times New Roman" w:hAnsi="Times New Roman" w:eastAsia="宋体" w:cs="Times New Roman"/>
          <w:i/>
          <w:iCs/>
          <w:color w:val="auto"/>
          <w:szCs w:val="21"/>
          <w:highlight w:val="none"/>
          <w:u w:val="single"/>
        </w:rPr>
        <w:t>（</w:t>
      </w:r>
      <w:r>
        <w:rPr>
          <w:rFonts w:hint="eastAsia" w:ascii="Times New Roman" w:hAnsi="Times New Roman" w:eastAsia="宋体" w:cs="Times New Roman"/>
          <w:i/>
          <w:iCs/>
          <w:color w:val="auto"/>
          <w:szCs w:val="21"/>
          <w:highlight w:val="none"/>
          <w:u w:val="single"/>
        </w:rPr>
        <w:t>投标人</w:t>
      </w:r>
      <w:r>
        <w:rPr>
          <w:rFonts w:ascii="Times New Roman" w:hAnsi="Times New Roman" w:eastAsia="宋体" w:cs="Times New Roman"/>
          <w:i/>
          <w:iCs/>
          <w:color w:val="auto"/>
          <w:szCs w:val="21"/>
          <w:highlight w:val="none"/>
          <w:u w:val="single"/>
        </w:rPr>
        <w:t>名称）</w:t>
      </w:r>
      <w:r>
        <w:rPr>
          <w:rFonts w:ascii="Times New Roman" w:hAnsi="Times New Roman" w:eastAsia="宋体" w:cs="Times New Roman"/>
          <w:color w:val="auto"/>
          <w:szCs w:val="21"/>
          <w:highlight w:val="none"/>
        </w:rPr>
        <w:t>系中华人民共和国合法企业，</w:t>
      </w:r>
      <w:r>
        <w:rPr>
          <w:rFonts w:hint="eastAsia" w:ascii="Times New Roman" w:hAnsi="Times New Roman" w:eastAsia="宋体" w:cs="Times New Roman"/>
          <w:color w:val="auto"/>
          <w:szCs w:val="21"/>
          <w:highlight w:val="none"/>
          <w:u w:val="single"/>
        </w:rPr>
        <w:t xml:space="preserve"> </w:t>
      </w:r>
      <w:r>
        <w:rPr>
          <w:rFonts w:ascii="Times New Roman" w:hAnsi="Times New Roman" w:eastAsia="宋体" w:cs="Times New Roman"/>
          <w:i/>
          <w:iCs/>
          <w:color w:val="auto"/>
          <w:szCs w:val="21"/>
          <w:highlight w:val="none"/>
          <w:u w:val="single"/>
        </w:rPr>
        <w:t xml:space="preserve"> </w:t>
      </w:r>
      <w:r>
        <w:rPr>
          <w:rFonts w:hint="eastAsia" w:ascii="Times New Roman" w:hAnsi="Times New Roman" w:eastAsia="宋体" w:cs="Times New Roman"/>
          <w:i/>
          <w:iCs/>
          <w:color w:val="auto"/>
          <w:szCs w:val="21"/>
          <w:highlight w:val="none"/>
          <w:u w:val="single"/>
        </w:rPr>
        <w:t>（</w:t>
      </w:r>
      <w:r>
        <w:rPr>
          <w:rFonts w:ascii="Times New Roman" w:hAnsi="Times New Roman" w:eastAsia="宋体" w:cs="Times New Roman"/>
          <w:i/>
          <w:iCs/>
          <w:color w:val="auto"/>
          <w:szCs w:val="21"/>
          <w:highlight w:val="none"/>
          <w:u w:val="single"/>
        </w:rPr>
        <w:t>经营地址</w:t>
      </w:r>
      <w:r>
        <w:rPr>
          <w:rFonts w:hint="eastAsia" w:ascii="Times New Roman" w:hAnsi="Times New Roman" w:eastAsia="宋体" w:cs="Times New Roman"/>
          <w:i/>
          <w:iCs/>
          <w:color w:val="auto"/>
          <w:szCs w:val="21"/>
          <w:highlight w:val="none"/>
          <w:u w:val="single"/>
        </w:rPr>
        <w:t xml:space="preserve">） </w:t>
      </w:r>
      <w:r>
        <w:rPr>
          <w:rFonts w:ascii="Times New Roman" w:hAnsi="Times New Roman" w:eastAsia="宋体" w:cs="Times New Roman"/>
          <w:i/>
          <w:iCs/>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w:t>
      </w:r>
    </w:p>
    <w:p w14:paraId="5D44DF1C">
      <w:pPr>
        <w:snapToGrid w:val="0"/>
        <w:spacing w:before="120" w:beforeLines="50" w:after="50" w:line="360" w:lineRule="exact"/>
        <w:ind w:firstLine="645"/>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我</w:t>
      </w:r>
      <w:r>
        <w:rPr>
          <w:rFonts w:ascii="Times New Roman" w:hAnsi="Times New Roman" w:eastAsia="宋体" w:cs="Times New Roman"/>
          <w:i/>
          <w:iCs/>
          <w:color w:val="auto"/>
          <w:szCs w:val="21"/>
          <w:highlight w:val="none"/>
          <w:u w:val="single"/>
        </w:rPr>
        <w:t>（姓名）</w:t>
      </w:r>
      <w:r>
        <w:rPr>
          <w:rFonts w:hint="eastAsia" w:ascii="Times New Roman" w:hAnsi="Times New Roman" w:eastAsia="宋体" w:cs="Times New Roman"/>
          <w:i/>
          <w:iCs/>
          <w:color w:val="auto"/>
          <w:szCs w:val="21"/>
          <w:highlight w:val="none"/>
          <w:u w:val="single"/>
        </w:rPr>
        <w:t xml:space="preserve"> </w:t>
      </w:r>
      <w:r>
        <w:rPr>
          <w:rFonts w:ascii="Times New Roman" w:hAnsi="Times New Roman" w:eastAsia="宋体" w:cs="Times New Roman"/>
          <w:color w:val="auto"/>
          <w:szCs w:val="21"/>
          <w:highlight w:val="none"/>
        </w:rPr>
        <w:t>系</w:t>
      </w:r>
      <w:r>
        <w:rPr>
          <w:rFonts w:ascii="Times New Roman" w:hAnsi="Times New Roman" w:eastAsia="宋体" w:cs="Times New Roman"/>
          <w:i/>
          <w:iCs/>
          <w:color w:val="auto"/>
          <w:szCs w:val="21"/>
          <w:highlight w:val="none"/>
          <w:u w:val="single"/>
        </w:rPr>
        <w:t>（</w:t>
      </w:r>
      <w:r>
        <w:rPr>
          <w:rFonts w:hint="eastAsia" w:ascii="Times New Roman" w:hAnsi="Times New Roman" w:eastAsia="宋体" w:cs="Times New Roman"/>
          <w:i/>
          <w:iCs/>
          <w:color w:val="auto"/>
          <w:szCs w:val="21"/>
          <w:highlight w:val="none"/>
          <w:u w:val="single"/>
        </w:rPr>
        <w:t>投标人</w:t>
      </w:r>
      <w:r>
        <w:rPr>
          <w:rFonts w:ascii="Times New Roman" w:hAnsi="Times New Roman" w:eastAsia="宋体" w:cs="Times New Roman"/>
          <w:i/>
          <w:iCs/>
          <w:color w:val="auto"/>
          <w:szCs w:val="21"/>
          <w:highlight w:val="none"/>
          <w:u w:val="single"/>
        </w:rPr>
        <w:t>名称）</w:t>
      </w:r>
      <w:r>
        <w:rPr>
          <w:rFonts w:ascii="Times New Roman" w:hAnsi="Times New Roman" w:eastAsia="宋体" w:cs="Times New Roman"/>
          <w:color w:val="auto"/>
          <w:szCs w:val="21"/>
          <w:highlight w:val="none"/>
        </w:rPr>
        <w:t>的法定代表人，我方愿意参加贵方组织的</w:t>
      </w:r>
      <w:r>
        <w:rPr>
          <w:rFonts w:hint="eastAsia" w:ascii="Times New Roman" w:hAnsi="Times New Roman" w:eastAsia="宋体" w:cs="Times New Roman"/>
          <w:color w:val="auto"/>
          <w:szCs w:val="21"/>
          <w:highlight w:val="none"/>
        </w:rPr>
        <w:t xml:space="preserve"> </w:t>
      </w:r>
      <w:r>
        <w:rPr>
          <w:rFonts w:hint="eastAsia" w:ascii="Times New Roman" w:hAnsi="Times New Roman" w:eastAsia="宋体" w:cs="Times New Roman"/>
          <w:i/>
          <w:iCs/>
          <w:color w:val="auto"/>
          <w:szCs w:val="21"/>
          <w:highlight w:val="none"/>
          <w:u w:val="single"/>
        </w:rPr>
        <w:t xml:space="preserve">（项目名称） </w:t>
      </w:r>
      <w:r>
        <w:rPr>
          <w:rFonts w:ascii="Times New Roman" w:hAnsi="Times New Roman" w:eastAsia="宋体" w:cs="Times New Roman"/>
          <w:color w:val="auto"/>
          <w:szCs w:val="21"/>
          <w:highlight w:val="none"/>
        </w:rPr>
        <w:t>项目的投标，为便于贵方公正、择优地确定中标人及其投标产品和服务，我方就本次投标有关事项郑重声明如下：</w:t>
      </w:r>
    </w:p>
    <w:p w14:paraId="36301348">
      <w:pPr>
        <w:snapToGrid w:val="0"/>
        <w:spacing w:before="120" w:beforeLines="50" w:line="36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（1）我方向贵方提交的所有投标文件、资料都是准确的和真实的。</w:t>
      </w:r>
    </w:p>
    <w:p w14:paraId="6D609063">
      <w:pPr>
        <w:snapToGrid w:val="0"/>
        <w:spacing w:before="120" w:beforeLines="50" w:line="36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（2）我方不是采购人的附属机构；也不是为本项目提供整体设计、规范编制或者项目管理、监理、检测等服务的</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或其附属机构。</w:t>
      </w:r>
    </w:p>
    <w:p w14:paraId="2C902100">
      <w:pPr>
        <w:snapToGrid w:val="0"/>
        <w:spacing w:before="120" w:beforeLines="50" w:line="36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（3）我方承诺在参加本政府采购项目活动前，没有被纳入政府部门或银行认定的失信名单，我方具有良好的商业信誉。</w:t>
      </w:r>
    </w:p>
    <w:p w14:paraId="304EBA5E">
      <w:pPr>
        <w:snapToGrid w:val="0"/>
        <w:spacing w:before="120" w:beforeLines="50" w:line="36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（4）我方及本人承诺在参加本政府采购项目活动前三年内，在经营活动中没有重大违法记录。重大违法记录是指供</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因违法经营受到刑事处罚或者责令停产停业、吊销许可证或者执照、较大数额罚款等行政处罚。如我方提供的声明不实，则自愿承担《政府采购法》有关提供虚假材料的规定给予的处罚。</w:t>
      </w:r>
    </w:p>
    <w:p w14:paraId="575078EC">
      <w:pPr>
        <w:snapToGrid w:val="0"/>
        <w:spacing w:before="120" w:beforeLines="50" w:line="36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（5）我方承诺具有履行本项目合同所必需的设备和专业技术能力。</w:t>
      </w:r>
    </w:p>
    <w:p w14:paraId="453BC83B">
      <w:pPr>
        <w:snapToGrid w:val="0"/>
        <w:spacing w:before="120" w:beforeLines="50" w:line="36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（6）我方承诺</w:t>
      </w:r>
      <w:r>
        <w:rPr>
          <w:rFonts w:ascii="Times New Roman" w:hAnsi="Times New Roman" w:eastAsia="宋体" w:cs="Times New Roman"/>
          <w:color w:val="auto"/>
          <w:szCs w:val="21"/>
          <w:highlight w:val="none"/>
        </w:rPr>
        <w:t>未被列入失信被执行人、重大税收违法失信主体、政府采购严重违法失信行为记录名单</w:t>
      </w:r>
      <w:r>
        <w:rPr>
          <w:rFonts w:hint="eastAsia" w:ascii="Times New Roman" w:hAnsi="Times New Roman" w:eastAsia="宋体" w:cs="Times New Roman"/>
          <w:color w:val="auto"/>
          <w:szCs w:val="21"/>
          <w:highlight w:val="none"/>
        </w:rPr>
        <w:t>，如我方提供的声明不实，则接受本次投标作为否决投标的处理，</w:t>
      </w:r>
      <w:r>
        <w:rPr>
          <w:rFonts w:ascii="Times New Roman" w:hAnsi="Times New Roman" w:eastAsia="宋体" w:cs="Times New Roman"/>
          <w:color w:val="auto"/>
          <w:szCs w:val="21"/>
          <w:highlight w:val="none"/>
        </w:rPr>
        <w:t>并根据财库〔2016〕125号《财政部关于在政府采购活动中查询及使用信用记录有关问题的通知》规定接受失信联合惩戒。</w:t>
      </w:r>
    </w:p>
    <w:p w14:paraId="217D58C0">
      <w:pPr>
        <w:snapToGrid w:val="0"/>
        <w:spacing w:before="120" w:beforeLines="50" w:line="36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（7）我方承诺中标后按</w:t>
      </w:r>
      <w:r>
        <w:rPr>
          <w:rFonts w:ascii="Times New Roman" w:hAnsi="Times New Roman" w:eastAsia="宋体" w:cs="Times New Roman"/>
          <w:color w:val="auto"/>
          <w:szCs w:val="21"/>
          <w:highlight w:val="none"/>
        </w:rPr>
        <w:t>规定缴纳代理服务费</w:t>
      </w:r>
      <w:r>
        <w:rPr>
          <w:rFonts w:hint="eastAsia" w:ascii="Times New Roman" w:hAnsi="Times New Roman" w:eastAsia="宋体" w:cs="Times New Roman"/>
          <w:color w:val="auto"/>
          <w:szCs w:val="21"/>
          <w:highlight w:val="none"/>
        </w:rPr>
        <w:t>。如未按时缴纳，</w:t>
      </w:r>
      <w:r>
        <w:rPr>
          <w:rFonts w:ascii="Times New Roman" w:hAnsi="Times New Roman" w:eastAsia="宋体" w:cs="Times New Roman"/>
          <w:color w:val="auto"/>
          <w:szCs w:val="21"/>
          <w:highlight w:val="none"/>
        </w:rPr>
        <w:t>贵方可</w:t>
      </w:r>
      <w:r>
        <w:rPr>
          <w:rFonts w:hint="eastAsia" w:ascii="Times New Roman" w:hAnsi="Times New Roman" w:eastAsia="宋体" w:cs="Times New Roman"/>
          <w:color w:val="auto"/>
          <w:szCs w:val="21"/>
          <w:highlight w:val="none"/>
        </w:rPr>
        <w:t>不退还</w:t>
      </w:r>
      <w:r>
        <w:rPr>
          <w:rFonts w:ascii="Times New Roman" w:hAnsi="Times New Roman" w:eastAsia="宋体" w:cs="Times New Roman"/>
          <w:color w:val="auto"/>
          <w:szCs w:val="21"/>
          <w:highlight w:val="none"/>
        </w:rPr>
        <w:t>我</w:t>
      </w:r>
      <w:r>
        <w:rPr>
          <w:rFonts w:hint="eastAsia" w:ascii="Times New Roman" w:hAnsi="Times New Roman" w:eastAsia="宋体" w:cs="Times New Roman"/>
          <w:color w:val="auto"/>
          <w:szCs w:val="21"/>
          <w:highlight w:val="none"/>
        </w:rPr>
        <w:t>方</w:t>
      </w:r>
      <w:r>
        <w:rPr>
          <w:rFonts w:ascii="Times New Roman" w:hAnsi="Times New Roman" w:eastAsia="宋体" w:cs="Times New Roman"/>
          <w:color w:val="auto"/>
          <w:szCs w:val="21"/>
          <w:highlight w:val="none"/>
        </w:rPr>
        <w:t>提交的投标保证金</w:t>
      </w:r>
      <w:r>
        <w:rPr>
          <w:rFonts w:hint="eastAsia" w:ascii="Times New Roman" w:hAnsi="Times New Roman" w:eastAsia="宋体" w:cs="Times New Roman"/>
          <w:color w:val="auto"/>
          <w:szCs w:val="21"/>
          <w:highlight w:val="none"/>
        </w:rPr>
        <w:t>，并从中</w:t>
      </w:r>
      <w:r>
        <w:rPr>
          <w:rFonts w:ascii="Times New Roman" w:hAnsi="Times New Roman" w:eastAsia="宋体" w:cs="Times New Roman"/>
          <w:color w:val="auto"/>
          <w:szCs w:val="21"/>
          <w:highlight w:val="none"/>
        </w:rPr>
        <w:t>扣除</w:t>
      </w:r>
      <w:r>
        <w:rPr>
          <w:rFonts w:hint="eastAsia" w:ascii="Times New Roman" w:hAnsi="Times New Roman" w:eastAsia="宋体" w:cs="Times New Roman"/>
          <w:color w:val="auto"/>
          <w:szCs w:val="21"/>
          <w:highlight w:val="none"/>
        </w:rPr>
        <w:t>代理服务费。</w:t>
      </w:r>
    </w:p>
    <w:p w14:paraId="60C28501">
      <w:pPr>
        <w:snapToGrid w:val="0"/>
        <w:spacing w:before="120" w:beforeLines="50" w:line="36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我方对以上声明负全部法律责任。如有虚假或隐瞒，我方愿意承担一切后果，并不再寻求任何旨在减轻或免除法律责任的辩解。</w:t>
      </w:r>
    </w:p>
    <w:p w14:paraId="21756D9A">
      <w:pPr>
        <w:snapToGrid w:val="0"/>
        <w:spacing w:before="120" w:beforeLines="50" w:line="360" w:lineRule="exact"/>
        <w:ind w:firstLine="420" w:firstLineChars="200"/>
        <w:rPr>
          <w:rFonts w:ascii="Times New Roman" w:hAnsi="Times New Roman" w:eastAsia="宋体" w:cs="Times New Roman"/>
          <w:color w:val="auto"/>
          <w:szCs w:val="21"/>
          <w:highlight w:val="none"/>
        </w:rPr>
      </w:pPr>
    </w:p>
    <w:p w14:paraId="30FA788D">
      <w:pPr>
        <w:snapToGrid w:val="0"/>
        <w:spacing w:before="120" w:beforeLines="50" w:after="50" w:line="360" w:lineRule="exact"/>
        <w:ind w:firstLine="210" w:firstLineChars="100"/>
        <w:jc w:val="right"/>
        <w:rPr>
          <w:rFonts w:ascii="Times New Roman" w:hAnsi="Times New Roman" w:eastAsia="宋体" w:cs="Times New Roman"/>
          <w:color w:val="auto"/>
          <w:szCs w:val="21"/>
          <w:highlight w:val="none"/>
        </w:rPr>
      </w:pPr>
      <w:bookmarkStart w:id="99" w:name="_Hlk88990289"/>
      <w:r>
        <w:rPr>
          <w:rFonts w:hint="eastAsia" w:ascii="Times New Roman" w:hAnsi="Times New Roman" w:eastAsia="宋体" w:cs="Times New Roman"/>
          <w:color w:val="auto"/>
          <w:szCs w:val="21"/>
          <w:highlight w:val="none"/>
        </w:rPr>
        <w:t>投标人名称（电子签章）</w:t>
      </w:r>
      <w:bookmarkEnd w:id="99"/>
      <w:r>
        <w:rPr>
          <w:rFonts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w:t>
      </w:r>
    </w:p>
    <w:p w14:paraId="13EF7744">
      <w:pPr>
        <w:snapToGrid w:val="0"/>
        <w:spacing w:before="120" w:beforeLines="50" w:after="50" w:line="360" w:lineRule="exact"/>
        <w:ind w:firstLine="210" w:firstLineChars="100"/>
        <w:jc w:val="righ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年    月    日</w:t>
      </w:r>
    </w:p>
    <w:p w14:paraId="64BF2E76">
      <w:pPr>
        <w:snapToGrid w:val="0"/>
        <w:spacing w:before="120" w:beforeLines="50" w:after="50" w:line="36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br w:type="page"/>
      </w:r>
      <w:r>
        <w:rPr>
          <w:rFonts w:ascii="Times New Roman" w:hAnsi="Times New Roman" w:eastAsia="宋体" w:cs="Times New Roman"/>
          <w:color w:val="auto"/>
          <w:szCs w:val="21"/>
          <w:highlight w:val="none"/>
        </w:rPr>
        <w:t>2．法人或者其他组织的营业执照等证明文件、自然人的身份证明。即</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是企业则提供营业执照（副本）复印件；</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是事业单位，则提供事业单位法人证书（副本）复印件；</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是非企业专业服务机构的，则提供执业许可证等证明文件复印件；</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是个体工商户，则提供个体工商户营业执照复印件；</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是自然人，则提供有效的自然人身份证明复印件；如</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不是以上所列的法人、组织、自然人的，则提供国家规定的相关证明材料。（加盖</w:t>
      </w:r>
      <w:r>
        <w:rPr>
          <w:rFonts w:hint="eastAsia" w:ascii="Times New Roman" w:hAnsi="Times New Roman" w:eastAsia="宋体" w:cs="Times New Roman"/>
          <w:color w:val="auto"/>
          <w:szCs w:val="21"/>
          <w:highlight w:val="none"/>
        </w:rPr>
        <w:t>投标人电子签章</w:t>
      </w:r>
      <w:r>
        <w:rPr>
          <w:rFonts w:ascii="Times New Roman" w:hAnsi="Times New Roman" w:eastAsia="宋体" w:cs="Times New Roman"/>
          <w:color w:val="auto"/>
          <w:szCs w:val="21"/>
          <w:highlight w:val="none"/>
        </w:rPr>
        <w:t>）。</w:t>
      </w:r>
    </w:p>
    <w:p w14:paraId="15665F01">
      <w:pPr>
        <w:snapToGrid w:val="0"/>
        <w:spacing w:before="120" w:beforeLines="50" w:after="50" w:line="440" w:lineRule="exact"/>
        <w:rPr>
          <w:rFonts w:ascii="Times New Roman" w:hAnsi="Times New Roman" w:eastAsia="宋体" w:cs="Times New Roman"/>
          <w:color w:val="auto"/>
          <w:sz w:val="18"/>
          <w:szCs w:val="18"/>
          <w:highlight w:val="none"/>
        </w:rPr>
      </w:pPr>
    </w:p>
    <w:p w14:paraId="13575FB0">
      <w:pPr>
        <w:snapToGrid w:val="0"/>
        <w:spacing w:before="120" w:beforeLines="50" w:after="50" w:line="440" w:lineRule="exact"/>
        <w:rPr>
          <w:rFonts w:ascii="Times New Roman" w:hAnsi="Times New Roman" w:eastAsia="宋体" w:cs="Times New Roman"/>
          <w:b/>
          <w:color w:val="auto"/>
          <w:szCs w:val="21"/>
          <w:highlight w:val="none"/>
        </w:rPr>
      </w:pPr>
      <w:r>
        <w:rPr>
          <w:rFonts w:ascii="Times New Roman" w:hAnsi="Times New Roman" w:eastAsia="宋体" w:cs="Times New Roman"/>
          <w:color w:val="auto"/>
          <w:szCs w:val="21"/>
          <w:highlight w:val="none"/>
        </w:rPr>
        <w:t>3．财务状况报告（表）复印件或银行出具的资信证明复印件。</w:t>
      </w:r>
      <w:r>
        <w:rPr>
          <w:rFonts w:ascii="Times New Roman" w:hAnsi="Times New Roman" w:eastAsia="宋体" w:cs="Times New Roman"/>
          <w:color w:val="auto"/>
          <w:szCs w:val="24"/>
          <w:highlight w:val="none"/>
        </w:rPr>
        <w:t>对于从取得营业执照时间起到截标时间为止不足1年的</w:t>
      </w:r>
      <w:r>
        <w:rPr>
          <w:rFonts w:hint="eastAsia" w:ascii="Times New Roman" w:hAnsi="Times New Roman" w:eastAsia="宋体" w:cs="Times New Roman"/>
          <w:color w:val="auto"/>
          <w:szCs w:val="24"/>
          <w:highlight w:val="none"/>
        </w:rPr>
        <w:t>投标人</w:t>
      </w:r>
      <w:r>
        <w:rPr>
          <w:rFonts w:ascii="Times New Roman" w:hAnsi="Times New Roman" w:eastAsia="宋体" w:cs="Times New Roman"/>
          <w:color w:val="auto"/>
          <w:szCs w:val="24"/>
          <w:highlight w:val="none"/>
        </w:rPr>
        <w:t>，只需提交</w:t>
      </w:r>
      <w:r>
        <w:rPr>
          <w:rFonts w:ascii="Times New Roman" w:hAnsi="Times New Roman" w:eastAsia="宋体" w:cs="Times New Roman"/>
          <w:color w:val="auto"/>
          <w:szCs w:val="21"/>
          <w:highlight w:val="none"/>
        </w:rPr>
        <w:t>截标时间前一个月的财务状况报告（表）复印件。（按“评审方法及标准” “资格审查表”规定提供）。（加盖</w:t>
      </w:r>
      <w:r>
        <w:rPr>
          <w:rFonts w:hint="eastAsia" w:ascii="Times New Roman" w:hAnsi="Times New Roman" w:eastAsia="宋体" w:cs="Times New Roman"/>
          <w:color w:val="auto"/>
          <w:szCs w:val="21"/>
          <w:highlight w:val="none"/>
        </w:rPr>
        <w:t>投标人电子签章</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w:t>
      </w:r>
    </w:p>
    <w:p w14:paraId="19FEB0DE">
      <w:pPr>
        <w:snapToGrid w:val="0"/>
        <w:spacing w:before="120" w:beforeLines="50" w:after="50" w:line="440" w:lineRule="exact"/>
        <w:rPr>
          <w:rFonts w:ascii="Times New Roman" w:hAnsi="Times New Roman" w:eastAsia="宋体" w:cs="Times New Roman"/>
          <w:color w:val="auto"/>
          <w:szCs w:val="21"/>
          <w:highlight w:val="none"/>
        </w:rPr>
      </w:pPr>
    </w:p>
    <w:p w14:paraId="5AD3E487">
      <w:pPr>
        <w:snapToGrid w:val="0"/>
        <w:spacing w:before="120" w:beforeLines="50" w:after="50" w:line="440" w:lineRule="exact"/>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4．依法缴纳税费证明和社会保险缴纳证明材料</w:t>
      </w:r>
      <w:r>
        <w:rPr>
          <w:rFonts w:hint="eastAsia" w:ascii="Times New Roman" w:hAnsi="Times New Roman" w:eastAsia="宋体" w:cs="Times New Roman"/>
          <w:color w:val="auto"/>
          <w:szCs w:val="24"/>
          <w:highlight w:val="none"/>
        </w:rPr>
        <w:t>。投标人</w:t>
      </w:r>
      <w:r>
        <w:rPr>
          <w:rFonts w:ascii="Times New Roman" w:hAnsi="Times New Roman" w:eastAsia="宋体" w:cs="Times New Roman"/>
          <w:color w:val="auto"/>
          <w:szCs w:val="24"/>
          <w:highlight w:val="none"/>
        </w:rPr>
        <w:t>成立不足</w:t>
      </w:r>
      <w:r>
        <w:rPr>
          <w:rFonts w:hint="eastAsia" w:ascii="Times New Roman" w:hAnsi="Times New Roman" w:eastAsia="宋体" w:cs="Times New Roman"/>
          <w:color w:val="auto"/>
          <w:szCs w:val="24"/>
          <w:highlight w:val="none"/>
        </w:rPr>
        <w:t>1个月的，无须提供</w:t>
      </w:r>
      <w:r>
        <w:rPr>
          <w:rFonts w:ascii="Times New Roman" w:hAnsi="Times New Roman" w:eastAsia="宋体" w:cs="Times New Roman"/>
          <w:color w:val="auto"/>
          <w:szCs w:val="24"/>
          <w:highlight w:val="none"/>
        </w:rPr>
        <w:t>缴纳税费证明及社保缴费证明</w:t>
      </w:r>
      <w:r>
        <w:rPr>
          <w:rFonts w:hint="eastAsia" w:ascii="Times New Roman" w:hAnsi="Times New Roman" w:eastAsia="宋体" w:cs="Times New Roman"/>
          <w:color w:val="auto"/>
          <w:szCs w:val="24"/>
          <w:highlight w:val="none"/>
        </w:rPr>
        <w:t>。</w:t>
      </w:r>
      <w:r>
        <w:rPr>
          <w:rFonts w:ascii="Times New Roman" w:hAnsi="Times New Roman" w:eastAsia="宋体" w:cs="Times New Roman"/>
          <w:color w:val="auto"/>
          <w:szCs w:val="24"/>
          <w:highlight w:val="none"/>
        </w:rPr>
        <w:t>依法免税或不需要缴纳社会保障资金的</w:t>
      </w:r>
      <w:r>
        <w:rPr>
          <w:rFonts w:hint="eastAsia" w:ascii="Times New Roman" w:hAnsi="Times New Roman" w:eastAsia="宋体" w:cs="Times New Roman"/>
          <w:color w:val="auto"/>
          <w:szCs w:val="24"/>
          <w:highlight w:val="none"/>
        </w:rPr>
        <w:t>投标人</w:t>
      </w:r>
      <w:r>
        <w:rPr>
          <w:rFonts w:ascii="Times New Roman" w:hAnsi="Times New Roman" w:eastAsia="宋体" w:cs="Times New Roman"/>
          <w:color w:val="auto"/>
          <w:szCs w:val="24"/>
          <w:highlight w:val="none"/>
        </w:rPr>
        <w:t>，须提供相应文件证明其依法免税或不需要缴纳社会保障资金。</w:t>
      </w:r>
      <w:r>
        <w:rPr>
          <w:rFonts w:ascii="Times New Roman" w:hAnsi="Times New Roman" w:eastAsia="宋体" w:cs="Times New Roman"/>
          <w:color w:val="auto"/>
          <w:szCs w:val="21"/>
          <w:highlight w:val="none"/>
        </w:rPr>
        <w:t>（按“评审方法及标准” “资格审查表”规定提供）（加盖</w:t>
      </w:r>
      <w:r>
        <w:rPr>
          <w:rFonts w:hint="eastAsia" w:ascii="Times New Roman" w:hAnsi="Times New Roman" w:eastAsia="宋体" w:cs="Times New Roman"/>
          <w:color w:val="auto"/>
          <w:szCs w:val="21"/>
          <w:highlight w:val="none"/>
        </w:rPr>
        <w:t>投标人电子签章</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w:t>
      </w:r>
    </w:p>
    <w:p w14:paraId="0DF2EB82">
      <w:pPr>
        <w:snapToGrid w:val="0"/>
        <w:spacing w:before="120" w:beforeLines="50" w:after="50" w:line="360" w:lineRule="exact"/>
        <w:rPr>
          <w:rFonts w:ascii="Times New Roman" w:hAnsi="Times New Roman" w:eastAsia="宋体" w:cs="Times New Roman"/>
          <w:color w:val="auto"/>
          <w:szCs w:val="21"/>
          <w:highlight w:val="none"/>
        </w:rPr>
      </w:pPr>
    </w:p>
    <w:p w14:paraId="3B41933F">
      <w:pPr>
        <w:snapToGrid w:val="0"/>
        <w:spacing w:before="50" w:after="120" w:afterLines="50" w:line="440" w:lineRule="exact"/>
        <w:jc w:val="left"/>
        <w:rPr>
          <w:rFonts w:ascii="Times New Roman" w:hAnsi="Times New Roman" w:eastAsia="宋体" w:cs="Times New Roman"/>
          <w:b/>
          <w:color w:val="auto"/>
          <w:szCs w:val="21"/>
          <w:highlight w:val="none"/>
        </w:rPr>
      </w:pPr>
      <w:r>
        <w:rPr>
          <w:rFonts w:ascii="Times New Roman" w:hAnsi="Times New Roman" w:eastAsia="宋体" w:cs="Times New Roman"/>
          <w:color w:val="auto"/>
          <w:szCs w:val="21"/>
          <w:highlight w:val="none"/>
        </w:rPr>
        <w:t>5．具备法律、行政法规规定的其他要求的证明材料</w:t>
      </w:r>
      <w:r>
        <w:rPr>
          <w:rFonts w:ascii="Times New Roman" w:hAnsi="Times New Roman" w:eastAsia="宋体" w:cs="Times New Roman"/>
          <w:color w:val="auto"/>
          <w:szCs w:val="24"/>
          <w:highlight w:val="none"/>
        </w:rPr>
        <w:t>（</w:t>
      </w:r>
      <w:r>
        <w:rPr>
          <w:rFonts w:ascii="Times New Roman" w:hAnsi="Times New Roman" w:eastAsia="宋体" w:cs="Times New Roman"/>
          <w:color w:val="auto"/>
          <w:szCs w:val="21"/>
          <w:highlight w:val="none"/>
        </w:rPr>
        <w:t>按“评审方法及标准” “资格审查表”规定提供</w:t>
      </w:r>
      <w:r>
        <w:rPr>
          <w:rFonts w:ascii="Times New Roman" w:hAnsi="Times New Roman" w:eastAsia="宋体" w:cs="Times New Roman"/>
          <w:color w:val="auto"/>
          <w:szCs w:val="24"/>
          <w:highlight w:val="none"/>
        </w:rPr>
        <w:t>）。</w:t>
      </w:r>
      <w:r>
        <w:rPr>
          <w:rFonts w:hint="eastAsia" w:ascii="Times New Roman" w:hAnsi="Times New Roman" w:eastAsia="宋体" w:cs="Times New Roman"/>
          <w:b/>
          <w:color w:val="auto"/>
          <w:szCs w:val="21"/>
          <w:highlight w:val="none"/>
        </w:rPr>
        <w:t>（如招标文件有要求时提供）</w:t>
      </w:r>
    </w:p>
    <w:p w14:paraId="5DBABA7E">
      <w:pPr>
        <w:snapToGrid w:val="0"/>
        <w:spacing w:before="50" w:after="120" w:afterLines="50" w:line="440" w:lineRule="exact"/>
        <w:jc w:val="left"/>
        <w:rPr>
          <w:rFonts w:ascii="Times New Roman" w:hAnsi="Times New Roman" w:eastAsia="宋体" w:cs="Times New Roman"/>
          <w:color w:val="auto"/>
          <w:szCs w:val="21"/>
          <w:highlight w:val="none"/>
        </w:rPr>
      </w:pPr>
    </w:p>
    <w:p w14:paraId="3BDAABF5">
      <w:pPr>
        <w:rPr>
          <w:rFonts w:ascii="Times New Roman" w:hAnsi="Times New Roman" w:eastAsia="宋体" w:cs="Times New Roman"/>
          <w:b/>
          <w:color w:val="auto"/>
          <w:szCs w:val="21"/>
          <w:highlight w:val="none"/>
        </w:rPr>
      </w:pPr>
      <w:bookmarkStart w:id="100" w:name="_Hlk132879806"/>
      <w:r>
        <w:rPr>
          <w:rFonts w:hint="eastAsia" w:ascii="Times New Roman" w:hAnsi="Times New Roman" w:eastAsia="宋体" w:cs="Times New Roman"/>
          <w:b/>
          <w:color w:val="auto"/>
          <w:szCs w:val="21"/>
          <w:highlight w:val="none"/>
        </w:rPr>
        <w:t>6．</w:t>
      </w:r>
      <w:r>
        <w:rPr>
          <w:rFonts w:hint="eastAsia" w:ascii="Times New Roman" w:hAnsi="Times New Roman" w:eastAsia="宋体" w:cs="Times New Roman"/>
          <w:color w:val="auto"/>
          <w:szCs w:val="24"/>
          <w:highlight w:val="none"/>
        </w:rPr>
        <w:t>落实政府采购政策需满足的资格要求</w:t>
      </w:r>
      <w:r>
        <w:rPr>
          <w:rFonts w:ascii="Times New Roman" w:hAnsi="Times New Roman" w:eastAsia="宋体" w:cs="Times New Roman"/>
          <w:color w:val="auto"/>
          <w:szCs w:val="24"/>
          <w:highlight w:val="none"/>
        </w:rPr>
        <w:t>（</w:t>
      </w:r>
      <w:r>
        <w:rPr>
          <w:rFonts w:ascii="Times New Roman" w:hAnsi="Times New Roman" w:eastAsia="宋体" w:cs="Times New Roman"/>
          <w:color w:val="auto"/>
          <w:szCs w:val="21"/>
          <w:highlight w:val="none"/>
        </w:rPr>
        <w:t>按“评审方法及标准” “资格审查表”规定提供</w:t>
      </w:r>
      <w:r>
        <w:rPr>
          <w:rFonts w:ascii="Times New Roman" w:hAnsi="Times New Roman" w:eastAsia="宋体" w:cs="Times New Roman"/>
          <w:color w:val="auto"/>
          <w:szCs w:val="24"/>
          <w:highlight w:val="none"/>
        </w:rPr>
        <w:t>）。</w:t>
      </w:r>
      <w:r>
        <w:rPr>
          <w:rFonts w:hint="eastAsia" w:ascii="Times New Roman" w:hAnsi="Times New Roman" w:eastAsia="宋体" w:cs="Times New Roman"/>
          <w:b/>
          <w:color w:val="auto"/>
          <w:szCs w:val="21"/>
          <w:highlight w:val="none"/>
        </w:rPr>
        <w:t>（如招标文件有要求时提供）</w:t>
      </w:r>
      <w:bookmarkEnd w:id="100"/>
      <w:bookmarkStart w:id="101" w:name="_Hlk132879836"/>
    </w:p>
    <w:p w14:paraId="3B1F6A92">
      <w:pPr>
        <w:rPr>
          <w:rFonts w:ascii="Times New Roman" w:hAnsi="Times New Roman" w:eastAsia="宋体" w:cs="Times New Roman"/>
          <w:b/>
          <w:color w:val="auto"/>
          <w:szCs w:val="21"/>
          <w:highlight w:val="none"/>
        </w:rPr>
      </w:pPr>
    </w:p>
    <w:bookmarkEnd w:id="101"/>
    <w:p w14:paraId="21FC5B66">
      <w:pPr>
        <w:widowControl/>
        <w:jc w:val="left"/>
        <w:rPr>
          <w:rFonts w:ascii="Times New Roman" w:hAnsi="Times New Roman" w:eastAsia="宋体" w:cs="Times New Roman"/>
          <w:color w:val="auto"/>
          <w:szCs w:val="21"/>
          <w:highlight w:val="none"/>
        </w:rPr>
      </w:pPr>
    </w:p>
    <w:p w14:paraId="274625CB">
      <w:pPr>
        <w:widowControl/>
        <w:jc w:val="left"/>
        <w:rPr>
          <w:rFonts w:ascii="Times New Roman" w:hAnsi="Times New Roman" w:eastAsia="宋体" w:cs="Times New Roman"/>
          <w:b/>
          <w:color w:val="auto"/>
          <w:szCs w:val="21"/>
          <w:highlight w:val="none"/>
        </w:rPr>
      </w:pPr>
      <w:r>
        <w:rPr>
          <w:rFonts w:ascii="Times New Roman" w:hAnsi="Times New Roman" w:eastAsia="宋体" w:cs="Times New Roman"/>
          <w:color w:val="auto"/>
          <w:szCs w:val="21"/>
          <w:highlight w:val="none"/>
        </w:rPr>
        <w:t>7．</w:t>
      </w:r>
      <w:r>
        <w:rPr>
          <w:rFonts w:ascii="Times New Roman" w:hAnsi="Times New Roman" w:eastAsia="宋体" w:cs="Times New Roman"/>
          <w:color w:val="auto"/>
          <w:szCs w:val="24"/>
          <w:highlight w:val="none"/>
        </w:rPr>
        <w:t>满足</w:t>
      </w:r>
      <w:r>
        <w:rPr>
          <w:rFonts w:hint="eastAsia" w:ascii="Times New Roman" w:hAnsi="Times New Roman" w:eastAsia="宋体" w:cs="Times New Roman"/>
          <w:color w:val="auto"/>
          <w:szCs w:val="24"/>
          <w:highlight w:val="none"/>
        </w:rPr>
        <w:t>投标人</w:t>
      </w:r>
      <w:r>
        <w:rPr>
          <w:rFonts w:ascii="Times New Roman" w:hAnsi="Times New Roman" w:eastAsia="宋体" w:cs="Times New Roman"/>
          <w:color w:val="auto"/>
          <w:szCs w:val="24"/>
          <w:highlight w:val="none"/>
        </w:rPr>
        <w:t>特定资格条件的其他证明材料</w:t>
      </w:r>
      <w:r>
        <w:rPr>
          <w:rFonts w:ascii="Times New Roman" w:hAnsi="Times New Roman" w:eastAsia="宋体" w:cs="Times New Roman"/>
          <w:color w:val="auto"/>
          <w:szCs w:val="21"/>
          <w:highlight w:val="none"/>
        </w:rPr>
        <w:t>加盖</w:t>
      </w:r>
      <w:r>
        <w:rPr>
          <w:rFonts w:hint="eastAsia" w:ascii="Times New Roman" w:hAnsi="Times New Roman" w:eastAsia="宋体" w:cs="Times New Roman"/>
          <w:color w:val="auto"/>
          <w:szCs w:val="21"/>
          <w:highlight w:val="none"/>
        </w:rPr>
        <w:t>投标人电子签章</w:t>
      </w:r>
      <w:r>
        <w:rPr>
          <w:rFonts w:ascii="Times New Roman" w:hAnsi="Times New Roman" w:eastAsia="宋体" w:cs="Times New Roman"/>
          <w:color w:val="auto"/>
          <w:szCs w:val="24"/>
          <w:highlight w:val="none"/>
        </w:rPr>
        <w:t>（</w:t>
      </w:r>
      <w:r>
        <w:rPr>
          <w:rFonts w:ascii="Times New Roman" w:hAnsi="Times New Roman" w:eastAsia="宋体" w:cs="Times New Roman"/>
          <w:color w:val="auto"/>
          <w:szCs w:val="21"/>
          <w:highlight w:val="none"/>
        </w:rPr>
        <w:t>按“评审方法及标准” “资格审查表”“</w:t>
      </w:r>
      <w:r>
        <w:rPr>
          <w:rFonts w:ascii="Times New Roman" w:hAnsi="Times New Roman" w:eastAsia="宋体" w:cs="Times New Roman"/>
          <w:color w:val="auto"/>
          <w:szCs w:val="21"/>
          <w:highlight w:val="none"/>
          <w:lang w:val="zh-CN"/>
        </w:rPr>
        <w:t xml:space="preserve"> </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lang w:val="zh-CN"/>
        </w:rPr>
        <w:t>应符合的</w:t>
      </w:r>
      <w:r>
        <w:rPr>
          <w:rFonts w:ascii="Times New Roman" w:hAnsi="Times New Roman" w:eastAsia="宋体" w:cs="Times New Roman"/>
          <w:color w:val="auto"/>
          <w:szCs w:val="21"/>
          <w:highlight w:val="none"/>
        </w:rPr>
        <w:t>特定资格条件”规定提供</w:t>
      </w:r>
      <w:r>
        <w:rPr>
          <w:rFonts w:ascii="Times New Roman" w:hAnsi="Times New Roman" w:eastAsia="宋体" w:cs="Times New Roman"/>
          <w:color w:val="auto"/>
          <w:szCs w:val="24"/>
          <w:highlight w:val="none"/>
        </w:rPr>
        <w:t>）。</w:t>
      </w:r>
      <w:r>
        <w:rPr>
          <w:rFonts w:hint="eastAsia" w:ascii="Times New Roman" w:hAnsi="Times New Roman" w:eastAsia="宋体" w:cs="Times New Roman"/>
          <w:b/>
          <w:color w:val="auto"/>
          <w:szCs w:val="21"/>
          <w:highlight w:val="none"/>
        </w:rPr>
        <w:t>（如招标文件有要求时提供）</w:t>
      </w:r>
    </w:p>
    <w:p w14:paraId="66560749">
      <w:pPr>
        <w:snapToGrid w:val="0"/>
        <w:spacing w:before="50" w:after="120" w:afterLines="50" w:line="360" w:lineRule="auto"/>
        <w:jc w:val="left"/>
        <w:rPr>
          <w:rFonts w:ascii="Times New Roman" w:hAnsi="Times New Roman" w:eastAsia="宋体" w:cs="Times New Roman"/>
          <w:color w:val="auto"/>
          <w:szCs w:val="21"/>
          <w:highlight w:val="none"/>
        </w:rPr>
        <w:sectPr>
          <w:pgSz w:w="11906" w:h="16838"/>
          <w:pgMar w:top="1418" w:right="1133" w:bottom="1246" w:left="1418" w:header="851" w:footer="992" w:gutter="0"/>
          <w:cols w:space="720" w:num="1"/>
          <w:docGrid w:linePitch="312" w:charSpace="0"/>
        </w:sectPr>
      </w:pPr>
    </w:p>
    <w:p w14:paraId="2071EAAF">
      <w:pPr>
        <w:snapToGrid w:val="0"/>
        <w:spacing w:before="50" w:after="120" w:afterLines="50" w:line="360" w:lineRule="auto"/>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7</w:t>
      </w: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投标人直接控股股东信息表</w:t>
      </w:r>
    </w:p>
    <w:tbl>
      <w:tblPr>
        <w:tblStyle w:val="43"/>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415327E9">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D44FF16">
            <w:pPr>
              <w:spacing w:line="360" w:lineRule="auto"/>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AFABBB7">
            <w:pPr>
              <w:spacing w:line="360" w:lineRule="auto"/>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0005BAF">
            <w:pPr>
              <w:spacing w:line="360" w:lineRule="auto"/>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8CA1A53">
            <w:pPr>
              <w:spacing w:line="360" w:lineRule="auto"/>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C609C26">
            <w:pPr>
              <w:spacing w:line="360" w:lineRule="auto"/>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备注</w:t>
            </w:r>
          </w:p>
        </w:tc>
      </w:tr>
      <w:tr w14:paraId="17DCE6E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E2EE1C6">
            <w:pPr>
              <w:spacing w:line="360" w:lineRule="auto"/>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7983162">
            <w:pPr>
              <w:spacing w:line="360" w:lineRule="auto"/>
              <w:jc w:val="center"/>
              <w:rPr>
                <w:rFonts w:ascii="Times New Roman" w:hAnsi="Times New Roman" w:eastAsia="宋体" w:cs="Times New Roman"/>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4AB6F3F">
            <w:pPr>
              <w:spacing w:line="360" w:lineRule="auto"/>
              <w:jc w:val="center"/>
              <w:rPr>
                <w:rFonts w:ascii="Times New Roman" w:hAnsi="Times New Roman" w:eastAsia="宋体" w:cs="Times New Roman"/>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FD773EB">
            <w:pPr>
              <w:spacing w:line="360" w:lineRule="auto"/>
              <w:jc w:val="center"/>
              <w:rPr>
                <w:rFonts w:ascii="Times New Roman" w:hAnsi="Times New Roman" w:eastAsia="宋体" w:cs="Times New Roman"/>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786C268">
            <w:pPr>
              <w:spacing w:line="360" w:lineRule="auto"/>
              <w:jc w:val="center"/>
              <w:rPr>
                <w:rFonts w:ascii="Times New Roman" w:hAnsi="Times New Roman" w:eastAsia="宋体" w:cs="Times New Roman"/>
                <w:color w:val="auto"/>
                <w:szCs w:val="21"/>
                <w:highlight w:val="none"/>
              </w:rPr>
            </w:pPr>
          </w:p>
        </w:tc>
      </w:tr>
      <w:tr w14:paraId="42E9E32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093CF18">
            <w:pPr>
              <w:spacing w:line="360" w:lineRule="auto"/>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17C79A7">
            <w:pPr>
              <w:spacing w:line="360" w:lineRule="auto"/>
              <w:jc w:val="center"/>
              <w:rPr>
                <w:rFonts w:ascii="Times New Roman" w:hAnsi="Times New Roman" w:eastAsia="宋体" w:cs="Times New Roman"/>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F53BC67">
            <w:pPr>
              <w:spacing w:line="360" w:lineRule="auto"/>
              <w:jc w:val="center"/>
              <w:rPr>
                <w:rFonts w:ascii="Times New Roman" w:hAnsi="Times New Roman" w:eastAsia="宋体" w:cs="Times New Roman"/>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A6FB938">
            <w:pPr>
              <w:spacing w:line="360" w:lineRule="auto"/>
              <w:jc w:val="center"/>
              <w:rPr>
                <w:rFonts w:ascii="Times New Roman" w:hAnsi="Times New Roman" w:eastAsia="宋体" w:cs="Times New Roman"/>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B2198A6">
            <w:pPr>
              <w:spacing w:line="360" w:lineRule="auto"/>
              <w:jc w:val="center"/>
              <w:rPr>
                <w:rFonts w:ascii="Times New Roman" w:hAnsi="Times New Roman" w:eastAsia="宋体" w:cs="Times New Roman"/>
                <w:color w:val="auto"/>
                <w:szCs w:val="21"/>
                <w:highlight w:val="none"/>
              </w:rPr>
            </w:pPr>
          </w:p>
        </w:tc>
      </w:tr>
      <w:tr w14:paraId="6A6C9EF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1BC60FB">
            <w:pPr>
              <w:spacing w:line="360" w:lineRule="auto"/>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2E142CB">
            <w:pPr>
              <w:spacing w:line="360" w:lineRule="auto"/>
              <w:jc w:val="center"/>
              <w:rPr>
                <w:rFonts w:ascii="Times New Roman" w:hAnsi="Times New Roman" w:eastAsia="宋体" w:cs="Times New Roman"/>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6CC35C5">
            <w:pPr>
              <w:spacing w:line="360" w:lineRule="auto"/>
              <w:jc w:val="center"/>
              <w:rPr>
                <w:rFonts w:ascii="Times New Roman" w:hAnsi="Times New Roman" w:eastAsia="宋体" w:cs="Times New Roman"/>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337A01C">
            <w:pPr>
              <w:spacing w:line="360" w:lineRule="auto"/>
              <w:jc w:val="center"/>
              <w:rPr>
                <w:rFonts w:ascii="Times New Roman" w:hAnsi="Times New Roman" w:eastAsia="宋体" w:cs="Times New Roman"/>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80607F9">
            <w:pPr>
              <w:spacing w:line="360" w:lineRule="auto"/>
              <w:jc w:val="center"/>
              <w:rPr>
                <w:rFonts w:ascii="Times New Roman" w:hAnsi="Times New Roman" w:eastAsia="宋体" w:cs="Times New Roman"/>
                <w:color w:val="auto"/>
                <w:szCs w:val="21"/>
                <w:highlight w:val="none"/>
              </w:rPr>
            </w:pPr>
          </w:p>
        </w:tc>
      </w:tr>
      <w:tr w14:paraId="652BF1D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41B73D0">
            <w:pPr>
              <w:spacing w:line="360" w:lineRule="auto"/>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C36DA6B">
            <w:pPr>
              <w:spacing w:line="360" w:lineRule="auto"/>
              <w:jc w:val="center"/>
              <w:rPr>
                <w:rFonts w:ascii="Times New Roman" w:hAnsi="Times New Roman" w:eastAsia="宋体" w:cs="Times New Roman"/>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F65E4E8">
            <w:pPr>
              <w:spacing w:line="360" w:lineRule="auto"/>
              <w:jc w:val="center"/>
              <w:rPr>
                <w:rFonts w:ascii="Times New Roman" w:hAnsi="Times New Roman" w:eastAsia="宋体" w:cs="Times New Roman"/>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30B6E4C">
            <w:pPr>
              <w:spacing w:line="360" w:lineRule="auto"/>
              <w:jc w:val="center"/>
              <w:rPr>
                <w:rFonts w:ascii="Times New Roman" w:hAnsi="Times New Roman" w:eastAsia="宋体" w:cs="Times New Roman"/>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8934788">
            <w:pPr>
              <w:spacing w:line="360" w:lineRule="auto"/>
              <w:jc w:val="center"/>
              <w:rPr>
                <w:rFonts w:ascii="Times New Roman" w:hAnsi="Times New Roman" w:eastAsia="宋体" w:cs="Times New Roman"/>
                <w:color w:val="auto"/>
                <w:szCs w:val="21"/>
                <w:highlight w:val="none"/>
              </w:rPr>
            </w:pPr>
          </w:p>
        </w:tc>
      </w:tr>
    </w:tbl>
    <w:p w14:paraId="61EA93BC">
      <w:pPr>
        <w:snapToGrid w:val="0"/>
        <w:spacing w:line="360" w:lineRule="auto"/>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注：</w:t>
      </w:r>
    </w:p>
    <w:p w14:paraId="7F327513">
      <w:pPr>
        <w:snapToGrid w:val="0"/>
        <w:spacing w:line="360" w:lineRule="auto"/>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DC25BAD">
      <w:pPr>
        <w:snapToGrid w:val="0"/>
        <w:spacing w:line="360" w:lineRule="auto"/>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2.本表所指的控股关系仅限于直接控股关系，不包括间接的控股关系。公司实际控制人与公司之间的关系不属于本表所指的直接控股关系。</w:t>
      </w:r>
    </w:p>
    <w:p w14:paraId="3443ECC4">
      <w:pPr>
        <w:snapToGrid w:val="0"/>
        <w:spacing w:line="360" w:lineRule="auto"/>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3.投标人不存在直接控股股东的，则填“无”。</w:t>
      </w:r>
    </w:p>
    <w:p w14:paraId="2CDEEAC7">
      <w:pPr>
        <w:snapToGrid w:val="0"/>
        <w:spacing w:line="360" w:lineRule="auto"/>
        <w:jc w:val="left"/>
        <w:rPr>
          <w:rFonts w:ascii="Times New Roman" w:hAnsi="Times New Roman" w:eastAsia="宋体" w:cs="Times New Roman"/>
          <w:color w:val="auto"/>
          <w:szCs w:val="21"/>
          <w:highlight w:val="none"/>
        </w:rPr>
      </w:pPr>
    </w:p>
    <w:p w14:paraId="7EE1AA62">
      <w:pPr>
        <w:snapToGrid w:val="0"/>
        <w:spacing w:line="360" w:lineRule="auto"/>
        <w:jc w:val="left"/>
        <w:rPr>
          <w:rFonts w:ascii="Times New Roman" w:hAnsi="Times New Roman" w:eastAsia="宋体" w:cs="Times New Roman"/>
          <w:color w:val="auto"/>
          <w:szCs w:val="21"/>
          <w:highlight w:val="none"/>
        </w:rPr>
      </w:pPr>
    </w:p>
    <w:p w14:paraId="3252667E">
      <w:pPr>
        <w:snapToGrid w:val="0"/>
        <w:spacing w:line="360" w:lineRule="auto"/>
        <w:jc w:val="left"/>
        <w:rPr>
          <w:rFonts w:ascii="Times New Roman" w:hAnsi="Times New Roman" w:eastAsia="宋体" w:cs="Times New Roman"/>
          <w:color w:val="auto"/>
          <w:szCs w:val="21"/>
          <w:highlight w:val="none"/>
        </w:rPr>
      </w:pPr>
    </w:p>
    <w:p w14:paraId="1E32B10A">
      <w:pPr>
        <w:snapToGrid w:val="0"/>
        <w:spacing w:line="360" w:lineRule="auto"/>
        <w:jc w:val="left"/>
        <w:rPr>
          <w:rFonts w:ascii="Times New Roman" w:hAnsi="Times New Roman" w:eastAsia="宋体" w:cs="Times New Roman"/>
          <w:color w:val="auto"/>
          <w:szCs w:val="21"/>
          <w:highlight w:val="none"/>
        </w:rPr>
      </w:pPr>
    </w:p>
    <w:p w14:paraId="19BE8821">
      <w:pPr>
        <w:snapToGrid w:val="0"/>
        <w:spacing w:line="360" w:lineRule="auto"/>
        <w:jc w:val="left"/>
        <w:rPr>
          <w:rFonts w:ascii="Times New Roman" w:hAnsi="Times New Roman" w:eastAsia="宋体" w:cs="Times New Roman"/>
          <w:color w:val="auto"/>
          <w:szCs w:val="21"/>
          <w:highlight w:val="none"/>
        </w:rPr>
      </w:pPr>
    </w:p>
    <w:p w14:paraId="3D791602">
      <w:pPr>
        <w:snapToGrid w:val="0"/>
        <w:spacing w:line="360" w:lineRule="auto"/>
        <w:ind w:firstLine="4410" w:firstLineChars="21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投标人名称(电子签章)：</w:t>
      </w:r>
    </w:p>
    <w:p w14:paraId="694E1128">
      <w:pPr>
        <w:snapToGrid w:val="0"/>
        <w:spacing w:line="360" w:lineRule="auto"/>
        <w:ind w:firstLine="4515" w:firstLineChars="215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日期：  年  月   日</w:t>
      </w:r>
    </w:p>
    <w:p w14:paraId="72F521D7">
      <w:pPr>
        <w:snapToGrid w:val="0"/>
        <w:spacing w:line="360" w:lineRule="auto"/>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br w:type="page"/>
      </w:r>
      <w:r>
        <w:rPr>
          <w:rFonts w:hint="eastAsia" w:ascii="Times New Roman" w:hAnsi="Times New Roman" w:eastAsia="宋体" w:cs="Times New Roman"/>
          <w:color w:val="auto"/>
          <w:szCs w:val="21"/>
          <w:highlight w:val="none"/>
        </w:rPr>
        <w:t>7</w:t>
      </w: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投标人直接管理关系信息表</w:t>
      </w:r>
    </w:p>
    <w:tbl>
      <w:tblPr>
        <w:tblStyle w:val="43"/>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7E19A2CE">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41202E0A">
            <w:pPr>
              <w:spacing w:line="360" w:lineRule="auto"/>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0A931612">
            <w:pPr>
              <w:spacing w:line="360" w:lineRule="auto"/>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47C25B3F">
            <w:pPr>
              <w:spacing w:line="360" w:lineRule="auto"/>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06336E43">
            <w:pPr>
              <w:spacing w:line="360" w:lineRule="auto"/>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备注</w:t>
            </w:r>
          </w:p>
        </w:tc>
      </w:tr>
      <w:tr w14:paraId="14E1E60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887A7F5">
            <w:pPr>
              <w:spacing w:line="360" w:lineRule="auto"/>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474323DE">
            <w:pPr>
              <w:spacing w:line="360" w:lineRule="auto"/>
              <w:jc w:val="center"/>
              <w:rPr>
                <w:rFonts w:ascii="Times New Roman" w:hAnsi="Times New Roman" w:eastAsia="宋体" w:cs="Times New Roman"/>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75C3C886">
            <w:pPr>
              <w:spacing w:line="360" w:lineRule="auto"/>
              <w:jc w:val="center"/>
              <w:rPr>
                <w:rFonts w:ascii="Times New Roman" w:hAnsi="Times New Roman" w:eastAsia="宋体" w:cs="Times New Roman"/>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72F0A474">
            <w:pPr>
              <w:spacing w:line="360" w:lineRule="auto"/>
              <w:jc w:val="center"/>
              <w:rPr>
                <w:rFonts w:ascii="Times New Roman" w:hAnsi="Times New Roman" w:eastAsia="宋体" w:cs="Times New Roman"/>
                <w:color w:val="auto"/>
                <w:szCs w:val="21"/>
                <w:highlight w:val="none"/>
              </w:rPr>
            </w:pPr>
          </w:p>
        </w:tc>
      </w:tr>
      <w:tr w14:paraId="4AD1823D">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941BBE9">
            <w:pPr>
              <w:spacing w:line="360" w:lineRule="auto"/>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9D2A3AD">
            <w:pPr>
              <w:spacing w:line="360" w:lineRule="auto"/>
              <w:jc w:val="center"/>
              <w:rPr>
                <w:rFonts w:ascii="Times New Roman" w:hAnsi="Times New Roman" w:eastAsia="宋体" w:cs="Times New Roman"/>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0DDE902">
            <w:pPr>
              <w:spacing w:line="360" w:lineRule="auto"/>
              <w:jc w:val="center"/>
              <w:rPr>
                <w:rFonts w:ascii="Times New Roman" w:hAnsi="Times New Roman" w:eastAsia="宋体" w:cs="Times New Roman"/>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C40BE4E">
            <w:pPr>
              <w:spacing w:line="360" w:lineRule="auto"/>
              <w:jc w:val="center"/>
              <w:rPr>
                <w:rFonts w:ascii="Times New Roman" w:hAnsi="Times New Roman" w:eastAsia="宋体" w:cs="Times New Roman"/>
                <w:color w:val="auto"/>
                <w:szCs w:val="21"/>
                <w:highlight w:val="none"/>
              </w:rPr>
            </w:pPr>
          </w:p>
        </w:tc>
      </w:tr>
      <w:tr w14:paraId="5888DE1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27E3813">
            <w:pPr>
              <w:spacing w:line="360" w:lineRule="auto"/>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F3A098B">
            <w:pPr>
              <w:spacing w:line="360" w:lineRule="auto"/>
              <w:jc w:val="center"/>
              <w:rPr>
                <w:rFonts w:ascii="Times New Roman" w:hAnsi="Times New Roman" w:eastAsia="宋体" w:cs="Times New Roman"/>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08CEEC5">
            <w:pPr>
              <w:spacing w:line="360" w:lineRule="auto"/>
              <w:jc w:val="center"/>
              <w:rPr>
                <w:rFonts w:ascii="Times New Roman" w:hAnsi="Times New Roman" w:eastAsia="宋体" w:cs="Times New Roman"/>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09B0A3CE">
            <w:pPr>
              <w:spacing w:line="360" w:lineRule="auto"/>
              <w:jc w:val="center"/>
              <w:rPr>
                <w:rFonts w:ascii="Times New Roman" w:hAnsi="Times New Roman" w:eastAsia="宋体" w:cs="Times New Roman"/>
                <w:color w:val="auto"/>
                <w:szCs w:val="21"/>
                <w:highlight w:val="none"/>
              </w:rPr>
            </w:pPr>
          </w:p>
        </w:tc>
      </w:tr>
      <w:tr w14:paraId="42DB792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5BC0FEA">
            <w:pPr>
              <w:spacing w:line="360" w:lineRule="auto"/>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ABB4066">
            <w:pPr>
              <w:spacing w:line="360" w:lineRule="auto"/>
              <w:jc w:val="center"/>
              <w:rPr>
                <w:rFonts w:ascii="Times New Roman" w:hAnsi="Times New Roman" w:eastAsia="宋体" w:cs="Times New Roman"/>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CA27255">
            <w:pPr>
              <w:spacing w:line="360" w:lineRule="auto"/>
              <w:jc w:val="center"/>
              <w:rPr>
                <w:rFonts w:ascii="Times New Roman" w:hAnsi="Times New Roman" w:eastAsia="宋体" w:cs="Times New Roman"/>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F08E238">
            <w:pPr>
              <w:spacing w:line="360" w:lineRule="auto"/>
              <w:jc w:val="center"/>
              <w:rPr>
                <w:rFonts w:ascii="Times New Roman" w:hAnsi="Times New Roman" w:eastAsia="宋体" w:cs="Times New Roman"/>
                <w:color w:val="auto"/>
                <w:szCs w:val="21"/>
                <w:highlight w:val="none"/>
              </w:rPr>
            </w:pPr>
          </w:p>
        </w:tc>
      </w:tr>
    </w:tbl>
    <w:p w14:paraId="78C39BEA">
      <w:pPr>
        <w:snapToGrid w:val="0"/>
        <w:spacing w:line="360" w:lineRule="auto"/>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注：</w:t>
      </w:r>
    </w:p>
    <w:p w14:paraId="03415C8B">
      <w:pPr>
        <w:snapToGrid w:val="0"/>
        <w:spacing w:line="360" w:lineRule="auto"/>
        <w:ind w:firstLine="420" w:firstLineChars="20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1.管理关系：是指不具有出资持股关系的其他单位之间存在的管理与被管理关系，如一些上下级关系的事业单位和团体组织。</w:t>
      </w:r>
    </w:p>
    <w:p w14:paraId="7D87EFC6">
      <w:pPr>
        <w:snapToGrid w:val="0"/>
        <w:spacing w:line="360" w:lineRule="auto"/>
        <w:ind w:firstLine="420" w:firstLineChars="20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2.本表所指的管理关系仅限于直接管理关系，不包括间接的管理关系。</w:t>
      </w:r>
    </w:p>
    <w:p w14:paraId="6306705F">
      <w:pPr>
        <w:snapToGrid w:val="0"/>
        <w:spacing w:line="360" w:lineRule="auto"/>
        <w:ind w:firstLine="420" w:firstLineChars="20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3.投标人不存在直接管理关系的，则填“无”。</w:t>
      </w:r>
    </w:p>
    <w:p w14:paraId="0911DD95">
      <w:pPr>
        <w:snapToGrid w:val="0"/>
        <w:spacing w:line="360" w:lineRule="auto"/>
        <w:jc w:val="left"/>
        <w:rPr>
          <w:rFonts w:ascii="Times New Roman" w:hAnsi="Times New Roman" w:eastAsia="宋体" w:cs="Times New Roman"/>
          <w:color w:val="auto"/>
          <w:szCs w:val="21"/>
          <w:highlight w:val="none"/>
        </w:rPr>
      </w:pPr>
    </w:p>
    <w:p w14:paraId="0D6E5448">
      <w:pPr>
        <w:snapToGrid w:val="0"/>
        <w:spacing w:line="360" w:lineRule="auto"/>
        <w:jc w:val="left"/>
        <w:rPr>
          <w:rFonts w:ascii="Times New Roman" w:hAnsi="Times New Roman" w:eastAsia="宋体" w:cs="Times New Roman"/>
          <w:color w:val="auto"/>
          <w:szCs w:val="21"/>
          <w:highlight w:val="none"/>
        </w:rPr>
      </w:pPr>
    </w:p>
    <w:p w14:paraId="5CA3F5A4">
      <w:pPr>
        <w:snapToGrid w:val="0"/>
        <w:spacing w:line="360" w:lineRule="auto"/>
        <w:jc w:val="left"/>
        <w:rPr>
          <w:rFonts w:ascii="Times New Roman" w:hAnsi="Times New Roman" w:eastAsia="宋体" w:cs="Times New Roman"/>
          <w:color w:val="auto"/>
          <w:szCs w:val="21"/>
          <w:highlight w:val="none"/>
        </w:rPr>
      </w:pPr>
    </w:p>
    <w:p w14:paraId="19138A38">
      <w:pPr>
        <w:snapToGrid w:val="0"/>
        <w:spacing w:line="360" w:lineRule="auto"/>
        <w:jc w:val="left"/>
        <w:rPr>
          <w:rFonts w:ascii="Times New Roman" w:hAnsi="Times New Roman" w:eastAsia="宋体" w:cs="Times New Roman"/>
          <w:color w:val="auto"/>
          <w:szCs w:val="21"/>
          <w:highlight w:val="none"/>
        </w:rPr>
      </w:pPr>
    </w:p>
    <w:p w14:paraId="1DAA4091">
      <w:pPr>
        <w:snapToGrid w:val="0"/>
        <w:spacing w:line="360" w:lineRule="auto"/>
        <w:jc w:val="left"/>
        <w:rPr>
          <w:rFonts w:ascii="Times New Roman" w:hAnsi="Times New Roman" w:eastAsia="宋体" w:cs="Times New Roman"/>
          <w:color w:val="auto"/>
          <w:szCs w:val="21"/>
          <w:highlight w:val="none"/>
        </w:rPr>
      </w:pPr>
    </w:p>
    <w:p w14:paraId="277BB353">
      <w:pPr>
        <w:snapToGrid w:val="0"/>
        <w:spacing w:line="360" w:lineRule="auto"/>
        <w:jc w:val="left"/>
        <w:rPr>
          <w:rFonts w:ascii="Times New Roman" w:hAnsi="Times New Roman" w:eastAsia="宋体" w:cs="Times New Roman"/>
          <w:color w:val="auto"/>
          <w:szCs w:val="21"/>
          <w:highlight w:val="none"/>
        </w:rPr>
      </w:pPr>
    </w:p>
    <w:p w14:paraId="4F9B36EA">
      <w:pPr>
        <w:snapToGrid w:val="0"/>
        <w:spacing w:line="360" w:lineRule="auto"/>
        <w:jc w:val="left"/>
        <w:rPr>
          <w:rFonts w:ascii="Times New Roman" w:hAnsi="Times New Roman" w:eastAsia="宋体" w:cs="Times New Roman"/>
          <w:color w:val="auto"/>
          <w:szCs w:val="21"/>
          <w:highlight w:val="none"/>
        </w:rPr>
      </w:pPr>
    </w:p>
    <w:p w14:paraId="10969EF4">
      <w:pPr>
        <w:snapToGrid w:val="0"/>
        <w:spacing w:line="360" w:lineRule="auto"/>
        <w:jc w:val="left"/>
        <w:rPr>
          <w:rFonts w:ascii="Times New Roman" w:hAnsi="Times New Roman" w:eastAsia="宋体" w:cs="Times New Roman"/>
          <w:color w:val="auto"/>
          <w:szCs w:val="21"/>
          <w:highlight w:val="none"/>
        </w:rPr>
      </w:pPr>
    </w:p>
    <w:p w14:paraId="7D5CB859">
      <w:pPr>
        <w:snapToGrid w:val="0"/>
        <w:spacing w:line="360" w:lineRule="auto"/>
        <w:ind w:firstLine="4410" w:firstLineChars="21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投标人名称(电子签章)：</w:t>
      </w:r>
    </w:p>
    <w:p w14:paraId="691939FF">
      <w:pPr>
        <w:snapToGrid w:val="0"/>
        <w:spacing w:line="360" w:lineRule="auto"/>
        <w:ind w:firstLine="4515" w:firstLineChars="215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日期：  年  月   日</w:t>
      </w:r>
    </w:p>
    <w:p w14:paraId="07D2DBA9">
      <w:pPr>
        <w:snapToGrid w:val="0"/>
        <w:spacing w:before="50" w:after="120" w:afterLines="50" w:line="440" w:lineRule="exact"/>
        <w:jc w:val="left"/>
        <w:rPr>
          <w:rFonts w:ascii="Times New Roman" w:hAnsi="Times New Roman" w:eastAsia="宋体" w:cs="Times New Roman"/>
          <w:b/>
          <w:color w:val="auto"/>
          <w:szCs w:val="21"/>
          <w:highlight w:val="none"/>
        </w:rPr>
      </w:pPr>
    </w:p>
    <w:p w14:paraId="3F4184B6">
      <w:pPr>
        <w:snapToGrid w:val="0"/>
        <w:spacing w:before="50" w:after="120" w:afterLines="50" w:line="440" w:lineRule="exact"/>
        <w:jc w:val="left"/>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br w:type="page"/>
      </w:r>
      <w:r>
        <w:rPr>
          <w:rFonts w:hint="eastAsia" w:ascii="Times New Roman" w:hAnsi="Times New Roman" w:eastAsia="宋体" w:cs="Times New Roman"/>
          <w:color w:val="auto"/>
          <w:szCs w:val="21"/>
          <w:highlight w:val="none"/>
        </w:rPr>
        <w:t>8</w:t>
      </w:r>
      <w:r>
        <w:rPr>
          <w:rFonts w:ascii="Times New Roman" w:hAnsi="Times New Roman" w:eastAsia="宋体" w:cs="Times New Roman"/>
          <w:color w:val="auto"/>
          <w:szCs w:val="21"/>
          <w:highlight w:val="none"/>
        </w:rPr>
        <w:t>．投标保证金缴纳证明</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b/>
          <w:color w:val="auto"/>
          <w:szCs w:val="21"/>
          <w:highlight w:val="none"/>
        </w:rPr>
        <w:t>（如招标文件有要求时提供）</w:t>
      </w:r>
    </w:p>
    <w:p w14:paraId="4F8D1B4C">
      <w:pPr>
        <w:snapToGrid w:val="0"/>
        <w:spacing w:before="50" w:after="120" w:afterLines="50" w:line="440" w:lineRule="exact"/>
        <w:jc w:val="left"/>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以转账、电汇形式缴纳的，提供转账、电汇凭证扫描件或复印件（网银可提供截图）</w:t>
      </w:r>
      <w:r>
        <w:rPr>
          <w:rFonts w:ascii="Times New Roman" w:hAnsi="Times New Roman" w:eastAsia="宋体" w:cs="Times New Roman"/>
          <w:color w:val="auto"/>
          <w:szCs w:val="24"/>
          <w:highlight w:val="none"/>
        </w:rPr>
        <w:t>加盖</w:t>
      </w:r>
      <w:r>
        <w:rPr>
          <w:rFonts w:hint="eastAsia" w:ascii="Times New Roman" w:hAnsi="Times New Roman" w:eastAsia="宋体" w:cs="Times New Roman"/>
          <w:color w:val="auto"/>
          <w:szCs w:val="24"/>
          <w:highlight w:val="none"/>
        </w:rPr>
        <w:t>投标人电子签章；以其他非现金形式缴纳的，提供原件扫描件或</w:t>
      </w:r>
      <w:r>
        <w:rPr>
          <w:rFonts w:ascii="Times New Roman" w:hAnsi="Times New Roman" w:eastAsia="宋体" w:cs="Times New Roman"/>
          <w:color w:val="auto"/>
          <w:szCs w:val="24"/>
          <w:highlight w:val="none"/>
        </w:rPr>
        <w:t>复印件加盖</w:t>
      </w:r>
      <w:r>
        <w:rPr>
          <w:rFonts w:hint="eastAsia" w:ascii="Times New Roman" w:hAnsi="Times New Roman" w:eastAsia="宋体" w:cs="Times New Roman"/>
          <w:color w:val="auto"/>
          <w:szCs w:val="24"/>
          <w:highlight w:val="none"/>
        </w:rPr>
        <w:t>投标人电子签章。</w:t>
      </w:r>
    </w:p>
    <w:p w14:paraId="735D2300">
      <w:pPr>
        <w:snapToGrid w:val="0"/>
        <w:spacing w:before="50" w:after="120" w:afterLines="50"/>
        <w:jc w:val="left"/>
        <w:rPr>
          <w:rFonts w:ascii="Times New Roman" w:hAnsi="Times New Roman" w:eastAsia="宋体" w:cs="Times New Roman"/>
          <w:color w:val="auto"/>
          <w:szCs w:val="21"/>
          <w:highlight w:val="none"/>
        </w:rPr>
      </w:pPr>
    </w:p>
    <w:p w14:paraId="5714A285">
      <w:pPr>
        <w:snapToGrid w:val="0"/>
        <w:spacing w:before="50" w:after="120" w:afterLines="50" w:line="400" w:lineRule="exact"/>
        <w:jc w:val="left"/>
        <w:rPr>
          <w:rFonts w:ascii="Times New Roman" w:hAnsi="Times New Roman" w:eastAsia="宋体" w:cs="Times New Roman"/>
          <w:bCs/>
          <w:color w:val="auto"/>
          <w:sz w:val="24"/>
          <w:szCs w:val="24"/>
          <w:highlight w:val="none"/>
        </w:rPr>
      </w:pPr>
      <w:r>
        <w:rPr>
          <w:rFonts w:hint="eastAsia" w:ascii="Times New Roman" w:hAnsi="Times New Roman" w:eastAsia="宋体" w:cs="Times New Roman"/>
          <w:color w:val="auto"/>
          <w:szCs w:val="21"/>
          <w:highlight w:val="none"/>
        </w:rPr>
        <w:t>9</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认为应当要提交的</w:t>
      </w:r>
      <w:r>
        <w:rPr>
          <w:rFonts w:hint="eastAsia" w:ascii="Times New Roman" w:hAnsi="Times New Roman" w:eastAsia="宋体" w:cs="Times New Roman"/>
          <w:color w:val="auto"/>
          <w:szCs w:val="21"/>
          <w:highlight w:val="none"/>
        </w:rPr>
        <w:t>其他</w:t>
      </w:r>
      <w:r>
        <w:rPr>
          <w:rFonts w:ascii="Times New Roman" w:hAnsi="Times New Roman" w:eastAsia="宋体" w:cs="Times New Roman"/>
          <w:color w:val="auto"/>
          <w:szCs w:val="21"/>
          <w:highlight w:val="none"/>
        </w:rPr>
        <w:t>资格证明材料。</w:t>
      </w:r>
      <w:r>
        <w:rPr>
          <w:rFonts w:ascii="Times New Roman" w:hAnsi="Times New Roman" w:eastAsia="宋体" w:cs="Times New Roman"/>
          <w:bCs/>
          <w:color w:val="auto"/>
          <w:sz w:val="24"/>
          <w:szCs w:val="24"/>
          <w:highlight w:val="none"/>
        </w:rPr>
        <w:t xml:space="preserve"> </w:t>
      </w:r>
    </w:p>
    <w:p w14:paraId="4DABBB55">
      <w:pPr>
        <w:spacing w:line="276" w:lineRule="auto"/>
        <w:rPr>
          <w:rFonts w:ascii="Times New Roman" w:hAnsi="Times New Roman" w:eastAsia="宋体" w:cs="Times New Roman"/>
          <w:bCs/>
          <w:color w:val="auto"/>
          <w:sz w:val="24"/>
          <w:szCs w:val="24"/>
          <w:highlight w:val="none"/>
        </w:rPr>
      </w:pPr>
    </w:p>
    <w:p w14:paraId="503E7EC0">
      <w:pPr>
        <w:snapToGrid w:val="0"/>
        <w:spacing w:before="120" w:beforeLines="50" w:after="50" w:line="440" w:lineRule="exact"/>
        <w:jc w:val="left"/>
        <w:outlineLvl w:val="1"/>
        <w:rPr>
          <w:rFonts w:ascii="Times New Roman" w:hAnsi="Times New Roman" w:eastAsia="宋体" w:cs="Times New Roman"/>
          <w:bCs/>
          <w:color w:val="auto"/>
          <w:sz w:val="24"/>
          <w:szCs w:val="24"/>
          <w:highlight w:val="none"/>
        </w:rPr>
      </w:pPr>
      <w:r>
        <w:rPr>
          <w:rFonts w:ascii="Times New Roman" w:hAnsi="Times New Roman" w:eastAsia="宋体" w:cs="Times New Roman"/>
          <w:color w:val="auto"/>
          <w:szCs w:val="21"/>
          <w:highlight w:val="none"/>
        </w:rPr>
        <w:br w:type="page"/>
      </w:r>
      <w:r>
        <w:rPr>
          <w:rFonts w:hint="eastAsia" w:ascii="Times New Roman" w:hAnsi="Times New Roman" w:eastAsia="宋体" w:cs="Times New Roman"/>
          <w:bCs/>
          <w:color w:val="auto"/>
          <w:sz w:val="24"/>
          <w:szCs w:val="24"/>
          <w:highlight w:val="none"/>
        </w:rPr>
        <w:t>2</w:t>
      </w:r>
      <w:r>
        <w:rPr>
          <w:rFonts w:ascii="Times New Roman" w:hAnsi="Times New Roman" w:eastAsia="宋体" w:cs="Times New Roman"/>
          <w:bCs/>
          <w:color w:val="auto"/>
          <w:sz w:val="24"/>
          <w:szCs w:val="24"/>
          <w:highlight w:val="none"/>
        </w:rPr>
        <w:t>．投标文件封面参考格式</w:t>
      </w:r>
      <w:r>
        <w:rPr>
          <w:rFonts w:hint="eastAsia" w:ascii="Times New Roman" w:hAnsi="Times New Roman" w:eastAsia="宋体" w:cs="Times New Roman"/>
          <w:bCs/>
          <w:color w:val="auto"/>
          <w:sz w:val="24"/>
          <w:szCs w:val="24"/>
          <w:highlight w:val="none"/>
        </w:rPr>
        <w:t>（商务技术文件）</w:t>
      </w:r>
      <w:r>
        <w:rPr>
          <w:rFonts w:ascii="Times New Roman" w:hAnsi="Times New Roman" w:eastAsia="宋体" w:cs="Times New Roman"/>
          <w:bCs/>
          <w:color w:val="auto"/>
          <w:sz w:val="24"/>
          <w:szCs w:val="24"/>
          <w:highlight w:val="none"/>
        </w:rPr>
        <w:t>：</w:t>
      </w:r>
    </w:p>
    <w:p w14:paraId="0891618C">
      <w:pPr>
        <w:snapToGrid w:val="0"/>
        <w:spacing w:before="120" w:beforeLines="50" w:after="50" w:line="360" w:lineRule="exact"/>
        <w:rPr>
          <w:rFonts w:ascii="Times New Roman" w:hAnsi="Times New Roman" w:eastAsia="宋体" w:cs="Times New Roman"/>
          <w:color w:val="auto"/>
          <w:sz w:val="24"/>
          <w:szCs w:val="24"/>
          <w:highlight w:val="none"/>
        </w:rPr>
      </w:pPr>
    </w:p>
    <w:p w14:paraId="4C57EA83">
      <w:pPr>
        <w:snapToGrid w:val="0"/>
        <w:spacing w:before="120" w:beforeLines="50" w:after="50" w:line="360" w:lineRule="exact"/>
        <w:jc w:val="center"/>
        <w:rPr>
          <w:rFonts w:ascii="Times New Roman" w:hAnsi="Times New Roman" w:eastAsia="宋体" w:cs="Times New Roman"/>
          <w:bCs/>
          <w:color w:val="auto"/>
          <w:sz w:val="24"/>
          <w:szCs w:val="24"/>
          <w:highlight w:val="none"/>
        </w:rPr>
      </w:pPr>
    </w:p>
    <w:p w14:paraId="63CC7556">
      <w:pPr>
        <w:snapToGrid w:val="0"/>
        <w:spacing w:before="120" w:beforeLines="50" w:after="50" w:line="360" w:lineRule="exact"/>
        <w:jc w:val="center"/>
        <w:rPr>
          <w:rFonts w:ascii="Times New Roman" w:hAnsi="Times New Roman" w:eastAsia="宋体" w:cs="Times New Roman"/>
          <w:b/>
          <w:bCs/>
          <w:color w:val="auto"/>
          <w:sz w:val="44"/>
          <w:szCs w:val="44"/>
          <w:highlight w:val="none"/>
        </w:rPr>
      </w:pPr>
      <w:r>
        <w:rPr>
          <w:rFonts w:hint="eastAsia" w:ascii="Times New Roman" w:hAnsi="Times New Roman" w:eastAsia="宋体" w:cs="Times New Roman"/>
          <w:b/>
          <w:bCs/>
          <w:color w:val="auto"/>
          <w:sz w:val="44"/>
          <w:szCs w:val="44"/>
          <w:highlight w:val="none"/>
        </w:rPr>
        <w:t>电子</w:t>
      </w:r>
      <w:r>
        <w:rPr>
          <w:rFonts w:ascii="Times New Roman" w:hAnsi="Times New Roman" w:eastAsia="宋体" w:cs="Times New Roman"/>
          <w:b/>
          <w:bCs/>
          <w:color w:val="auto"/>
          <w:sz w:val="44"/>
          <w:szCs w:val="44"/>
          <w:highlight w:val="none"/>
        </w:rPr>
        <w:t>投标文件</w:t>
      </w:r>
    </w:p>
    <w:p w14:paraId="35BE449A">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5F5A920C">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30A1C8DA">
      <w:pPr>
        <w:snapToGrid w:val="0"/>
        <w:spacing w:before="120" w:beforeLines="50" w:after="50" w:line="360" w:lineRule="exact"/>
        <w:jc w:val="center"/>
        <w:rPr>
          <w:rFonts w:ascii="Times New Roman" w:hAnsi="Times New Roman" w:eastAsia="宋体" w:cs="Times New Roman"/>
          <w:b/>
          <w:bCs/>
          <w:color w:val="auto"/>
          <w:sz w:val="44"/>
          <w:szCs w:val="44"/>
          <w:highlight w:val="none"/>
        </w:rPr>
      </w:pPr>
      <w:r>
        <w:rPr>
          <w:rFonts w:ascii="Times New Roman" w:hAnsi="Times New Roman" w:eastAsia="宋体" w:cs="Times New Roman"/>
          <w:b/>
          <w:bCs/>
          <w:color w:val="auto"/>
          <w:sz w:val="44"/>
          <w:szCs w:val="44"/>
          <w:highlight w:val="none"/>
        </w:rPr>
        <w:t>商务技术文件</w:t>
      </w:r>
    </w:p>
    <w:p w14:paraId="49A31BA7">
      <w:pPr>
        <w:snapToGrid w:val="0"/>
        <w:spacing w:before="120" w:beforeLines="50" w:after="50" w:line="360" w:lineRule="exact"/>
        <w:rPr>
          <w:rFonts w:ascii="Times New Roman" w:hAnsi="Times New Roman" w:eastAsia="宋体" w:cs="Times New Roman"/>
          <w:bCs/>
          <w:color w:val="auto"/>
          <w:sz w:val="24"/>
          <w:szCs w:val="24"/>
          <w:highlight w:val="none"/>
        </w:rPr>
      </w:pPr>
    </w:p>
    <w:p w14:paraId="1168A1F3">
      <w:pPr>
        <w:snapToGrid w:val="0"/>
        <w:spacing w:before="120" w:beforeLines="50" w:after="50" w:line="360" w:lineRule="exact"/>
        <w:rPr>
          <w:rFonts w:ascii="Times New Roman" w:hAnsi="Times New Roman" w:eastAsia="宋体" w:cs="Times New Roman"/>
          <w:bCs/>
          <w:color w:val="auto"/>
          <w:sz w:val="24"/>
          <w:szCs w:val="24"/>
          <w:highlight w:val="none"/>
        </w:rPr>
      </w:pPr>
    </w:p>
    <w:p w14:paraId="7619974E">
      <w:pPr>
        <w:snapToGrid w:val="0"/>
        <w:spacing w:before="120" w:beforeLines="50" w:after="50" w:line="360" w:lineRule="exact"/>
        <w:rPr>
          <w:rFonts w:ascii="Times New Roman" w:hAnsi="Times New Roman" w:eastAsia="宋体" w:cs="Times New Roman"/>
          <w:bCs/>
          <w:color w:val="auto"/>
          <w:sz w:val="24"/>
          <w:szCs w:val="24"/>
          <w:highlight w:val="none"/>
        </w:rPr>
      </w:pPr>
    </w:p>
    <w:p w14:paraId="4ECE75BC">
      <w:pPr>
        <w:snapToGrid w:val="0"/>
        <w:spacing w:before="120" w:beforeLines="50" w:after="50" w:line="360" w:lineRule="exact"/>
        <w:ind w:firstLine="720" w:firstLineChars="300"/>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 xml:space="preserve">项目名称： </w:t>
      </w:r>
    </w:p>
    <w:p w14:paraId="61878470">
      <w:pPr>
        <w:snapToGrid w:val="0"/>
        <w:spacing w:before="120" w:beforeLines="50" w:after="50" w:line="360" w:lineRule="exact"/>
        <w:ind w:firstLine="720" w:firstLineChars="300"/>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项目编号：</w:t>
      </w:r>
    </w:p>
    <w:p w14:paraId="26F0A00B">
      <w:pPr>
        <w:snapToGrid w:val="0"/>
        <w:spacing w:before="120" w:beforeLines="50" w:after="50" w:line="360" w:lineRule="exact"/>
        <w:ind w:firstLine="720" w:firstLineChars="300"/>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分标号：（若无</w:t>
      </w:r>
      <w:r>
        <w:rPr>
          <w:rFonts w:hint="eastAsia" w:ascii="Times New Roman" w:hAnsi="Times New Roman" w:eastAsia="宋体" w:cs="Times New Roman"/>
          <w:bCs/>
          <w:color w:val="auto"/>
          <w:sz w:val="24"/>
          <w:szCs w:val="24"/>
          <w:highlight w:val="none"/>
        </w:rPr>
        <w:t>留空或写</w:t>
      </w:r>
      <w:r>
        <w:rPr>
          <w:rFonts w:ascii="Times New Roman" w:hAnsi="Times New Roman" w:eastAsia="宋体" w:cs="Times New Roman"/>
          <w:bCs/>
          <w:color w:val="auto"/>
          <w:sz w:val="24"/>
          <w:szCs w:val="24"/>
          <w:highlight w:val="none"/>
        </w:rPr>
        <w:t>“/”）</w:t>
      </w:r>
    </w:p>
    <w:p w14:paraId="78389A4A">
      <w:pPr>
        <w:snapToGrid w:val="0"/>
        <w:spacing w:before="120" w:beforeLines="50" w:after="50" w:line="360" w:lineRule="exact"/>
        <w:ind w:firstLine="720" w:firstLineChars="300"/>
        <w:rPr>
          <w:rFonts w:ascii="Times New Roman" w:hAnsi="Times New Roman" w:eastAsia="宋体" w:cs="Times New Roman"/>
          <w:bCs/>
          <w:color w:val="auto"/>
          <w:sz w:val="24"/>
          <w:szCs w:val="24"/>
          <w:highlight w:val="none"/>
        </w:rPr>
      </w:pPr>
      <w:r>
        <w:rPr>
          <w:rFonts w:hint="eastAsia" w:ascii="Times New Roman" w:hAnsi="Times New Roman" w:eastAsia="宋体" w:cs="Times New Roman"/>
          <w:bCs/>
          <w:color w:val="auto"/>
          <w:sz w:val="24"/>
          <w:szCs w:val="24"/>
          <w:highlight w:val="none"/>
        </w:rPr>
        <w:t>投标人</w:t>
      </w:r>
      <w:r>
        <w:rPr>
          <w:rFonts w:ascii="Times New Roman" w:hAnsi="Times New Roman" w:eastAsia="宋体" w:cs="Times New Roman"/>
          <w:bCs/>
          <w:color w:val="auto"/>
          <w:sz w:val="24"/>
          <w:szCs w:val="24"/>
          <w:highlight w:val="none"/>
        </w:rPr>
        <w:t>名称：</w:t>
      </w:r>
    </w:p>
    <w:p w14:paraId="2E83EFFC">
      <w:pPr>
        <w:snapToGrid w:val="0"/>
        <w:spacing w:before="120" w:beforeLines="50" w:after="50" w:line="360" w:lineRule="exact"/>
        <w:ind w:firstLine="720" w:firstLineChars="300"/>
        <w:rPr>
          <w:rFonts w:ascii="Times New Roman" w:hAnsi="Times New Roman" w:eastAsia="宋体" w:cs="Times New Roman"/>
          <w:bCs/>
          <w:color w:val="auto"/>
          <w:sz w:val="24"/>
          <w:szCs w:val="24"/>
          <w:highlight w:val="none"/>
        </w:rPr>
      </w:pPr>
      <w:r>
        <w:rPr>
          <w:rFonts w:hint="eastAsia" w:ascii="Times New Roman" w:hAnsi="Times New Roman" w:eastAsia="宋体" w:cs="Times New Roman"/>
          <w:bCs/>
          <w:color w:val="auto"/>
          <w:sz w:val="24"/>
          <w:szCs w:val="24"/>
          <w:highlight w:val="none"/>
        </w:rPr>
        <w:t>投标人</w:t>
      </w:r>
      <w:r>
        <w:rPr>
          <w:rFonts w:ascii="Times New Roman" w:hAnsi="Times New Roman" w:eastAsia="宋体" w:cs="Times New Roman"/>
          <w:bCs/>
          <w:color w:val="auto"/>
          <w:sz w:val="24"/>
          <w:szCs w:val="24"/>
          <w:highlight w:val="none"/>
        </w:rPr>
        <w:t>地址：</w:t>
      </w:r>
    </w:p>
    <w:p w14:paraId="169A6DFE">
      <w:pPr>
        <w:snapToGrid w:val="0"/>
        <w:spacing w:before="120" w:beforeLines="50" w:after="50" w:line="360" w:lineRule="exact"/>
        <w:ind w:firstLine="720" w:firstLineChars="300"/>
        <w:rPr>
          <w:rFonts w:ascii="Times New Roman" w:hAnsi="Times New Roman" w:eastAsia="宋体" w:cs="Times New Roman"/>
          <w:bCs/>
          <w:color w:val="auto"/>
          <w:sz w:val="24"/>
          <w:szCs w:val="24"/>
          <w:highlight w:val="none"/>
        </w:rPr>
      </w:pPr>
    </w:p>
    <w:p w14:paraId="3D7A5BC7">
      <w:pPr>
        <w:snapToGrid w:val="0"/>
        <w:spacing w:before="120" w:beforeLines="50" w:after="50" w:line="36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                        年  月  日</w:t>
      </w:r>
    </w:p>
    <w:p w14:paraId="1A1FA51B">
      <w:pPr>
        <w:snapToGrid w:val="0"/>
        <w:spacing w:before="50" w:after="50" w:line="440" w:lineRule="exact"/>
        <w:ind w:firstLine="102" w:firstLineChars="49"/>
        <w:jc w:val="center"/>
        <w:rPr>
          <w:rFonts w:ascii="Times New Roman" w:hAnsi="Times New Roman" w:eastAsia="宋体" w:cs="Times New Roman"/>
          <w:b/>
          <w:color w:val="auto"/>
          <w:sz w:val="28"/>
          <w:szCs w:val="28"/>
          <w:highlight w:val="none"/>
        </w:rPr>
      </w:pPr>
      <w:r>
        <w:rPr>
          <w:rFonts w:ascii="Times New Roman" w:hAnsi="Times New Roman" w:eastAsia="宋体" w:cs="Times New Roman"/>
          <w:color w:val="auto"/>
          <w:szCs w:val="24"/>
          <w:highlight w:val="none"/>
        </w:rPr>
        <w:br w:type="page"/>
      </w:r>
      <w:r>
        <w:rPr>
          <w:rFonts w:ascii="Times New Roman" w:hAnsi="Times New Roman" w:eastAsia="宋体" w:cs="Times New Roman"/>
          <w:b/>
          <w:color w:val="auto"/>
          <w:sz w:val="28"/>
          <w:szCs w:val="28"/>
          <w:highlight w:val="none"/>
        </w:rPr>
        <w:t>目录</w:t>
      </w:r>
    </w:p>
    <w:p w14:paraId="4B0DBF0B">
      <w:pPr>
        <w:snapToGrid w:val="0"/>
        <w:spacing w:before="50" w:after="50" w:line="440" w:lineRule="exact"/>
        <w:ind w:firstLine="118" w:firstLineChars="49"/>
        <w:jc w:val="center"/>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（应有页码）</w:t>
      </w:r>
    </w:p>
    <w:p w14:paraId="6966F8B6">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br w:type="page"/>
      </w:r>
    </w:p>
    <w:p w14:paraId="2E6057A7">
      <w:pPr>
        <w:rPr>
          <w:rFonts w:ascii="Times New Roman" w:hAnsi="Times New Roman" w:eastAsia="宋体" w:cs="Times New Roman"/>
          <w:b/>
          <w:color w:val="auto"/>
          <w:szCs w:val="21"/>
          <w:highlight w:val="none"/>
        </w:rPr>
      </w:pPr>
      <w:bookmarkStart w:id="102" w:name="_Toc462223472"/>
      <w:bookmarkStart w:id="103" w:name="_Toc455309222"/>
      <w:bookmarkStart w:id="104" w:name="_Toc462320613"/>
      <w:r>
        <w:rPr>
          <w:rFonts w:ascii="Times New Roman" w:hAnsi="Times New Roman" w:eastAsia="宋体" w:cs="Times New Roman"/>
          <w:color w:val="auto"/>
          <w:szCs w:val="21"/>
          <w:highlight w:val="none"/>
        </w:rPr>
        <w:t>1．法定代表人身份证明</w:t>
      </w:r>
      <w:r>
        <w:rPr>
          <w:rFonts w:hint="eastAsia" w:ascii="Times New Roman" w:hAnsi="Times New Roman" w:eastAsia="宋体" w:cs="Times New Roman"/>
          <w:b/>
          <w:color w:val="auto"/>
          <w:szCs w:val="21"/>
          <w:highlight w:val="none"/>
        </w:rPr>
        <w:t>（无授权</w:t>
      </w:r>
      <w:r>
        <w:rPr>
          <w:rFonts w:ascii="Times New Roman" w:hAnsi="Times New Roman" w:eastAsia="宋体" w:cs="Times New Roman"/>
          <w:b/>
          <w:color w:val="auto"/>
          <w:szCs w:val="21"/>
          <w:highlight w:val="none"/>
        </w:rPr>
        <w:t>代表</w:t>
      </w:r>
      <w:r>
        <w:rPr>
          <w:rFonts w:hint="eastAsia" w:ascii="Times New Roman" w:hAnsi="Times New Roman" w:eastAsia="宋体" w:cs="Times New Roman"/>
          <w:b/>
          <w:color w:val="auto"/>
          <w:szCs w:val="21"/>
          <w:highlight w:val="none"/>
        </w:rPr>
        <w:t>时提供）</w:t>
      </w:r>
      <w:r>
        <w:rPr>
          <w:rFonts w:ascii="Times New Roman" w:hAnsi="Times New Roman" w:eastAsia="宋体" w:cs="Times New Roman"/>
          <w:b/>
          <w:color w:val="auto"/>
          <w:szCs w:val="21"/>
          <w:highlight w:val="none"/>
        </w:rPr>
        <w:t>：</w:t>
      </w:r>
    </w:p>
    <w:p w14:paraId="410F6CF9">
      <w:pPr>
        <w:jc w:val="center"/>
        <w:rPr>
          <w:rFonts w:ascii="Times New Roman" w:hAnsi="Times New Roman" w:eastAsia="宋体" w:cs="Times New Roman"/>
          <w:color w:val="auto"/>
          <w:szCs w:val="24"/>
          <w:highlight w:val="none"/>
        </w:rPr>
      </w:pPr>
    </w:p>
    <w:bookmarkEnd w:id="102"/>
    <w:bookmarkEnd w:id="103"/>
    <w:bookmarkEnd w:id="104"/>
    <w:p w14:paraId="07D454FE">
      <w:pPr>
        <w:snapToGrid w:val="0"/>
        <w:spacing w:before="120" w:beforeLines="50" w:after="50" w:line="440" w:lineRule="exact"/>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法定代表人身份证明</w:t>
      </w:r>
    </w:p>
    <w:p w14:paraId="77CD4127">
      <w:pPr>
        <w:spacing w:line="360" w:lineRule="auto"/>
        <w:rPr>
          <w:rFonts w:ascii="Times New Roman" w:hAnsi="Times New Roman" w:eastAsia="宋体" w:cs="Times New Roman"/>
          <w:color w:val="auto"/>
          <w:szCs w:val="24"/>
          <w:highlight w:val="none"/>
        </w:rPr>
      </w:pPr>
    </w:p>
    <w:p w14:paraId="18496DCE">
      <w:pPr>
        <w:spacing w:line="540" w:lineRule="exac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名称：</w:t>
      </w:r>
      <w:r>
        <w:rPr>
          <w:rFonts w:ascii="Times New Roman" w:hAnsi="Times New Roman" w:eastAsia="宋体" w:cs="Times New Roman"/>
          <w:color w:val="auto"/>
          <w:szCs w:val="21"/>
          <w:highlight w:val="none"/>
          <w:u w:val="single"/>
        </w:rPr>
        <w:t xml:space="preserve">                                         </w:t>
      </w:r>
    </w:p>
    <w:p w14:paraId="54063C65">
      <w:pPr>
        <w:spacing w:line="54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单位性质：</w:t>
      </w:r>
      <w:r>
        <w:rPr>
          <w:rFonts w:ascii="Times New Roman" w:hAnsi="Times New Roman" w:eastAsia="宋体" w:cs="Times New Roman"/>
          <w:color w:val="auto"/>
          <w:szCs w:val="21"/>
          <w:highlight w:val="none"/>
          <w:u w:val="single"/>
        </w:rPr>
        <w:t xml:space="preserve">                                           </w:t>
      </w:r>
    </w:p>
    <w:p w14:paraId="0E47D040">
      <w:pPr>
        <w:spacing w:line="54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地址：</w:t>
      </w:r>
      <w:r>
        <w:rPr>
          <w:rFonts w:ascii="Times New Roman" w:hAnsi="Times New Roman" w:eastAsia="宋体" w:cs="Times New Roman"/>
          <w:color w:val="auto"/>
          <w:szCs w:val="21"/>
          <w:highlight w:val="none"/>
          <w:u w:val="single"/>
        </w:rPr>
        <w:t xml:space="preserve">                                               </w:t>
      </w:r>
    </w:p>
    <w:p w14:paraId="740CEDC1">
      <w:pPr>
        <w:spacing w:line="540" w:lineRule="exact"/>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成立时间：</w:t>
      </w:r>
      <w:r>
        <w:rPr>
          <w:rFonts w:ascii="Times New Roman" w:hAnsi="Times New Roman" w:eastAsia="宋体" w:cs="Times New Roman"/>
          <w:color w:val="auto"/>
          <w:szCs w:val="21"/>
          <w:highlight w:val="none"/>
          <w:u w:val="single"/>
        </w:rPr>
        <w:t xml:space="preserve">          年        月        日</w:t>
      </w:r>
    </w:p>
    <w:p w14:paraId="2F0A0265">
      <w:pPr>
        <w:spacing w:line="54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经营期限：</w:t>
      </w:r>
      <w:r>
        <w:rPr>
          <w:rFonts w:ascii="Times New Roman" w:hAnsi="Times New Roman" w:eastAsia="宋体" w:cs="Times New Roman"/>
          <w:color w:val="auto"/>
          <w:szCs w:val="21"/>
          <w:highlight w:val="none"/>
          <w:u w:val="single"/>
        </w:rPr>
        <w:t xml:space="preserve">                                           </w:t>
      </w:r>
    </w:p>
    <w:p w14:paraId="2E0AAB25">
      <w:pPr>
        <w:spacing w:line="54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姓名：</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；性别：</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w:t>
      </w:r>
    </w:p>
    <w:p w14:paraId="6A5464BC">
      <w:pPr>
        <w:spacing w:line="54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年龄：</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；职务：</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；身份证：</w:t>
      </w:r>
      <w:r>
        <w:rPr>
          <w:rFonts w:ascii="Times New Roman" w:hAnsi="Times New Roman" w:eastAsia="宋体" w:cs="Times New Roman"/>
          <w:color w:val="auto"/>
          <w:szCs w:val="21"/>
          <w:highlight w:val="none"/>
          <w:u w:val="single"/>
        </w:rPr>
        <w:t xml:space="preserve">                                      </w:t>
      </w:r>
    </w:p>
    <w:p w14:paraId="42A96646">
      <w:pPr>
        <w:spacing w:line="54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系</w:t>
      </w:r>
      <w:r>
        <w:rPr>
          <w:rFonts w:ascii="Times New Roman" w:hAnsi="Times New Roman" w:eastAsia="宋体" w:cs="Times New Roman"/>
          <w:color w:val="auto"/>
          <w:szCs w:val="21"/>
          <w:highlight w:val="none"/>
          <w:u w:val="single"/>
        </w:rPr>
        <w:t xml:space="preserve">                                      （ </w:t>
      </w:r>
      <w:r>
        <w:rPr>
          <w:rFonts w:hint="eastAsia" w:ascii="Times New Roman" w:hAnsi="Times New Roman" w:eastAsia="宋体" w:cs="Times New Roman"/>
          <w:color w:val="auto"/>
          <w:szCs w:val="21"/>
          <w:highlight w:val="none"/>
          <w:u w:val="single"/>
        </w:rPr>
        <w:t>投标人</w:t>
      </w:r>
      <w:r>
        <w:rPr>
          <w:rFonts w:ascii="Times New Roman" w:hAnsi="Times New Roman" w:eastAsia="宋体" w:cs="Times New Roman"/>
          <w:color w:val="auto"/>
          <w:szCs w:val="21"/>
          <w:highlight w:val="none"/>
          <w:u w:val="single"/>
        </w:rPr>
        <w:t>名称）</w:t>
      </w:r>
      <w:r>
        <w:rPr>
          <w:rFonts w:ascii="Times New Roman" w:hAnsi="Times New Roman" w:eastAsia="宋体" w:cs="Times New Roman"/>
          <w:color w:val="auto"/>
          <w:szCs w:val="21"/>
          <w:highlight w:val="none"/>
        </w:rPr>
        <w:t>的法定代表人。</w:t>
      </w:r>
    </w:p>
    <w:p w14:paraId="77C56D6F">
      <w:pPr>
        <w:spacing w:line="540" w:lineRule="exact"/>
        <w:rPr>
          <w:rFonts w:ascii="Times New Roman" w:hAnsi="Times New Roman" w:eastAsia="宋体" w:cs="Times New Roman"/>
          <w:color w:val="auto"/>
          <w:szCs w:val="21"/>
          <w:highlight w:val="none"/>
        </w:rPr>
      </w:pPr>
    </w:p>
    <w:p w14:paraId="6C042BA4">
      <w:pPr>
        <w:spacing w:line="54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特此证明。</w:t>
      </w:r>
    </w:p>
    <w:p w14:paraId="770B1734">
      <w:pPr>
        <w:spacing w:line="360" w:lineRule="auto"/>
        <w:ind w:firstLine="4830" w:firstLineChars="2300"/>
        <w:rPr>
          <w:rFonts w:ascii="Times New Roman" w:hAnsi="Times New Roman" w:eastAsia="宋体" w:cs="Times New Roman"/>
          <w:color w:val="auto"/>
          <w:szCs w:val="21"/>
          <w:highlight w:val="none"/>
        </w:rPr>
      </w:pPr>
    </w:p>
    <w:p w14:paraId="7F8623FE">
      <w:pPr>
        <w:spacing w:line="360" w:lineRule="auto"/>
        <w:ind w:firstLine="4830" w:firstLineChars="2300"/>
        <w:rPr>
          <w:rFonts w:ascii="Times New Roman" w:hAnsi="Times New Roman" w:eastAsia="宋体" w:cs="Times New Roman"/>
          <w:color w:val="auto"/>
          <w:szCs w:val="21"/>
          <w:highlight w:val="none"/>
        </w:rPr>
      </w:pPr>
    </w:p>
    <w:p w14:paraId="581FBC16">
      <w:pPr>
        <w:spacing w:line="360" w:lineRule="auto"/>
        <w:ind w:firstLine="4830" w:firstLineChars="23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4"/>
          <w:highlight w:val="none"/>
        </w:rPr>
        <w:t>投标人</w:t>
      </w:r>
      <w:r>
        <w:rPr>
          <w:rFonts w:hint="eastAsia" w:ascii="Times New Roman" w:hAnsi="Times New Roman" w:eastAsia="宋体" w:cs="Times New Roman"/>
          <w:color w:val="auto"/>
          <w:szCs w:val="21"/>
          <w:highlight w:val="none"/>
        </w:rPr>
        <w:t>名称(电子签章</w:t>
      </w:r>
      <w:r>
        <w:rPr>
          <w:rFonts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u w:val="single"/>
        </w:rPr>
        <w:t xml:space="preserve">                </w:t>
      </w:r>
    </w:p>
    <w:p w14:paraId="547F78B9">
      <w:pPr>
        <w:spacing w:line="360" w:lineRule="auto"/>
        <w:jc w:val="righ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                                                                                              年       月       日 </w:t>
      </w:r>
    </w:p>
    <w:p w14:paraId="39473E27">
      <w:pPr>
        <w:spacing w:line="360" w:lineRule="auto"/>
        <w:ind w:firstLine="420" w:firstLineChars="200"/>
        <w:rPr>
          <w:rFonts w:ascii="Times New Roman" w:hAnsi="Times New Roman" w:eastAsia="宋体" w:cs="Times New Roman"/>
          <w:color w:val="auto"/>
          <w:szCs w:val="21"/>
          <w:highlight w:val="none"/>
        </w:rPr>
      </w:pPr>
    </w:p>
    <w:p w14:paraId="7D283C0D">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附件：法定代表人身份证复印件</w:t>
      </w:r>
    </w:p>
    <w:p w14:paraId="0B94AF6B">
      <w:pPr>
        <w:spacing w:line="360" w:lineRule="auto"/>
        <w:rPr>
          <w:rFonts w:ascii="Times New Roman" w:hAnsi="Times New Roman" w:eastAsia="宋体" w:cs="Times New Roman"/>
          <w:color w:val="auto"/>
          <w:szCs w:val="21"/>
          <w:highlight w:val="none"/>
        </w:rPr>
      </w:pPr>
    </w:p>
    <w:p w14:paraId="621A568A">
      <w:pPr>
        <w:snapToGrid w:val="0"/>
        <w:spacing w:before="120" w:beforeLines="50" w:after="50" w:line="360" w:lineRule="exact"/>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br w:type="page"/>
      </w:r>
      <w:r>
        <w:rPr>
          <w:rFonts w:hint="eastAsia" w:ascii="Times New Roman" w:hAnsi="Times New Roman" w:eastAsia="宋体" w:cs="Times New Roman"/>
          <w:b/>
          <w:color w:val="auto"/>
          <w:szCs w:val="21"/>
          <w:highlight w:val="none"/>
        </w:rPr>
        <w:t>1</w:t>
      </w:r>
      <w:r>
        <w:rPr>
          <w:rFonts w:ascii="Times New Roman" w:hAnsi="Times New Roman" w:eastAsia="宋体" w:cs="Times New Roman"/>
          <w:b/>
          <w:color w:val="auto"/>
          <w:szCs w:val="21"/>
          <w:highlight w:val="none"/>
        </w:rPr>
        <w:t>．</w:t>
      </w:r>
      <w:r>
        <w:rPr>
          <w:rFonts w:hint="eastAsia" w:ascii="Times New Roman" w:hAnsi="Times New Roman" w:eastAsia="宋体" w:cs="Times New Roman"/>
          <w:b/>
          <w:color w:val="auto"/>
          <w:szCs w:val="21"/>
          <w:highlight w:val="none"/>
        </w:rPr>
        <w:t>授权</w:t>
      </w:r>
      <w:r>
        <w:rPr>
          <w:rFonts w:ascii="Times New Roman" w:hAnsi="Times New Roman" w:eastAsia="宋体" w:cs="Times New Roman"/>
          <w:b/>
          <w:color w:val="auto"/>
          <w:szCs w:val="21"/>
          <w:highlight w:val="none"/>
        </w:rPr>
        <w:t>委托书</w:t>
      </w:r>
      <w:r>
        <w:rPr>
          <w:rFonts w:hint="eastAsia" w:ascii="Times New Roman" w:hAnsi="Times New Roman" w:eastAsia="宋体" w:cs="Times New Roman"/>
          <w:b/>
          <w:color w:val="auto"/>
          <w:szCs w:val="21"/>
          <w:highlight w:val="none"/>
        </w:rPr>
        <w:t>（有授权</w:t>
      </w:r>
      <w:r>
        <w:rPr>
          <w:rFonts w:ascii="Times New Roman" w:hAnsi="Times New Roman" w:eastAsia="宋体" w:cs="Times New Roman"/>
          <w:b/>
          <w:color w:val="auto"/>
          <w:szCs w:val="21"/>
          <w:highlight w:val="none"/>
        </w:rPr>
        <w:t>代表</w:t>
      </w:r>
      <w:r>
        <w:rPr>
          <w:rFonts w:hint="eastAsia" w:ascii="Times New Roman" w:hAnsi="Times New Roman" w:eastAsia="宋体" w:cs="Times New Roman"/>
          <w:b/>
          <w:color w:val="auto"/>
          <w:szCs w:val="21"/>
          <w:highlight w:val="none"/>
        </w:rPr>
        <w:t>时提供）</w:t>
      </w:r>
      <w:r>
        <w:rPr>
          <w:rFonts w:ascii="Times New Roman" w:hAnsi="Times New Roman" w:eastAsia="宋体" w:cs="Times New Roman"/>
          <w:b/>
          <w:color w:val="auto"/>
          <w:szCs w:val="21"/>
          <w:highlight w:val="none"/>
        </w:rPr>
        <w:t>：</w:t>
      </w:r>
    </w:p>
    <w:p w14:paraId="2776CE97">
      <w:pPr>
        <w:snapToGrid w:val="0"/>
        <w:spacing w:before="120" w:beforeLines="50" w:after="50" w:line="360" w:lineRule="exact"/>
        <w:rPr>
          <w:rFonts w:ascii="Times New Roman" w:hAnsi="Times New Roman" w:eastAsia="宋体" w:cs="Times New Roman"/>
          <w:b/>
          <w:color w:val="auto"/>
          <w:szCs w:val="21"/>
          <w:highlight w:val="none"/>
        </w:rPr>
      </w:pPr>
    </w:p>
    <w:p w14:paraId="13E04442">
      <w:pPr>
        <w:snapToGrid w:val="0"/>
        <w:spacing w:before="120" w:beforeLines="50" w:after="50" w:line="440" w:lineRule="exact"/>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法定代表人授权委托书</w:t>
      </w:r>
    </w:p>
    <w:p w14:paraId="1DA763CE">
      <w:pPr>
        <w:snapToGrid w:val="0"/>
        <w:spacing w:before="120" w:beforeLines="50" w:after="50" w:line="440" w:lineRule="exact"/>
        <w:rPr>
          <w:rFonts w:ascii="Times New Roman" w:hAnsi="Times New Roman" w:eastAsia="宋体" w:cs="Times New Roman"/>
          <w:b/>
          <w:bCs/>
          <w:color w:val="auto"/>
          <w:szCs w:val="21"/>
          <w:highlight w:val="none"/>
        </w:rPr>
      </w:pPr>
      <w:r>
        <w:rPr>
          <w:rFonts w:ascii="Times New Roman" w:hAnsi="Times New Roman" w:eastAsia="宋体" w:cs="Times New Roman"/>
          <w:bCs/>
          <w:color w:val="auto"/>
          <w:szCs w:val="21"/>
          <w:highlight w:val="none"/>
        </w:rPr>
        <w:t>致：</w:t>
      </w:r>
      <w:r>
        <w:rPr>
          <w:rFonts w:ascii="Times New Roman" w:hAnsi="Times New Roman" w:eastAsia="宋体" w:cs="Times New Roman"/>
          <w:i/>
          <w:iCs/>
          <w:color w:val="auto"/>
          <w:szCs w:val="21"/>
          <w:highlight w:val="none"/>
          <w:u w:val="single"/>
        </w:rPr>
        <w:t>（采购</w:t>
      </w:r>
      <w:r>
        <w:rPr>
          <w:rFonts w:hint="eastAsia" w:ascii="Times New Roman" w:hAnsi="Times New Roman" w:eastAsia="宋体" w:cs="Times New Roman"/>
          <w:i/>
          <w:iCs/>
          <w:color w:val="auto"/>
          <w:szCs w:val="21"/>
          <w:highlight w:val="none"/>
          <w:u w:val="single"/>
        </w:rPr>
        <w:t>人</w:t>
      </w:r>
      <w:r>
        <w:rPr>
          <w:rFonts w:ascii="Times New Roman" w:hAnsi="Times New Roman" w:eastAsia="宋体" w:cs="Times New Roman"/>
          <w:i/>
          <w:iCs/>
          <w:color w:val="auto"/>
          <w:szCs w:val="21"/>
          <w:highlight w:val="none"/>
          <w:u w:val="single"/>
        </w:rPr>
        <w:t>名称）</w:t>
      </w:r>
      <w:r>
        <w:rPr>
          <w:rFonts w:ascii="Times New Roman" w:hAnsi="Times New Roman" w:eastAsia="宋体" w:cs="Times New Roman"/>
          <w:color w:val="auto"/>
          <w:szCs w:val="21"/>
          <w:highlight w:val="none"/>
        </w:rPr>
        <w:t>：</w:t>
      </w:r>
    </w:p>
    <w:p w14:paraId="39ACA8C8">
      <w:pPr>
        <w:snapToGrid w:val="0"/>
        <w:spacing w:before="120" w:beforeLines="50" w:after="50" w:line="44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我__</w:t>
      </w:r>
      <w:r>
        <w:rPr>
          <w:rFonts w:ascii="Times New Roman" w:hAnsi="Times New Roman" w:eastAsia="宋体" w:cs="Times New Roman"/>
          <w:i/>
          <w:iCs/>
          <w:color w:val="auto"/>
          <w:szCs w:val="21"/>
          <w:highlight w:val="none"/>
          <w:u w:val="single"/>
        </w:rPr>
        <w:t>（</w:t>
      </w:r>
      <w:r>
        <w:rPr>
          <w:rFonts w:hint="eastAsia" w:ascii="Times New Roman" w:hAnsi="Times New Roman" w:eastAsia="宋体" w:cs="Times New Roman"/>
          <w:i/>
          <w:iCs/>
          <w:color w:val="auto"/>
          <w:szCs w:val="21"/>
          <w:highlight w:val="none"/>
          <w:u w:val="single"/>
        </w:rPr>
        <w:t>法定代表人姓名</w:t>
      </w:r>
      <w:r>
        <w:rPr>
          <w:rFonts w:ascii="Times New Roman" w:hAnsi="Times New Roman" w:eastAsia="宋体" w:cs="Times New Roman"/>
          <w:i/>
          <w:iCs/>
          <w:color w:val="auto"/>
          <w:szCs w:val="21"/>
          <w:highlight w:val="none"/>
          <w:u w:val="single"/>
        </w:rPr>
        <w:t>）</w:t>
      </w:r>
      <w:r>
        <w:rPr>
          <w:rFonts w:ascii="Times New Roman" w:hAnsi="Times New Roman" w:eastAsia="宋体" w:cs="Times New Roman"/>
          <w:color w:val="auto"/>
          <w:szCs w:val="21"/>
          <w:highlight w:val="none"/>
        </w:rPr>
        <w:t>_系_</w:t>
      </w:r>
      <w:r>
        <w:rPr>
          <w:rFonts w:ascii="Times New Roman" w:hAnsi="Times New Roman" w:eastAsia="宋体" w:cs="Times New Roman"/>
          <w:i/>
          <w:iCs/>
          <w:color w:val="auto"/>
          <w:szCs w:val="21"/>
          <w:highlight w:val="none"/>
          <w:u w:val="single"/>
        </w:rPr>
        <w:t>（</w:t>
      </w:r>
      <w:r>
        <w:rPr>
          <w:rFonts w:hint="eastAsia" w:ascii="Times New Roman" w:hAnsi="Times New Roman" w:eastAsia="宋体" w:cs="Times New Roman"/>
          <w:i/>
          <w:iCs/>
          <w:color w:val="auto"/>
          <w:szCs w:val="21"/>
          <w:highlight w:val="none"/>
          <w:u w:val="single"/>
        </w:rPr>
        <w:t>投标人</w:t>
      </w:r>
      <w:r>
        <w:rPr>
          <w:rFonts w:ascii="Times New Roman" w:hAnsi="Times New Roman" w:eastAsia="宋体" w:cs="Times New Roman"/>
          <w:i/>
          <w:iCs/>
          <w:color w:val="auto"/>
          <w:szCs w:val="21"/>
          <w:highlight w:val="none"/>
          <w:u w:val="single"/>
        </w:rPr>
        <w:t>名称）</w:t>
      </w:r>
      <w:r>
        <w:rPr>
          <w:rFonts w:ascii="Times New Roman" w:hAnsi="Times New Roman" w:eastAsia="宋体" w:cs="Times New Roman"/>
          <w:color w:val="auto"/>
          <w:szCs w:val="21"/>
          <w:highlight w:val="none"/>
        </w:rPr>
        <w:t xml:space="preserve">_的法定代表人，现授权委托本单位在职职工 </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（姓名）以我方的名义参加</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i/>
          <w:iCs/>
          <w:color w:val="auto"/>
          <w:szCs w:val="21"/>
          <w:highlight w:val="none"/>
          <w:u w:val="single"/>
        </w:rPr>
        <w:t>（项目名称）</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项目的投标活动，并代表我方全权办理针对上述项目的投标、开标、评审、签约等具体事务和签署相关文件。</w:t>
      </w:r>
    </w:p>
    <w:p w14:paraId="2FD3DD6B">
      <w:pPr>
        <w:snapToGrid w:val="0"/>
        <w:spacing w:before="120" w:beforeLines="50" w:after="50" w:line="44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    我方对被授权人的签名事项负全部责任。</w:t>
      </w:r>
    </w:p>
    <w:p w14:paraId="6DE226C3">
      <w:pPr>
        <w:snapToGrid w:val="0"/>
        <w:spacing w:before="120" w:beforeLines="50" w:after="50" w:line="440" w:lineRule="exact"/>
        <w:ind w:firstLine="48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在撤销授权的书面通知以前，本授权书一直有效。被授权人在授权书有效期内签署的所有文件不因授权的撤销而失效。</w:t>
      </w:r>
    </w:p>
    <w:p w14:paraId="17F5FF54">
      <w:pPr>
        <w:snapToGrid w:val="0"/>
        <w:spacing w:before="120" w:beforeLines="50" w:after="50" w:line="440" w:lineRule="exact"/>
        <w:ind w:firstLine="48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被授权人无转委托权，特此委托。</w:t>
      </w:r>
    </w:p>
    <w:p w14:paraId="5350EFFD">
      <w:pPr>
        <w:snapToGrid w:val="0"/>
        <w:spacing w:before="120" w:beforeLines="50" w:after="50" w:line="440" w:lineRule="exact"/>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被授权人签字或</w:t>
      </w:r>
      <w:r>
        <w:rPr>
          <w:rFonts w:hint="eastAsia" w:ascii="Times New Roman" w:hAnsi="Times New Roman" w:eastAsia="宋体" w:cs="Times New Roman"/>
          <w:color w:val="auto"/>
          <w:szCs w:val="21"/>
          <w:highlight w:val="none"/>
        </w:rPr>
        <w:t>签章</w:t>
      </w:r>
      <w:r>
        <w:rPr>
          <w:rFonts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法定代表人签字或</w:t>
      </w:r>
      <w:r>
        <w:rPr>
          <w:rFonts w:hint="eastAsia" w:ascii="Times New Roman" w:hAnsi="Times New Roman" w:eastAsia="宋体" w:cs="Times New Roman"/>
          <w:color w:val="auto"/>
          <w:szCs w:val="21"/>
          <w:highlight w:val="none"/>
        </w:rPr>
        <w:t>签章</w:t>
      </w:r>
      <w:r>
        <w:rPr>
          <w:rFonts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u w:val="single"/>
        </w:rPr>
        <w:t xml:space="preserve">          </w:t>
      </w:r>
    </w:p>
    <w:p w14:paraId="631398C5">
      <w:pPr>
        <w:snapToGrid w:val="0"/>
        <w:spacing w:before="120" w:beforeLines="50" w:after="50" w:line="44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职务：</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职务：</w:t>
      </w:r>
      <w:r>
        <w:rPr>
          <w:rFonts w:ascii="Times New Roman" w:hAnsi="Times New Roman" w:eastAsia="宋体" w:cs="Times New Roman"/>
          <w:color w:val="auto"/>
          <w:szCs w:val="21"/>
          <w:highlight w:val="none"/>
          <w:u w:val="single"/>
        </w:rPr>
        <w:t xml:space="preserve">           </w:t>
      </w:r>
    </w:p>
    <w:p w14:paraId="01D8B1EF">
      <w:pPr>
        <w:snapToGrid w:val="0"/>
        <w:spacing w:before="120" w:beforeLines="50" w:after="50" w:line="44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被授权人身份证号码：</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授权人身份证号码：</w:t>
      </w:r>
      <w:r>
        <w:rPr>
          <w:rFonts w:ascii="Times New Roman" w:hAnsi="Times New Roman" w:eastAsia="宋体" w:cs="Times New Roman"/>
          <w:color w:val="auto"/>
          <w:szCs w:val="21"/>
          <w:highlight w:val="none"/>
          <w:u w:val="single"/>
        </w:rPr>
        <w:t xml:space="preserve">                 </w:t>
      </w:r>
    </w:p>
    <w:p w14:paraId="712ED4AB">
      <w:pPr>
        <w:snapToGrid w:val="0"/>
        <w:spacing w:before="120" w:beforeLines="50" w:after="50" w:line="440" w:lineRule="exact"/>
        <w:rPr>
          <w:rFonts w:ascii="Times New Roman" w:hAnsi="Times New Roman" w:eastAsia="宋体" w:cs="Times New Roman"/>
          <w:color w:val="auto"/>
          <w:szCs w:val="21"/>
          <w:highlight w:val="none"/>
        </w:rPr>
      </w:pPr>
      <w:bookmarkStart w:id="105" w:name="_Hlk132880052"/>
      <w:r>
        <w:rPr>
          <w:rFonts w:hint="eastAsia" w:ascii="Times New Roman" w:hAnsi="Times New Roman" w:eastAsia="宋体" w:cs="Times New Roman"/>
          <w:color w:val="auto"/>
          <w:szCs w:val="21"/>
          <w:highlight w:val="none"/>
        </w:rPr>
        <w:t>被授权人手机号码及邮箱：</w:t>
      </w:r>
      <w:bookmarkEnd w:id="105"/>
      <w:r>
        <w:rPr>
          <w:rFonts w:ascii="Times New Roman" w:hAnsi="Times New Roman" w:eastAsia="宋体" w:cs="Times New Roman"/>
          <w:color w:val="auto"/>
          <w:szCs w:val="21"/>
          <w:highlight w:val="none"/>
        </w:rPr>
        <w:t xml:space="preserve">                                 </w:t>
      </w:r>
    </w:p>
    <w:p w14:paraId="2CA1A2D4">
      <w:pPr>
        <w:snapToGrid w:val="0"/>
        <w:spacing w:before="120" w:beforeLines="50" w:after="50" w:line="440" w:lineRule="exact"/>
        <w:ind w:firstLine="5250" w:firstLineChars="2500"/>
        <w:rPr>
          <w:rFonts w:ascii="Times New Roman" w:hAnsi="Times New Roman" w:eastAsia="宋体" w:cs="Times New Roman"/>
          <w:color w:val="auto"/>
          <w:szCs w:val="21"/>
          <w:highlight w:val="none"/>
        </w:rPr>
      </w:pPr>
    </w:p>
    <w:p w14:paraId="4FF06F6A">
      <w:pPr>
        <w:snapToGrid w:val="0"/>
        <w:spacing w:before="120" w:beforeLines="50" w:after="50" w:line="440" w:lineRule="exact"/>
        <w:ind w:firstLine="5250" w:firstLineChars="25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4"/>
          <w:highlight w:val="none"/>
        </w:rPr>
        <w:t>投标人</w:t>
      </w:r>
      <w:r>
        <w:rPr>
          <w:rFonts w:hint="eastAsia" w:ascii="Times New Roman" w:hAnsi="Times New Roman" w:eastAsia="宋体" w:cs="Times New Roman"/>
          <w:color w:val="auto"/>
          <w:szCs w:val="21"/>
          <w:highlight w:val="none"/>
        </w:rPr>
        <w:t>名称(电子签章</w:t>
      </w:r>
      <w:r>
        <w:rPr>
          <w:rFonts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u w:val="single"/>
        </w:rPr>
        <w:t xml:space="preserve">                </w:t>
      </w:r>
    </w:p>
    <w:p w14:paraId="55EF0B86">
      <w:pPr>
        <w:snapToGrid w:val="0"/>
        <w:spacing w:before="120" w:beforeLines="50" w:after="50" w:line="44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                                        年    月    日</w:t>
      </w:r>
    </w:p>
    <w:p w14:paraId="4E9A0199">
      <w:pPr>
        <w:spacing w:line="360" w:lineRule="auto"/>
        <w:rPr>
          <w:rFonts w:ascii="Times New Roman" w:hAnsi="Times New Roman" w:eastAsia="宋体" w:cs="Times New Roman"/>
          <w:color w:val="auto"/>
          <w:szCs w:val="21"/>
          <w:highlight w:val="none"/>
        </w:rPr>
      </w:pPr>
    </w:p>
    <w:p w14:paraId="053C3655">
      <w:pPr>
        <w:spacing w:line="360" w:lineRule="auto"/>
        <w:rPr>
          <w:rFonts w:ascii="Times New Roman" w:hAnsi="Times New Roman" w:eastAsia="宋体" w:cs="Times New Roman"/>
          <w:color w:val="auto"/>
          <w:szCs w:val="21"/>
          <w:highlight w:val="none"/>
        </w:rPr>
      </w:pPr>
    </w:p>
    <w:p w14:paraId="71FD15FF">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附件：法定代表人身份证复印件及授权代表身份证复印件</w:t>
      </w:r>
    </w:p>
    <w:p w14:paraId="1541BD8B">
      <w:pPr>
        <w:snapToGrid w:val="0"/>
        <w:spacing w:before="120" w:beforeLines="50" w:after="50" w:line="440" w:lineRule="exact"/>
        <w:jc w:val="center"/>
        <w:outlineLvl w:val="1"/>
        <w:rPr>
          <w:rFonts w:ascii="Times New Roman" w:hAnsi="Times New Roman" w:eastAsia="宋体" w:cs="Times New Roman"/>
          <w:bCs/>
          <w:color w:val="auto"/>
          <w:sz w:val="24"/>
          <w:szCs w:val="24"/>
          <w:highlight w:val="none"/>
        </w:rPr>
      </w:pPr>
      <w:r>
        <w:rPr>
          <w:rFonts w:ascii="Times New Roman" w:hAnsi="Times New Roman" w:eastAsia="宋体" w:cs="Times New Roman"/>
          <w:color w:val="auto"/>
          <w:szCs w:val="24"/>
          <w:highlight w:val="none"/>
        </w:rPr>
        <w:br w:type="page"/>
      </w:r>
      <w:r>
        <w:rPr>
          <w:rFonts w:ascii="Times New Roman" w:hAnsi="Times New Roman" w:eastAsia="宋体" w:cs="Times New Roman"/>
          <w:bCs/>
          <w:color w:val="auto"/>
          <w:sz w:val="24"/>
          <w:szCs w:val="24"/>
          <w:highlight w:val="none"/>
        </w:rPr>
        <w:t>第一部分 商务文件</w:t>
      </w:r>
    </w:p>
    <w:p w14:paraId="1611322C">
      <w:pPr>
        <w:jc w:val="center"/>
        <w:rPr>
          <w:rFonts w:ascii="Times New Roman" w:hAnsi="Times New Roman" w:eastAsia="宋体" w:cs="Times New Roman"/>
          <w:bCs/>
          <w:color w:val="auto"/>
          <w:sz w:val="24"/>
          <w:szCs w:val="24"/>
          <w:highlight w:val="none"/>
        </w:rPr>
      </w:pPr>
      <w:r>
        <w:rPr>
          <w:rFonts w:ascii="Times New Roman" w:hAnsi="Times New Roman" w:eastAsia="宋体" w:cs="Times New Roman"/>
          <w:color w:val="auto"/>
          <w:szCs w:val="24"/>
          <w:highlight w:val="none"/>
        </w:rPr>
        <w:t>（本商务文件</w:t>
      </w:r>
      <w:r>
        <w:rPr>
          <w:rFonts w:hint="eastAsia" w:ascii="Times New Roman" w:hAnsi="Times New Roman" w:eastAsia="宋体" w:cs="Times New Roman"/>
          <w:color w:val="auto"/>
          <w:szCs w:val="24"/>
          <w:highlight w:val="none"/>
        </w:rPr>
        <w:t>投标人</w:t>
      </w:r>
      <w:r>
        <w:rPr>
          <w:rFonts w:ascii="Times New Roman" w:hAnsi="Times New Roman" w:eastAsia="宋体" w:cs="Times New Roman"/>
          <w:color w:val="auto"/>
          <w:szCs w:val="24"/>
          <w:highlight w:val="none"/>
        </w:rPr>
        <w:t>可自行编写，也可参照下述提纲编写）</w:t>
      </w:r>
    </w:p>
    <w:p w14:paraId="2CBE9010">
      <w:pPr>
        <w:snapToGrid w:val="0"/>
        <w:spacing w:before="50" w:after="120" w:afterLines="50" w:line="440" w:lineRule="exact"/>
        <w:jc w:val="left"/>
        <w:rPr>
          <w:rFonts w:ascii="Times New Roman" w:hAnsi="Times New Roman" w:eastAsia="宋体" w:cs="Times New Roman"/>
          <w:color w:val="auto"/>
          <w:szCs w:val="21"/>
          <w:highlight w:val="none"/>
        </w:rPr>
      </w:pPr>
    </w:p>
    <w:p w14:paraId="25A973A1">
      <w:pPr>
        <w:snapToGrid w:val="0"/>
        <w:spacing w:before="50" w:after="120" w:afterLines="50" w:line="440" w:lineRule="exact"/>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对</w:t>
      </w:r>
      <w:r>
        <w:rPr>
          <w:rFonts w:ascii="Times New Roman" w:hAnsi="Times New Roman" w:eastAsia="宋体" w:cs="Times New Roman"/>
          <w:color w:val="auto"/>
          <w:szCs w:val="21"/>
          <w:highlight w:val="none"/>
        </w:rPr>
        <w:t>本项目第</w:t>
      </w:r>
      <w:r>
        <w:rPr>
          <w:rFonts w:hint="eastAsia" w:ascii="Times New Roman" w:hAnsi="Times New Roman" w:eastAsia="宋体" w:cs="Times New Roman"/>
          <w:color w:val="auto"/>
          <w:szCs w:val="21"/>
          <w:highlight w:val="none"/>
        </w:rPr>
        <w:t>二</w:t>
      </w:r>
      <w:r>
        <w:rPr>
          <w:rFonts w:ascii="Times New Roman" w:hAnsi="Times New Roman" w:eastAsia="宋体" w:cs="Times New Roman"/>
          <w:color w:val="auto"/>
          <w:szCs w:val="21"/>
          <w:highlight w:val="none"/>
        </w:rPr>
        <w:t>章</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采购需求</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商务要求</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的</w:t>
      </w:r>
      <w:r>
        <w:rPr>
          <w:rFonts w:hint="eastAsia" w:ascii="Times New Roman" w:hAnsi="Times New Roman" w:eastAsia="宋体" w:cs="Times New Roman"/>
          <w:color w:val="auto"/>
          <w:szCs w:val="21"/>
          <w:highlight w:val="none"/>
        </w:rPr>
        <w:t>响应表</w:t>
      </w:r>
      <w:r>
        <w:rPr>
          <w:rFonts w:ascii="Times New Roman" w:hAnsi="Times New Roman" w:eastAsia="宋体" w:cs="Times New Roman"/>
          <w:color w:val="auto"/>
          <w:szCs w:val="21"/>
          <w:highlight w:val="none"/>
        </w:rPr>
        <w:t>：</w:t>
      </w:r>
    </w:p>
    <w:tbl>
      <w:tblPr>
        <w:tblStyle w:val="4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890"/>
        <w:gridCol w:w="1082"/>
      </w:tblGrid>
      <w:tr w14:paraId="743A21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70C5BBB4">
            <w:pPr>
              <w:snapToGrid w:val="0"/>
              <w:spacing w:before="120" w:beforeLines="5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序号</w:t>
            </w:r>
          </w:p>
        </w:tc>
        <w:tc>
          <w:tcPr>
            <w:tcW w:w="2110" w:type="dxa"/>
            <w:tcBorders>
              <w:top w:val="single" w:color="auto" w:sz="4" w:space="0"/>
              <w:left w:val="single" w:color="auto" w:sz="4" w:space="0"/>
              <w:bottom w:val="single" w:color="auto" w:sz="4" w:space="0"/>
              <w:right w:val="single" w:color="auto" w:sz="4" w:space="0"/>
            </w:tcBorders>
            <w:vAlign w:val="center"/>
          </w:tcPr>
          <w:p w14:paraId="6CBEEEE2">
            <w:pPr>
              <w:snapToGrid w:val="0"/>
              <w:spacing w:before="120" w:beforeLines="5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招标文件的商务要求</w:t>
            </w:r>
          </w:p>
        </w:tc>
        <w:tc>
          <w:tcPr>
            <w:tcW w:w="4890" w:type="dxa"/>
            <w:tcBorders>
              <w:top w:val="single" w:color="auto" w:sz="4" w:space="0"/>
              <w:left w:val="single" w:color="auto" w:sz="4" w:space="0"/>
              <w:bottom w:val="single" w:color="auto" w:sz="4" w:space="0"/>
              <w:right w:val="single" w:color="auto" w:sz="4" w:space="0"/>
            </w:tcBorders>
            <w:vAlign w:val="center"/>
          </w:tcPr>
          <w:p w14:paraId="73DF5619">
            <w:pPr>
              <w:snapToGrid w:val="0"/>
              <w:spacing w:before="120" w:beforeLines="5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投标文件响应内容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59F702FA">
            <w:pPr>
              <w:snapToGrid w:val="0"/>
              <w:spacing w:before="120" w:beforeLines="5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4"/>
                <w:highlight w:val="none"/>
              </w:rPr>
              <w:t>偏离</w:t>
            </w:r>
            <w:r>
              <w:rPr>
                <w:rFonts w:ascii="Times New Roman" w:hAnsi="Times New Roman" w:eastAsia="宋体" w:cs="Times New Roman"/>
                <w:color w:val="auto"/>
                <w:szCs w:val="21"/>
                <w:highlight w:val="none"/>
              </w:rPr>
              <w:t>说明</w:t>
            </w:r>
          </w:p>
        </w:tc>
      </w:tr>
      <w:tr w14:paraId="2D186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5219FC0">
            <w:pPr>
              <w:snapToGrid w:val="0"/>
              <w:spacing w:before="120" w:beforeLines="50"/>
              <w:jc w:val="center"/>
              <w:rPr>
                <w:rFonts w:ascii="Times New Roman" w:hAnsi="Times New Roman" w:eastAsia="宋体" w:cs="Times New Roman"/>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14:paraId="25FA6F7B">
            <w:pPr>
              <w:snapToGrid w:val="0"/>
              <w:spacing w:before="120" w:beforeLines="50"/>
              <w:jc w:val="center"/>
              <w:rPr>
                <w:rFonts w:ascii="Times New Roman" w:hAnsi="Times New Roman" w:eastAsia="宋体" w:cs="Times New Roman"/>
                <w:color w:val="auto"/>
                <w:szCs w:val="21"/>
                <w:highlight w:val="none"/>
              </w:rPr>
            </w:pPr>
          </w:p>
        </w:tc>
        <w:tc>
          <w:tcPr>
            <w:tcW w:w="4890" w:type="dxa"/>
            <w:tcBorders>
              <w:top w:val="single" w:color="auto" w:sz="4" w:space="0"/>
              <w:left w:val="single" w:color="auto" w:sz="4" w:space="0"/>
              <w:bottom w:val="single" w:color="auto" w:sz="4" w:space="0"/>
              <w:right w:val="single" w:color="auto" w:sz="4" w:space="0"/>
            </w:tcBorders>
            <w:vAlign w:val="center"/>
          </w:tcPr>
          <w:p w14:paraId="1393765C">
            <w:pPr>
              <w:snapToGrid w:val="0"/>
              <w:spacing w:before="120" w:beforeLines="50"/>
              <w:jc w:val="center"/>
              <w:rPr>
                <w:rFonts w:ascii="Times New Roman" w:hAnsi="Times New Roman" w:eastAsia="宋体" w:cs="Times New Roman"/>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1B307580">
            <w:pPr>
              <w:snapToGrid w:val="0"/>
              <w:spacing w:before="120" w:beforeLines="50"/>
              <w:jc w:val="center"/>
              <w:rPr>
                <w:rFonts w:ascii="Times New Roman" w:hAnsi="Times New Roman" w:eastAsia="宋体" w:cs="Times New Roman"/>
                <w:color w:val="auto"/>
                <w:szCs w:val="21"/>
                <w:highlight w:val="none"/>
              </w:rPr>
            </w:pPr>
          </w:p>
        </w:tc>
      </w:tr>
      <w:tr w14:paraId="4CB0FF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D2690A6">
            <w:pPr>
              <w:snapToGrid w:val="0"/>
              <w:spacing w:before="120" w:beforeLines="50"/>
              <w:jc w:val="center"/>
              <w:rPr>
                <w:rFonts w:ascii="Times New Roman" w:hAnsi="Times New Roman" w:eastAsia="宋体" w:cs="Times New Roman"/>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14:paraId="6B87EA12">
            <w:pPr>
              <w:spacing w:line="360" w:lineRule="exact"/>
              <w:jc w:val="center"/>
              <w:rPr>
                <w:rFonts w:ascii="Times New Roman" w:hAnsi="Times New Roman" w:eastAsia="宋体" w:cs="Times New Roman"/>
                <w:color w:val="auto"/>
                <w:szCs w:val="21"/>
                <w:highlight w:val="none"/>
              </w:rPr>
            </w:pPr>
          </w:p>
        </w:tc>
        <w:tc>
          <w:tcPr>
            <w:tcW w:w="4890" w:type="dxa"/>
            <w:tcBorders>
              <w:top w:val="single" w:color="auto" w:sz="4" w:space="0"/>
              <w:left w:val="single" w:color="auto" w:sz="4" w:space="0"/>
              <w:bottom w:val="single" w:color="auto" w:sz="4" w:space="0"/>
              <w:right w:val="single" w:color="auto" w:sz="4" w:space="0"/>
            </w:tcBorders>
            <w:vAlign w:val="center"/>
          </w:tcPr>
          <w:p w14:paraId="582BB677">
            <w:pPr>
              <w:snapToGrid w:val="0"/>
              <w:spacing w:before="120" w:beforeLines="50"/>
              <w:jc w:val="center"/>
              <w:rPr>
                <w:rFonts w:ascii="Times New Roman" w:hAnsi="Times New Roman" w:eastAsia="宋体" w:cs="Times New Roman"/>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2003CBDF">
            <w:pPr>
              <w:snapToGrid w:val="0"/>
              <w:spacing w:before="120" w:beforeLines="50"/>
              <w:jc w:val="center"/>
              <w:rPr>
                <w:rFonts w:ascii="Times New Roman" w:hAnsi="Times New Roman" w:eastAsia="宋体" w:cs="Times New Roman"/>
                <w:color w:val="auto"/>
                <w:szCs w:val="21"/>
                <w:highlight w:val="none"/>
              </w:rPr>
            </w:pPr>
          </w:p>
        </w:tc>
      </w:tr>
      <w:tr w14:paraId="13DEA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D3E3BC2">
            <w:pPr>
              <w:snapToGrid w:val="0"/>
              <w:spacing w:before="120" w:beforeLines="50"/>
              <w:jc w:val="center"/>
              <w:rPr>
                <w:rFonts w:ascii="Times New Roman" w:hAnsi="Times New Roman" w:eastAsia="宋体" w:cs="Times New Roman"/>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14:paraId="178749B6">
            <w:pPr>
              <w:spacing w:line="36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p>
        </w:tc>
        <w:tc>
          <w:tcPr>
            <w:tcW w:w="4890" w:type="dxa"/>
            <w:tcBorders>
              <w:top w:val="single" w:color="auto" w:sz="4" w:space="0"/>
              <w:left w:val="single" w:color="auto" w:sz="4" w:space="0"/>
              <w:bottom w:val="single" w:color="auto" w:sz="4" w:space="0"/>
              <w:right w:val="single" w:color="auto" w:sz="4" w:space="0"/>
            </w:tcBorders>
            <w:vAlign w:val="center"/>
          </w:tcPr>
          <w:p w14:paraId="3C23827D">
            <w:pPr>
              <w:snapToGrid w:val="0"/>
              <w:spacing w:before="120" w:beforeLines="50"/>
              <w:jc w:val="center"/>
              <w:rPr>
                <w:rFonts w:ascii="Times New Roman" w:hAnsi="Times New Roman" w:eastAsia="宋体" w:cs="Times New Roman"/>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3951D82B">
            <w:pPr>
              <w:snapToGrid w:val="0"/>
              <w:spacing w:before="120" w:beforeLines="50"/>
              <w:jc w:val="center"/>
              <w:rPr>
                <w:rFonts w:ascii="Times New Roman" w:hAnsi="Times New Roman" w:eastAsia="宋体" w:cs="Times New Roman"/>
                <w:color w:val="auto"/>
                <w:szCs w:val="21"/>
                <w:highlight w:val="none"/>
              </w:rPr>
            </w:pPr>
          </w:p>
        </w:tc>
      </w:tr>
    </w:tbl>
    <w:p w14:paraId="608DBF1C">
      <w:pPr>
        <w:tabs>
          <w:tab w:val="left" w:pos="2127"/>
        </w:tabs>
        <w:spacing w:line="340" w:lineRule="exact"/>
        <w:ind w:firstLine="420" w:firstLineChars="200"/>
        <w:jc w:val="left"/>
        <w:rPr>
          <w:rFonts w:ascii="Times New Roman" w:hAnsi="Times New Roman" w:eastAsia="宋体" w:cs="Times New Roman"/>
          <w:color w:val="auto"/>
          <w:szCs w:val="21"/>
          <w:highlight w:val="none"/>
        </w:rPr>
      </w:pPr>
      <w:bookmarkStart w:id="106" w:name="_Hlk48144603"/>
      <w:bookmarkStart w:id="107" w:name="_Hlk88990584"/>
      <w:r>
        <w:rPr>
          <w:rFonts w:ascii="Times New Roman" w:hAnsi="Times New Roman" w:eastAsia="宋体" w:cs="Times New Roman"/>
          <w:color w:val="auto"/>
          <w:szCs w:val="21"/>
          <w:highlight w:val="none"/>
        </w:rPr>
        <w:t>注：</w:t>
      </w:r>
      <w:bookmarkStart w:id="108" w:name="_Hlk19049081"/>
      <w:r>
        <w:rPr>
          <w:rFonts w:ascii="Times New Roman" w:hAnsi="Times New Roman" w:eastAsia="宋体" w:cs="Times New Roman"/>
          <w:color w:val="auto"/>
          <w:szCs w:val="21"/>
          <w:highlight w:val="none"/>
        </w:rPr>
        <w:t>（1）本表应对招标文件</w:t>
      </w:r>
      <w:r>
        <w:rPr>
          <w:rFonts w:ascii="宋体" w:hAnsi="Courier New" w:eastAsia="宋体" w:cs="Courier New"/>
          <w:color w:val="auto"/>
          <w:szCs w:val="21"/>
          <w:highlight w:val="none"/>
        </w:rPr>
        <w:t>第</w:t>
      </w:r>
      <w:r>
        <w:rPr>
          <w:rFonts w:hint="eastAsia" w:ascii="宋体" w:hAnsi="Courier New" w:eastAsia="宋体" w:cs="Courier New"/>
          <w:color w:val="auto"/>
          <w:szCs w:val="21"/>
          <w:highlight w:val="none"/>
        </w:rPr>
        <w:t>二</w:t>
      </w:r>
      <w:r>
        <w:rPr>
          <w:rFonts w:ascii="宋体" w:hAnsi="Courier New" w:eastAsia="宋体" w:cs="Courier New"/>
          <w:color w:val="auto"/>
          <w:szCs w:val="21"/>
          <w:highlight w:val="none"/>
        </w:rPr>
        <w:t>章</w:t>
      </w:r>
      <w:r>
        <w:rPr>
          <w:rFonts w:hint="eastAsia" w:ascii="宋体" w:hAnsi="Courier New" w:eastAsia="宋体" w:cs="Courier New"/>
          <w:color w:val="auto"/>
          <w:szCs w:val="21"/>
          <w:highlight w:val="none"/>
        </w:rPr>
        <w:t>《采购需求》</w:t>
      </w:r>
      <w:r>
        <w:rPr>
          <w:rFonts w:ascii="Times New Roman" w:hAnsi="Times New Roman" w:eastAsia="宋体" w:cs="Times New Roman"/>
          <w:color w:val="auto"/>
          <w:szCs w:val="21"/>
          <w:highlight w:val="none"/>
        </w:rPr>
        <w:t>中所列商务要求进行响应，并根据响应情况在“偏离说明”栏填写正偏离或负偏离及原因，完全符合的填写</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无偏离</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w:t>
      </w:r>
    </w:p>
    <w:p w14:paraId="38E98FFB">
      <w:pPr>
        <w:tabs>
          <w:tab w:val="left" w:pos="2127"/>
        </w:tabs>
        <w:spacing w:line="340" w:lineRule="exact"/>
        <w:ind w:firstLine="420" w:firstLineChars="20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w:t>
      </w:r>
      <w:r>
        <w:rPr>
          <w:rFonts w:ascii="宋体" w:hAnsi="Courier New" w:eastAsia="宋体" w:cs="Courier New"/>
          <w:color w:val="auto"/>
          <w:szCs w:val="21"/>
          <w:highlight w:val="none"/>
        </w:rPr>
        <w:t>第</w:t>
      </w:r>
      <w:r>
        <w:rPr>
          <w:rFonts w:hint="eastAsia" w:ascii="宋体" w:hAnsi="Courier New" w:eastAsia="宋体" w:cs="Courier New"/>
          <w:color w:val="auto"/>
          <w:szCs w:val="21"/>
          <w:highlight w:val="none"/>
        </w:rPr>
        <w:t>二</w:t>
      </w:r>
      <w:r>
        <w:rPr>
          <w:rFonts w:ascii="宋体" w:hAnsi="Courier New" w:eastAsia="宋体" w:cs="Courier New"/>
          <w:color w:val="auto"/>
          <w:szCs w:val="21"/>
          <w:highlight w:val="none"/>
        </w:rPr>
        <w:t>章</w:t>
      </w:r>
      <w:r>
        <w:rPr>
          <w:rFonts w:hint="eastAsia" w:ascii="宋体" w:hAnsi="Courier New" w:eastAsia="宋体" w:cs="Courier New"/>
          <w:color w:val="auto"/>
          <w:szCs w:val="21"/>
          <w:highlight w:val="none"/>
        </w:rPr>
        <w:t>《采购需求》</w:t>
      </w:r>
      <w:r>
        <w:rPr>
          <w:rFonts w:hint="eastAsia" w:ascii="Times New Roman" w:hAnsi="Times New Roman" w:eastAsia="宋体" w:cs="Times New Roman"/>
          <w:color w:val="auto"/>
          <w:szCs w:val="21"/>
          <w:highlight w:val="none"/>
        </w:rPr>
        <w:t>中的总体要求无需响应。</w:t>
      </w:r>
    </w:p>
    <w:p w14:paraId="73455EDB">
      <w:pPr>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w:t>
      </w:r>
      <w:r>
        <w:rPr>
          <w:rFonts w:ascii="Times New Roman" w:hAnsi="Times New Roman" w:eastAsia="宋体" w:cs="Times New Roman"/>
          <w:color w:val="auto"/>
          <w:szCs w:val="24"/>
          <w:highlight w:val="none"/>
        </w:rPr>
        <w:t>3</w:t>
      </w:r>
      <w:r>
        <w:rPr>
          <w:rFonts w:hint="eastAsia" w:ascii="Times New Roman" w:hAnsi="Times New Roman" w:eastAsia="宋体" w:cs="Times New Roman"/>
          <w:color w:val="auto"/>
          <w:szCs w:val="24"/>
          <w:highlight w:val="none"/>
        </w:rPr>
        <w:t>）偏离认定说明详见评审方法及标准。</w:t>
      </w:r>
    </w:p>
    <w:bookmarkEnd w:id="108"/>
    <w:p w14:paraId="4754ED1F">
      <w:pPr>
        <w:tabs>
          <w:tab w:val="left" w:pos="2127"/>
        </w:tabs>
        <w:spacing w:line="340" w:lineRule="exact"/>
        <w:ind w:firstLine="420" w:firstLineChars="20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（4）本表可扩展。</w:t>
      </w:r>
    </w:p>
    <w:bookmarkEnd w:id="106"/>
    <w:p w14:paraId="201997F4">
      <w:pPr>
        <w:snapToGrid w:val="0"/>
        <w:spacing w:before="50" w:after="120" w:afterLines="50" w:line="440" w:lineRule="exact"/>
        <w:jc w:val="left"/>
        <w:rPr>
          <w:rFonts w:ascii="Times New Roman" w:hAnsi="Times New Roman" w:eastAsia="宋体" w:cs="Times New Roman"/>
          <w:color w:val="auto"/>
          <w:spacing w:val="20"/>
          <w:szCs w:val="21"/>
          <w:highlight w:val="none"/>
          <w:u w:val="single"/>
        </w:rPr>
      </w:pPr>
      <w:r>
        <w:rPr>
          <w:rFonts w:hint="eastAsia" w:ascii="Times New Roman" w:hAnsi="Times New Roman" w:eastAsia="宋体" w:cs="Times New Roman"/>
          <w:color w:val="auto"/>
          <w:szCs w:val="24"/>
          <w:highlight w:val="none"/>
        </w:rPr>
        <w:t>投标人</w:t>
      </w:r>
      <w:r>
        <w:rPr>
          <w:rFonts w:hint="eastAsia" w:ascii="Times New Roman" w:hAnsi="Times New Roman" w:eastAsia="宋体" w:cs="Times New Roman"/>
          <w:color w:val="auto"/>
          <w:szCs w:val="21"/>
          <w:highlight w:val="none"/>
        </w:rPr>
        <w:t>名称(电子签章</w:t>
      </w:r>
      <w:r>
        <w:rPr>
          <w:rFonts w:ascii="Times New Roman" w:hAnsi="Times New Roman" w:eastAsia="宋体" w:cs="Times New Roman"/>
          <w:color w:val="auto"/>
          <w:szCs w:val="21"/>
          <w:highlight w:val="none"/>
        </w:rPr>
        <w:t>)</w:t>
      </w:r>
      <w:r>
        <w:rPr>
          <w:rFonts w:ascii="Times New Roman" w:hAnsi="Times New Roman" w:eastAsia="宋体" w:cs="Times New Roman"/>
          <w:color w:val="auto"/>
          <w:spacing w:val="20"/>
          <w:szCs w:val="21"/>
          <w:highlight w:val="none"/>
        </w:rPr>
        <w:t>：</w:t>
      </w:r>
      <w:r>
        <w:rPr>
          <w:rFonts w:ascii="Times New Roman" w:hAnsi="Times New Roman" w:eastAsia="宋体" w:cs="Times New Roman"/>
          <w:color w:val="auto"/>
          <w:spacing w:val="20"/>
          <w:szCs w:val="21"/>
          <w:highlight w:val="none"/>
          <w:u w:val="single"/>
        </w:rPr>
        <w:t xml:space="preserve">            </w:t>
      </w:r>
      <w:r>
        <w:rPr>
          <w:rFonts w:ascii="Times New Roman" w:hAnsi="Times New Roman" w:eastAsia="宋体" w:cs="Times New Roman"/>
          <w:color w:val="auto"/>
          <w:spacing w:val="20"/>
          <w:szCs w:val="21"/>
          <w:highlight w:val="none"/>
        </w:rPr>
        <w:t xml:space="preserve">             日  期：</w:t>
      </w:r>
      <w:r>
        <w:rPr>
          <w:rFonts w:ascii="Times New Roman" w:hAnsi="Times New Roman" w:eastAsia="宋体" w:cs="Times New Roman"/>
          <w:color w:val="auto"/>
          <w:spacing w:val="20"/>
          <w:szCs w:val="21"/>
          <w:highlight w:val="none"/>
          <w:u w:val="single"/>
        </w:rPr>
        <w:t xml:space="preserve">        </w:t>
      </w:r>
    </w:p>
    <w:bookmarkEnd w:id="107"/>
    <w:p w14:paraId="10E72F61">
      <w:pPr>
        <w:snapToGrid w:val="0"/>
        <w:spacing w:before="50" w:after="120" w:afterLines="50" w:line="440" w:lineRule="exact"/>
        <w:jc w:val="left"/>
        <w:rPr>
          <w:rFonts w:ascii="Times New Roman" w:hAnsi="Times New Roman" w:eastAsia="宋体" w:cs="Times New Roman"/>
          <w:strike/>
          <w:color w:val="auto"/>
          <w:szCs w:val="21"/>
          <w:highlight w:val="none"/>
        </w:rPr>
      </w:pPr>
    </w:p>
    <w:p w14:paraId="14B58D4A">
      <w:pPr>
        <w:snapToGrid w:val="0"/>
        <w:spacing w:before="152" w:after="16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2．企业管理体系认证或资质证明材料。</w:t>
      </w:r>
    </w:p>
    <w:p w14:paraId="13FA102D">
      <w:pPr>
        <w:snapToGrid w:val="0"/>
        <w:spacing w:before="50" w:after="120" w:afterLines="50" w:line="440" w:lineRule="exact"/>
        <w:jc w:val="left"/>
        <w:rPr>
          <w:rFonts w:ascii="Times New Roman" w:hAnsi="Times New Roman" w:eastAsia="宋体" w:cs="Times New Roman"/>
          <w:color w:val="auto"/>
          <w:szCs w:val="21"/>
          <w:highlight w:val="none"/>
        </w:rPr>
      </w:pPr>
    </w:p>
    <w:p w14:paraId="28A32862">
      <w:pPr>
        <w:snapToGrid w:val="0"/>
        <w:spacing w:before="50" w:after="120" w:afterLines="5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3．项目拟投入服务团队人员结构表（包括但不限于</w:t>
      </w:r>
      <w:r>
        <w:rPr>
          <w:rFonts w:hint="eastAsia" w:ascii="Times New Roman" w:hAnsi="Times New Roman" w:eastAsia="宋体" w:cs="Times New Roman"/>
          <w:color w:val="auto"/>
          <w:szCs w:val="21"/>
          <w:highlight w:val="none"/>
        </w:rPr>
        <w:t>专业</w:t>
      </w:r>
      <w:r>
        <w:rPr>
          <w:rFonts w:ascii="Times New Roman" w:hAnsi="Times New Roman" w:eastAsia="宋体" w:cs="Times New Roman"/>
          <w:color w:val="auto"/>
          <w:szCs w:val="21"/>
          <w:highlight w:val="none"/>
        </w:rPr>
        <w:t>、职称等）</w:t>
      </w:r>
    </w:p>
    <w:p w14:paraId="058DA09F">
      <w:pPr>
        <w:snapToGrid w:val="0"/>
        <w:spacing w:before="120" w:beforeLines="50" w:after="50" w:line="4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项目拟投入服务团队人员（含项目负责人）一览表</w:t>
      </w:r>
    </w:p>
    <w:tbl>
      <w:tblPr>
        <w:tblStyle w:val="4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105795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14:paraId="46895036">
            <w:pPr>
              <w:snapToGrid w:val="0"/>
              <w:spacing w:before="120" w:beforeLines="50" w:after="5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614347E3">
            <w:pPr>
              <w:snapToGrid w:val="0"/>
              <w:spacing w:before="120" w:beforeLines="50" w:after="5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vAlign w:val="center"/>
          </w:tcPr>
          <w:p w14:paraId="43A93A07">
            <w:pPr>
              <w:snapToGrid w:val="0"/>
              <w:spacing w:before="120" w:beforeLines="50" w:after="5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专业技术资格或者职业资格或者执业资格证或者其他证书</w:t>
            </w:r>
          </w:p>
        </w:tc>
        <w:tc>
          <w:tcPr>
            <w:tcW w:w="1516" w:type="dxa"/>
            <w:tcBorders>
              <w:top w:val="single" w:color="auto" w:sz="4" w:space="0"/>
              <w:left w:val="single" w:color="auto" w:sz="4" w:space="0"/>
              <w:bottom w:val="single" w:color="auto" w:sz="4" w:space="0"/>
              <w:right w:val="single" w:color="auto" w:sz="4" w:space="0"/>
            </w:tcBorders>
            <w:vAlign w:val="center"/>
          </w:tcPr>
          <w:p w14:paraId="7D3D3D18">
            <w:pPr>
              <w:snapToGrid w:val="0"/>
              <w:spacing w:before="120" w:beforeLines="50" w:after="5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证书编号</w:t>
            </w:r>
          </w:p>
        </w:tc>
        <w:tc>
          <w:tcPr>
            <w:tcW w:w="1620" w:type="dxa"/>
            <w:tcBorders>
              <w:top w:val="single" w:color="auto" w:sz="4" w:space="0"/>
              <w:left w:val="single" w:color="auto" w:sz="4" w:space="0"/>
              <w:bottom w:val="single" w:color="auto" w:sz="4" w:space="0"/>
              <w:right w:val="single" w:color="auto" w:sz="4" w:space="0"/>
            </w:tcBorders>
            <w:vAlign w:val="center"/>
          </w:tcPr>
          <w:p w14:paraId="2F6C80F9">
            <w:pPr>
              <w:snapToGrid w:val="0"/>
              <w:spacing w:before="120" w:beforeLines="50" w:after="5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证书获取年限</w:t>
            </w:r>
          </w:p>
        </w:tc>
        <w:tc>
          <w:tcPr>
            <w:tcW w:w="1980" w:type="dxa"/>
            <w:tcBorders>
              <w:top w:val="single" w:color="auto" w:sz="4" w:space="0"/>
              <w:left w:val="single" w:color="auto" w:sz="4" w:space="0"/>
              <w:bottom w:val="single" w:color="auto" w:sz="4" w:space="0"/>
              <w:right w:val="single" w:color="auto" w:sz="4" w:space="0"/>
            </w:tcBorders>
            <w:vAlign w:val="center"/>
          </w:tcPr>
          <w:p w14:paraId="59CECD1D">
            <w:pPr>
              <w:snapToGrid w:val="0"/>
              <w:spacing w:before="120" w:beforeLines="50" w:after="50"/>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备注</w:t>
            </w:r>
          </w:p>
        </w:tc>
      </w:tr>
      <w:tr w14:paraId="07FF95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02F77FCF">
            <w:pPr>
              <w:snapToGrid w:val="0"/>
              <w:spacing w:before="120" w:beforeLines="50" w:after="50"/>
              <w:rPr>
                <w:rFonts w:ascii="Times New Roman" w:hAnsi="Times New Roman" w:eastAsia="宋体"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02FB41F2">
            <w:pPr>
              <w:snapToGrid w:val="0"/>
              <w:spacing w:before="120" w:beforeLines="50" w:after="50"/>
              <w:rPr>
                <w:rFonts w:ascii="Times New Roman" w:hAnsi="Times New Roman"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7A26C0BB">
            <w:pPr>
              <w:snapToGrid w:val="0"/>
              <w:spacing w:before="120" w:beforeLines="50" w:after="50"/>
              <w:rPr>
                <w:rFonts w:ascii="Times New Roman" w:hAnsi="Times New Roman" w:eastAsia="宋体" w:cs="Times New Roman"/>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4410372F">
            <w:pPr>
              <w:snapToGrid w:val="0"/>
              <w:spacing w:before="120" w:beforeLines="50" w:after="50"/>
              <w:rPr>
                <w:rFonts w:ascii="Times New Roman" w:hAnsi="Times New Roman" w:eastAsia="宋体" w:cs="Times New Roman"/>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22E81B73">
            <w:pPr>
              <w:snapToGrid w:val="0"/>
              <w:spacing w:before="120" w:beforeLines="50" w:after="50"/>
              <w:rPr>
                <w:rFonts w:ascii="Times New Roman" w:hAnsi="Times New Roman" w:eastAsia="宋体" w:cs="Times New Roman"/>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45FFD324">
            <w:pPr>
              <w:snapToGrid w:val="0"/>
              <w:spacing w:before="120" w:beforeLines="50" w:after="50"/>
              <w:rPr>
                <w:rFonts w:ascii="Times New Roman" w:hAnsi="Times New Roman" w:eastAsia="宋体" w:cs="Times New Roman"/>
                <w:color w:val="auto"/>
                <w:szCs w:val="21"/>
                <w:highlight w:val="none"/>
              </w:rPr>
            </w:pPr>
          </w:p>
        </w:tc>
      </w:tr>
      <w:tr w14:paraId="47FBB1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53562652">
            <w:pPr>
              <w:snapToGrid w:val="0"/>
              <w:spacing w:before="120" w:beforeLines="50" w:after="50"/>
              <w:rPr>
                <w:rFonts w:ascii="Times New Roman" w:hAnsi="Times New Roman" w:eastAsia="宋体"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1BC465FE">
            <w:pPr>
              <w:snapToGrid w:val="0"/>
              <w:spacing w:before="120" w:beforeLines="50" w:after="50"/>
              <w:rPr>
                <w:rFonts w:ascii="Times New Roman" w:hAnsi="Times New Roman"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358CC726">
            <w:pPr>
              <w:snapToGrid w:val="0"/>
              <w:spacing w:before="120" w:beforeLines="50" w:after="50"/>
              <w:rPr>
                <w:rFonts w:ascii="Times New Roman" w:hAnsi="Times New Roman" w:eastAsia="宋体" w:cs="Times New Roman"/>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10FEF239">
            <w:pPr>
              <w:snapToGrid w:val="0"/>
              <w:spacing w:before="120" w:beforeLines="50" w:after="50"/>
              <w:rPr>
                <w:rFonts w:ascii="Times New Roman" w:hAnsi="Times New Roman" w:eastAsia="宋体" w:cs="Times New Roman"/>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6F67A91E">
            <w:pPr>
              <w:snapToGrid w:val="0"/>
              <w:spacing w:before="120" w:beforeLines="50" w:after="50"/>
              <w:rPr>
                <w:rFonts w:ascii="Times New Roman" w:hAnsi="Times New Roman" w:eastAsia="宋体" w:cs="Times New Roman"/>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5C245C5D">
            <w:pPr>
              <w:snapToGrid w:val="0"/>
              <w:spacing w:before="120" w:beforeLines="50" w:after="50"/>
              <w:rPr>
                <w:rFonts w:ascii="Times New Roman" w:hAnsi="Times New Roman" w:eastAsia="宋体" w:cs="Times New Roman"/>
                <w:color w:val="auto"/>
                <w:szCs w:val="21"/>
                <w:highlight w:val="none"/>
              </w:rPr>
            </w:pPr>
          </w:p>
        </w:tc>
      </w:tr>
      <w:tr w14:paraId="37C71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6B98DF5A">
            <w:pPr>
              <w:snapToGrid w:val="0"/>
              <w:spacing w:before="120" w:beforeLines="50" w:after="50"/>
              <w:rPr>
                <w:rFonts w:ascii="Times New Roman" w:hAnsi="Times New Roman" w:eastAsia="宋体"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39ADF4AD">
            <w:pPr>
              <w:snapToGrid w:val="0"/>
              <w:spacing w:before="120" w:beforeLines="50" w:after="50"/>
              <w:rPr>
                <w:rFonts w:ascii="Times New Roman" w:hAnsi="Times New Roman"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0EE312EB">
            <w:pPr>
              <w:snapToGrid w:val="0"/>
              <w:spacing w:before="120" w:beforeLines="50" w:after="50"/>
              <w:ind w:left="5250" w:leftChars="2500"/>
              <w:rPr>
                <w:rFonts w:ascii="Times New Roman" w:hAnsi="Times New Roman" w:eastAsia="宋体" w:cs="Times New Roman"/>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16E3CA3B">
            <w:pPr>
              <w:snapToGrid w:val="0"/>
              <w:spacing w:before="120" w:beforeLines="50" w:after="50"/>
              <w:rPr>
                <w:rFonts w:ascii="Times New Roman" w:hAnsi="Times New Roman" w:eastAsia="宋体" w:cs="Times New Roman"/>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5FB9811D">
            <w:pPr>
              <w:snapToGrid w:val="0"/>
              <w:spacing w:before="120" w:beforeLines="50" w:after="50"/>
              <w:rPr>
                <w:rFonts w:ascii="Times New Roman" w:hAnsi="Times New Roman" w:eastAsia="宋体" w:cs="Times New Roman"/>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257B53CD">
            <w:pPr>
              <w:snapToGrid w:val="0"/>
              <w:spacing w:before="120" w:beforeLines="50" w:after="50"/>
              <w:rPr>
                <w:rFonts w:ascii="Times New Roman" w:hAnsi="Times New Roman" w:eastAsia="宋体" w:cs="Times New Roman"/>
                <w:color w:val="auto"/>
                <w:szCs w:val="21"/>
                <w:highlight w:val="none"/>
              </w:rPr>
            </w:pPr>
          </w:p>
        </w:tc>
      </w:tr>
    </w:tbl>
    <w:p w14:paraId="5EAB48DB">
      <w:pPr>
        <w:snapToGrid w:val="0"/>
        <w:spacing w:before="50" w:after="120" w:afterLines="50" w:line="440" w:lineRule="exact"/>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注：在填写时，如本表格不适合投标单位的实际情况，可根据本表格式自行划表填写。</w:t>
      </w:r>
    </w:p>
    <w:p w14:paraId="263984AF">
      <w:pPr>
        <w:rPr>
          <w:rFonts w:ascii="Times New Roman" w:hAnsi="Times New Roman" w:eastAsia="宋体" w:cs="Times New Roman"/>
          <w:color w:val="auto"/>
          <w:spacing w:val="20"/>
          <w:szCs w:val="21"/>
          <w:highlight w:val="none"/>
          <w:u w:val="single"/>
        </w:rPr>
      </w:pPr>
      <w:r>
        <w:rPr>
          <w:rFonts w:hint="eastAsia" w:ascii="Times New Roman" w:hAnsi="Times New Roman" w:eastAsia="宋体" w:cs="Times New Roman"/>
          <w:color w:val="auto"/>
          <w:szCs w:val="21"/>
          <w:highlight w:val="none"/>
        </w:rPr>
        <w:t>投标人名称(电子签章</w:t>
      </w:r>
      <w:r>
        <w:rPr>
          <w:rFonts w:ascii="Times New Roman" w:hAnsi="Times New Roman" w:eastAsia="宋体" w:cs="Times New Roman"/>
          <w:color w:val="auto"/>
          <w:szCs w:val="21"/>
          <w:highlight w:val="none"/>
        </w:rPr>
        <w:t>)</w:t>
      </w:r>
      <w:r>
        <w:rPr>
          <w:rFonts w:ascii="Times New Roman" w:hAnsi="Times New Roman" w:eastAsia="宋体" w:cs="Times New Roman"/>
          <w:color w:val="auto"/>
          <w:spacing w:val="20"/>
          <w:szCs w:val="21"/>
          <w:highlight w:val="none"/>
        </w:rPr>
        <w:t>：</w:t>
      </w:r>
      <w:r>
        <w:rPr>
          <w:rFonts w:ascii="Times New Roman" w:hAnsi="Times New Roman" w:eastAsia="宋体" w:cs="Times New Roman"/>
          <w:color w:val="auto"/>
          <w:spacing w:val="20"/>
          <w:szCs w:val="21"/>
          <w:highlight w:val="none"/>
          <w:u w:val="single"/>
        </w:rPr>
        <w:t xml:space="preserve">        </w:t>
      </w:r>
      <w:r>
        <w:rPr>
          <w:rFonts w:ascii="Times New Roman" w:hAnsi="Times New Roman" w:eastAsia="宋体" w:cs="Times New Roman"/>
          <w:color w:val="auto"/>
          <w:spacing w:val="20"/>
          <w:szCs w:val="21"/>
          <w:highlight w:val="none"/>
        </w:rPr>
        <w:t xml:space="preserve">           日  期：</w:t>
      </w:r>
      <w:r>
        <w:rPr>
          <w:rFonts w:ascii="Times New Roman" w:hAnsi="Times New Roman" w:eastAsia="宋体" w:cs="Times New Roman"/>
          <w:color w:val="auto"/>
          <w:spacing w:val="20"/>
          <w:szCs w:val="21"/>
          <w:highlight w:val="none"/>
          <w:u w:val="single"/>
        </w:rPr>
        <w:t xml:space="preserve">        </w:t>
      </w:r>
    </w:p>
    <w:p w14:paraId="50E5B7D8">
      <w:pPr>
        <w:rPr>
          <w:rFonts w:ascii="Times New Roman" w:hAnsi="Times New Roman" w:eastAsia="宋体" w:cs="Times New Roman"/>
          <w:color w:val="auto"/>
          <w:spacing w:val="20"/>
          <w:szCs w:val="21"/>
          <w:highlight w:val="none"/>
          <w:u w:val="single"/>
        </w:rPr>
      </w:pPr>
    </w:p>
    <w:p w14:paraId="3BBA59C6">
      <w:pPr>
        <w:snapToGrid w:val="0"/>
        <w:spacing w:before="50" w:after="120" w:afterLines="50" w:line="440" w:lineRule="exact"/>
        <w:jc w:val="left"/>
        <w:rPr>
          <w:rFonts w:ascii="Times New Roman" w:hAnsi="Times New Roman" w:eastAsia="宋体" w:cs="Times New Roman"/>
          <w:strike/>
          <w:color w:val="auto"/>
          <w:szCs w:val="21"/>
          <w:highlight w:val="none"/>
        </w:rPr>
      </w:pPr>
    </w:p>
    <w:p w14:paraId="557CBF12">
      <w:pPr>
        <w:snapToGrid w:val="0"/>
        <w:spacing w:before="50" w:after="120" w:afterLines="50" w:line="440" w:lineRule="exact"/>
        <w:jc w:val="left"/>
        <w:rPr>
          <w:rFonts w:ascii="Times New Roman" w:hAnsi="Times New Roman" w:eastAsia="宋体" w:cs="Times New Roman"/>
          <w:color w:val="auto"/>
          <w:szCs w:val="21"/>
          <w:highlight w:val="none"/>
        </w:rPr>
      </w:pPr>
    </w:p>
    <w:p w14:paraId="2DBAECE8">
      <w:pPr>
        <w:snapToGrid w:val="0"/>
        <w:spacing w:before="50" w:after="120" w:afterLines="50" w:line="440" w:lineRule="exact"/>
        <w:jc w:val="left"/>
        <w:rPr>
          <w:rFonts w:ascii="Times New Roman" w:hAnsi="Times New Roman" w:eastAsia="宋体" w:cs="Times New Roman"/>
          <w:color w:val="auto"/>
          <w:szCs w:val="21"/>
          <w:highlight w:val="none"/>
        </w:rPr>
      </w:pPr>
    </w:p>
    <w:p w14:paraId="40820147">
      <w:pPr>
        <w:snapToGrid w:val="0"/>
        <w:spacing w:before="50" w:after="120" w:afterLines="50" w:line="440" w:lineRule="exact"/>
        <w:jc w:val="left"/>
        <w:rPr>
          <w:rFonts w:ascii="Times New Roman" w:hAnsi="Times New Roman" w:eastAsia="宋体" w:cs="Times New Roman"/>
          <w:color w:val="auto"/>
          <w:spacing w:val="20"/>
          <w:szCs w:val="21"/>
          <w:highlight w:val="none"/>
          <w:u w:val="single"/>
        </w:rPr>
        <w:sectPr>
          <w:pgSz w:w="11906" w:h="16838"/>
          <w:pgMar w:top="1418" w:right="1133" w:bottom="1246" w:left="1418" w:header="851" w:footer="992" w:gutter="0"/>
          <w:cols w:space="720" w:num="1"/>
          <w:docGrid w:linePitch="312" w:charSpace="0"/>
        </w:sectPr>
      </w:pPr>
    </w:p>
    <w:p w14:paraId="7AF62DE4">
      <w:pPr>
        <w:snapToGrid w:val="0"/>
        <w:spacing w:before="50" w:after="120" w:afterLines="50"/>
        <w:jc w:val="left"/>
        <w:rPr>
          <w:rFonts w:ascii="Times New Roman" w:hAnsi="Times New Roman" w:eastAsia="宋体" w:cs="Times New Roman"/>
          <w:b/>
          <w:color w:val="auto"/>
          <w:szCs w:val="21"/>
          <w:highlight w:val="none"/>
        </w:rPr>
      </w:pPr>
      <w:r>
        <w:rPr>
          <w:rFonts w:ascii="Times New Roman" w:hAnsi="Times New Roman" w:eastAsia="宋体" w:cs="Times New Roman"/>
          <w:color w:val="auto"/>
          <w:szCs w:val="21"/>
          <w:highlight w:val="none"/>
        </w:rPr>
        <w:t>4．近年</w:t>
      </w:r>
      <w:r>
        <w:rPr>
          <w:rFonts w:hint="eastAsia" w:ascii="Times New Roman" w:hAnsi="Times New Roman" w:eastAsia="宋体" w:cs="Times New Roman"/>
          <w:color w:val="auto"/>
          <w:szCs w:val="24"/>
          <w:highlight w:val="none"/>
        </w:rPr>
        <w:t>投标人</w:t>
      </w:r>
      <w:r>
        <w:rPr>
          <w:rFonts w:ascii="Times New Roman" w:hAnsi="Times New Roman" w:eastAsia="宋体" w:cs="Times New Roman"/>
          <w:color w:val="auto"/>
          <w:szCs w:val="21"/>
          <w:highlight w:val="none"/>
        </w:rPr>
        <w:t>类似成功案例的业绩证明（附中标书或合同复印件）。</w:t>
      </w:r>
    </w:p>
    <w:p w14:paraId="514B739F">
      <w:pPr>
        <w:snapToGrid w:val="0"/>
        <w:spacing w:before="50" w:after="120" w:afterLines="50"/>
        <w:jc w:val="center"/>
        <w:rPr>
          <w:rFonts w:ascii="Times New Roman" w:hAnsi="Times New Roman" w:eastAsia="宋体" w:cs="Times New Roman"/>
          <w:color w:val="auto"/>
          <w:szCs w:val="21"/>
          <w:highlight w:val="none"/>
        </w:rPr>
      </w:pPr>
      <w:r>
        <w:rPr>
          <w:rFonts w:ascii="Times New Roman" w:hAnsi="Times New Roman" w:eastAsia="宋体" w:cs="Times New Roman"/>
          <w:b/>
          <w:color w:val="auto"/>
          <w:szCs w:val="21"/>
          <w:highlight w:val="none"/>
        </w:rPr>
        <w:t>类似成功案例业绩一览表</w:t>
      </w:r>
    </w:p>
    <w:tbl>
      <w:tblPr>
        <w:tblStyle w:val="43"/>
        <w:tblW w:w="905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6"/>
        <w:gridCol w:w="935"/>
        <w:gridCol w:w="1428"/>
        <w:gridCol w:w="1896"/>
        <w:gridCol w:w="1488"/>
        <w:gridCol w:w="1728"/>
        <w:gridCol w:w="1092"/>
      </w:tblGrid>
      <w:tr w14:paraId="3B8841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09" w:hRule="atLeast"/>
        </w:trPr>
        <w:tc>
          <w:tcPr>
            <w:tcW w:w="486" w:type="dxa"/>
            <w:tcBorders>
              <w:top w:val="single" w:color="auto" w:sz="4" w:space="0"/>
              <w:left w:val="single" w:color="auto" w:sz="4" w:space="0"/>
              <w:bottom w:val="single" w:color="auto" w:sz="4" w:space="0"/>
              <w:right w:val="single" w:color="auto" w:sz="4" w:space="0"/>
            </w:tcBorders>
            <w:vAlign w:val="center"/>
          </w:tcPr>
          <w:p w14:paraId="569F74E6">
            <w:pPr>
              <w:snapToGrid w:val="0"/>
              <w:spacing w:line="24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序号</w:t>
            </w:r>
          </w:p>
        </w:tc>
        <w:tc>
          <w:tcPr>
            <w:tcW w:w="935" w:type="dxa"/>
            <w:tcBorders>
              <w:top w:val="single" w:color="auto" w:sz="4" w:space="0"/>
              <w:left w:val="single" w:color="auto" w:sz="4" w:space="0"/>
              <w:bottom w:val="single" w:color="auto" w:sz="4" w:space="0"/>
              <w:right w:val="single" w:color="auto" w:sz="4" w:space="0"/>
            </w:tcBorders>
            <w:vAlign w:val="center"/>
          </w:tcPr>
          <w:p w14:paraId="3E54891A">
            <w:pPr>
              <w:snapToGrid w:val="0"/>
              <w:spacing w:line="24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采购人名称</w:t>
            </w:r>
          </w:p>
        </w:tc>
        <w:tc>
          <w:tcPr>
            <w:tcW w:w="1428" w:type="dxa"/>
            <w:tcBorders>
              <w:top w:val="single" w:color="auto" w:sz="4" w:space="0"/>
              <w:left w:val="single" w:color="auto" w:sz="4" w:space="0"/>
              <w:bottom w:val="single" w:color="auto" w:sz="4" w:space="0"/>
              <w:right w:val="single" w:color="auto" w:sz="4" w:space="0"/>
            </w:tcBorders>
            <w:vAlign w:val="center"/>
          </w:tcPr>
          <w:p w14:paraId="4C1C735A">
            <w:pPr>
              <w:snapToGrid w:val="0"/>
              <w:spacing w:line="24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项目名称</w:t>
            </w:r>
          </w:p>
        </w:tc>
        <w:tc>
          <w:tcPr>
            <w:tcW w:w="1896" w:type="dxa"/>
            <w:tcBorders>
              <w:top w:val="single" w:color="auto" w:sz="4" w:space="0"/>
              <w:left w:val="single" w:color="auto" w:sz="4" w:space="0"/>
              <w:bottom w:val="single" w:color="auto" w:sz="4" w:space="0"/>
              <w:right w:val="single" w:color="auto" w:sz="4" w:space="0"/>
            </w:tcBorders>
            <w:vAlign w:val="center"/>
          </w:tcPr>
          <w:p w14:paraId="63C93710">
            <w:pPr>
              <w:snapToGrid w:val="0"/>
              <w:spacing w:line="24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合同金额</w:t>
            </w:r>
          </w:p>
          <w:p w14:paraId="2597BCDF">
            <w:pPr>
              <w:snapToGrid w:val="0"/>
              <w:spacing w:line="24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（万元）</w:t>
            </w:r>
          </w:p>
        </w:tc>
        <w:tc>
          <w:tcPr>
            <w:tcW w:w="1488" w:type="dxa"/>
            <w:tcBorders>
              <w:top w:val="single" w:color="auto" w:sz="4" w:space="0"/>
              <w:left w:val="single" w:color="auto" w:sz="4" w:space="0"/>
              <w:bottom w:val="single" w:color="auto" w:sz="4" w:space="0"/>
              <w:right w:val="single" w:color="auto" w:sz="4" w:space="0"/>
            </w:tcBorders>
            <w:vAlign w:val="center"/>
          </w:tcPr>
          <w:p w14:paraId="18E1621F">
            <w:pPr>
              <w:snapToGrid w:val="0"/>
              <w:spacing w:line="24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采购人联系人及</w:t>
            </w:r>
          </w:p>
          <w:p w14:paraId="4AC51D3E">
            <w:pPr>
              <w:snapToGrid w:val="0"/>
              <w:spacing w:line="24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联系电话</w:t>
            </w:r>
          </w:p>
        </w:tc>
        <w:tc>
          <w:tcPr>
            <w:tcW w:w="1728" w:type="dxa"/>
            <w:tcBorders>
              <w:top w:val="single" w:color="auto" w:sz="4" w:space="0"/>
              <w:left w:val="single" w:color="auto" w:sz="4" w:space="0"/>
              <w:bottom w:val="single" w:color="auto" w:sz="4" w:space="0"/>
              <w:right w:val="single" w:color="auto" w:sz="4" w:space="0"/>
            </w:tcBorders>
            <w:vAlign w:val="center"/>
          </w:tcPr>
          <w:p w14:paraId="24E10B47">
            <w:pPr>
              <w:snapToGrid w:val="0"/>
              <w:spacing w:line="24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承接时间</w:t>
            </w:r>
          </w:p>
        </w:tc>
        <w:tc>
          <w:tcPr>
            <w:tcW w:w="1092" w:type="dxa"/>
            <w:tcBorders>
              <w:top w:val="single" w:color="auto" w:sz="4" w:space="0"/>
              <w:left w:val="single" w:color="auto" w:sz="4" w:space="0"/>
              <w:bottom w:val="single" w:color="auto" w:sz="4" w:space="0"/>
              <w:right w:val="single" w:color="auto" w:sz="4" w:space="0"/>
            </w:tcBorders>
            <w:vAlign w:val="center"/>
          </w:tcPr>
          <w:p w14:paraId="687A6BD9">
            <w:pPr>
              <w:snapToGrid w:val="0"/>
              <w:spacing w:line="24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备注</w:t>
            </w:r>
          </w:p>
        </w:tc>
      </w:tr>
      <w:tr w14:paraId="6DF8B4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486" w:type="dxa"/>
            <w:tcBorders>
              <w:top w:val="single" w:color="auto" w:sz="4" w:space="0"/>
              <w:left w:val="single" w:color="auto" w:sz="4" w:space="0"/>
              <w:bottom w:val="single" w:color="auto" w:sz="4" w:space="0"/>
              <w:right w:val="single" w:color="auto" w:sz="4" w:space="0"/>
            </w:tcBorders>
          </w:tcPr>
          <w:p w14:paraId="75455A8F">
            <w:pPr>
              <w:snapToGrid w:val="0"/>
              <w:spacing w:line="240" w:lineRule="exact"/>
              <w:jc w:val="left"/>
              <w:rPr>
                <w:rFonts w:ascii="Times New Roman" w:hAnsi="Times New Roman" w:eastAsia="宋体" w:cs="Times New Roman"/>
                <w:color w:val="auto"/>
                <w:szCs w:val="21"/>
                <w:highlight w:val="none"/>
              </w:rPr>
            </w:pPr>
          </w:p>
        </w:tc>
        <w:tc>
          <w:tcPr>
            <w:tcW w:w="935" w:type="dxa"/>
            <w:tcBorders>
              <w:top w:val="single" w:color="auto" w:sz="4" w:space="0"/>
              <w:left w:val="single" w:color="auto" w:sz="4" w:space="0"/>
              <w:bottom w:val="single" w:color="auto" w:sz="4" w:space="0"/>
              <w:right w:val="single" w:color="auto" w:sz="4" w:space="0"/>
            </w:tcBorders>
          </w:tcPr>
          <w:p w14:paraId="00B00D59">
            <w:pPr>
              <w:snapToGrid w:val="0"/>
              <w:spacing w:line="240" w:lineRule="exact"/>
              <w:jc w:val="left"/>
              <w:rPr>
                <w:rFonts w:ascii="Times New Roman" w:hAnsi="Times New Roman" w:eastAsia="宋体" w:cs="Times New Roman"/>
                <w:color w:val="auto"/>
                <w:szCs w:val="21"/>
                <w:highlight w:val="none"/>
              </w:rPr>
            </w:pPr>
          </w:p>
        </w:tc>
        <w:tc>
          <w:tcPr>
            <w:tcW w:w="1428" w:type="dxa"/>
            <w:tcBorders>
              <w:top w:val="single" w:color="auto" w:sz="4" w:space="0"/>
              <w:left w:val="single" w:color="auto" w:sz="4" w:space="0"/>
              <w:bottom w:val="single" w:color="auto" w:sz="4" w:space="0"/>
              <w:right w:val="single" w:color="auto" w:sz="4" w:space="0"/>
            </w:tcBorders>
          </w:tcPr>
          <w:p w14:paraId="7CFCCA4C">
            <w:pPr>
              <w:snapToGrid w:val="0"/>
              <w:spacing w:line="240" w:lineRule="exact"/>
              <w:jc w:val="left"/>
              <w:rPr>
                <w:rFonts w:ascii="Times New Roman" w:hAnsi="Times New Roman" w:eastAsia="宋体" w:cs="Times New Roman"/>
                <w:color w:val="auto"/>
                <w:szCs w:val="21"/>
                <w:highlight w:val="none"/>
              </w:rPr>
            </w:pPr>
          </w:p>
        </w:tc>
        <w:tc>
          <w:tcPr>
            <w:tcW w:w="1896" w:type="dxa"/>
            <w:tcBorders>
              <w:top w:val="single" w:color="auto" w:sz="4" w:space="0"/>
              <w:left w:val="single" w:color="auto" w:sz="4" w:space="0"/>
              <w:bottom w:val="single" w:color="auto" w:sz="4" w:space="0"/>
              <w:right w:val="single" w:color="auto" w:sz="4" w:space="0"/>
            </w:tcBorders>
          </w:tcPr>
          <w:p w14:paraId="08E9C3F1">
            <w:pPr>
              <w:snapToGrid w:val="0"/>
              <w:spacing w:line="240" w:lineRule="exact"/>
              <w:jc w:val="left"/>
              <w:rPr>
                <w:rFonts w:ascii="Times New Roman" w:hAnsi="Times New Roman" w:eastAsia="宋体" w:cs="Times New Roman"/>
                <w:color w:val="auto"/>
                <w:szCs w:val="21"/>
                <w:highlight w:val="none"/>
              </w:rPr>
            </w:pPr>
          </w:p>
        </w:tc>
        <w:tc>
          <w:tcPr>
            <w:tcW w:w="1488" w:type="dxa"/>
            <w:tcBorders>
              <w:top w:val="single" w:color="auto" w:sz="4" w:space="0"/>
              <w:left w:val="single" w:color="auto" w:sz="4" w:space="0"/>
              <w:bottom w:val="single" w:color="auto" w:sz="4" w:space="0"/>
              <w:right w:val="single" w:color="auto" w:sz="4" w:space="0"/>
            </w:tcBorders>
          </w:tcPr>
          <w:p w14:paraId="0B0EBD03">
            <w:pPr>
              <w:snapToGrid w:val="0"/>
              <w:spacing w:line="240" w:lineRule="exact"/>
              <w:jc w:val="left"/>
              <w:rPr>
                <w:rFonts w:ascii="Times New Roman" w:hAnsi="Times New Roman" w:eastAsia="宋体" w:cs="Times New Roman"/>
                <w:color w:val="auto"/>
                <w:szCs w:val="21"/>
                <w:highlight w:val="none"/>
              </w:rPr>
            </w:pPr>
          </w:p>
        </w:tc>
        <w:tc>
          <w:tcPr>
            <w:tcW w:w="1728" w:type="dxa"/>
            <w:tcBorders>
              <w:top w:val="single" w:color="auto" w:sz="4" w:space="0"/>
              <w:left w:val="single" w:color="auto" w:sz="4" w:space="0"/>
              <w:bottom w:val="single" w:color="auto" w:sz="4" w:space="0"/>
              <w:right w:val="single" w:color="auto" w:sz="4" w:space="0"/>
            </w:tcBorders>
          </w:tcPr>
          <w:p w14:paraId="4F75C201">
            <w:pPr>
              <w:snapToGrid w:val="0"/>
              <w:spacing w:line="240" w:lineRule="exact"/>
              <w:jc w:val="left"/>
              <w:rPr>
                <w:rFonts w:ascii="Times New Roman" w:hAnsi="Times New Roman" w:eastAsia="宋体" w:cs="Times New Roman"/>
                <w:color w:val="auto"/>
                <w:szCs w:val="21"/>
                <w:highlight w:val="none"/>
              </w:rPr>
            </w:pPr>
          </w:p>
        </w:tc>
        <w:tc>
          <w:tcPr>
            <w:tcW w:w="1092" w:type="dxa"/>
            <w:tcBorders>
              <w:top w:val="single" w:color="auto" w:sz="4" w:space="0"/>
              <w:left w:val="single" w:color="auto" w:sz="4" w:space="0"/>
              <w:bottom w:val="single" w:color="auto" w:sz="4" w:space="0"/>
              <w:right w:val="single" w:color="auto" w:sz="4" w:space="0"/>
            </w:tcBorders>
          </w:tcPr>
          <w:p w14:paraId="73A076C1">
            <w:pPr>
              <w:snapToGrid w:val="0"/>
              <w:spacing w:line="240" w:lineRule="exact"/>
              <w:jc w:val="left"/>
              <w:rPr>
                <w:rFonts w:ascii="Times New Roman" w:hAnsi="Times New Roman" w:eastAsia="宋体" w:cs="Times New Roman"/>
                <w:color w:val="auto"/>
                <w:szCs w:val="21"/>
                <w:highlight w:val="none"/>
              </w:rPr>
            </w:pPr>
          </w:p>
        </w:tc>
      </w:tr>
      <w:tr w14:paraId="27878F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86" w:type="dxa"/>
            <w:tcBorders>
              <w:top w:val="single" w:color="auto" w:sz="4" w:space="0"/>
              <w:left w:val="single" w:color="auto" w:sz="4" w:space="0"/>
              <w:bottom w:val="single" w:color="auto" w:sz="4" w:space="0"/>
              <w:right w:val="single" w:color="auto" w:sz="4" w:space="0"/>
            </w:tcBorders>
          </w:tcPr>
          <w:p w14:paraId="7931DCBA">
            <w:pPr>
              <w:snapToGrid w:val="0"/>
              <w:spacing w:before="50" w:after="120" w:afterLines="50" w:line="400" w:lineRule="exact"/>
              <w:jc w:val="left"/>
              <w:rPr>
                <w:rFonts w:ascii="Times New Roman" w:hAnsi="Times New Roman" w:eastAsia="宋体" w:cs="Times New Roman"/>
                <w:color w:val="auto"/>
                <w:szCs w:val="21"/>
                <w:highlight w:val="none"/>
              </w:rPr>
            </w:pPr>
          </w:p>
        </w:tc>
        <w:tc>
          <w:tcPr>
            <w:tcW w:w="935" w:type="dxa"/>
            <w:tcBorders>
              <w:top w:val="single" w:color="auto" w:sz="4" w:space="0"/>
              <w:left w:val="single" w:color="auto" w:sz="4" w:space="0"/>
              <w:bottom w:val="single" w:color="auto" w:sz="4" w:space="0"/>
              <w:right w:val="single" w:color="auto" w:sz="4" w:space="0"/>
            </w:tcBorders>
          </w:tcPr>
          <w:p w14:paraId="08EDD55E">
            <w:pPr>
              <w:snapToGrid w:val="0"/>
              <w:spacing w:before="50" w:after="120" w:afterLines="50" w:line="400" w:lineRule="exact"/>
              <w:jc w:val="left"/>
              <w:rPr>
                <w:rFonts w:ascii="Times New Roman" w:hAnsi="Times New Roman" w:eastAsia="宋体" w:cs="Times New Roman"/>
                <w:color w:val="auto"/>
                <w:szCs w:val="21"/>
                <w:highlight w:val="none"/>
              </w:rPr>
            </w:pPr>
          </w:p>
        </w:tc>
        <w:tc>
          <w:tcPr>
            <w:tcW w:w="1428" w:type="dxa"/>
            <w:tcBorders>
              <w:top w:val="single" w:color="auto" w:sz="4" w:space="0"/>
              <w:left w:val="single" w:color="auto" w:sz="4" w:space="0"/>
              <w:bottom w:val="single" w:color="auto" w:sz="4" w:space="0"/>
              <w:right w:val="single" w:color="auto" w:sz="4" w:space="0"/>
            </w:tcBorders>
          </w:tcPr>
          <w:p w14:paraId="271F2C20">
            <w:pPr>
              <w:snapToGrid w:val="0"/>
              <w:spacing w:before="50" w:after="120" w:afterLines="50" w:line="400" w:lineRule="exact"/>
              <w:jc w:val="left"/>
              <w:rPr>
                <w:rFonts w:ascii="Times New Roman" w:hAnsi="Times New Roman" w:eastAsia="宋体" w:cs="Times New Roman"/>
                <w:color w:val="auto"/>
                <w:szCs w:val="21"/>
                <w:highlight w:val="none"/>
              </w:rPr>
            </w:pPr>
          </w:p>
        </w:tc>
        <w:tc>
          <w:tcPr>
            <w:tcW w:w="1896" w:type="dxa"/>
            <w:tcBorders>
              <w:top w:val="single" w:color="auto" w:sz="4" w:space="0"/>
              <w:left w:val="single" w:color="auto" w:sz="4" w:space="0"/>
              <w:bottom w:val="single" w:color="auto" w:sz="4" w:space="0"/>
              <w:right w:val="single" w:color="auto" w:sz="4" w:space="0"/>
            </w:tcBorders>
          </w:tcPr>
          <w:p w14:paraId="71EC8B35">
            <w:pPr>
              <w:snapToGrid w:val="0"/>
              <w:spacing w:before="50" w:after="120" w:afterLines="50" w:line="400" w:lineRule="exact"/>
              <w:jc w:val="left"/>
              <w:rPr>
                <w:rFonts w:ascii="Times New Roman" w:hAnsi="Times New Roman" w:eastAsia="宋体" w:cs="Times New Roman"/>
                <w:color w:val="auto"/>
                <w:szCs w:val="21"/>
                <w:highlight w:val="none"/>
              </w:rPr>
            </w:pPr>
          </w:p>
        </w:tc>
        <w:tc>
          <w:tcPr>
            <w:tcW w:w="1488" w:type="dxa"/>
            <w:tcBorders>
              <w:top w:val="single" w:color="auto" w:sz="4" w:space="0"/>
              <w:left w:val="single" w:color="auto" w:sz="4" w:space="0"/>
              <w:bottom w:val="single" w:color="auto" w:sz="4" w:space="0"/>
              <w:right w:val="single" w:color="auto" w:sz="4" w:space="0"/>
            </w:tcBorders>
          </w:tcPr>
          <w:p w14:paraId="1AA56A51">
            <w:pPr>
              <w:snapToGrid w:val="0"/>
              <w:spacing w:before="50" w:after="120" w:afterLines="50" w:line="400" w:lineRule="exact"/>
              <w:jc w:val="left"/>
              <w:rPr>
                <w:rFonts w:ascii="Times New Roman" w:hAnsi="Times New Roman" w:eastAsia="宋体" w:cs="Times New Roman"/>
                <w:color w:val="auto"/>
                <w:szCs w:val="21"/>
                <w:highlight w:val="none"/>
              </w:rPr>
            </w:pPr>
          </w:p>
        </w:tc>
        <w:tc>
          <w:tcPr>
            <w:tcW w:w="1728" w:type="dxa"/>
            <w:tcBorders>
              <w:top w:val="single" w:color="auto" w:sz="4" w:space="0"/>
              <w:left w:val="single" w:color="auto" w:sz="4" w:space="0"/>
              <w:bottom w:val="single" w:color="auto" w:sz="4" w:space="0"/>
              <w:right w:val="single" w:color="auto" w:sz="4" w:space="0"/>
            </w:tcBorders>
          </w:tcPr>
          <w:p w14:paraId="56EC54DB">
            <w:pPr>
              <w:snapToGrid w:val="0"/>
              <w:spacing w:before="50" w:after="120" w:afterLines="50" w:line="400" w:lineRule="exact"/>
              <w:jc w:val="left"/>
              <w:rPr>
                <w:rFonts w:ascii="Times New Roman" w:hAnsi="Times New Roman" w:eastAsia="宋体" w:cs="Times New Roman"/>
                <w:color w:val="auto"/>
                <w:szCs w:val="21"/>
                <w:highlight w:val="none"/>
              </w:rPr>
            </w:pPr>
          </w:p>
        </w:tc>
        <w:tc>
          <w:tcPr>
            <w:tcW w:w="1092" w:type="dxa"/>
            <w:tcBorders>
              <w:top w:val="single" w:color="auto" w:sz="4" w:space="0"/>
              <w:left w:val="single" w:color="auto" w:sz="4" w:space="0"/>
              <w:bottom w:val="single" w:color="auto" w:sz="4" w:space="0"/>
              <w:right w:val="single" w:color="auto" w:sz="4" w:space="0"/>
            </w:tcBorders>
          </w:tcPr>
          <w:p w14:paraId="43802E93">
            <w:pPr>
              <w:snapToGrid w:val="0"/>
              <w:spacing w:before="50" w:after="120" w:afterLines="50" w:line="400" w:lineRule="exact"/>
              <w:jc w:val="left"/>
              <w:rPr>
                <w:rFonts w:ascii="Times New Roman" w:hAnsi="Times New Roman" w:eastAsia="宋体" w:cs="Times New Roman"/>
                <w:color w:val="auto"/>
                <w:szCs w:val="21"/>
                <w:highlight w:val="none"/>
              </w:rPr>
            </w:pPr>
          </w:p>
        </w:tc>
      </w:tr>
      <w:tr w14:paraId="682C99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486" w:type="dxa"/>
            <w:tcBorders>
              <w:top w:val="single" w:color="auto" w:sz="4" w:space="0"/>
              <w:left w:val="single" w:color="auto" w:sz="4" w:space="0"/>
              <w:bottom w:val="single" w:color="auto" w:sz="4" w:space="0"/>
              <w:right w:val="single" w:color="auto" w:sz="4" w:space="0"/>
            </w:tcBorders>
          </w:tcPr>
          <w:p w14:paraId="168B852A">
            <w:pPr>
              <w:snapToGrid w:val="0"/>
              <w:spacing w:before="50" w:after="120" w:afterLines="50" w:line="400" w:lineRule="exact"/>
              <w:jc w:val="left"/>
              <w:rPr>
                <w:rFonts w:ascii="Times New Roman" w:hAnsi="Times New Roman" w:eastAsia="宋体" w:cs="Times New Roman"/>
                <w:color w:val="auto"/>
                <w:szCs w:val="21"/>
                <w:highlight w:val="none"/>
              </w:rPr>
            </w:pPr>
          </w:p>
        </w:tc>
        <w:tc>
          <w:tcPr>
            <w:tcW w:w="935" w:type="dxa"/>
            <w:tcBorders>
              <w:top w:val="single" w:color="auto" w:sz="4" w:space="0"/>
              <w:left w:val="single" w:color="auto" w:sz="4" w:space="0"/>
              <w:bottom w:val="single" w:color="auto" w:sz="4" w:space="0"/>
              <w:right w:val="single" w:color="auto" w:sz="4" w:space="0"/>
            </w:tcBorders>
          </w:tcPr>
          <w:p w14:paraId="0180665E">
            <w:pPr>
              <w:snapToGrid w:val="0"/>
              <w:spacing w:before="50" w:after="120" w:afterLines="50" w:line="400" w:lineRule="exact"/>
              <w:jc w:val="left"/>
              <w:rPr>
                <w:rFonts w:ascii="Times New Roman" w:hAnsi="Times New Roman" w:eastAsia="宋体" w:cs="Times New Roman"/>
                <w:color w:val="auto"/>
                <w:szCs w:val="21"/>
                <w:highlight w:val="none"/>
              </w:rPr>
            </w:pPr>
          </w:p>
        </w:tc>
        <w:tc>
          <w:tcPr>
            <w:tcW w:w="1428" w:type="dxa"/>
            <w:tcBorders>
              <w:top w:val="single" w:color="auto" w:sz="4" w:space="0"/>
              <w:left w:val="single" w:color="auto" w:sz="4" w:space="0"/>
              <w:bottom w:val="single" w:color="auto" w:sz="4" w:space="0"/>
              <w:right w:val="single" w:color="auto" w:sz="4" w:space="0"/>
            </w:tcBorders>
          </w:tcPr>
          <w:p w14:paraId="35E3C9EA">
            <w:pPr>
              <w:snapToGrid w:val="0"/>
              <w:spacing w:before="50" w:after="120" w:afterLines="50" w:line="400" w:lineRule="exact"/>
              <w:jc w:val="left"/>
              <w:rPr>
                <w:rFonts w:ascii="Times New Roman" w:hAnsi="Times New Roman" w:eastAsia="宋体" w:cs="Times New Roman"/>
                <w:color w:val="auto"/>
                <w:szCs w:val="21"/>
                <w:highlight w:val="none"/>
              </w:rPr>
            </w:pPr>
          </w:p>
        </w:tc>
        <w:tc>
          <w:tcPr>
            <w:tcW w:w="1896" w:type="dxa"/>
            <w:tcBorders>
              <w:top w:val="single" w:color="auto" w:sz="4" w:space="0"/>
              <w:left w:val="single" w:color="auto" w:sz="4" w:space="0"/>
              <w:bottom w:val="single" w:color="auto" w:sz="4" w:space="0"/>
              <w:right w:val="single" w:color="auto" w:sz="4" w:space="0"/>
            </w:tcBorders>
          </w:tcPr>
          <w:p w14:paraId="7EC5DE76">
            <w:pPr>
              <w:snapToGrid w:val="0"/>
              <w:spacing w:before="50" w:after="120" w:afterLines="50" w:line="400" w:lineRule="exact"/>
              <w:jc w:val="left"/>
              <w:rPr>
                <w:rFonts w:ascii="Times New Roman" w:hAnsi="Times New Roman" w:eastAsia="宋体" w:cs="Times New Roman"/>
                <w:color w:val="auto"/>
                <w:szCs w:val="21"/>
                <w:highlight w:val="none"/>
              </w:rPr>
            </w:pPr>
          </w:p>
        </w:tc>
        <w:tc>
          <w:tcPr>
            <w:tcW w:w="1488" w:type="dxa"/>
            <w:tcBorders>
              <w:top w:val="single" w:color="auto" w:sz="4" w:space="0"/>
              <w:left w:val="single" w:color="auto" w:sz="4" w:space="0"/>
              <w:bottom w:val="single" w:color="auto" w:sz="4" w:space="0"/>
              <w:right w:val="single" w:color="auto" w:sz="4" w:space="0"/>
            </w:tcBorders>
          </w:tcPr>
          <w:p w14:paraId="07F452FA">
            <w:pPr>
              <w:snapToGrid w:val="0"/>
              <w:spacing w:before="50" w:after="120" w:afterLines="50" w:line="400" w:lineRule="exact"/>
              <w:jc w:val="left"/>
              <w:rPr>
                <w:rFonts w:ascii="Times New Roman" w:hAnsi="Times New Roman" w:eastAsia="宋体" w:cs="Times New Roman"/>
                <w:color w:val="auto"/>
                <w:szCs w:val="21"/>
                <w:highlight w:val="none"/>
              </w:rPr>
            </w:pPr>
          </w:p>
        </w:tc>
        <w:tc>
          <w:tcPr>
            <w:tcW w:w="1728" w:type="dxa"/>
            <w:tcBorders>
              <w:top w:val="single" w:color="auto" w:sz="4" w:space="0"/>
              <w:left w:val="single" w:color="auto" w:sz="4" w:space="0"/>
              <w:bottom w:val="single" w:color="auto" w:sz="4" w:space="0"/>
              <w:right w:val="single" w:color="auto" w:sz="4" w:space="0"/>
            </w:tcBorders>
          </w:tcPr>
          <w:p w14:paraId="431FE8E8">
            <w:pPr>
              <w:snapToGrid w:val="0"/>
              <w:spacing w:before="50" w:after="120" w:afterLines="50" w:line="400" w:lineRule="exact"/>
              <w:jc w:val="left"/>
              <w:rPr>
                <w:rFonts w:ascii="Times New Roman" w:hAnsi="Times New Roman" w:eastAsia="宋体" w:cs="Times New Roman"/>
                <w:color w:val="auto"/>
                <w:szCs w:val="21"/>
                <w:highlight w:val="none"/>
              </w:rPr>
            </w:pPr>
          </w:p>
        </w:tc>
        <w:tc>
          <w:tcPr>
            <w:tcW w:w="1092" w:type="dxa"/>
            <w:tcBorders>
              <w:top w:val="single" w:color="auto" w:sz="4" w:space="0"/>
              <w:left w:val="single" w:color="auto" w:sz="4" w:space="0"/>
              <w:bottom w:val="single" w:color="auto" w:sz="4" w:space="0"/>
              <w:right w:val="single" w:color="auto" w:sz="4" w:space="0"/>
            </w:tcBorders>
          </w:tcPr>
          <w:p w14:paraId="3A36ECF0">
            <w:pPr>
              <w:snapToGrid w:val="0"/>
              <w:spacing w:before="50" w:after="120" w:afterLines="50" w:line="400" w:lineRule="exact"/>
              <w:jc w:val="left"/>
              <w:rPr>
                <w:rFonts w:ascii="Times New Roman" w:hAnsi="Times New Roman" w:eastAsia="宋体" w:cs="Times New Roman"/>
                <w:color w:val="auto"/>
                <w:szCs w:val="21"/>
                <w:highlight w:val="none"/>
              </w:rPr>
            </w:pPr>
          </w:p>
        </w:tc>
      </w:tr>
      <w:tr w14:paraId="5448A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86" w:type="dxa"/>
            <w:tcBorders>
              <w:top w:val="single" w:color="auto" w:sz="4" w:space="0"/>
              <w:left w:val="single" w:color="auto" w:sz="4" w:space="0"/>
              <w:bottom w:val="single" w:color="auto" w:sz="4" w:space="0"/>
              <w:right w:val="single" w:color="auto" w:sz="4" w:space="0"/>
            </w:tcBorders>
          </w:tcPr>
          <w:p w14:paraId="11FCC244">
            <w:pPr>
              <w:snapToGrid w:val="0"/>
              <w:spacing w:before="50" w:after="120" w:afterLines="50" w:line="400" w:lineRule="exact"/>
              <w:jc w:val="left"/>
              <w:rPr>
                <w:rFonts w:ascii="Times New Roman" w:hAnsi="Times New Roman" w:eastAsia="宋体" w:cs="Times New Roman"/>
                <w:color w:val="auto"/>
                <w:szCs w:val="21"/>
                <w:highlight w:val="none"/>
              </w:rPr>
            </w:pPr>
          </w:p>
        </w:tc>
        <w:tc>
          <w:tcPr>
            <w:tcW w:w="935" w:type="dxa"/>
            <w:tcBorders>
              <w:top w:val="single" w:color="auto" w:sz="4" w:space="0"/>
              <w:left w:val="single" w:color="auto" w:sz="4" w:space="0"/>
              <w:bottom w:val="single" w:color="auto" w:sz="4" w:space="0"/>
              <w:right w:val="single" w:color="auto" w:sz="4" w:space="0"/>
            </w:tcBorders>
          </w:tcPr>
          <w:p w14:paraId="28B574A9">
            <w:pPr>
              <w:snapToGrid w:val="0"/>
              <w:spacing w:before="50" w:after="120" w:afterLines="50" w:line="400" w:lineRule="exact"/>
              <w:jc w:val="left"/>
              <w:rPr>
                <w:rFonts w:ascii="Times New Roman" w:hAnsi="Times New Roman" w:eastAsia="宋体" w:cs="Times New Roman"/>
                <w:color w:val="auto"/>
                <w:szCs w:val="21"/>
                <w:highlight w:val="none"/>
              </w:rPr>
            </w:pPr>
          </w:p>
        </w:tc>
        <w:tc>
          <w:tcPr>
            <w:tcW w:w="1428" w:type="dxa"/>
            <w:tcBorders>
              <w:top w:val="single" w:color="auto" w:sz="4" w:space="0"/>
              <w:left w:val="single" w:color="auto" w:sz="4" w:space="0"/>
              <w:bottom w:val="single" w:color="auto" w:sz="4" w:space="0"/>
              <w:right w:val="single" w:color="auto" w:sz="4" w:space="0"/>
            </w:tcBorders>
          </w:tcPr>
          <w:p w14:paraId="54493596">
            <w:pPr>
              <w:snapToGrid w:val="0"/>
              <w:spacing w:before="50" w:after="120" w:afterLines="50" w:line="400" w:lineRule="exact"/>
              <w:jc w:val="left"/>
              <w:rPr>
                <w:rFonts w:ascii="Times New Roman" w:hAnsi="Times New Roman" w:eastAsia="宋体" w:cs="Times New Roman"/>
                <w:color w:val="auto"/>
                <w:szCs w:val="21"/>
                <w:highlight w:val="none"/>
              </w:rPr>
            </w:pPr>
          </w:p>
        </w:tc>
        <w:tc>
          <w:tcPr>
            <w:tcW w:w="1896" w:type="dxa"/>
            <w:tcBorders>
              <w:top w:val="single" w:color="auto" w:sz="4" w:space="0"/>
              <w:left w:val="single" w:color="auto" w:sz="4" w:space="0"/>
              <w:bottom w:val="single" w:color="auto" w:sz="4" w:space="0"/>
              <w:right w:val="single" w:color="auto" w:sz="4" w:space="0"/>
            </w:tcBorders>
          </w:tcPr>
          <w:p w14:paraId="17998C31">
            <w:pPr>
              <w:snapToGrid w:val="0"/>
              <w:spacing w:before="50" w:after="120" w:afterLines="50" w:line="400" w:lineRule="exact"/>
              <w:jc w:val="left"/>
              <w:rPr>
                <w:rFonts w:ascii="Times New Roman" w:hAnsi="Times New Roman" w:eastAsia="宋体" w:cs="Times New Roman"/>
                <w:color w:val="auto"/>
                <w:szCs w:val="21"/>
                <w:highlight w:val="none"/>
              </w:rPr>
            </w:pPr>
          </w:p>
        </w:tc>
        <w:tc>
          <w:tcPr>
            <w:tcW w:w="1488" w:type="dxa"/>
            <w:tcBorders>
              <w:top w:val="single" w:color="auto" w:sz="4" w:space="0"/>
              <w:left w:val="single" w:color="auto" w:sz="4" w:space="0"/>
              <w:bottom w:val="single" w:color="auto" w:sz="4" w:space="0"/>
              <w:right w:val="single" w:color="auto" w:sz="4" w:space="0"/>
            </w:tcBorders>
          </w:tcPr>
          <w:p w14:paraId="78A3FF53">
            <w:pPr>
              <w:snapToGrid w:val="0"/>
              <w:spacing w:before="50" w:after="120" w:afterLines="50" w:line="400" w:lineRule="exact"/>
              <w:jc w:val="left"/>
              <w:rPr>
                <w:rFonts w:ascii="Times New Roman" w:hAnsi="Times New Roman" w:eastAsia="宋体" w:cs="Times New Roman"/>
                <w:color w:val="auto"/>
                <w:szCs w:val="21"/>
                <w:highlight w:val="none"/>
              </w:rPr>
            </w:pPr>
          </w:p>
        </w:tc>
        <w:tc>
          <w:tcPr>
            <w:tcW w:w="1728" w:type="dxa"/>
            <w:tcBorders>
              <w:top w:val="single" w:color="auto" w:sz="4" w:space="0"/>
              <w:left w:val="single" w:color="auto" w:sz="4" w:space="0"/>
              <w:bottom w:val="single" w:color="auto" w:sz="4" w:space="0"/>
              <w:right w:val="single" w:color="auto" w:sz="4" w:space="0"/>
            </w:tcBorders>
          </w:tcPr>
          <w:p w14:paraId="468716F3">
            <w:pPr>
              <w:snapToGrid w:val="0"/>
              <w:spacing w:before="50" w:after="120" w:afterLines="50" w:line="400" w:lineRule="exact"/>
              <w:jc w:val="left"/>
              <w:rPr>
                <w:rFonts w:ascii="Times New Roman" w:hAnsi="Times New Roman" w:eastAsia="宋体" w:cs="Times New Roman"/>
                <w:color w:val="auto"/>
                <w:szCs w:val="21"/>
                <w:highlight w:val="none"/>
              </w:rPr>
            </w:pPr>
          </w:p>
        </w:tc>
        <w:tc>
          <w:tcPr>
            <w:tcW w:w="1092" w:type="dxa"/>
            <w:tcBorders>
              <w:top w:val="single" w:color="auto" w:sz="4" w:space="0"/>
              <w:left w:val="single" w:color="auto" w:sz="4" w:space="0"/>
              <w:bottom w:val="single" w:color="auto" w:sz="4" w:space="0"/>
              <w:right w:val="single" w:color="auto" w:sz="4" w:space="0"/>
            </w:tcBorders>
          </w:tcPr>
          <w:p w14:paraId="47885599">
            <w:pPr>
              <w:snapToGrid w:val="0"/>
              <w:spacing w:before="50" w:after="120" w:afterLines="50" w:line="400" w:lineRule="exact"/>
              <w:jc w:val="left"/>
              <w:rPr>
                <w:rFonts w:ascii="Times New Roman" w:hAnsi="Times New Roman" w:eastAsia="宋体" w:cs="Times New Roman"/>
                <w:color w:val="auto"/>
                <w:szCs w:val="21"/>
                <w:highlight w:val="none"/>
              </w:rPr>
            </w:pPr>
          </w:p>
        </w:tc>
      </w:tr>
      <w:tr w14:paraId="7CD05F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86" w:type="dxa"/>
            <w:tcBorders>
              <w:top w:val="single" w:color="auto" w:sz="4" w:space="0"/>
              <w:left w:val="single" w:color="auto" w:sz="4" w:space="0"/>
              <w:bottom w:val="single" w:color="auto" w:sz="4" w:space="0"/>
              <w:right w:val="single" w:color="auto" w:sz="4" w:space="0"/>
            </w:tcBorders>
          </w:tcPr>
          <w:p w14:paraId="02862801">
            <w:pPr>
              <w:snapToGrid w:val="0"/>
              <w:spacing w:before="50" w:after="120" w:afterLines="50" w:line="400" w:lineRule="exact"/>
              <w:jc w:val="left"/>
              <w:rPr>
                <w:rFonts w:ascii="Times New Roman" w:hAnsi="Times New Roman" w:eastAsia="宋体" w:cs="Times New Roman"/>
                <w:color w:val="auto"/>
                <w:szCs w:val="21"/>
                <w:highlight w:val="none"/>
              </w:rPr>
            </w:pPr>
          </w:p>
        </w:tc>
        <w:tc>
          <w:tcPr>
            <w:tcW w:w="935" w:type="dxa"/>
            <w:tcBorders>
              <w:top w:val="single" w:color="auto" w:sz="4" w:space="0"/>
              <w:left w:val="single" w:color="auto" w:sz="4" w:space="0"/>
              <w:bottom w:val="single" w:color="auto" w:sz="4" w:space="0"/>
              <w:right w:val="single" w:color="auto" w:sz="4" w:space="0"/>
            </w:tcBorders>
          </w:tcPr>
          <w:p w14:paraId="6FB96AE7">
            <w:pPr>
              <w:snapToGrid w:val="0"/>
              <w:spacing w:before="50" w:after="120" w:afterLines="50" w:line="400" w:lineRule="exact"/>
              <w:jc w:val="left"/>
              <w:rPr>
                <w:rFonts w:ascii="Times New Roman" w:hAnsi="Times New Roman" w:eastAsia="宋体" w:cs="Times New Roman"/>
                <w:color w:val="auto"/>
                <w:szCs w:val="21"/>
                <w:highlight w:val="none"/>
              </w:rPr>
            </w:pPr>
          </w:p>
        </w:tc>
        <w:tc>
          <w:tcPr>
            <w:tcW w:w="1428" w:type="dxa"/>
            <w:tcBorders>
              <w:top w:val="single" w:color="auto" w:sz="4" w:space="0"/>
              <w:left w:val="single" w:color="auto" w:sz="4" w:space="0"/>
              <w:bottom w:val="single" w:color="auto" w:sz="4" w:space="0"/>
              <w:right w:val="single" w:color="auto" w:sz="4" w:space="0"/>
            </w:tcBorders>
          </w:tcPr>
          <w:p w14:paraId="37471722">
            <w:pPr>
              <w:snapToGrid w:val="0"/>
              <w:spacing w:before="50" w:after="120" w:afterLines="50" w:line="400" w:lineRule="exact"/>
              <w:jc w:val="left"/>
              <w:rPr>
                <w:rFonts w:ascii="Times New Roman" w:hAnsi="Times New Roman" w:eastAsia="宋体" w:cs="Times New Roman"/>
                <w:color w:val="auto"/>
                <w:szCs w:val="21"/>
                <w:highlight w:val="none"/>
              </w:rPr>
            </w:pPr>
          </w:p>
        </w:tc>
        <w:tc>
          <w:tcPr>
            <w:tcW w:w="1896" w:type="dxa"/>
            <w:tcBorders>
              <w:top w:val="single" w:color="auto" w:sz="4" w:space="0"/>
              <w:left w:val="single" w:color="auto" w:sz="4" w:space="0"/>
              <w:bottom w:val="single" w:color="auto" w:sz="4" w:space="0"/>
              <w:right w:val="single" w:color="auto" w:sz="4" w:space="0"/>
            </w:tcBorders>
          </w:tcPr>
          <w:p w14:paraId="3D4F3D75">
            <w:pPr>
              <w:snapToGrid w:val="0"/>
              <w:spacing w:before="50" w:after="120" w:afterLines="50" w:line="400" w:lineRule="exact"/>
              <w:jc w:val="left"/>
              <w:rPr>
                <w:rFonts w:ascii="Times New Roman" w:hAnsi="Times New Roman" w:eastAsia="宋体" w:cs="Times New Roman"/>
                <w:color w:val="auto"/>
                <w:szCs w:val="21"/>
                <w:highlight w:val="none"/>
              </w:rPr>
            </w:pPr>
          </w:p>
        </w:tc>
        <w:tc>
          <w:tcPr>
            <w:tcW w:w="1488" w:type="dxa"/>
            <w:tcBorders>
              <w:top w:val="single" w:color="auto" w:sz="4" w:space="0"/>
              <w:left w:val="single" w:color="auto" w:sz="4" w:space="0"/>
              <w:bottom w:val="single" w:color="auto" w:sz="4" w:space="0"/>
              <w:right w:val="single" w:color="auto" w:sz="4" w:space="0"/>
            </w:tcBorders>
          </w:tcPr>
          <w:p w14:paraId="23F57DA2">
            <w:pPr>
              <w:snapToGrid w:val="0"/>
              <w:spacing w:before="50" w:after="120" w:afterLines="50" w:line="400" w:lineRule="exact"/>
              <w:jc w:val="left"/>
              <w:rPr>
                <w:rFonts w:ascii="Times New Roman" w:hAnsi="Times New Roman" w:eastAsia="宋体" w:cs="Times New Roman"/>
                <w:color w:val="auto"/>
                <w:szCs w:val="21"/>
                <w:highlight w:val="none"/>
              </w:rPr>
            </w:pPr>
          </w:p>
        </w:tc>
        <w:tc>
          <w:tcPr>
            <w:tcW w:w="1728" w:type="dxa"/>
            <w:tcBorders>
              <w:top w:val="single" w:color="auto" w:sz="4" w:space="0"/>
              <w:left w:val="single" w:color="auto" w:sz="4" w:space="0"/>
              <w:bottom w:val="single" w:color="auto" w:sz="4" w:space="0"/>
              <w:right w:val="single" w:color="auto" w:sz="4" w:space="0"/>
            </w:tcBorders>
          </w:tcPr>
          <w:p w14:paraId="1BE1784F">
            <w:pPr>
              <w:snapToGrid w:val="0"/>
              <w:spacing w:before="50" w:after="120" w:afterLines="50" w:line="400" w:lineRule="exact"/>
              <w:jc w:val="left"/>
              <w:rPr>
                <w:rFonts w:ascii="Times New Roman" w:hAnsi="Times New Roman" w:eastAsia="宋体" w:cs="Times New Roman"/>
                <w:color w:val="auto"/>
                <w:szCs w:val="21"/>
                <w:highlight w:val="none"/>
              </w:rPr>
            </w:pPr>
          </w:p>
        </w:tc>
        <w:tc>
          <w:tcPr>
            <w:tcW w:w="1092" w:type="dxa"/>
            <w:tcBorders>
              <w:top w:val="single" w:color="auto" w:sz="4" w:space="0"/>
              <w:left w:val="single" w:color="auto" w:sz="4" w:space="0"/>
              <w:bottom w:val="single" w:color="auto" w:sz="4" w:space="0"/>
              <w:right w:val="single" w:color="auto" w:sz="4" w:space="0"/>
            </w:tcBorders>
          </w:tcPr>
          <w:p w14:paraId="33D13AFA">
            <w:pPr>
              <w:snapToGrid w:val="0"/>
              <w:spacing w:before="50" w:after="120" w:afterLines="50" w:line="400" w:lineRule="exact"/>
              <w:jc w:val="left"/>
              <w:rPr>
                <w:rFonts w:ascii="Times New Roman" w:hAnsi="Times New Roman" w:eastAsia="宋体" w:cs="Times New Roman"/>
                <w:color w:val="auto"/>
                <w:szCs w:val="21"/>
                <w:highlight w:val="none"/>
              </w:rPr>
            </w:pPr>
          </w:p>
        </w:tc>
      </w:tr>
    </w:tbl>
    <w:p w14:paraId="60E18504">
      <w:pPr>
        <w:snapToGrid w:val="0"/>
        <w:spacing w:before="152" w:after="16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w:t>
      </w:r>
    </w:p>
    <w:p w14:paraId="46B8C198">
      <w:pPr>
        <w:snapToGrid w:val="0"/>
        <w:spacing w:before="152" w:after="160"/>
        <w:rPr>
          <w:rFonts w:ascii="Times New Roman" w:hAnsi="Times New Roman" w:eastAsia="宋体" w:cs="Times New Roman"/>
          <w:color w:val="auto"/>
          <w:szCs w:val="21"/>
          <w:highlight w:val="none"/>
        </w:rPr>
      </w:pPr>
      <w:r>
        <w:rPr>
          <w:rFonts w:ascii="Times New Roman" w:hAnsi="Times New Roman" w:eastAsia="宋体" w:cs="Times New Roman"/>
          <w:color w:val="auto"/>
          <w:sz w:val="20"/>
          <w:szCs w:val="21"/>
          <w:highlight w:val="none"/>
        </w:rPr>
        <w:t>（1）</w:t>
      </w:r>
      <w:r>
        <w:rPr>
          <w:rFonts w:ascii="Times New Roman" w:hAnsi="Times New Roman" w:eastAsia="宋体" w:cs="Times New Roman"/>
          <w:color w:val="auto"/>
          <w:szCs w:val="21"/>
          <w:highlight w:val="none"/>
        </w:rPr>
        <w:t>未附</w:t>
      </w:r>
      <w:r>
        <w:rPr>
          <w:rFonts w:hint="eastAsia" w:ascii="Times New Roman" w:hAnsi="Times New Roman" w:eastAsia="宋体" w:cs="Times New Roman"/>
          <w:color w:val="auto"/>
          <w:szCs w:val="21"/>
          <w:highlight w:val="none"/>
        </w:rPr>
        <w:t>证明材料</w:t>
      </w:r>
      <w:r>
        <w:rPr>
          <w:rFonts w:ascii="Times New Roman" w:hAnsi="Times New Roman" w:eastAsia="宋体" w:cs="Times New Roman"/>
          <w:color w:val="auto"/>
          <w:szCs w:val="21"/>
          <w:highlight w:val="none"/>
        </w:rPr>
        <w:t>的业绩无效</w:t>
      </w:r>
      <w:r>
        <w:rPr>
          <w:rFonts w:hint="eastAsia" w:ascii="Times New Roman" w:hAnsi="Times New Roman" w:eastAsia="宋体" w:cs="Times New Roman"/>
          <w:color w:val="auto"/>
          <w:szCs w:val="21"/>
          <w:highlight w:val="none"/>
        </w:rPr>
        <w:t>，证明材料</w:t>
      </w:r>
      <w:r>
        <w:rPr>
          <w:rFonts w:ascii="Times New Roman" w:hAnsi="Times New Roman" w:eastAsia="宋体" w:cs="Times New Roman"/>
          <w:color w:val="auto"/>
          <w:szCs w:val="21"/>
          <w:highlight w:val="none"/>
        </w:rPr>
        <w:t>见第四章《评审方法及标准》规定</w:t>
      </w:r>
    </w:p>
    <w:p w14:paraId="38E7C793">
      <w:pPr>
        <w:snapToGrid w:val="0"/>
        <w:spacing w:before="152" w:after="160"/>
        <w:rPr>
          <w:rFonts w:ascii="Times New Roman" w:hAnsi="Times New Roman" w:eastAsia="宋体" w:cs="Times New Roman"/>
          <w:color w:val="auto"/>
          <w:szCs w:val="21"/>
          <w:highlight w:val="none"/>
        </w:rPr>
      </w:pPr>
      <w:r>
        <w:rPr>
          <w:rFonts w:ascii="Times New Roman" w:hAnsi="Times New Roman" w:eastAsia="宋体" w:cs="Times New Roman"/>
          <w:color w:val="auto"/>
          <w:sz w:val="20"/>
          <w:szCs w:val="21"/>
          <w:highlight w:val="none"/>
        </w:rPr>
        <w:t>（</w:t>
      </w:r>
      <w:r>
        <w:rPr>
          <w:rFonts w:hint="eastAsia" w:ascii="Times New Roman" w:hAnsi="Times New Roman" w:eastAsia="宋体" w:cs="Times New Roman"/>
          <w:color w:val="auto"/>
          <w:sz w:val="20"/>
          <w:szCs w:val="21"/>
          <w:highlight w:val="none"/>
        </w:rPr>
        <w:t>2</w:t>
      </w:r>
      <w:r>
        <w:rPr>
          <w:rFonts w:ascii="Times New Roman" w:hAnsi="Times New Roman" w:eastAsia="宋体" w:cs="Times New Roman"/>
          <w:color w:val="auto"/>
          <w:sz w:val="20"/>
          <w:szCs w:val="21"/>
          <w:highlight w:val="none"/>
        </w:rPr>
        <w:t>）</w:t>
      </w:r>
      <w:r>
        <w:rPr>
          <w:rFonts w:ascii="Times New Roman" w:hAnsi="Times New Roman" w:eastAsia="宋体" w:cs="Times New Roman"/>
          <w:color w:val="auto"/>
          <w:szCs w:val="21"/>
          <w:highlight w:val="none"/>
        </w:rPr>
        <w:t>类似项目的定义见第四章《评审方法及标准》规定。</w:t>
      </w:r>
    </w:p>
    <w:p w14:paraId="2EE026B3">
      <w:pPr>
        <w:rPr>
          <w:rFonts w:ascii="Times New Roman" w:hAnsi="Times New Roman" w:eastAsia="宋体" w:cs="Times New Roman"/>
          <w:color w:val="auto"/>
          <w:szCs w:val="24"/>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3</w:t>
      </w:r>
      <w:r>
        <w:rPr>
          <w:rFonts w:ascii="Times New Roman" w:hAnsi="Times New Roman" w:eastAsia="宋体" w:cs="Times New Roman"/>
          <w:color w:val="auto"/>
          <w:szCs w:val="21"/>
          <w:highlight w:val="none"/>
        </w:rPr>
        <w:t>）</w:t>
      </w:r>
      <w:bookmarkStart w:id="109" w:name="_Hlk19049505"/>
      <w:r>
        <w:rPr>
          <w:rFonts w:ascii="Times New Roman" w:hAnsi="Times New Roman" w:eastAsia="宋体" w:cs="Times New Roman"/>
          <w:color w:val="auto"/>
          <w:szCs w:val="24"/>
          <w:highlight w:val="none"/>
        </w:rPr>
        <w:t>本表可拓展。</w:t>
      </w:r>
      <w:bookmarkEnd w:id="109"/>
    </w:p>
    <w:p w14:paraId="683961C3">
      <w:pPr>
        <w:snapToGrid w:val="0"/>
        <w:spacing w:before="50"/>
        <w:jc w:val="left"/>
        <w:rPr>
          <w:rFonts w:ascii="Times New Roman" w:hAnsi="Times New Roman" w:eastAsia="宋体" w:cs="Times New Roman"/>
          <w:color w:val="auto"/>
          <w:szCs w:val="21"/>
          <w:highlight w:val="none"/>
        </w:rPr>
      </w:pPr>
      <w:bookmarkStart w:id="110" w:name="_Hlk88990617"/>
    </w:p>
    <w:p w14:paraId="4A25B625">
      <w:pPr>
        <w:snapToGrid w:val="0"/>
        <w:spacing w:before="5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4"/>
          <w:highlight w:val="none"/>
        </w:rPr>
        <w:t>投标人</w:t>
      </w:r>
      <w:r>
        <w:rPr>
          <w:rFonts w:hint="eastAsia" w:ascii="Times New Roman" w:hAnsi="Times New Roman" w:eastAsia="宋体" w:cs="Times New Roman"/>
          <w:color w:val="auto"/>
          <w:szCs w:val="21"/>
          <w:highlight w:val="none"/>
        </w:rPr>
        <w:t>名称(电子签章</w:t>
      </w:r>
      <w:r>
        <w:rPr>
          <w:rFonts w:ascii="Times New Roman" w:hAnsi="Times New Roman" w:eastAsia="宋体" w:cs="Times New Roman"/>
          <w:color w:val="auto"/>
          <w:szCs w:val="21"/>
          <w:highlight w:val="none"/>
        </w:rPr>
        <w:t>)：</w:t>
      </w:r>
      <w:bookmarkEnd w:id="110"/>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w:t>
      </w:r>
    </w:p>
    <w:p w14:paraId="7C6873A4">
      <w:pPr>
        <w:snapToGrid w:val="0"/>
        <w:spacing w:before="5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             年    月   日</w:t>
      </w:r>
    </w:p>
    <w:p w14:paraId="4E2959CE">
      <w:pPr>
        <w:snapToGrid w:val="0"/>
        <w:spacing w:before="50"/>
        <w:jc w:val="left"/>
        <w:rPr>
          <w:rFonts w:ascii="Times New Roman" w:hAnsi="Times New Roman" w:eastAsia="宋体" w:cs="Times New Roman"/>
          <w:color w:val="auto"/>
          <w:szCs w:val="21"/>
          <w:highlight w:val="none"/>
        </w:rPr>
      </w:pPr>
    </w:p>
    <w:p w14:paraId="591A1F4C">
      <w:pPr>
        <w:snapToGrid w:val="0"/>
        <w:spacing w:before="50" w:after="120" w:afterLines="50"/>
        <w:jc w:val="left"/>
        <w:rPr>
          <w:rFonts w:ascii="Times New Roman" w:hAnsi="Times New Roman" w:eastAsia="宋体" w:cs="Times New Roman"/>
          <w:color w:val="auto"/>
          <w:szCs w:val="21"/>
          <w:highlight w:val="none"/>
        </w:rPr>
        <w:sectPr>
          <w:headerReference r:id="rId14" w:type="default"/>
          <w:pgSz w:w="11906" w:h="16838"/>
          <w:pgMar w:top="1304" w:right="1418" w:bottom="1304" w:left="1418" w:header="851" w:footer="992" w:gutter="0"/>
          <w:cols w:space="720" w:num="1"/>
          <w:docGrid w:linePitch="312" w:charSpace="0"/>
        </w:sectPr>
      </w:pPr>
    </w:p>
    <w:p w14:paraId="44BACD2F">
      <w:pPr>
        <w:numPr>
          <w:ilvl w:val="0"/>
          <w:numId w:val="5"/>
        </w:numPr>
        <w:snapToGrid w:val="0"/>
        <w:spacing w:line="380" w:lineRule="exact"/>
        <w:jc w:val="left"/>
        <w:rPr>
          <w:rFonts w:ascii="Times New Roman" w:hAnsi="Times New Roman" w:eastAsia="宋体" w:cs="Times New Roman"/>
          <w:color w:val="auto"/>
          <w:szCs w:val="21"/>
          <w:highlight w:val="none"/>
        </w:rPr>
      </w:pPr>
      <w:bookmarkStart w:id="111" w:name="_Hlk19050322"/>
      <w:r>
        <w:rPr>
          <w:rFonts w:ascii="Times New Roman" w:hAnsi="Times New Roman" w:eastAsia="宋体" w:cs="Times New Roman"/>
          <w:color w:val="auto"/>
          <w:szCs w:val="21"/>
          <w:highlight w:val="none"/>
        </w:rPr>
        <w:t>符合政府采购政策的证明材料。【备注：非专门面向中小企业采购的项目、预留份额项目中的非 预留部分采购包时提供】</w:t>
      </w:r>
    </w:p>
    <w:p w14:paraId="5A676A84">
      <w:pPr>
        <w:snapToGrid w:val="0"/>
        <w:spacing w:line="380" w:lineRule="exact"/>
        <w:jc w:val="left"/>
        <w:rPr>
          <w:rFonts w:ascii="宋体" w:hAnsi="宋体" w:eastAsia="宋体" w:cs="Times New Roman"/>
          <w:color w:val="auto"/>
          <w:szCs w:val="21"/>
          <w:highlight w:val="none"/>
        </w:rPr>
      </w:pPr>
      <w:r>
        <w:rPr>
          <w:rFonts w:ascii="Times New Roman" w:hAnsi="Times New Roman" w:eastAsia="宋体" w:cs="Times New Roman"/>
          <w:color w:val="auto"/>
          <w:szCs w:val="21"/>
          <w:highlight w:val="none"/>
        </w:rPr>
        <w:t xml:space="preserve"> 5.1 中小企业声明函。</w:t>
      </w:r>
    </w:p>
    <w:p w14:paraId="1C089F75">
      <w:pPr>
        <w:spacing w:line="360" w:lineRule="auto"/>
        <w:ind w:firstLine="3584" w:firstLineChars="1700"/>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中小企业声明函（服务）</w:t>
      </w:r>
    </w:p>
    <w:p w14:paraId="74631C52">
      <w:pPr>
        <w:spacing w:line="360" w:lineRule="auto"/>
        <w:ind w:firstLine="420"/>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本公司（联合体）郑重声明，根据《政府采购促进中小企业发展管理办法》（财库﹝2020﹞46 号）的规定，本公司（联合体）参加</w:t>
      </w:r>
      <w:r>
        <w:rPr>
          <w:rFonts w:hint="eastAsia" w:ascii="Times New Roman" w:hAnsi="Times New Roman" w:eastAsia="宋体" w:cs="Times New Roman"/>
          <w:bCs/>
          <w:color w:val="auto"/>
          <w:szCs w:val="21"/>
          <w:highlight w:val="none"/>
          <w:u w:val="single"/>
        </w:rPr>
        <w:t>（单位名称）</w:t>
      </w:r>
      <w:r>
        <w:rPr>
          <w:rFonts w:hint="eastAsia" w:ascii="Times New Roman" w:hAnsi="Times New Roman" w:eastAsia="宋体" w:cs="Times New Roman"/>
          <w:bCs/>
          <w:color w:val="auto"/>
          <w:szCs w:val="21"/>
          <w:highlight w:val="none"/>
        </w:rPr>
        <w:t>的</w:t>
      </w:r>
      <w:r>
        <w:rPr>
          <w:rFonts w:hint="eastAsia" w:ascii="Times New Roman" w:hAnsi="Times New Roman" w:eastAsia="宋体" w:cs="Times New Roman"/>
          <w:bCs/>
          <w:color w:val="auto"/>
          <w:szCs w:val="21"/>
          <w:highlight w:val="none"/>
          <w:u w:val="single"/>
        </w:rPr>
        <w:t>（项目名称）</w:t>
      </w:r>
      <w:r>
        <w:rPr>
          <w:rFonts w:hint="eastAsia" w:ascii="Times New Roman" w:hAnsi="Times New Roman" w:eastAsia="宋体" w:cs="Times New Roman"/>
          <w:bCs/>
          <w:color w:val="auto"/>
          <w:szCs w:val="21"/>
          <w:highlight w:val="none"/>
        </w:rPr>
        <w:t>采购活动，服务全部由符合政策要求的中小企业承接。相关企业（含联合体中的中小企业、签订分包意向协议的中小企业） 的具体情况如下：</w:t>
      </w:r>
    </w:p>
    <w:p w14:paraId="761ABF90">
      <w:pPr>
        <w:spacing w:line="360" w:lineRule="auto"/>
        <w:ind w:firstLine="42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1.</w:t>
      </w:r>
      <w:r>
        <w:rPr>
          <w:rFonts w:hint="eastAsia" w:ascii="Times New Roman" w:hAnsi="Times New Roman" w:eastAsia="宋体" w:cs="Times New Roman"/>
          <w:bCs/>
          <w:color w:val="auto"/>
          <w:szCs w:val="21"/>
          <w:highlight w:val="none"/>
          <w:u w:val="single"/>
        </w:rPr>
        <w:t>（标的名称）</w:t>
      </w:r>
      <w:r>
        <w:rPr>
          <w:rFonts w:hint="eastAsia" w:ascii="Times New Roman" w:hAnsi="Times New Roman" w:eastAsia="宋体" w:cs="Times New Roman"/>
          <w:bCs/>
          <w:color w:val="auto"/>
          <w:szCs w:val="21"/>
          <w:highlight w:val="none"/>
        </w:rPr>
        <w:t>，属于</w:t>
      </w:r>
      <w:r>
        <w:rPr>
          <w:rFonts w:hint="eastAsia" w:ascii="Times New Roman" w:hAnsi="Times New Roman" w:eastAsia="宋体" w:cs="Times New Roman"/>
          <w:bCs/>
          <w:color w:val="auto"/>
          <w:szCs w:val="21"/>
          <w:highlight w:val="none"/>
          <w:u w:val="single"/>
        </w:rPr>
        <w:t>（招标文件中明确的所属行业）</w:t>
      </w:r>
      <w:r>
        <w:rPr>
          <w:rFonts w:hint="eastAsia" w:ascii="Times New Roman" w:hAnsi="Times New Roman" w:eastAsia="宋体" w:cs="Times New Roman"/>
          <w:bCs/>
          <w:color w:val="auto"/>
          <w:szCs w:val="21"/>
          <w:highlight w:val="none"/>
        </w:rPr>
        <w:t>行业；承接企业为</w:t>
      </w:r>
      <w:r>
        <w:rPr>
          <w:rFonts w:hint="eastAsia" w:ascii="Times New Roman" w:hAnsi="Times New Roman" w:eastAsia="宋体" w:cs="Times New Roman"/>
          <w:bCs/>
          <w:color w:val="auto"/>
          <w:szCs w:val="21"/>
          <w:highlight w:val="none"/>
          <w:u w:val="single"/>
        </w:rPr>
        <w:t>（企业名称）</w:t>
      </w:r>
      <w:r>
        <w:rPr>
          <w:rFonts w:hint="eastAsia" w:ascii="Times New Roman" w:hAnsi="Times New Roman" w:eastAsia="宋体" w:cs="Times New Roman"/>
          <w:bCs/>
          <w:color w:val="auto"/>
          <w:szCs w:val="21"/>
          <w:highlight w:val="none"/>
        </w:rPr>
        <w:t>，从业人员</w:t>
      </w:r>
      <w:r>
        <w:rPr>
          <w:rFonts w:ascii="Times New Roman" w:hAnsi="Times New Roman" w:eastAsia="宋体" w:cs="Times New Roman"/>
          <w:bCs/>
          <w:color w:val="auto"/>
          <w:szCs w:val="21"/>
          <w:highlight w:val="none"/>
          <w:u w:val="single"/>
        </w:rPr>
        <w:t xml:space="preserve">    </w:t>
      </w:r>
      <w:r>
        <w:rPr>
          <w:rFonts w:hint="eastAsia" w:ascii="Times New Roman" w:hAnsi="Times New Roman" w:eastAsia="宋体" w:cs="Times New Roman"/>
          <w:bCs/>
          <w:color w:val="auto"/>
          <w:szCs w:val="21"/>
          <w:highlight w:val="none"/>
        </w:rPr>
        <w:t>人，营业收入为</w:t>
      </w:r>
      <w:r>
        <w:rPr>
          <w:rFonts w:hint="eastAsia" w:ascii="Times New Roman" w:hAnsi="Times New Roman" w:eastAsia="宋体" w:cs="Times New Roman"/>
          <w:bCs/>
          <w:color w:val="auto"/>
          <w:szCs w:val="21"/>
          <w:highlight w:val="none"/>
          <w:u w:val="single"/>
        </w:rPr>
        <w:t xml:space="preserve"> </w:t>
      </w:r>
      <w:r>
        <w:rPr>
          <w:rFonts w:ascii="Times New Roman" w:hAnsi="Times New Roman" w:eastAsia="宋体" w:cs="Times New Roman"/>
          <w:bCs/>
          <w:color w:val="auto"/>
          <w:szCs w:val="21"/>
          <w:highlight w:val="none"/>
          <w:u w:val="single"/>
        </w:rPr>
        <w:t xml:space="preserve">  </w:t>
      </w:r>
      <w:r>
        <w:rPr>
          <w:rFonts w:hint="eastAsia" w:ascii="Times New Roman" w:hAnsi="Times New Roman" w:eastAsia="宋体" w:cs="Times New Roman"/>
          <w:bCs/>
          <w:color w:val="auto"/>
          <w:szCs w:val="21"/>
          <w:highlight w:val="none"/>
          <w:u w:val="single"/>
        </w:rPr>
        <w:t xml:space="preserve"> </w:t>
      </w:r>
      <w:r>
        <w:rPr>
          <w:rFonts w:hint="eastAsia" w:ascii="Times New Roman" w:hAnsi="Times New Roman" w:eastAsia="宋体" w:cs="Times New Roman"/>
          <w:bCs/>
          <w:color w:val="auto"/>
          <w:szCs w:val="21"/>
          <w:highlight w:val="none"/>
        </w:rPr>
        <w:t>万元，资产总额为</w:t>
      </w:r>
      <w:r>
        <w:rPr>
          <w:rFonts w:hint="eastAsia" w:ascii="Times New Roman" w:hAnsi="Times New Roman" w:eastAsia="宋体" w:cs="Times New Roman"/>
          <w:bCs/>
          <w:color w:val="auto"/>
          <w:szCs w:val="21"/>
          <w:highlight w:val="none"/>
          <w:u w:val="single"/>
        </w:rPr>
        <w:t xml:space="preserve">    </w:t>
      </w:r>
      <w:r>
        <w:rPr>
          <w:rFonts w:hint="eastAsia" w:ascii="Times New Roman" w:hAnsi="Times New Roman" w:eastAsia="宋体" w:cs="Times New Roman"/>
          <w:bCs/>
          <w:color w:val="auto"/>
          <w:szCs w:val="21"/>
          <w:highlight w:val="none"/>
        </w:rPr>
        <w:t>万元，属于</w:t>
      </w:r>
      <w:r>
        <w:rPr>
          <w:rFonts w:hint="eastAsia" w:ascii="Times New Roman" w:hAnsi="Times New Roman" w:eastAsia="宋体" w:cs="Times New Roman"/>
          <w:bCs/>
          <w:color w:val="auto"/>
          <w:szCs w:val="21"/>
          <w:highlight w:val="none"/>
          <w:u w:val="single"/>
        </w:rPr>
        <w:t>（中型企业、小型企业、微型企业）</w:t>
      </w:r>
      <w:r>
        <w:rPr>
          <w:rFonts w:hint="eastAsia" w:ascii="Times New Roman" w:hAnsi="Times New Roman" w:eastAsia="宋体" w:cs="Times New Roman"/>
          <w:bCs/>
          <w:color w:val="auto"/>
          <w:szCs w:val="21"/>
          <w:highlight w:val="none"/>
        </w:rPr>
        <w:t>；</w:t>
      </w:r>
    </w:p>
    <w:p w14:paraId="22FF57F2">
      <w:pPr>
        <w:spacing w:line="360" w:lineRule="auto"/>
        <w:ind w:firstLine="42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2.</w:t>
      </w:r>
      <w:r>
        <w:rPr>
          <w:rFonts w:hint="eastAsia" w:ascii="Times New Roman" w:hAnsi="Times New Roman" w:eastAsia="宋体" w:cs="Times New Roman"/>
          <w:bCs/>
          <w:color w:val="auto"/>
          <w:szCs w:val="21"/>
          <w:highlight w:val="none"/>
          <w:u w:val="single"/>
        </w:rPr>
        <w:t>（标的名称）</w:t>
      </w:r>
      <w:r>
        <w:rPr>
          <w:rFonts w:hint="eastAsia" w:ascii="Times New Roman" w:hAnsi="Times New Roman" w:eastAsia="宋体" w:cs="Times New Roman"/>
          <w:bCs/>
          <w:color w:val="auto"/>
          <w:szCs w:val="21"/>
          <w:highlight w:val="none"/>
        </w:rPr>
        <w:t>，属于</w:t>
      </w:r>
      <w:r>
        <w:rPr>
          <w:rFonts w:hint="eastAsia" w:ascii="Times New Roman" w:hAnsi="Times New Roman" w:eastAsia="宋体" w:cs="Times New Roman"/>
          <w:bCs/>
          <w:color w:val="auto"/>
          <w:szCs w:val="21"/>
          <w:highlight w:val="none"/>
          <w:u w:val="single"/>
        </w:rPr>
        <w:t>（招标文件中明确的所属行业）</w:t>
      </w:r>
      <w:r>
        <w:rPr>
          <w:rFonts w:hint="eastAsia" w:ascii="Times New Roman" w:hAnsi="Times New Roman" w:eastAsia="宋体" w:cs="Times New Roman"/>
          <w:bCs/>
          <w:color w:val="auto"/>
          <w:szCs w:val="21"/>
          <w:highlight w:val="none"/>
        </w:rPr>
        <w:t>行业；承接企业为</w:t>
      </w:r>
      <w:r>
        <w:rPr>
          <w:rFonts w:hint="eastAsia" w:ascii="Times New Roman" w:hAnsi="Times New Roman" w:eastAsia="宋体" w:cs="Times New Roman"/>
          <w:bCs/>
          <w:color w:val="auto"/>
          <w:szCs w:val="21"/>
          <w:highlight w:val="none"/>
          <w:u w:val="single"/>
        </w:rPr>
        <w:t>（企业名称）</w:t>
      </w:r>
      <w:r>
        <w:rPr>
          <w:rFonts w:hint="eastAsia" w:ascii="Times New Roman" w:hAnsi="Times New Roman" w:eastAsia="宋体" w:cs="Times New Roman"/>
          <w:bCs/>
          <w:color w:val="auto"/>
          <w:szCs w:val="21"/>
          <w:highlight w:val="none"/>
        </w:rPr>
        <w:t>，从业人员</w:t>
      </w:r>
      <w:r>
        <w:rPr>
          <w:rFonts w:hint="eastAsia" w:ascii="Times New Roman" w:hAnsi="Times New Roman" w:eastAsia="宋体" w:cs="Times New Roman"/>
          <w:bCs/>
          <w:color w:val="auto"/>
          <w:szCs w:val="21"/>
          <w:highlight w:val="none"/>
          <w:u w:val="single"/>
        </w:rPr>
        <w:t xml:space="preserve">       </w:t>
      </w:r>
      <w:r>
        <w:rPr>
          <w:rFonts w:hint="eastAsia" w:ascii="Times New Roman" w:hAnsi="Times New Roman" w:eastAsia="宋体" w:cs="Times New Roman"/>
          <w:bCs/>
          <w:color w:val="auto"/>
          <w:szCs w:val="21"/>
          <w:highlight w:val="none"/>
        </w:rPr>
        <w:t>人，营业收入为</w:t>
      </w:r>
      <w:r>
        <w:rPr>
          <w:rFonts w:hint="eastAsia" w:ascii="Times New Roman" w:hAnsi="Times New Roman" w:eastAsia="宋体" w:cs="Times New Roman"/>
          <w:bCs/>
          <w:color w:val="auto"/>
          <w:szCs w:val="21"/>
          <w:highlight w:val="none"/>
          <w:u w:val="single"/>
        </w:rPr>
        <w:t xml:space="preserve">     </w:t>
      </w:r>
      <w:r>
        <w:rPr>
          <w:rFonts w:hint="eastAsia" w:ascii="Times New Roman" w:hAnsi="Times New Roman" w:eastAsia="宋体" w:cs="Times New Roman"/>
          <w:bCs/>
          <w:color w:val="auto"/>
          <w:szCs w:val="21"/>
          <w:highlight w:val="none"/>
        </w:rPr>
        <w:t>万元，资产总额为</w:t>
      </w:r>
      <w:r>
        <w:rPr>
          <w:rFonts w:hint="eastAsia" w:ascii="Times New Roman" w:hAnsi="Times New Roman" w:eastAsia="宋体" w:cs="Times New Roman"/>
          <w:bCs/>
          <w:color w:val="auto"/>
          <w:szCs w:val="21"/>
          <w:highlight w:val="none"/>
          <w:u w:val="single"/>
        </w:rPr>
        <w:t xml:space="preserve"> </w:t>
      </w:r>
      <w:r>
        <w:rPr>
          <w:rFonts w:ascii="Times New Roman" w:hAnsi="Times New Roman" w:eastAsia="宋体" w:cs="Times New Roman"/>
          <w:bCs/>
          <w:color w:val="auto"/>
          <w:szCs w:val="21"/>
          <w:highlight w:val="none"/>
          <w:u w:val="single"/>
        </w:rPr>
        <w:t xml:space="preserve">     </w:t>
      </w:r>
      <w:r>
        <w:rPr>
          <w:rFonts w:hint="eastAsia" w:ascii="Times New Roman" w:hAnsi="Times New Roman" w:eastAsia="宋体" w:cs="Times New Roman"/>
          <w:bCs/>
          <w:color w:val="auto"/>
          <w:szCs w:val="21"/>
          <w:highlight w:val="none"/>
          <w:u w:val="single"/>
        </w:rPr>
        <w:t xml:space="preserve"> </w:t>
      </w:r>
      <w:r>
        <w:rPr>
          <w:rFonts w:hint="eastAsia" w:ascii="Times New Roman" w:hAnsi="Times New Roman" w:eastAsia="宋体" w:cs="Times New Roman"/>
          <w:bCs/>
          <w:color w:val="auto"/>
          <w:szCs w:val="21"/>
          <w:highlight w:val="none"/>
        </w:rPr>
        <w:t>万元，属于</w:t>
      </w:r>
      <w:r>
        <w:rPr>
          <w:rFonts w:hint="eastAsia" w:ascii="Times New Roman" w:hAnsi="Times New Roman" w:eastAsia="宋体" w:cs="Times New Roman"/>
          <w:bCs/>
          <w:color w:val="auto"/>
          <w:szCs w:val="21"/>
          <w:highlight w:val="none"/>
          <w:u w:val="single"/>
        </w:rPr>
        <w:t>（中型企业、小型企业、微型企业）</w:t>
      </w:r>
      <w:r>
        <w:rPr>
          <w:rFonts w:hint="eastAsia" w:ascii="Times New Roman" w:hAnsi="Times New Roman" w:eastAsia="宋体" w:cs="Times New Roman"/>
          <w:bCs/>
          <w:color w:val="auto"/>
          <w:szCs w:val="21"/>
          <w:highlight w:val="none"/>
        </w:rPr>
        <w:t>；</w:t>
      </w:r>
    </w:p>
    <w:p w14:paraId="3DFFC5A8">
      <w:pPr>
        <w:spacing w:line="360" w:lineRule="auto"/>
        <w:ind w:firstLine="420"/>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w:t>
      </w:r>
    </w:p>
    <w:p w14:paraId="03E0100D">
      <w:pPr>
        <w:spacing w:line="360" w:lineRule="auto"/>
        <w:ind w:firstLine="420"/>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以上企业，不属于大企业的分支机构，不存在控股股东为大企业的情形，也不存在与大企业的负责人为同一人的情形。</w:t>
      </w:r>
    </w:p>
    <w:p w14:paraId="18907C21">
      <w:pPr>
        <w:spacing w:line="360" w:lineRule="auto"/>
        <w:ind w:firstLine="420"/>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本企业对上述声明内容的真实性负责。如有虚假，将依法承担相应责任。</w:t>
      </w:r>
    </w:p>
    <w:p w14:paraId="18AAD3AC">
      <w:pPr>
        <w:spacing w:line="360" w:lineRule="auto"/>
        <w:ind w:firstLine="3150" w:firstLineChars="1500"/>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 xml:space="preserve">企业名称（电子签章）： </w:t>
      </w:r>
      <w:r>
        <w:rPr>
          <w:rFonts w:ascii="Times New Roman" w:hAnsi="Times New Roman" w:eastAsia="宋体" w:cs="Times New Roman"/>
          <w:bCs/>
          <w:color w:val="auto"/>
          <w:szCs w:val="21"/>
          <w:highlight w:val="none"/>
        </w:rPr>
        <w:t xml:space="preserve"> </w:t>
      </w:r>
      <w:r>
        <w:rPr>
          <w:rFonts w:hint="eastAsia" w:ascii="Times New Roman" w:hAnsi="Times New Roman" w:eastAsia="宋体" w:cs="Times New Roman"/>
          <w:bCs/>
          <w:color w:val="auto"/>
          <w:szCs w:val="21"/>
          <w:highlight w:val="none"/>
        </w:rPr>
        <w:t>日期：</w:t>
      </w:r>
    </w:p>
    <w:p w14:paraId="2D0CD9EB">
      <w:pPr>
        <w:spacing w:line="360" w:lineRule="auto"/>
        <w:jc w:val="lef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注：</w:t>
      </w:r>
    </w:p>
    <w:p w14:paraId="20FB4E44">
      <w:pPr>
        <w:spacing w:line="360" w:lineRule="auto"/>
        <w:jc w:val="lef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（1）标的名称按照第二章采购需求一览表中的名称填写，</w:t>
      </w:r>
      <w:r>
        <w:rPr>
          <w:rFonts w:ascii="Times New Roman" w:hAnsi="Times New Roman" w:eastAsia="宋体" w:cs="Times New Roman"/>
          <w:color w:val="auto"/>
          <w:szCs w:val="21"/>
          <w:highlight w:val="none"/>
        </w:rPr>
        <w:t>所属行业标明“/”的</w:t>
      </w:r>
      <w:r>
        <w:rPr>
          <w:rFonts w:hint="eastAsia" w:ascii="Times New Roman" w:hAnsi="Times New Roman" w:eastAsia="宋体" w:cs="Times New Roman"/>
          <w:bCs/>
          <w:color w:val="auto"/>
          <w:szCs w:val="21"/>
          <w:highlight w:val="none"/>
        </w:rPr>
        <w:t>，无需在上表填写。</w:t>
      </w:r>
    </w:p>
    <w:p w14:paraId="45DA4530">
      <w:pPr>
        <w:spacing w:line="360" w:lineRule="auto"/>
        <w:jc w:val="lef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w:t>
      </w:r>
      <w:r>
        <w:rPr>
          <w:rFonts w:ascii="Times New Roman" w:hAnsi="Times New Roman" w:eastAsia="宋体" w:cs="Times New Roman"/>
          <w:bCs/>
          <w:color w:val="auto"/>
          <w:szCs w:val="21"/>
          <w:highlight w:val="none"/>
        </w:rPr>
        <w:t>2</w:t>
      </w:r>
      <w:r>
        <w:rPr>
          <w:rFonts w:hint="eastAsia" w:ascii="Times New Roman" w:hAnsi="Times New Roman" w:eastAsia="宋体" w:cs="Times New Roman"/>
          <w:bCs/>
          <w:color w:val="auto"/>
          <w:szCs w:val="21"/>
          <w:highlight w:val="none"/>
        </w:rPr>
        <w:t>）如投标人为联合体或分包的，声明函中“项目名称”应填写联合体中小微企业承担的具体内容或者小微企业具体分包内容。</w:t>
      </w:r>
    </w:p>
    <w:p w14:paraId="6E4360AB">
      <w:pPr>
        <w:spacing w:line="360" w:lineRule="auto"/>
        <w:jc w:val="lef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w:t>
      </w:r>
      <w:r>
        <w:rPr>
          <w:rFonts w:ascii="Times New Roman" w:hAnsi="Times New Roman" w:eastAsia="宋体" w:cs="Times New Roman"/>
          <w:bCs/>
          <w:color w:val="auto"/>
          <w:szCs w:val="21"/>
          <w:highlight w:val="none"/>
        </w:rPr>
        <w:t>3</w:t>
      </w:r>
      <w:r>
        <w:rPr>
          <w:rFonts w:hint="eastAsia" w:ascii="Times New Roman" w:hAnsi="Times New Roman" w:eastAsia="宋体" w:cs="Times New Roman"/>
          <w:bCs/>
          <w:color w:val="auto"/>
          <w:szCs w:val="21"/>
          <w:highlight w:val="none"/>
        </w:rPr>
        <w:t>）从业人员、营业收入、资产总额填报上一年度数据，无上一年度数据的新成立企业参照国务院批准的中小企业划分标准，根据企业自身情况如实判断。</w:t>
      </w:r>
    </w:p>
    <w:p w14:paraId="467FBE98">
      <w:pPr>
        <w:spacing w:line="360" w:lineRule="auto"/>
        <w:jc w:val="lef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w:t>
      </w:r>
      <w:r>
        <w:rPr>
          <w:rFonts w:ascii="Times New Roman" w:hAnsi="Times New Roman" w:eastAsia="宋体" w:cs="Times New Roman"/>
          <w:bCs/>
          <w:color w:val="auto"/>
          <w:szCs w:val="21"/>
          <w:highlight w:val="none"/>
        </w:rPr>
        <w:t>4</w:t>
      </w:r>
      <w:r>
        <w:rPr>
          <w:rFonts w:hint="eastAsia" w:ascii="Times New Roman" w:hAnsi="Times New Roman" w:eastAsia="宋体" w:cs="Times New Roman"/>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26F975B5">
      <w:pPr>
        <w:spacing w:line="360" w:lineRule="auto"/>
        <w:jc w:val="lef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（5）根据国际统计局《劳动工资统计报表制度》，从业人员数是指本单位工作，并取得工资活其他形式劳动报酬的人员数，是在岗职工、劳务派遣人员及其他从业人员之和。</w:t>
      </w:r>
    </w:p>
    <w:p w14:paraId="3306BFAB">
      <w:pPr>
        <w:spacing w:line="360" w:lineRule="auto"/>
        <w:jc w:val="lef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w:t>
      </w:r>
      <w:r>
        <w:rPr>
          <w:rFonts w:ascii="Times New Roman" w:hAnsi="Times New Roman" w:eastAsia="宋体" w:cs="Times New Roman"/>
          <w:bCs/>
          <w:color w:val="auto"/>
          <w:szCs w:val="21"/>
          <w:highlight w:val="none"/>
        </w:rPr>
        <w:t>6</w:t>
      </w:r>
      <w:r>
        <w:rPr>
          <w:rFonts w:hint="eastAsia" w:ascii="Times New Roman" w:hAnsi="Times New Roman" w:eastAsia="宋体" w:cs="Times New Roman"/>
          <w:bCs/>
          <w:color w:val="auto"/>
          <w:szCs w:val="21"/>
          <w:highlight w:val="none"/>
        </w:rPr>
        <w:t>）本声明函由投标人填写，投标人应按中小企业划分标准《关于印发中小企业划型标准规定的通知》（工信部联企业〔2011〕300号</w:t>
      </w:r>
      <w:r>
        <w:rPr>
          <w:rFonts w:hint="eastAsia" w:ascii="Times New Roman" w:hAnsi="Times New Roman" w:eastAsia="宋体" w:cs="Times New Roman"/>
          <w:color w:val="auto"/>
          <w:szCs w:val="21"/>
          <w:highlight w:val="none"/>
        </w:rPr>
        <w:t>以及《金融业企业划型标准规定》（银发〔2015〕309号）</w:t>
      </w:r>
      <w:r>
        <w:rPr>
          <w:rFonts w:hint="eastAsia" w:ascii="Times New Roman" w:hAnsi="Times New Roman" w:eastAsia="宋体" w:cs="Times New Roman"/>
          <w:bCs/>
          <w:color w:val="auto"/>
          <w:szCs w:val="21"/>
          <w:highlight w:val="none"/>
        </w:rPr>
        <w:t>）判断是否为中小企业。</w:t>
      </w:r>
    </w:p>
    <w:p w14:paraId="3B7C5573">
      <w:pPr>
        <w:spacing w:line="360" w:lineRule="auto"/>
        <w:jc w:val="lef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w:t>
      </w:r>
      <w:r>
        <w:rPr>
          <w:rFonts w:ascii="Times New Roman" w:hAnsi="Times New Roman" w:eastAsia="宋体" w:cs="Times New Roman"/>
          <w:bCs/>
          <w:color w:val="auto"/>
          <w:szCs w:val="21"/>
          <w:highlight w:val="none"/>
        </w:rPr>
        <w:t>7</w:t>
      </w:r>
      <w:r>
        <w:rPr>
          <w:rFonts w:hint="eastAsia" w:ascii="Times New Roman" w:hAnsi="Times New Roman" w:eastAsia="宋体" w:cs="Times New Roman"/>
          <w:bCs/>
          <w:color w:val="auto"/>
          <w:szCs w:val="21"/>
          <w:highlight w:val="none"/>
        </w:rPr>
        <w:t>）投标人对《中小企业声明函》的真实性负责，如有虚假则需承担不利后果。依法享受中小企业优惠政策的，采购人或采购代理机构在公告成交结果时，同时公告其《中小企业声明函》，接受社会监督。</w:t>
      </w:r>
    </w:p>
    <w:p w14:paraId="4A5395CF">
      <w:pPr>
        <w:spacing w:line="360" w:lineRule="auto"/>
        <w:jc w:val="lef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w:t>
      </w:r>
      <w:r>
        <w:rPr>
          <w:rFonts w:ascii="Times New Roman" w:hAnsi="Times New Roman" w:eastAsia="宋体" w:cs="Times New Roman"/>
          <w:bCs/>
          <w:color w:val="auto"/>
          <w:szCs w:val="21"/>
          <w:highlight w:val="none"/>
        </w:rPr>
        <w:t>8</w:t>
      </w:r>
      <w:r>
        <w:rPr>
          <w:rFonts w:hint="eastAsia" w:ascii="Times New Roman" w:hAnsi="Times New Roman" w:eastAsia="宋体" w:cs="Times New Roman"/>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6C933D17">
      <w:pPr>
        <w:snapToGrid w:val="0"/>
        <w:spacing w:before="50" w:after="120" w:afterLines="50"/>
        <w:jc w:val="left"/>
        <w:rPr>
          <w:rFonts w:ascii="Times New Roman" w:hAnsi="Times New Roman" w:eastAsia="宋体" w:cs="Times New Roman"/>
          <w:color w:val="auto"/>
          <w:szCs w:val="21"/>
          <w:highlight w:val="none"/>
        </w:rPr>
      </w:pPr>
    </w:p>
    <w:p w14:paraId="1ADA91C9">
      <w:pPr>
        <w:snapToGrid w:val="0"/>
        <w:spacing w:before="50" w:after="120" w:afterLines="5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w:t>
      </w:r>
      <w:r>
        <w:rPr>
          <w:rFonts w:ascii="Times New Roman" w:hAnsi="Times New Roman" w:eastAsia="宋体" w:cs="Times New Roman"/>
          <w:color w:val="auto"/>
          <w:szCs w:val="21"/>
          <w:highlight w:val="none"/>
        </w:rPr>
        <w:t>.2监狱企业须提供最新一期《XX省监狱企业产品目录》或其他监狱企业证明材料。（非监狱企业无需提供）</w:t>
      </w:r>
    </w:p>
    <w:p w14:paraId="65CAE83B">
      <w:pPr>
        <w:snapToGrid w:val="0"/>
        <w:spacing w:before="50" w:after="120" w:afterLines="50"/>
        <w:jc w:val="left"/>
        <w:rPr>
          <w:rFonts w:ascii="Times New Roman" w:hAnsi="Times New Roman" w:eastAsia="宋体" w:cs="Times New Roman"/>
          <w:color w:val="auto"/>
          <w:szCs w:val="21"/>
          <w:highlight w:val="none"/>
        </w:rPr>
      </w:pPr>
    </w:p>
    <w:p w14:paraId="1B5A762F">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w:t>
      </w:r>
      <w:r>
        <w:rPr>
          <w:rFonts w:ascii="Times New Roman" w:hAnsi="Times New Roman" w:eastAsia="宋体" w:cs="Times New Roman"/>
          <w:color w:val="auto"/>
          <w:szCs w:val="21"/>
          <w:highlight w:val="none"/>
        </w:rPr>
        <w:t>.3</w:t>
      </w:r>
      <w:r>
        <w:rPr>
          <w:rFonts w:ascii="Times New Roman" w:hAnsi="Times New Roman" w:eastAsia="宋体" w:cs="Times New Roman"/>
          <w:color w:val="auto"/>
          <w:szCs w:val="24"/>
          <w:highlight w:val="none"/>
        </w:rPr>
        <w:t>残疾人福利性单位须提供《残疾人福利性单位声明函》，格式如下。</w:t>
      </w:r>
      <w:r>
        <w:rPr>
          <w:rFonts w:ascii="Times New Roman" w:hAnsi="Times New Roman" w:eastAsia="宋体" w:cs="Times New Roman"/>
          <w:color w:val="auto"/>
          <w:szCs w:val="21"/>
          <w:highlight w:val="none"/>
        </w:rPr>
        <w:t>（非残疾人福利性单位无需提供）</w:t>
      </w:r>
    </w:p>
    <w:p w14:paraId="09AD9B54">
      <w:pPr>
        <w:spacing w:line="360" w:lineRule="auto"/>
        <w:jc w:val="center"/>
        <w:rPr>
          <w:rFonts w:ascii="Times New Roman" w:hAnsi="Times New Roman" w:eastAsia="宋体" w:cs="Times New Roman"/>
          <w:b/>
          <w:color w:val="auto"/>
          <w:szCs w:val="21"/>
          <w:highlight w:val="none"/>
        </w:rPr>
      </w:pPr>
    </w:p>
    <w:p w14:paraId="2AF88A82">
      <w:pPr>
        <w:spacing w:line="360" w:lineRule="auto"/>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残疾人福利性单位声明函</w:t>
      </w:r>
    </w:p>
    <w:p w14:paraId="48C9DC06">
      <w:pPr>
        <w:spacing w:line="360" w:lineRule="auto"/>
        <w:ind w:firstLine="42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单位的</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19BD9973">
      <w:pPr>
        <w:spacing w:line="360" w:lineRule="auto"/>
        <w:ind w:firstLine="42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本单位对上述声明的真实性负责。如有虚假，将依法承担相应责任。</w:t>
      </w:r>
    </w:p>
    <w:p w14:paraId="58545B1D">
      <w:pPr>
        <w:spacing w:line="360" w:lineRule="auto"/>
        <w:ind w:firstLine="420"/>
        <w:jc w:val="right"/>
        <w:rPr>
          <w:rFonts w:ascii="Times New Roman" w:hAnsi="Times New Roman" w:eastAsia="宋体" w:cs="Times New Roman"/>
          <w:color w:val="auto"/>
          <w:spacing w:val="6"/>
          <w:szCs w:val="21"/>
          <w:highlight w:val="none"/>
        </w:rPr>
      </w:pPr>
      <w:r>
        <w:rPr>
          <w:rFonts w:ascii="Times New Roman" w:hAnsi="Times New Roman" w:eastAsia="宋体" w:cs="Times New Roman"/>
          <w:color w:val="auto"/>
          <w:spacing w:val="6"/>
          <w:sz w:val="30"/>
          <w:szCs w:val="30"/>
          <w:highlight w:val="none"/>
        </w:rPr>
        <w:t xml:space="preserve"> </w:t>
      </w:r>
      <w:r>
        <w:rPr>
          <w:rFonts w:ascii="Times New Roman" w:hAnsi="Times New Roman" w:eastAsia="宋体" w:cs="Times New Roman"/>
          <w:color w:val="auto"/>
          <w:spacing w:val="6"/>
          <w:szCs w:val="21"/>
          <w:highlight w:val="none"/>
        </w:rPr>
        <w:t xml:space="preserve"> </w:t>
      </w:r>
      <w:r>
        <w:rPr>
          <w:rFonts w:hint="eastAsia" w:ascii="Times New Roman" w:hAnsi="Times New Roman" w:eastAsia="宋体" w:cs="Times New Roman"/>
          <w:color w:val="auto"/>
          <w:spacing w:val="6"/>
          <w:szCs w:val="21"/>
          <w:highlight w:val="none"/>
        </w:rPr>
        <w:t xml:space="preserve">                                            </w:t>
      </w:r>
      <w:r>
        <w:rPr>
          <w:rFonts w:ascii="Times New Roman" w:hAnsi="Times New Roman" w:eastAsia="宋体" w:cs="Times New Roman"/>
          <w:color w:val="auto"/>
          <w:spacing w:val="6"/>
          <w:szCs w:val="21"/>
          <w:highlight w:val="none"/>
        </w:rPr>
        <w:t>单位名称</w:t>
      </w:r>
      <w:r>
        <w:rPr>
          <w:rFonts w:hint="eastAsia" w:ascii="Times New Roman" w:hAnsi="Times New Roman" w:eastAsia="宋体" w:cs="Times New Roman"/>
          <w:color w:val="auto"/>
          <w:szCs w:val="21"/>
          <w:highlight w:val="none"/>
        </w:rPr>
        <w:t>(电子签章</w:t>
      </w:r>
      <w:r>
        <w:rPr>
          <w:rFonts w:ascii="Times New Roman" w:hAnsi="Times New Roman" w:eastAsia="宋体" w:cs="Times New Roman"/>
          <w:color w:val="auto"/>
          <w:szCs w:val="21"/>
          <w:highlight w:val="none"/>
        </w:rPr>
        <w:t>)</w:t>
      </w:r>
      <w:r>
        <w:rPr>
          <w:rFonts w:ascii="Times New Roman" w:hAnsi="Times New Roman" w:eastAsia="宋体" w:cs="Times New Roman"/>
          <w:color w:val="auto"/>
          <w:spacing w:val="6"/>
          <w:szCs w:val="21"/>
          <w:highlight w:val="none"/>
        </w:rPr>
        <w:t xml:space="preserve">：          </w:t>
      </w:r>
    </w:p>
    <w:p w14:paraId="672BA417">
      <w:pPr>
        <w:spacing w:line="360" w:lineRule="auto"/>
        <w:ind w:firstLine="420"/>
        <w:jc w:val="right"/>
        <w:rPr>
          <w:rFonts w:ascii="Times New Roman" w:hAnsi="Times New Roman" w:eastAsia="宋体" w:cs="Times New Roman"/>
          <w:color w:val="auto"/>
          <w:spacing w:val="6"/>
          <w:szCs w:val="21"/>
          <w:highlight w:val="none"/>
        </w:rPr>
      </w:pPr>
      <w:r>
        <w:rPr>
          <w:rFonts w:ascii="Times New Roman" w:hAnsi="Times New Roman" w:eastAsia="宋体" w:cs="Times New Roman"/>
          <w:color w:val="auto"/>
          <w:spacing w:val="6"/>
          <w:szCs w:val="21"/>
          <w:highlight w:val="none"/>
        </w:rPr>
        <w:t xml:space="preserve"> </w:t>
      </w:r>
      <w:r>
        <w:rPr>
          <w:rFonts w:hint="eastAsia" w:ascii="Times New Roman" w:hAnsi="Times New Roman" w:eastAsia="宋体" w:cs="Times New Roman"/>
          <w:color w:val="auto"/>
          <w:spacing w:val="6"/>
          <w:szCs w:val="21"/>
          <w:highlight w:val="none"/>
        </w:rPr>
        <w:t xml:space="preserve">                                                      </w:t>
      </w:r>
      <w:r>
        <w:rPr>
          <w:rFonts w:ascii="Times New Roman" w:hAnsi="Times New Roman" w:eastAsia="宋体" w:cs="Times New Roman"/>
          <w:color w:val="auto"/>
          <w:spacing w:val="6"/>
          <w:szCs w:val="21"/>
          <w:highlight w:val="none"/>
        </w:rPr>
        <w:t>日  期：</w:t>
      </w:r>
    </w:p>
    <w:p w14:paraId="791AE75D">
      <w:pPr>
        <w:snapToGrid w:val="0"/>
        <w:spacing w:before="50"/>
        <w:jc w:val="left"/>
        <w:rPr>
          <w:rFonts w:ascii="Times New Roman" w:hAnsi="Times New Roman" w:eastAsia="宋体" w:cs="Times New Roman"/>
          <w:color w:val="auto"/>
          <w:szCs w:val="21"/>
          <w:highlight w:val="none"/>
        </w:rPr>
      </w:pPr>
    </w:p>
    <w:p w14:paraId="42462995">
      <w:pPr>
        <w:snapToGrid w:val="0"/>
        <w:spacing w:before="50"/>
        <w:jc w:val="left"/>
        <w:rPr>
          <w:rFonts w:ascii="Times New Roman" w:hAnsi="Times New Roman" w:eastAsia="宋体" w:cs="Times New Roman"/>
          <w:color w:val="auto"/>
          <w:szCs w:val="21"/>
          <w:highlight w:val="none"/>
        </w:rPr>
      </w:pPr>
    </w:p>
    <w:p w14:paraId="18B61046">
      <w:pPr>
        <w:snapToGrid w:val="0"/>
        <w:spacing w:before="5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br w:type="page"/>
      </w:r>
    </w:p>
    <w:p w14:paraId="02399F68">
      <w:pPr>
        <w:snapToGrid w:val="0"/>
        <w:spacing w:line="380" w:lineRule="exact"/>
        <w:jc w:val="left"/>
        <w:rPr>
          <w:rFonts w:ascii="宋体" w:hAnsi="宋体" w:eastAsia="宋体" w:cs="Times New Roman"/>
          <w:color w:val="auto"/>
          <w:szCs w:val="21"/>
          <w:highlight w:val="none"/>
        </w:rPr>
      </w:pPr>
      <w:r>
        <w:rPr>
          <w:rFonts w:hint="eastAsia" w:ascii="Times New Roman" w:hAnsi="Times New Roman" w:eastAsia="宋体" w:cs="Times New Roman"/>
          <w:color w:val="auto"/>
          <w:szCs w:val="21"/>
          <w:highlight w:val="none"/>
        </w:rPr>
        <w:t>6</w:t>
      </w:r>
      <w:r>
        <w:rPr>
          <w:rFonts w:ascii="Times New Roman" w:hAnsi="Times New Roman" w:eastAsia="宋体" w:cs="Times New Roman"/>
          <w:color w:val="auto"/>
          <w:szCs w:val="21"/>
          <w:highlight w:val="none"/>
        </w:rPr>
        <w:t>．</w:t>
      </w:r>
      <w:r>
        <w:rPr>
          <w:rFonts w:hint="eastAsia" w:ascii="宋体" w:hAnsi="宋体" w:eastAsia="宋体" w:cs="Times New Roman"/>
          <w:color w:val="auto"/>
          <w:szCs w:val="21"/>
          <w:highlight w:val="none"/>
        </w:rPr>
        <w:t>除招标文件规定必须提供以外，投标人认为需要提供的其他证明材料。（投标人根据“第二章 采购需求”及“第四章 评标方法及评标标准”提供有关证明材料）。</w:t>
      </w:r>
    </w:p>
    <w:p w14:paraId="76949A73">
      <w:pPr>
        <w:snapToGrid w:val="0"/>
        <w:spacing w:before="50" w:after="120" w:afterLines="50"/>
        <w:jc w:val="left"/>
        <w:rPr>
          <w:rFonts w:ascii="Times New Roman" w:hAnsi="Times New Roman" w:eastAsia="宋体" w:cs="Times New Roman"/>
          <w:color w:val="auto"/>
          <w:szCs w:val="21"/>
          <w:highlight w:val="none"/>
        </w:rPr>
      </w:pPr>
    </w:p>
    <w:p w14:paraId="00F5368F">
      <w:pPr>
        <w:snapToGrid w:val="0"/>
        <w:spacing w:before="50" w:after="120" w:afterLines="50"/>
        <w:jc w:val="left"/>
        <w:rPr>
          <w:rFonts w:ascii="Times New Roman" w:hAnsi="Times New Roman" w:eastAsia="宋体" w:cs="Times New Roman"/>
          <w:color w:val="auto"/>
          <w:szCs w:val="21"/>
          <w:highlight w:val="none"/>
        </w:rPr>
      </w:pPr>
    </w:p>
    <w:p w14:paraId="4EB98554">
      <w:pPr>
        <w:snapToGrid w:val="0"/>
        <w:spacing w:before="50" w:after="120" w:afterLines="50"/>
        <w:jc w:val="left"/>
        <w:rPr>
          <w:rFonts w:ascii="Times New Roman" w:hAnsi="Times New Roman" w:eastAsia="宋体" w:cs="Times New Roman"/>
          <w:color w:val="auto"/>
          <w:szCs w:val="21"/>
          <w:highlight w:val="none"/>
        </w:rPr>
      </w:pPr>
    </w:p>
    <w:p w14:paraId="656E70A0">
      <w:pPr>
        <w:snapToGrid w:val="0"/>
        <w:spacing w:before="50" w:after="120" w:afterLines="50"/>
        <w:jc w:val="left"/>
        <w:rPr>
          <w:rFonts w:ascii="Times New Roman" w:hAnsi="Times New Roman" w:eastAsia="宋体" w:cs="Times New Roman"/>
          <w:color w:val="auto"/>
          <w:szCs w:val="21"/>
          <w:highlight w:val="none"/>
        </w:rPr>
      </w:pPr>
    </w:p>
    <w:p w14:paraId="7DF8989C">
      <w:pPr>
        <w:snapToGrid w:val="0"/>
        <w:spacing w:before="50" w:after="120" w:afterLines="50"/>
        <w:jc w:val="left"/>
        <w:rPr>
          <w:rFonts w:ascii="Times New Roman" w:hAnsi="Times New Roman" w:eastAsia="宋体" w:cs="Times New Roman"/>
          <w:color w:val="auto"/>
          <w:szCs w:val="21"/>
          <w:highlight w:val="none"/>
        </w:rPr>
      </w:pPr>
    </w:p>
    <w:p w14:paraId="247BB6BC">
      <w:pPr>
        <w:snapToGrid w:val="0"/>
        <w:spacing w:before="50" w:after="120" w:afterLines="50"/>
        <w:jc w:val="left"/>
        <w:rPr>
          <w:rFonts w:ascii="Times New Roman" w:hAnsi="Times New Roman" w:eastAsia="宋体" w:cs="Times New Roman"/>
          <w:color w:val="auto"/>
          <w:szCs w:val="21"/>
          <w:highlight w:val="none"/>
        </w:rPr>
      </w:pPr>
    </w:p>
    <w:p w14:paraId="3320C936">
      <w:pPr>
        <w:snapToGrid w:val="0"/>
        <w:spacing w:before="50" w:after="120" w:afterLines="50"/>
        <w:jc w:val="left"/>
        <w:rPr>
          <w:rFonts w:ascii="Times New Roman" w:hAnsi="Times New Roman" w:eastAsia="宋体" w:cs="Times New Roman"/>
          <w:color w:val="auto"/>
          <w:szCs w:val="21"/>
          <w:highlight w:val="none"/>
        </w:rPr>
      </w:pPr>
    </w:p>
    <w:p w14:paraId="42A0693C">
      <w:pPr>
        <w:snapToGrid w:val="0"/>
        <w:spacing w:before="50" w:after="120" w:afterLines="50"/>
        <w:jc w:val="left"/>
        <w:rPr>
          <w:rFonts w:ascii="Times New Roman" w:hAnsi="Times New Roman" w:eastAsia="宋体" w:cs="Times New Roman"/>
          <w:color w:val="auto"/>
          <w:szCs w:val="21"/>
          <w:highlight w:val="none"/>
        </w:rPr>
      </w:pPr>
    </w:p>
    <w:p w14:paraId="4492464E">
      <w:pPr>
        <w:snapToGrid w:val="0"/>
        <w:spacing w:before="50" w:after="120" w:afterLines="50"/>
        <w:jc w:val="left"/>
        <w:rPr>
          <w:rFonts w:ascii="Times New Roman" w:hAnsi="Times New Roman" w:eastAsia="宋体" w:cs="Times New Roman"/>
          <w:color w:val="auto"/>
          <w:szCs w:val="21"/>
          <w:highlight w:val="none"/>
        </w:rPr>
      </w:pPr>
    </w:p>
    <w:p w14:paraId="0D7E702E">
      <w:pPr>
        <w:snapToGrid w:val="0"/>
        <w:spacing w:before="50" w:after="120" w:afterLines="50"/>
        <w:jc w:val="left"/>
        <w:rPr>
          <w:rFonts w:ascii="Times New Roman" w:hAnsi="Times New Roman" w:eastAsia="宋体" w:cs="Times New Roman"/>
          <w:color w:val="auto"/>
          <w:szCs w:val="21"/>
          <w:highlight w:val="none"/>
        </w:rPr>
      </w:pPr>
    </w:p>
    <w:p w14:paraId="26035892">
      <w:pPr>
        <w:snapToGrid w:val="0"/>
        <w:spacing w:before="50" w:after="120" w:afterLines="50"/>
        <w:jc w:val="left"/>
        <w:rPr>
          <w:rFonts w:ascii="Times New Roman" w:hAnsi="Times New Roman" w:eastAsia="宋体" w:cs="Times New Roman"/>
          <w:color w:val="auto"/>
          <w:szCs w:val="21"/>
          <w:highlight w:val="none"/>
        </w:rPr>
      </w:pPr>
    </w:p>
    <w:p w14:paraId="1A2D49D1">
      <w:pPr>
        <w:snapToGrid w:val="0"/>
        <w:spacing w:before="50" w:after="120" w:afterLines="50"/>
        <w:jc w:val="left"/>
        <w:rPr>
          <w:rFonts w:ascii="Times New Roman" w:hAnsi="Times New Roman" w:eastAsia="宋体" w:cs="Times New Roman"/>
          <w:color w:val="auto"/>
          <w:szCs w:val="21"/>
          <w:highlight w:val="none"/>
        </w:rPr>
      </w:pPr>
    </w:p>
    <w:p w14:paraId="1070829F">
      <w:pPr>
        <w:snapToGrid w:val="0"/>
        <w:spacing w:before="50" w:after="120" w:afterLines="50"/>
        <w:jc w:val="left"/>
        <w:rPr>
          <w:rFonts w:ascii="Times New Roman" w:hAnsi="Times New Roman" w:eastAsia="宋体" w:cs="Times New Roman"/>
          <w:color w:val="auto"/>
          <w:szCs w:val="21"/>
          <w:highlight w:val="none"/>
        </w:rPr>
      </w:pPr>
    </w:p>
    <w:p w14:paraId="3F4E2240">
      <w:pPr>
        <w:snapToGrid w:val="0"/>
        <w:spacing w:before="50" w:after="120" w:afterLines="50"/>
        <w:jc w:val="left"/>
        <w:rPr>
          <w:rFonts w:ascii="Times New Roman" w:hAnsi="Times New Roman" w:eastAsia="宋体" w:cs="Times New Roman"/>
          <w:color w:val="auto"/>
          <w:szCs w:val="21"/>
          <w:highlight w:val="none"/>
        </w:rPr>
      </w:pPr>
    </w:p>
    <w:p w14:paraId="32800898">
      <w:pPr>
        <w:snapToGrid w:val="0"/>
        <w:spacing w:before="50" w:after="120" w:afterLines="50"/>
        <w:jc w:val="left"/>
        <w:rPr>
          <w:rFonts w:ascii="Times New Roman" w:hAnsi="Times New Roman" w:eastAsia="宋体" w:cs="Times New Roman"/>
          <w:color w:val="auto"/>
          <w:szCs w:val="21"/>
          <w:highlight w:val="none"/>
        </w:rPr>
      </w:pPr>
    </w:p>
    <w:p w14:paraId="626E8B98">
      <w:pPr>
        <w:snapToGrid w:val="0"/>
        <w:spacing w:before="50" w:after="120" w:afterLines="50"/>
        <w:jc w:val="left"/>
        <w:rPr>
          <w:rFonts w:ascii="Times New Roman" w:hAnsi="Times New Roman" w:eastAsia="宋体" w:cs="Times New Roman"/>
          <w:color w:val="auto"/>
          <w:szCs w:val="21"/>
          <w:highlight w:val="none"/>
        </w:rPr>
      </w:pPr>
    </w:p>
    <w:p w14:paraId="59B8159D">
      <w:pPr>
        <w:snapToGrid w:val="0"/>
        <w:spacing w:before="50" w:after="120" w:afterLines="50"/>
        <w:jc w:val="left"/>
        <w:rPr>
          <w:rFonts w:ascii="Times New Roman" w:hAnsi="Times New Roman" w:eastAsia="宋体" w:cs="Times New Roman"/>
          <w:color w:val="auto"/>
          <w:szCs w:val="21"/>
          <w:highlight w:val="none"/>
        </w:rPr>
      </w:pPr>
    </w:p>
    <w:p w14:paraId="372727E0">
      <w:pPr>
        <w:snapToGrid w:val="0"/>
        <w:spacing w:before="50" w:after="120" w:afterLines="50"/>
        <w:jc w:val="left"/>
        <w:rPr>
          <w:rFonts w:ascii="Times New Roman" w:hAnsi="Times New Roman" w:eastAsia="宋体" w:cs="Times New Roman"/>
          <w:color w:val="auto"/>
          <w:szCs w:val="21"/>
          <w:highlight w:val="none"/>
        </w:rPr>
      </w:pPr>
    </w:p>
    <w:p w14:paraId="50B8D4E8">
      <w:pPr>
        <w:snapToGrid w:val="0"/>
        <w:spacing w:before="50" w:after="120" w:afterLines="50"/>
        <w:jc w:val="left"/>
        <w:rPr>
          <w:rFonts w:ascii="Times New Roman" w:hAnsi="Times New Roman" w:eastAsia="宋体" w:cs="Times New Roman"/>
          <w:color w:val="auto"/>
          <w:szCs w:val="21"/>
          <w:highlight w:val="none"/>
        </w:rPr>
      </w:pPr>
    </w:p>
    <w:p w14:paraId="0EE07764">
      <w:pPr>
        <w:snapToGrid w:val="0"/>
        <w:spacing w:before="50" w:after="120" w:afterLines="50"/>
        <w:jc w:val="left"/>
        <w:rPr>
          <w:rFonts w:ascii="Times New Roman" w:hAnsi="Times New Roman" w:eastAsia="宋体" w:cs="Times New Roman"/>
          <w:color w:val="auto"/>
          <w:szCs w:val="21"/>
          <w:highlight w:val="none"/>
        </w:rPr>
      </w:pPr>
    </w:p>
    <w:p w14:paraId="2F65E244">
      <w:pPr>
        <w:snapToGrid w:val="0"/>
        <w:spacing w:before="50" w:after="120" w:afterLines="50"/>
        <w:jc w:val="left"/>
        <w:rPr>
          <w:rFonts w:ascii="Times New Roman" w:hAnsi="Times New Roman" w:eastAsia="宋体" w:cs="Times New Roman"/>
          <w:color w:val="auto"/>
          <w:szCs w:val="21"/>
          <w:highlight w:val="none"/>
        </w:rPr>
      </w:pPr>
    </w:p>
    <w:p w14:paraId="56EAF8F6">
      <w:pPr>
        <w:snapToGrid w:val="0"/>
        <w:spacing w:before="50" w:after="120" w:afterLines="50"/>
        <w:jc w:val="left"/>
        <w:rPr>
          <w:rFonts w:ascii="Times New Roman" w:hAnsi="Times New Roman" w:eastAsia="宋体" w:cs="Times New Roman"/>
          <w:color w:val="auto"/>
          <w:szCs w:val="21"/>
          <w:highlight w:val="none"/>
        </w:rPr>
      </w:pPr>
    </w:p>
    <w:p w14:paraId="34B9AED4">
      <w:pPr>
        <w:snapToGrid w:val="0"/>
        <w:spacing w:before="50" w:after="120" w:afterLines="50"/>
        <w:jc w:val="left"/>
        <w:rPr>
          <w:rFonts w:ascii="Times New Roman" w:hAnsi="Times New Roman" w:eastAsia="宋体" w:cs="Times New Roman"/>
          <w:color w:val="auto"/>
          <w:szCs w:val="21"/>
          <w:highlight w:val="none"/>
        </w:rPr>
      </w:pPr>
    </w:p>
    <w:p w14:paraId="58FD1A51">
      <w:pPr>
        <w:snapToGrid w:val="0"/>
        <w:spacing w:before="50" w:after="120" w:afterLines="50"/>
        <w:jc w:val="left"/>
        <w:rPr>
          <w:rFonts w:ascii="Times New Roman" w:hAnsi="Times New Roman" w:eastAsia="宋体" w:cs="Times New Roman"/>
          <w:color w:val="auto"/>
          <w:szCs w:val="21"/>
          <w:highlight w:val="none"/>
        </w:rPr>
      </w:pPr>
    </w:p>
    <w:p w14:paraId="7B51352C">
      <w:pPr>
        <w:snapToGrid w:val="0"/>
        <w:spacing w:before="50" w:after="120" w:afterLines="50"/>
        <w:jc w:val="left"/>
        <w:rPr>
          <w:rFonts w:ascii="Times New Roman" w:hAnsi="Times New Roman" w:eastAsia="宋体" w:cs="Times New Roman"/>
          <w:color w:val="auto"/>
          <w:szCs w:val="21"/>
          <w:highlight w:val="none"/>
        </w:rPr>
      </w:pPr>
    </w:p>
    <w:p w14:paraId="1ADD2FE9">
      <w:pPr>
        <w:snapToGrid w:val="0"/>
        <w:spacing w:before="50" w:after="120" w:afterLines="50"/>
        <w:jc w:val="left"/>
        <w:rPr>
          <w:rFonts w:ascii="Times New Roman" w:hAnsi="Times New Roman" w:eastAsia="宋体" w:cs="Times New Roman"/>
          <w:color w:val="auto"/>
          <w:szCs w:val="21"/>
          <w:highlight w:val="none"/>
        </w:rPr>
      </w:pPr>
    </w:p>
    <w:p w14:paraId="6A17CEBA">
      <w:pPr>
        <w:snapToGrid w:val="0"/>
        <w:spacing w:before="50" w:after="120" w:afterLines="50"/>
        <w:jc w:val="left"/>
        <w:rPr>
          <w:rFonts w:ascii="Times New Roman" w:hAnsi="Times New Roman" w:eastAsia="宋体" w:cs="Times New Roman"/>
          <w:color w:val="auto"/>
          <w:szCs w:val="21"/>
          <w:highlight w:val="none"/>
        </w:rPr>
      </w:pPr>
    </w:p>
    <w:p w14:paraId="61821A4F">
      <w:pPr>
        <w:snapToGrid w:val="0"/>
        <w:spacing w:before="50" w:after="120" w:afterLines="50"/>
        <w:jc w:val="left"/>
        <w:rPr>
          <w:rFonts w:ascii="Times New Roman" w:hAnsi="Times New Roman" w:eastAsia="宋体" w:cs="Times New Roman"/>
          <w:color w:val="auto"/>
          <w:szCs w:val="21"/>
          <w:highlight w:val="none"/>
        </w:rPr>
      </w:pPr>
    </w:p>
    <w:p w14:paraId="7CC71A39">
      <w:pPr>
        <w:snapToGrid w:val="0"/>
        <w:spacing w:before="50" w:after="120" w:afterLines="50"/>
        <w:jc w:val="left"/>
        <w:rPr>
          <w:rFonts w:ascii="Times New Roman" w:hAnsi="Times New Roman" w:eastAsia="宋体" w:cs="Times New Roman"/>
          <w:color w:val="auto"/>
          <w:szCs w:val="21"/>
          <w:highlight w:val="none"/>
        </w:rPr>
      </w:pPr>
    </w:p>
    <w:p w14:paraId="372B8CA4">
      <w:pPr>
        <w:snapToGrid w:val="0"/>
        <w:spacing w:before="50" w:after="120" w:afterLines="50"/>
        <w:jc w:val="left"/>
        <w:rPr>
          <w:rFonts w:ascii="Times New Roman" w:hAnsi="Times New Roman" w:eastAsia="宋体" w:cs="Times New Roman"/>
          <w:color w:val="auto"/>
          <w:szCs w:val="21"/>
          <w:highlight w:val="none"/>
        </w:rPr>
      </w:pPr>
    </w:p>
    <w:p w14:paraId="6BA86D46">
      <w:pPr>
        <w:snapToGrid w:val="0"/>
        <w:spacing w:before="50" w:after="120" w:afterLines="50"/>
        <w:jc w:val="left"/>
        <w:rPr>
          <w:rFonts w:ascii="Times New Roman" w:hAnsi="Times New Roman" w:eastAsia="宋体" w:cs="Times New Roman"/>
          <w:color w:val="auto"/>
          <w:szCs w:val="21"/>
          <w:highlight w:val="none"/>
        </w:rPr>
      </w:pPr>
    </w:p>
    <w:p w14:paraId="33A7350F">
      <w:pPr>
        <w:snapToGrid w:val="0"/>
        <w:spacing w:before="50" w:after="120" w:afterLines="50"/>
        <w:jc w:val="left"/>
        <w:rPr>
          <w:rFonts w:ascii="Times New Roman" w:hAnsi="Times New Roman" w:eastAsia="宋体" w:cs="Times New Roman"/>
          <w:color w:val="auto"/>
          <w:szCs w:val="21"/>
          <w:highlight w:val="none"/>
        </w:rPr>
      </w:pPr>
    </w:p>
    <w:p w14:paraId="2C3C4BC6">
      <w:pPr>
        <w:snapToGrid w:val="0"/>
        <w:spacing w:before="50" w:after="120" w:afterLines="50"/>
        <w:jc w:val="left"/>
        <w:rPr>
          <w:rFonts w:ascii="Times New Roman" w:hAnsi="Times New Roman" w:eastAsia="宋体" w:cs="Times New Roman"/>
          <w:color w:val="auto"/>
          <w:szCs w:val="21"/>
          <w:highlight w:val="none"/>
        </w:rPr>
      </w:pPr>
    </w:p>
    <w:p w14:paraId="631A901F">
      <w:pPr>
        <w:snapToGrid w:val="0"/>
        <w:spacing w:before="50" w:after="120" w:afterLines="50"/>
        <w:jc w:val="left"/>
        <w:rPr>
          <w:rFonts w:ascii="Times New Roman" w:hAnsi="Times New Roman" w:eastAsia="宋体" w:cs="Times New Roman"/>
          <w:color w:val="auto"/>
          <w:szCs w:val="21"/>
          <w:highlight w:val="none"/>
        </w:rPr>
      </w:pPr>
    </w:p>
    <w:p w14:paraId="4A9E61FF">
      <w:pPr>
        <w:snapToGrid w:val="0"/>
        <w:spacing w:before="50" w:after="120" w:afterLines="50"/>
        <w:jc w:val="left"/>
        <w:rPr>
          <w:rFonts w:ascii="Times New Roman" w:hAnsi="Times New Roman" w:eastAsia="宋体" w:cs="Times New Roman"/>
          <w:color w:val="auto"/>
          <w:szCs w:val="21"/>
          <w:highlight w:val="none"/>
        </w:rPr>
      </w:pPr>
    </w:p>
    <w:p w14:paraId="6242FAD3">
      <w:pPr>
        <w:snapToGrid w:val="0"/>
        <w:spacing w:before="50" w:after="120" w:afterLines="50"/>
        <w:jc w:val="left"/>
        <w:rPr>
          <w:rFonts w:ascii="Times New Roman" w:hAnsi="Times New Roman" w:eastAsia="宋体" w:cs="Times New Roman"/>
          <w:color w:val="auto"/>
          <w:szCs w:val="21"/>
          <w:highlight w:val="none"/>
        </w:rPr>
      </w:pPr>
    </w:p>
    <w:p w14:paraId="2A85964B">
      <w:pPr>
        <w:snapToGrid w:val="0"/>
        <w:spacing w:before="50" w:after="120" w:afterLines="50"/>
        <w:jc w:val="left"/>
        <w:rPr>
          <w:rFonts w:ascii="Times New Roman" w:hAnsi="Times New Roman" w:eastAsia="宋体" w:cs="Times New Roman"/>
          <w:color w:val="auto"/>
          <w:szCs w:val="21"/>
          <w:highlight w:val="none"/>
        </w:rPr>
      </w:pPr>
    </w:p>
    <w:p w14:paraId="1B9B0A6D">
      <w:pPr>
        <w:snapToGrid w:val="0"/>
        <w:spacing w:before="50" w:after="120" w:afterLines="5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7</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1"/>
          <w:highlight w:val="none"/>
        </w:rPr>
        <w:t>无串标行为承诺函</w:t>
      </w:r>
    </w:p>
    <w:p w14:paraId="25EBA588">
      <w:pPr>
        <w:snapToGrid w:val="0"/>
        <w:spacing w:before="50" w:after="120" w:afterLines="50"/>
        <w:jc w:val="center"/>
        <w:rPr>
          <w:rFonts w:ascii="Times New Roman" w:hAnsi="Times New Roman" w:eastAsia="宋体" w:cs="Times New Roman"/>
          <w:color w:val="auto"/>
          <w:szCs w:val="21"/>
          <w:highlight w:val="none"/>
        </w:rPr>
      </w:pPr>
    </w:p>
    <w:p w14:paraId="5C3A1325">
      <w:pPr>
        <w:snapToGrid w:val="0"/>
        <w:spacing w:before="50" w:after="120" w:afterLines="5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投标人参加本项目无围标串标行为的承诺函</w:t>
      </w:r>
    </w:p>
    <w:p w14:paraId="3AFD49E2">
      <w:pPr>
        <w:snapToGrid w:val="0"/>
        <w:spacing w:before="50" w:after="120" w:afterLines="50"/>
        <w:jc w:val="left"/>
        <w:rPr>
          <w:rFonts w:ascii="Times New Roman" w:hAnsi="Times New Roman" w:eastAsia="宋体" w:cs="Times New Roman"/>
          <w:color w:val="auto"/>
          <w:szCs w:val="21"/>
          <w:highlight w:val="none"/>
        </w:rPr>
      </w:pPr>
    </w:p>
    <w:p w14:paraId="22083BF8">
      <w:pPr>
        <w:snapToGrid w:val="0"/>
        <w:spacing w:before="50" w:after="120" w:afterLines="5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一、我方承诺无下列相互串通投标的情形：</w:t>
      </w:r>
    </w:p>
    <w:p w14:paraId="30F15CE8">
      <w:pPr>
        <w:snapToGrid w:val="0"/>
        <w:spacing w:before="50" w:after="120" w:afterLines="5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1.不同投标人的投标文件由同一单位或者个人编制；或者不同投标人报名的IP地址一致的；</w:t>
      </w:r>
    </w:p>
    <w:p w14:paraId="3685F285">
      <w:pPr>
        <w:snapToGrid w:val="0"/>
        <w:spacing w:before="50" w:after="120" w:afterLines="5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2.不同投标人委托同一单位或者个人办理投标事宜；</w:t>
      </w:r>
    </w:p>
    <w:p w14:paraId="4BB5A1AC">
      <w:pPr>
        <w:snapToGrid w:val="0"/>
        <w:spacing w:before="50" w:after="120" w:afterLines="5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3.不同的投标人的投标文件载明的项目管理员为同一个人；</w:t>
      </w:r>
    </w:p>
    <w:p w14:paraId="120816A8">
      <w:pPr>
        <w:snapToGrid w:val="0"/>
        <w:spacing w:before="50" w:after="120" w:afterLines="5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4.不同投标人的投标文件异常一致或者投标报价呈规律性差异；</w:t>
      </w:r>
    </w:p>
    <w:p w14:paraId="5B59F655">
      <w:pPr>
        <w:snapToGrid w:val="0"/>
        <w:spacing w:before="50" w:after="120" w:afterLines="5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5.不同投标人的投标文件相互混装；</w:t>
      </w:r>
    </w:p>
    <w:p w14:paraId="254C09C6">
      <w:pPr>
        <w:snapToGrid w:val="0"/>
        <w:spacing w:before="50" w:after="120" w:afterLines="5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6.不同投标人的投标保证金从同一单位或者个人账户转出。</w:t>
      </w:r>
    </w:p>
    <w:p w14:paraId="711FC42C">
      <w:pPr>
        <w:snapToGrid w:val="0"/>
        <w:spacing w:before="50" w:after="120" w:afterLines="5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二、我方承诺无下列恶意串通的情形：</w:t>
      </w:r>
    </w:p>
    <w:p w14:paraId="6AB5C49E">
      <w:pPr>
        <w:snapToGrid w:val="0"/>
        <w:spacing w:before="50" w:after="120" w:afterLines="5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1.投标人直接或者间接从采购人或者采购代理机构处获得其他投标人的相关信息并修改其投标文件或者投标文件；</w:t>
      </w:r>
    </w:p>
    <w:p w14:paraId="5A44CC52">
      <w:pPr>
        <w:snapToGrid w:val="0"/>
        <w:spacing w:before="50" w:after="120" w:afterLines="5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2.投标人按照采购人或者采购代理机构的授意撤换、修改投标文件或者投标文件；</w:t>
      </w:r>
    </w:p>
    <w:p w14:paraId="1C5F4759">
      <w:pPr>
        <w:snapToGrid w:val="0"/>
        <w:spacing w:before="50" w:after="120" w:afterLines="5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3.投标人之间协商报价、技术方案等投标文件或者投标文件的实质性内容；</w:t>
      </w:r>
    </w:p>
    <w:p w14:paraId="0E40E7D8">
      <w:pPr>
        <w:snapToGrid w:val="0"/>
        <w:spacing w:before="50" w:after="120" w:afterLines="5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4.属于同一集团、协会、商会等组织成员的投标人按照该组织要求协同参加政府采购活动；</w:t>
      </w:r>
    </w:p>
    <w:p w14:paraId="6B0AFA05">
      <w:pPr>
        <w:snapToGrid w:val="0"/>
        <w:spacing w:before="50" w:after="120" w:afterLines="5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1F2686A2">
      <w:pPr>
        <w:snapToGrid w:val="0"/>
        <w:spacing w:before="50" w:after="120" w:afterLines="5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6.投标人之间商定部分投标人放弃参加政府采购活动或者放弃中标；</w:t>
      </w:r>
    </w:p>
    <w:p w14:paraId="2407AF39">
      <w:pPr>
        <w:snapToGrid w:val="0"/>
        <w:spacing w:before="50" w:after="120" w:afterLines="5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7.投标人与采购人或者采购代理机构之间、投标人相互之间，为谋求特定投标人中标或者排斥其他投标人的其他串通行为。</w:t>
      </w:r>
    </w:p>
    <w:p w14:paraId="55D9E44A">
      <w:pPr>
        <w:snapToGrid w:val="0"/>
        <w:spacing w:before="50" w:after="120" w:afterLines="5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以上情形一经核查属实，我方愿意承担一切后果，并不再寻求任何旨在减轻或者免除法律责任的辩解。</w:t>
      </w:r>
    </w:p>
    <w:p w14:paraId="2317C8C5">
      <w:pPr>
        <w:snapToGrid w:val="0"/>
        <w:spacing w:before="50" w:after="120" w:afterLines="5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 </w:t>
      </w:r>
      <w:r>
        <w:rPr>
          <w:rFonts w:ascii="Times New Roman" w:hAnsi="Times New Roman" w:eastAsia="宋体" w:cs="Times New Roman"/>
          <w:color w:val="auto"/>
          <w:szCs w:val="21"/>
          <w:highlight w:val="none"/>
        </w:rPr>
        <w:t xml:space="preserve"> </w:t>
      </w:r>
    </w:p>
    <w:p w14:paraId="627DF7E5">
      <w:pPr>
        <w:snapToGrid w:val="0"/>
        <w:spacing w:before="50" w:after="120" w:afterLines="50"/>
        <w:jc w:val="center"/>
        <w:rPr>
          <w:rFonts w:ascii="Times New Roman" w:hAnsi="Times New Roman" w:eastAsia="宋体" w:cs="Times New Roman"/>
          <w:color w:val="auto"/>
          <w:szCs w:val="21"/>
          <w:highlight w:val="none"/>
        </w:rPr>
      </w:pPr>
    </w:p>
    <w:p w14:paraId="159BED3A">
      <w:pPr>
        <w:snapToGrid w:val="0"/>
        <w:spacing w:before="50" w:after="120" w:afterLines="50"/>
        <w:jc w:val="center"/>
        <w:rPr>
          <w:rFonts w:ascii="Times New Roman" w:hAnsi="Times New Roman" w:eastAsia="宋体" w:cs="Times New Roman"/>
          <w:color w:val="auto"/>
          <w:szCs w:val="21"/>
          <w:highlight w:val="none"/>
        </w:rPr>
      </w:pPr>
    </w:p>
    <w:p w14:paraId="19E8862A">
      <w:pPr>
        <w:snapToGrid w:val="0"/>
        <w:spacing w:before="50" w:after="120" w:afterLines="5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4"/>
          <w:highlight w:val="none"/>
        </w:rPr>
        <w:t>投标人</w:t>
      </w:r>
      <w:r>
        <w:rPr>
          <w:rFonts w:hint="eastAsia" w:ascii="Times New Roman" w:hAnsi="Times New Roman" w:eastAsia="宋体" w:cs="Times New Roman"/>
          <w:color w:val="auto"/>
          <w:szCs w:val="21"/>
          <w:highlight w:val="none"/>
        </w:rPr>
        <w:t>名称(电子签章</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w:t>
      </w:r>
    </w:p>
    <w:p w14:paraId="086FC6AA">
      <w:pPr>
        <w:snapToGrid w:val="0"/>
        <w:spacing w:before="50" w:after="120" w:afterLines="5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日期：  年  月   日</w:t>
      </w:r>
    </w:p>
    <w:p w14:paraId="4740DC60">
      <w:pPr>
        <w:ind w:firstLine="420" w:firstLineChars="200"/>
        <w:rPr>
          <w:rFonts w:ascii="Times New Roman" w:hAnsi="Times New Roman" w:eastAsia="宋体" w:cs="Times New Roman"/>
          <w:color w:val="auto"/>
          <w:szCs w:val="21"/>
          <w:highlight w:val="none"/>
        </w:rPr>
        <w:sectPr>
          <w:pgSz w:w="11906" w:h="16838"/>
          <w:pgMar w:top="1304" w:right="1418" w:bottom="1304" w:left="1418" w:header="851" w:footer="992" w:gutter="0"/>
          <w:cols w:space="720" w:num="1"/>
          <w:docGrid w:linePitch="312" w:charSpace="0"/>
        </w:sectPr>
      </w:pPr>
    </w:p>
    <w:bookmarkEnd w:id="111"/>
    <w:p w14:paraId="7F7916A6">
      <w:pPr>
        <w:snapToGrid w:val="0"/>
        <w:spacing w:before="50" w:after="120" w:afterLines="5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8</w:t>
      </w:r>
      <w:r>
        <w:rPr>
          <w:rFonts w:ascii="Times New Roman" w:hAnsi="Times New Roman" w:eastAsia="宋体" w:cs="Times New Roman"/>
          <w:color w:val="auto"/>
          <w:szCs w:val="21"/>
          <w:highlight w:val="none"/>
        </w:rPr>
        <w:t>.代理服务费承诺书</w:t>
      </w:r>
    </w:p>
    <w:p w14:paraId="6366E16D">
      <w:pPr>
        <w:spacing w:line="36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致：广西机电设备招标有限公司</w:t>
      </w:r>
    </w:p>
    <w:p w14:paraId="7CE30E00">
      <w:pPr>
        <w:spacing w:line="360" w:lineRule="exact"/>
        <w:ind w:firstLine="420" w:firstLineChars="200"/>
        <w:rPr>
          <w:rFonts w:ascii="Times New Roman" w:hAnsi="Times New Roman" w:eastAsia="宋体" w:cs="Times New Roman"/>
          <w:color w:val="auto"/>
          <w:szCs w:val="21"/>
          <w:highlight w:val="none"/>
        </w:rPr>
      </w:pPr>
      <w:bookmarkStart w:id="112" w:name="_Hlk19050395"/>
      <w:r>
        <w:rPr>
          <w:rFonts w:ascii="Times New Roman" w:hAnsi="Times New Roman" w:eastAsia="宋体" w:cs="Times New Roman"/>
          <w:color w:val="auto"/>
          <w:szCs w:val="21"/>
          <w:highlight w:val="none"/>
        </w:rPr>
        <w:t>我单位参加了贵方组织的招标项目编号为</w:t>
      </w:r>
      <w:r>
        <w:rPr>
          <w:rFonts w:ascii="Times New Roman" w:hAnsi="Times New Roman" w:eastAsia="宋体" w:cs="Times New Roman"/>
          <w:b/>
          <w:color w:val="auto"/>
          <w:szCs w:val="21"/>
          <w:highlight w:val="none"/>
        </w:rPr>
        <w:t>（</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的投标，在此我方说明如下：</w:t>
      </w:r>
    </w:p>
    <w:bookmarkEnd w:id="112"/>
    <w:p w14:paraId="2D9D1C6C">
      <w:pPr>
        <w:numPr>
          <w:ilvl w:val="0"/>
          <w:numId w:val="6"/>
        </w:numPr>
        <w:spacing w:line="36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我方承诺，若我单位中标，保证在领取中标通知书之前，按本项目招标文件的规定标准向贵单位一次性足额支付代理服务费。</w:t>
      </w:r>
    </w:p>
    <w:p w14:paraId="7F582FFA">
      <w:pPr>
        <w:spacing w:line="36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w:t>
      </w:r>
      <w:r>
        <w:rPr>
          <w:rFonts w:ascii="Times New Roman" w:hAnsi="Times New Roman" w:eastAsia="宋体" w:cs="Times New Roman"/>
          <w:color w:val="auto"/>
          <w:szCs w:val="21"/>
          <w:highlight w:val="none"/>
        </w:rPr>
        <w:t>. 我单位选择第</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种方式作为代理服务费开票类型：</w:t>
      </w:r>
    </w:p>
    <w:p w14:paraId="7535745E">
      <w:pPr>
        <w:spacing w:line="36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第一种方式：开具收据。</w:t>
      </w:r>
    </w:p>
    <w:p w14:paraId="1EBE1F61">
      <w:pPr>
        <w:spacing w:line="36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第二种方式：开具增值税普通发票。开票信息如下：1.公司名称</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；2.纳税人识别号</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w:t>
      </w:r>
    </w:p>
    <w:p w14:paraId="7EC68EFF">
      <w:pPr>
        <w:spacing w:line="36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第三种方式：开具增值税专用发票，开票信息如下：1.公司名称</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；2.纳税人识别号</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；3.税局登记地址</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；4.税局登记电话</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；5.开户银行</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；6.银行账户</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w:t>
      </w:r>
    </w:p>
    <w:p w14:paraId="2268C6C6">
      <w:pPr>
        <w:spacing w:before="120" w:beforeLines="50" w:line="360" w:lineRule="auto"/>
        <w:jc w:val="left"/>
        <w:rPr>
          <w:rFonts w:ascii="Times New Roman" w:hAnsi="Times New Roman" w:eastAsia="宋体" w:cs="Times New Roman"/>
          <w:color w:val="auto"/>
          <w:szCs w:val="21"/>
          <w:highlight w:val="none"/>
        </w:rPr>
      </w:pPr>
    </w:p>
    <w:p w14:paraId="289E5068">
      <w:pPr>
        <w:spacing w:before="120" w:beforeLines="50" w:line="360" w:lineRule="auto"/>
        <w:jc w:val="left"/>
        <w:rPr>
          <w:rFonts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4"/>
          <w:highlight w:val="none"/>
        </w:rPr>
        <w:t>投标人</w:t>
      </w:r>
      <w:r>
        <w:rPr>
          <w:rFonts w:hint="eastAsia" w:ascii="Times New Roman" w:hAnsi="Times New Roman" w:eastAsia="宋体" w:cs="Times New Roman"/>
          <w:color w:val="auto"/>
          <w:szCs w:val="21"/>
          <w:highlight w:val="none"/>
        </w:rPr>
        <w:t>名称(电子签章)：</w:t>
      </w:r>
      <w:r>
        <w:rPr>
          <w:rFonts w:ascii="Times New Roman" w:hAnsi="Times New Roman" w:eastAsia="宋体" w:cs="Times New Roman"/>
          <w:color w:val="auto"/>
          <w:szCs w:val="21"/>
          <w:highlight w:val="none"/>
          <w:u w:val="single"/>
        </w:rPr>
        <w:t xml:space="preserve">                             </w:t>
      </w:r>
    </w:p>
    <w:p w14:paraId="5C7F5B47">
      <w:pPr>
        <w:spacing w:before="120" w:beforeLines="50" w:line="360" w:lineRule="auto"/>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4"/>
          <w:highlight w:val="none"/>
        </w:rPr>
        <w:t>投标人</w:t>
      </w:r>
      <w:r>
        <w:rPr>
          <w:rFonts w:ascii="Times New Roman" w:hAnsi="Times New Roman" w:eastAsia="宋体" w:cs="Times New Roman"/>
          <w:color w:val="auto"/>
          <w:szCs w:val="21"/>
          <w:highlight w:val="none"/>
        </w:rPr>
        <w:t>地址：</w:t>
      </w:r>
      <w:r>
        <w:rPr>
          <w:rFonts w:ascii="Times New Roman" w:hAnsi="Times New Roman" w:eastAsia="宋体" w:cs="Times New Roman"/>
          <w:color w:val="auto"/>
          <w:szCs w:val="21"/>
          <w:highlight w:val="none"/>
          <w:u w:val="single"/>
        </w:rPr>
        <w:t xml:space="preserve">                                     </w:t>
      </w:r>
    </w:p>
    <w:p w14:paraId="1CDDA729">
      <w:pPr>
        <w:spacing w:before="120" w:beforeLines="50" w:line="360" w:lineRule="auto"/>
        <w:jc w:val="left"/>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法定代表人或授权代表签字或盖章：</w:t>
      </w:r>
      <w:r>
        <w:rPr>
          <w:rFonts w:ascii="Times New Roman" w:hAnsi="Times New Roman" w:eastAsia="宋体" w:cs="Times New Roman"/>
          <w:color w:val="auto"/>
          <w:szCs w:val="21"/>
          <w:highlight w:val="none"/>
          <w:u w:val="single"/>
        </w:rPr>
        <w:t xml:space="preserve">                          </w:t>
      </w:r>
    </w:p>
    <w:p w14:paraId="7E6286BD">
      <w:pPr>
        <w:wordWrap w:val="0"/>
        <w:spacing w:before="120" w:beforeLines="50" w:line="360" w:lineRule="auto"/>
        <w:jc w:val="righ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日期：</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月</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w:t>
      </w:r>
    </w:p>
    <w:p w14:paraId="24D7FF5E">
      <w:pPr>
        <w:spacing w:before="120" w:beforeLines="50" w:line="360" w:lineRule="auto"/>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说明：</w:t>
      </w:r>
    </w:p>
    <w:p w14:paraId="0D6C729F">
      <w:pPr>
        <w:spacing w:line="34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（1）为保障资金安全，上述账户不能为私人账户。</w:t>
      </w:r>
    </w:p>
    <w:p w14:paraId="1475FD74">
      <w:pPr>
        <w:spacing w:line="34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（2）如需要，采购代理机构将按上述所填信息办理代理服务费发票事宜。如所填信息有误导致开票信息错误等可能产生的一切后果由</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自行负责。</w:t>
      </w:r>
    </w:p>
    <w:p w14:paraId="2EF77737">
      <w:pPr>
        <w:ind w:firstLine="42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（3）广西机电设备招标有限公司财务部联系方式：联系人：吴茜；电话：0771-2821398；</w:t>
      </w:r>
    </w:p>
    <w:p w14:paraId="0D890DC1">
      <w:pPr>
        <w:ind w:firstLine="420"/>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传真：0771-2843545。</w:t>
      </w:r>
    </w:p>
    <w:p w14:paraId="5DE16AF2">
      <w:pPr>
        <w:snapToGrid w:val="0"/>
        <w:spacing w:before="50" w:after="120" w:afterLines="50"/>
        <w:jc w:val="center"/>
        <w:rPr>
          <w:rFonts w:ascii="Times New Roman" w:hAnsi="Times New Roman" w:eastAsia="宋体" w:cs="Times New Roman"/>
          <w:bCs/>
          <w:color w:val="auto"/>
          <w:sz w:val="24"/>
          <w:szCs w:val="24"/>
          <w:highlight w:val="none"/>
        </w:rPr>
      </w:pPr>
      <w:r>
        <w:rPr>
          <w:rFonts w:ascii="Times New Roman" w:hAnsi="Times New Roman" w:eastAsia="宋体" w:cs="Times New Roman"/>
          <w:color w:val="auto"/>
          <w:szCs w:val="24"/>
          <w:highlight w:val="none"/>
        </w:rPr>
        <w:br w:type="page"/>
      </w:r>
      <w:r>
        <w:rPr>
          <w:rFonts w:ascii="Times New Roman" w:hAnsi="Times New Roman" w:eastAsia="宋体" w:cs="Times New Roman"/>
          <w:bCs/>
          <w:color w:val="auto"/>
          <w:sz w:val="24"/>
          <w:szCs w:val="24"/>
          <w:highlight w:val="none"/>
        </w:rPr>
        <w:t>第二部分 技术文件</w:t>
      </w:r>
    </w:p>
    <w:p w14:paraId="2BD0AAD8">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（本</w:t>
      </w:r>
      <w:r>
        <w:rPr>
          <w:rFonts w:hint="eastAsia" w:ascii="Times New Roman" w:hAnsi="Times New Roman" w:eastAsia="宋体" w:cs="Times New Roman"/>
          <w:color w:val="auto"/>
          <w:szCs w:val="24"/>
          <w:highlight w:val="none"/>
        </w:rPr>
        <w:t>技术</w:t>
      </w:r>
      <w:r>
        <w:rPr>
          <w:rFonts w:ascii="Times New Roman" w:hAnsi="Times New Roman" w:eastAsia="宋体" w:cs="Times New Roman"/>
          <w:color w:val="auto"/>
          <w:szCs w:val="24"/>
          <w:highlight w:val="none"/>
        </w:rPr>
        <w:t>文件</w:t>
      </w:r>
      <w:r>
        <w:rPr>
          <w:rFonts w:hint="eastAsia" w:ascii="Times New Roman" w:hAnsi="Times New Roman" w:eastAsia="宋体" w:cs="Times New Roman"/>
          <w:color w:val="auto"/>
          <w:szCs w:val="24"/>
          <w:highlight w:val="none"/>
        </w:rPr>
        <w:t>投标人</w:t>
      </w:r>
      <w:r>
        <w:rPr>
          <w:rFonts w:ascii="Times New Roman" w:hAnsi="Times New Roman" w:eastAsia="宋体" w:cs="Times New Roman"/>
          <w:color w:val="auto"/>
          <w:szCs w:val="24"/>
          <w:highlight w:val="none"/>
        </w:rPr>
        <w:t>可自行编写，也可参照下述提纲编写）</w:t>
      </w:r>
    </w:p>
    <w:p w14:paraId="7F36EDA4">
      <w:pPr>
        <w:snapToGrid w:val="0"/>
        <w:spacing w:before="50" w:after="120" w:afterLines="50"/>
        <w:jc w:val="left"/>
        <w:rPr>
          <w:rFonts w:ascii="Times New Roman" w:hAnsi="Times New Roman" w:eastAsia="宋体" w:cs="Times New Roman"/>
          <w:color w:val="auto"/>
          <w:szCs w:val="21"/>
          <w:highlight w:val="none"/>
        </w:rPr>
      </w:pPr>
    </w:p>
    <w:p w14:paraId="7947B039">
      <w:pP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对</w:t>
      </w:r>
      <w:r>
        <w:rPr>
          <w:rFonts w:ascii="Times New Roman" w:hAnsi="Times New Roman" w:eastAsia="宋体" w:cs="Times New Roman"/>
          <w:color w:val="auto"/>
          <w:szCs w:val="21"/>
          <w:highlight w:val="none"/>
        </w:rPr>
        <w:t>本项目第</w:t>
      </w:r>
      <w:r>
        <w:rPr>
          <w:rFonts w:hint="eastAsia" w:ascii="Times New Roman" w:hAnsi="Times New Roman" w:eastAsia="宋体" w:cs="Times New Roman"/>
          <w:color w:val="auto"/>
          <w:szCs w:val="21"/>
          <w:highlight w:val="none"/>
        </w:rPr>
        <w:t>二</w:t>
      </w:r>
      <w:r>
        <w:rPr>
          <w:rFonts w:ascii="Times New Roman" w:hAnsi="Times New Roman" w:eastAsia="宋体" w:cs="Times New Roman"/>
          <w:color w:val="auto"/>
          <w:szCs w:val="21"/>
          <w:highlight w:val="none"/>
        </w:rPr>
        <w:t>章</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采购需求</w:t>
      </w:r>
      <w:r>
        <w:rPr>
          <w:rFonts w:hint="eastAsia" w:ascii="Times New Roman" w:hAnsi="Times New Roman" w:eastAsia="宋体" w:cs="Times New Roman"/>
          <w:color w:val="auto"/>
          <w:szCs w:val="21"/>
          <w:highlight w:val="none"/>
        </w:rPr>
        <w:t>》技术</w:t>
      </w:r>
      <w:r>
        <w:rPr>
          <w:rFonts w:ascii="Times New Roman" w:hAnsi="Times New Roman" w:eastAsia="宋体" w:cs="Times New Roman"/>
          <w:color w:val="auto"/>
          <w:szCs w:val="21"/>
          <w:highlight w:val="none"/>
        </w:rPr>
        <w:t>要求的</w:t>
      </w:r>
      <w:r>
        <w:rPr>
          <w:rFonts w:hint="eastAsia" w:ascii="Times New Roman" w:hAnsi="Times New Roman" w:eastAsia="宋体" w:cs="Times New Roman"/>
          <w:color w:val="auto"/>
          <w:szCs w:val="21"/>
          <w:highlight w:val="none"/>
        </w:rPr>
        <w:t>响应表</w:t>
      </w:r>
    </w:p>
    <w:tbl>
      <w:tblPr>
        <w:tblStyle w:val="4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0BD6F7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4E408074">
            <w:pPr>
              <w:snapToGrid w:val="0"/>
              <w:spacing w:before="120" w:beforeLines="5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1B8CC4D3">
            <w:pPr>
              <w:snapToGrid w:val="0"/>
              <w:spacing w:before="120" w:beforeLines="5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招标文件要求</w:t>
            </w:r>
          </w:p>
        </w:tc>
        <w:tc>
          <w:tcPr>
            <w:tcW w:w="3405" w:type="dxa"/>
            <w:tcBorders>
              <w:top w:val="single" w:color="auto" w:sz="4" w:space="0"/>
              <w:left w:val="single" w:color="auto" w:sz="4" w:space="0"/>
              <w:bottom w:val="single" w:color="auto" w:sz="4" w:space="0"/>
              <w:right w:val="single" w:color="auto" w:sz="4" w:space="0"/>
            </w:tcBorders>
            <w:vAlign w:val="center"/>
          </w:tcPr>
          <w:p w14:paraId="02678E99">
            <w:pPr>
              <w:snapToGrid w:val="0"/>
              <w:spacing w:before="120" w:beforeLines="5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投标文件响应内容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59D6430C">
            <w:pPr>
              <w:snapToGrid w:val="0"/>
              <w:spacing w:before="120" w:beforeLines="5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4"/>
                <w:highlight w:val="none"/>
              </w:rPr>
              <w:t>偏离</w:t>
            </w:r>
            <w:r>
              <w:rPr>
                <w:rFonts w:ascii="Times New Roman" w:hAnsi="Times New Roman" w:eastAsia="宋体" w:cs="Times New Roman"/>
                <w:color w:val="auto"/>
                <w:szCs w:val="21"/>
                <w:highlight w:val="none"/>
              </w:rPr>
              <w:t>说明</w:t>
            </w:r>
          </w:p>
        </w:tc>
      </w:tr>
      <w:tr w14:paraId="6D1FF7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0DF2029">
            <w:pPr>
              <w:snapToGrid w:val="0"/>
              <w:spacing w:before="120" w:beforeLines="50"/>
              <w:jc w:val="center"/>
              <w:rPr>
                <w:rFonts w:ascii="Times New Roman" w:hAnsi="Times New Roman" w:eastAsia="宋体" w:cs="Times New Roman"/>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1AE19FA3">
            <w:pPr>
              <w:snapToGrid w:val="0"/>
              <w:spacing w:before="120" w:beforeLines="50"/>
              <w:jc w:val="center"/>
              <w:rPr>
                <w:rFonts w:ascii="Times New Roman" w:hAnsi="Times New Roman" w:eastAsia="宋体" w:cs="Times New Roman"/>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5CB5E26A">
            <w:pPr>
              <w:snapToGrid w:val="0"/>
              <w:spacing w:before="120" w:beforeLines="50"/>
              <w:jc w:val="center"/>
              <w:rPr>
                <w:rFonts w:ascii="Times New Roman" w:hAnsi="Times New Roman" w:eastAsia="宋体" w:cs="Times New Roman"/>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48BBF12C">
            <w:pPr>
              <w:snapToGrid w:val="0"/>
              <w:spacing w:before="120" w:beforeLines="50"/>
              <w:jc w:val="center"/>
              <w:rPr>
                <w:rFonts w:ascii="Times New Roman" w:hAnsi="Times New Roman" w:eastAsia="宋体" w:cs="Times New Roman"/>
                <w:color w:val="auto"/>
                <w:szCs w:val="21"/>
                <w:highlight w:val="none"/>
              </w:rPr>
            </w:pPr>
          </w:p>
        </w:tc>
      </w:tr>
      <w:tr w14:paraId="3D2A9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E6EA29B">
            <w:pPr>
              <w:snapToGrid w:val="0"/>
              <w:spacing w:before="120" w:beforeLines="50"/>
              <w:jc w:val="center"/>
              <w:rPr>
                <w:rFonts w:ascii="Times New Roman" w:hAnsi="Times New Roman" w:eastAsia="宋体" w:cs="Times New Roman"/>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75611C00">
            <w:pPr>
              <w:snapToGrid w:val="0"/>
              <w:spacing w:before="120" w:beforeLines="50"/>
              <w:jc w:val="center"/>
              <w:rPr>
                <w:rFonts w:ascii="Times New Roman" w:hAnsi="Times New Roman" w:eastAsia="宋体" w:cs="Times New Roman"/>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297C2A68">
            <w:pPr>
              <w:snapToGrid w:val="0"/>
              <w:spacing w:before="120" w:beforeLines="50"/>
              <w:jc w:val="center"/>
              <w:rPr>
                <w:rFonts w:ascii="Times New Roman" w:hAnsi="Times New Roman" w:eastAsia="宋体" w:cs="Times New Roman"/>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1B739BBE">
            <w:pPr>
              <w:snapToGrid w:val="0"/>
              <w:spacing w:before="120" w:beforeLines="50"/>
              <w:jc w:val="center"/>
              <w:rPr>
                <w:rFonts w:ascii="Times New Roman" w:hAnsi="Times New Roman" w:eastAsia="宋体" w:cs="Times New Roman"/>
                <w:color w:val="auto"/>
                <w:szCs w:val="21"/>
                <w:highlight w:val="none"/>
              </w:rPr>
            </w:pPr>
          </w:p>
        </w:tc>
      </w:tr>
      <w:tr w14:paraId="726063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61D9DA4">
            <w:pPr>
              <w:snapToGrid w:val="0"/>
              <w:spacing w:before="120" w:beforeLines="5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14:paraId="5935707F">
            <w:pPr>
              <w:snapToGrid w:val="0"/>
              <w:spacing w:before="120" w:beforeLines="50"/>
              <w:jc w:val="center"/>
              <w:rPr>
                <w:rFonts w:ascii="Times New Roman" w:hAnsi="Times New Roman" w:eastAsia="宋体" w:cs="Times New Roman"/>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7229A2C2">
            <w:pPr>
              <w:snapToGrid w:val="0"/>
              <w:spacing w:before="120" w:beforeLines="50"/>
              <w:jc w:val="center"/>
              <w:rPr>
                <w:rFonts w:ascii="Times New Roman" w:hAnsi="Times New Roman" w:eastAsia="宋体" w:cs="Times New Roman"/>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4255D886">
            <w:pPr>
              <w:snapToGrid w:val="0"/>
              <w:spacing w:before="120" w:beforeLines="50"/>
              <w:jc w:val="center"/>
              <w:rPr>
                <w:rFonts w:ascii="Times New Roman" w:hAnsi="Times New Roman" w:eastAsia="宋体" w:cs="Times New Roman"/>
                <w:color w:val="auto"/>
                <w:szCs w:val="21"/>
                <w:highlight w:val="none"/>
              </w:rPr>
            </w:pPr>
          </w:p>
        </w:tc>
      </w:tr>
      <w:tr w14:paraId="45C82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6E252A4">
            <w:pPr>
              <w:snapToGrid w:val="0"/>
              <w:spacing w:before="120" w:beforeLines="5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14:paraId="63895862">
            <w:pPr>
              <w:snapToGrid w:val="0"/>
              <w:spacing w:before="120" w:beforeLines="50"/>
              <w:jc w:val="center"/>
              <w:rPr>
                <w:rFonts w:ascii="Times New Roman" w:hAnsi="Times New Roman" w:eastAsia="宋体" w:cs="Times New Roman"/>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27109CB7">
            <w:pPr>
              <w:snapToGrid w:val="0"/>
              <w:spacing w:before="120" w:beforeLines="50"/>
              <w:jc w:val="center"/>
              <w:rPr>
                <w:rFonts w:ascii="Times New Roman" w:hAnsi="Times New Roman" w:eastAsia="宋体" w:cs="Times New Roman"/>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4358EEA6">
            <w:pPr>
              <w:snapToGrid w:val="0"/>
              <w:spacing w:before="120" w:beforeLines="50"/>
              <w:jc w:val="center"/>
              <w:rPr>
                <w:rFonts w:ascii="Times New Roman" w:hAnsi="Times New Roman" w:eastAsia="宋体" w:cs="Times New Roman"/>
                <w:color w:val="auto"/>
                <w:szCs w:val="21"/>
                <w:highlight w:val="none"/>
              </w:rPr>
            </w:pPr>
          </w:p>
        </w:tc>
      </w:tr>
    </w:tbl>
    <w:p w14:paraId="2B45149E">
      <w:pPr>
        <w:rPr>
          <w:rFonts w:ascii="Times New Roman" w:hAnsi="Times New Roman" w:eastAsia="宋体" w:cs="Times New Roman"/>
          <w:color w:val="auto"/>
          <w:szCs w:val="21"/>
          <w:highlight w:val="none"/>
        </w:rPr>
      </w:pPr>
    </w:p>
    <w:p w14:paraId="1434AD45">
      <w:pPr>
        <w:tabs>
          <w:tab w:val="left" w:pos="2127"/>
        </w:tabs>
        <w:spacing w:line="340" w:lineRule="exact"/>
        <w:jc w:val="left"/>
        <w:rPr>
          <w:rFonts w:ascii="Times New Roman" w:hAnsi="Times New Roman" w:eastAsia="宋体" w:cs="Times New Roman"/>
          <w:color w:val="auto"/>
          <w:szCs w:val="21"/>
          <w:highlight w:val="none"/>
        </w:rPr>
      </w:pPr>
      <w:bookmarkStart w:id="113" w:name="_Hlk88990482"/>
      <w:r>
        <w:rPr>
          <w:rFonts w:ascii="宋体" w:hAnsi="Courier New" w:eastAsia="宋体" w:cs="Courier New"/>
          <w:color w:val="auto"/>
          <w:szCs w:val="21"/>
          <w:highlight w:val="none"/>
        </w:rPr>
        <w:t>注：（1）</w:t>
      </w:r>
      <w:r>
        <w:rPr>
          <w:rFonts w:ascii="Times New Roman" w:hAnsi="Times New Roman" w:eastAsia="宋体" w:cs="Times New Roman"/>
          <w:color w:val="auto"/>
          <w:szCs w:val="21"/>
          <w:highlight w:val="none"/>
        </w:rPr>
        <w:t>本表应对招标文件</w:t>
      </w:r>
      <w:r>
        <w:rPr>
          <w:rFonts w:ascii="宋体" w:hAnsi="Courier New" w:eastAsia="宋体" w:cs="Courier New"/>
          <w:color w:val="auto"/>
          <w:szCs w:val="21"/>
          <w:highlight w:val="none"/>
        </w:rPr>
        <w:t>第</w:t>
      </w:r>
      <w:r>
        <w:rPr>
          <w:rFonts w:hint="eastAsia" w:ascii="宋体" w:hAnsi="Courier New" w:eastAsia="宋体" w:cs="Courier New"/>
          <w:color w:val="auto"/>
          <w:szCs w:val="21"/>
          <w:highlight w:val="none"/>
        </w:rPr>
        <w:t>二</w:t>
      </w:r>
      <w:r>
        <w:rPr>
          <w:rFonts w:ascii="宋体" w:hAnsi="Courier New" w:eastAsia="宋体" w:cs="Courier New"/>
          <w:color w:val="auto"/>
          <w:szCs w:val="21"/>
          <w:highlight w:val="none"/>
        </w:rPr>
        <w:t>章</w:t>
      </w:r>
      <w:r>
        <w:rPr>
          <w:rFonts w:hint="eastAsia" w:ascii="宋体" w:hAnsi="Courier New" w:eastAsia="宋体" w:cs="Courier New"/>
          <w:color w:val="auto"/>
          <w:szCs w:val="21"/>
          <w:highlight w:val="none"/>
        </w:rPr>
        <w:t>《采购需求》</w:t>
      </w:r>
      <w:r>
        <w:rPr>
          <w:rFonts w:ascii="Times New Roman" w:hAnsi="Times New Roman" w:eastAsia="宋体" w:cs="Times New Roman"/>
          <w:color w:val="auto"/>
          <w:szCs w:val="21"/>
          <w:highlight w:val="none"/>
        </w:rPr>
        <w:t>中所列</w:t>
      </w:r>
      <w:r>
        <w:rPr>
          <w:rFonts w:hint="eastAsia" w:ascii="Times New Roman" w:hAnsi="Times New Roman" w:eastAsia="宋体" w:cs="Times New Roman"/>
          <w:color w:val="auto"/>
          <w:szCs w:val="21"/>
          <w:highlight w:val="none"/>
        </w:rPr>
        <w:t>技术</w:t>
      </w:r>
      <w:r>
        <w:rPr>
          <w:rFonts w:ascii="Times New Roman" w:hAnsi="Times New Roman" w:eastAsia="宋体" w:cs="Times New Roman"/>
          <w:color w:val="auto"/>
          <w:szCs w:val="21"/>
          <w:highlight w:val="none"/>
        </w:rPr>
        <w:t>要求进行响应，并根据响应情况在“偏离说明”栏填写正偏离或负偏离及原因，完全符合的填写</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无偏离</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w:t>
      </w:r>
    </w:p>
    <w:p w14:paraId="43E7E890">
      <w:pP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（2）</w:t>
      </w:r>
      <w:r>
        <w:rPr>
          <w:rFonts w:ascii="Times New Roman" w:hAnsi="Times New Roman" w:eastAsia="宋体" w:cs="Times New Roman"/>
          <w:color w:val="auto"/>
          <w:szCs w:val="24"/>
          <w:highlight w:val="none"/>
        </w:rPr>
        <w:t>第</w:t>
      </w:r>
      <w:r>
        <w:rPr>
          <w:rFonts w:hint="eastAsia" w:ascii="Times New Roman" w:hAnsi="Times New Roman" w:eastAsia="宋体" w:cs="Times New Roman"/>
          <w:color w:val="auto"/>
          <w:szCs w:val="24"/>
          <w:highlight w:val="none"/>
        </w:rPr>
        <w:t>二</w:t>
      </w:r>
      <w:r>
        <w:rPr>
          <w:rFonts w:ascii="Times New Roman" w:hAnsi="Times New Roman" w:eastAsia="宋体" w:cs="Times New Roman"/>
          <w:color w:val="auto"/>
          <w:szCs w:val="24"/>
          <w:highlight w:val="none"/>
        </w:rPr>
        <w:t>章</w:t>
      </w:r>
      <w:r>
        <w:rPr>
          <w:rFonts w:hint="eastAsia" w:ascii="Times New Roman" w:hAnsi="Times New Roman" w:eastAsia="宋体" w:cs="Times New Roman"/>
          <w:color w:val="auto"/>
          <w:szCs w:val="24"/>
          <w:highlight w:val="none"/>
        </w:rPr>
        <w:t>《采购需求》中的总体要求无需响应。</w:t>
      </w:r>
    </w:p>
    <w:p w14:paraId="32D1B481">
      <w:pP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w:t>
      </w:r>
      <w:r>
        <w:rPr>
          <w:rFonts w:ascii="Times New Roman" w:hAnsi="Times New Roman" w:eastAsia="宋体" w:cs="Times New Roman"/>
          <w:color w:val="auto"/>
          <w:szCs w:val="24"/>
          <w:highlight w:val="none"/>
        </w:rPr>
        <w:t>3</w:t>
      </w:r>
      <w:r>
        <w:rPr>
          <w:rFonts w:hint="eastAsia" w:ascii="Times New Roman" w:hAnsi="Times New Roman" w:eastAsia="宋体" w:cs="Times New Roman"/>
          <w:color w:val="auto"/>
          <w:szCs w:val="24"/>
          <w:highlight w:val="none"/>
        </w:rPr>
        <w:t>）偏离认定说明详见评审方法及标准。</w:t>
      </w:r>
    </w:p>
    <w:p w14:paraId="32068AB0">
      <w:pP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（4）本表可扩展。</w:t>
      </w:r>
    </w:p>
    <w:bookmarkEnd w:id="113"/>
    <w:p w14:paraId="400342E7">
      <w:pPr>
        <w:rPr>
          <w:rFonts w:ascii="Times New Roman" w:hAnsi="Times New Roman" w:eastAsia="宋体" w:cs="Times New Roman"/>
          <w:color w:val="auto"/>
          <w:szCs w:val="21"/>
          <w:highlight w:val="none"/>
        </w:rPr>
      </w:pPr>
    </w:p>
    <w:p w14:paraId="582A5DE6">
      <w:pPr>
        <w:rPr>
          <w:rFonts w:ascii="Times New Roman" w:hAnsi="Times New Roman" w:eastAsia="宋体" w:cs="Times New Roman"/>
          <w:color w:val="auto"/>
          <w:spacing w:val="20"/>
          <w:szCs w:val="21"/>
          <w:highlight w:val="none"/>
          <w:u w:val="single"/>
        </w:rPr>
      </w:pPr>
      <w:bookmarkStart w:id="114" w:name="_Hlk88990507"/>
    </w:p>
    <w:p w14:paraId="6C61336B">
      <w:pP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4"/>
          <w:highlight w:val="none"/>
        </w:rPr>
        <w:t>投标人</w:t>
      </w:r>
      <w:r>
        <w:rPr>
          <w:rFonts w:hint="eastAsia" w:ascii="Times New Roman" w:hAnsi="Times New Roman" w:eastAsia="宋体" w:cs="Times New Roman"/>
          <w:color w:val="auto"/>
          <w:szCs w:val="21"/>
          <w:highlight w:val="none"/>
        </w:rPr>
        <w:t>名称(电子签章</w:t>
      </w:r>
      <w:r>
        <w:rPr>
          <w:rFonts w:ascii="Times New Roman" w:hAnsi="Times New Roman" w:eastAsia="宋体" w:cs="Times New Roman"/>
          <w:color w:val="auto"/>
          <w:szCs w:val="21"/>
          <w:highlight w:val="none"/>
        </w:rPr>
        <w:t>)</w:t>
      </w:r>
      <w:bookmarkEnd w:id="114"/>
      <w:r>
        <w:rPr>
          <w:rFonts w:ascii="Times New Roman" w:hAnsi="Times New Roman" w:eastAsia="宋体" w:cs="Times New Roman"/>
          <w:color w:val="auto"/>
          <w:spacing w:val="20"/>
          <w:szCs w:val="21"/>
          <w:highlight w:val="none"/>
        </w:rPr>
        <w:t>：</w:t>
      </w:r>
      <w:r>
        <w:rPr>
          <w:rFonts w:ascii="Times New Roman" w:hAnsi="Times New Roman" w:eastAsia="宋体" w:cs="Times New Roman"/>
          <w:color w:val="auto"/>
          <w:spacing w:val="20"/>
          <w:szCs w:val="21"/>
          <w:highlight w:val="none"/>
          <w:u w:val="single"/>
        </w:rPr>
        <w:t xml:space="preserve">            </w:t>
      </w:r>
      <w:r>
        <w:rPr>
          <w:rFonts w:ascii="Times New Roman" w:hAnsi="Times New Roman" w:eastAsia="宋体" w:cs="Times New Roman"/>
          <w:color w:val="auto"/>
          <w:spacing w:val="20"/>
          <w:szCs w:val="21"/>
          <w:highlight w:val="none"/>
        </w:rPr>
        <w:t xml:space="preserve">              日 期：</w:t>
      </w:r>
      <w:r>
        <w:rPr>
          <w:rFonts w:ascii="Times New Roman" w:hAnsi="Times New Roman" w:eastAsia="宋体" w:cs="Times New Roman"/>
          <w:color w:val="auto"/>
          <w:spacing w:val="20"/>
          <w:szCs w:val="21"/>
          <w:highlight w:val="none"/>
          <w:u w:val="single"/>
        </w:rPr>
        <w:t xml:space="preserve">            </w:t>
      </w:r>
    </w:p>
    <w:p w14:paraId="67FE7B2B">
      <w:pPr>
        <w:snapToGrid w:val="0"/>
        <w:spacing w:before="50" w:after="120" w:afterLines="50"/>
        <w:jc w:val="left"/>
        <w:rPr>
          <w:rFonts w:ascii="Times New Roman" w:hAnsi="Times New Roman" w:eastAsia="宋体" w:cs="Times New Roman"/>
          <w:color w:val="auto"/>
          <w:szCs w:val="21"/>
          <w:highlight w:val="none"/>
        </w:rPr>
      </w:pPr>
    </w:p>
    <w:p w14:paraId="28C7FEA8">
      <w:pPr>
        <w:snapToGrid w:val="0"/>
        <w:spacing w:before="50" w:after="120" w:afterLines="50"/>
        <w:jc w:val="left"/>
        <w:rPr>
          <w:rFonts w:ascii="Times New Roman" w:hAnsi="Times New Roman" w:eastAsia="宋体" w:cs="Times New Roman"/>
          <w:color w:val="auto"/>
          <w:szCs w:val="21"/>
          <w:highlight w:val="none"/>
        </w:rPr>
      </w:pPr>
    </w:p>
    <w:p w14:paraId="1B814B4D">
      <w:pPr>
        <w:snapToGrid w:val="0"/>
        <w:spacing w:before="50" w:after="120" w:afterLines="5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服务方案（如有，格式自拟）</w:t>
      </w:r>
    </w:p>
    <w:p w14:paraId="4A327B66">
      <w:pPr>
        <w:snapToGrid w:val="0"/>
        <w:spacing w:before="50" w:after="120" w:afterLines="50"/>
        <w:jc w:val="left"/>
        <w:rPr>
          <w:rFonts w:ascii="Times New Roman" w:hAnsi="Times New Roman" w:eastAsia="宋体" w:cs="Times New Roman"/>
          <w:color w:val="auto"/>
          <w:szCs w:val="21"/>
          <w:highlight w:val="none"/>
        </w:rPr>
      </w:pPr>
    </w:p>
    <w:p w14:paraId="0DB4DB43">
      <w:pPr>
        <w:snapToGrid w:val="0"/>
        <w:spacing w:before="50" w:after="120" w:afterLines="50"/>
        <w:jc w:val="left"/>
        <w:rPr>
          <w:rFonts w:ascii="Times New Roman" w:hAnsi="Times New Roman" w:eastAsia="宋体" w:cs="Times New Roman"/>
          <w:color w:val="auto"/>
          <w:szCs w:val="21"/>
          <w:highlight w:val="none"/>
        </w:rPr>
      </w:pPr>
    </w:p>
    <w:p w14:paraId="6E4C5FB2">
      <w:pPr>
        <w:snapToGrid w:val="0"/>
        <w:spacing w:before="50" w:after="120" w:afterLines="5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w:t>
      </w:r>
      <w:r>
        <w:rPr>
          <w:rFonts w:hint="eastAsia" w:ascii="Times New Roman" w:hAnsi="Times New Roman" w:eastAsia="宋体" w:cs="Times New Roman"/>
          <w:color w:val="auto"/>
          <w:szCs w:val="21"/>
          <w:highlight w:val="none"/>
        </w:rPr>
        <w:t>服务承诺</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如有，格式自拟</w:t>
      </w:r>
      <w:r>
        <w:rPr>
          <w:rFonts w:ascii="Times New Roman" w:hAnsi="Times New Roman" w:eastAsia="宋体" w:cs="Times New Roman"/>
          <w:color w:val="auto"/>
          <w:szCs w:val="21"/>
          <w:highlight w:val="none"/>
        </w:rPr>
        <w:t>）</w:t>
      </w:r>
    </w:p>
    <w:p w14:paraId="7177EC06">
      <w:pPr>
        <w:snapToGrid w:val="0"/>
        <w:spacing w:before="50" w:after="120" w:afterLines="50"/>
        <w:jc w:val="left"/>
        <w:rPr>
          <w:rFonts w:ascii="Times New Roman" w:hAnsi="Times New Roman" w:eastAsia="宋体" w:cs="Times New Roman"/>
          <w:color w:val="auto"/>
          <w:szCs w:val="21"/>
          <w:highlight w:val="none"/>
        </w:rPr>
      </w:pPr>
    </w:p>
    <w:p w14:paraId="20A68397">
      <w:pPr>
        <w:snapToGrid w:val="0"/>
        <w:spacing w:before="50" w:after="120" w:afterLines="50"/>
        <w:jc w:val="left"/>
        <w:rPr>
          <w:rFonts w:ascii="Times New Roman" w:hAnsi="Times New Roman" w:eastAsia="宋体" w:cs="Times New Roman"/>
          <w:color w:val="auto"/>
          <w:szCs w:val="21"/>
          <w:highlight w:val="none"/>
        </w:rPr>
      </w:pPr>
    </w:p>
    <w:p w14:paraId="2F12F06D">
      <w:pPr>
        <w:snapToGrid w:val="0"/>
        <w:spacing w:before="50" w:after="120" w:afterLines="5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4</w:t>
      </w:r>
      <w:r>
        <w:rPr>
          <w:rFonts w:ascii="Times New Roman" w:hAnsi="Times New Roman" w:eastAsia="宋体" w:cs="Times New Roman"/>
          <w:color w:val="auto"/>
          <w:szCs w:val="21"/>
          <w:highlight w:val="none"/>
        </w:rPr>
        <w:t xml:space="preserve">. </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对本项目的合理化建议和改进措施。</w:t>
      </w:r>
    </w:p>
    <w:p w14:paraId="049E64C3">
      <w:pPr>
        <w:snapToGrid w:val="0"/>
        <w:spacing w:before="50" w:after="120" w:afterLines="50"/>
        <w:jc w:val="left"/>
        <w:rPr>
          <w:rFonts w:ascii="Times New Roman" w:hAnsi="Times New Roman" w:eastAsia="宋体" w:cs="Times New Roman"/>
          <w:color w:val="auto"/>
          <w:szCs w:val="21"/>
          <w:highlight w:val="none"/>
        </w:rPr>
      </w:pPr>
    </w:p>
    <w:p w14:paraId="4B8C342D">
      <w:pPr>
        <w:snapToGrid w:val="0"/>
        <w:spacing w:before="50" w:after="120" w:afterLines="50"/>
        <w:jc w:val="left"/>
        <w:rPr>
          <w:rFonts w:ascii="Times New Roman" w:hAnsi="Times New Roman" w:eastAsia="宋体" w:cs="Times New Roman"/>
          <w:color w:val="auto"/>
          <w:szCs w:val="21"/>
          <w:highlight w:val="none"/>
        </w:rPr>
      </w:pPr>
    </w:p>
    <w:p w14:paraId="10B6C1FE">
      <w:pPr>
        <w:snapToGrid w:val="0"/>
        <w:spacing w:line="380" w:lineRule="exact"/>
        <w:jc w:val="left"/>
        <w:rPr>
          <w:rFonts w:ascii="宋体" w:hAnsi="宋体" w:eastAsia="宋体" w:cs="Times New Roman"/>
          <w:color w:val="auto"/>
          <w:szCs w:val="21"/>
          <w:highlight w:val="none"/>
        </w:rPr>
      </w:pPr>
      <w:r>
        <w:rPr>
          <w:rFonts w:hint="eastAsia" w:ascii="Times New Roman" w:hAnsi="Times New Roman" w:eastAsia="宋体" w:cs="Times New Roman"/>
          <w:color w:val="auto"/>
          <w:szCs w:val="21"/>
          <w:highlight w:val="none"/>
        </w:rPr>
        <w:t>5</w:t>
      </w:r>
      <w:r>
        <w:rPr>
          <w:rFonts w:ascii="Times New Roman" w:hAnsi="Times New Roman" w:eastAsia="宋体" w:cs="Times New Roman"/>
          <w:color w:val="auto"/>
          <w:szCs w:val="21"/>
          <w:highlight w:val="none"/>
        </w:rPr>
        <w:t>．</w:t>
      </w:r>
      <w:r>
        <w:rPr>
          <w:rFonts w:hint="eastAsia" w:ascii="宋体" w:hAnsi="宋体" w:eastAsia="宋体" w:cs="Times New Roman"/>
          <w:color w:val="auto"/>
          <w:szCs w:val="21"/>
          <w:highlight w:val="none"/>
        </w:rPr>
        <w:t>除招标文件规定必须提供以外，投标人认为需要提供的其他证明材料。（投标人根据“第二章 采购需求”及“第四章 评标方法及评标标准”提供有关证明材料）。</w:t>
      </w:r>
    </w:p>
    <w:p w14:paraId="08DDEE4F">
      <w:pPr>
        <w:snapToGrid w:val="0"/>
        <w:spacing w:before="50" w:after="120" w:afterLines="50"/>
        <w:jc w:val="left"/>
        <w:rPr>
          <w:rFonts w:ascii="Times New Roman" w:hAnsi="Times New Roman" w:eastAsia="宋体" w:cs="Times New Roman"/>
          <w:color w:val="auto"/>
          <w:szCs w:val="21"/>
          <w:highlight w:val="none"/>
        </w:rPr>
      </w:pPr>
    </w:p>
    <w:p w14:paraId="7B4ED72E">
      <w:pPr>
        <w:snapToGrid w:val="0"/>
        <w:spacing w:before="120" w:beforeLines="50" w:after="50" w:line="440" w:lineRule="exact"/>
        <w:jc w:val="left"/>
        <w:outlineLvl w:val="1"/>
        <w:rPr>
          <w:rFonts w:ascii="Times New Roman" w:hAnsi="Times New Roman" w:eastAsia="宋体" w:cs="Times New Roman"/>
          <w:bCs/>
          <w:color w:val="auto"/>
          <w:sz w:val="24"/>
          <w:szCs w:val="24"/>
          <w:highlight w:val="none"/>
        </w:rPr>
      </w:pPr>
      <w:r>
        <w:rPr>
          <w:rFonts w:ascii="Times New Roman" w:hAnsi="Times New Roman" w:eastAsia="宋体" w:cs="Times New Roman"/>
          <w:color w:val="auto"/>
          <w:szCs w:val="21"/>
          <w:highlight w:val="none"/>
        </w:rPr>
        <w:br w:type="page"/>
      </w:r>
      <w:r>
        <w:rPr>
          <w:rFonts w:ascii="Times New Roman" w:hAnsi="Times New Roman" w:eastAsia="宋体" w:cs="Times New Roman"/>
          <w:bCs/>
          <w:color w:val="auto"/>
          <w:sz w:val="24"/>
          <w:szCs w:val="24"/>
          <w:highlight w:val="none"/>
        </w:rPr>
        <w:t>3．投标文件封面参考格式</w:t>
      </w:r>
      <w:r>
        <w:rPr>
          <w:rFonts w:hint="eastAsia" w:ascii="Times New Roman" w:hAnsi="Times New Roman" w:eastAsia="宋体" w:cs="Times New Roman"/>
          <w:bCs/>
          <w:color w:val="auto"/>
          <w:sz w:val="24"/>
          <w:szCs w:val="24"/>
          <w:highlight w:val="none"/>
        </w:rPr>
        <w:t>（报价文件）</w:t>
      </w:r>
      <w:r>
        <w:rPr>
          <w:rFonts w:ascii="Times New Roman" w:hAnsi="Times New Roman" w:eastAsia="宋体" w:cs="Times New Roman"/>
          <w:bCs/>
          <w:color w:val="auto"/>
          <w:sz w:val="24"/>
          <w:szCs w:val="24"/>
          <w:highlight w:val="none"/>
        </w:rPr>
        <w:t xml:space="preserve">： </w:t>
      </w:r>
    </w:p>
    <w:p w14:paraId="1AA20456">
      <w:pPr>
        <w:snapToGrid w:val="0"/>
        <w:spacing w:before="50" w:after="120" w:afterLines="50" w:line="400" w:lineRule="exact"/>
        <w:jc w:val="left"/>
        <w:rPr>
          <w:rFonts w:ascii="Times New Roman" w:hAnsi="Times New Roman" w:eastAsia="宋体" w:cs="Times New Roman"/>
          <w:bCs/>
          <w:color w:val="auto"/>
          <w:sz w:val="24"/>
          <w:szCs w:val="24"/>
          <w:highlight w:val="none"/>
        </w:rPr>
      </w:pPr>
    </w:p>
    <w:p w14:paraId="548D1E33">
      <w:pPr>
        <w:snapToGrid w:val="0"/>
        <w:spacing w:before="120" w:beforeLines="50" w:after="50" w:line="360" w:lineRule="exact"/>
        <w:rPr>
          <w:rFonts w:ascii="Times New Roman" w:hAnsi="Times New Roman" w:eastAsia="宋体" w:cs="Times New Roman"/>
          <w:color w:val="auto"/>
          <w:sz w:val="24"/>
          <w:szCs w:val="24"/>
          <w:highlight w:val="none"/>
        </w:rPr>
      </w:pPr>
    </w:p>
    <w:p w14:paraId="44CC64E4">
      <w:pPr>
        <w:snapToGrid w:val="0"/>
        <w:spacing w:before="120" w:beforeLines="50" w:after="50" w:line="360" w:lineRule="exact"/>
        <w:jc w:val="center"/>
        <w:rPr>
          <w:rFonts w:ascii="Times New Roman" w:hAnsi="Times New Roman" w:eastAsia="宋体" w:cs="Times New Roman"/>
          <w:bCs/>
          <w:color w:val="auto"/>
          <w:sz w:val="24"/>
          <w:szCs w:val="24"/>
          <w:highlight w:val="none"/>
        </w:rPr>
      </w:pPr>
    </w:p>
    <w:p w14:paraId="70475AEA">
      <w:pPr>
        <w:snapToGrid w:val="0"/>
        <w:spacing w:before="120" w:beforeLines="50" w:after="50" w:line="360" w:lineRule="exact"/>
        <w:jc w:val="center"/>
        <w:rPr>
          <w:rFonts w:ascii="Times New Roman" w:hAnsi="Times New Roman" w:eastAsia="宋体" w:cs="Times New Roman"/>
          <w:b/>
          <w:bCs/>
          <w:color w:val="auto"/>
          <w:sz w:val="44"/>
          <w:szCs w:val="44"/>
          <w:highlight w:val="none"/>
        </w:rPr>
      </w:pPr>
      <w:r>
        <w:rPr>
          <w:rFonts w:hint="eastAsia" w:ascii="Times New Roman" w:hAnsi="Times New Roman" w:eastAsia="宋体" w:cs="Times New Roman"/>
          <w:b/>
          <w:bCs/>
          <w:color w:val="auto"/>
          <w:sz w:val="44"/>
          <w:szCs w:val="44"/>
          <w:highlight w:val="none"/>
        </w:rPr>
        <w:t>电子</w:t>
      </w:r>
      <w:r>
        <w:rPr>
          <w:rFonts w:ascii="Times New Roman" w:hAnsi="Times New Roman" w:eastAsia="宋体" w:cs="Times New Roman"/>
          <w:b/>
          <w:bCs/>
          <w:color w:val="auto"/>
          <w:sz w:val="44"/>
          <w:szCs w:val="44"/>
          <w:highlight w:val="none"/>
        </w:rPr>
        <w:t>投标文件</w:t>
      </w:r>
    </w:p>
    <w:p w14:paraId="7C77A5E9">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1524D2DC">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40B9F519">
      <w:pPr>
        <w:snapToGrid w:val="0"/>
        <w:spacing w:before="120" w:beforeLines="50" w:after="50" w:line="360" w:lineRule="exact"/>
        <w:jc w:val="center"/>
        <w:rPr>
          <w:rFonts w:ascii="Times New Roman" w:hAnsi="Times New Roman" w:eastAsia="宋体" w:cs="Times New Roman"/>
          <w:b/>
          <w:bCs/>
          <w:color w:val="auto"/>
          <w:sz w:val="44"/>
          <w:szCs w:val="44"/>
          <w:highlight w:val="none"/>
        </w:rPr>
      </w:pPr>
      <w:r>
        <w:rPr>
          <w:rFonts w:hint="eastAsia" w:ascii="Times New Roman" w:hAnsi="Times New Roman" w:eastAsia="宋体" w:cs="Times New Roman"/>
          <w:b/>
          <w:bCs/>
          <w:color w:val="auto"/>
          <w:sz w:val="44"/>
          <w:szCs w:val="44"/>
          <w:highlight w:val="none"/>
        </w:rPr>
        <w:t>报价</w:t>
      </w:r>
      <w:r>
        <w:rPr>
          <w:rFonts w:ascii="Times New Roman" w:hAnsi="Times New Roman" w:eastAsia="宋体" w:cs="Times New Roman"/>
          <w:b/>
          <w:bCs/>
          <w:color w:val="auto"/>
          <w:sz w:val="44"/>
          <w:szCs w:val="44"/>
          <w:highlight w:val="none"/>
        </w:rPr>
        <w:t>文件</w:t>
      </w:r>
    </w:p>
    <w:p w14:paraId="38FC9C3F">
      <w:pPr>
        <w:snapToGrid w:val="0"/>
        <w:spacing w:before="120" w:beforeLines="50" w:after="50" w:line="360" w:lineRule="exact"/>
        <w:rPr>
          <w:rFonts w:ascii="Times New Roman" w:hAnsi="Times New Roman" w:eastAsia="宋体" w:cs="Times New Roman"/>
          <w:bCs/>
          <w:color w:val="auto"/>
          <w:sz w:val="24"/>
          <w:szCs w:val="24"/>
          <w:highlight w:val="none"/>
        </w:rPr>
      </w:pPr>
    </w:p>
    <w:p w14:paraId="4E02E066">
      <w:pPr>
        <w:snapToGrid w:val="0"/>
        <w:spacing w:before="120" w:beforeLines="50" w:after="50" w:line="360" w:lineRule="exact"/>
        <w:rPr>
          <w:rFonts w:ascii="Times New Roman" w:hAnsi="Times New Roman" w:eastAsia="宋体" w:cs="Times New Roman"/>
          <w:bCs/>
          <w:color w:val="auto"/>
          <w:sz w:val="24"/>
          <w:szCs w:val="24"/>
          <w:highlight w:val="none"/>
        </w:rPr>
      </w:pPr>
    </w:p>
    <w:p w14:paraId="5F6775C8">
      <w:pPr>
        <w:snapToGrid w:val="0"/>
        <w:spacing w:before="120" w:beforeLines="50" w:after="50" w:line="360" w:lineRule="exact"/>
        <w:rPr>
          <w:rFonts w:ascii="Times New Roman" w:hAnsi="Times New Roman" w:eastAsia="宋体" w:cs="Times New Roman"/>
          <w:bCs/>
          <w:color w:val="auto"/>
          <w:sz w:val="24"/>
          <w:szCs w:val="24"/>
          <w:highlight w:val="none"/>
        </w:rPr>
      </w:pPr>
    </w:p>
    <w:p w14:paraId="1F1E537F">
      <w:pPr>
        <w:snapToGrid w:val="0"/>
        <w:spacing w:before="120" w:beforeLines="50" w:after="50" w:line="360" w:lineRule="exact"/>
        <w:ind w:firstLine="720" w:firstLineChars="300"/>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 xml:space="preserve">项目名称： </w:t>
      </w:r>
    </w:p>
    <w:p w14:paraId="697600CE">
      <w:pPr>
        <w:snapToGrid w:val="0"/>
        <w:spacing w:before="120" w:beforeLines="50" w:after="50" w:line="360" w:lineRule="exact"/>
        <w:ind w:firstLine="720" w:firstLineChars="300"/>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项目编号：</w:t>
      </w:r>
    </w:p>
    <w:p w14:paraId="6F09DE96">
      <w:pPr>
        <w:snapToGrid w:val="0"/>
        <w:spacing w:before="120" w:beforeLines="50" w:after="50" w:line="360" w:lineRule="exact"/>
        <w:ind w:firstLine="720" w:firstLineChars="300"/>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分标号：（若无</w:t>
      </w:r>
      <w:r>
        <w:rPr>
          <w:rFonts w:hint="eastAsia" w:ascii="Times New Roman" w:hAnsi="Times New Roman" w:eastAsia="宋体" w:cs="Times New Roman"/>
          <w:bCs/>
          <w:color w:val="auto"/>
          <w:sz w:val="24"/>
          <w:szCs w:val="24"/>
          <w:highlight w:val="none"/>
        </w:rPr>
        <w:t>留空或写</w:t>
      </w:r>
      <w:r>
        <w:rPr>
          <w:rFonts w:ascii="Times New Roman" w:hAnsi="Times New Roman" w:eastAsia="宋体" w:cs="Times New Roman"/>
          <w:bCs/>
          <w:color w:val="auto"/>
          <w:sz w:val="24"/>
          <w:szCs w:val="24"/>
          <w:highlight w:val="none"/>
        </w:rPr>
        <w:t>“/”）</w:t>
      </w:r>
    </w:p>
    <w:p w14:paraId="68AD1514">
      <w:pPr>
        <w:snapToGrid w:val="0"/>
        <w:spacing w:before="120" w:beforeLines="50" w:after="50" w:line="360" w:lineRule="exact"/>
        <w:ind w:firstLine="720" w:firstLineChars="300"/>
        <w:rPr>
          <w:rFonts w:ascii="Times New Roman" w:hAnsi="Times New Roman" w:eastAsia="宋体" w:cs="Times New Roman"/>
          <w:bCs/>
          <w:color w:val="auto"/>
          <w:sz w:val="24"/>
          <w:szCs w:val="24"/>
          <w:highlight w:val="none"/>
        </w:rPr>
      </w:pPr>
      <w:r>
        <w:rPr>
          <w:rFonts w:hint="eastAsia" w:ascii="Times New Roman" w:hAnsi="Times New Roman" w:eastAsia="宋体" w:cs="Times New Roman"/>
          <w:bCs/>
          <w:color w:val="auto"/>
          <w:sz w:val="24"/>
          <w:szCs w:val="24"/>
          <w:highlight w:val="none"/>
        </w:rPr>
        <w:t>投标人</w:t>
      </w:r>
      <w:r>
        <w:rPr>
          <w:rFonts w:ascii="Times New Roman" w:hAnsi="Times New Roman" w:eastAsia="宋体" w:cs="Times New Roman"/>
          <w:bCs/>
          <w:color w:val="auto"/>
          <w:sz w:val="24"/>
          <w:szCs w:val="24"/>
          <w:highlight w:val="none"/>
        </w:rPr>
        <w:t>名称：</w:t>
      </w:r>
    </w:p>
    <w:p w14:paraId="530E9261">
      <w:pPr>
        <w:snapToGrid w:val="0"/>
        <w:spacing w:before="120" w:beforeLines="50" w:after="50" w:line="360" w:lineRule="exact"/>
        <w:ind w:firstLine="720" w:firstLineChars="300"/>
        <w:rPr>
          <w:rFonts w:ascii="Times New Roman" w:hAnsi="Times New Roman" w:eastAsia="宋体" w:cs="Times New Roman"/>
          <w:bCs/>
          <w:color w:val="auto"/>
          <w:sz w:val="24"/>
          <w:szCs w:val="24"/>
          <w:highlight w:val="none"/>
        </w:rPr>
      </w:pPr>
      <w:r>
        <w:rPr>
          <w:rFonts w:hint="eastAsia" w:ascii="Times New Roman" w:hAnsi="Times New Roman" w:eastAsia="宋体" w:cs="Times New Roman"/>
          <w:bCs/>
          <w:color w:val="auto"/>
          <w:sz w:val="24"/>
          <w:szCs w:val="24"/>
          <w:highlight w:val="none"/>
        </w:rPr>
        <w:t>投标人</w:t>
      </w:r>
      <w:r>
        <w:rPr>
          <w:rFonts w:ascii="Times New Roman" w:hAnsi="Times New Roman" w:eastAsia="宋体" w:cs="Times New Roman"/>
          <w:bCs/>
          <w:color w:val="auto"/>
          <w:sz w:val="24"/>
          <w:szCs w:val="24"/>
          <w:highlight w:val="none"/>
        </w:rPr>
        <w:t>地址：</w:t>
      </w:r>
    </w:p>
    <w:p w14:paraId="71128594">
      <w:pPr>
        <w:snapToGrid w:val="0"/>
        <w:spacing w:before="120" w:beforeLines="50" w:after="50" w:line="360" w:lineRule="exact"/>
        <w:ind w:firstLine="720" w:firstLineChars="300"/>
        <w:rPr>
          <w:rFonts w:ascii="Times New Roman" w:hAnsi="Times New Roman" w:eastAsia="宋体" w:cs="Times New Roman"/>
          <w:bCs/>
          <w:color w:val="auto"/>
          <w:sz w:val="24"/>
          <w:szCs w:val="24"/>
          <w:highlight w:val="none"/>
        </w:rPr>
      </w:pPr>
    </w:p>
    <w:p w14:paraId="6E9B5FA5">
      <w:pPr>
        <w:snapToGrid w:val="0"/>
        <w:spacing w:before="50" w:after="50" w:line="360" w:lineRule="exact"/>
        <w:ind w:firstLine="960" w:firstLineChars="400"/>
        <w:rPr>
          <w:rFonts w:ascii="Times New Roman" w:hAnsi="Times New Roman" w:eastAsia="宋体" w:cs="Times New Roman"/>
          <w:bCs/>
          <w:color w:val="auto"/>
          <w:sz w:val="24"/>
          <w:szCs w:val="24"/>
          <w:highlight w:val="none"/>
        </w:rPr>
      </w:pPr>
    </w:p>
    <w:p w14:paraId="59B137E6">
      <w:pPr>
        <w:snapToGrid w:val="0"/>
        <w:spacing w:before="120" w:beforeLines="50" w:after="50" w:line="36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                        年  月  日</w:t>
      </w:r>
    </w:p>
    <w:p w14:paraId="7EBA4F3D">
      <w:pPr>
        <w:rPr>
          <w:rFonts w:ascii="Times New Roman" w:hAnsi="Times New Roman" w:eastAsia="宋体" w:cs="Times New Roman"/>
          <w:color w:val="auto"/>
          <w:szCs w:val="24"/>
          <w:highlight w:val="none"/>
        </w:rPr>
      </w:pPr>
    </w:p>
    <w:p w14:paraId="4C7ECB73">
      <w:pPr>
        <w:jc w:val="center"/>
        <w:rPr>
          <w:rFonts w:ascii="Times New Roman" w:hAnsi="Times New Roman" w:eastAsia="宋体" w:cs="Times New Roman"/>
          <w:b/>
          <w:bCs/>
          <w:color w:val="auto"/>
          <w:szCs w:val="21"/>
          <w:highlight w:val="none"/>
        </w:rPr>
      </w:pPr>
      <w:r>
        <w:rPr>
          <w:rFonts w:ascii="Times New Roman" w:hAnsi="Times New Roman" w:eastAsia="宋体" w:cs="Times New Roman"/>
          <w:b/>
          <w:color w:val="auto"/>
          <w:szCs w:val="21"/>
          <w:highlight w:val="none"/>
        </w:rPr>
        <w:br w:type="page"/>
      </w:r>
      <w:r>
        <w:rPr>
          <w:rFonts w:ascii="Times New Roman" w:hAnsi="Times New Roman" w:eastAsia="宋体" w:cs="Times New Roman"/>
          <w:b/>
          <w:bCs/>
          <w:color w:val="auto"/>
          <w:szCs w:val="21"/>
          <w:highlight w:val="none"/>
        </w:rPr>
        <w:t xml:space="preserve"> </w:t>
      </w:r>
    </w:p>
    <w:p w14:paraId="374FD105">
      <w:pPr>
        <w:snapToGrid w:val="0"/>
        <w:spacing w:before="120" w:beforeLines="50" w:after="50" w:line="440" w:lineRule="exact"/>
        <w:jc w:val="center"/>
        <w:outlineLvl w:val="1"/>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第三部分 报价文件</w:t>
      </w:r>
    </w:p>
    <w:p w14:paraId="0C128948">
      <w:pPr>
        <w:jc w:val="center"/>
        <w:rPr>
          <w:rFonts w:ascii="Times New Roman" w:hAnsi="Times New Roman" w:eastAsia="宋体" w:cs="Times New Roman"/>
          <w:b/>
          <w:bCs/>
          <w:color w:val="auto"/>
          <w:szCs w:val="21"/>
          <w:highlight w:val="none"/>
        </w:rPr>
      </w:pPr>
    </w:p>
    <w:p w14:paraId="3E29482D">
      <w:pP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1．投标函格式：</w:t>
      </w:r>
    </w:p>
    <w:p w14:paraId="50C2C8F4">
      <w:pPr>
        <w:rPr>
          <w:rFonts w:ascii="Times New Roman" w:hAnsi="Times New Roman" w:eastAsia="宋体" w:cs="Times New Roman"/>
          <w:color w:val="auto"/>
          <w:szCs w:val="24"/>
          <w:highlight w:val="none"/>
        </w:rPr>
      </w:pPr>
    </w:p>
    <w:p w14:paraId="5BA413FA">
      <w:pPr>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投 标 函</w:t>
      </w:r>
    </w:p>
    <w:p w14:paraId="409F47C5">
      <w:pPr>
        <w:rPr>
          <w:rFonts w:ascii="Times New Roman" w:hAnsi="Times New Roman" w:eastAsia="宋体" w:cs="Times New Roman"/>
          <w:b/>
          <w:color w:val="auto"/>
          <w:szCs w:val="21"/>
          <w:highlight w:val="none"/>
        </w:rPr>
      </w:pPr>
    </w:p>
    <w:p w14:paraId="39912443">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致：</w:t>
      </w:r>
      <w:bookmarkStart w:id="115" w:name="_Hlk19051378"/>
      <w:r>
        <w:rPr>
          <w:rFonts w:ascii="Times New Roman" w:hAnsi="Times New Roman" w:eastAsia="宋体" w:cs="Times New Roman"/>
          <w:color w:val="auto"/>
          <w:szCs w:val="21"/>
          <w:highlight w:val="none"/>
        </w:rPr>
        <w:t>_</w:t>
      </w:r>
      <w:r>
        <w:rPr>
          <w:rFonts w:ascii="Times New Roman" w:hAnsi="Times New Roman" w:eastAsia="宋体" w:cs="Times New Roman"/>
          <w:i/>
          <w:iCs/>
          <w:color w:val="auto"/>
          <w:szCs w:val="21"/>
          <w:highlight w:val="none"/>
          <w:u w:val="single"/>
        </w:rPr>
        <w:t>（采购</w:t>
      </w:r>
      <w:r>
        <w:rPr>
          <w:rFonts w:hint="eastAsia" w:ascii="Times New Roman" w:hAnsi="Times New Roman" w:eastAsia="宋体" w:cs="Times New Roman"/>
          <w:i/>
          <w:iCs/>
          <w:color w:val="auto"/>
          <w:szCs w:val="21"/>
          <w:highlight w:val="none"/>
          <w:u w:val="single"/>
        </w:rPr>
        <w:t>人</w:t>
      </w:r>
      <w:r>
        <w:rPr>
          <w:rFonts w:ascii="Times New Roman" w:hAnsi="Times New Roman" w:eastAsia="宋体" w:cs="Times New Roman"/>
          <w:i/>
          <w:iCs/>
          <w:color w:val="auto"/>
          <w:szCs w:val="21"/>
          <w:highlight w:val="none"/>
          <w:u w:val="single"/>
        </w:rPr>
        <w:t>名称）</w:t>
      </w:r>
      <w:r>
        <w:rPr>
          <w:rFonts w:ascii="Times New Roman" w:hAnsi="Times New Roman" w:eastAsia="宋体" w:cs="Times New Roman"/>
          <w:i/>
          <w:iCs/>
          <w:color w:val="auto"/>
          <w:szCs w:val="21"/>
          <w:highlight w:val="none"/>
        </w:rPr>
        <w:t>_</w:t>
      </w:r>
      <w:bookmarkEnd w:id="115"/>
      <w:r>
        <w:rPr>
          <w:rFonts w:ascii="Times New Roman" w:hAnsi="Times New Roman" w:eastAsia="宋体" w:cs="Times New Roman"/>
          <w:color w:val="auto"/>
          <w:szCs w:val="21"/>
          <w:highlight w:val="none"/>
        </w:rPr>
        <w:t>：</w:t>
      </w:r>
    </w:p>
    <w:p w14:paraId="1028F410">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我方已仔细研究了</w:t>
      </w:r>
      <w:bookmarkStart w:id="116" w:name="_Hlk19051388"/>
      <w:r>
        <w:rPr>
          <w:rFonts w:hint="eastAsia" w:ascii="Times New Roman" w:hAnsi="Times New Roman" w:eastAsia="宋体" w:cs="Times New Roman"/>
          <w:i/>
          <w:iCs/>
          <w:color w:val="auto"/>
          <w:szCs w:val="21"/>
          <w:highlight w:val="none"/>
          <w:u w:val="single"/>
        </w:rPr>
        <w:t>（项目名称）</w:t>
      </w:r>
      <w:bookmarkEnd w:id="116"/>
      <w:r>
        <w:rPr>
          <w:rFonts w:ascii="Times New Roman" w:hAnsi="Times New Roman" w:eastAsia="宋体" w:cs="Times New Roman"/>
          <w:color w:val="auto"/>
          <w:szCs w:val="21"/>
          <w:highlight w:val="none"/>
        </w:rPr>
        <w:t>的招标文件的全部内容。签字代表</w:t>
      </w:r>
      <w:bookmarkStart w:id="117" w:name="_Hlk19051393"/>
      <w:r>
        <w:rPr>
          <w:rFonts w:hint="eastAsia" w:ascii="Times New Roman" w:hAnsi="Times New Roman" w:eastAsia="宋体" w:cs="Times New Roman"/>
          <w:i/>
          <w:iCs/>
          <w:color w:val="auto"/>
          <w:szCs w:val="21"/>
          <w:highlight w:val="none"/>
          <w:u w:val="single"/>
        </w:rPr>
        <w:t>（授权代表姓名）</w:t>
      </w:r>
      <w:bookmarkEnd w:id="117"/>
      <w:r>
        <w:rPr>
          <w:rFonts w:ascii="Times New Roman" w:hAnsi="Times New Roman" w:eastAsia="宋体" w:cs="Times New Roman"/>
          <w:color w:val="auto"/>
          <w:szCs w:val="21"/>
          <w:highlight w:val="none"/>
        </w:rPr>
        <w:t>经正式授权并代表</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_</w:t>
      </w:r>
      <w:bookmarkStart w:id="118" w:name="_Hlk19051402"/>
      <w:r>
        <w:rPr>
          <w:rFonts w:ascii="Times New Roman" w:hAnsi="Times New Roman" w:eastAsia="宋体" w:cs="Times New Roman"/>
          <w:i/>
          <w:iCs/>
          <w:color w:val="auto"/>
          <w:szCs w:val="21"/>
          <w:highlight w:val="none"/>
          <w:u w:val="single"/>
        </w:rPr>
        <w:t>（</w:t>
      </w:r>
      <w:r>
        <w:rPr>
          <w:rFonts w:hint="eastAsia" w:ascii="Times New Roman" w:hAnsi="Times New Roman" w:eastAsia="宋体" w:cs="Times New Roman"/>
          <w:i/>
          <w:iCs/>
          <w:color w:val="auto"/>
          <w:szCs w:val="21"/>
          <w:highlight w:val="none"/>
          <w:u w:val="single"/>
        </w:rPr>
        <w:t>投标人</w:t>
      </w:r>
      <w:r>
        <w:rPr>
          <w:rFonts w:ascii="Times New Roman" w:hAnsi="Times New Roman" w:eastAsia="宋体" w:cs="Times New Roman"/>
          <w:i/>
          <w:iCs/>
          <w:color w:val="auto"/>
          <w:szCs w:val="21"/>
          <w:highlight w:val="none"/>
          <w:u w:val="single"/>
        </w:rPr>
        <w:t>名称）</w:t>
      </w:r>
      <w:bookmarkEnd w:id="118"/>
      <w:r>
        <w:rPr>
          <w:rFonts w:ascii="Times New Roman" w:hAnsi="Times New Roman" w:eastAsia="宋体" w:cs="Times New Roman"/>
          <w:color w:val="auto"/>
          <w:szCs w:val="21"/>
          <w:highlight w:val="none"/>
        </w:rPr>
        <w:t>提交投标文件</w:t>
      </w:r>
      <w:r>
        <w:rPr>
          <w:rFonts w:hint="eastAsia" w:ascii="Times New Roman" w:hAnsi="Times New Roman" w:eastAsia="宋体" w:cs="Times New Roman"/>
          <w:color w:val="auto"/>
          <w:szCs w:val="21"/>
          <w:highlight w:val="none"/>
        </w:rPr>
        <w:t>。</w:t>
      </w:r>
    </w:p>
    <w:p w14:paraId="0E27B580">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据此函，签字代表宣布同意如下：</w:t>
      </w:r>
    </w:p>
    <w:p w14:paraId="246A9F02">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我方</w:t>
      </w:r>
      <w:r>
        <w:rPr>
          <w:rFonts w:ascii="Times New Roman" w:hAnsi="Times New Roman" w:eastAsia="宋体" w:cs="Times New Roman"/>
          <w:color w:val="auto"/>
          <w:szCs w:val="21"/>
          <w:highlight w:val="none"/>
        </w:rPr>
        <w:t>已详细审查全部“招标文件”，包括修改文件（如有的话）以及全部参考资料和有关附件，已经了解我方对于招标文件、采购过程、采购结果有依法进行询问、质疑、投诉的权利及相关渠道和要求。</w:t>
      </w:r>
    </w:p>
    <w:p w14:paraId="2962C959">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我方</w:t>
      </w:r>
      <w:r>
        <w:rPr>
          <w:rFonts w:ascii="Times New Roman" w:hAnsi="Times New Roman" w:eastAsia="宋体" w:cs="Times New Roman"/>
          <w:color w:val="auto"/>
          <w:szCs w:val="21"/>
          <w:highlight w:val="none"/>
        </w:rPr>
        <w:t>在投标之前已经与贵方进行了充分的沟通，完全理解并接受招标文件的各项规定和要求，对招标文件的合理性、合法性不再有异议。</w:t>
      </w:r>
    </w:p>
    <w:p w14:paraId="4DD328F5">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（3）本投标有效期自投标截止之日起</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天。</w:t>
      </w:r>
    </w:p>
    <w:p w14:paraId="38D71FBD">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（4）如中标，本投标文件至本项目合同履行完毕止均保持有效，</w:t>
      </w:r>
      <w:r>
        <w:rPr>
          <w:rFonts w:hint="eastAsia" w:ascii="Times New Roman" w:hAnsi="Times New Roman" w:eastAsia="宋体" w:cs="Times New Roman"/>
          <w:color w:val="auto"/>
          <w:szCs w:val="21"/>
          <w:highlight w:val="none"/>
        </w:rPr>
        <w:t>我方</w:t>
      </w:r>
      <w:r>
        <w:rPr>
          <w:rFonts w:ascii="Times New Roman" w:hAnsi="Times New Roman" w:eastAsia="宋体" w:cs="Times New Roman"/>
          <w:color w:val="auto"/>
          <w:szCs w:val="21"/>
          <w:highlight w:val="none"/>
        </w:rPr>
        <w:t>将按“招标文件”及政府采购法律、法规的规定履行合同责任和义务</w:t>
      </w:r>
      <w:r>
        <w:rPr>
          <w:rFonts w:hint="eastAsia" w:ascii="Times New Roman" w:hAnsi="Times New Roman" w:eastAsia="宋体" w:cs="Times New Roman"/>
          <w:color w:val="auto"/>
          <w:szCs w:val="21"/>
          <w:highlight w:val="none"/>
        </w:rPr>
        <w:t>，并承诺</w:t>
      </w:r>
      <w:r>
        <w:rPr>
          <w:rFonts w:ascii="Times New Roman" w:hAnsi="Times New Roman" w:eastAsia="宋体" w:cs="Times New Roman"/>
          <w:color w:val="auto"/>
          <w:szCs w:val="21"/>
          <w:highlight w:val="none"/>
        </w:rPr>
        <w:t>不分包及转包他人。</w:t>
      </w:r>
    </w:p>
    <w:p w14:paraId="2FE95C3E">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w:t>
      </w:r>
      <w:r>
        <w:rPr>
          <w:rFonts w:hint="eastAsia" w:ascii="Times New Roman" w:hAnsi="Times New Roman" w:eastAsia="宋体" w:cs="Times New Roman"/>
          <w:color w:val="auto"/>
          <w:szCs w:val="21"/>
          <w:highlight w:val="none"/>
        </w:rPr>
        <w:t>我方</w:t>
      </w:r>
      <w:r>
        <w:rPr>
          <w:rFonts w:ascii="Times New Roman" w:hAnsi="Times New Roman" w:eastAsia="宋体" w:cs="Times New Roman"/>
          <w:color w:val="auto"/>
          <w:szCs w:val="21"/>
          <w:highlight w:val="none"/>
        </w:rPr>
        <w:t>同意按照贵方要求提供与投标有关的一切数据或资料。</w:t>
      </w:r>
    </w:p>
    <w:p w14:paraId="26849469">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（6）与本项目有关的一切正式往来信函请寄：</w:t>
      </w:r>
    </w:p>
    <w:p w14:paraId="473E4A79">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地址：</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邮编：</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电话：</w:t>
      </w:r>
      <w:r>
        <w:rPr>
          <w:rFonts w:ascii="Times New Roman" w:hAnsi="Times New Roman" w:eastAsia="宋体" w:cs="Times New Roman"/>
          <w:color w:val="auto"/>
          <w:szCs w:val="21"/>
          <w:highlight w:val="none"/>
          <w:u w:val="single"/>
        </w:rPr>
        <w:t xml:space="preserve">            </w:t>
      </w:r>
    </w:p>
    <w:p w14:paraId="3BBBE4FD">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传真：</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w:t>
      </w:r>
    </w:p>
    <w:p w14:paraId="324CA05E">
      <w:pPr>
        <w:spacing w:line="360" w:lineRule="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代表姓名</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职务：</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邮箱：</w:t>
      </w:r>
      <w:r>
        <w:rPr>
          <w:rFonts w:hint="eastAsia"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w:t>
      </w:r>
    </w:p>
    <w:p w14:paraId="40B1038D">
      <w:pPr>
        <w:spacing w:line="360" w:lineRule="auto"/>
        <w:rPr>
          <w:rFonts w:ascii="Times New Roman" w:hAnsi="Times New Roman" w:eastAsia="宋体" w:cs="Times New Roman"/>
          <w:color w:val="auto"/>
          <w:szCs w:val="21"/>
          <w:highlight w:val="none"/>
        </w:rPr>
      </w:pPr>
    </w:p>
    <w:p w14:paraId="61E2040C">
      <w:pPr>
        <w:spacing w:line="360" w:lineRule="auto"/>
        <w:rPr>
          <w:rFonts w:ascii="Times New Roman" w:hAnsi="Times New Roman" w:eastAsia="宋体" w:cs="Times New Roman"/>
          <w:color w:val="auto"/>
          <w:szCs w:val="21"/>
          <w:highlight w:val="none"/>
        </w:rPr>
      </w:pPr>
    </w:p>
    <w:p w14:paraId="36C239AB">
      <w:pPr>
        <w:spacing w:line="360" w:lineRule="auto"/>
        <w:rPr>
          <w:rFonts w:ascii="Times New Roman" w:hAnsi="Times New Roman" w:eastAsia="宋体" w:cs="Times New Roman"/>
          <w:color w:val="auto"/>
          <w:szCs w:val="21"/>
          <w:highlight w:val="none"/>
        </w:rPr>
      </w:pPr>
    </w:p>
    <w:p w14:paraId="542B31E2">
      <w:pPr>
        <w:spacing w:line="360" w:lineRule="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投标人名称(电子签章)：</w:t>
      </w:r>
    </w:p>
    <w:p w14:paraId="18258000">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日期：</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月</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w:t>
      </w:r>
    </w:p>
    <w:p w14:paraId="71AC2BC1">
      <w:pPr>
        <w:rPr>
          <w:rFonts w:ascii="Times New Roman" w:hAnsi="Times New Roman" w:eastAsia="宋体" w:cs="Times New Roman"/>
          <w:color w:val="auto"/>
          <w:szCs w:val="24"/>
          <w:highlight w:val="none"/>
        </w:rPr>
      </w:pPr>
      <w:r>
        <w:rPr>
          <w:rFonts w:ascii="Times New Roman" w:hAnsi="Times New Roman" w:eastAsia="宋体" w:cs="Times New Roman"/>
          <w:b/>
          <w:color w:val="auto"/>
          <w:szCs w:val="21"/>
          <w:highlight w:val="none"/>
        </w:rPr>
        <w:br w:type="page"/>
      </w:r>
    </w:p>
    <w:p w14:paraId="1119B558">
      <w:pPr>
        <w:snapToGrid w:val="0"/>
        <w:spacing w:before="120" w:beforeLines="50" w:after="50"/>
        <w:jc w:val="left"/>
        <w:rPr>
          <w:rFonts w:ascii="宋体" w:hAnsi="宋体"/>
          <w:b/>
          <w:color w:val="auto"/>
          <w:sz w:val="24"/>
          <w:szCs w:val="20"/>
          <w:highlight w:val="none"/>
        </w:rPr>
      </w:pPr>
      <w:r>
        <w:rPr>
          <w:rFonts w:hint="eastAsia" w:ascii="宋体" w:hAnsi="宋体"/>
          <w:b/>
          <w:color w:val="auto"/>
          <w:sz w:val="24"/>
          <w:highlight w:val="none"/>
        </w:rPr>
        <w:t>2. 报价明细表（服务类格式）</w:t>
      </w:r>
    </w:p>
    <w:p w14:paraId="2CDCF6BA">
      <w:pPr>
        <w:snapToGrid w:val="0"/>
        <w:spacing w:before="50" w:after="50"/>
        <w:jc w:val="center"/>
        <w:rPr>
          <w:rFonts w:ascii="宋体" w:hAnsi="宋体"/>
          <w:b/>
          <w:color w:val="auto"/>
          <w:sz w:val="32"/>
          <w:highlight w:val="none"/>
        </w:rPr>
      </w:pPr>
      <w:r>
        <w:rPr>
          <w:rFonts w:hint="eastAsia" w:ascii="宋体" w:hAnsi="宋体"/>
          <w:b/>
          <w:color w:val="auto"/>
          <w:sz w:val="32"/>
          <w:highlight w:val="none"/>
        </w:rPr>
        <w:t>报价明细表</w:t>
      </w:r>
    </w:p>
    <w:p w14:paraId="0608C8D0">
      <w:pPr>
        <w:snapToGrid w:val="0"/>
        <w:spacing w:before="50" w:after="50"/>
        <w:jc w:val="center"/>
        <w:rPr>
          <w:rFonts w:ascii="宋体" w:hAnsi="宋体"/>
          <w:b/>
          <w:color w:val="auto"/>
          <w:sz w:val="24"/>
          <w:szCs w:val="20"/>
          <w:highlight w:val="none"/>
        </w:rPr>
      </w:pPr>
    </w:p>
    <w:p w14:paraId="0387A6A0">
      <w:pPr>
        <w:snapToGrid w:val="0"/>
        <w:spacing w:before="50" w:after="50" w:line="360" w:lineRule="auto"/>
        <w:rPr>
          <w:rFonts w:ascii="宋体" w:hAnsi="宋体"/>
          <w:color w:val="auto"/>
          <w:highlight w:val="none"/>
          <w:u w:val="single"/>
        </w:rPr>
      </w:pPr>
      <w:r>
        <w:rPr>
          <w:rFonts w:hint="eastAsia" w:ascii="宋体" w:hAnsi="宋体"/>
          <w:color w:val="auto"/>
          <w:highlight w:val="none"/>
        </w:rPr>
        <w:t>项目名称：</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项目编号：</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751608B4">
      <w:pPr>
        <w:snapToGrid w:val="0"/>
        <w:spacing w:before="50" w:after="50" w:line="360" w:lineRule="auto"/>
        <w:rPr>
          <w:rFonts w:ascii="宋体" w:hAnsi="宋体"/>
          <w:color w:val="auto"/>
          <w:highlight w:val="none"/>
        </w:rPr>
      </w:pPr>
      <w:r>
        <w:rPr>
          <w:rFonts w:hint="eastAsia" w:ascii="宋体" w:hAnsi="宋体"/>
          <w:color w:val="auto"/>
          <w:highlight w:val="none"/>
        </w:rPr>
        <w:t>投标人名称：</w:t>
      </w:r>
      <w:r>
        <w:rPr>
          <w:rFonts w:hint="eastAsia" w:ascii="宋体" w:hAnsi="宋体"/>
          <w:color w:val="auto"/>
          <w:highlight w:val="none"/>
          <w:u w:val="single"/>
        </w:rPr>
        <w:t xml:space="preserve">                     </w:t>
      </w:r>
      <w:r>
        <w:rPr>
          <w:rFonts w:hint="eastAsia" w:ascii="宋体" w:hAnsi="宋体"/>
          <w:color w:val="auto"/>
          <w:highlight w:val="none"/>
        </w:rPr>
        <w:t xml:space="preserve">                  </w:t>
      </w:r>
    </w:p>
    <w:tbl>
      <w:tblPr>
        <w:tblStyle w:val="4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3"/>
        <w:gridCol w:w="1273"/>
        <w:gridCol w:w="1418"/>
        <w:gridCol w:w="1134"/>
        <w:gridCol w:w="1701"/>
        <w:gridCol w:w="1416"/>
      </w:tblGrid>
      <w:tr w14:paraId="0289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8BA6EC4">
            <w:pPr>
              <w:spacing w:line="360" w:lineRule="auto"/>
              <w:jc w:val="center"/>
              <w:rPr>
                <w:rFonts w:ascii="宋体" w:hAnsi="宋体" w:cs="仿宋_GB2312"/>
                <w:color w:val="auto"/>
                <w:highlight w:val="none"/>
              </w:rPr>
            </w:pPr>
            <w:r>
              <w:rPr>
                <w:rFonts w:ascii="宋体" w:hAnsi="宋体" w:cs="仿宋_GB2312"/>
                <w:color w:val="auto"/>
                <w:highlight w:val="none"/>
              </w:rPr>
              <w:t>序号</w:t>
            </w:r>
          </w:p>
        </w:tc>
        <w:tc>
          <w:tcPr>
            <w:tcW w:w="1134" w:type="dxa"/>
            <w:tcBorders>
              <w:top w:val="single" w:color="auto" w:sz="4" w:space="0"/>
              <w:left w:val="single" w:color="auto" w:sz="4" w:space="0"/>
              <w:bottom w:val="single" w:color="auto" w:sz="4" w:space="0"/>
              <w:right w:val="single" w:color="auto" w:sz="4" w:space="0"/>
            </w:tcBorders>
            <w:vAlign w:val="center"/>
          </w:tcPr>
          <w:p w14:paraId="66CCF14B">
            <w:pPr>
              <w:spacing w:line="360" w:lineRule="auto"/>
              <w:jc w:val="center"/>
              <w:rPr>
                <w:rFonts w:ascii="宋体" w:hAnsi="宋体" w:cs="仿宋_GB2312"/>
                <w:color w:val="auto"/>
                <w:highlight w:val="none"/>
              </w:rPr>
            </w:pPr>
            <w:r>
              <w:rPr>
                <w:rFonts w:hint="eastAsia" w:ascii="宋体" w:hAnsi="宋体"/>
                <w:color w:val="auto"/>
                <w:highlight w:val="none"/>
              </w:rPr>
              <w:t>标的名称</w:t>
            </w:r>
          </w:p>
        </w:tc>
        <w:tc>
          <w:tcPr>
            <w:tcW w:w="853" w:type="dxa"/>
            <w:tcBorders>
              <w:top w:val="single" w:color="auto" w:sz="4" w:space="0"/>
              <w:left w:val="single" w:color="auto" w:sz="4" w:space="0"/>
              <w:bottom w:val="single" w:color="auto" w:sz="4" w:space="0"/>
              <w:right w:val="single" w:color="auto" w:sz="4" w:space="0"/>
            </w:tcBorders>
            <w:vAlign w:val="center"/>
          </w:tcPr>
          <w:p w14:paraId="57BE6799">
            <w:pPr>
              <w:spacing w:line="360" w:lineRule="auto"/>
              <w:jc w:val="center"/>
              <w:rPr>
                <w:rFonts w:ascii="宋体" w:hAnsi="宋体" w:cs="仿宋_GB2312"/>
                <w:color w:val="auto"/>
                <w:highlight w:val="none"/>
              </w:rPr>
            </w:pPr>
            <w:r>
              <w:rPr>
                <w:rFonts w:hint="eastAsia" w:ascii="宋体" w:hAnsi="宋体" w:cs="仿宋_GB2312"/>
                <w:color w:val="auto"/>
                <w:highlight w:val="none"/>
              </w:rPr>
              <w:t>数量（辆）</w:t>
            </w:r>
          </w:p>
          <w:p w14:paraId="188E6678">
            <w:pPr>
              <w:spacing w:line="360" w:lineRule="auto"/>
              <w:jc w:val="center"/>
              <w:rPr>
                <w:rFonts w:ascii="宋体" w:hAnsi="宋体" w:cs="仿宋_GB2312"/>
                <w:color w:val="auto"/>
                <w:highlight w:val="none"/>
              </w:rPr>
            </w:pPr>
          </w:p>
        </w:tc>
        <w:tc>
          <w:tcPr>
            <w:tcW w:w="1273" w:type="dxa"/>
            <w:tcBorders>
              <w:top w:val="single" w:color="auto" w:sz="4" w:space="0"/>
              <w:left w:val="single" w:color="auto" w:sz="4" w:space="0"/>
              <w:right w:val="single" w:color="auto" w:sz="4" w:space="0"/>
            </w:tcBorders>
            <w:vAlign w:val="center"/>
          </w:tcPr>
          <w:p w14:paraId="0FF2A064">
            <w:pPr>
              <w:spacing w:line="360" w:lineRule="auto"/>
              <w:jc w:val="center"/>
              <w:rPr>
                <w:rFonts w:ascii="宋体" w:hAnsi="宋体" w:cs="仿宋_GB2312"/>
                <w:color w:val="auto"/>
                <w:highlight w:val="none"/>
              </w:rPr>
            </w:pPr>
            <w:r>
              <w:rPr>
                <w:rFonts w:hint="eastAsia" w:ascii="宋体" w:hAnsi="宋体" w:cs="仿宋_GB2312"/>
                <w:color w:val="auto"/>
                <w:highlight w:val="none"/>
              </w:rPr>
              <w:t>单价</w:t>
            </w:r>
          </w:p>
          <w:p w14:paraId="63ADAB5C">
            <w:pPr>
              <w:spacing w:line="360" w:lineRule="auto"/>
              <w:jc w:val="center"/>
              <w:rPr>
                <w:rFonts w:ascii="宋体" w:hAnsi="宋体" w:cs="仿宋_GB2312"/>
                <w:color w:val="auto"/>
                <w:highlight w:val="none"/>
              </w:rPr>
            </w:pPr>
          </w:p>
        </w:tc>
        <w:tc>
          <w:tcPr>
            <w:tcW w:w="1418" w:type="dxa"/>
            <w:tcBorders>
              <w:top w:val="single" w:color="auto" w:sz="4" w:space="0"/>
              <w:left w:val="single" w:color="auto" w:sz="4" w:space="0"/>
              <w:right w:val="single" w:color="auto" w:sz="4" w:space="0"/>
            </w:tcBorders>
            <w:vAlign w:val="center"/>
          </w:tcPr>
          <w:p w14:paraId="463ED5CA">
            <w:pPr>
              <w:spacing w:line="360" w:lineRule="auto"/>
              <w:jc w:val="center"/>
              <w:rPr>
                <w:rFonts w:ascii="宋体" w:hAnsi="宋体" w:cs="仿宋_GB2312"/>
                <w:color w:val="auto"/>
                <w:highlight w:val="none"/>
              </w:rPr>
            </w:pPr>
            <w:r>
              <w:rPr>
                <w:rFonts w:hint="eastAsia" w:ascii="宋体" w:hAnsi="宋体" w:cs="仿宋_GB2312"/>
                <w:color w:val="auto"/>
                <w:highlight w:val="none"/>
              </w:rPr>
              <w:t>预计每年运行天数（天）</w:t>
            </w:r>
          </w:p>
          <w:p w14:paraId="12008D2A">
            <w:pPr>
              <w:spacing w:line="360" w:lineRule="auto"/>
              <w:jc w:val="center"/>
              <w:rPr>
                <w:rFonts w:ascii="宋体" w:hAnsi="宋体" w:cs="仿宋_GB2312"/>
                <w:color w:val="auto"/>
                <w:highlight w:val="none"/>
              </w:rPr>
            </w:pPr>
          </w:p>
        </w:tc>
        <w:tc>
          <w:tcPr>
            <w:tcW w:w="1134" w:type="dxa"/>
            <w:tcBorders>
              <w:top w:val="single" w:color="auto" w:sz="4" w:space="0"/>
              <w:left w:val="single" w:color="auto" w:sz="4" w:space="0"/>
              <w:right w:val="single" w:color="auto" w:sz="4" w:space="0"/>
            </w:tcBorders>
            <w:vAlign w:val="center"/>
          </w:tcPr>
          <w:p w14:paraId="01819E3B">
            <w:pPr>
              <w:spacing w:line="360" w:lineRule="auto"/>
              <w:jc w:val="center"/>
              <w:rPr>
                <w:rFonts w:ascii="宋体" w:hAnsi="宋体" w:cs="仿宋_GB2312"/>
                <w:color w:val="auto"/>
                <w:highlight w:val="none"/>
              </w:rPr>
            </w:pPr>
            <w:r>
              <w:rPr>
                <w:rFonts w:hint="eastAsia" w:ascii="宋体" w:hAnsi="宋体" w:cs="仿宋_GB2312"/>
                <w:color w:val="auto"/>
                <w:highlight w:val="none"/>
              </w:rPr>
              <w:t>年限（年）</w:t>
            </w:r>
          </w:p>
          <w:p w14:paraId="69A4E910">
            <w:pPr>
              <w:spacing w:line="360" w:lineRule="auto"/>
              <w:jc w:val="center"/>
              <w:rPr>
                <w:rFonts w:ascii="宋体" w:hAnsi="宋体" w:cs="仿宋_GB2312"/>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FA4B607">
            <w:pPr>
              <w:spacing w:line="360" w:lineRule="auto"/>
              <w:jc w:val="center"/>
              <w:rPr>
                <w:rFonts w:ascii="宋体" w:hAnsi="宋体" w:cs="仿宋_GB2312"/>
                <w:color w:val="auto"/>
                <w:highlight w:val="none"/>
              </w:rPr>
            </w:pPr>
            <w:r>
              <w:rPr>
                <w:rFonts w:hint="eastAsia" w:ascii="宋体" w:hAnsi="宋体" w:cs="仿宋_GB2312"/>
                <w:color w:val="auto"/>
                <w:highlight w:val="none"/>
              </w:rPr>
              <w:t>折扣率</w:t>
            </w:r>
            <w:r>
              <w:rPr>
                <w:rFonts w:hint="eastAsia" w:ascii="宋体" w:hAnsi="宋体" w:cs="仿宋_GB2312"/>
                <w:color w:val="auto"/>
                <w:szCs w:val="21"/>
                <w:highlight w:val="none"/>
              </w:rPr>
              <w:t>（%）</w:t>
            </w:r>
          </w:p>
        </w:tc>
        <w:tc>
          <w:tcPr>
            <w:tcW w:w="1416" w:type="dxa"/>
            <w:tcBorders>
              <w:top w:val="single" w:color="auto" w:sz="4" w:space="0"/>
              <w:left w:val="single" w:color="auto" w:sz="4" w:space="0"/>
              <w:bottom w:val="single" w:color="auto" w:sz="4" w:space="0"/>
              <w:right w:val="single" w:color="auto" w:sz="4" w:space="0"/>
            </w:tcBorders>
            <w:vAlign w:val="center"/>
          </w:tcPr>
          <w:p w14:paraId="5E0B8AD8">
            <w:pPr>
              <w:spacing w:line="360" w:lineRule="auto"/>
              <w:jc w:val="center"/>
              <w:rPr>
                <w:rFonts w:hint="default" w:ascii="宋体" w:hAnsi="宋体" w:cs="仿宋_GB2312" w:eastAsiaTheme="minorEastAsia"/>
                <w:color w:val="auto"/>
                <w:highlight w:val="none"/>
                <w:lang w:val="en-US" w:eastAsia="zh-CN"/>
              </w:rPr>
            </w:pPr>
            <w:r>
              <w:rPr>
                <w:rFonts w:hint="eastAsia" w:ascii="宋体" w:hAnsi="宋体" w:cs="仿宋_GB2312"/>
                <w:color w:val="auto"/>
                <w:highlight w:val="none"/>
                <w:lang w:val="en-US" w:eastAsia="zh-CN"/>
              </w:rPr>
              <w:t>预计金额</w:t>
            </w:r>
          </w:p>
        </w:tc>
      </w:tr>
      <w:tr w14:paraId="68C4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19EDBEA5">
            <w:pPr>
              <w:spacing w:line="360" w:lineRule="auto"/>
              <w:jc w:val="center"/>
              <w:rPr>
                <w:rFonts w:ascii="宋体" w:hAnsi="宋体" w:cs="仿宋_GB2312"/>
                <w:color w:val="auto"/>
                <w:highlight w:val="none"/>
              </w:rPr>
            </w:pPr>
            <w:r>
              <w:rPr>
                <w:rFonts w:ascii="宋体" w:hAnsi="宋体" w:cs="仿宋_GB2312"/>
                <w:color w:val="auto"/>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14:paraId="25E97B63">
            <w:pPr>
              <w:spacing w:line="360" w:lineRule="auto"/>
              <w:jc w:val="center"/>
              <w:rPr>
                <w:rFonts w:hint="default" w:ascii="宋体" w:hAnsi="宋体" w:cs="仿宋_GB2312" w:eastAsiaTheme="minorEastAsia"/>
                <w:color w:val="auto"/>
                <w:highlight w:val="none"/>
                <w:lang w:val="en-US" w:eastAsia="zh-CN"/>
              </w:rPr>
            </w:pPr>
            <w:r>
              <w:rPr>
                <w:rFonts w:hint="eastAsia" w:ascii="宋体" w:hAnsi="宋体" w:cs="仿宋_GB2312"/>
                <w:color w:val="auto"/>
                <w:highlight w:val="none"/>
                <w:lang w:val="en-US" w:eastAsia="zh-CN"/>
              </w:rPr>
              <w:t>日常通勤车</w:t>
            </w:r>
          </w:p>
        </w:tc>
        <w:tc>
          <w:tcPr>
            <w:tcW w:w="853" w:type="dxa"/>
            <w:tcBorders>
              <w:top w:val="single" w:color="auto" w:sz="4" w:space="0"/>
              <w:left w:val="single" w:color="auto" w:sz="4" w:space="0"/>
              <w:bottom w:val="single" w:color="auto" w:sz="4" w:space="0"/>
              <w:right w:val="single" w:color="auto" w:sz="4" w:space="0"/>
            </w:tcBorders>
            <w:vAlign w:val="center"/>
          </w:tcPr>
          <w:p w14:paraId="473916BD">
            <w:pPr>
              <w:spacing w:line="360" w:lineRule="auto"/>
              <w:jc w:val="center"/>
              <w:rPr>
                <w:rFonts w:ascii="宋体" w:hAnsi="宋体" w:cs="仿宋_GB2312"/>
                <w:color w:val="auto"/>
                <w:highlight w:val="none"/>
              </w:rPr>
            </w:pPr>
            <w:r>
              <w:rPr>
                <w:rFonts w:hint="eastAsia" w:ascii="宋体" w:hAnsi="宋体" w:cs="仿宋_GB2312"/>
                <w:color w:val="auto"/>
                <w:highlight w:val="none"/>
              </w:rPr>
              <w:t>3</w:t>
            </w:r>
          </w:p>
        </w:tc>
        <w:tc>
          <w:tcPr>
            <w:tcW w:w="1273" w:type="dxa"/>
            <w:tcBorders>
              <w:left w:val="single" w:color="auto" w:sz="4" w:space="0"/>
              <w:right w:val="single" w:color="auto" w:sz="4" w:space="0"/>
            </w:tcBorders>
          </w:tcPr>
          <w:p w14:paraId="4EBC59AC">
            <w:pPr>
              <w:spacing w:line="360" w:lineRule="auto"/>
              <w:rPr>
                <w:rFonts w:hint="eastAsia" w:ascii="宋体" w:hAnsi="宋体" w:eastAsia="宋体" w:cs="仿宋_GB2312"/>
                <w:color w:val="auto"/>
                <w:highlight w:val="none"/>
                <w:lang w:eastAsia="zh-CN"/>
              </w:rPr>
            </w:pPr>
            <w:r>
              <w:rPr>
                <w:rFonts w:hint="eastAsia" w:ascii="宋体" w:hAnsi="宋体" w:cs="仿宋_GB2312"/>
                <w:color w:val="auto"/>
                <w:highlight w:val="none"/>
              </w:rPr>
              <w:t>往返武鸣校区运行的单价，</w:t>
            </w:r>
            <w:r>
              <w:rPr>
                <w:rFonts w:hint="eastAsia" w:ascii="宋体" w:hAnsi="宋体" w:cs="仿宋_GB2312"/>
                <w:color w:val="auto"/>
                <w:highlight w:val="none"/>
                <w:u w:val="single"/>
              </w:rPr>
              <w:t>1368</w:t>
            </w:r>
            <w:r>
              <w:rPr>
                <w:rFonts w:hint="eastAsia"/>
                <w:color w:val="auto"/>
                <w:highlight w:val="none"/>
              </w:rPr>
              <w:t>元/次/辆（预计每天发4趟车）</w:t>
            </w:r>
          </w:p>
        </w:tc>
        <w:tc>
          <w:tcPr>
            <w:tcW w:w="1418" w:type="dxa"/>
            <w:tcBorders>
              <w:left w:val="single" w:color="auto" w:sz="4" w:space="0"/>
              <w:right w:val="single" w:color="auto" w:sz="4" w:space="0"/>
            </w:tcBorders>
            <w:vAlign w:val="center"/>
          </w:tcPr>
          <w:p w14:paraId="5E7D0B6F">
            <w:pPr>
              <w:spacing w:line="360" w:lineRule="auto"/>
              <w:jc w:val="center"/>
              <w:rPr>
                <w:rFonts w:ascii="宋体" w:hAnsi="宋体" w:cs="仿宋_GB2312"/>
                <w:color w:val="auto"/>
                <w:highlight w:val="none"/>
              </w:rPr>
            </w:pPr>
            <w:r>
              <w:rPr>
                <w:rFonts w:hint="eastAsia" w:ascii="宋体" w:hAnsi="宋体" w:cs="仿宋_GB2312"/>
                <w:color w:val="auto"/>
                <w:highlight w:val="none"/>
              </w:rPr>
              <w:t>2</w:t>
            </w:r>
            <w:r>
              <w:rPr>
                <w:rFonts w:ascii="宋体" w:hAnsi="宋体" w:cs="仿宋_GB2312"/>
                <w:color w:val="auto"/>
                <w:highlight w:val="none"/>
              </w:rPr>
              <w:t>70</w:t>
            </w:r>
          </w:p>
        </w:tc>
        <w:tc>
          <w:tcPr>
            <w:tcW w:w="1134" w:type="dxa"/>
            <w:tcBorders>
              <w:left w:val="single" w:color="auto" w:sz="4" w:space="0"/>
              <w:right w:val="single" w:color="auto" w:sz="4" w:space="0"/>
            </w:tcBorders>
            <w:vAlign w:val="center"/>
          </w:tcPr>
          <w:p w14:paraId="3208ACE8">
            <w:pPr>
              <w:spacing w:line="360" w:lineRule="auto"/>
              <w:jc w:val="center"/>
              <w:rPr>
                <w:rFonts w:ascii="宋体" w:hAnsi="宋体" w:cs="仿宋_GB2312"/>
                <w:color w:val="auto"/>
                <w:highlight w:val="none"/>
              </w:rPr>
            </w:pPr>
            <w:r>
              <w:rPr>
                <w:rFonts w:hint="eastAsia" w:ascii="宋体" w:hAnsi="宋体" w:cs="仿宋_GB2312"/>
                <w:color w:val="auto"/>
                <w:highlight w:val="none"/>
              </w:rPr>
              <w:t>3</w:t>
            </w:r>
          </w:p>
        </w:tc>
        <w:tc>
          <w:tcPr>
            <w:tcW w:w="1701" w:type="dxa"/>
            <w:vMerge w:val="restart"/>
            <w:tcBorders>
              <w:top w:val="single" w:color="auto" w:sz="4" w:space="0"/>
              <w:left w:val="single" w:color="auto" w:sz="4" w:space="0"/>
              <w:right w:val="single" w:color="auto" w:sz="4" w:space="0"/>
            </w:tcBorders>
            <w:vAlign w:val="center"/>
          </w:tcPr>
          <w:p w14:paraId="264A95A4">
            <w:pPr>
              <w:spacing w:line="360" w:lineRule="auto"/>
              <w:jc w:val="center"/>
              <w:rPr>
                <w:rFonts w:ascii="宋体" w:hAnsi="宋体" w:cs="仿宋_GB2312"/>
                <w:color w:val="auto"/>
                <w:highlight w:val="none"/>
              </w:rPr>
            </w:pPr>
          </w:p>
        </w:tc>
        <w:tc>
          <w:tcPr>
            <w:tcW w:w="1416" w:type="dxa"/>
            <w:tcBorders>
              <w:top w:val="single" w:color="auto" w:sz="4" w:space="0"/>
              <w:left w:val="single" w:color="auto" w:sz="4" w:space="0"/>
              <w:bottom w:val="single" w:color="auto" w:sz="4" w:space="0"/>
              <w:right w:val="single" w:color="auto" w:sz="4" w:space="0"/>
            </w:tcBorders>
          </w:tcPr>
          <w:p w14:paraId="3847BBE2">
            <w:pPr>
              <w:snapToGrid w:val="0"/>
              <w:spacing w:line="360" w:lineRule="auto"/>
              <w:rPr>
                <w:rFonts w:ascii="宋体" w:hAnsi="宋体"/>
                <w:color w:val="auto"/>
                <w:highlight w:val="none"/>
              </w:rPr>
            </w:pPr>
          </w:p>
        </w:tc>
      </w:tr>
      <w:tr w14:paraId="5E53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atLeast"/>
          <w:jc w:val="center"/>
        </w:trPr>
        <w:tc>
          <w:tcPr>
            <w:tcW w:w="709" w:type="dxa"/>
            <w:vMerge w:val="restart"/>
            <w:tcBorders>
              <w:top w:val="single" w:color="auto" w:sz="4" w:space="0"/>
              <w:left w:val="single" w:color="auto" w:sz="4" w:space="0"/>
              <w:right w:val="single" w:color="auto" w:sz="4" w:space="0"/>
            </w:tcBorders>
            <w:vAlign w:val="center"/>
          </w:tcPr>
          <w:p w14:paraId="4679E9EF">
            <w:pPr>
              <w:spacing w:line="360" w:lineRule="auto"/>
              <w:jc w:val="center"/>
              <w:rPr>
                <w:rFonts w:ascii="宋体" w:hAnsi="宋体" w:cs="仿宋_GB2312"/>
                <w:color w:val="auto"/>
                <w:highlight w:val="none"/>
              </w:rPr>
            </w:pPr>
            <w:r>
              <w:rPr>
                <w:rFonts w:hint="eastAsia" w:ascii="宋体" w:hAnsi="宋体" w:cs="仿宋_GB2312"/>
                <w:color w:val="auto"/>
                <w:highlight w:val="none"/>
              </w:rPr>
              <w:t>2</w:t>
            </w:r>
          </w:p>
        </w:tc>
        <w:tc>
          <w:tcPr>
            <w:tcW w:w="1134" w:type="dxa"/>
            <w:vMerge w:val="restart"/>
            <w:tcBorders>
              <w:top w:val="single" w:color="auto" w:sz="4" w:space="0"/>
              <w:left w:val="single" w:color="auto" w:sz="4" w:space="0"/>
              <w:right w:val="single" w:color="auto" w:sz="4" w:space="0"/>
            </w:tcBorders>
            <w:vAlign w:val="center"/>
          </w:tcPr>
          <w:p w14:paraId="568BA7EF">
            <w:pPr>
              <w:spacing w:line="360" w:lineRule="auto"/>
              <w:jc w:val="center"/>
              <w:rPr>
                <w:rFonts w:hint="default" w:ascii="宋体" w:hAnsi="宋体" w:eastAsia="宋体" w:cs="仿宋_GB2312"/>
                <w:color w:val="auto"/>
                <w:highlight w:val="none"/>
                <w:lang w:val="en-US" w:eastAsia="zh-CN"/>
              </w:rPr>
            </w:pPr>
            <w:r>
              <w:rPr>
                <w:rFonts w:hint="eastAsia" w:ascii="宋体" w:hAnsi="宋体" w:eastAsia="宋体" w:cs="微软雅黑"/>
                <w:color w:val="auto"/>
                <w:kern w:val="1"/>
                <w:szCs w:val="21"/>
                <w:highlight w:val="none"/>
                <w:lang w:val="en-US" w:eastAsia="zh-CN"/>
              </w:rPr>
              <w:t>应急通勤车</w:t>
            </w:r>
          </w:p>
        </w:tc>
        <w:tc>
          <w:tcPr>
            <w:tcW w:w="853" w:type="dxa"/>
            <w:vMerge w:val="restart"/>
            <w:tcBorders>
              <w:top w:val="single" w:color="auto" w:sz="4" w:space="0"/>
              <w:left w:val="single" w:color="auto" w:sz="4" w:space="0"/>
              <w:right w:val="single" w:color="auto" w:sz="4" w:space="0"/>
            </w:tcBorders>
            <w:vAlign w:val="center"/>
          </w:tcPr>
          <w:p w14:paraId="52F59CF8">
            <w:pPr>
              <w:spacing w:line="360" w:lineRule="auto"/>
              <w:jc w:val="center"/>
              <w:rPr>
                <w:rFonts w:ascii="宋体" w:hAnsi="宋体" w:cs="仿宋_GB2312"/>
                <w:color w:val="auto"/>
                <w:highlight w:val="none"/>
              </w:rPr>
            </w:pPr>
            <w:r>
              <w:rPr>
                <w:rFonts w:hint="eastAsia" w:ascii="宋体" w:hAnsi="宋体" w:cs="仿宋_GB2312"/>
                <w:color w:val="auto"/>
                <w:highlight w:val="none"/>
              </w:rPr>
              <w:t>1</w:t>
            </w:r>
          </w:p>
        </w:tc>
        <w:tc>
          <w:tcPr>
            <w:tcW w:w="1273" w:type="dxa"/>
            <w:tcBorders>
              <w:left w:val="single" w:color="auto" w:sz="4" w:space="0"/>
              <w:right w:val="single" w:color="auto" w:sz="4" w:space="0"/>
            </w:tcBorders>
          </w:tcPr>
          <w:p w14:paraId="4E9847D2">
            <w:pPr>
              <w:spacing w:line="360" w:lineRule="auto"/>
              <w:rPr>
                <w:rFonts w:ascii="宋体" w:hAnsi="宋体" w:cs="仿宋_GB2312"/>
                <w:color w:val="auto"/>
                <w:highlight w:val="none"/>
              </w:rPr>
            </w:pPr>
            <w:r>
              <w:rPr>
                <w:rFonts w:hint="eastAsia" w:ascii="宋体" w:hAnsi="宋体" w:cs="仿宋_GB2312"/>
                <w:color w:val="auto"/>
                <w:highlight w:val="none"/>
              </w:rPr>
              <w:t>运行时每天的价格，</w:t>
            </w:r>
          </w:p>
          <w:p w14:paraId="7E2A4A46">
            <w:pPr>
              <w:spacing w:line="360" w:lineRule="auto"/>
              <w:rPr>
                <w:rFonts w:ascii="宋体" w:hAnsi="宋体" w:cs="仿宋_GB2312"/>
                <w:color w:val="auto"/>
                <w:highlight w:val="none"/>
              </w:rPr>
            </w:pPr>
            <w:r>
              <w:rPr>
                <w:rFonts w:hint="eastAsia" w:ascii="宋体" w:hAnsi="宋体" w:cs="仿宋_GB2312"/>
                <w:color w:val="auto"/>
                <w:highlight w:val="none"/>
                <w:u w:val="single"/>
              </w:rPr>
              <w:t>430</w:t>
            </w:r>
            <w:r>
              <w:rPr>
                <w:rFonts w:hint="eastAsia"/>
                <w:color w:val="auto"/>
                <w:highlight w:val="none"/>
              </w:rPr>
              <w:t>元/天/辆</w:t>
            </w:r>
          </w:p>
        </w:tc>
        <w:tc>
          <w:tcPr>
            <w:tcW w:w="1418" w:type="dxa"/>
            <w:vMerge w:val="restart"/>
            <w:tcBorders>
              <w:left w:val="single" w:color="auto" w:sz="4" w:space="0"/>
              <w:right w:val="single" w:color="auto" w:sz="4" w:space="0"/>
            </w:tcBorders>
            <w:vAlign w:val="center"/>
          </w:tcPr>
          <w:p w14:paraId="479718A6">
            <w:pPr>
              <w:spacing w:line="360" w:lineRule="auto"/>
              <w:jc w:val="center"/>
              <w:rPr>
                <w:rFonts w:ascii="宋体" w:hAnsi="宋体" w:cs="仿宋_GB2312"/>
                <w:color w:val="auto"/>
                <w:highlight w:val="none"/>
              </w:rPr>
            </w:pPr>
            <w:r>
              <w:rPr>
                <w:rFonts w:hint="eastAsia" w:ascii="宋体" w:hAnsi="宋体" w:cs="仿宋_GB2312"/>
                <w:color w:val="auto"/>
                <w:highlight w:val="none"/>
              </w:rPr>
              <w:t>300</w:t>
            </w:r>
          </w:p>
        </w:tc>
        <w:tc>
          <w:tcPr>
            <w:tcW w:w="1134" w:type="dxa"/>
            <w:vMerge w:val="restart"/>
            <w:tcBorders>
              <w:left w:val="single" w:color="auto" w:sz="4" w:space="0"/>
              <w:right w:val="single" w:color="auto" w:sz="4" w:space="0"/>
            </w:tcBorders>
            <w:vAlign w:val="center"/>
          </w:tcPr>
          <w:p w14:paraId="1A11108E">
            <w:pPr>
              <w:spacing w:line="360" w:lineRule="auto"/>
              <w:jc w:val="center"/>
              <w:rPr>
                <w:rFonts w:ascii="宋体" w:hAnsi="宋体" w:cs="仿宋_GB2312"/>
                <w:color w:val="auto"/>
                <w:highlight w:val="none"/>
              </w:rPr>
            </w:pPr>
            <w:r>
              <w:rPr>
                <w:rFonts w:hint="eastAsia" w:ascii="宋体" w:hAnsi="宋体" w:cs="仿宋_GB2312"/>
                <w:color w:val="auto"/>
                <w:highlight w:val="none"/>
              </w:rPr>
              <w:t>3</w:t>
            </w:r>
          </w:p>
        </w:tc>
        <w:tc>
          <w:tcPr>
            <w:tcW w:w="1701" w:type="dxa"/>
            <w:vMerge w:val="continue"/>
            <w:tcBorders>
              <w:left w:val="single" w:color="auto" w:sz="4" w:space="0"/>
              <w:right w:val="single" w:color="auto" w:sz="4" w:space="0"/>
            </w:tcBorders>
            <w:vAlign w:val="center"/>
          </w:tcPr>
          <w:p w14:paraId="345B60D0">
            <w:pPr>
              <w:spacing w:line="360" w:lineRule="auto"/>
              <w:jc w:val="center"/>
              <w:rPr>
                <w:rFonts w:ascii="宋体" w:hAnsi="宋体" w:cs="仿宋_GB2312"/>
                <w:color w:val="auto"/>
                <w:highlight w:val="none"/>
              </w:rPr>
            </w:pPr>
          </w:p>
        </w:tc>
        <w:tc>
          <w:tcPr>
            <w:tcW w:w="1416" w:type="dxa"/>
            <w:vMerge w:val="restart"/>
            <w:tcBorders>
              <w:left w:val="single" w:color="auto" w:sz="4" w:space="0"/>
              <w:right w:val="single" w:color="auto" w:sz="4" w:space="0"/>
            </w:tcBorders>
          </w:tcPr>
          <w:p w14:paraId="43E8086F">
            <w:pPr>
              <w:spacing w:line="360" w:lineRule="auto"/>
              <w:rPr>
                <w:rFonts w:ascii="宋体" w:hAnsi="宋体" w:cs="仿宋_GB2312"/>
                <w:color w:val="auto"/>
                <w:highlight w:val="none"/>
              </w:rPr>
            </w:pPr>
          </w:p>
        </w:tc>
      </w:tr>
      <w:tr w14:paraId="484F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709" w:type="dxa"/>
            <w:vMerge w:val="continue"/>
            <w:tcBorders>
              <w:left w:val="single" w:color="auto" w:sz="4" w:space="0"/>
              <w:bottom w:val="single" w:color="auto" w:sz="4" w:space="0"/>
              <w:right w:val="single" w:color="auto" w:sz="4" w:space="0"/>
            </w:tcBorders>
            <w:vAlign w:val="center"/>
          </w:tcPr>
          <w:p w14:paraId="296F0784">
            <w:pPr>
              <w:spacing w:line="360" w:lineRule="auto"/>
              <w:jc w:val="center"/>
              <w:rPr>
                <w:rFonts w:ascii="宋体" w:hAnsi="宋体" w:cs="仿宋_GB2312"/>
                <w:color w:val="auto"/>
                <w:highlight w:val="none"/>
              </w:rPr>
            </w:pPr>
          </w:p>
        </w:tc>
        <w:tc>
          <w:tcPr>
            <w:tcW w:w="1134" w:type="dxa"/>
            <w:vMerge w:val="continue"/>
            <w:tcBorders>
              <w:left w:val="single" w:color="auto" w:sz="4" w:space="0"/>
              <w:bottom w:val="single" w:color="auto" w:sz="4" w:space="0"/>
              <w:right w:val="single" w:color="auto" w:sz="4" w:space="0"/>
            </w:tcBorders>
            <w:vAlign w:val="center"/>
          </w:tcPr>
          <w:p w14:paraId="7F95A5DF">
            <w:pPr>
              <w:spacing w:line="360" w:lineRule="auto"/>
              <w:jc w:val="center"/>
              <w:rPr>
                <w:rFonts w:ascii="宋体" w:hAnsi="宋体" w:cs="仿宋_GB2312"/>
                <w:color w:val="auto"/>
                <w:highlight w:val="none"/>
              </w:rPr>
            </w:pPr>
          </w:p>
        </w:tc>
        <w:tc>
          <w:tcPr>
            <w:tcW w:w="853" w:type="dxa"/>
            <w:vMerge w:val="continue"/>
            <w:tcBorders>
              <w:left w:val="single" w:color="auto" w:sz="4" w:space="0"/>
              <w:bottom w:val="single" w:color="auto" w:sz="4" w:space="0"/>
              <w:right w:val="single" w:color="auto" w:sz="4" w:space="0"/>
            </w:tcBorders>
            <w:vAlign w:val="center"/>
          </w:tcPr>
          <w:p w14:paraId="41D36E20">
            <w:pPr>
              <w:spacing w:line="360" w:lineRule="auto"/>
              <w:rPr>
                <w:rFonts w:ascii="宋体" w:hAnsi="宋体" w:cs="仿宋_GB2312"/>
                <w:color w:val="auto"/>
                <w:highlight w:val="none"/>
              </w:rPr>
            </w:pPr>
          </w:p>
        </w:tc>
        <w:tc>
          <w:tcPr>
            <w:tcW w:w="1273" w:type="dxa"/>
            <w:tcBorders>
              <w:left w:val="single" w:color="auto" w:sz="4" w:space="0"/>
              <w:bottom w:val="single" w:color="auto" w:sz="4" w:space="0"/>
              <w:right w:val="single" w:color="auto" w:sz="4" w:space="0"/>
            </w:tcBorders>
          </w:tcPr>
          <w:p w14:paraId="0E281153">
            <w:pPr>
              <w:spacing w:line="360" w:lineRule="auto"/>
              <w:rPr>
                <w:rFonts w:ascii="宋体" w:hAnsi="宋体" w:cs="仿宋_GB2312"/>
                <w:color w:val="auto"/>
                <w:highlight w:val="none"/>
              </w:rPr>
            </w:pPr>
            <w:r>
              <w:rPr>
                <w:rFonts w:hint="eastAsia" w:ascii="宋体" w:hAnsi="宋体" w:cs="仿宋_GB2312"/>
                <w:color w:val="auto"/>
                <w:highlight w:val="none"/>
              </w:rPr>
              <w:t>未运行时每天的价格，</w:t>
            </w:r>
          </w:p>
          <w:p w14:paraId="7D3E642F">
            <w:pPr>
              <w:spacing w:line="360" w:lineRule="auto"/>
              <w:rPr>
                <w:rFonts w:ascii="宋体" w:hAnsi="宋体" w:cs="仿宋_GB2312"/>
                <w:color w:val="auto"/>
                <w:highlight w:val="none"/>
              </w:rPr>
            </w:pPr>
            <w:r>
              <w:rPr>
                <w:rFonts w:hint="eastAsia" w:ascii="宋体" w:hAnsi="宋体" w:cs="仿宋_GB2312"/>
                <w:color w:val="auto"/>
                <w:highlight w:val="none"/>
                <w:u w:val="single"/>
              </w:rPr>
              <w:t>330</w:t>
            </w:r>
            <w:r>
              <w:rPr>
                <w:rFonts w:hint="eastAsia"/>
                <w:color w:val="auto"/>
                <w:highlight w:val="none"/>
              </w:rPr>
              <w:t>元/天/辆</w:t>
            </w:r>
          </w:p>
        </w:tc>
        <w:tc>
          <w:tcPr>
            <w:tcW w:w="1418" w:type="dxa"/>
            <w:vMerge w:val="continue"/>
            <w:tcBorders>
              <w:left w:val="single" w:color="auto" w:sz="4" w:space="0"/>
              <w:bottom w:val="single" w:color="auto" w:sz="4" w:space="0"/>
              <w:right w:val="single" w:color="auto" w:sz="4" w:space="0"/>
            </w:tcBorders>
          </w:tcPr>
          <w:p w14:paraId="0B36DC4E">
            <w:pPr>
              <w:spacing w:line="360" w:lineRule="auto"/>
              <w:jc w:val="center"/>
              <w:rPr>
                <w:rFonts w:ascii="宋体" w:hAnsi="宋体" w:cs="仿宋_GB2312"/>
                <w:color w:val="auto"/>
                <w:highlight w:val="none"/>
              </w:rPr>
            </w:pPr>
          </w:p>
        </w:tc>
        <w:tc>
          <w:tcPr>
            <w:tcW w:w="1134" w:type="dxa"/>
            <w:vMerge w:val="continue"/>
            <w:tcBorders>
              <w:left w:val="single" w:color="auto" w:sz="4" w:space="0"/>
              <w:bottom w:val="single" w:color="auto" w:sz="4" w:space="0"/>
              <w:right w:val="single" w:color="auto" w:sz="4" w:space="0"/>
            </w:tcBorders>
          </w:tcPr>
          <w:p w14:paraId="653DF127">
            <w:pPr>
              <w:spacing w:line="360" w:lineRule="auto"/>
              <w:jc w:val="center"/>
              <w:rPr>
                <w:rFonts w:ascii="宋体" w:hAnsi="宋体" w:cs="仿宋_GB2312"/>
                <w:color w:val="auto"/>
                <w:highlight w:val="none"/>
              </w:rPr>
            </w:pPr>
          </w:p>
        </w:tc>
        <w:tc>
          <w:tcPr>
            <w:tcW w:w="1701" w:type="dxa"/>
            <w:vMerge w:val="continue"/>
            <w:tcBorders>
              <w:left w:val="single" w:color="auto" w:sz="4" w:space="0"/>
              <w:bottom w:val="single" w:color="auto" w:sz="4" w:space="0"/>
              <w:right w:val="single" w:color="auto" w:sz="4" w:space="0"/>
            </w:tcBorders>
            <w:vAlign w:val="center"/>
          </w:tcPr>
          <w:p w14:paraId="05DA2478">
            <w:pPr>
              <w:spacing w:line="360" w:lineRule="auto"/>
              <w:jc w:val="center"/>
              <w:rPr>
                <w:rFonts w:ascii="宋体" w:hAnsi="宋体" w:cs="仿宋_GB2312"/>
                <w:color w:val="auto"/>
                <w:highlight w:val="none"/>
              </w:rPr>
            </w:pPr>
          </w:p>
        </w:tc>
        <w:tc>
          <w:tcPr>
            <w:tcW w:w="1416" w:type="dxa"/>
            <w:vMerge w:val="continue"/>
            <w:tcBorders>
              <w:left w:val="single" w:color="auto" w:sz="4" w:space="0"/>
              <w:bottom w:val="single" w:color="auto" w:sz="4" w:space="0"/>
              <w:right w:val="single" w:color="auto" w:sz="4" w:space="0"/>
            </w:tcBorders>
          </w:tcPr>
          <w:p w14:paraId="5F618354">
            <w:pPr>
              <w:spacing w:line="360" w:lineRule="auto"/>
              <w:rPr>
                <w:rFonts w:ascii="宋体" w:hAnsi="宋体" w:cs="仿宋_GB2312"/>
                <w:color w:val="auto"/>
                <w:highlight w:val="none"/>
              </w:rPr>
            </w:pPr>
          </w:p>
        </w:tc>
      </w:tr>
      <w:tr w14:paraId="027C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638" w:type="dxa"/>
            <w:gridSpan w:val="8"/>
            <w:tcBorders>
              <w:top w:val="single" w:color="auto" w:sz="4" w:space="0"/>
              <w:left w:val="single" w:color="auto" w:sz="4" w:space="0"/>
              <w:bottom w:val="single" w:color="auto" w:sz="4" w:space="0"/>
              <w:right w:val="single" w:color="auto" w:sz="4" w:space="0"/>
            </w:tcBorders>
            <w:vAlign w:val="center"/>
          </w:tcPr>
          <w:p w14:paraId="72196071">
            <w:pPr>
              <w:spacing w:line="360" w:lineRule="auto"/>
              <w:rPr>
                <w:rFonts w:ascii="宋体" w:hAnsi="宋体" w:cs="仿宋_GB2312"/>
                <w:color w:val="auto"/>
                <w:highlight w:val="none"/>
              </w:rPr>
            </w:pPr>
            <w:r>
              <w:rPr>
                <w:rFonts w:hint="eastAsia" w:ascii="宋体" w:hAnsi="宋体" w:cs="仿宋_GB2312"/>
                <w:color w:val="auto"/>
                <w:highlight w:val="none"/>
              </w:rPr>
              <w:t>备注：</w:t>
            </w:r>
          </w:p>
        </w:tc>
      </w:tr>
    </w:tbl>
    <w:p w14:paraId="76281686">
      <w:pPr>
        <w:snapToGrid w:val="0"/>
        <w:spacing w:line="360" w:lineRule="auto"/>
        <w:jc w:val="left"/>
        <w:rPr>
          <w:rFonts w:ascii="宋体" w:hAnsi="宋体"/>
          <w:color w:val="auto"/>
          <w:highlight w:val="none"/>
        </w:rPr>
      </w:pPr>
    </w:p>
    <w:p w14:paraId="7F66A748">
      <w:pPr>
        <w:snapToGrid w:val="0"/>
        <w:spacing w:line="360" w:lineRule="auto"/>
        <w:jc w:val="left"/>
        <w:rPr>
          <w:rFonts w:ascii="宋体" w:hAnsi="宋体"/>
          <w:color w:val="auto"/>
          <w:highlight w:val="none"/>
        </w:rPr>
      </w:pPr>
      <w:r>
        <w:rPr>
          <w:rFonts w:hint="eastAsia" w:ascii="宋体" w:hAnsi="宋体"/>
          <w:color w:val="auto"/>
          <w:highlight w:val="none"/>
        </w:rPr>
        <w:t xml:space="preserve">注: </w:t>
      </w:r>
    </w:p>
    <w:p w14:paraId="71CFB501">
      <w:pPr>
        <w:snapToGrid w:val="0"/>
        <w:spacing w:line="360" w:lineRule="auto"/>
        <w:ind w:firstLine="420" w:firstLineChars="200"/>
        <w:jc w:val="left"/>
        <w:rPr>
          <w:rFonts w:ascii="宋体" w:hAnsi="宋体"/>
          <w:color w:val="auto"/>
          <w:highlight w:val="none"/>
        </w:rPr>
      </w:pPr>
      <w:r>
        <w:rPr>
          <w:rFonts w:hint="eastAsia" w:ascii="宋体" w:hAnsi="宋体"/>
          <w:color w:val="auto"/>
          <w:highlight w:val="none"/>
        </w:rPr>
        <w:t>1.投标人的报价明细表必须加盖投标人电子签章并由</w:t>
      </w:r>
      <w:r>
        <w:rPr>
          <w:rFonts w:ascii="宋体" w:hAnsi="宋体"/>
          <w:color w:val="auto"/>
          <w:highlight w:val="none"/>
        </w:rPr>
        <w:t>法定代表人或者委托代理人</w:t>
      </w:r>
      <w:r>
        <w:rPr>
          <w:rFonts w:hint="eastAsia" w:ascii="宋体" w:hAnsi="宋体"/>
          <w:color w:val="auto"/>
          <w:highlight w:val="none"/>
        </w:rPr>
        <w:t>签字或者电子签名，</w:t>
      </w:r>
      <w:r>
        <w:rPr>
          <w:rFonts w:hint="eastAsia" w:ascii="宋体" w:hAnsi="宋体"/>
          <w:b/>
          <w:color w:val="auto"/>
          <w:highlight w:val="none"/>
        </w:rPr>
        <w:t>否则其投标作无效标处理</w:t>
      </w:r>
      <w:r>
        <w:rPr>
          <w:rFonts w:hint="eastAsia" w:ascii="宋体" w:hAnsi="宋体"/>
          <w:color w:val="auto"/>
          <w:highlight w:val="none"/>
        </w:rPr>
        <w:t>。</w:t>
      </w:r>
    </w:p>
    <w:p w14:paraId="43B9364F">
      <w:pPr>
        <w:snapToGrid w:val="0"/>
        <w:spacing w:line="360" w:lineRule="auto"/>
        <w:ind w:firstLine="420" w:firstLineChars="200"/>
        <w:jc w:val="left"/>
        <w:rPr>
          <w:rFonts w:ascii="宋体" w:hAnsi="宋体"/>
          <w:color w:val="auto"/>
          <w:highlight w:val="none"/>
        </w:rPr>
      </w:pPr>
      <w:r>
        <w:rPr>
          <w:rFonts w:hint="eastAsia" w:ascii="宋体" w:hAnsi="宋体"/>
          <w:bCs/>
          <w:color w:val="auto"/>
          <w:highlight w:val="none"/>
        </w:rPr>
        <w:t>2.</w:t>
      </w:r>
      <w:r>
        <w:rPr>
          <w:rFonts w:hint="eastAsia" w:ascii="宋体" w:hAnsi="宋体"/>
          <w:color w:val="auto"/>
          <w:highlight w:val="none"/>
        </w:rPr>
        <w:t>报价一经涂改，应在涂改处加盖投标人公章</w:t>
      </w:r>
      <w:r>
        <w:rPr>
          <w:rFonts w:hint="eastAsia" w:ascii="宋体" w:hAnsi="宋体" w:cs="仿宋_GB2312"/>
          <w:color w:val="auto"/>
          <w:highlight w:val="none"/>
        </w:rPr>
        <w:t>或者加盖电子签章</w:t>
      </w:r>
      <w:r>
        <w:rPr>
          <w:rFonts w:hint="eastAsia" w:ascii="宋体" w:hAnsi="宋体"/>
          <w:color w:val="auto"/>
          <w:highlight w:val="none"/>
        </w:rPr>
        <w:t>或者由法定代表人或者委托代理人签字（或者电子签名）</w:t>
      </w:r>
      <w:r>
        <w:rPr>
          <w:rFonts w:hint="eastAsia" w:ascii="宋体" w:hAnsi="宋体"/>
          <w:b/>
          <w:color w:val="auto"/>
          <w:highlight w:val="none"/>
        </w:rPr>
        <w:t>，否则其投标作无效标处理。</w:t>
      </w:r>
    </w:p>
    <w:p w14:paraId="34042DBE">
      <w:pPr>
        <w:snapToGrid w:val="0"/>
        <w:spacing w:line="360" w:lineRule="auto"/>
        <w:ind w:left="-2" w:leftChars="-1" w:right="-817" w:rightChars="-389"/>
        <w:rPr>
          <w:rFonts w:ascii="宋体" w:hAnsi="宋体"/>
          <w:color w:val="auto"/>
          <w:highlight w:val="none"/>
        </w:rPr>
      </w:pPr>
      <w:r>
        <w:rPr>
          <w:rFonts w:hint="eastAsia" w:ascii="宋体" w:hAnsi="宋体"/>
          <w:color w:val="auto"/>
          <w:highlight w:val="none"/>
        </w:rPr>
        <w:t xml:space="preserve">                                  法定代表人或者委托代理人（签字或者电子签名）： </w:t>
      </w:r>
    </w:p>
    <w:p w14:paraId="4DF60A1E">
      <w:pPr>
        <w:snapToGrid w:val="0"/>
        <w:spacing w:line="360" w:lineRule="auto"/>
        <w:ind w:left="-6" w:leftChars="-15" w:right="-817" w:rightChars="-389" w:hanging="25" w:hangingChars="12"/>
        <w:rPr>
          <w:rFonts w:ascii="宋体" w:hAnsi="宋体"/>
          <w:color w:val="auto"/>
          <w:highlight w:val="none"/>
        </w:rPr>
      </w:pPr>
      <w:r>
        <w:rPr>
          <w:rFonts w:hint="eastAsia" w:ascii="宋体" w:hAnsi="宋体"/>
          <w:color w:val="auto"/>
          <w:highlight w:val="none"/>
        </w:rPr>
        <w:t xml:space="preserve">                                  投标人名称（电子签章）：</w:t>
      </w:r>
    </w:p>
    <w:p w14:paraId="12E614FA">
      <w:pPr>
        <w:snapToGrid w:val="0"/>
        <w:spacing w:line="360" w:lineRule="auto"/>
        <w:ind w:left="-6" w:leftChars="-15" w:right="-817" w:rightChars="-389" w:hanging="25" w:hangingChars="12"/>
        <w:jc w:val="left"/>
        <w:rPr>
          <w:rFonts w:ascii="Times New Roman" w:hAnsi="Times New Roman" w:eastAsia="宋体" w:cs="Times New Roman"/>
          <w:color w:val="auto"/>
          <w:szCs w:val="21"/>
          <w:highlight w:val="none"/>
        </w:rPr>
      </w:pPr>
      <w:r>
        <w:rPr>
          <w:rFonts w:hint="eastAsia" w:ascii="宋体" w:hAnsi="宋体"/>
          <w:color w:val="auto"/>
          <w:highlight w:val="none"/>
        </w:rPr>
        <w:t xml:space="preserve">                                  日期：    年   月   日</w:t>
      </w:r>
    </w:p>
    <w:p w14:paraId="2CF4979F">
      <w:pPr>
        <w:snapToGrid w:val="0"/>
        <w:spacing w:before="50" w:after="120" w:afterLines="50"/>
        <w:jc w:val="left"/>
        <w:rPr>
          <w:rFonts w:ascii="Times New Roman" w:hAnsi="Times New Roman" w:eastAsia="宋体" w:cs="Times New Roman"/>
          <w:color w:val="auto"/>
          <w:szCs w:val="21"/>
          <w:highlight w:val="none"/>
        </w:rPr>
      </w:pPr>
    </w:p>
    <w:p w14:paraId="3052290F">
      <w:pPr>
        <w:snapToGrid w:val="0"/>
        <w:spacing w:before="50" w:after="120" w:afterLines="5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3．过低报价合理性的说明。（如有）</w:t>
      </w:r>
    </w:p>
    <w:p w14:paraId="3384E2BE">
      <w:pPr>
        <w:spacing w:line="360" w:lineRule="auto"/>
        <w:ind w:firstLine="420" w:firstLineChars="200"/>
        <w:rPr>
          <w:color w:val="auto"/>
          <w:highlight w:val="none"/>
        </w:rPr>
      </w:pPr>
      <w:r>
        <w:rPr>
          <w:rFonts w:ascii="Times New Roman" w:hAnsi="Times New Roman" w:eastAsia="宋体" w:cs="Times New Roman"/>
          <w:color w:val="auto"/>
          <w:szCs w:val="21"/>
          <w:highlight w:val="none"/>
        </w:rPr>
        <w:t>评审委员会认为</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的报价明显低于其他通过符合性审查</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报价的，</w:t>
      </w:r>
      <w:r>
        <w:rPr>
          <w:rFonts w:hint="eastAsia"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rPr>
        <w:t>将被要求以书面方式提供</w:t>
      </w:r>
      <w:r>
        <w:rPr>
          <w:rFonts w:hint="eastAsia" w:ascii="Times New Roman" w:hAnsi="Times New Roman" w:eastAsia="宋体" w:cs="Times New Roman"/>
          <w:color w:val="auto"/>
          <w:szCs w:val="21"/>
          <w:highlight w:val="none"/>
        </w:rPr>
        <w:t>说明</w:t>
      </w:r>
      <w:r>
        <w:rPr>
          <w:rFonts w:ascii="Times New Roman" w:hAnsi="Times New Roman" w:eastAsia="宋体" w:cs="Times New Roman"/>
          <w:color w:val="auto"/>
          <w:szCs w:val="21"/>
          <w:highlight w:val="none"/>
        </w:rPr>
        <w:t>。为避免在评审现场因未能及时提供说明而导致被评审委员会作为无效投标，</w:t>
      </w:r>
      <w:r>
        <w:rPr>
          <w:rFonts w:hint="eastAsia" w:ascii="Times New Roman" w:hAnsi="Times New Roman" w:eastAsia="宋体" w:cs="Times New Roman"/>
          <w:color w:val="auto"/>
          <w:szCs w:val="21"/>
          <w:highlight w:val="none"/>
        </w:rPr>
        <w:t>投标人</w:t>
      </w:r>
      <w:r>
        <w:rPr>
          <w:rFonts w:hint="eastAsia" w:ascii="Times New Roman" w:hAnsi="Times New Roman" w:eastAsia="宋体" w:cs="Times New Roman"/>
          <w:color w:val="auto"/>
          <w:szCs w:val="24"/>
          <w:highlight w:val="none"/>
        </w:rPr>
        <w:t>自行决定是否</w:t>
      </w:r>
      <w:r>
        <w:rPr>
          <w:rFonts w:ascii="Times New Roman" w:hAnsi="Times New Roman" w:eastAsia="宋体" w:cs="Times New Roman"/>
          <w:color w:val="auto"/>
          <w:kern w:val="1"/>
          <w:szCs w:val="21"/>
          <w:highlight w:val="none"/>
        </w:rPr>
        <w:t>直接在</w:t>
      </w:r>
      <w:r>
        <w:rPr>
          <w:rFonts w:ascii="Times New Roman" w:hAnsi="Times New Roman" w:eastAsia="宋体" w:cs="Times New Roman"/>
          <w:color w:val="auto"/>
          <w:szCs w:val="21"/>
          <w:highlight w:val="none"/>
        </w:rPr>
        <w:t>此处</w:t>
      </w:r>
      <w:r>
        <w:rPr>
          <w:rFonts w:hint="eastAsia" w:ascii="Times New Roman" w:hAnsi="Times New Roman" w:eastAsia="宋体" w:cs="Times New Roman"/>
          <w:color w:val="auto"/>
          <w:szCs w:val="21"/>
          <w:highlight w:val="none"/>
        </w:rPr>
        <w:t>进行陈述</w:t>
      </w:r>
      <w:r>
        <w:rPr>
          <w:rFonts w:ascii="Times New Roman" w:hAnsi="Times New Roman" w:eastAsia="宋体" w:cs="Times New Roman"/>
          <w:color w:val="auto"/>
          <w:szCs w:val="21"/>
          <w:highlight w:val="none"/>
        </w:rPr>
        <w:t>。格式自拟。</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kern w:val="1"/>
          <w:szCs w:val="21"/>
          <w:highlight w:val="none"/>
        </w:rPr>
        <w:t>具体要求详见第四章评审方法及标准“过低报价合理性的审查”</w:t>
      </w:r>
      <w:r>
        <w:rPr>
          <w:rFonts w:hint="eastAsia" w:ascii="Times New Roman" w:hAnsi="Times New Roman" w:eastAsia="宋体" w:cs="Times New Roman"/>
          <w:color w:val="auto"/>
          <w:szCs w:val="21"/>
          <w:highlight w:val="none"/>
        </w:rPr>
        <w:t>）</w:t>
      </w:r>
      <w:bookmarkEnd w:id="0"/>
      <w:bookmarkEnd w:id="1"/>
    </w:p>
    <w:sectPr>
      <w:headerReference r:id="rId15" w:type="default"/>
      <w:pgSz w:w="11906" w:h="16838"/>
      <w:pgMar w:top="1418" w:right="127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F"/>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C30BA">
    <w:pPr>
      <w:pStyle w:val="28"/>
      <w:framePr w:wrap="around" w:vAnchor="text" w:hAnchor="margin" w:xAlign="center" w:y="1"/>
      <w:rPr>
        <w:rStyle w:val="47"/>
      </w:rPr>
    </w:pPr>
    <w:r>
      <w:fldChar w:fldCharType="begin"/>
    </w:r>
    <w:r>
      <w:rPr>
        <w:rStyle w:val="47"/>
      </w:rPr>
      <w:instrText xml:space="preserve">PAGE  </w:instrText>
    </w:r>
    <w:r>
      <w:fldChar w:fldCharType="end"/>
    </w:r>
  </w:p>
  <w:p w14:paraId="38E65492">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25AA9">
    <w:pPr>
      <w:pStyle w:val="28"/>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B28B4">
    <w:pPr>
      <w:pStyle w:val="28"/>
      <w:framePr w:wrap="around" w:vAnchor="text" w:hAnchor="margin" w:xAlign="center" w:y="1"/>
      <w:rPr>
        <w:rStyle w:val="47"/>
      </w:rPr>
    </w:pPr>
    <w:r>
      <w:fldChar w:fldCharType="begin"/>
    </w:r>
    <w:r>
      <w:rPr>
        <w:rStyle w:val="47"/>
      </w:rPr>
      <w:instrText xml:space="preserve">PAGE  </w:instrText>
    </w:r>
    <w:r>
      <w:fldChar w:fldCharType="separate"/>
    </w:r>
    <w:r>
      <w:rPr>
        <w:rStyle w:val="47"/>
      </w:rPr>
      <w:t>13</w:t>
    </w:r>
    <w:r>
      <w:fldChar w:fldCharType="end"/>
    </w:r>
  </w:p>
  <w:p w14:paraId="2C554B6C">
    <w:pPr>
      <w:pStyle w:val="28"/>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BFE33">
    <w:pPr>
      <w:pStyle w:val="28"/>
      <w:jc w:val="center"/>
    </w:pPr>
    <w:r>
      <w:fldChar w:fldCharType="begin"/>
    </w:r>
    <w:r>
      <w:instrText xml:space="preserve">PAGE   \* MERGEFORMAT</w:instrText>
    </w:r>
    <w:r>
      <w:fldChar w:fldCharType="separate"/>
    </w:r>
    <w:r>
      <w:rPr>
        <w:lang w:val="zh-CN"/>
      </w:rPr>
      <w:t>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30A95">
    <w:pPr>
      <w:pStyle w:val="28"/>
      <w:framePr w:wrap="around" w:vAnchor="text" w:hAnchor="margin" w:xAlign="center" w:y="1"/>
      <w:rPr>
        <w:rStyle w:val="47"/>
      </w:rPr>
    </w:pPr>
    <w:r>
      <w:fldChar w:fldCharType="begin"/>
    </w:r>
    <w:r>
      <w:rPr>
        <w:rStyle w:val="47"/>
      </w:rPr>
      <w:instrText xml:space="preserve">PAGE  </w:instrText>
    </w:r>
    <w:r>
      <w:fldChar w:fldCharType="separate"/>
    </w:r>
    <w:r>
      <w:rPr>
        <w:rStyle w:val="47"/>
      </w:rPr>
      <w:t>71</w:t>
    </w:r>
    <w:r>
      <w:fldChar w:fldCharType="end"/>
    </w:r>
  </w:p>
  <w:p w14:paraId="4A59C793">
    <w:pPr>
      <w:pStyle w:val="28"/>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C8440">
    <w:pPr>
      <w:pStyle w:val="29"/>
      <w:jc w:val="both"/>
    </w:pPr>
    <w:r>
      <w:rPr>
        <w:rFonts w:hint="eastAsia"/>
        <w:u w:val="single"/>
      </w:rPr>
      <w:t xml:space="preserve">广西机电设备招标有限公司招标文件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82556">
    <w:pPr>
      <w:pStyle w:val="29"/>
      <w:jc w:val="left"/>
      <w:rPr>
        <w:u w:val="single"/>
      </w:rPr>
    </w:pPr>
    <w:r>
      <w:rPr>
        <w:rFonts w:hint="eastAsia"/>
        <w:u w:val="single"/>
      </w:rPr>
      <w:t xml:space="preserve">广西机电设备招标有限公司招标文件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92A37">
    <w:pPr>
      <w:pStyle w:val="29"/>
      <w:jc w:val="left"/>
    </w:pPr>
    <w:r>
      <w:rPr>
        <w:rFonts w:hint="eastAsia"/>
      </w:rPr>
      <w:t>广西机电设备招标有限公司招标文件                                                              招标公告</w:t>
    </w:r>
  </w:p>
  <w:p w14:paraId="75C57DB5">
    <w:pPr>
      <w:pStyle w:val="29"/>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177AC">
    <w:pPr>
      <w:pStyle w:val="29"/>
      <w:jc w:val="left"/>
    </w:pPr>
    <w:r>
      <w:rPr>
        <w:rFonts w:hint="eastAsia"/>
      </w:rPr>
      <w:t xml:space="preserve">广西机电设备招标有限公司招标文件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8198B">
    <w:pPr>
      <w:pStyle w:val="29"/>
      <w:jc w:val="left"/>
      <w:rPr>
        <w:u w:val="single"/>
      </w:rPr>
    </w:pPr>
    <w:r>
      <w:rPr>
        <w:rFonts w:hint="eastAsia"/>
        <w:u w:val="single"/>
      </w:rPr>
      <w:t xml:space="preserve">广西机电设备招标有限公司招标文件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14:paraId="60F8F04A">
    <w:pPr>
      <w:pStyle w:val="29"/>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70969">
    <w:pPr>
      <w:pStyle w:val="29"/>
      <w:jc w:val="left"/>
      <w:rPr>
        <w:u w:val="single"/>
      </w:rPr>
    </w:pPr>
    <w:r>
      <w:rPr>
        <w:rFonts w:hint="eastAsia"/>
        <w:u w:val="single"/>
      </w:rPr>
      <w:t xml:space="preserve">广西机电设备招标有限公司招标文件                             </w:t>
    </w:r>
    <w:r>
      <w:rPr>
        <w:rFonts w:hint="eastAsia"/>
        <w:u w:val="single"/>
        <w:lang w:val="en-US" w:eastAsia="zh-CN"/>
      </w:rPr>
      <w:t xml:space="preserve">              </w:t>
    </w:r>
    <w:r>
      <w:rPr>
        <w:rFonts w:hint="eastAsia"/>
        <w:u w:val="single"/>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CDB11">
    <w:pPr>
      <w:pStyle w:val="29"/>
      <w:ind w:left="2790" w:hanging="2790" w:hangingChars="1550"/>
      <w:jc w:val="left"/>
    </w:pPr>
    <w:r>
      <w:rPr>
        <w:rFonts w:hint="eastAsia"/>
        <w:u w:val="single"/>
      </w:rPr>
      <w:t xml:space="preserve">广西机电设备招标有限公司招标文件  </w:t>
    </w:r>
    <w:r>
      <w:rPr>
        <w:u w:val="single"/>
      </w:rPr>
      <w:t xml:space="preserve">                                                 </w:t>
    </w:r>
    <w:r>
      <w:rPr>
        <w:rFonts w:hint="eastAsia"/>
        <w:u w:val="single"/>
      </w:rPr>
      <w:t xml:space="preserve">                  </w:t>
    </w:r>
    <w:r>
      <w:rPr>
        <w:rFonts w:hint="eastAsia"/>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C0BF3">
    <w:pPr>
      <w:rPr>
        <w:sz w:val="18"/>
        <w:szCs w:val="18"/>
        <w:u w:val="single"/>
      </w:rPr>
    </w:pPr>
    <w:r>
      <w:rPr>
        <w:rFonts w:hint="eastAsia"/>
        <w:sz w:val="18"/>
        <w:szCs w:val="18"/>
        <w:u w:val="single"/>
      </w:rPr>
      <w:t xml:space="preserve">广西机电设备招标有限公司招标文件                                            </w:t>
    </w:r>
    <w:r>
      <w:rPr>
        <w:rFonts w:hint="eastAsia"/>
        <w:sz w:val="18"/>
        <w:szCs w:val="18"/>
        <w:u w:val="single"/>
        <w:lang w:val="en-US" w:eastAsia="zh-CN"/>
      </w:rPr>
      <w:t xml:space="preserve">   </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FF676"/>
    <w:multiLevelType w:val="singleLevel"/>
    <w:tmpl w:val="959FF676"/>
    <w:lvl w:ilvl="0" w:tentative="0">
      <w:start w:val="2"/>
      <w:numFmt w:val="chineseCounting"/>
      <w:suff w:val="nothing"/>
      <w:lvlText w:val="第%1章、"/>
      <w:lvlJc w:val="left"/>
      <w:rPr>
        <w:rFonts w:hint="eastAsia"/>
      </w:rPr>
    </w:lvl>
  </w:abstractNum>
  <w:abstractNum w:abstractNumId="1">
    <w:nsid w:val="D79D0E63"/>
    <w:multiLevelType w:val="singleLevel"/>
    <w:tmpl w:val="D79D0E63"/>
    <w:lvl w:ilvl="0" w:tentative="0">
      <w:start w:val="1"/>
      <w:numFmt w:val="decimal"/>
      <w:suff w:val="nothing"/>
      <w:lvlText w:val="（%1）"/>
      <w:lvlJc w:val="left"/>
    </w:lvl>
  </w:abstractNum>
  <w:abstractNum w:abstractNumId="2">
    <w:nsid w:val="01C521EC"/>
    <w:multiLevelType w:val="multilevel"/>
    <w:tmpl w:val="01C521EC"/>
    <w:lvl w:ilvl="0" w:tentative="0">
      <w:start w:val="1"/>
      <w:numFmt w:val="decimal"/>
      <w:lvlText w:val="%1、"/>
      <w:lvlJc w:val="left"/>
      <w:pPr>
        <w:ind w:left="840" w:hanging="360"/>
      </w:pPr>
      <w:rPr>
        <w:rFonts w:ascii="Times New Roman" w:hAnsi="Times New Roman"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DC420C2"/>
    <w:multiLevelType w:val="multilevel"/>
    <w:tmpl w:val="4DC420C2"/>
    <w:lvl w:ilvl="0" w:tentative="0">
      <w:start w:val="1"/>
      <w:numFmt w:val="japaneseCounting"/>
      <w:lvlText w:val="第%1条"/>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3F2570E"/>
    <w:multiLevelType w:val="singleLevel"/>
    <w:tmpl w:val="53F2570E"/>
    <w:lvl w:ilvl="0" w:tentative="0">
      <w:start w:val="5"/>
      <w:numFmt w:val="decimal"/>
      <w:suff w:val="nothing"/>
      <w:lvlText w:val="%1．"/>
      <w:lvlJc w:val="left"/>
    </w:lvl>
  </w:abstractNum>
  <w:abstractNum w:abstractNumId="5">
    <w:nsid w:val="7BCFB7A0"/>
    <w:multiLevelType w:val="singleLevel"/>
    <w:tmpl w:val="7BCFB7A0"/>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3NjlhMzJkMWNhYTgzMzUxNGM1YmI0YmEwMDYzMmUifQ=="/>
  </w:docVars>
  <w:rsids>
    <w:rsidRoot w:val="00044023"/>
    <w:rsid w:val="0003576F"/>
    <w:rsid w:val="00044023"/>
    <w:rsid w:val="00050B2C"/>
    <w:rsid w:val="0007285A"/>
    <w:rsid w:val="000739CC"/>
    <w:rsid w:val="00097EBA"/>
    <w:rsid w:val="000A3345"/>
    <w:rsid w:val="000B0E07"/>
    <w:rsid w:val="000C3002"/>
    <w:rsid w:val="000D1189"/>
    <w:rsid w:val="001040A4"/>
    <w:rsid w:val="00123D67"/>
    <w:rsid w:val="001359C2"/>
    <w:rsid w:val="00152304"/>
    <w:rsid w:val="00153BFA"/>
    <w:rsid w:val="00173ED6"/>
    <w:rsid w:val="0019497D"/>
    <w:rsid w:val="001A27FA"/>
    <w:rsid w:val="001B46C7"/>
    <w:rsid w:val="001E2AA5"/>
    <w:rsid w:val="001E7450"/>
    <w:rsid w:val="001F181D"/>
    <w:rsid w:val="002057DE"/>
    <w:rsid w:val="00216953"/>
    <w:rsid w:val="0022167C"/>
    <w:rsid w:val="00254F43"/>
    <w:rsid w:val="00271ED8"/>
    <w:rsid w:val="00287F9D"/>
    <w:rsid w:val="002914E6"/>
    <w:rsid w:val="002A4215"/>
    <w:rsid w:val="002B7B11"/>
    <w:rsid w:val="002C2DC1"/>
    <w:rsid w:val="002D3831"/>
    <w:rsid w:val="00302A97"/>
    <w:rsid w:val="00316B7C"/>
    <w:rsid w:val="00321FAF"/>
    <w:rsid w:val="00363C80"/>
    <w:rsid w:val="003649D5"/>
    <w:rsid w:val="00376E29"/>
    <w:rsid w:val="00382D60"/>
    <w:rsid w:val="003B5680"/>
    <w:rsid w:val="003B7090"/>
    <w:rsid w:val="003D00AE"/>
    <w:rsid w:val="003D50CA"/>
    <w:rsid w:val="003F44DE"/>
    <w:rsid w:val="00400294"/>
    <w:rsid w:val="00410A9E"/>
    <w:rsid w:val="00423799"/>
    <w:rsid w:val="004238A2"/>
    <w:rsid w:val="00430D71"/>
    <w:rsid w:val="004752A8"/>
    <w:rsid w:val="0047741C"/>
    <w:rsid w:val="004A654A"/>
    <w:rsid w:val="004B1C29"/>
    <w:rsid w:val="004D01E0"/>
    <w:rsid w:val="004D5A19"/>
    <w:rsid w:val="00503720"/>
    <w:rsid w:val="00553FED"/>
    <w:rsid w:val="005B20DE"/>
    <w:rsid w:val="005B6BA1"/>
    <w:rsid w:val="005C67F5"/>
    <w:rsid w:val="005D4AE7"/>
    <w:rsid w:val="005E3911"/>
    <w:rsid w:val="00603698"/>
    <w:rsid w:val="0060667D"/>
    <w:rsid w:val="00607D63"/>
    <w:rsid w:val="00623F9E"/>
    <w:rsid w:val="00625ADB"/>
    <w:rsid w:val="00631C25"/>
    <w:rsid w:val="00635C6F"/>
    <w:rsid w:val="00662A94"/>
    <w:rsid w:val="006832D4"/>
    <w:rsid w:val="006A26F5"/>
    <w:rsid w:val="006B14B6"/>
    <w:rsid w:val="006C6865"/>
    <w:rsid w:val="006C6B77"/>
    <w:rsid w:val="006D299B"/>
    <w:rsid w:val="006D5656"/>
    <w:rsid w:val="006F4781"/>
    <w:rsid w:val="00700582"/>
    <w:rsid w:val="00701243"/>
    <w:rsid w:val="00707493"/>
    <w:rsid w:val="007237D9"/>
    <w:rsid w:val="007308D3"/>
    <w:rsid w:val="00732354"/>
    <w:rsid w:val="00785120"/>
    <w:rsid w:val="007A1B6C"/>
    <w:rsid w:val="007A243C"/>
    <w:rsid w:val="007B07D1"/>
    <w:rsid w:val="007C13AE"/>
    <w:rsid w:val="007C2BE1"/>
    <w:rsid w:val="007D10BB"/>
    <w:rsid w:val="00803552"/>
    <w:rsid w:val="008248AE"/>
    <w:rsid w:val="00847089"/>
    <w:rsid w:val="008501C2"/>
    <w:rsid w:val="00860894"/>
    <w:rsid w:val="00873BC4"/>
    <w:rsid w:val="00880DA1"/>
    <w:rsid w:val="0089052D"/>
    <w:rsid w:val="0089460B"/>
    <w:rsid w:val="00894A9F"/>
    <w:rsid w:val="008B14C2"/>
    <w:rsid w:val="008D6B34"/>
    <w:rsid w:val="008E143E"/>
    <w:rsid w:val="009149DD"/>
    <w:rsid w:val="009349AA"/>
    <w:rsid w:val="00940327"/>
    <w:rsid w:val="0097231C"/>
    <w:rsid w:val="0097552F"/>
    <w:rsid w:val="0098115E"/>
    <w:rsid w:val="00991FB0"/>
    <w:rsid w:val="00993A58"/>
    <w:rsid w:val="009C7CA4"/>
    <w:rsid w:val="009D3FC0"/>
    <w:rsid w:val="009F223F"/>
    <w:rsid w:val="00A20053"/>
    <w:rsid w:val="00A20F12"/>
    <w:rsid w:val="00A21D19"/>
    <w:rsid w:val="00A239A5"/>
    <w:rsid w:val="00A34985"/>
    <w:rsid w:val="00A72352"/>
    <w:rsid w:val="00A73B8D"/>
    <w:rsid w:val="00A85833"/>
    <w:rsid w:val="00A96388"/>
    <w:rsid w:val="00A97385"/>
    <w:rsid w:val="00AD400B"/>
    <w:rsid w:val="00AE67A8"/>
    <w:rsid w:val="00AF5304"/>
    <w:rsid w:val="00B023F9"/>
    <w:rsid w:val="00B147FE"/>
    <w:rsid w:val="00B23DB8"/>
    <w:rsid w:val="00B30DEC"/>
    <w:rsid w:val="00B42EC3"/>
    <w:rsid w:val="00B70612"/>
    <w:rsid w:val="00B734C4"/>
    <w:rsid w:val="00B87561"/>
    <w:rsid w:val="00B92312"/>
    <w:rsid w:val="00B96202"/>
    <w:rsid w:val="00BA3E37"/>
    <w:rsid w:val="00BB64E7"/>
    <w:rsid w:val="00BD29CD"/>
    <w:rsid w:val="00BF521F"/>
    <w:rsid w:val="00C04D19"/>
    <w:rsid w:val="00C15839"/>
    <w:rsid w:val="00C32CB6"/>
    <w:rsid w:val="00C5263A"/>
    <w:rsid w:val="00C56CD8"/>
    <w:rsid w:val="00C66532"/>
    <w:rsid w:val="00C923A5"/>
    <w:rsid w:val="00CB07A2"/>
    <w:rsid w:val="00CF410F"/>
    <w:rsid w:val="00CF44FC"/>
    <w:rsid w:val="00D1381A"/>
    <w:rsid w:val="00D20A5D"/>
    <w:rsid w:val="00D32AF3"/>
    <w:rsid w:val="00D61B0F"/>
    <w:rsid w:val="00D65D67"/>
    <w:rsid w:val="00D7365D"/>
    <w:rsid w:val="00DB03E3"/>
    <w:rsid w:val="00DC2616"/>
    <w:rsid w:val="00DC456D"/>
    <w:rsid w:val="00DC4796"/>
    <w:rsid w:val="00DD2D44"/>
    <w:rsid w:val="00DE3320"/>
    <w:rsid w:val="00DE407E"/>
    <w:rsid w:val="00DF3CB8"/>
    <w:rsid w:val="00E50930"/>
    <w:rsid w:val="00E530B4"/>
    <w:rsid w:val="00E76EC6"/>
    <w:rsid w:val="00E85996"/>
    <w:rsid w:val="00E87320"/>
    <w:rsid w:val="00E93991"/>
    <w:rsid w:val="00EA13C9"/>
    <w:rsid w:val="00EA181D"/>
    <w:rsid w:val="00EA451A"/>
    <w:rsid w:val="00EA7E5E"/>
    <w:rsid w:val="00EB2810"/>
    <w:rsid w:val="00EB752F"/>
    <w:rsid w:val="00EC15B1"/>
    <w:rsid w:val="00EE6D64"/>
    <w:rsid w:val="00F14648"/>
    <w:rsid w:val="00F2324C"/>
    <w:rsid w:val="00F25426"/>
    <w:rsid w:val="00F548AC"/>
    <w:rsid w:val="00F55482"/>
    <w:rsid w:val="00F62368"/>
    <w:rsid w:val="00F75836"/>
    <w:rsid w:val="00F91E03"/>
    <w:rsid w:val="00F94540"/>
    <w:rsid w:val="00FB44E5"/>
    <w:rsid w:val="00FD159B"/>
    <w:rsid w:val="00FD37A5"/>
    <w:rsid w:val="00FD6A8B"/>
    <w:rsid w:val="011B2C43"/>
    <w:rsid w:val="020F7AC9"/>
    <w:rsid w:val="02BD202F"/>
    <w:rsid w:val="02CF2AC1"/>
    <w:rsid w:val="02ED4364"/>
    <w:rsid w:val="02FC6ACE"/>
    <w:rsid w:val="03084CFA"/>
    <w:rsid w:val="048E6BE7"/>
    <w:rsid w:val="04B72CCE"/>
    <w:rsid w:val="051D0371"/>
    <w:rsid w:val="0607068C"/>
    <w:rsid w:val="06594A42"/>
    <w:rsid w:val="078B4A9A"/>
    <w:rsid w:val="0AA60244"/>
    <w:rsid w:val="0ABB6495"/>
    <w:rsid w:val="0B9E269F"/>
    <w:rsid w:val="0BAB6D74"/>
    <w:rsid w:val="0C0D65AF"/>
    <w:rsid w:val="0C4F6BDA"/>
    <w:rsid w:val="0D1D1C55"/>
    <w:rsid w:val="0D200E92"/>
    <w:rsid w:val="0DE15DFE"/>
    <w:rsid w:val="0E444C4C"/>
    <w:rsid w:val="10FC4F6D"/>
    <w:rsid w:val="11B23444"/>
    <w:rsid w:val="121B147B"/>
    <w:rsid w:val="13225A29"/>
    <w:rsid w:val="14D05CA0"/>
    <w:rsid w:val="157D3001"/>
    <w:rsid w:val="161368D0"/>
    <w:rsid w:val="16152A0C"/>
    <w:rsid w:val="17F23F9B"/>
    <w:rsid w:val="181F7D6A"/>
    <w:rsid w:val="189F1E1D"/>
    <w:rsid w:val="18D936BB"/>
    <w:rsid w:val="198F1A89"/>
    <w:rsid w:val="1B063D74"/>
    <w:rsid w:val="1B993C0B"/>
    <w:rsid w:val="1C513863"/>
    <w:rsid w:val="1D095EB9"/>
    <w:rsid w:val="1D305121"/>
    <w:rsid w:val="1DF57149"/>
    <w:rsid w:val="1F2841BF"/>
    <w:rsid w:val="208E2A24"/>
    <w:rsid w:val="20E33D14"/>
    <w:rsid w:val="21A72105"/>
    <w:rsid w:val="21B53BFA"/>
    <w:rsid w:val="22252D7A"/>
    <w:rsid w:val="23512E5D"/>
    <w:rsid w:val="23C33BE9"/>
    <w:rsid w:val="23CE1410"/>
    <w:rsid w:val="23E42E0B"/>
    <w:rsid w:val="24D458DC"/>
    <w:rsid w:val="250E5D48"/>
    <w:rsid w:val="2513660B"/>
    <w:rsid w:val="253037FC"/>
    <w:rsid w:val="25E62821"/>
    <w:rsid w:val="26BE246F"/>
    <w:rsid w:val="2738449F"/>
    <w:rsid w:val="27A47498"/>
    <w:rsid w:val="28137B19"/>
    <w:rsid w:val="2846681B"/>
    <w:rsid w:val="2A6A5295"/>
    <w:rsid w:val="2A917343"/>
    <w:rsid w:val="2AA51AE6"/>
    <w:rsid w:val="2CBE3005"/>
    <w:rsid w:val="2D9E5D7D"/>
    <w:rsid w:val="2DBE4083"/>
    <w:rsid w:val="2DF31A8E"/>
    <w:rsid w:val="2E676DF9"/>
    <w:rsid w:val="2F7C5779"/>
    <w:rsid w:val="31BA4B06"/>
    <w:rsid w:val="31EB0D0B"/>
    <w:rsid w:val="329A7F67"/>
    <w:rsid w:val="32E01D9A"/>
    <w:rsid w:val="33E55455"/>
    <w:rsid w:val="34474DD2"/>
    <w:rsid w:val="355B4E24"/>
    <w:rsid w:val="364B00F8"/>
    <w:rsid w:val="36F03C20"/>
    <w:rsid w:val="3720500E"/>
    <w:rsid w:val="373D5AB7"/>
    <w:rsid w:val="377A7759"/>
    <w:rsid w:val="38512DAC"/>
    <w:rsid w:val="397B107A"/>
    <w:rsid w:val="39FA4695"/>
    <w:rsid w:val="3AE841A5"/>
    <w:rsid w:val="3B073A41"/>
    <w:rsid w:val="3B9F54F4"/>
    <w:rsid w:val="3C291B54"/>
    <w:rsid w:val="3C7B69C5"/>
    <w:rsid w:val="3CDD3214"/>
    <w:rsid w:val="3DB1391A"/>
    <w:rsid w:val="3E1D0FAF"/>
    <w:rsid w:val="3EBB40CF"/>
    <w:rsid w:val="3FEE3FF7"/>
    <w:rsid w:val="40AF6676"/>
    <w:rsid w:val="4113467A"/>
    <w:rsid w:val="417009C8"/>
    <w:rsid w:val="41CF7A77"/>
    <w:rsid w:val="42BD017E"/>
    <w:rsid w:val="43790D20"/>
    <w:rsid w:val="43BA6579"/>
    <w:rsid w:val="44076225"/>
    <w:rsid w:val="442711C5"/>
    <w:rsid w:val="46270355"/>
    <w:rsid w:val="47923A0F"/>
    <w:rsid w:val="4B876B97"/>
    <w:rsid w:val="4C35316B"/>
    <w:rsid w:val="4D0F0944"/>
    <w:rsid w:val="4D4A39E9"/>
    <w:rsid w:val="4E4116FB"/>
    <w:rsid w:val="4F02202B"/>
    <w:rsid w:val="50936330"/>
    <w:rsid w:val="51322803"/>
    <w:rsid w:val="51B03563"/>
    <w:rsid w:val="53166774"/>
    <w:rsid w:val="5354443B"/>
    <w:rsid w:val="53B65F21"/>
    <w:rsid w:val="53F513D1"/>
    <w:rsid w:val="54DA0EF3"/>
    <w:rsid w:val="552C7B11"/>
    <w:rsid w:val="557972E2"/>
    <w:rsid w:val="56F90145"/>
    <w:rsid w:val="56F978F7"/>
    <w:rsid w:val="57AD3F89"/>
    <w:rsid w:val="58196A50"/>
    <w:rsid w:val="596B60B0"/>
    <w:rsid w:val="5A226CB9"/>
    <w:rsid w:val="5B2F50E5"/>
    <w:rsid w:val="5D8D223B"/>
    <w:rsid w:val="5E2D5A3B"/>
    <w:rsid w:val="5E512226"/>
    <w:rsid w:val="5E7921C2"/>
    <w:rsid w:val="5E997D38"/>
    <w:rsid w:val="5EE96902"/>
    <w:rsid w:val="5EEF062B"/>
    <w:rsid w:val="5EF86023"/>
    <w:rsid w:val="5F9C79DD"/>
    <w:rsid w:val="605D3EDA"/>
    <w:rsid w:val="60996594"/>
    <w:rsid w:val="60C806B8"/>
    <w:rsid w:val="614D5EC2"/>
    <w:rsid w:val="62244E9F"/>
    <w:rsid w:val="62D0683D"/>
    <w:rsid w:val="6392051F"/>
    <w:rsid w:val="63BF783F"/>
    <w:rsid w:val="64115BAD"/>
    <w:rsid w:val="64216751"/>
    <w:rsid w:val="64903ECB"/>
    <w:rsid w:val="64EA4C90"/>
    <w:rsid w:val="65635012"/>
    <w:rsid w:val="66D103A8"/>
    <w:rsid w:val="67446DCC"/>
    <w:rsid w:val="6957655C"/>
    <w:rsid w:val="69DA7573"/>
    <w:rsid w:val="6A33233D"/>
    <w:rsid w:val="6A4341B5"/>
    <w:rsid w:val="6A67135E"/>
    <w:rsid w:val="6ACF0D66"/>
    <w:rsid w:val="6B337857"/>
    <w:rsid w:val="6B5963F4"/>
    <w:rsid w:val="6C5A5CA6"/>
    <w:rsid w:val="6DA36865"/>
    <w:rsid w:val="6F0C3B59"/>
    <w:rsid w:val="6FA52CAA"/>
    <w:rsid w:val="70D8038D"/>
    <w:rsid w:val="70E74331"/>
    <w:rsid w:val="714629B6"/>
    <w:rsid w:val="719865B8"/>
    <w:rsid w:val="71EA6E4F"/>
    <w:rsid w:val="71F516A9"/>
    <w:rsid w:val="725B5BF8"/>
    <w:rsid w:val="755E1A5E"/>
    <w:rsid w:val="76CB06F8"/>
    <w:rsid w:val="779B5269"/>
    <w:rsid w:val="77DB10F3"/>
    <w:rsid w:val="788F4A52"/>
    <w:rsid w:val="79107282"/>
    <w:rsid w:val="79DA5E08"/>
    <w:rsid w:val="7A39650B"/>
    <w:rsid w:val="7C0641F8"/>
    <w:rsid w:val="7C544F3D"/>
    <w:rsid w:val="7D4E5E48"/>
    <w:rsid w:val="7E453F95"/>
    <w:rsid w:val="7E4A034C"/>
    <w:rsid w:val="7FB24F36"/>
    <w:rsid w:val="DFAFD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2"/>
    <w:qFormat/>
    <w:uiPriority w:val="9"/>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63"/>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64"/>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1"/>
    <w:link w:val="65"/>
    <w:qFormat/>
    <w:uiPriority w:val="0"/>
    <w:pPr>
      <w:keepNext/>
      <w:keepLines/>
      <w:widowControl/>
      <w:spacing w:before="120" w:after="120" w:line="360" w:lineRule="auto"/>
      <w:jc w:val="center"/>
      <w:outlineLvl w:val="3"/>
    </w:pPr>
    <w:rPr>
      <w:rFonts w:ascii="Arial" w:hAnsi="Arial" w:eastAsia="黑体" w:cs="Times New Roman"/>
      <w:kern w:val="0"/>
      <w:sz w:val="28"/>
      <w:szCs w:val="20"/>
    </w:rPr>
  </w:style>
  <w:style w:type="paragraph" w:styleId="6">
    <w:name w:val="heading 5"/>
    <w:basedOn w:val="1"/>
    <w:next w:val="7"/>
    <w:link w:val="66"/>
    <w:qFormat/>
    <w:uiPriority w:val="0"/>
    <w:pPr>
      <w:keepNext/>
      <w:keepLines/>
      <w:spacing w:before="280" w:after="290" w:line="372" w:lineRule="auto"/>
      <w:outlineLvl w:val="4"/>
    </w:pPr>
    <w:rPr>
      <w:rFonts w:ascii="Times New Roman" w:hAnsi="Times New Roman" w:eastAsia="宋体" w:cs="Times New Roman"/>
      <w:b/>
      <w:sz w:val="28"/>
      <w:szCs w:val="24"/>
    </w:rPr>
  </w:style>
  <w:style w:type="paragraph" w:styleId="8">
    <w:name w:val="heading 6"/>
    <w:basedOn w:val="1"/>
    <w:next w:val="7"/>
    <w:link w:val="67"/>
    <w:qFormat/>
    <w:uiPriority w:val="0"/>
    <w:pPr>
      <w:keepNext/>
      <w:keepLines/>
      <w:spacing w:before="240" w:after="64" w:line="317" w:lineRule="auto"/>
      <w:outlineLvl w:val="5"/>
    </w:pPr>
    <w:rPr>
      <w:rFonts w:ascii="Arial" w:hAnsi="Arial" w:eastAsia="黑体" w:cs="Times New Roman"/>
      <w:b/>
      <w:sz w:val="24"/>
      <w:szCs w:val="24"/>
    </w:rPr>
  </w:style>
  <w:style w:type="paragraph" w:styleId="9">
    <w:name w:val="heading 7"/>
    <w:basedOn w:val="1"/>
    <w:next w:val="7"/>
    <w:link w:val="68"/>
    <w:qFormat/>
    <w:uiPriority w:val="0"/>
    <w:pPr>
      <w:keepNext/>
      <w:keepLines/>
      <w:spacing w:before="240" w:after="64" w:line="317" w:lineRule="auto"/>
      <w:outlineLvl w:val="6"/>
    </w:pPr>
    <w:rPr>
      <w:rFonts w:ascii="Times New Roman" w:hAnsi="Times New Roman" w:eastAsia="宋体" w:cs="Times New Roman"/>
      <w:b/>
      <w:sz w:val="24"/>
      <w:szCs w:val="24"/>
    </w:rPr>
  </w:style>
  <w:style w:type="paragraph" w:styleId="10">
    <w:name w:val="heading 8"/>
    <w:basedOn w:val="1"/>
    <w:next w:val="7"/>
    <w:link w:val="69"/>
    <w:qFormat/>
    <w:uiPriority w:val="0"/>
    <w:pPr>
      <w:keepNext/>
      <w:keepLines/>
      <w:spacing w:before="240" w:after="64" w:line="317" w:lineRule="auto"/>
      <w:outlineLvl w:val="7"/>
    </w:pPr>
    <w:rPr>
      <w:rFonts w:ascii="Arial" w:hAnsi="Arial" w:eastAsia="黑体" w:cs="Times New Roman"/>
      <w:sz w:val="24"/>
      <w:szCs w:val="24"/>
    </w:rPr>
  </w:style>
  <w:style w:type="paragraph" w:styleId="11">
    <w:name w:val="heading 9"/>
    <w:basedOn w:val="1"/>
    <w:next w:val="7"/>
    <w:link w:val="70"/>
    <w:qFormat/>
    <w:uiPriority w:val="0"/>
    <w:pPr>
      <w:keepNext/>
      <w:keepLines/>
      <w:spacing w:before="240" w:after="64" w:line="317" w:lineRule="auto"/>
      <w:outlineLvl w:val="8"/>
    </w:pPr>
    <w:rPr>
      <w:rFonts w:ascii="Arial" w:hAnsi="Arial" w:eastAsia="黑体" w:cs="Times New Roman"/>
      <w:szCs w:val="24"/>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rFonts w:ascii="Times New Roman" w:hAnsi="Times New Roman" w:eastAsia="宋体" w:cs="Times New Roman"/>
      <w:szCs w:val="20"/>
    </w:rPr>
  </w:style>
  <w:style w:type="paragraph" w:styleId="12">
    <w:name w:val="List 3"/>
    <w:basedOn w:val="1"/>
    <w:qFormat/>
    <w:uiPriority w:val="0"/>
    <w:pPr>
      <w:ind w:left="100" w:leftChars="400" w:hanging="200" w:hangingChars="200"/>
    </w:pPr>
    <w:rPr>
      <w:rFonts w:ascii="Times New Roman" w:hAnsi="Times New Roman" w:eastAsia="宋体" w:cs="Times New Roman"/>
      <w:szCs w:val="24"/>
    </w:rPr>
  </w:style>
  <w:style w:type="paragraph" w:styleId="13">
    <w:name w:val="List Number"/>
    <w:basedOn w:val="1"/>
    <w:qFormat/>
    <w:uiPriority w:val="0"/>
    <w:pPr>
      <w:widowControl/>
      <w:tabs>
        <w:tab w:val="left" w:pos="454"/>
        <w:tab w:val="left" w:pos="720"/>
        <w:tab w:val="left" w:pos="840"/>
      </w:tabs>
      <w:spacing w:after="156" w:afterLines="50"/>
      <w:ind w:left="454" w:hanging="284"/>
      <w:jc w:val="left"/>
    </w:pPr>
    <w:rPr>
      <w:rFonts w:ascii="Times New Roman" w:hAnsi="Times New Roman" w:eastAsia="宋体" w:cs="Times New Roman"/>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74"/>
    <w:qFormat/>
    <w:uiPriority w:val="0"/>
    <w:pPr>
      <w:shd w:val="clear" w:color="auto" w:fill="000080"/>
      <w:adjustRightInd w:val="0"/>
      <w:spacing w:line="312" w:lineRule="atLeast"/>
      <w:textAlignment w:val="baseline"/>
    </w:pPr>
    <w:rPr>
      <w:rFonts w:ascii="Times New Roman" w:hAnsi="Times New Roman" w:eastAsia="宋体" w:cs="Times New Roman"/>
      <w:kern w:val="0"/>
      <w:szCs w:val="20"/>
    </w:rPr>
  </w:style>
  <w:style w:type="paragraph" w:styleId="16">
    <w:name w:val="annotation text"/>
    <w:basedOn w:val="1"/>
    <w:link w:val="76"/>
    <w:qFormat/>
    <w:uiPriority w:val="99"/>
    <w:pPr>
      <w:jc w:val="left"/>
    </w:pPr>
    <w:rPr>
      <w:rFonts w:ascii="Times New Roman" w:hAnsi="Times New Roman" w:eastAsia="宋体" w:cs="Times New Roman"/>
      <w:szCs w:val="24"/>
    </w:rPr>
  </w:style>
  <w:style w:type="paragraph" w:styleId="17">
    <w:name w:val="Body Text 3"/>
    <w:basedOn w:val="1"/>
    <w:link w:val="78"/>
    <w:qFormat/>
    <w:uiPriority w:val="0"/>
    <w:pPr>
      <w:spacing w:line="500" w:lineRule="exact"/>
    </w:pPr>
    <w:rPr>
      <w:rFonts w:ascii="Times New Roman" w:hAnsi="Times New Roman" w:eastAsia="宋体" w:cs="Times New Roman"/>
      <w:b/>
      <w:bCs/>
      <w:sz w:val="24"/>
      <w:szCs w:val="24"/>
    </w:rPr>
  </w:style>
  <w:style w:type="paragraph" w:styleId="18">
    <w:name w:val="Body Text"/>
    <w:basedOn w:val="1"/>
    <w:next w:val="19"/>
    <w:link w:val="80"/>
    <w:qFormat/>
    <w:uiPriority w:val="99"/>
    <w:pPr>
      <w:spacing w:line="380" w:lineRule="exact"/>
    </w:pPr>
    <w:rPr>
      <w:rFonts w:ascii="Times New Roman" w:hAnsi="Times New Roman" w:eastAsia="宋体" w:cs="Times New Roman"/>
      <w:sz w:val="24"/>
      <w:szCs w:val="24"/>
    </w:rPr>
  </w:style>
  <w:style w:type="paragraph" w:styleId="19">
    <w:name w:val="Title"/>
    <w:basedOn w:val="1"/>
    <w:next w:val="1"/>
    <w:link w:val="100"/>
    <w:qFormat/>
    <w:uiPriority w:val="0"/>
    <w:pPr>
      <w:jc w:val="center"/>
    </w:pPr>
    <w:rPr>
      <w:rFonts w:ascii="Times New Roman" w:hAnsi="Times New Roman" w:eastAsia="宋体" w:cs="Times New Roman"/>
      <w:sz w:val="30"/>
      <w:szCs w:val="24"/>
    </w:rPr>
  </w:style>
  <w:style w:type="paragraph" w:styleId="20">
    <w:name w:val="Body Text Indent"/>
    <w:basedOn w:val="1"/>
    <w:next w:val="7"/>
    <w:link w:val="82"/>
    <w:qFormat/>
    <w:uiPriority w:val="99"/>
    <w:pPr>
      <w:ind w:firstLine="830" w:firstLineChars="352"/>
    </w:pPr>
    <w:rPr>
      <w:rFonts w:ascii="仿宋_GB2312" w:hAnsi="Times New Roman" w:eastAsia="仿宋_GB2312" w:cs="Times New Roman"/>
      <w:sz w:val="32"/>
      <w:szCs w:val="20"/>
    </w:rPr>
  </w:style>
  <w:style w:type="paragraph" w:styleId="21">
    <w:name w:val="List Number 3"/>
    <w:basedOn w:val="1"/>
    <w:qFormat/>
    <w:uiPriority w:val="0"/>
    <w:pPr>
      <w:tabs>
        <w:tab w:val="left" w:pos="1200"/>
      </w:tabs>
      <w:ind w:left="1200" w:leftChars="400" w:hanging="360" w:hangingChars="200"/>
    </w:pPr>
    <w:rPr>
      <w:rFonts w:ascii="Times New Roman" w:hAnsi="Times New Roman" w:eastAsia="宋体" w:cs="Times New Roman"/>
      <w:szCs w:val="24"/>
    </w:rPr>
  </w:style>
  <w:style w:type="paragraph" w:styleId="22">
    <w:name w:val="List 2"/>
    <w:basedOn w:val="1"/>
    <w:qFormat/>
    <w:uiPriority w:val="0"/>
    <w:pPr>
      <w:ind w:left="100" w:leftChars="200" w:hanging="200" w:hangingChars="200"/>
    </w:pPr>
    <w:rPr>
      <w:rFonts w:ascii="Times New Roman" w:hAnsi="Times New Roman" w:eastAsia="宋体" w:cs="Times New Roman"/>
      <w:sz w:val="28"/>
      <w:szCs w:val="24"/>
    </w:rPr>
  </w:style>
  <w:style w:type="paragraph" w:styleId="23">
    <w:name w:val="Block Text"/>
    <w:basedOn w:val="1"/>
    <w:qFormat/>
    <w:uiPriority w:val="0"/>
    <w:pPr>
      <w:adjustRightInd w:val="0"/>
      <w:ind w:left="420" w:right="33"/>
      <w:jc w:val="left"/>
      <w:textAlignment w:val="baseline"/>
    </w:pPr>
    <w:rPr>
      <w:rFonts w:ascii="Times New Roman" w:hAnsi="Times New Roman" w:eastAsia="宋体" w:cs="Times New Roman"/>
      <w:kern w:val="0"/>
      <w:sz w:val="24"/>
      <w:szCs w:val="20"/>
    </w:rPr>
  </w:style>
  <w:style w:type="paragraph" w:styleId="24">
    <w:name w:val="Plain Text"/>
    <w:basedOn w:val="1"/>
    <w:link w:val="84"/>
    <w:qFormat/>
    <w:uiPriority w:val="0"/>
    <w:rPr>
      <w:rFonts w:ascii="宋体" w:hAnsi="Courier New" w:eastAsia="宋体" w:cs="Courier New"/>
      <w:szCs w:val="21"/>
    </w:rPr>
  </w:style>
  <w:style w:type="paragraph" w:styleId="25">
    <w:name w:val="Date"/>
    <w:basedOn w:val="1"/>
    <w:next w:val="1"/>
    <w:link w:val="86"/>
    <w:qFormat/>
    <w:uiPriority w:val="0"/>
    <w:pPr>
      <w:ind w:left="100" w:leftChars="2500"/>
    </w:pPr>
    <w:rPr>
      <w:rFonts w:ascii="宋体" w:hAnsi="Courier New" w:eastAsia="宋体" w:cs="Times New Roman"/>
      <w:szCs w:val="21"/>
    </w:rPr>
  </w:style>
  <w:style w:type="paragraph" w:styleId="26">
    <w:name w:val="Body Text Indent 2"/>
    <w:basedOn w:val="1"/>
    <w:link w:val="88"/>
    <w:qFormat/>
    <w:uiPriority w:val="0"/>
    <w:pPr>
      <w:ind w:firstLine="630"/>
    </w:pPr>
    <w:rPr>
      <w:rFonts w:ascii="Times New Roman" w:hAnsi="Times New Roman" w:eastAsia="宋体" w:cs="Times New Roman"/>
      <w:sz w:val="32"/>
      <w:szCs w:val="20"/>
    </w:rPr>
  </w:style>
  <w:style w:type="paragraph" w:styleId="27">
    <w:name w:val="Balloon Text"/>
    <w:basedOn w:val="1"/>
    <w:link w:val="90"/>
    <w:qFormat/>
    <w:uiPriority w:val="0"/>
    <w:rPr>
      <w:rFonts w:ascii="Times New Roman" w:hAnsi="Times New Roman" w:eastAsia="宋体" w:cs="Times New Roman"/>
      <w:sz w:val="18"/>
      <w:szCs w:val="18"/>
    </w:rPr>
  </w:style>
  <w:style w:type="paragraph" w:styleId="28">
    <w:name w:val="footer"/>
    <w:basedOn w:val="1"/>
    <w:next w:val="1"/>
    <w:link w:val="52"/>
    <w:unhideWhenUsed/>
    <w:qFormat/>
    <w:uiPriority w:val="0"/>
    <w:pPr>
      <w:tabs>
        <w:tab w:val="center" w:pos="4153"/>
        <w:tab w:val="right" w:pos="8306"/>
      </w:tabs>
      <w:snapToGrid w:val="0"/>
      <w:jc w:val="left"/>
    </w:pPr>
    <w:rPr>
      <w:sz w:val="18"/>
      <w:szCs w:val="18"/>
    </w:rPr>
  </w:style>
  <w:style w:type="paragraph" w:styleId="29">
    <w:name w:val="header"/>
    <w:basedOn w:val="1"/>
    <w:link w:val="51"/>
    <w:unhideWhenUsed/>
    <w:qFormat/>
    <w:uiPriority w:val="99"/>
    <w:pPr>
      <w:tabs>
        <w:tab w:val="center" w:pos="4153"/>
        <w:tab w:val="right" w:pos="8306"/>
      </w:tabs>
      <w:snapToGrid w:val="0"/>
      <w:jc w:val="center"/>
    </w:pPr>
    <w:rPr>
      <w:sz w:val="18"/>
      <w:szCs w:val="18"/>
    </w:rPr>
  </w:style>
  <w:style w:type="paragraph" w:styleId="30">
    <w:name w:val="toc 1"/>
    <w:basedOn w:val="1"/>
    <w:next w:val="1"/>
    <w:semiHidden/>
    <w:unhideWhenUsed/>
    <w:uiPriority w:val="39"/>
  </w:style>
  <w:style w:type="paragraph" w:styleId="31">
    <w:name w:val="List"/>
    <w:basedOn w:val="1"/>
    <w:qFormat/>
    <w:uiPriority w:val="0"/>
    <w:pPr>
      <w:ind w:left="200" w:hanging="200" w:hangingChars="200"/>
    </w:pPr>
    <w:rPr>
      <w:rFonts w:ascii="Times New Roman" w:hAnsi="Times New Roman" w:eastAsia="宋体" w:cs="Times New Roman"/>
      <w:sz w:val="28"/>
      <w:szCs w:val="24"/>
    </w:rPr>
  </w:style>
  <w:style w:type="paragraph" w:styleId="32">
    <w:name w:val="List 5"/>
    <w:basedOn w:val="1"/>
    <w:qFormat/>
    <w:uiPriority w:val="0"/>
    <w:pPr>
      <w:ind w:left="2100" w:hanging="420"/>
    </w:pPr>
    <w:rPr>
      <w:rFonts w:ascii="Times New Roman" w:hAnsi="Times New Roman" w:eastAsia="宋体" w:cs="Times New Roman"/>
      <w:szCs w:val="20"/>
    </w:rPr>
  </w:style>
  <w:style w:type="paragraph" w:styleId="33">
    <w:name w:val="Body Text Indent 3"/>
    <w:basedOn w:val="1"/>
    <w:link w:val="94"/>
    <w:qFormat/>
    <w:uiPriority w:val="0"/>
    <w:pPr>
      <w:spacing w:after="120"/>
      <w:ind w:left="420" w:leftChars="200"/>
    </w:pPr>
    <w:rPr>
      <w:rFonts w:ascii="Times New Roman" w:hAnsi="Times New Roman" w:eastAsia="宋体" w:cs="Times New Roman"/>
      <w:sz w:val="16"/>
      <w:szCs w:val="16"/>
    </w:rPr>
  </w:style>
  <w:style w:type="paragraph" w:styleId="34">
    <w:name w:val="Body Text 2"/>
    <w:basedOn w:val="1"/>
    <w:link w:val="96"/>
    <w:qFormat/>
    <w:uiPriority w:val="0"/>
    <w:pPr>
      <w:spacing w:after="120" w:line="480" w:lineRule="auto"/>
    </w:pPr>
    <w:rPr>
      <w:rFonts w:ascii="Times New Roman" w:hAnsi="Times New Roman" w:eastAsia="宋体" w:cs="Times New Roman"/>
      <w:szCs w:val="24"/>
    </w:rPr>
  </w:style>
  <w:style w:type="paragraph" w:styleId="35">
    <w:name w:val="List 4"/>
    <w:basedOn w:val="1"/>
    <w:qFormat/>
    <w:uiPriority w:val="0"/>
    <w:pPr>
      <w:ind w:left="100" w:leftChars="600" w:hanging="200" w:hangingChars="200"/>
    </w:pPr>
    <w:rPr>
      <w:rFonts w:ascii="Times New Roman" w:hAnsi="Times New Roman" w:eastAsia="宋体" w:cs="Times New Roman"/>
      <w:szCs w:val="24"/>
    </w:rPr>
  </w:style>
  <w:style w:type="paragraph" w:styleId="36">
    <w:name w:val="List Continue 2"/>
    <w:basedOn w:val="1"/>
    <w:qFormat/>
    <w:uiPriority w:val="0"/>
    <w:pPr>
      <w:spacing w:after="120"/>
      <w:ind w:left="840" w:leftChars="400"/>
    </w:pPr>
    <w:rPr>
      <w:rFonts w:ascii="Times New Roman" w:hAnsi="Times New Roman" w:eastAsia="宋体" w:cs="Times New Roman"/>
      <w:szCs w:val="24"/>
    </w:rPr>
  </w:style>
  <w:style w:type="paragraph" w:styleId="37">
    <w:name w:val="HTML Preformatted"/>
    <w:basedOn w:val="1"/>
    <w:link w:val="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kern w:val="0"/>
      <w:sz w:val="20"/>
      <w:szCs w:val="20"/>
    </w:rPr>
  </w:style>
  <w:style w:type="paragraph" w:styleId="3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39">
    <w:name w:val="index 1"/>
    <w:basedOn w:val="1"/>
    <w:next w:val="1"/>
    <w:qFormat/>
    <w:uiPriority w:val="0"/>
    <w:pPr>
      <w:spacing w:line="400" w:lineRule="exact"/>
      <w:ind w:firstLine="420" w:firstLineChars="200"/>
    </w:pPr>
    <w:rPr>
      <w:rFonts w:ascii="宋体" w:hAnsi="Courier New" w:eastAsia="宋体" w:cs="Times New Roman"/>
      <w:b/>
      <w:szCs w:val="20"/>
    </w:rPr>
  </w:style>
  <w:style w:type="paragraph" w:styleId="40">
    <w:name w:val="annotation subject"/>
    <w:basedOn w:val="16"/>
    <w:next w:val="16"/>
    <w:link w:val="102"/>
    <w:qFormat/>
    <w:uiPriority w:val="0"/>
    <w:rPr>
      <w:b/>
      <w:bCs/>
    </w:rPr>
  </w:style>
  <w:style w:type="paragraph" w:styleId="41">
    <w:name w:val="Body Text First Indent"/>
    <w:basedOn w:val="18"/>
    <w:link w:val="196"/>
    <w:semiHidden/>
    <w:unhideWhenUsed/>
    <w:qFormat/>
    <w:uiPriority w:val="99"/>
    <w:pPr>
      <w:spacing w:after="120" w:line="240" w:lineRule="auto"/>
      <w:ind w:firstLine="420" w:firstLineChars="100"/>
    </w:pPr>
    <w:rPr>
      <w:rFonts w:asciiTheme="minorHAnsi" w:hAnsiTheme="minorHAnsi" w:eastAsiaTheme="minorEastAsia" w:cstheme="minorBidi"/>
      <w:sz w:val="21"/>
      <w:szCs w:val="22"/>
    </w:rPr>
  </w:style>
  <w:style w:type="paragraph" w:styleId="42">
    <w:name w:val="Body Text First Indent 2"/>
    <w:basedOn w:val="20"/>
    <w:link w:val="197"/>
    <w:semiHidden/>
    <w:unhideWhenUsed/>
    <w:qFormat/>
    <w:uiPriority w:val="99"/>
    <w:pPr>
      <w:spacing w:after="120"/>
      <w:ind w:left="420" w:leftChars="200" w:firstLine="420" w:firstLineChars="200"/>
    </w:pPr>
    <w:rPr>
      <w:rFonts w:asciiTheme="minorHAnsi" w:hAnsiTheme="minorHAnsi" w:eastAsiaTheme="minorEastAsia" w:cstheme="minorBidi"/>
      <w:sz w:val="21"/>
      <w:szCs w:val="22"/>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22"/>
    <w:rPr>
      <w:b/>
      <w:bCs/>
    </w:rPr>
  </w:style>
  <w:style w:type="character" w:styleId="47">
    <w:name w:val="page number"/>
    <w:qFormat/>
    <w:uiPriority w:val="0"/>
  </w:style>
  <w:style w:type="character" w:styleId="48">
    <w:name w:val="FollowedHyperlink"/>
    <w:qFormat/>
    <w:uiPriority w:val="99"/>
    <w:rPr>
      <w:color w:val="800080"/>
      <w:u w:val="single"/>
    </w:rPr>
  </w:style>
  <w:style w:type="character" w:styleId="49">
    <w:name w:val="Hyperlink"/>
    <w:qFormat/>
    <w:uiPriority w:val="99"/>
    <w:rPr>
      <w:color w:val="0000FF"/>
      <w:u w:val="single"/>
    </w:rPr>
  </w:style>
  <w:style w:type="character" w:styleId="50">
    <w:name w:val="annotation reference"/>
    <w:qFormat/>
    <w:uiPriority w:val="99"/>
    <w:rPr>
      <w:sz w:val="21"/>
      <w:szCs w:val="21"/>
    </w:rPr>
  </w:style>
  <w:style w:type="character" w:customStyle="1" w:styleId="51">
    <w:name w:val="页眉 Char1"/>
    <w:basedOn w:val="45"/>
    <w:link w:val="29"/>
    <w:qFormat/>
    <w:uiPriority w:val="99"/>
    <w:rPr>
      <w:sz w:val="18"/>
      <w:szCs w:val="18"/>
    </w:rPr>
  </w:style>
  <w:style w:type="character" w:customStyle="1" w:styleId="52">
    <w:name w:val="页脚 Char1"/>
    <w:basedOn w:val="45"/>
    <w:link w:val="28"/>
    <w:qFormat/>
    <w:uiPriority w:val="99"/>
    <w:rPr>
      <w:sz w:val="18"/>
      <w:szCs w:val="18"/>
    </w:rPr>
  </w:style>
  <w:style w:type="character" w:customStyle="1" w:styleId="53">
    <w:name w:val="标题 1 字符"/>
    <w:basedOn w:val="45"/>
    <w:qFormat/>
    <w:uiPriority w:val="9"/>
    <w:rPr>
      <w:b/>
      <w:bCs/>
      <w:kern w:val="44"/>
      <w:sz w:val="44"/>
      <w:szCs w:val="44"/>
    </w:rPr>
  </w:style>
  <w:style w:type="character" w:customStyle="1" w:styleId="54">
    <w:name w:val="标题 2 字符"/>
    <w:basedOn w:val="45"/>
    <w:semiHidden/>
    <w:qFormat/>
    <w:uiPriority w:val="9"/>
    <w:rPr>
      <w:rFonts w:asciiTheme="majorHAnsi" w:hAnsiTheme="majorHAnsi" w:eastAsiaTheme="majorEastAsia" w:cstheme="majorBidi"/>
      <w:b/>
      <w:bCs/>
      <w:sz w:val="32"/>
      <w:szCs w:val="32"/>
    </w:rPr>
  </w:style>
  <w:style w:type="character" w:customStyle="1" w:styleId="55">
    <w:name w:val="标题 3 字符"/>
    <w:basedOn w:val="45"/>
    <w:semiHidden/>
    <w:qFormat/>
    <w:uiPriority w:val="9"/>
    <w:rPr>
      <w:b/>
      <w:bCs/>
      <w:sz w:val="32"/>
      <w:szCs w:val="32"/>
    </w:rPr>
  </w:style>
  <w:style w:type="character" w:customStyle="1" w:styleId="56">
    <w:name w:val="标题 4 字符"/>
    <w:basedOn w:val="45"/>
    <w:semiHidden/>
    <w:qFormat/>
    <w:uiPriority w:val="9"/>
    <w:rPr>
      <w:rFonts w:asciiTheme="majorHAnsi" w:hAnsiTheme="majorHAnsi" w:eastAsiaTheme="majorEastAsia" w:cstheme="majorBidi"/>
      <w:b/>
      <w:bCs/>
      <w:sz w:val="28"/>
      <w:szCs w:val="28"/>
    </w:rPr>
  </w:style>
  <w:style w:type="character" w:customStyle="1" w:styleId="57">
    <w:name w:val="标题 5 字符"/>
    <w:basedOn w:val="45"/>
    <w:semiHidden/>
    <w:qFormat/>
    <w:uiPriority w:val="9"/>
    <w:rPr>
      <w:b/>
      <w:bCs/>
      <w:sz w:val="28"/>
      <w:szCs w:val="28"/>
    </w:rPr>
  </w:style>
  <w:style w:type="character" w:customStyle="1" w:styleId="58">
    <w:name w:val="标题 6 字符"/>
    <w:basedOn w:val="45"/>
    <w:semiHidden/>
    <w:qFormat/>
    <w:uiPriority w:val="9"/>
    <w:rPr>
      <w:rFonts w:asciiTheme="majorHAnsi" w:hAnsiTheme="majorHAnsi" w:eastAsiaTheme="majorEastAsia" w:cstheme="majorBidi"/>
      <w:b/>
      <w:bCs/>
      <w:sz w:val="24"/>
      <w:szCs w:val="24"/>
    </w:rPr>
  </w:style>
  <w:style w:type="character" w:customStyle="1" w:styleId="59">
    <w:name w:val="标题 7 字符"/>
    <w:basedOn w:val="45"/>
    <w:semiHidden/>
    <w:qFormat/>
    <w:uiPriority w:val="9"/>
    <w:rPr>
      <w:b/>
      <w:bCs/>
      <w:sz w:val="24"/>
      <w:szCs w:val="24"/>
    </w:rPr>
  </w:style>
  <w:style w:type="character" w:customStyle="1" w:styleId="60">
    <w:name w:val="标题 8 字符"/>
    <w:basedOn w:val="45"/>
    <w:semiHidden/>
    <w:qFormat/>
    <w:uiPriority w:val="9"/>
    <w:rPr>
      <w:rFonts w:asciiTheme="majorHAnsi" w:hAnsiTheme="majorHAnsi" w:eastAsiaTheme="majorEastAsia" w:cstheme="majorBidi"/>
      <w:sz w:val="24"/>
      <w:szCs w:val="24"/>
    </w:rPr>
  </w:style>
  <w:style w:type="character" w:customStyle="1" w:styleId="61">
    <w:name w:val="标题 9 字符"/>
    <w:basedOn w:val="45"/>
    <w:semiHidden/>
    <w:qFormat/>
    <w:uiPriority w:val="9"/>
    <w:rPr>
      <w:rFonts w:asciiTheme="majorHAnsi" w:hAnsiTheme="majorHAnsi" w:eastAsiaTheme="majorEastAsia" w:cstheme="majorBidi"/>
      <w:szCs w:val="21"/>
    </w:rPr>
  </w:style>
  <w:style w:type="character" w:customStyle="1" w:styleId="62">
    <w:name w:val="标题 1 Char"/>
    <w:link w:val="2"/>
    <w:qFormat/>
    <w:uiPriority w:val="9"/>
    <w:rPr>
      <w:rFonts w:ascii="Times New Roman" w:hAnsi="Times New Roman" w:eastAsia="宋体" w:cs="Times New Roman"/>
      <w:b/>
      <w:bCs/>
      <w:kern w:val="44"/>
      <w:sz w:val="44"/>
      <w:szCs w:val="44"/>
    </w:rPr>
  </w:style>
  <w:style w:type="character" w:customStyle="1" w:styleId="63">
    <w:name w:val="标题 2 Char"/>
    <w:link w:val="3"/>
    <w:qFormat/>
    <w:uiPriority w:val="0"/>
    <w:rPr>
      <w:rFonts w:ascii="Arial" w:hAnsi="Arial" w:eastAsia="黑体" w:cs="Times New Roman"/>
      <w:b/>
      <w:bCs/>
      <w:sz w:val="32"/>
      <w:szCs w:val="32"/>
    </w:rPr>
  </w:style>
  <w:style w:type="character" w:customStyle="1" w:styleId="64">
    <w:name w:val="标题 3 Char"/>
    <w:link w:val="4"/>
    <w:qFormat/>
    <w:uiPriority w:val="0"/>
    <w:rPr>
      <w:rFonts w:ascii="Times New Roman" w:hAnsi="Times New Roman" w:eastAsia="宋体" w:cs="Times New Roman"/>
      <w:b/>
      <w:bCs/>
      <w:sz w:val="32"/>
      <w:szCs w:val="32"/>
    </w:rPr>
  </w:style>
  <w:style w:type="character" w:customStyle="1" w:styleId="65">
    <w:name w:val="标题 4 Char"/>
    <w:link w:val="5"/>
    <w:qFormat/>
    <w:uiPriority w:val="0"/>
    <w:rPr>
      <w:rFonts w:ascii="Arial" w:hAnsi="Arial" w:eastAsia="黑体" w:cs="Times New Roman"/>
      <w:kern w:val="0"/>
      <w:sz w:val="28"/>
      <w:szCs w:val="20"/>
    </w:rPr>
  </w:style>
  <w:style w:type="character" w:customStyle="1" w:styleId="66">
    <w:name w:val="标题 5 Char"/>
    <w:link w:val="6"/>
    <w:qFormat/>
    <w:uiPriority w:val="0"/>
    <w:rPr>
      <w:rFonts w:ascii="Times New Roman" w:hAnsi="Times New Roman" w:eastAsia="宋体" w:cs="Times New Roman"/>
      <w:b/>
      <w:sz w:val="28"/>
      <w:szCs w:val="24"/>
    </w:rPr>
  </w:style>
  <w:style w:type="character" w:customStyle="1" w:styleId="67">
    <w:name w:val="标题 6 Char"/>
    <w:link w:val="8"/>
    <w:qFormat/>
    <w:uiPriority w:val="0"/>
    <w:rPr>
      <w:rFonts w:ascii="Arial" w:hAnsi="Arial" w:eastAsia="黑体" w:cs="Times New Roman"/>
      <w:b/>
      <w:sz w:val="24"/>
      <w:szCs w:val="24"/>
    </w:rPr>
  </w:style>
  <w:style w:type="character" w:customStyle="1" w:styleId="68">
    <w:name w:val="标题 7 Char"/>
    <w:link w:val="9"/>
    <w:qFormat/>
    <w:uiPriority w:val="0"/>
    <w:rPr>
      <w:rFonts w:ascii="Times New Roman" w:hAnsi="Times New Roman" w:eastAsia="宋体" w:cs="Times New Roman"/>
      <w:b/>
      <w:sz w:val="24"/>
      <w:szCs w:val="24"/>
    </w:rPr>
  </w:style>
  <w:style w:type="character" w:customStyle="1" w:styleId="69">
    <w:name w:val="标题 8 Char"/>
    <w:link w:val="10"/>
    <w:qFormat/>
    <w:uiPriority w:val="0"/>
    <w:rPr>
      <w:rFonts w:ascii="Arial" w:hAnsi="Arial" w:eastAsia="黑体" w:cs="Times New Roman"/>
      <w:sz w:val="24"/>
      <w:szCs w:val="24"/>
    </w:rPr>
  </w:style>
  <w:style w:type="character" w:customStyle="1" w:styleId="70">
    <w:name w:val="标题 9 Char"/>
    <w:link w:val="11"/>
    <w:qFormat/>
    <w:uiPriority w:val="0"/>
    <w:rPr>
      <w:rFonts w:ascii="Arial" w:hAnsi="Arial" w:eastAsia="黑体" w:cs="Times New Roman"/>
      <w:szCs w:val="24"/>
    </w:rPr>
  </w:style>
  <w:style w:type="paragraph" w:customStyle="1" w:styleId="71">
    <w:name w:val="3"/>
    <w:basedOn w:val="1"/>
    <w:next w:val="72"/>
    <w:link w:val="104"/>
    <w:qFormat/>
    <w:uiPriority w:val="0"/>
    <w:pPr>
      <w:ind w:firstLine="420" w:firstLineChars="200"/>
    </w:pPr>
    <w:rPr>
      <w:szCs w:val="24"/>
    </w:rPr>
  </w:style>
  <w:style w:type="paragraph" w:styleId="72">
    <w:name w:val="List Paragraph"/>
    <w:basedOn w:val="1"/>
    <w:qFormat/>
    <w:uiPriority w:val="34"/>
    <w:pPr>
      <w:ind w:firstLine="420" w:firstLineChars="200"/>
    </w:pPr>
  </w:style>
  <w:style w:type="character" w:customStyle="1" w:styleId="73">
    <w:name w:val="文档结构图 字符"/>
    <w:basedOn w:val="45"/>
    <w:semiHidden/>
    <w:qFormat/>
    <w:uiPriority w:val="99"/>
    <w:rPr>
      <w:rFonts w:ascii="Microsoft YaHei UI" w:eastAsia="Microsoft YaHei UI"/>
      <w:sz w:val="18"/>
      <w:szCs w:val="18"/>
    </w:rPr>
  </w:style>
  <w:style w:type="character" w:customStyle="1" w:styleId="74">
    <w:name w:val="文档结构图 Char"/>
    <w:link w:val="15"/>
    <w:qFormat/>
    <w:uiPriority w:val="0"/>
    <w:rPr>
      <w:rFonts w:ascii="Times New Roman" w:hAnsi="Times New Roman" w:eastAsia="宋体" w:cs="Times New Roman"/>
      <w:kern w:val="0"/>
      <w:szCs w:val="20"/>
      <w:shd w:val="clear" w:color="auto" w:fill="000080"/>
    </w:rPr>
  </w:style>
  <w:style w:type="character" w:customStyle="1" w:styleId="75">
    <w:name w:val="批注文字 字符"/>
    <w:basedOn w:val="45"/>
    <w:semiHidden/>
    <w:qFormat/>
    <w:uiPriority w:val="99"/>
  </w:style>
  <w:style w:type="character" w:customStyle="1" w:styleId="76">
    <w:name w:val="批注文字 Char"/>
    <w:link w:val="16"/>
    <w:qFormat/>
    <w:uiPriority w:val="99"/>
    <w:rPr>
      <w:rFonts w:ascii="Times New Roman" w:hAnsi="Times New Roman" w:eastAsia="宋体" w:cs="Times New Roman"/>
      <w:szCs w:val="24"/>
    </w:rPr>
  </w:style>
  <w:style w:type="character" w:customStyle="1" w:styleId="77">
    <w:name w:val="正文文本 3 字符"/>
    <w:basedOn w:val="45"/>
    <w:semiHidden/>
    <w:qFormat/>
    <w:uiPriority w:val="99"/>
    <w:rPr>
      <w:sz w:val="16"/>
      <w:szCs w:val="16"/>
    </w:rPr>
  </w:style>
  <w:style w:type="character" w:customStyle="1" w:styleId="78">
    <w:name w:val="正文文本 3 Char"/>
    <w:link w:val="17"/>
    <w:qFormat/>
    <w:uiPriority w:val="0"/>
    <w:rPr>
      <w:rFonts w:ascii="Times New Roman" w:hAnsi="Times New Roman" w:eastAsia="宋体" w:cs="Times New Roman"/>
      <w:b/>
      <w:bCs/>
      <w:sz w:val="24"/>
      <w:szCs w:val="24"/>
    </w:rPr>
  </w:style>
  <w:style w:type="character" w:customStyle="1" w:styleId="79">
    <w:name w:val="正文文本 字符"/>
    <w:basedOn w:val="45"/>
    <w:semiHidden/>
    <w:qFormat/>
    <w:uiPriority w:val="99"/>
  </w:style>
  <w:style w:type="character" w:customStyle="1" w:styleId="80">
    <w:name w:val="正文文本 Char"/>
    <w:link w:val="18"/>
    <w:qFormat/>
    <w:uiPriority w:val="99"/>
    <w:rPr>
      <w:rFonts w:ascii="Times New Roman" w:hAnsi="Times New Roman" w:eastAsia="宋体" w:cs="Times New Roman"/>
      <w:sz w:val="24"/>
      <w:szCs w:val="24"/>
    </w:rPr>
  </w:style>
  <w:style w:type="character" w:customStyle="1" w:styleId="81">
    <w:name w:val="正文文本缩进 字符"/>
    <w:basedOn w:val="45"/>
    <w:semiHidden/>
    <w:qFormat/>
    <w:uiPriority w:val="99"/>
  </w:style>
  <w:style w:type="character" w:customStyle="1" w:styleId="82">
    <w:name w:val="正文文本缩进 Char"/>
    <w:link w:val="20"/>
    <w:qFormat/>
    <w:uiPriority w:val="99"/>
    <w:rPr>
      <w:rFonts w:ascii="仿宋_GB2312" w:hAnsi="Times New Roman" w:eastAsia="仿宋_GB2312" w:cs="Times New Roman"/>
      <w:sz w:val="32"/>
      <w:szCs w:val="20"/>
    </w:rPr>
  </w:style>
  <w:style w:type="character" w:customStyle="1" w:styleId="83">
    <w:name w:val="纯文本 字符"/>
    <w:basedOn w:val="45"/>
    <w:semiHidden/>
    <w:qFormat/>
    <w:uiPriority w:val="99"/>
    <w:rPr>
      <w:rFonts w:hAnsi="Courier New" w:cs="Courier New" w:asciiTheme="minorEastAsia"/>
    </w:rPr>
  </w:style>
  <w:style w:type="character" w:customStyle="1" w:styleId="84">
    <w:name w:val="纯文本 Char"/>
    <w:link w:val="24"/>
    <w:qFormat/>
    <w:uiPriority w:val="0"/>
    <w:rPr>
      <w:rFonts w:ascii="宋体" w:hAnsi="Courier New" w:eastAsia="宋体" w:cs="Courier New"/>
      <w:szCs w:val="21"/>
    </w:rPr>
  </w:style>
  <w:style w:type="character" w:customStyle="1" w:styleId="85">
    <w:name w:val="日期 字符"/>
    <w:basedOn w:val="45"/>
    <w:semiHidden/>
    <w:qFormat/>
    <w:uiPriority w:val="99"/>
  </w:style>
  <w:style w:type="character" w:customStyle="1" w:styleId="86">
    <w:name w:val="日期 Char"/>
    <w:link w:val="25"/>
    <w:qFormat/>
    <w:uiPriority w:val="0"/>
    <w:rPr>
      <w:rFonts w:ascii="宋体" w:hAnsi="Courier New" w:eastAsia="宋体" w:cs="Times New Roman"/>
      <w:szCs w:val="21"/>
    </w:rPr>
  </w:style>
  <w:style w:type="character" w:customStyle="1" w:styleId="87">
    <w:name w:val="正文文本缩进 2 字符"/>
    <w:basedOn w:val="45"/>
    <w:semiHidden/>
    <w:qFormat/>
    <w:uiPriority w:val="99"/>
  </w:style>
  <w:style w:type="character" w:customStyle="1" w:styleId="88">
    <w:name w:val="正文文本缩进 2 Char"/>
    <w:link w:val="26"/>
    <w:qFormat/>
    <w:uiPriority w:val="0"/>
    <w:rPr>
      <w:rFonts w:ascii="Times New Roman" w:hAnsi="Times New Roman" w:eastAsia="宋体" w:cs="Times New Roman"/>
      <w:sz w:val="32"/>
      <w:szCs w:val="20"/>
    </w:rPr>
  </w:style>
  <w:style w:type="character" w:customStyle="1" w:styleId="89">
    <w:name w:val="批注框文本 字符"/>
    <w:basedOn w:val="45"/>
    <w:semiHidden/>
    <w:qFormat/>
    <w:uiPriority w:val="99"/>
    <w:rPr>
      <w:sz w:val="18"/>
      <w:szCs w:val="18"/>
    </w:rPr>
  </w:style>
  <w:style w:type="character" w:customStyle="1" w:styleId="90">
    <w:name w:val="批注框文本 Char"/>
    <w:link w:val="27"/>
    <w:qFormat/>
    <w:uiPriority w:val="0"/>
    <w:rPr>
      <w:rFonts w:ascii="Times New Roman" w:hAnsi="Times New Roman" w:eastAsia="宋体" w:cs="Times New Roman"/>
      <w:sz w:val="18"/>
      <w:szCs w:val="18"/>
    </w:rPr>
  </w:style>
  <w:style w:type="character" w:customStyle="1" w:styleId="91">
    <w:name w:val="页脚 Char"/>
    <w:qFormat/>
    <w:uiPriority w:val="0"/>
    <w:rPr>
      <w:kern w:val="2"/>
      <w:sz w:val="18"/>
      <w:szCs w:val="18"/>
    </w:rPr>
  </w:style>
  <w:style w:type="character" w:customStyle="1" w:styleId="92">
    <w:name w:val="页眉 Char"/>
    <w:qFormat/>
    <w:uiPriority w:val="99"/>
    <w:rPr>
      <w:kern w:val="2"/>
      <w:sz w:val="18"/>
      <w:szCs w:val="18"/>
    </w:rPr>
  </w:style>
  <w:style w:type="character" w:customStyle="1" w:styleId="93">
    <w:name w:val="正文文本缩进 3 字符"/>
    <w:basedOn w:val="45"/>
    <w:semiHidden/>
    <w:qFormat/>
    <w:uiPriority w:val="99"/>
    <w:rPr>
      <w:sz w:val="16"/>
      <w:szCs w:val="16"/>
    </w:rPr>
  </w:style>
  <w:style w:type="character" w:customStyle="1" w:styleId="94">
    <w:name w:val="正文文本缩进 3 Char"/>
    <w:link w:val="33"/>
    <w:qFormat/>
    <w:uiPriority w:val="0"/>
    <w:rPr>
      <w:rFonts w:ascii="Times New Roman" w:hAnsi="Times New Roman" w:eastAsia="宋体" w:cs="Times New Roman"/>
      <w:sz w:val="16"/>
      <w:szCs w:val="16"/>
    </w:rPr>
  </w:style>
  <w:style w:type="character" w:customStyle="1" w:styleId="95">
    <w:name w:val="正文文本 2 字符"/>
    <w:basedOn w:val="45"/>
    <w:semiHidden/>
    <w:qFormat/>
    <w:uiPriority w:val="99"/>
  </w:style>
  <w:style w:type="character" w:customStyle="1" w:styleId="96">
    <w:name w:val="正文文本 2 Char"/>
    <w:link w:val="34"/>
    <w:qFormat/>
    <w:uiPriority w:val="0"/>
    <w:rPr>
      <w:rFonts w:ascii="Times New Roman" w:hAnsi="Times New Roman" w:eastAsia="宋体" w:cs="Times New Roman"/>
      <w:szCs w:val="24"/>
    </w:rPr>
  </w:style>
  <w:style w:type="character" w:customStyle="1" w:styleId="97">
    <w:name w:val="HTML 预设格式 字符"/>
    <w:basedOn w:val="45"/>
    <w:semiHidden/>
    <w:qFormat/>
    <w:uiPriority w:val="99"/>
    <w:rPr>
      <w:rFonts w:ascii="Courier New" w:hAnsi="Courier New" w:cs="Courier New"/>
      <w:sz w:val="20"/>
      <w:szCs w:val="20"/>
    </w:rPr>
  </w:style>
  <w:style w:type="character" w:customStyle="1" w:styleId="98">
    <w:name w:val="HTML 预设格式 Char"/>
    <w:link w:val="37"/>
    <w:qFormat/>
    <w:uiPriority w:val="0"/>
    <w:rPr>
      <w:rFonts w:ascii="黑体" w:hAnsi="Courier New" w:eastAsia="黑体" w:cs="Times New Roman"/>
      <w:kern w:val="0"/>
      <w:sz w:val="20"/>
      <w:szCs w:val="20"/>
    </w:rPr>
  </w:style>
  <w:style w:type="character" w:customStyle="1" w:styleId="99">
    <w:name w:val="标题 字符"/>
    <w:basedOn w:val="45"/>
    <w:qFormat/>
    <w:uiPriority w:val="10"/>
    <w:rPr>
      <w:rFonts w:asciiTheme="majorHAnsi" w:hAnsiTheme="majorHAnsi" w:eastAsiaTheme="majorEastAsia" w:cstheme="majorBidi"/>
      <w:b/>
      <w:bCs/>
      <w:sz w:val="32"/>
      <w:szCs w:val="32"/>
    </w:rPr>
  </w:style>
  <w:style w:type="character" w:customStyle="1" w:styleId="100">
    <w:name w:val="标题 Char"/>
    <w:link w:val="19"/>
    <w:qFormat/>
    <w:uiPriority w:val="0"/>
    <w:rPr>
      <w:rFonts w:ascii="Times New Roman" w:hAnsi="Times New Roman" w:eastAsia="宋体" w:cs="Times New Roman"/>
      <w:sz w:val="30"/>
      <w:szCs w:val="24"/>
    </w:rPr>
  </w:style>
  <w:style w:type="character" w:customStyle="1" w:styleId="101">
    <w:name w:val="批注主题 字符"/>
    <w:basedOn w:val="75"/>
    <w:semiHidden/>
    <w:qFormat/>
    <w:uiPriority w:val="99"/>
    <w:rPr>
      <w:b/>
      <w:bCs/>
    </w:rPr>
  </w:style>
  <w:style w:type="character" w:customStyle="1" w:styleId="102">
    <w:name w:val="批注主题 Char"/>
    <w:link w:val="40"/>
    <w:qFormat/>
    <w:uiPriority w:val="0"/>
    <w:rPr>
      <w:rFonts w:ascii="Times New Roman" w:hAnsi="Times New Roman" w:eastAsia="宋体" w:cs="Times New Roman"/>
      <w:b/>
      <w:bCs/>
      <w:szCs w:val="24"/>
    </w:rPr>
  </w:style>
  <w:style w:type="character" w:customStyle="1" w:styleId="103">
    <w:name w:val="正文首行缩进 Char"/>
    <w:qFormat/>
    <w:uiPriority w:val="0"/>
    <w:rPr>
      <w:kern w:val="2"/>
      <w:sz w:val="21"/>
      <w:szCs w:val="24"/>
    </w:rPr>
  </w:style>
  <w:style w:type="character" w:customStyle="1" w:styleId="104">
    <w:name w:val="正文首行缩进 2 Char"/>
    <w:link w:val="71"/>
    <w:qFormat/>
    <w:uiPriority w:val="0"/>
    <w:rPr>
      <w:szCs w:val="24"/>
    </w:rPr>
  </w:style>
  <w:style w:type="character" w:customStyle="1" w:styleId="105">
    <w:name w:val="small"/>
    <w:qFormat/>
    <w:uiPriority w:val="0"/>
  </w:style>
  <w:style w:type="character" w:customStyle="1" w:styleId="106">
    <w:name w:val="white"/>
    <w:qFormat/>
    <w:uiPriority w:val="0"/>
  </w:style>
  <w:style w:type="character" w:customStyle="1" w:styleId="107">
    <w:name w:val="z-窗体顶端 字符1"/>
    <w:link w:val="108"/>
    <w:qFormat/>
    <w:uiPriority w:val="0"/>
    <w:rPr>
      <w:rFonts w:ascii="Arial"/>
      <w:vanish/>
      <w:sz w:val="16"/>
      <w:szCs w:val="24"/>
    </w:rPr>
  </w:style>
  <w:style w:type="paragraph" w:customStyle="1" w:styleId="108">
    <w:name w:val="z-窗体顶端1"/>
    <w:basedOn w:val="1"/>
    <w:next w:val="1"/>
    <w:link w:val="107"/>
    <w:qFormat/>
    <w:uiPriority w:val="0"/>
    <w:pPr>
      <w:pBdr>
        <w:bottom w:val="single" w:color="auto" w:sz="6" w:space="1"/>
      </w:pBdr>
      <w:jc w:val="center"/>
    </w:pPr>
    <w:rPr>
      <w:rFonts w:ascii="Arial"/>
      <w:vanish/>
      <w:sz w:val="16"/>
      <w:szCs w:val="24"/>
    </w:rPr>
  </w:style>
  <w:style w:type="character" w:customStyle="1" w:styleId="109">
    <w:name w:val="z-窗体顶端 字符"/>
    <w:basedOn w:val="45"/>
    <w:semiHidden/>
    <w:qFormat/>
    <w:uiPriority w:val="99"/>
    <w:rPr>
      <w:rFonts w:ascii="Arial" w:hAnsi="Arial" w:cs="Arial"/>
      <w:vanish/>
      <w:sz w:val="16"/>
      <w:szCs w:val="16"/>
    </w:rPr>
  </w:style>
  <w:style w:type="character" w:customStyle="1" w:styleId="110">
    <w:name w:val="f151"/>
    <w:qFormat/>
    <w:uiPriority w:val="0"/>
    <w:rPr>
      <w:sz w:val="23"/>
      <w:szCs w:val="23"/>
    </w:rPr>
  </w:style>
  <w:style w:type="character" w:customStyle="1" w:styleId="111">
    <w:name w:val="apple-converted-space"/>
    <w:qFormat/>
    <w:uiPriority w:val="0"/>
  </w:style>
  <w:style w:type="character" w:customStyle="1" w:styleId="112">
    <w:name w:val="gray12"/>
    <w:qFormat/>
    <w:uiPriority w:val="0"/>
  </w:style>
  <w:style w:type="character" w:customStyle="1" w:styleId="113">
    <w:name w:val="style21"/>
    <w:qFormat/>
    <w:uiPriority w:val="0"/>
    <w:rPr>
      <w:sz w:val="17"/>
      <w:szCs w:val="17"/>
    </w:rPr>
  </w:style>
  <w:style w:type="character" w:customStyle="1" w:styleId="114">
    <w:name w:val="mark8"/>
    <w:qFormat/>
    <w:uiPriority w:val="0"/>
    <w:rPr>
      <w:b/>
      <w:bCs/>
      <w:sz w:val="21"/>
      <w:szCs w:val="21"/>
    </w:rPr>
  </w:style>
  <w:style w:type="character" w:customStyle="1" w:styleId="115">
    <w:name w:val="content2"/>
    <w:qFormat/>
    <w:uiPriority w:val="0"/>
  </w:style>
  <w:style w:type="character" w:customStyle="1" w:styleId="116">
    <w:name w:val="1ji Char"/>
    <w:link w:val="117"/>
    <w:qFormat/>
    <w:uiPriority w:val="0"/>
    <w:rPr>
      <w:rFonts w:ascii="宋体" w:hAnsi="宋体" w:eastAsia="宋体"/>
      <w:b/>
      <w:bCs/>
      <w:kern w:val="44"/>
      <w:sz w:val="36"/>
      <w:szCs w:val="44"/>
    </w:rPr>
  </w:style>
  <w:style w:type="paragraph" w:customStyle="1" w:styleId="117">
    <w:name w:val="1ji"/>
    <w:basedOn w:val="2"/>
    <w:link w:val="116"/>
    <w:qFormat/>
    <w:uiPriority w:val="0"/>
    <w:pPr>
      <w:keepLines w:val="0"/>
      <w:widowControl/>
      <w:spacing w:before="0" w:after="0" w:line="240" w:lineRule="auto"/>
      <w:jc w:val="center"/>
    </w:pPr>
    <w:rPr>
      <w:rFonts w:ascii="宋体" w:hAnsi="宋体" w:cstheme="minorBidi"/>
      <w:sz w:val="36"/>
    </w:rPr>
  </w:style>
  <w:style w:type="character" w:customStyle="1" w:styleId="118">
    <w:name w:val="case31"/>
    <w:qFormat/>
    <w:uiPriority w:val="0"/>
    <w:rPr>
      <w:rFonts w:hint="default"/>
      <w:sz w:val="21"/>
      <w:szCs w:val="21"/>
    </w:rPr>
  </w:style>
  <w:style w:type="character" w:customStyle="1" w:styleId="119">
    <w:name w:val="批注文字 Char2"/>
    <w:qFormat/>
    <w:uiPriority w:val="0"/>
    <w:rPr>
      <w:kern w:val="2"/>
      <w:sz w:val="21"/>
      <w:szCs w:val="24"/>
      <w:lang w:bidi="ar-SA"/>
    </w:rPr>
  </w:style>
  <w:style w:type="character" w:customStyle="1" w:styleId="120">
    <w:name w:val="标题3 Char"/>
    <w:link w:val="121"/>
    <w:qFormat/>
    <w:uiPriority w:val="0"/>
    <w:rPr>
      <w:rFonts w:ascii="宋体" w:hAnsi="宋体"/>
      <w:b/>
      <w:bCs/>
      <w:kern w:val="44"/>
      <w:sz w:val="24"/>
      <w:szCs w:val="24"/>
    </w:rPr>
  </w:style>
  <w:style w:type="paragraph" w:customStyle="1" w:styleId="121">
    <w:name w:val="标题3"/>
    <w:basedOn w:val="2"/>
    <w:link w:val="120"/>
    <w:qFormat/>
    <w:uiPriority w:val="0"/>
    <w:pPr>
      <w:spacing w:before="0" w:beforeLines="50" w:after="0" w:afterLines="50" w:line="400" w:lineRule="exact"/>
    </w:pPr>
    <w:rPr>
      <w:rFonts w:ascii="宋体" w:hAnsi="宋体" w:eastAsiaTheme="minorEastAsia" w:cstheme="minorBidi"/>
      <w:sz w:val="24"/>
      <w:szCs w:val="24"/>
    </w:rPr>
  </w:style>
  <w:style w:type="character" w:customStyle="1" w:styleId="122">
    <w:name w:val="graytext1"/>
    <w:qFormat/>
    <w:uiPriority w:val="0"/>
    <w:rPr>
      <w:color w:val="666666"/>
    </w:rPr>
  </w:style>
  <w:style w:type="character" w:customStyle="1" w:styleId="123">
    <w:name w:val="font01"/>
    <w:qFormat/>
    <w:uiPriority w:val="0"/>
    <w:rPr>
      <w:rFonts w:hint="eastAsia" w:ascii="宋体" w:hAnsi="宋体" w:eastAsia="宋体"/>
      <w:color w:val="000000"/>
      <w:sz w:val="22"/>
      <w:szCs w:val="22"/>
      <w:u w:val="none"/>
    </w:rPr>
  </w:style>
  <w:style w:type="character" w:customStyle="1" w:styleId="124">
    <w:name w:val="short_text1"/>
    <w:qFormat/>
    <w:uiPriority w:val="0"/>
    <w:rPr>
      <w:sz w:val="26"/>
    </w:rPr>
  </w:style>
  <w:style w:type="character" w:customStyle="1" w:styleId="125">
    <w:name w:val="unnamed3"/>
    <w:qFormat/>
    <w:uiPriority w:val="0"/>
  </w:style>
  <w:style w:type="character" w:customStyle="1" w:styleId="126">
    <w:name w:val="062"/>
    <w:qFormat/>
    <w:uiPriority w:val="0"/>
    <w:rPr>
      <w:rFonts w:ascii="宋体" w:hAnsi="宋体"/>
      <w:b/>
      <w:bCs/>
      <w:sz w:val="32"/>
    </w:rPr>
  </w:style>
  <w:style w:type="character" w:customStyle="1" w:styleId="127">
    <w:name w:val="style11"/>
    <w:qFormat/>
    <w:uiPriority w:val="0"/>
    <w:rPr>
      <w:rFonts w:hint="default" w:ascii="Arial" w:hAnsi="Arial" w:cs="Arial"/>
    </w:rPr>
  </w:style>
  <w:style w:type="character" w:customStyle="1" w:styleId="128">
    <w:name w:val="纯文本 Char1"/>
    <w:qFormat/>
    <w:uiPriority w:val="0"/>
    <w:rPr>
      <w:rFonts w:ascii="宋体" w:hAnsi="Courier New" w:eastAsia="宋体" w:cs="Courier New"/>
      <w:kern w:val="2"/>
      <w:sz w:val="21"/>
      <w:szCs w:val="21"/>
      <w:lang w:val="en-US" w:eastAsia="zh-CN" w:bidi="ar-SA"/>
    </w:rPr>
  </w:style>
  <w:style w:type="character" w:customStyle="1" w:styleId="129">
    <w:name w:val="text11"/>
    <w:qFormat/>
    <w:uiPriority w:val="0"/>
    <w:rPr>
      <w:rFonts w:hint="default" w:ascii="Verdana" w:hAnsi="Verdana"/>
      <w:color w:val="4E4E4E"/>
      <w:sz w:val="18"/>
      <w:szCs w:val="18"/>
    </w:rPr>
  </w:style>
  <w:style w:type="character" w:customStyle="1" w:styleId="130">
    <w:name w:val="1051"/>
    <w:qFormat/>
    <w:uiPriority w:val="0"/>
    <w:rPr>
      <w:sz w:val="21"/>
      <w:szCs w:val="21"/>
    </w:rPr>
  </w:style>
  <w:style w:type="character" w:customStyle="1" w:styleId="131">
    <w:name w:val="批注文字 字符1"/>
    <w:qFormat/>
    <w:uiPriority w:val="0"/>
    <w:rPr>
      <w:kern w:val="2"/>
      <w:sz w:val="21"/>
      <w:szCs w:val="24"/>
    </w:rPr>
  </w:style>
  <w:style w:type="character" w:customStyle="1" w:styleId="132">
    <w:name w:val="未处理的提及1"/>
    <w:unhideWhenUsed/>
    <w:qFormat/>
    <w:uiPriority w:val="99"/>
    <w:rPr>
      <w:color w:val="605E5C"/>
      <w:shd w:val="clear" w:color="auto" w:fill="E1DFDD"/>
    </w:rPr>
  </w:style>
  <w:style w:type="character" w:customStyle="1" w:styleId="133">
    <w:name w:val="纯文本 字符1"/>
    <w:qFormat/>
    <w:uiPriority w:val="99"/>
    <w:rPr>
      <w:rFonts w:ascii="宋体" w:hAnsi="Courier New" w:eastAsia="宋体" w:cs="Courier New"/>
      <w:kern w:val="2"/>
      <w:sz w:val="21"/>
      <w:szCs w:val="21"/>
      <w:lang w:val="en-US" w:eastAsia="zh-CN" w:bidi="ar-SA"/>
    </w:rPr>
  </w:style>
  <w:style w:type="character" w:customStyle="1" w:styleId="134">
    <w:name w:val="正文文本 字符1"/>
    <w:qFormat/>
    <w:uiPriority w:val="99"/>
    <w:rPr>
      <w:kern w:val="2"/>
      <w:sz w:val="24"/>
      <w:szCs w:val="24"/>
    </w:rPr>
  </w:style>
  <w:style w:type="character" w:customStyle="1" w:styleId="135">
    <w:name w:val="正文-2字符首行缩进 Char"/>
    <w:link w:val="136"/>
    <w:qFormat/>
    <w:uiPriority w:val="0"/>
    <w:rPr>
      <w:rFonts w:ascii="仿宋_GB2312" w:hAnsi="Calibri" w:eastAsia="仿宋_GB2312"/>
      <w:sz w:val="28"/>
    </w:rPr>
  </w:style>
  <w:style w:type="paragraph" w:customStyle="1" w:styleId="136">
    <w:name w:val="正文-2字符首行缩进"/>
    <w:basedOn w:val="1"/>
    <w:link w:val="135"/>
    <w:qFormat/>
    <w:uiPriority w:val="0"/>
    <w:pPr>
      <w:widowControl/>
      <w:spacing w:line="360" w:lineRule="auto"/>
      <w:ind w:firstLine="200" w:firstLineChars="200"/>
    </w:pPr>
    <w:rPr>
      <w:rFonts w:ascii="仿宋_GB2312" w:hAnsi="Calibri" w:eastAsia="仿宋_GB2312"/>
      <w:sz w:val="28"/>
    </w:rPr>
  </w:style>
  <w:style w:type="character" w:customStyle="1" w:styleId="137">
    <w:name w:val="批注文字 字符2"/>
    <w:qFormat/>
    <w:uiPriority w:val="0"/>
    <w:rPr>
      <w:rFonts w:ascii="Times New Roman" w:hAnsi="Times New Roman"/>
      <w:kern w:val="2"/>
      <w:sz w:val="21"/>
      <w:szCs w:val="24"/>
    </w:rPr>
  </w:style>
  <w:style w:type="paragraph" w:customStyle="1" w:styleId="138">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39">
    <w:name w:val="Char Char Char Char Char Char Char Char Char Char Char Char Char"/>
    <w:basedOn w:val="15"/>
    <w:qFormat/>
    <w:uiPriority w:val="0"/>
    <w:pPr>
      <w:adjustRightInd/>
      <w:spacing w:line="240" w:lineRule="auto"/>
      <w:textAlignment w:val="auto"/>
    </w:pPr>
    <w:rPr>
      <w:rFonts w:ascii="Tahoma" w:hAnsi="Tahoma"/>
      <w:kern w:val="2"/>
      <w:sz w:val="24"/>
      <w:szCs w:val="24"/>
    </w:rPr>
  </w:style>
  <w:style w:type="paragraph" w:customStyle="1" w:styleId="140">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41">
    <w:name w:val="Char Char Char"/>
    <w:basedOn w:val="15"/>
    <w:qFormat/>
    <w:uiPriority w:val="0"/>
    <w:pPr>
      <w:adjustRightInd/>
      <w:spacing w:line="240" w:lineRule="auto"/>
      <w:textAlignment w:val="auto"/>
    </w:pPr>
    <w:rPr>
      <w:rFonts w:ascii="Tahoma" w:hAnsi="Tahoma"/>
      <w:kern w:val="2"/>
      <w:sz w:val="24"/>
      <w:szCs w:val="24"/>
    </w:rPr>
  </w:style>
  <w:style w:type="paragraph" w:customStyle="1" w:styleId="142">
    <w:name w:val="List Paragraph1"/>
    <w:basedOn w:val="1"/>
    <w:qFormat/>
    <w:uiPriority w:val="0"/>
    <w:pPr>
      <w:ind w:firstLine="420" w:firstLineChars="200"/>
    </w:pPr>
    <w:rPr>
      <w:rFonts w:ascii="Calibri" w:hAnsi="Calibri" w:eastAsia="宋体" w:cs="Times New Roman"/>
    </w:rPr>
  </w:style>
  <w:style w:type="paragraph" w:customStyle="1" w:styleId="143">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44">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hAnsi="Times New Roman" w:eastAsia="宋体" w:cs="Times New Roman"/>
      <w:sz w:val="24"/>
      <w:szCs w:val="24"/>
    </w:rPr>
  </w:style>
  <w:style w:type="paragraph" w:customStyle="1" w:styleId="145">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4"/>
      <w:szCs w:val="24"/>
    </w:rPr>
  </w:style>
  <w:style w:type="paragraph" w:customStyle="1" w:styleId="146">
    <w:name w:val="1"/>
    <w:basedOn w:val="1"/>
    <w:next w:val="24"/>
    <w:qFormat/>
    <w:uiPriority w:val="0"/>
    <w:rPr>
      <w:rFonts w:ascii="宋体" w:hAnsi="Courier New" w:eastAsia="宋体" w:cs="Times New Roman"/>
      <w:szCs w:val="20"/>
    </w:rPr>
  </w:style>
  <w:style w:type="paragraph" w:customStyle="1" w:styleId="147">
    <w:name w:val="默认段落字体 Para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148">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49">
    <w:name w:val="Char2"/>
    <w:basedOn w:val="1"/>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15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2">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53">
    <w:name w:val="Char Char Char Char Char Char Char Char Char Char Char Char Char1"/>
    <w:basedOn w:val="15"/>
    <w:qFormat/>
    <w:uiPriority w:val="0"/>
    <w:pPr>
      <w:adjustRightInd/>
      <w:spacing w:line="240" w:lineRule="auto"/>
      <w:textAlignment w:val="auto"/>
    </w:pPr>
    <w:rPr>
      <w:rFonts w:ascii="Tahoma" w:hAnsi="Tahoma"/>
      <w:kern w:val="2"/>
      <w:sz w:val="24"/>
      <w:szCs w:val="24"/>
    </w:rPr>
  </w:style>
  <w:style w:type="paragraph" w:customStyle="1" w:styleId="154">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55">
    <w:name w:val="普通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Char1"/>
    <w:basedOn w:val="1"/>
    <w:qFormat/>
    <w:uiPriority w:val="0"/>
    <w:rPr>
      <w:rFonts w:ascii="Times New Roman" w:hAnsi="Times New Roman" w:eastAsia="宋体" w:cs="Times New Roman"/>
      <w:szCs w:val="21"/>
    </w:rPr>
  </w:style>
  <w:style w:type="paragraph" w:customStyle="1" w:styleId="157">
    <w:name w:val="Char Char Char1"/>
    <w:basedOn w:val="15"/>
    <w:qFormat/>
    <w:uiPriority w:val="0"/>
    <w:pPr>
      <w:adjustRightInd/>
      <w:spacing w:line="240" w:lineRule="auto"/>
      <w:textAlignment w:val="auto"/>
    </w:pPr>
    <w:rPr>
      <w:rFonts w:ascii="Tahoma" w:hAnsi="Tahoma"/>
      <w:kern w:val="2"/>
      <w:sz w:val="24"/>
      <w:szCs w:val="24"/>
    </w:rPr>
  </w:style>
  <w:style w:type="paragraph" w:customStyle="1" w:styleId="15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ascii="Times New Roman" w:hAnsi="Times New Roman" w:eastAsia="宋体" w:cs="Times New Roman"/>
      <w:kern w:val="0"/>
      <w:szCs w:val="21"/>
    </w:rPr>
  </w:style>
  <w:style w:type="paragraph" w:customStyle="1" w:styleId="159">
    <w:name w:val="次小点说明 Char"/>
    <w:basedOn w:val="7"/>
    <w:qFormat/>
    <w:uiPriority w:val="0"/>
    <w:pPr>
      <w:ind w:firstLine="0"/>
    </w:pPr>
    <w:rPr>
      <w:sz w:val="24"/>
      <w:szCs w:val="24"/>
    </w:rPr>
  </w:style>
  <w:style w:type="paragraph" w:customStyle="1" w:styleId="160">
    <w:name w:val="xl21"/>
    <w:basedOn w:val="1"/>
    <w:qFormat/>
    <w:uiPriority w:val="0"/>
    <w:pPr>
      <w:widowControl/>
      <w:spacing w:before="100" w:beforeAutospacing="1" w:after="100" w:afterAutospacing="1"/>
      <w:jc w:val="center"/>
    </w:pPr>
    <w:rPr>
      <w:rFonts w:ascii="宋体" w:hAnsi="宋体" w:eastAsia="宋体" w:cs="Times New Roman"/>
      <w:b/>
      <w:bCs/>
      <w:kern w:val="0"/>
      <w:sz w:val="28"/>
      <w:szCs w:val="28"/>
    </w:rPr>
  </w:style>
  <w:style w:type="paragraph" w:customStyle="1" w:styleId="161">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2">
    <w:name w:val="正文段"/>
    <w:basedOn w:val="1"/>
    <w:qFormat/>
    <w:uiPriority w:val="0"/>
    <w:pPr>
      <w:widowControl/>
      <w:snapToGrid w:val="0"/>
      <w:spacing w:after="156" w:afterLines="50"/>
      <w:ind w:firstLine="200" w:firstLineChars="200"/>
    </w:pPr>
    <w:rPr>
      <w:rFonts w:ascii="Times New Roman" w:hAnsi="Times New Roman" w:eastAsia="宋体" w:cs="Times New Roman"/>
      <w:kern w:val="0"/>
      <w:sz w:val="24"/>
      <w:szCs w:val="20"/>
    </w:rPr>
  </w:style>
  <w:style w:type="paragraph" w:customStyle="1" w:styleId="163">
    <w:name w:val="图"/>
    <w:basedOn w:val="1"/>
    <w:qFormat/>
    <w:uiPriority w:val="0"/>
    <w:pPr>
      <w:keepNext/>
      <w:adjustRightInd w:val="0"/>
      <w:snapToGrid w:val="0"/>
      <w:spacing w:before="60" w:after="60" w:line="300" w:lineRule="auto"/>
      <w:jc w:val="center"/>
    </w:pPr>
    <w:rPr>
      <w:rFonts w:ascii="Times New Roman" w:hAnsi="Times New Roman" w:eastAsia="宋体" w:cs="Times New Roman"/>
      <w:spacing w:val="20"/>
      <w:kern w:val="0"/>
      <w:sz w:val="24"/>
      <w:szCs w:val="20"/>
    </w:rPr>
  </w:style>
  <w:style w:type="paragraph" w:customStyle="1" w:styleId="164">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hAnsi="Times New Roman" w:eastAsia="宋体" w:cs="Times New Roman"/>
      <w:sz w:val="24"/>
      <w:szCs w:val="24"/>
    </w:rPr>
  </w:style>
  <w:style w:type="paragraph" w:customStyle="1" w:styleId="165">
    <w:name w:val="Default Paragraph Font Para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66">
    <w:name w:val="Char Char Char Char Char Char Char"/>
    <w:basedOn w:val="1"/>
    <w:qFormat/>
    <w:uiPriority w:val="0"/>
    <w:rPr>
      <w:rFonts w:ascii="Times New Roman" w:hAnsi="Times New Roman" w:eastAsia="宋体" w:cs="Times New Roman"/>
      <w:szCs w:val="24"/>
    </w:rPr>
  </w:style>
  <w:style w:type="paragraph" w:customStyle="1" w:styleId="167">
    <w:name w:val="缺省文本"/>
    <w:basedOn w:val="1"/>
    <w:qFormat/>
    <w:uiPriority w:val="0"/>
    <w:pPr>
      <w:autoSpaceDE w:val="0"/>
      <w:autoSpaceDN w:val="0"/>
      <w:adjustRightInd w:val="0"/>
      <w:spacing w:line="360" w:lineRule="auto"/>
      <w:jc w:val="left"/>
    </w:pPr>
    <w:rPr>
      <w:rFonts w:ascii="Times New Roman" w:hAnsi="Times New Roman" w:eastAsia="宋体" w:cs="Times New Roman"/>
      <w:kern w:val="0"/>
      <w:sz w:val="24"/>
      <w:szCs w:val="20"/>
    </w:rPr>
  </w:style>
  <w:style w:type="paragraph" w:customStyle="1" w:styleId="16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69">
    <w:name w:val="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70">
    <w:name w:val="样式1"/>
    <w:basedOn w:val="1"/>
    <w:qFormat/>
    <w:uiPriority w:val="0"/>
    <w:pPr>
      <w:spacing w:before="120" w:after="120" w:line="300" w:lineRule="auto"/>
    </w:pPr>
    <w:rPr>
      <w:rFonts w:ascii="宋体" w:hAnsi="宋体" w:eastAsia="宋体" w:cs="Times New Roman"/>
      <w:b/>
      <w:sz w:val="24"/>
      <w:szCs w:val="20"/>
    </w:rPr>
  </w:style>
  <w:style w:type="paragraph" w:customStyle="1" w:styleId="171">
    <w:name w:val="Char21"/>
    <w:basedOn w:val="1"/>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172">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73">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75">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176">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paragraph" w:customStyle="1" w:styleId="177">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178">
    <w:name w:val="444"/>
    <w:basedOn w:val="1"/>
    <w:qFormat/>
    <w:uiPriority w:val="0"/>
    <w:pPr>
      <w:adjustRightInd w:val="0"/>
      <w:spacing w:line="312" w:lineRule="atLeast"/>
      <w:jc w:val="center"/>
      <w:textAlignment w:val="baseline"/>
    </w:pPr>
    <w:rPr>
      <w:rFonts w:ascii="Times New Roman" w:hAnsi="Times New Roman" w:eastAsia="宋体" w:cs="Times New Roman"/>
      <w:b/>
      <w:kern w:val="0"/>
      <w:sz w:val="36"/>
      <w:szCs w:val="36"/>
    </w:rPr>
  </w:style>
  <w:style w:type="paragraph" w:customStyle="1" w:styleId="17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80">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181">
    <w:name w:val="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2">
    <w:name w:val="表内文字"/>
    <w:basedOn w:val="1"/>
    <w:qFormat/>
    <w:uiPriority w:val="0"/>
    <w:pPr>
      <w:snapToGrid w:val="0"/>
      <w:spacing w:before="50" w:after="50"/>
      <w:jc w:val="center"/>
    </w:pPr>
    <w:rPr>
      <w:rFonts w:ascii="仿宋_GB2312" w:hAnsi="宋体" w:eastAsia="仿宋_GB2312" w:cs="Times New Roman"/>
      <w:b/>
      <w:color w:val="000000"/>
      <w:sz w:val="32"/>
      <w:szCs w:val="32"/>
    </w:rPr>
  </w:style>
  <w:style w:type="paragraph" w:customStyle="1" w:styleId="183">
    <w:name w:val="Char4"/>
    <w:basedOn w:val="1"/>
    <w:qFormat/>
    <w:uiPriority w:val="0"/>
    <w:pPr>
      <w:tabs>
        <w:tab w:val="left" w:pos="360"/>
      </w:tabs>
      <w:ind w:left="252" w:hanging="252" w:hangingChars="140"/>
    </w:pPr>
    <w:rPr>
      <w:rFonts w:ascii="宋体" w:hAnsi="Times New Roman" w:eastAsia="宋体" w:cs="Times New Roman"/>
      <w:sz w:val="18"/>
      <w:szCs w:val="18"/>
    </w:rPr>
  </w:style>
  <w:style w:type="paragraph" w:customStyle="1" w:styleId="184">
    <w:name w:val="Char Char Char2"/>
    <w:basedOn w:val="1"/>
    <w:qFormat/>
    <w:uiPriority w:val="0"/>
    <w:rPr>
      <w:rFonts w:ascii="Tahoma" w:hAnsi="Tahoma" w:eastAsia="宋体" w:cs="Times New Roman"/>
      <w:sz w:val="24"/>
      <w:szCs w:val="20"/>
    </w:rPr>
  </w:style>
  <w:style w:type="paragraph" w:customStyle="1" w:styleId="185">
    <w:name w:val="表格"/>
    <w:basedOn w:val="1"/>
    <w:qFormat/>
    <w:uiPriority w:val="0"/>
    <w:pPr>
      <w:spacing w:line="400" w:lineRule="exact"/>
    </w:pPr>
    <w:rPr>
      <w:rFonts w:ascii="Times New Roman" w:hAnsi="Times New Roman" w:eastAsia="宋体" w:cs="Times New Roman"/>
      <w:sz w:val="24"/>
      <w:szCs w:val="24"/>
    </w:rPr>
  </w:style>
  <w:style w:type="paragraph" w:customStyle="1" w:styleId="186">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187">
    <w:name w:val="tgt1"/>
    <w:basedOn w:val="1"/>
    <w:qFormat/>
    <w:uiPriority w:val="0"/>
    <w:pPr>
      <w:widowControl/>
      <w:spacing w:after="150"/>
      <w:jc w:val="left"/>
    </w:pPr>
    <w:rPr>
      <w:rFonts w:ascii="宋体" w:hAnsi="宋体" w:eastAsia="宋体" w:cs="宋体"/>
      <w:kern w:val="0"/>
      <w:sz w:val="24"/>
      <w:szCs w:val="24"/>
    </w:rPr>
  </w:style>
  <w:style w:type="paragraph" w:customStyle="1" w:styleId="188">
    <w:name w:val="Char Char Char Char Char Char Char1"/>
    <w:basedOn w:val="1"/>
    <w:qFormat/>
    <w:uiPriority w:val="0"/>
    <w:rPr>
      <w:rFonts w:ascii="Times New Roman" w:hAnsi="Times New Roman" w:eastAsia="宋体" w:cs="Times New Roman"/>
      <w:szCs w:val="24"/>
    </w:rPr>
  </w:style>
  <w:style w:type="paragraph" w:customStyle="1" w:styleId="189">
    <w:name w:val="五号正文（标准）"/>
    <w:basedOn w:val="1"/>
    <w:qFormat/>
    <w:uiPriority w:val="0"/>
    <w:pPr>
      <w:spacing w:line="360" w:lineRule="auto"/>
      <w:ind w:right="55" w:firstLine="560" w:firstLineChars="200"/>
    </w:pPr>
    <w:rPr>
      <w:rFonts w:ascii="Times New Roman" w:hAnsi="Times New Roman" w:eastAsia="仿宋_GB2312" w:cs="Times New Roman"/>
      <w:sz w:val="28"/>
      <w:szCs w:val="20"/>
    </w:rPr>
  </w:style>
  <w:style w:type="paragraph" w:customStyle="1" w:styleId="190">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91">
    <w:name w:val="列出段落1"/>
    <w:basedOn w:val="1"/>
    <w:qFormat/>
    <w:uiPriority w:val="99"/>
    <w:pPr>
      <w:adjustRightInd w:val="0"/>
      <w:spacing w:line="360" w:lineRule="atLeast"/>
      <w:ind w:firstLine="420" w:firstLineChars="200"/>
      <w:jc w:val="left"/>
      <w:textAlignment w:val="baseline"/>
    </w:pPr>
    <w:rPr>
      <w:rFonts w:ascii="Calibri" w:hAnsi="Calibri" w:eastAsia="宋体" w:cs="Times New Roman"/>
      <w:kern w:val="0"/>
      <w:sz w:val="24"/>
    </w:rPr>
  </w:style>
  <w:style w:type="paragraph" w:customStyle="1" w:styleId="192">
    <w:name w:val="F2"/>
    <w:basedOn w:val="1"/>
    <w:qFormat/>
    <w:uiPriority w:val="0"/>
    <w:pPr>
      <w:autoSpaceDE w:val="0"/>
      <w:autoSpaceDN w:val="0"/>
      <w:adjustRightInd w:val="0"/>
      <w:ind w:firstLine="601"/>
      <w:textAlignment w:val="baseline"/>
    </w:pPr>
    <w:rPr>
      <w:rFonts w:ascii="Times New Roman" w:hAnsi="Times New Roman" w:eastAsia="宋体" w:cs="Times New Roman"/>
      <w:kern w:val="0"/>
      <w:sz w:val="24"/>
      <w:szCs w:val="20"/>
    </w:rPr>
  </w:style>
  <w:style w:type="table" w:customStyle="1" w:styleId="193">
    <w:name w:val="Table Normal"/>
    <w:semiHidden/>
    <w:qFormat/>
    <w:uiPriority w:val="2"/>
    <w:pPr>
      <w:widowControl w:val="0"/>
    </w:pPr>
    <w:rPr>
      <w:rFonts w:ascii="Calibri" w:hAnsi="Calibri" w:eastAsia="Times New Roman"/>
      <w:sz w:val="22"/>
      <w:lang w:eastAsia="en-US"/>
    </w:rPr>
    <w:tblPr>
      <w:tblCellMar>
        <w:top w:w="0" w:type="dxa"/>
        <w:left w:w="0" w:type="dxa"/>
        <w:bottom w:w="0" w:type="dxa"/>
        <w:right w:w="0" w:type="dxa"/>
      </w:tblCellMar>
    </w:tblPr>
  </w:style>
  <w:style w:type="paragraph" w:customStyle="1" w:styleId="194">
    <w:name w:val="Table Text"/>
    <w:basedOn w:val="1"/>
    <w:semiHidden/>
    <w:qFormat/>
    <w:uiPriority w:val="0"/>
    <w:rPr>
      <w:rFonts w:ascii="仿宋" w:hAnsi="仿宋" w:eastAsia="仿宋" w:cs="仿宋"/>
      <w:sz w:val="22"/>
      <w:szCs w:val="24"/>
      <w:lang w:eastAsia="en-US"/>
    </w:rPr>
  </w:style>
  <w:style w:type="paragraph" w:customStyle="1" w:styleId="195">
    <w:name w:val="CM29"/>
    <w:basedOn w:val="150"/>
    <w:next w:val="150"/>
    <w:qFormat/>
    <w:uiPriority w:val="99"/>
    <w:pPr>
      <w:spacing w:line="408" w:lineRule="atLeast"/>
    </w:pPr>
    <w:rPr>
      <w:rFonts w:hAnsi="Calibri" w:cs="Times New Roman"/>
      <w:color w:val="auto"/>
    </w:rPr>
  </w:style>
  <w:style w:type="character" w:customStyle="1" w:styleId="196">
    <w:name w:val="正文首行缩进 Char1"/>
    <w:basedOn w:val="79"/>
    <w:link w:val="41"/>
    <w:semiHidden/>
    <w:qFormat/>
    <w:uiPriority w:val="99"/>
  </w:style>
  <w:style w:type="character" w:customStyle="1" w:styleId="197">
    <w:name w:val="正文首行缩进 2 Char1"/>
    <w:basedOn w:val="81"/>
    <w:link w:val="42"/>
    <w:semiHidden/>
    <w:qFormat/>
    <w:uiPriority w:val="99"/>
  </w:style>
  <w:style w:type="paragraph" w:customStyle="1" w:styleId="198">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99">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00">
    <w:name w:val="NormalCharacter"/>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64</Pages>
  <Words>31657</Words>
  <Characters>33503</Characters>
  <Lines>322</Lines>
  <Paragraphs>90</Paragraphs>
  <TotalTime>1</TotalTime>
  <ScaleCrop>false</ScaleCrop>
  <LinksUpToDate>false</LinksUpToDate>
  <CharactersWithSpaces>34065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2024-08-12T08:33:00Z</dcterms:created>
  <dc:creator>NTKO</dc:creator>
  <cp:lastModifiedBy>admin</cp:lastModifiedBy>
  <dcterms:modified xsi:type="dcterms:W3CDTF">2025-07-30T02:39:59Z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1613C855628643D981182268B9B44BF6_13</vt:lpwstr>
  </property>
  <property fmtid="{D5CDD505-2E9C-101B-9397-08002B2CF9AE}" pid="4" name="KSOTemplateDocerSaveRecord">
    <vt:lpwstr>eyJoZGlkIjoiNDY4Y2IxYTg4MmM0NDhhYmZkMGZlYWYyMjc2YjIwYzQiLCJ1c2VySWQiOiIzMTQ2MjU3MTIifQ==</vt:lpwstr>
  </property>
</Properties>
</file>