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EE3E0">
      <w:pPr>
        <w:spacing w:before="156" w:beforeLines="50" w:line="360" w:lineRule="auto"/>
        <w:jc w:val="center"/>
        <w:rPr>
          <w:rFonts w:hint="eastAsia" w:ascii="宋体" w:hAnsi="宋体" w:eastAsia="宋体" w:cs="宋体"/>
          <w:color w:val="auto"/>
          <w:sz w:val="52"/>
          <w:szCs w:val="52"/>
          <w:highlight w:val="none"/>
        </w:rPr>
      </w:pPr>
      <w:permStart w:id="0" w:edGrp="everyone"/>
      <w:permEnd w:id="0"/>
      <w:r>
        <w:rPr>
          <w:rFonts w:hint="eastAsia" w:ascii="宋体" w:hAnsi="宋体" w:eastAsia="宋体" w:cs="宋体"/>
          <w:color w:val="auto"/>
          <w:sz w:val="52"/>
          <w:szCs w:val="52"/>
          <w:highlight w:val="none"/>
        </w:rPr>
        <w:t>南宁市政府采购</w:t>
      </w:r>
    </w:p>
    <w:p w14:paraId="1611BC18">
      <w:pPr>
        <w:spacing w:beforeLines="50" w:line="360" w:lineRule="auto"/>
        <w:jc w:val="center"/>
        <w:rPr>
          <w:rFonts w:ascii="宋体"/>
          <w:color w:val="auto"/>
          <w:sz w:val="52"/>
          <w:szCs w:val="52"/>
          <w:highlight w:val="none"/>
        </w:rPr>
      </w:pPr>
      <w:r>
        <w:rPr>
          <w:rFonts w:hint="eastAsia" w:ascii="宋体" w:hAnsi="宋体"/>
          <w:color w:val="auto"/>
          <w:sz w:val="52"/>
          <w:szCs w:val="52"/>
          <w:highlight w:val="none"/>
        </w:rPr>
        <w:t>（</w:t>
      </w:r>
      <w:r>
        <w:rPr>
          <w:rFonts w:hint="eastAsia" w:ascii="宋体" w:hAnsi="宋体"/>
          <w:color w:val="auto"/>
          <w:sz w:val="52"/>
          <w:szCs w:val="52"/>
          <w:highlight w:val="none"/>
          <w:lang w:val="en-US" w:eastAsia="zh-CN"/>
        </w:rPr>
        <w:t>工程</w:t>
      </w:r>
      <w:r>
        <w:rPr>
          <w:rFonts w:hint="eastAsia" w:ascii="宋体" w:hAnsi="宋体"/>
          <w:color w:val="auto"/>
          <w:sz w:val="52"/>
          <w:szCs w:val="52"/>
          <w:highlight w:val="none"/>
        </w:rPr>
        <w:t>类）</w:t>
      </w:r>
      <w:permStart w:id="1" w:edGrp="everyone"/>
      <w:permEnd w:id="1"/>
    </w:p>
    <w:p w14:paraId="5709DB18">
      <w:pPr>
        <w:spacing w:beforeLines="50" w:line="360" w:lineRule="auto"/>
        <w:jc w:val="center"/>
        <w:rPr>
          <w:rFonts w:ascii="宋体"/>
          <w:color w:val="auto"/>
          <w:sz w:val="36"/>
          <w:szCs w:val="36"/>
          <w:highlight w:val="none"/>
        </w:rPr>
      </w:pPr>
    </w:p>
    <w:p w14:paraId="1C8CCF98">
      <w:pPr>
        <w:snapToGrid w:val="0"/>
        <w:spacing w:beforeLines="50" w:line="360" w:lineRule="auto"/>
        <w:jc w:val="center"/>
        <w:rPr>
          <w:rFonts w:ascii="方正小标宋简体" w:hAnsi="方正小标宋简体" w:eastAsia="方正小标宋简体" w:cs="方正小标宋简体"/>
          <w:color w:val="auto"/>
          <w:sz w:val="44"/>
          <w:szCs w:val="44"/>
          <w:highlight w:val="none"/>
        </w:rPr>
      </w:pPr>
      <w:r>
        <w:rPr>
          <w:rFonts w:hint="eastAsia" w:ascii="华文新魏" w:hAnsi="宋体" w:eastAsia="华文新魏"/>
          <w:color w:val="auto"/>
          <w:sz w:val="72"/>
          <w:szCs w:val="72"/>
          <w:highlight w:val="none"/>
        </w:rPr>
        <w:t>竞争性磋商文件</w:t>
      </w:r>
    </w:p>
    <w:p w14:paraId="5B59F82F">
      <w:pPr>
        <w:spacing w:beforeLines="100" w:afterLines="50" w:line="360" w:lineRule="auto"/>
        <w:jc w:val="center"/>
        <w:rPr>
          <w:rFonts w:ascii="宋体"/>
          <w:color w:val="auto"/>
          <w:szCs w:val="21"/>
          <w:highlight w:val="none"/>
        </w:rPr>
      </w:pPr>
      <w:r>
        <w:rPr>
          <w:rFonts w:hint="eastAsia" w:ascii="宋体" w:hAnsi="宋体"/>
          <w:color w:val="auto"/>
          <w:szCs w:val="21"/>
          <w:highlight w:val="none"/>
        </w:rPr>
        <w:t>（全流程电子化评标）</w:t>
      </w:r>
    </w:p>
    <w:p w14:paraId="1BEACAE0">
      <w:pPr>
        <w:spacing w:before="156" w:beforeLines="50" w:line="360" w:lineRule="auto"/>
        <w:jc w:val="center"/>
        <w:rPr>
          <w:rFonts w:hint="eastAsia" w:ascii="宋体" w:hAnsi="宋体" w:eastAsia="宋体" w:cs="宋体"/>
          <w:color w:val="auto"/>
          <w:sz w:val="36"/>
          <w:szCs w:val="36"/>
          <w:highlight w:val="none"/>
        </w:rPr>
      </w:pPr>
    </w:p>
    <w:p w14:paraId="453087E3">
      <w:pPr>
        <w:spacing w:before="156" w:beforeLines="50" w:line="360" w:lineRule="auto"/>
        <w:jc w:val="center"/>
        <w:rPr>
          <w:rFonts w:hint="eastAsia" w:ascii="宋体" w:hAnsi="宋体" w:eastAsia="宋体" w:cs="宋体"/>
          <w:color w:val="auto"/>
          <w:sz w:val="36"/>
          <w:szCs w:val="36"/>
          <w:highlight w:val="none"/>
        </w:rPr>
      </w:pPr>
    </w:p>
    <w:p w14:paraId="2523F368">
      <w:pPr>
        <w:keepNext w:val="0"/>
        <w:keepLines w:val="0"/>
        <w:widowControl/>
        <w:suppressLineNumbers w:val="0"/>
        <w:ind w:firstLine="1124" w:firstLineChars="400"/>
        <w:jc w:val="left"/>
        <w:rPr>
          <w:rFonts w:hint="eastAsia" w:ascii="宋体" w:hAnsi="宋体" w:cs="宋体"/>
          <w:b/>
          <w:bCs w:val="0"/>
          <w:color w:val="auto"/>
          <w:sz w:val="28"/>
          <w:szCs w:val="28"/>
          <w:highlight w:val="none"/>
          <w:lang w:eastAsia="zh-CN"/>
        </w:rPr>
      </w:pPr>
      <w:r>
        <w:rPr>
          <w:rFonts w:hint="eastAsia" w:ascii="宋体" w:hAnsi="宋体" w:eastAsia="宋体" w:cs="宋体"/>
          <w:b/>
          <w:bCs w:val="0"/>
          <w:color w:val="auto"/>
          <w:sz w:val="28"/>
          <w:szCs w:val="28"/>
          <w:highlight w:val="none"/>
        </w:rPr>
        <w:t>项目名称：</w:t>
      </w:r>
      <w:r>
        <w:rPr>
          <w:rFonts w:hint="eastAsia" w:ascii="宋体" w:hAnsi="宋体" w:cs="宋体"/>
          <w:b/>
          <w:bCs w:val="0"/>
          <w:color w:val="auto"/>
          <w:sz w:val="28"/>
          <w:szCs w:val="28"/>
          <w:highlight w:val="none"/>
          <w:lang w:eastAsia="zh-CN"/>
        </w:rPr>
        <w:t>南宁市西乡塘区金腾小学学生宿舍楼标准化改造</w:t>
      </w:r>
    </w:p>
    <w:p w14:paraId="555024B1">
      <w:pPr>
        <w:keepNext w:val="0"/>
        <w:keepLines w:val="0"/>
        <w:widowControl/>
        <w:suppressLineNumbers w:val="0"/>
        <w:ind w:firstLine="2530" w:firstLineChars="900"/>
        <w:jc w:val="left"/>
        <w:rPr>
          <w:rFonts w:hint="eastAsia" w:ascii="宋体" w:hAnsi="宋体" w:eastAsia="宋体" w:cs="宋体"/>
          <w:b/>
          <w:bCs w:val="0"/>
          <w:color w:val="auto"/>
          <w:kern w:val="0"/>
          <w:sz w:val="28"/>
          <w:szCs w:val="28"/>
          <w:highlight w:val="none"/>
          <w:lang w:val="en-US" w:eastAsia="zh-CN" w:bidi="ar"/>
        </w:rPr>
      </w:pPr>
      <w:r>
        <w:rPr>
          <w:rFonts w:hint="eastAsia" w:ascii="宋体" w:hAnsi="宋体" w:cs="宋体"/>
          <w:b/>
          <w:bCs w:val="0"/>
          <w:color w:val="auto"/>
          <w:sz w:val="28"/>
          <w:szCs w:val="28"/>
          <w:highlight w:val="none"/>
          <w:lang w:eastAsia="zh-CN"/>
        </w:rPr>
        <w:t>及地面硬化等工程</w:t>
      </w:r>
    </w:p>
    <w:p w14:paraId="7CDD43DA">
      <w:pPr>
        <w:keepNext w:val="0"/>
        <w:keepLines w:val="0"/>
        <w:widowControl/>
        <w:suppressLineNumbers w:val="0"/>
        <w:ind w:firstLine="1124" w:firstLineChars="400"/>
        <w:jc w:val="left"/>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rPr>
        <w:t>项目编号：</w:t>
      </w:r>
      <w:r>
        <w:rPr>
          <w:rFonts w:hint="eastAsia" w:ascii="宋体" w:hAnsi="宋体" w:cs="宋体"/>
          <w:b/>
          <w:bCs w:val="0"/>
          <w:color w:val="auto"/>
          <w:sz w:val="28"/>
          <w:szCs w:val="28"/>
          <w:highlight w:val="none"/>
          <w:lang w:eastAsia="zh-CN"/>
        </w:rPr>
        <w:t>NNZC2025-C2-070053-GXYZ</w:t>
      </w:r>
    </w:p>
    <w:p w14:paraId="4B64A82E">
      <w:pPr>
        <w:keepNext w:val="0"/>
        <w:keepLines w:val="0"/>
        <w:widowControl/>
        <w:suppressLineNumbers w:val="0"/>
        <w:ind w:firstLine="840" w:firstLineChars="400"/>
        <w:jc w:val="left"/>
        <w:rPr>
          <w:rFonts w:hint="default" w:ascii="宋体" w:hAnsi="宋体" w:eastAsia="宋体" w:cs="宋体"/>
          <w:b/>
          <w:bCs w:val="0"/>
          <w:color w:val="auto"/>
          <w:sz w:val="28"/>
          <w:szCs w:val="28"/>
          <w:highlight w:val="none"/>
          <w:lang w:val="en-US" w:eastAsia="zh-CN"/>
        </w:rPr>
      </w:pPr>
      <w:r>
        <w:rPr>
          <w:color w:val="auto"/>
          <w:highlight w:val="none"/>
        </w:rPr>
        <w:drawing>
          <wp:anchor distT="0" distB="0" distL="114300" distR="114300" simplePos="0" relativeHeight="251662336" behindDoc="0" locked="0" layoutInCell="1" allowOverlap="1">
            <wp:simplePos x="0" y="0"/>
            <wp:positionH relativeFrom="column">
              <wp:posOffset>-619125</wp:posOffset>
            </wp:positionH>
            <wp:positionV relativeFrom="paragraph">
              <wp:posOffset>15240</wp:posOffset>
            </wp:positionV>
            <wp:extent cx="7443470" cy="2242820"/>
            <wp:effectExtent l="0" t="0" r="5080" b="5080"/>
            <wp:wrapNone/>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8"/>
                    <a:stretch>
                      <a:fillRect/>
                    </a:stretch>
                  </pic:blipFill>
                  <pic:spPr>
                    <a:xfrm>
                      <a:off x="0" y="0"/>
                      <a:ext cx="7443470" cy="2242820"/>
                    </a:xfrm>
                    <a:prstGeom prst="rect">
                      <a:avLst/>
                    </a:prstGeom>
                    <a:noFill/>
                    <a:ln>
                      <a:noFill/>
                    </a:ln>
                  </pic:spPr>
                </pic:pic>
              </a:graphicData>
            </a:graphic>
          </wp:anchor>
        </w:drawing>
      </w:r>
      <w:r>
        <w:rPr>
          <w:rFonts w:hint="eastAsia" w:ascii="宋体" w:hAnsi="宋体" w:eastAsia="宋体" w:cs="宋体"/>
          <w:b/>
          <w:bCs w:val="0"/>
          <w:color w:val="auto"/>
          <w:sz w:val="28"/>
          <w:szCs w:val="28"/>
          <w:highlight w:val="none"/>
        </w:rPr>
        <w:t>项目所属区划：南宁市</w:t>
      </w:r>
      <w:r>
        <w:rPr>
          <w:rFonts w:hint="eastAsia" w:ascii="宋体" w:hAnsi="宋体" w:cs="宋体"/>
          <w:b/>
          <w:bCs w:val="0"/>
          <w:color w:val="auto"/>
          <w:sz w:val="28"/>
          <w:szCs w:val="28"/>
          <w:highlight w:val="none"/>
          <w:lang w:val="en-US" w:eastAsia="zh-CN"/>
        </w:rPr>
        <w:t>西乡塘区</w:t>
      </w:r>
    </w:p>
    <w:p w14:paraId="67807299">
      <w:pPr>
        <w:spacing w:line="360" w:lineRule="auto"/>
        <w:ind w:firstLine="1124" w:firstLineChars="400"/>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rPr>
        <w:t xml:space="preserve">采 </w:t>
      </w:r>
      <w:r>
        <w:rPr>
          <w:rFonts w:hint="eastAsia" w:ascii="宋体" w:hAnsi="宋体" w:eastAsia="宋体" w:cs="宋体"/>
          <w:b/>
          <w:bCs w:val="0"/>
          <w:color w:val="auto"/>
          <w:sz w:val="28"/>
          <w:szCs w:val="28"/>
          <w:highlight w:val="none"/>
          <w:lang w:val="en-US" w:eastAsia="zh-CN"/>
        </w:rPr>
        <w:t xml:space="preserve">  </w:t>
      </w:r>
      <w:r>
        <w:rPr>
          <w:rFonts w:hint="eastAsia" w:ascii="宋体" w:hAnsi="宋体" w:eastAsia="宋体" w:cs="宋体"/>
          <w:b/>
          <w:bCs w:val="0"/>
          <w:color w:val="auto"/>
          <w:sz w:val="28"/>
          <w:szCs w:val="28"/>
          <w:highlight w:val="none"/>
        </w:rPr>
        <w:t xml:space="preserve">购 </w:t>
      </w:r>
      <w:r>
        <w:rPr>
          <w:rFonts w:hint="eastAsia" w:ascii="宋体" w:hAnsi="宋体" w:eastAsia="宋体" w:cs="宋体"/>
          <w:b/>
          <w:bCs w:val="0"/>
          <w:color w:val="auto"/>
          <w:sz w:val="28"/>
          <w:szCs w:val="28"/>
          <w:highlight w:val="none"/>
          <w:lang w:val="en-US" w:eastAsia="zh-CN"/>
        </w:rPr>
        <w:t xml:space="preserve">  </w:t>
      </w:r>
      <w:r>
        <w:rPr>
          <w:rFonts w:hint="eastAsia" w:ascii="宋体" w:hAnsi="宋体" w:eastAsia="宋体" w:cs="宋体"/>
          <w:b/>
          <w:bCs w:val="0"/>
          <w:color w:val="auto"/>
          <w:sz w:val="28"/>
          <w:szCs w:val="28"/>
          <w:highlight w:val="none"/>
        </w:rPr>
        <w:t>人：</w:t>
      </w:r>
      <w:r>
        <w:rPr>
          <w:rFonts w:hint="eastAsia" w:ascii="宋体" w:hAnsi="宋体" w:cs="宋体"/>
          <w:b/>
          <w:bCs w:val="0"/>
          <w:color w:val="auto"/>
          <w:sz w:val="28"/>
          <w:szCs w:val="28"/>
          <w:highlight w:val="none"/>
          <w:lang w:eastAsia="zh-CN"/>
        </w:rPr>
        <w:t>南宁市西乡塘区金腾小学</w:t>
      </w:r>
    </w:p>
    <w:p w14:paraId="514A9281">
      <w:pPr>
        <w:spacing w:line="360" w:lineRule="auto"/>
        <w:ind w:firstLine="1124" w:firstLineChars="400"/>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采购代理机构：</w:t>
      </w:r>
      <w:r>
        <w:rPr>
          <w:rFonts w:hint="eastAsia" w:ascii="宋体" w:hAnsi="宋体" w:eastAsia="宋体" w:cs="宋体"/>
          <w:b/>
          <w:bCs w:val="0"/>
          <w:color w:val="auto"/>
          <w:sz w:val="28"/>
          <w:szCs w:val="28"/>
          <w:highlight w:val="none"/>
          <w:lang w:eastAsia="zh-CN"/>
        </w:rPr>
        <w:t>广西邕政采购代理有限公司</w:t>
      </w:r>
    </w:p>
    <w:p w14:paraId="5D02E3AC">
      <w:pPr>
        <w:outlineLvl w:val="9"/>
        <w:rPr>
          <w:rFonts w:hint="eastAsia" w:ascii="宋体" w:hAnsi="宋体" w:eastAsia="宋体" w:cs="宋体"/>
          <w:b/>
          <w:bCs w:val="0"/>
          <w:color w:val="auto"/>
          <w:sz w:val="28"/>
          <w:szCs w:val="28"/>
          <w:highlight w:val="none"/>
          <w:lang w:val="en-US" w:eastAsia="zh-CN"/>
        </w:rPr>
      </w:pPr>
    </w:p>
    <w:p w14:paraId="624A9F18">
      <w:pPr>
        <w:spacing w:line="360" w:lineRule="auto"/>
        <w:jc w:val="center"/>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eastAsia="zh-CN"/>
        </w:rPr>
        <w:t>202</w:t>
      </w:r>
      <w:r>
        <w:rPr>
          <w:rFonts w:hint="eastAsia" w:ascii="宋体" w:hAnsi="宋体" w:cs="宋体"/>
          <w:b/>
          <w:bCs w:val="0"/>
          <w:color w:val="auto"/>
          <w:sz w:val="28"/>
          <w:szCs w:val="28"/>
          <w:highlight w:val="none"/>
          <w:lang w:val="en-US" w:eastAsia="zh-CN"/>
        </w:rPr>
        <w:t>5</w:t>
      </w:r>
      <w:r>
        <w:rPr>
          <w:rFonts w:hint="eastAsia" w:ascii="宋体" w:hAnsi="宋体" w:eastAsia="宋体" w:cs="宋体"/>
          <w:b/>
          <w:bCs w:val="0"/>
          <w:color w:val="auto"/>
          <w:sz w:val="28"/>
          <w:szCs w:val="28"/>
          <w:highlight w:val="none"/>
          <w:lang w:eastAsia="zh-CN"/>
        </w:rPr>
        <w:t>年</w:t>
      </w:r>
      <w:r>
        <w:rPr>
          <w:rFonts w:hint="eastAsia" w:ascii="宋体" w:hAnsi="宋体" w:cs="宋体"/>
          <w:b/>
          <w:bCs w:val="0"/>
          <w:color w:val="auto"/>
          <w:sz w:val="28"/>
          <w:szCs w:val="28"/>
          <w:highlight w:val="none"/>
          <w:lang w:val="en-US" w:eastAsia="zh-CN"/>
        </w:rPr>
        <w:t>7</w:t>
      </w:r>
      <w:r>
        <w:rPr>
          <w:rFonts w:hint="eastAsia" w:ascii="宋体" w:hAnsi="宋体" w:eastAsia="宋体" w:cs="宋体"/>
          <w:b/>
          <w:bCs w:val="0"/>
          <w:color w:val="auto"/>
          <w:sz w:val="28"/>
          <w:szCs w:val="28"/>
          <w:highlight w:val="none"/>
          <w:lang w:eastAsia="zh-CN"/>
        </w:rPr>
        <w:t>月</w:t>
      </w:r>
    </w:p>
    <w:p w14:paraId="3163D607">
      <w:pPr>
        <w:spacing w:line="360" w:lineRule="auto"/>
        <w:jc w:val="both"/>
        <w:rPr>
          <w:rFonts w:hint="eastAsia" w:ascii="宋体" w:hAnsi="宋体" w:eastAsia="宋体" w:cs="宋体"/>
          <w:b/>
          <w:color w:val="auto"/>
          <w:sz w:val="32"/>
          <w:szCs w:val="32"/>
          <w:highlight w:val="none"/>
        </w:rPr>
      </w:pPr>
    </w:p>
    <w:p w14:paraId="2CED134E">
      <w:pPr>
        <w:pStyle w:val="20"/>
        <w:rPr>
          <w:rFonts w:hint="eastAsia"/>
          <w:color w:val="auto"/>
          <w:highlight w:val="none"/>
        </w:rPr>
      </w:pPr>
    </w:p>
    <w:p w14:paraId="01788E49">
      <w:pPr>
        <w:pStyle w:val="20"/>
        <w:rPr>
          <w:rFonts w:hint="eastAsia" w:ascii="仿宋" w:hAnsi="仿宋" w:eastAsia="仿宋" w:cs="仿宋"/>
          <w:b/>
          <w:color w:val="auto"/>
          <w:sz w:val="32"/>
          <w:szCs w:val="32"/>
          <w:highlight w:val="none"/>
          <w:lang w:val="en-US" w:eastAsia="zh-CN"/>
        </w:rPr>
      </w:pPr>
    </w:p>
    <w:p w14:paraId="486BDA80">
      <w:pPr>
        <w:rPr>
          <w:rFonts w:hint="eastAsia" w:ascii="仿宋" w:hAnsi="仿宋" w:eastAsia="仿宋" w:cs="仿宋"/>
          <w:b/>
          <w:color w:val="auto"/>
          <w:sz w:val="32"/>
          <w:szCs w:val="32"/>
          <w:highlight w:val="none"/>
          <w:lang w:val="en-US" w:eastAsia="zh-CN"/>
        </w:rPr>
      </w:pPr>
    </w:p>
    <w:p w14:paraId="222E0DF0">
      <w:pPr>
        <w:pStyle w:val="21"/>
        <w:rPr>
          <w:rFonts w:hint="eastAsia"/>
          <w:color w:val="auto"/>
          <w:highlight w:val="none"/>
          <w:lang w:val="en-US" w:eastAsia="zh-CN"/>
        </w:rPr>
      </w:pPr>
    </w:p>
    <w:p w14:paraId="4AAAD65C">
      <w:pPr>
        <w:spacing w:line="360" w:lineRule="auto"/>
        <w:jc w:val="center"/>
        <w:outlineLvl w:val="9"/>
        <w:rPr>
          <w:rFonts w:hint="eastAsia" w:ascii="宋体" w:hAnsi="宋体" w:eastAsia="宋体" w:cs="宋体"/>
          <w:b w:val="0"/>
          <w:color w:val="auto"/>
          <w:sz w:val="44"/>
          <w:szCs w:val="44"/>
          <w:highlight w:val="none"/>
        </w:rPr>
      </w:pPr>
      <w:bookmarkStart w:id="0" w:name="_Toc21342"/>
      <w:bookmarkStart w:id="1" w:name="_Toc22635"/>
      <w:bookmarkStart w:id="2" w:name="_Toc15289"/>
      <w:r>
        <w:rPr>
          <w:rFonts w:hint="eastAsia" w:ascii="宋体" w:hAnsi="宋体" w:eastAsia="宋体" w:cs="宋体"/>
          <w:b/>
          <w:bCs/>
          <w:color w:val="auto"/>
          <w:sz w:val="36"/>
          <w:szCs w:val="36"/>
          <w:highlight w:val="none"/>
        </w:rPr>
        <w:t>目   录</w:t>
      </w:r>
      <w:bookmarkEnd w:id="0"/>
      <w:bookmarkEnd w:id="1"/>
      <w:bookmarkEnd w:id="2"/>
    </w:p>
    <w:p w14:paraId="3E38EC7D">
      <w:pPr>
        <w:pStyle w:val="18"/>
        <w:tabs>
          <w:tab w:val="right" w:leader="dot" w:pos="9746"/>
        </w:tabs>
        <w:rPr>
          <w:color w:val="auto"/>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"1-3" \h \z \u </w:instrText>
      </w:r>
      <w:r>
        <w:rPr>
          <w:rFonts w:hint="eastAsia" w:ascii="宋体" w:hAnsi="宋体" w:eastAsia="宋体" w:cs="宋体"/>
          <w:b/>
          <w:color w:val="auto"/>
          <w:sz w:val="24"/>
          <w:szCs w:val="24"/>
          <w:highlight w:val="none"/>
        </w:rPr>
        <w:fldChar w:fldCharType="separate"/>
      </w:r>
    </w:p>
    <w:p w14:paraId="5322A848">
      <w:pPr>
        <w:pStyle w:val="18"/>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_Toc2884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第一章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竞争性磋商公告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_Toc2884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71A5464">
      <w:pPr>
        <w:pStyle w:val="18"/>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_Toc15775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 xml:space="preserve">第二章 </w:t>
      </w:r>
      <w:r>
        <w:rPr>
          <w:rFonts w:hint="eastAsia" w:ascii="宋体" w:hAnsi="宋体" w:eastAsia="宋体" w:cs="宋体"/>
          <w:bCs/>
          <w:color w:val="auto"/>
          <w:sz w:val="28"/>
          <w:szCs w:val="28"/>
          <w:highlight w:val="none"/>
          <w:lang w:val="en-US" w:eastAsia="zh-CN"/>
        </w:rPr>
        <w:t xml:space="preserve"> 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_Toc15775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9CB06A6">
      <w:pPr>
        <w:pStyle w:val="18"/>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_Toc23956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 xml:space="preserve">第三章 </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供应商须知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2</w:t>
      </w:r>
    </w:p>
    <w:p w14:paraId="5CB93D0C">
      <w:pPr>
        <w:pStyle w:val="18"/>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第四章  评审程序、评审方法和评审标准</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_Toc14829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26</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0BC8C6F">
      <w:pPr>
        <w:pStyle w:val="18"/>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_Toc8541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 xml:space="preserve">第五章 </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_Toc8541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37</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A93A634">
      <w:pPr>
        <w:pStyle w:val="18"/>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_Toc25466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第六章  合同文本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_Toc25466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73</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1E03EDA">
      <w:pPr>
        <w:pStyle w:val="18"/>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_Toc13697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第七章 </w:t>
      </w:r>
      <w:r>
        <w:rPr>
          <w:rFonts w:hint="eastAsia" w:ascii="宋体" w:hAnsi="宋体" w:eastAsia="宋体" w:cs="宋体"/>
          <w:color w:val="auto"/>
          <w:sz w:val="28"/>
          <w:szCs w:val="28"/>
          <w:highlight w:val="none"/>
          <w:lang w:val="en-US" w:eastAsia="zh-CN"/>
        </w:rPr>
        <w:t>工程量清单（另册）</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_Toc13697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100</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8399C1F">
      <w:pPr>
        <w:pStyle w:val="18"/>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_Toc948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rPr>
        <w:t xml:space="preserve">章 </w:t>
      </w:r>
      <w:r>
        <w:rPr>
          <w:rFonts w:hint="eastAsia" w:ascii="宋体" w:hAnsi="宋体" w:eastAsia="宋体" w:cs="宋体"/>
          <w:color w:val="auto"/>
          <w:sz w:val="28"/>
          <w:szCs w:val="28"/>
          <w:highlight w:val="none"/>
          <w:lang w:val="en-US" w:eastAsia="zh-CN"/>
        </w:rPr>
        <w:t>图纸（另册）</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_Toc948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101</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4BB68AF">
      <w:pPr>
        <w:pStyle w:val="18"/>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_Toc11110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章 质疑、投诉材料格式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_Toc11110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102</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D0FACE8">
      <w:pPr>
        <w:pStyle w:val="18"/>
        <w:tabs>
          <w:tab w:val="right" w:leader="dot" w:pos="8306"/>
        </w:tabs>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Cs w:val="24"/>
          <w:highlight w:val="none"/>
        </w:rPr>
        <w:fldChar w:fldCharType="end"/>
      </w:r>
    </w:p>
    <w:p w14:paraId="22123A37">
      <w:pPr>
        <w:spacing w:line="360" w:lineRule="auto"/>
        <w:rPr>
          <w:rFonts w:hint="eastAsia" w:ascii="宋体" w:hAnsi="宋体" w:eastAsia="宋体" w:cs="宋体"/>
          <w:b/>
          <w:color w:val="auto"/>
          <w:sz w:val="32"/>
          <w:szCs w:val="32"/>
          <w:highlight w:val="none"/>
        </w:rPr>
        <w:sectPr>
          <w:footerReference r:id="rId5" w:type="first"/>
          <w:headerReference r:id="rId3" w:type="default"/>
          <w:footerReference r:id="rId4" w:type="default"/>
          <w:pgSz w:w="11906" w:h="16838"/>
          <w:pgMar w:top="1440" w:right="1080" w:bottom="1440" w:left="1080" w:header="851" w:footer="992" w:gutter="0"/>
          <w:pgBorders w:offsetFrom="page">
            <w:top w:val="none" w:sz="0" w:space="0"/>
            <w:left w:val="none" w:sz="0" w:space="0"/>
            <w:bottom w:val="none" w:sz="0" w:space="0"/>
            <w:right w:val="none" w:sz="0" w:space="0"/>
          </w:pgBorders>
          <w:pgNumType w:start="0"/>
          <w:cols w:space="720" w:num="1"/>
          <w:titlePg/>
          <w:docGrid w:type="lines" w:linePitch="312" w:charSpace="0"/>
        </w:sectPr>
      </w:pPr>
    </w:p>
    <w:p w14:paraId="53DFFD7F">
      <w:pPr>
        <w:pStyle w:val="2"/>
        <w:spacing w:line="360" w:lineRule="auto"/>
        <w:jc w:val="center"/>
        <w:rPr>
          <w:rFonts w:hint="eastAsia" w:ascii="宋体" w:hAnsi="宋体" w:eastAsia="宋体" w:cs="宋体"/>
          <w:color w:val="auto"/>
          <w:highlight w:val="none"/>
          <w:lang w:eastAsia="zh-CN"/>
        </w:rPr>
      </w:pPr>
      <w:bookmarkStart w:id="3" w:name="_Toc23020"/>
      <w:bookmarkStart w:id="4" w:name="_Toc21181"/>
      <w:bookmarkStart w:id="5" w:name="_Toc2884"/>
      <w:r>
        <w:rPr>
          <w:rFonts w:hint="eastAsia" w:ascii="宋体" w:hAnsi="宋体" w:eastAsia="宋体" w:cs="宋体"/>
          <w:color w:val="auto"/>
          <w:highlight w:val="none"/>
        </w:rPr>
        <w:t>第一章 竞争性磋商公告</w:t>
      </w:r>
      <w:bookmarkEnd w:id="3"/>
      <w:bookmarkEnd w:id="4"/>
      <w:bookmarkEnd w:id="5"/>
      <w:bookmarkStart w:id="6" w:name="_Toc28359089"/>
      <w:bookmarkStart w:id="7" w:name="_Toc35393798"/>
      <w:bookmarkStart w:id="8" w:name="_Toc44229878"/>
      <w:bookmarkStart w:id="9" w:name="_Toc35393629"/>
      <w:bookmarkStart w:id="10" w:name="_Toc28359012"/>
      <w:bookmarkStart w:id="11" w:name="_Toc35393623"/>
      <w:bookmarkStart w:id="12" w:name="_Toc28359081"/>
      <w:bookmarkStart w:id="13" w:name="_Toc28359004"/>
      <w:bookmarkStart w:id="14" w:name="_Toc35393792"/>
    </w:p>
    <w:p w14:paraId="7772C9FE">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434DF71F">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szCs w:val="21"/>
          <w:highlight w:val="none"/>
          <w:u w:val="single"/>
          <w:lang w:eastAsia="zh-CN"/>
        </w:rPr>
        <w:t>南宁市西乡塘区金腾小学学生宿舍楼标准化改造及地面硬化等工程</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项目的潜在供应商应在</w:t>
      </w:r>
      <w:r>
        <w:rPr>
          <w:rFonts w:hint="eastAsia" w:ascii="宋体" w:hAnsi="宋体" w:cs="宋体"/>
          <w:color w:val="auto"/>
          <w:sz w:val="21"/>
          <w:szCs w:val="21"/>
          <w:highlight w:val="none"/>
          <w:lang w:eastAsia="zh-CN"/>
        </w:rPr>
        <w:t>“广西政府采购云平台”（https://www.gcy.zfcg.gxzf.gov.cn/）</w:t>
      </w:r>
      <w:r>
        <w:rPr>
          <w:rFonts w:hint="eastAsia" w:ascii="宋体" w:hAnsi="宋体" w:eastAsia="宋体" w:cs="宋体"/>
          <w:snapToGrid w:val="0"/>
          <w:color w:val="auto"/>
          <w:highlight w:val="none"/>
        </w:rPr>
        <w:t>获取（下载）</w:t>
      </w:r>
      <w:r>
        <w:rPr>
          <w:rFonts w:hint="eastAsia" w:ascii="宋体" w:hAnsi="宋体" w:eastAsia="宋体" w:cs="宋体"/>
          <w:color w:val="auto"/>
          <w:szCs w:val="21"/>
          <w:highlight w:val="none"/>
        </w:rPr>
        <w:t>竞争性磋商文件，并于</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22</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13时00分</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14:paraId="6492DD57">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6"/>
      <w:bookmarkEnd w:id="7"/>
      <w:bookmarkEnd w:id="8"/>
      <w:bookmarkEnd w:id="9"/>
      <w:bookmarkEnd w:id="10"/>
    </w:p>
    <w:bookmarkEnd w:id="11"/>
    <w:bookmarkEnd w:id="12"/>
    <w:bookmarkEnd w:id="13"/>
    <w:bookmarkEnd w:id="14"/>
    <w:p w14:paraId="7968419C">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szCs w:val="21"/>
          <w:highlight w:val="none"/>
          <w:lang w:val="en-US" w:eastAsia="zh-CN"/>
        </w:rPr>
      </w:pPr>
      <w:bookmarkStart w:id="15" w:name="_Toc15775"/>
      <w:bookmarkStart w:id="16" w:name="_Toc20817"/>
      <w:bookmarkStart w:id="17" w:name="_Toc24059"/>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NNZC2025-C2-</w:t>
      </w:r>
      <w:r>
        <w:rPr>
          <w:rFonts w:hint="eastAsia" w:ascii="宋体" w:hAnsi="宋体" w:cs="宋体"/>
          <w:color w:val="auto"/>
          <w:szCs w:val="21"/>
          <w:highlight w:val="none"/>
          <w:lang w:eastAsia="zh-CN"/>
        </w:rPr>
        <w:t>070053</w:t>
      </w:r>
      <w:r>
        <w:rPr>
          <w:rFonts w:hint="eastAsia" w:ascii="宋体" w:hAnsi="宋体" w:eastAsia="宋体" w:cs="宋体"/>
          <w:color w:val="auto"/>
          <w:szCs w:val="21"/>
          <w:highlight w:val="none"/>
          <w:lang w:eastAsia="zh-CN"/>
        </w:rPr>
        <w:t>-GXYZ</w:t>
      </w:r>
    </w:p>
    <w:p w14:paraId="1BD051D6">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pacing w:val="-4"/>
          <w:szCs w:val="21"/>
          <w:highlight w:val="none"/>
          <w:lang w:eastAsia="zh-CN"/>
        </w:rPr>
        <w:t>南宁市西乡塘区金腾小学学生宿舍楼标准化改造及地面硬化等工程</w:t>
      </w:r>
    </w:p>
    <w:p w14:paraId="63D888F3">
      <w:pPr>
        <w:keepNext w:val="0"/>
        <w:keepLines w:val="0"/>
        <w:pageBreakBefore w:val="0"/>
        <w:tabs>
          <w:tab w:val="left" w:pos="6358"/>
        </w:tabs>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采购计划号：XXTZC[2025]929号</w:t>
      </w:r>
    </w:p>
    <w:p w14:paraId="46455717">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采购方式：竞争性磋商</w:t>
      </w:r>
      <w:r>
        <w:rPr>
          <w:rFonts w:hint="eastAsia" w:ascii="宋体" w:hAnsi="宋体" w:eastAsia="宋体" w:cs="宋体"/>
          <w:color w:val="auto"/>
          <w:sz w:val="21"/>
          <w:szCs w:val="21"/>
          <w:highlight w:val="none"/>
          <w:lang w:eastAsia="zh-CN"/>
        </w:rPr>
        <w:tab/>
      </w:r>
    </w:p>
    <w:p w14:paraId="21D0E710">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eastAsia="zh-CN"/>
        </w:rPr>
        <w:t>人民币</w:t>
      </w:r>
      <w:r>
        <w:rPr>
          <w:rFonts w:hint="eastAsia" w:ascii="宋体" w:hAnsi="宋体" w:eastAsia="宋体" w:cs="宋体"/>
          <w:color w:val="auto"/>
          <w:szCs w:val="21"/>
          <w:highlight w:val="none"/>
          <w:lang w:val="en-US" w:eastAsia="zh-CN"/>
        </w:rPr>
        <w:t>贰佰伍拾柒万捌仟捌佰柒拾贰元伍角捌分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2578872.58</w:t>
      </w:r>
      <w:r>
        <w:rPr>
          <w:rFonts w:hint="eastAsia" w:ascii="宋体" w:hAnsi="宋体" w:eastAsia="宋体" w:cs="宋体"/>
          <w:color w:val="auto"/>
          <w:szCs w:val="21"/>
          <w:highlight w:val="none"/>
          <w:lang w:eastAsia="zh-CN"/>
        </w:rPr>
        <w:t>)</w:t>
      </w:r>
    </w:p>
    <w:p w14:paraId="7A6773BB">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最高限价</w:t>
      </w:r>
      <w:r>
        <w:rPr>
          <w:rFonts w:hint="eastAsia" w:ascii="宋体" w:hAnsi="宋体" w:eastAsia="宋体" w:cs="宋体"/>
          <w:color w:val="auto"/>
          <w:szCs w:val="21"/>
          <w:highlight w:val="none"/>
          <w:lang w:eastAsia="zh-CN"/>
        </w:rPr>
        <w:t>（招标控制价）</w:t>
      </w:r>
      <w:r>
        <w:rPr>
          <w:rFonts w:hint="eastAsia" w:ascii="宋体" w:hAnsi="宋体" w:eastAsia="宋体" w:cs="宋体"/>
          <w:color w:val="auto"/>
          <w:szCs w:val="21"/>
          <w:highlight w:val="none"/>
        </w:rPr>
        <w:t>：人民币</w:t>
      </w:r>
      <w:r>
        <w:rPr>
          <w:rFonts w:hint="eastAsia" w:ascii="宋体" w:hAnsi="宋体" w:eastAsia="宋体" w:cs="宋体"/>
          <w:color w:val="auto"/>
          <w:szCs w:val="21"/>
          <w:highlight w:val="none"/>
          <w:lang w:val="en-US" w:eastAsia="zh-CN"/>
        </w:rPr>
        <w:t>贰佰伍拾柒万捌仟捌佰柒拾贰元伍角捌分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2578872.58</w:t>
      </w:r>
      <w:r>
        <w:rPr>
          <w:rFonts w:hint="eastAsia" w:ascii="宋体" w:hAnsi="宋体" w:eastAsia="宋体" w:cs="宋体"/>
          <w:color w:val="auto"/>
          <w:szCs w:val="21"/>
          <w:highlight w:val="none"/>
          <w:lang w:eastAsia="zh-CN"/>
        </w:rPr>
        <w:t>)</w:t>
      </w:r>
    </w:p>
    <w:p w14:paraId="31948F6D">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采购需求：</w:t>
      </w:r>
      <w:r>
        <w:rPr>
          <w:rFonts w:hint="eastAsia" w:ascii="宋体" w:hAnsi="宋体" w:eastAsia="宋体" w:cs="宋体"/>
          <w:color w:val="auto"/>
          <w:spacing w:val="-4"/>
          <w:szCs w:val="21"/>
          <w:highlight w:val="none"/>
          <w:lang w:eastAsia="zh-CN"/>
        </w:rPr>
        <w:t>本项目为南宁市西乡塘区金腾小学学生宿舍楼标准化改造及地面硬化等工程</w:t>
      </w:r>
      <w:r>
        <w:rPr>
          <w:rFonts w:hint="eastAsia" w:ascii="宋体" w:hAnsi="宋体" w:eastAsia="宋体" w:cs="宋体"/>
          <w:color w:val="auto"/>
          <w:spacing w:val="-4"/>
          <w:szCs w:val="21"/>
          <w:highlight w:val="none"/>
          <w:lang w:val="en-US" w:eastAsia="zh-CN"/>
        </w:rPr>
        <w:t>1项</w:t>
      </w:r>
      <w:r>
        <w:rPr>
          <w:rFonts w:hint="eastAsia" w:ascii="宋体" w:hAnsi="宋体" w:eastAsia="宋体" w:cs="宋体"/>
          <w:color w:val="auto"/>
          <w:spacing w:val="-4"/>
          <w:szCs w:val="21"/>
          <w:highlight w:val="none"/>
          <w:lang w:eastAsia="zh-CN"/>
        </w:rPr>
        <w:t>，项目位于南宁市西乡塘区金腾小学内，建设内容包括一栋女生宿舍楼和一栋男生宿舍楼改造，及男女生宿舍楼前地面硬化等。其中女生宿舍楼建筑面积为1170.25㎡，男生宿舍楼建筑面积为1342.4㎡，改造总建筑面积为2512.65㎡，地面硬化总面积为500㎡</w:t>
      </w:r>
      <w:r>
        <w:rPr>
          <w:rFonts w:hint="eastAsia" w:ascii="宋体" w:hAnsi="宋体" w:eastAsia="宋体" w:cs="宋体"/>
          <w:color w:val="auto"/>
          <w:spacing w:val="-4"/>
          <w:szCs w:val="21"/>
          <w:highlight w:val="none"/>
          <w:lang w:val="en-US" w:eastAsia="zh-CN"/>
        </w:rPr>
        <w:t>，</w:t>
      </w:r>
      <w:r>
        <w:rPr>
          <w:rFonts w:hint="eastAsia" w:ascii="宋体" w:hAnsi="宋体" w:eastAsia="宋体" w:cs="宋体"/>
          <w:color w:val="auto"/>
          <w:szCs w:val="21"/>
          <w:highlight w:val="none"/>
          <w:lang w:val="en-US" w:eastAsia="zh-CN"/>
        </w:rPr>
        <w:t>具体内容详见图纸及工程量清单所包含的内容</w:t>
      </w:r>
      <w:r>
        <w:rPr>
          <w:rFonts w:hint="eastAsia" w:ascii="宋体" w:hAnsi="宋体" w:eastAsia="宋体" w:cs="宋体"/>
          <w:color w:val="auto"/>
          <w:szCs w:val="21"/>
          <w:highlight w:val="none"/>
        </w:rPr>
        <w:t>。</w:t>
      </w:r>
    </w:p>
    <w:p w14:paraId="40DAFBD5">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szCs w:val="21"/>
          <w:highlight w:val="none"/>
          <w:u w:val="single"/>
          <w:lang w:val="en-US"/>
        </w:rPr>
      </w:pPr>
      <w:r>
        <w:rPr>
          <w:rFonts w:hint="eastAsia" w:ascii="宋体" w:hAnsi="宋体" w:eastAsia="宋体" w:cs="宋体"/>
          <w:color w:val="auto"/>
          <w:sz w:val="21"/>
          <w:szCs w:val="21"/>
          <w:highlight w:val="none"/>
        </w:rPr>
        <w:t>合同履行期限（工期）：</w:t>
      </w:r>
      <w:r>
        <w:rPr>
          <w:rFonts w:hint="eastAsia" w:ascii="宋体" w:hAnsi="宋体" w:eastAsia="宋体" w:cs="宋体"/>
          <w:color w:val="auto"/>
          <w:sz w:val="21"/>
          <w:szCs w:val="21"/>
          <w:highlight w:val="none"/>
          <w:lang w:val="en-US" w:eastAsia="zh-CN"/>
        </w:rPr>
        <w:t>详见第二章 采购需求。</w:t>
      </w:r>
    </w:p>
    <w:p w14:paraId="532374FC">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本项目是否接受联合体：□是，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w:t>
      </w:r>
    </w:p>
    <w:p w14:paraId="69A7B64F">
      <w:pPr>
        <w:keepNext w:val="0"/>
        <w:keepLines w:val="0"/>
        <w:pageBreakBefore w:val="0"/>
        <w:kinsoku/>
        <w:wordWrap/>
        <w:overflowPunct/>
        <w:topLinePunct w:val="0"/>
        <w:autoSpaceDE/>
        <w:autoSpaceDN/>
        <w:bidi w:val="0"/>
        <w:adjustRightInd/>
        <w:spacing w:after="0" w:line="360" w:lineRule="auto"/>
        <w:ind w:left="0" w:leftChars="0" w:firstLine="482" w:firstLineChars="200"/>
        <w:textAlignment w:val="auto"/>
        <w:rPr>
          <w:rFonts w:hint="eastAsia" w:ascii="宋体" w:hAnsi="宋体" w:eastAsia="宋体" w:cs="宋体"/>
          <w:bCs/>
          <w:color w:val="auto"/>
          <w:sz w:val="24"/>
          <w:highlight w:val="none"/>
        </w:rPr>
      </w:pPr>
      <w:bookmarkStart w:id="18" w:name="_Toc35393799"/>
      <w:bookmarkStart w:id="19" w:name="_Toc44229879"/>
      <w:bookmarkStart w:id="20" w:name="_Toc35393630"/>
      <w:bookmarkStart w:id="21" w:name="_Toc28359013"/>
      <w:bookmarkStart w:id="22" w:name="_Toc28359090"/>
      <w:r>
        <w:rPr>
          <w:rFonts w:hint="eastAsia" w:ascii="宋体" w:hAnsi="宋体" w:eastAsia="宋体" w:cs="宋体"/>
          <w:b/>
          <w:color w:val="auto"/>
          <w:kern w:val="44"/>
          <w:sz w:val="24"/>
          <w:highlight w:val="none"/>
        </w:rPr>
        <w:t>二、供应商的资格条件</w:t>
      </w:r>
      <w:bookmarkEnd w:id="18"/>
      <w:bookmarkEnd w:id="19"/>
      <w:bookmarkEnd w:id="20"/>
      <w:bookmarkEnd w:id="21"/>
      <w:bookmarkEnd w:id="22"/>
    </w:p>
    <w:p w14:paraId="2239C051">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1.满足《中华人民共和国政府采购法》第二十二条规定；</w:t>
      </w:r>
    </w:p>
    <w:p w14:paraId="3F4280F2">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2.落实政府采购政策需满足的资格要求</w:t>
      </w:r>
      <w:r>
        <w:rPr>
          <w:rFonts w:hint="eastAsia" w:ascii="宋体" w:hAnsi="宋体" w:eastAsia="宋体" w:cs="宋体"/>
          <w:color w:val="auto"/>
          <w:spacing w:val="0"/>
          <w:w w:val="100"/>
          <w:position w:val="0"/>
          <w:sz w:val="21"/>
          <w:szCs w:val="21"/>
          <w:highlight w:val="none"/>
          <w:lang w:eastAsia="zh-CN"/>
        </w:rPr>
        <w:t>：专门面向</w:t>
      </w:r>
      <w:r>
        <w:rPr>
          <w:rFonts w:hint="eastAsia" w:ascii="宋体" w:hAnsi="宋体" w:eastAsia="宋体" w:cs="宋体"/>
          <w:color w:val="auto"/>
          <w:spacing w:val="0"/>
          <w:w w:val="100"/>
          <w:position w:val="0"/>
          <w:sz w:val="21"/>
          <w:szCs w:val="21"/>
          <w:highlight w:val="none"/>
          <w:lang w:val="en-US" w:eastAsia="zh-CN"/>
        </w:rPr>
        <w:t>中小</w:t>
      </w:r>
      <w:r>
        <w:rPr>
          <w:rFonts w:hint="eastAsia" w:ascii="宋体" w:hAnsi="宋体" w:eastAsia="宋体" w:cs="宋体"/>
          <w:color w:val="auto"/>
          <w:spacing w:val="0"/>
          <w:w w:val="100"/>
          <w:position w:val="0"/>
          <w:sz w:val="21"/>
          <w:szCs w:val="21"/>
          <w:highlight w:val="none"/>
          <w:lang w:eastAsia="zh-CN"/>
        </w:rPr>
        <w:t>企业采购的项目（供应商应为</w:t>
      </w:r>
      <w:r>
        <w:rPr>
          <w:rFonts w:hint="eastAsia" w:ascii="宋体" w:hAnsi="宋体" w:eastAsia="宋体" w:cs="宋体"/>
          <w:color w:val="auto"/>
          <w:spacing w:val="0"/>
          <w:w w:val="100"/>
          <w:position w:val="0"/>
          <w:sz w:val="21"/>
          <w:szCs w:val="21"/>
          <w:highlight w:val="none"/>
          <w:lang w:val="en-US" w:eastAsia="zh-CN"/>
        </w:rPr>
        <w:t>中小</w:t>
      </w:r>
      <w:r>
        <w:rPr>
          <w:rFonts w:hint="eastAsia" w:ascii="宋体" w:hAnsi="宋体" w:eastAsia="宋体" w:cs="宋体"/>
          <w:color w:val="auto"/>
          <w:spacing w:val="0"/>
          <w:w w:val="100"/>
          <w:position w:val="0"/>
          <w:sz w:val="21"/>
          <w:szCs w:val="21"/>
          <w:highlight w:val="none"/>
          <w:lang w:eastAsia="zh-CN"/>
        </w:rPr>
        <w:t>企业或监狱企业或残疾人福利性单位）</w:t>
      </w:r>
    </w:p>
    <w:p w14:paraId="0D736522">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3.本项目的特定资格要求</w:t>
      </w:r>
      <w:r>
        <w:rPr>
          <w:rFonts w:hint="eastAsia" w:ascii="宋体" w:hAnsi="宋体" w:eastAsia="宋体" w:cs="宋体"/>
          <w:color w:val="auto"/>
          <w:spacing w:val="0"/>
          <w:w w:val="100"/>
          <w:position w:val="0"/>
          <w:sz w:val="21"/>
          <w:szCs w:val="21"/>
          <w:highlight w:val="none"/>
          <w:lang w:eastAsia="zh-CN"/>
        </w:rPr>
        <w:t>：</w:t>
      </w:r>
    </w:p>
    <w:p w14:paraId="72FEF7A6">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（1）供应商须具备建筑工程施工总承包叁级（含叁级）以上资质，同时具备有效的省级及以上建设行政主管部门颁发的安全生产许可证。 </w:t>
      </w:r>
    </w:p>
    <w:p w14:paraId="0099F5A1">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供应商拟派项目经理须具备建筑工程专业二级或二级以上注册建造师执业资格及有效的安全生产考核合格证书（B类），本项目不接受有在建、已中标未开工或已列为其他项目中标候选人第一名的建造师作为项目经理。</w:t>
      </w:r>
    </w:p>
    <w:p w14:paraId="45757D1D">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b/>
          <w:bCs/>
          <w:color w:val="auto"/>
          <w:spacing w:val="0"/>
          <w:w w:val="100"/>
          <w:position w:val="0"/>
          <w:sz w:val="21"/>
          <w:szCs w:val="21"/>
          <w:highlight w:val="none"/>
          <w:u w:val="none"/>
          <w:lang w:val="en-US" w:eastAsia="zh-CN"/>
        </w:rPr>
      </w:pPr>
      <w:r>
        <w:rPr>
          <w:rFonts w:hint="eastAsia" w:ascii="宋体" w:hAnsi="宋体" w:eastAsia="宋体" w:cs="宋体"/>
          <w:color w:val="auto"/>
          <w:spacing w:val="0"/>
          <w:w w:val="100"/>
          <w:position w:val="0"/>
          <w:sz w:val="21"/>
          <w:szCs w:val="21"/>
          <w:highlight w:val="none"/>
          <w:u w:val="none"/>
        </w:rPr>
        <w:t>4</w:t>
      </w:r>
      <w:r>
        <w:rPr>
          <w:rFonts w:hint="eastAsia" w:ascii="宋体" w:hAnsi="宋体" w:eastAsia="宋体" w:cs="宋体"/>
          <w:color w:val="auto"/>
          <w:spacing w:val="0"/>
          <w:w w:val="100"/>
          <w:position w:val="0"/>
          <w:sz w:val="21"/>
          <w:szCs w:val="21"/>
          <w:highlight w:val="none"/>
          <w:u w:val="none"/>
          <w:lang w:eastAsia="zh-CN"/>
        </w:rPr>
        <w:t>.</w:t>
      </w:r>
      <w:r>
        <w:rPr>
          <w:rFonts w:hint="eastAsia" w:ascii="宋体" w:hAnsi="宋体" w:eastAsia="宋体" w:cs="宋体"/>
          <w:color w:val="auto"/>
          <w:spacing w:val="0"/>
          <w:w w:val="100"/>
          <w:position w:val="0"/>
          <w:sz w:val="21"/>
          <w:szCs w:val="21"/>
          <w:highlight w:val="none"/>
          <w:u w:val="none"/>
        </w:rPr>
        <w:t>本项目的特定条件</w:t>
      </w:r>
      <w:r>
        <w:rPr>
          <w:rFonts w:hint="eastAsia" w:ascii="宋体" w:hAnsi="宋体" w:eastAsia="宋体" w:cs="宋体"/>
          <w:b w:val="0"/>
          <w:bCs w:val="0"/>
          <w:color w:val="auto"/>
          <w:spacing w:val="0"/>
          <w:w w:val="100"/>
          <w:position w:val="0"/>
          <w:sz w:val="21"/>
          <w:szCs w:val="21"/>
          <w:highlight w:val="none"/>
          <w:u w:val="none"/>
          <w:lang w:eastAsia="zh-CN"/>
        </w:rPr>
        <w:t>：</w:t>
      </w:r>
      <w:r>
        <w:rPr>
          <w:rFonts w:hint="eastAsia" w:ascii="宋体" w:hAnsi="宋体" w:eastAsia="宋体" w:cs="宋体"/>
          <w:b w:val="0"/>
          <w:bCs w:val="0"/>
          <w:color w:val="auto"/>
          <w:spacing w:val="0"/>
          <w:w w:val="100"/>
          <w:position w:val="0"/>
          <w:sz w:val="21"/>
          <w:szCs w:val="21"/>
          <w:highlight w:val="none"/>
          <w:lang w:eastAsia="zh-CN"/>
        </w:rPr>
        <w:t>无</w:t>
      </w:r>
      <w:r>
        <w:rPr>
          <w:rFonts w:hint="eastAsia" w:ascii="宋体" w:hAnsi="宋体" w:eastAsia="宋体" w:cs="宋体"/>
          <w:b w:val="0"/>
          <w:bCs w:val="0"/>
          <w:color w:val="auto"/>
          <w:spacing w:val="0"/>
          <w:w w:val="100"/>
          <w:position w:val="0"/>
          <w:sz w:val="21"/>
          <w:szCs w:val="21"/>
          <w:highlight w:val="none"/>
          <w:u w:val="none"/>
          <w:lang w:eastAsia="zh-CN"/>
        </w:rPr>
        <w:t>。</w:t>
      </w:r>
    </w:p>
    <w:p w14:paraId="66052042">
      <w:pPr>
        <w:keepNext w:val="0"/>
        <w:keepLines w:val="0"/>
        <w:pageBreakBefore w:val="0"/>
        <w:kinsoku/>
        <w:wordWrap/>
        <w:overflowPunct/>
        <w:topLinePunct w:val="0"/>
        <w:autoSpaceDE/>
        <w:autoSpaceDN/>
        <w:bidi w:val="0"/>
        <w:adjustRightInd/>
        <w:snapToGrid w:val="0"/>
        <w:spacing w:after="0" w:line="360" w:lineRule="auto"/>
        <w:ind w:left="0" w:leftChars="0"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5</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2159D8A">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6</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对在“信用中国”网站(www.creditchina.gov.cn) 、中国政府采购网(www.ccgp.gov.cn)被列入失信被执行人、重大税收违法</w:t>
      </w:r>
      <w:r>
        <w:rPr>
          <w:rFonts w:hint="eastAsia" w:ascii="宋体" w:hAnsi="宋体" w:eastAsia="宋体" w:cs="宋体"/>
          <w:color w:val="auto"/>
          <w:spacing w:val="0"/>
          <w:w w:val="100"/>
          <w:position w:val="0"/>
          <w:sz w:val="21"/>
          <w:szCs w:val="21"/>
          <w:highlight w:val="none"/>
          <w:lang w:eastAsia="zh-CN"/>
        </w:rPr>
        <w:t>失信主体</w:t>
      </w:r>
      <w:r>
        <w:rPr>
          <w:rFonts w:hint="eastAsia" w:ascii="宋体" w:hAnsi="宋体" w:eastAsia="宋体" w:cs="宋体"/>
          <w:color w:val="auto"/>
          <w:spacing w:val="0"/>
          <w:w w:val="100"/>
          <w:position w:val="0"/>
          <w:sz w:val="21"/>
          <w:szCs w:val="21"/>
          <w:highlight w:val="none"/>
        </w:rPr>
        <w:t>、政府采购严重违法失信行为记录名单及其他不符合《中华人民共和国政府采购法》第二十二条规定条件的供应商，不得参与政府采购活动。</w:t>
      </w:r>
    </w:p>
    <w:p w14:paraId="18FE97CC">
      <w:pPr>
        <w:keepNext w:val="0"/>
        <w:keepLines w:val="0"/>
        <w:pageBreakBefore w:val="0"/>
        <w:kinsoku/>
        <w:wordWrap/>
        <w:overflowPunct/>
        <w:topLinePunct w:val="0"/>
        <w:autoSpaceDE/>
        <w:autoSpaceDN/>
        <w:bidi w:val="0"/>
        <w:adjustRightInd/>
        <w:spacing w:after="0" w:line="360" w:lineRule="auto"/>
        <w:ind w:left="0" w:leftChars="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p>
    <w:p w14:paraId="14821C11">
      <w:pPr>
        <w:keepNext w:val="0"/>
        <w:keepLines w:val="0"/>
        <w:pageBreakBefore w:val="0"/>
        <w:widowControl/>
        <w:kinsoku/>
        <w:wordWrap/>
        <w:overflowPunct/>
        <w:topLinePunct w:val="0"/>
        <w:autoSpaceDE/>
        <w:autoSpaceDN/>
        <w:bidi w:val="0"/>
        <w:adjustRightInd/>
        <w:spacing w:after="0" w:line="360" w:lineRule="auto"/>
        <w:ind w:left="0" w:leftChars="0" w:firstLine="420" w:firstLineChars="200"/>
        <w:jc w:val="left"/>
        <w:textAlignment w:val="auto"/>
        <w:rPr>
          <w:rFonts w:hint="eastAsia" w:ascii="宋体" w:hAnsi="宋体" w:eastAsia="宋体" w:cs="宋体"/>
          <w:color w:val="auto"/>
          <w:szCs w:val="21"/>
          <w:highlight w:val="none"/>
        </w:rPr>
      </w:pPr>
      <w:bookmarkStart w:id="23" w:name="_Toc28359082"/>
      <w:bookmarkStart w:id="24" w:name="_Toc28359005"/>
      <w:bookmarkStart w:id="25" w:name="_Toc35393793"/>
      <w:bookmarkStart w:id="26" w:name="_Toc35393624"/>
      <w:r>
        <w:rPr>
          <w:rFonts w:hint="eastAsia" w:ascii="宋体" w:hAnsi="宋体" w:eastAsia="宋体" w:cs="宋体"/>
          <w:color w:val="auto"/>
          <w:szCs w:val="21"/>
          <w:highlight w:val="none"/>
        </w:rPr>
        <w:t>时间：自公告发布之日起。</w:t>
      </w:r>
    </w:p>
    <w:p w14:paraId="7145CA91">
      <w:pPr>
        <w:keepNext w:val="0"/>
        <w:keepLines w:val="0"/>
        <w:pageBreakBefore w:val="0"/>
        <w:widowControl/>
        <w:kinsoku/>
        <w:wordWrap w:val="0"/>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获取方式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网上下载。本项目不发放纸质采购文件，供应商可自行在</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下载采购文件（操作路径：登录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获取的采购文件编制。</w:t>
      </w:r>
    </w:p>
    <w:p w14:paraId="5D4183BC">
      <w:pPr>
        <w:keepNext w:val="0"/>
        <w:keepLines w:val="0"/>
        <w:pageBreakBefore w:val="0"/>
        <w:widowControl/>
        <w:kinsoku/>
        <w:wordWrap/>
        <w:overflowPunct/>
        <w:topLinePunct w:val="0"/>
        <w:autoSpaceDE/>
        <w:autoSpaceDN/>
        <w:bidi w:val="0"/>
        <w:adjustRightInd/>
        <w:spacing w:after="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5E60BE64">
      <w:pPr>
        <w:keepNext w:val="0"/>
        <w:keepLines w:val="0"/>
        <w:pageBreakBefore w:val="0"/>
        <w:kinsoku/>
        <w:wordWrap/>
        <w:overflowPunct/>
        <w:topLinePunct w:val="0"/>
        <w:autoSpaceDE/>
        <w:autoSpaceDN/>
        <w:bidi w:val="0"/>
        <w:adjustRightInd/>
        <w:spacing w:after="0" w:line="360" w:lineRule="auto"/>
        <w:ind w:left="0" w:leftChars="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23"/>
      <w:bookmarkEnd w:id="24"/>
      <w:bookmarkEnd w:id="25"/>
      <w:bookmarkEnd w:id="26"/>
      <w:r>
        <w:rPr>
          <w:rFonts w:hint="eastAsia" w:ascii="宋体" w:hAnsi="宋体" w:eastAsia="宋体" w:cs="宋体"/>
          <w:b/>
          <w:bCs/>
          <w:color w:val="auto"/>
          <w:sz w:val="24"/>
          <w:highlight w:val="none"/>
        </w:rPr>
        <w:t>响应文件提交</w:t>
      </w:r>
    </w:p>
    <w:p w14:paraId="31FAD5BC">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1.首次响应文件提交截止时间</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u w:val="single"/>
          <w:lang w:eastAsia="zh-CN"/>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22</w:t>
      </w:r>
      <w:r>
        <w:rPr>
          <w:rFonts w:hint="eastAsia" w:ascii="宋体" w:hAnsi="宋体" w:eastAsia="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13</w:t>
      </w:r>
      <w:r>
        <w:rPr>
          <w:rFonts w:hint="eastAsia" w:ascii="宋体" w:hAnsi="宋体" w:eastAsia="宋体" w:cs="宋体"/>
          <w:color w:val="auto"/>
          <w:szCs w:val="21"/>
          <w:highlight w:val="none"/>
          <w:u w:val="single"/>
          <w:lang w:val="en-US" w:eastAsia="zh-CN"/>
        </w:rPr>
        <w:t>时</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lang w:val="en-US" w:eastAsia="zh-CN"/>
        </w:rPr>
        <w:t>0分</w:t>
      </w:r>
      <w:r>
        <w:rPr>
          <w:rFonts w:hint="eastAsia" w:ascii="宋体" w:hAnsi="宋体" w:eastAsia="宋体" w:cs="宋体"/>
          <w:color w:val="auto"/>
          <w:szCs w:val="21"/>
          <w:highlight w:val="none"/>
        </w:rPr>
        <w:t>。</w:t>
      </w:r>
    </w:p>
    <w:p w14:paraId="23281CBC">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2.首次响应文件提交地点：</w:t>
      </w:r>
    </w:p>
    <w:p w14:paraId="52AD2340">
      <w:pPr>
        <w:keepNext w:val="0"/>
        <w:keepLines w:val="0"/>
        <w:pageBreakBefore w:val="0"/>
        <w:widowControl/>
        <w:kinsoku/>
        <w:wordWrap w:val="0"/>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（1）响应文件提交方式：本项目为南宁市全流程电子化项目，通过</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实行在线电子响应，供应商应先安装“</w:t>
      </w:r>
      <w:r>
        <w:rPr>
          <w:rFonts w:hint="eastAsia" w:ascii="宋体" w:hAnsi="宋体" w:eastAsia="宋体" w:cs="宋体"/>
          <w:color w:val="auto"/>
          <w:szCs w:val="21"/>
          <w:highlight w:val="none"/>
          <w:lang w:eastAsia="zh-CN"/>
        </w:rPr>
        <w:t>广西政府采购云平台电子</w:t>
      </w:r>
      <w:r>
        <w:rPr>
          <w:rFonts w:hint="eastAsia" w:ascii="宋体" w:hAnsi="宋体" w:eastAsia="宋体" w:cs="宋体"/>
          <w:color w:val="auto"/>
          <w:szCs w:val="21"/>
          <w:highlight w:val="none"/>
        </w:rPr>
        <w:t>交易客户端”（请自行前往</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进行下载），并按照本项目采购文件和</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的要求编制、加密后在投标截止时间前通过网络上传至</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提交电子版响应文件时，请填写参加远程采购活动经办人联系方式，</w:t>
      </w:r>
      <w:r>
        <w:rPr>
          <w:rFonts w:hint="eastAsia" w:ascii="宋体" w:hAnsi="宋体" w:eastAsia="宋体" w:cs="宋体"/>
          <w:color w:val="auto"/>
          <w:szCs w:val="21"/>
          <w:highlight w:val="none"/>
        </w:rPr>
        <w:t>电子响应文件具体操作流程详见本公告附件。</w:t>
      </w:r>
    </w:p>
    <w:p w14:paraId="45EC3013">
      <w:pPr>
        <w:keepNext w:val="0"/>
        <w:keepLines w:val="0"/>
        <w:pageBreakBefore w:val="0"/>
        <w:widowControl/>
        <w:kinsoku/>
        <w:wordWrap/>
        <w:overflowPunct/>
        <w:topLinePunct w:val="0"/>
        <w:autoSpaceDE/>
        <w:autoSpaceDN/>
        <w:bidi w:val="0"/>
        <w:adjustRightInd/>
        <w:spacing w:after="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）及响应文件的提交。完成CA数字证书办理预计7日左右，供应商只需办理其中一家CA数字证书及签章。</w:t>
      </w:r>
    </w:p>
    <w:p w14:paraId="09A64428">
      <w:pPr>
        <w:keepNext w:val="0"/>
        <w:keepLines w:val="0"/>
        <w:pageBreakBefore w:val="0"/>
        <w:widowControl/>
        <w:kinsoku/>
        <w:wordWrap/>
        <w:overflowPunct/>
        <w:topLinePunct w:val="0"/>
        <w:autoSpaceDE/>
        <w:autoSpaceDN/>
        <w:bidi w:val="0"/>
        <w:adjustRightInd/>
        <w:spacing w:after="0"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580ABD6E">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eastAsia="宋体" w:cs="宋体"/>
          <w:bCs/>
          <w:color w:val="auto"/>
          <w:szCs w:val="21"/>
          <w:highlight w:val="none"/>
          <w:u w:val="single"/>
          <w:lang w:eastAsia="zh-CN"/>
        </w:rPr>
        <w:t>“广西政府采购云平台”</w:t>
      </w:r>
      <w:r>
        <w:rPr>
          <w:rFonts w:hint="eastAsia" w:ascii="宋体" w:hAnsi="宋体" w:eastAsia="宋体" w:cs="宋体"/>
          <w:bCs/>
          <w:color w:val="auto"/>
          <w:szCs w:val="21"/>
          <w:highlight w:val="none"/>
          <w:u w:val="single"/>
        </w:rPr>
        <w:t>将予以拒收。</w:t>
      </w:r>
    </w:p>
    <w:p w14:paraId="35F23B46">
      <w:pPr>
        <w:keepNext w:val="0"/>
        <w:keepLines w:val="0"/>
        <w:pageBreakBefore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3.CA证书在线解密：首次响应文件开启时，</w:t>
      </w:r>
      <w:r>
        <w:rPr>
          <w:rFonts w:hint="eastAsia" w:ascii="宋体" w:hAnsi="宋体" w:eastAsia="宋体" w:cs="宋体"/>
          <w:b/>
          <w:bCs/>
          <w:color w:val="auto"/>
          <w:kern w:val="0"/>
          <w:szCs w:val="21"/>
          <w:highlight w:val="none"/>
          <w:lang w:val="en-US" w:eastAsia="zh-CN"/>
        </w:rPr>
        <w:t>须</w:t>
      </w:r>
      <w:r>
        <w:rPr>
          <w:rFonts w:hint="eastAsia" w:ascii="宋体" w:hAnsi="宋体" w:eastAsia="宋体" w:cs="宋体"/>
          <w:b/>
          <w:bCs/>
          <w:color w:val="auto"/>
          <w:kern w:val="0"/>
          <w:szCs w:val="21"/>
          <w:highlight w:val="none"/>
          <w:lang w:eastAsia="zh-CN"/>
        </w:rPr>
        <w:t>要</w:t>
      </w:r>
      <w:r>
        <w:rPr>
          <w:rFonts w:hint="eastAsia" w:ascii="宋体" w:hAnsi="宋体" w:eastAsia="宋体" w:cs="宋体"/>
          <w:b/>
          <w:bCs/>
          <w:color w:val="auto"/>
          <w:kern w:val="0"/>
          <w:szCs w:val="21"/>
          <w:highlight w:val="none"/>
        </w:rPr>
        <w:t>供应商携带制作响应文件时用来加密的有效数字证书（CA认证）登录</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电子开标大厅现场按规定时间对加密的响应文件进行解密，未能按要求进行解密的，由此产生的后果由</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自行承担。</w:t>
      </w:r>
    </w:p>
    <w:p w14:paraId="09738973">
      <w:pPr>
        <w:keepNext w:val="0"/>
        <w:keepLines w:val="0"/>
        <w:pageBreakBefore w:val="0"/>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4.供应商需要在具备有摄像头及语音功能且互联网网络状况良好的电脑登录</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远程开标大厅参与本次磋商，否则后果自负。</w:t>
      </w:r>
    </w:p>
    <w:p w14:paraId="550AD57B">
      <w:pPr>
        <w:keepNext w:val="0"/>
        <w:keepLines w:val="0"/>
        <w:pageBreakBefore w:val="0"/>
        <w:kinsoku/>
        <w:wordWrap/>
        <w:overflowPunct/>
        <w:topLinePunct w:val="0"/>
        <w:autoSpaceDE/>
        <w:autoSpaceDN/>
        <w:bidi w:val="0"/>
        <w:adjustRightInd/>
        <w:spacing w:after="0" w:line="360" w:lineRule="auto"/>
        <w:ind w:left="0" w:leftChars="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00128911">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1.时间</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eastAsia="zh-CN"/>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22</w:t>
      </w:r>
      <w:r>
        <w:rPr>
          <w:rFonts w:hint="eastAsia" w:ascii="宋体" w:hAnsi="宋体" w:eastAsia="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13</w:t>
      </w:r>
      <w:r>
        <w:rPr>
          <w:rFonts w:hint="eastAsia" w:ascii="宋体" w:hAnsi="宋体" w:eastAsia="宋体" w:cs="宋体"/>
          <w:color w:val="auto"/>
          <w:szCs w:val="21"/>
          <w:highlight w:val="none"/>
          <w:u w:val="single"/>
          <w:lang w:val="en-US" w:eastAsia="zh-CN"/>
        </w:rPr>
        <w:t>时</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lang w:val="en-US" w:eastAsia="zh-CN"/>
        </w:rPr>
        <w:t>0分</w:t>
      </w:r>
      <w:r>
        <w:rPr>
          <w:rFonts w:hint="eastAsia" w:ascii="宋体" w:hAnsi="宋体" w:eastAsia="宋体" w:cs="宋体"/>
          <w:color w:val="auto"/>
          <w:szCs w:val="21"/>
          <w:highlight w:val="none"/>
        </w:rPr>
        <w:t>后</w:t>
      </w:r>
    </w:p>
    <w:p w14:paraId="2BB066F4">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2.地点：</w:t>
      </w:r>
      <w:r>
        <w:rPr>
          <w:rFonts w:hint="eastAsia" w:ascii="宋体" w:hAnsi="宋体" w:eastAsia="宋体" w:cs="宋体"/>
          <w:color w:val="auto"/>
          <w:szCs w:val="21"/>
          <w:highlight w:val="none"/>
          <w:u w:val="single"/>
        </w:rPr>
        <w:t>广西政府采购云平台</w:t>
      </w:r>
      <w:r>
        <w:rPr>
          <w:rFonts w:hint="eastAsia" w:ascii="宋体" w:hAnsi="宋体" w:eastAsia="宋体" w:cs="宋体"/>
          <w:color w:val="auto"/>
          <w:szCs w:val="21"/>
          <w:highlight w:val="none"/>
          <w:u w:val="single"/>
          <w:lang w:val="en-US" w:eastAsia="zh-CN"/>
        </w:rPr>
        <w:t>远程</w:t>
      </w:r>
      <w:r>
        <w:rPr>
          <w:rFonts w:hint="eastAsia" w:ascii="宋体" w:hAnsi="宋体" w:eastAsia="宋体" w:cs="宋体"/>
          <w:color w:val="auto"/>
          <w:szCs w:val="21"/>
          <w:highlight w:val="none"/>
          <w:u w:val="single"/>
        </w:rPr>
        <w:t>开标大厅</w:t>
      </w:r>
    </w:p>
    <w:p w14:paraId="239824B3">
      <w:pPr>
        <w:keepNext w:val="0"/>
        <w:keepLines w:val="0"/>
        <w:pageBreakBefore w:val="0"/>
        <w:kinsoku/>
        <w:wordWrap/>
        <w:overflowPunct/>
        <w:topLinePunct w:val="0"/>
        <w:autoSpaceDE/>
        <w:autoSpaceDN/>
        <w:bidi w:val="0"/>
        <w:adjustRightInd/>
        <w:spacing w:after="0" w:line="360" w:lineRule="auto"/>
        <w:ind w:left="0" w:leftChars="0" w:firstLine="482" w:firstLineChars="200"/>
        <w:textAlignment w:val="auto"/>
        <w:rPr>
          <w:rFonts w:hint="eastAsia" w:ascii="宋体" w:hAnsi="宋体" w:eastAsia="宋体" w:cs="宋体"/>
          <w:b/>
          <w:bCs/>
          <w:color w:val="auto"/>
          <w:sz w:val="24"/>
          <w:highlight w:val="none"/>
        </w:rPr>
      </w:pPr>
      <w:bookmarkStart w:id="27" w:name="_Toc28359007"/>
      <w:bookmarkStart w:id="28" w:name="_Toc35393625"/>
      <w:bookmarkStart w:id="29" w:name="_Toc35393794"/>
      <w:bookmarkStart w:id="30" w:name="_Toc28359084"/>
      <w:r>
        <w:rPr>
          <w:rFonts w:hint="eastAsia" w:ascii="宋体" w:hAnsi="宋体" w:eastAsia="宋体" w:cs="宋体"/>
          <w:b/>
          <w:bCs/>
          <w:color w:val="auto"/>
          <w:sz w:val="24"/>
          <w:highlight w:val="none"/>
        </w:rPr>
        <w:t>六、公告期限</w:t>
      </w:r>
      <w:bookmarkEnd w:id="27"/>
      <w:bookmarkEnd w:id="28"/>
      <w:bookmarkEnd w:id="29"/>
      <w:bookmarkEnd w:id="30"/>
    </w:p>
    <w:p w14:paraId="4DDD7274">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w:t>
      </w:r>
    </w:p>
    <w:p w14:paraId="5A78E479">
      <w:pPr>
        <w:keepNext w:val="0"/>
        <w:keepLines w:val="0"/>
        <w:pageBreakBefore w:val="0"/>
        <w:kinsoku/>
        <w:wordWrap/>
        <w:overflowPunct/>
        <w:topLinePunct w:val="0"/>
        <w:autoSpaceDE/>
        <w:autoSpaceDN/>
        <w:bidi w:val="0"/>
        <w:adjustRightInd/>
        <w:spacing w:after="0" w:line="360" w:lineRule="auto"/>
        <w:ind w:left="0" w:leftChars="0" w:firstLine="482" w:firstLineChars="200"/>
        <w:textAlignment w:val="auto"/>
        <w:rPr>
          <w:rFonts w:hint="eastAsia" w:ascii="宋体" w:hAnsi="宋体" w:eastAsia="宋体" w:cs="宋体"/>
          <w:b/>
          <w:bCs/>
          <w:color w:val="auto"/>
          <w:sz w:val="24"/>
          <w:highlight w:val="none"/>
        </w:rPr>
      </w:pPr>
      <w:bookmarkStart w:id="31" w:name="_Toc35393626"/>
      <w:bookmarkStart w:id="32" w:name="_Toc35393795"/>
      <w:r>
        <w:rPr>
          <w:rFonts w:hint="eastAsia" w:ascii="宋体" w:hAnsi="宋体" w:eastAsia="宋体" w:cs="宋体"/>
          <w:b/>
          <w:bCs/>
          <w:color w:val="auto"/>
          <w:sz w:val="24"/>
          <w:highlight w:val="none"/>
        </w:rPr>
        <w:t>七、其他补充事宜</w:t>
      </w:r>
      <w:bookmarkEnd w:id="31"/>
      <w:bookmarkEnd w:id="32"/>
    </w:p>
    <w:p w14:paraId="6601093B">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1.磋商保证金：本项目不收取磋商保证金</w:t>
      </w:r>
    </w:p>
    <w:p w14:paraId="7CC7ABED">
      <w:pPr>
        <w:keepNext w:val="0"/>
        <w:keepLines w:val="0"/>
        <w:pageBreakBefore w:val="0"/>
        <w:widowControl w:val="0"/>
        <w:kinsoku/>
        <w:wordWrap w:val="0"/>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2.采购意向公开链接：</w:t>
      </w:r>
      <w:r>
        <w:rPr>
          <w:rFonts w:hint="eastAsia" w:ascii="宋体" w:hAnsi="宋体" w:eastAsia="宋体" w:cs="宋体"/>
          <w:color w:val="auto"/>
          <w:highlight w:val="none"/>
          <w:lang w:eastAsia="zh-CN"/>
        </w:rPr>
        <w:t>南宁市西乡塘区金腾小学2025年2月政府采购意向</w:t>
      </w:r>
      <w:r>
        <w:rPr>
          <w:rFonts w:hint="eastAsia" w:ascii="宋体" w:hAnsi="宋体" w:eastAsia="宋体" w:cs="宋体"/>
          <w:color w:val="auto"/>
          <w:highlight w:val="none"/>
        </w:rPr>
        <w:t>http://www.ccgp-guangxi.gov.cn/site/detail?parentId=66601&amp;articleId=8hu7d+mefuzRcUEp6hLiRQ==</w:t>
      </w:r>
    </w:p>
    <w:p w14:paraId="6695CBF7">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kern w:val="0"/>
          <w:szCs w:val="21"/>
          <w:highlight w:val="none"/>
        </w:rPr>
      </w:pPr>
      <w:bookmarkStart w:id="33" w:name="_Hlk37429585"/>
      <w:r>
        <w:rPr>
          <w:rFonts w:hint="eastAsia" w:ascii="宋体" w:hAnsi="宋体" w:eastAsia="宋体" w:cs="宋体"/>
          <w:color w:val="auto"/>
          <w:kern w:val="0"/>
          <w:szCs w:val="21"/>
          <w:highlight w:val="none"/>
        </w:rPr>
        <w:t>3.</w:t>
      </w:r>
      <w:bookmarkStart w:id="34" w:name="_Hlk37429595"/>
      <w:r>
        <w:rPr>
          <w:rFonts w:hint="eastAsia" w:ascii="宋体" w:hAnsi="宋体" w:eastAsia="宋体" w:cs="宋体"/>
          <w:color w:val="auto"/>
          <w:kern w:val="0"/>
          <w:szCs w:val="21"/>
          <w:highlight w:val="none"/>
        </w:rPr>
        <w:t>网上查询地址</w:t>
      </w:r>
    </w:p>
    <w:bookmarkEnd w:id="33"/>
    <w:bookmarkEnd w:id="34"/>
    <w:p w14:paraId="6A2DEB0A">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kern w:val="0"/>
          <w:szCs w:val="21"/>
          <w:highlight w:val="none"/>
        </w:rPr>
      </w:pPr>
      <w:bookmarkStart w:id="35" w:name="_Hlk37429674"/>
      <w:r>
        <w:rPr>
          <w:rFonts w:hint="eastAsia" w:ascii="宋体" w:hAnsi="宋体" w:eastAsia="宋体" w:cs="宋体"/>
          <w:color w:val="auto"/>
          <w:kern w:val="0"/>
          <w:szCs w:val="21"/>
          <w:highlight w:val="none"/>
        </w:rPr>
        <w:t>http://zfcg.gxzf.gov.cn (广西政府采购网)、http://ggzy.jgswj.gxzf.gov.cn/nnggzy/(全国公共资源交易平台（广西·南宁）)</w:t>
      </w:r>
    </w:p>
    <w:p w14:paraId="0DE15B40">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本项目需要落实的政府采购政策</w:t>
      </w:r>
    </w:p>
    <w:bookmarkEnd w:id="35"/>
    <w:p w14:paraId="44B501AC">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48B591CB">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0CB0E6F3">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5D8201B8">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28A80DDD">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政府采购支持监狱企业发展。</w:t>
      </w:r>
    </w:p>
    <w:p w14:paraId="1159C7FC">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扶持不发达地区和少数民族地区政策。</w:t>
      </w:r>
    </w:p>
    <w:p w14:paraId="35F56829">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5167A88B">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6.若对项目采购电子交易系统操作有疑问，可登录“广西政府采购云平台”（https://www.gcy.zfcg.gxzf.gov.cn/），点击右侧咨询小采，获取采小蜜智能服务管家帮助，或拨打</w:t>
      </w:r>
      <w:r>
        <w:rPr>
          <w:rFonts w:hint="eastAsia" w:ascii="宋体" w:hAnsi="宋体" w:eastAsia="宋体" w:cs="宋体"/>
          <w:color w:val="auto"/>
          <w:szCs w:val="21"/>
          <w:highlight w:val="none"/>
        </w:rPr>
        <w:t>“广西政府采购云平台</w:t>
      </w:r>
      <w:r>
        <w:rPr>
          <w:rFonts w:hint="eastAsia" w:ascii="宋体" w:hAnsi="宋体" w:eastAsia="宋体" w:cs="宋体"/>
          <w:color w:val="auto"/>
          <w:kern w:val="0"/>
          <w:szCs w:val="21"/>
          <w:highlight w:val="none"/>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 xml:space="preserve">获取热线服务帮助。 </w:t>
      </w:r>
    </w:p>
    <w:p w14:paraId="5AE0CBA1">
      <w:pPr>
        <w:keepNext w:val="0"/>
        <w:keepLines w:val="0"/>
        <w:pageBreakBefore w:val="0"/>
        <w:kinsoku/>
        <w:wordWrap/>
        <w:overflowPunct/>
        <w:topLinePunct w:val="0"/>
        <w:autoSpaceDE/>
        <w:autoSpaceDN/>
        <w:bidi w:val="0"/>
        <w:adjustRightInd/>
        <w:spacing w:after="0" w:line="360" w:lineRule="auto"/>
        <w:ind w:left="0" w:leftChars="0" w:firstLine="482" w:firstLineChars="200"/>
        <w:textAlignment w:val="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7D006F71">
      <w:pPr>
        <w:keepNext w:val="0"/>
        <w:keepLines w:val="0"/>
        <w:pageBreakBefore w:val="0"/>
        <w:kinsoku/>
        <w:wordWrap/>
        <w:overflowPunct/>
        <w:topLinePunct w:val="0"/>
        <w:autoSpaceDE/>
        <w:autoSpaceDN/>
        <w:bidi w:val="0"/>
        <w:adjustRightInd/>
        <w:spacing w:after="0" w:line="360" w:lineRule="auto"/>
        <w:ind w:left="0" w:leftChars="0" w:firstLine="735" w:firstLineChars="35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49E4B89E">
      <w:pPr>
        <w:keepNext w:val="0"/>
        <w:keepLines w:val="0"/>
        <w:pageBreakBefore w:val="0"/>
        <w:widowControl/>
        <w:kinsoku/>
        <w:wordWrap/>
        <w:overflowPunct/>
        <w:topLinePunct w:val="0"/>
        <w:autoSpaceDE/>
        <w:autoSpaceDN/>
        <w:bidi w:val="0"/>
        <w:adjustRightInd/>
        <w:snapToGrid w:val="0"/>
        <w:spacing w:after="0" w:line="360" w:lineRule="auto"/>
        <w:ind w:left="275" w:leftChars="0" w:firstLine="420" w:firstLineChars="200"/>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南宁市西乡塘区金腾小学</w:t>
      </w:r>
    </w:p>
    <w:p w14:paraId="060AAA1E">
      <w:pPr>
        <w:keepNext w:val="0"/>
        <w:keepLines w:val="0"/>
        <w:pageBreakBefore w:val="0"/>
        <w:widowControl/>
        <w:kinsoku/>
        <w:wordWrap/>
        <w:overflowPunct/>
        <w:topLinePunct w:val="0"/>
        <w:autoSpaceDE/>
        <w:autoSpaceDN/>
        <w:bidi w:val="0"/>
        <w:adjustRightInd/>
        <w:snapToGrid w:val="0"/>
        <w:spacing w:after="0" w:line="360" w:lineRule="auto"/>
        <w:ind w:left="275" w:leftChars="0"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南宁市西乡塘区金陵镇</w:t>
      </w:r>
      <w:r>
        <w:rPr>
          <w:rFonts w:hint="eastAsia" w:ascii="宋体" w:hAnsi="宋体" w:eastAsia="宋体" w:cs="宋体"/>
          <w:color w:val="auto"/>
          <w:szCs w:val="21"/>
          <w:highlight w:val="none"/>
          <w:lang w:eastAsia="zh-CN"/>
        </w:rPr>
        <w:t>西林街99号</w:t>
      </w:r>
    </w:p>
    <w:p w14:paraId="65A05799">
      <w:pPr>
        <w:keepNext w:val="0"/>
        <w:keepLines w:val="0"/>
        <w:pageBreakBefore w:val="0"/>
        <w:widowControl/>
        <w:kinsoku/>
        <w:wordWrap/>
        <w:overflowPunct/>
        <w:topLinePunct w:val="0"/>
        <w:autoSpaceDE/>
        <w:autoSpaceDN/>
        <w:bidi w:val="0"/>
        <w:adjustRightInd/>
        <w:snapToGrid w:val="0"/>
        <w:spacing w:after="0" w:line="360" w:lineRule="auto"/>
        <w:ind w:left="275" w:leftChars="0"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项目联系人：方勇华</w:t>
      </w:r>
    </w:p>
    <w:p w14:paraId="2D2D42EB">
      <w:pPr>
        <w:keepNext w:val="0"/>
        <w:keepLines w:val="0"/>
        <w:pageBreakBefore w:val="0"/>
        <w:widowControl/>
        <w:kinsoku/>
        <w:wordWrap/>
        <w:overflowPunct/>
        <w:topLinePunct w:val="0"/>
        <w:autoSpaceDE/>
        <w:autoSpaceDN/>
        <w:bidi w:val="0"/>
        <w:adjustRightInd/>
        <w:snapToGrid w:val="0"/>
        <w:spacing w:after="0" w:line="360" w:lineRule="auto"/>
        <w:ind w:left="275" w:leftChars="0"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联系电话：18076552359</w:t>
      </w:r>
    </w:p>
    <w:p w14:paraId="137A55C9">
      <w:pPr>
        <w:keepNext w:val="0"/>
        <w:keepLines w:val="0"/>
        <w:pageBreakBefore w:val="0"/>
        <w:widowControl/>
        <w:kinsoku/>
        <w:wordWrap/>
        <w:overflowPunct/>
        <w:topLinePunct w:val="0"/>
        <w:autoSpaceDE/>
        <w:autoSpaceDN/>
        <w:bidi w:val="0"/>
        <w:adjustRightInd/>
        <w:snapToGrid w:val="0"/>
        <w:spacing w:after="0" w:line="360" w:lineRule="auto"/>
        <w:ind w:left="275"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0AD71ED1">
      <w:pPr>
        <w:keepNext w:val="0"/>
        <w:keepLines w:val="0"/>
        <w:pageBreakBefore w:val="0"/>
        <w:widowControl/>
        <w:kinsoku/>
        <w:wordWrap/>
        <w:overflowPunct/>
        <w:topLinePunct w:val="0"/>
        <w:autoSpaceDE/>
        <w:autoSpaceDN/>
        <w:bidi w:val="0"/>
        <w:adjustRightInd/>
        <w:snapToGrid w:val="0"/>
        <w:spacing w:after="0" w:line="360" w:lineRule="auto"/>
        <w:ind w:left="275" w:leftChars="0" w:firstLine="420" w:firstLineChars="200"/>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广西邕政采购代理有限公司</w:t>
      </w:r>
    </w:p>
    <w:p w14:paraId="77626FE5">
      <w:pPr>
        <w:keepNext w:val="0"/>
        <w:keepLines w:val="0"/>
        <w:pageBreakBefore w:val="0"/>
        <w:widowControl/>
        <w:kinsoku/>
        <w:wordWrap/>
        <w:overflowPunct/>
        <w:topLinePunct w:val="0"/>
        <w:autoSpaceDE/>
        <w:autoSpaceDN/>
        <w:bidi w:val="0"/>
        <w:adjustRightInd/>
        <w:snapToGrid w:val="0"/>
        <w:spacing w:after="0" w:line="360" w:lineRule="auto"/>
        <w:ind w:firstLine="630" w:firstLineChars="300"/>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南宁市青秀区民族大道180号（威壮大厦）22层2210～2217室</w:t>
      </w:r>
    </w:p>
    <w:p w14:paraId="544956DB">
      <w:pPr>
        <w:keepNext w:val="0"/>
        <w:keepLines w:val="0"/>
        <w:pageBreakBefore w:val="0"/>
        <w:widowControl/>
        <w:kinsoku/>
        <w:wordWrap/>
        <w:overflowPunct/>
        <w:topLinePunct w:val="0"/>
        <w:autoSpaceDE/>
        <w:autoSpaceDN/>
        <w:bidi w:val="0"/>
        <w:adjustRightInd/>
        <w:snapToGrid w:val="0"/>
        <w:spacing w:after="0" w:line="360" w:lineRule="auto"/>
        <w:ind w:left="275" w:leftChars="0" w:firstLine="420" w:firstLineChars="200"/>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val="en-US" w:eastAsia="zh-CN"/>
        </w:rPr>
        <w:t>覃锦锈、黄秋梅、罗霞</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0771-2225338</w:t>
      </w:r>
    </w:p>
    <w:p w14:paraId="1DA0D30C">
      <w:pPr>
        <w:keepNext w:val="0"/>
        <w:keepLines w:val="0"/>
        <w:pageBreakBefore w:val="0"/>
        <w:widowControl/>
        <w:kinsoku/>
        <w:wordWrap/>
        <w:overflowPunct/>
        <w:topLinePunct w:val="0"/>
        <w:autoSpaceDE/>
        <w:autoSpaceDN/>
        <w:bidi w:val="0"/>
        <w:adjustRightInd/>
        <w:snapToGrid w:val="0"/>
        <w:spacing w:after="0" w:line="360" w:lineRule="auto"/>
        <w:ind w:left="275"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7D737F1B">
      <w:pPr>
        <w:keepNext w:val="0"/>
        <w:keepLines w:val="0"/>
        <w:pageBreakBefore w:val="0"/>
        <w:widowControl/>
        <w:kinsoku/>
        <w:wordWrap/>
        <w:overflowPunct/>
        <w:topLinePunct w:val="0"/>
        <w:autoSpaceDE/>
        <w:autoSpaceDN/>
        <w:bidi w:val="0"/>
        <w:adjustRightInd/>
        <w:snapToGrid w:val="0"/>
        <w:spacing w:after="0" w:line="360" w:lineRule="auto"/>
        <w:ind w:left="275" w:leftChars="0" w:firstLine="420" w:firstLineChars="200"/>
        <w:jc w:val="left"/>
        <w:textAlignment w:val="auto"/>
        <w:rPr>
          <w:rFonts w:hint="eastAsia" w:ascii="宋体" w:hAnsi="宋体" w:eastAsia="宋体" w:cs="宋体"/>
          <w:color w:val="auto"/>
          <w:szCs w:val="21"/>
          <w:highlight w:val="none"/>
          <w:u w:val="single"/>
          <w:lang w:val="en-US"/>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lang w:val="en-US" w:eastAsia="zh-CN"/>
        </w:rPr>
        <w:t>覃锦锈、黄秋梅、罗霞</w:t>
      </w:r>
    </w:p>
    <w:p w14:paraId="68993BC3">
      <w:pPr>
        <w:keepNext w:val="0"/>
        <w:keepLines w:val="0"/>
        <w:pageBreakBefore w:val="0"/>
        <w:widowControl/>
        <w:kinsoku/>
        <w:wordWrap/>
        <w:overflowPunct/>
        <w:topLinePunct w:val="0"/>
        <w:autoSpaceDE/>
        <w:autoSpaceDN/>
        <w:bidi w:val="0"/>
        <w:adjustRightInd/>
        <w:snapToGrid w:val="0"/>
        <w:spacing w:after="0" w:line="360" w:lineRule="auto"/>
        <w:ind w:left="275" w:leftChars="0"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电话：0771-2225338</w:t>
      </w:r>
    </w:p>
    <w:p w14:paraId="2C9C7310">
      <w:pPr>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szCs w:val="21"/>
          <w:highlight w:val="none"/>
        </w:rPr>
      </w:pPr>
    </w:p>
    <w:p w14:paraId="00442289">
      <w:pPr>
        <w:pStyle w:val="9"/>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附件：</w:t>
      </w:r>
    </w:p>
    <w:p w14:paraId="3B1E2D43">
      <w:pPr>
        <w:pStyle w:val="9"/>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1.CA证书申请方式及操作指南下载地址（登陆</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"http://nncz.nanning.gov.cn/"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http://nncz.nanning.gov.cn/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（南宁市财政局官网）-业务专题-政府采购监督管理-资料下载-“广西政采云西部CA办理方式”或“南宁市政采云CA证书办理操作指南”）</w:t>
      </w:r>
    </w:p>
    <w:p w14:paraId="360B7F96">
      <w:pPr>
        <w:pStyle w:val="9"/>
        <w:keepNext w:val="0"/>
        <w:keepLines w:val="0"/>
        <w:pageBreakBefore w:val="0"/>
        <w:kinsoku/>
        <w:wordWrap/>
        <w:overflowPunct/>
        <w:topLinePunct w:val="0"/>
        <w:autoSpaceDE/>
        <w:autoSpaceDN/>
        <w:bidi w:val="0"/>
        <w:adjustRightInd/>
        <w:spacing w:after="0" w:line="360" w:lineRule="auto"/>
        <w:ind w:left="0" w:leftChars="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2.电子投标文件制作与投送教程（在此网址下载：</w:t>
      </w:r>
      <w:r>
        <w:rPr>
          <w:rFonts w:hint="eastAsia" w:ascii="宋体" w:hAnsi="宋体" w:eastAsia="宋体" w:cs="宋体"/>
          <w:color w:val="auto"/>
          <w:szCs w:val="21"/>
          <w:highlight w:val="none"/>
          <w:lang w:val="en-US" w:eastAsia="zh-CN"/>
        </w:rPr>
        <w:fldChar w:fldCharType="begin"/>
      </w:r>
      <w:r>
        <w:rPr>
          <w:rFonts w:hint="eastAsia" w:ascii="宋体" w:hAnsi="宋体" w:eastAsia="宋体" w:cs="宋体"/>
          <w:color w:val="auto"/>
          <w:szCs w:val="21"/>
          <w:highlight w:val="none"/>
          <w:lang w:val="en-US" w:eastAsia="zh-CN"/>
        </w:rPr>
        <w:instrText xml:space="preserve"> HYPERLINK "http://nncz.nanning.gov.cn/" </w:instrText>
      </w:r>
      <w:r>
        <w:rPr>
          <w:rFonts w:hint="eastAsia" w:ascii="宋体" w:hAnsi="宋体" w:eastAsia="宋体" w:cs="宋体"/>
          <w:color w:val="auto"/>
          <w:szCs w:val="21"/>
          <w:highlight w:val="none"/>
          <w:lang w:val="en-US" w:eastAsia="zh-CN"/>
        </w:rPr>
        <w:fldChar w:fldCharType="separate"/>
      </w:r>
      <w:r>
        <w:rPr>
          <w:rFonts w:hint="eastAsia" w:ascii="宋体" w:hAnsi="宋体" w:eastAsia="宋体" w:cs="宋体"/>
          <w:color w:val="auto"/>
          <w:szCs w:val="21"/>
          <w:highlight w:val="none"/>
          <w:lang w:val="en-US" w:eastAsia="zh-CN"/>
        </w:rPr>
        <w:t>http://nncz.nanning.gov.cn/</w:t>
      </w:r>
      <w:r>
        <w:rPr>
          <w:rFonts w:hint="eastAsia" w:ascii="宋体" w:hAnsi="宋体" w:eastAsia="宋体" w:cs="宋体"/>
          <w:color w:val="auto"/>
          <w:szCs w:val="21"/>
          <w:highlight w:val="none"/>
          <w:lang w:val="en-US" w:eastAsia="zh-CN"/>
        </w:rPr>
        <w:fldChar w:fldCharType="end"/>
      </w:r>
      <w:r>
        <w:rPr>
          <w:rFonts w:hint="eastAsia" w:ascii="宋体" w:hAnsi="宋体" w:eastAsia="宋体" w:cs="宋体"/>
          <w:color w:val="auto"/>
          <w:szCs w:val="21"/>
          <w:highlight w:val="none"/>
          <w:lang w:val="en-US" w:eastAsia="zh-CN"/>
        </w:rPr>
        <w:t>（南宁市财政局官网）-业务专题-政府采购监督管理-资料下载-南宁市政府采购项目全流程电子化交易操作指南）</w:t>
      </w:r>
    </w:p>
    <w:p w14:paraId="0F54A01F">
      <w:pPr>
        <w:pStyle w:val="9"/>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rPr>
          <w:rFonts w:hint="eastAsia" w:ascii="宋体" w:hAnsi="宋体" w:eastAsia="宋体" w:cs="宋体"/>
          <w:color w:val="auto"/>
          <w:szCs w:val="21"/>
          <w:highlight w:val="none"/>
          <w:lang w:eastAsia="zh-CN"/>
        </w:rPr>
      </w:pPr>
    </w:p>
    <w:p w14:paraId="044B1104">
      <w:pPr>
        <w:keepNext w:val="0"/>
        <w:keepLines w:val="0"/>
        <w:pageBreakBefore w:val="0"/>
        <w:kinsoku/>
        <w:wordWrap/>
        <w:overflowPunct/>
        <w:topLinePunct w:val="0"/>
        <w:autoSpaceDE/>
        <w:autoSpaceDN/>
        <w:bidi w:val="0"/>
        <w:adjustRightInd/>
        <w:spacing w:line="440" w:lineRule="exact"/>
        <w:ind w:firstLine="420" w:firstLineChars="200"/>
        <w:jc w:val="center"/>
        <w:textAlignment w:val="auto"/>
        <w:rPr>
          <w:rFonts w:hint="eastAsia" w:ascii="宋体" w:hAnsi="宋体" w:eastAsia="宋体" w:cs="宋体"/>
          <w:color w:val="auto"/>
          <w:szCs w:val="21"/>
          <w:highlight w:val="none"/>
          <w:lang w:eastAsia="zh-CN"/>
        </w:rPr>
        <w:sectPr>
          <w:footerReference r:id="rId6"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start="1"/>
          <w:cols w:space="720" w:num="1"/>
        </w:sect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eastAsia="zh-CN"/>
        </w:rPr>
        <w:t>日</w:t>
      </w:r>
    </w:p>
    <w:p w14:paraId="1CB2CA08">
      <w:pPr>
        <w:pStyle w:val="2"/>
        <w:keepNext/>
        <w:keepLines/>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 xml:space="preserve">第二章 </w:t>
      </w:r>
      <w:r>
        <w:rPr>
          <w:rFonts w:hint="eastAsia" w:ascii="宋体" w:hAnsi="宋体" w:eastAsia="宋体" w:cs="宋体"/>
          <w:b/>
          <w:bCs/>
          <w:color w:val="auto"/>
          <w:highlight w:val="none"/>
          <w:lang w:val="en-US" w:eastAsia="zh-CN"/>
        </w:rPr>
        <w:t>采购需求</w:t>
      </w:r>
      <w:bookmarkEnd w:id="15"/>
      <w:bookmarkEnd w:id="16"/>
      <w:bookmarkEnd w:id="17"/>
    </w:p>
    <w:p w14:paraId="3191E1DD">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说明：</w:t>
      </w:r>
    </w:p>
    <w:p w14:paraId="16DEA486">
      <w:pPr>
        <w:pageBreakBefore w:val="0"/>
        <w:kinsoku/>
        <w:topLinePunct w:val="0"/>
        <w:bidi w:val="0"/>
        <w:spacing w:line="360" w:lineRule="auto"/>
        <w:ind w:firstLine="420" w:firstLineChars="200"/>
        <w:jc w:val="left"/>
        <w:rPr>
          <w:rFonts w:hint="eastAsia" w:ascii="宋体" w:hAnsi="宋体" w:cs="宋体"/>
          <w:color w:val="auto"/>
          <w:szCs w:val="21"/>
          <w:highlight w:val="none"/>
        </w:rPr>
      </w:pPr>
      <w:r>
        <w:rPr>
          <w:rFonts w:hint="eastAsia" w:ascii="宋体" w:hAnsi="宋体"/>
          <w:color w:val="auto"/>
          <w:highlight w:val="none"/>
        </w:rPr>
        <w:t>1</w:t>
      </w:r>
      <w:r>
        <w:rPr>
          <w:rFonts w:hint="eastAsia"/>
          <w:color w:val="auto"/>
          <w:highlight w:val="none"/>
        </w:rPr>
        <w:t>. 为落实政府采购政策需满足的要求</w:t>
      </w:r>
    </w:p>
    <w:p w14:paraId="49F1120E">
      <w:pPr>
        <w:pageBreakBefore w:val="0"/>
        <w:kinsoku/>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1E64CE75">
      <w:pPr>
        <w:pageBreakBefore w:val="0"/>
        <w:kinsoku/>
        <w:topLinePunct w:val="0"/>
        <w:bidi w:val="0"/>
        <w:spacing w:line="360" w:lineRule="auto"/>
        <w:ind w:firstLine="413" w:firstLineChars="196"/>
        <w:rPr>
          <w:rFonts w:hint="eastAsia"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p>
    <w:p w14:paraId="2D882BFC">
      <w:pPr>
        <w:pStyle w:val="9"/>
        <w:keepNext w:val="0"/>
        <w:keepLines w:val="0"/>
        <w:pageBreakBefore w:val="0"/>
        <w:widowControl w:val="0"/>
        <w:kinsoku/>
        <w:wordWrap w:val="0"/>
        <w:overflowPunct/>
        <w:topLinePunct w:val="0"/>
        <w:autoSpaceDE/>
        <w:autoSpaceDN/>
        <w:bidi w:val="0"/>
        <w:adjustRightInd/>
        <w:spacing w:line="360" w:lineRule="auto"/>
        <w:ind w:firstLine="420" w:firstLineChars="200"/>
        <w:textAlignment w:val="auto"/>
        <w:rPr>
          <w:rFonts w:hint="eastAsia"/>
          <w:color w:val="auto"/>
          <w:highlight w:val="none"/>
        </w:rPr>
      </w:pPr>
      <w:r>
        <w:rPr>
          <w:rFonts w:hint="eastAsia" w:ascii="宋体" w:hAnsi="宋体" w:cs="宋体"/>
          <w:color w:val="auto"/>
          <w:szCs w:val="21"/>
          <w:highlight w:val="none"/>
        </w:rPr>
        <w:t xml:space="preserve">3. </w:t>
      </w:r>
      <w:r>
        <w:rPr>
          <w:rFonts w:hint="eastAsia"/>
          <w:color w:val="auto"/>
          <w:highlight w:val="none"/>
        </w:rPr>
        <w:t>如</w:t>
      </w:r>
      <w:r>
        <w:rPr>
          <w:rFonts w:hint="eastAsia" w:ascii="宋体" w:hAnsi="宋体" w:eastAsia="宋体" w:cs="Times New Roman"/>
          <w:bCs/>
          <w:color w:val="auto"/>
          <w:szCs w:val="21"/>
          <w:highlight w:val="none"/>
          <w:lang w:eastAsia="zh-CN"/>
        </w:rPr>
        <w:t>响应</w:t>
      </w:r>
      <w:r>
        <w:rPr>
          <w:rFonts w:hint="eastAsia"/>
          <w:color w:val="auto"/>
          <w:highlight w:val="none"/>
        </w:rPr>
        <w:t>人</w:t>
      </w:r>
      <w:r>
        <w:rPr>
          <w:rFonts w:hint="eastAsia" w:ascii="宋体" w:hAnsi="宋体" w:eastAsia="宋体" w:cs="Times New Roman"/>
          <w:bCs/>
          <w:color w:val="auto"/>
          <w:szCs w:val="21"/>
          <w:highlight w:val="none"/>
          <w:lang w:eastAsia="zh-CN"/>
        </w:rPr>
        <w:t>响应</w:t>
      </w:r>
      <w:r>
        <w:rPr>
          <w:color w:val="auto"/>
          <w:highlight w:val="none"/>
        </w:rPr>
        <w:t>产品</w:t>
      </w:r>
      <w:r>
        <w:rPr>
          <w:rFonts w:hint="eastAsia"/>
          <w:color w:val="auto"/>
          <w:highlight w:val="none"/>
        </w:rPr>
        <w:t>存在</w:t>
      </w:r>
      <w:r>
        <w:rPr>
          <w:color w:val="auto"/>
          <w:highlight w:val="none"/>
        </w:rPr>
        <w:t>侵犯</w:t>
      </w:r>
      <w:r>
        <w:rPr>
          <w:rFonts w:hint="eastAsia"/>
          <w:color w:val="auto"/>
          <w:highlight w:val="none"/>
        </w:rPr>
        <w:t>他人的知识产权或者专利成果行为的，应</w:t>
      </w:r>
      <w:r>
        <w:rPr>
          <w:color w:val="auto"/>
          <w:highlight w:val="none"/>
        </w:rPr>
        <w:t>承担相应法律责任</w:t>
      </w:r>
      <w:r>
        <w:rPr>
          <w:rFonts w:hint="eastAsia"/>
          <w:color w:val="auto"/>
          <w:highlight w:val="none"/>
        </w:rPr>
        <w:t>。</w:t>
      </w:r>
    </w:p>
    <w:p w14:paraId="7E4E0DF0">
      <w:pPr>
        <w:outlineLvl w:val="9"/>
        <w:rPr>
          <w:rFonts w:hint="eastAsia" w:ascii="宋体" w:hAnsi="宋体"/>
          <w:color w:val="auto"/>
          <w:highlight w:val="none"/>
        </w:rPr>
      </w:pPr>
    </w:p>
    <w:tbl>
      <w:tblPr>
        <w:tblStyle w:val="23"/>
        <w:tblW w:w="10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315"/>
        <w:gridCol w:w="1114"/>
        <w:gridCol w:w="405"/>
        <w:gridCol w:w="315"/>
        <w:gridCol w:w="6285"/>
        <w:gridCol w:w="1163"/>
      </w:tblGrid>
      <w:tr w14:paraId="68F49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023" w:type="dxa"/>
            <w:gridSpan w:val="7"/>
            <w:tcBorders>
              <w:top w:val="single" w:color="auto" w:sz="4" w:space="0"/>
              <w:left w:val="single" w:color="auto" w:sz="4" w:space="0"/>
              <w:right w:val="single" w:color="auto" w:sz="4" w:space="0"/>
            </w:tcBorders>
            <w:noWrap w:val="0"/>
            <w:vAlign w:val="center"/>
          </w:tcPr>
          <w:p w14:paraId="41F2AC4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Arial"/>
                <w:b/>
                <w:color w:val="auto"/>
                <w:sz w:val="32"/>
                <w:szCs w:val="32"/>
                <w:highlight w:val="none"/>
              </w:rPr>
            </w:pPr>
          </w:p>
          <w:p w14:paraId="359B1561">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color w:val="auto"/>
                <w:sz w:val="32"/>
                <w:szCs w:val="32"/>
                <w:highlight w:val="none"/>
              </w:rPr>
            </w:pPr>
            <w:r>
              <w:rPr>
                <w:rFonts w:hint="eastAsia" w:ascii="宋体" w:hAnsi="宋体" w:cs="Arial"/>
                <w:b/>
                <w:color w:val="auto"/>
                <w:sz w:val="32"/>
                <w:szCs w:val="32"/>
                <w:highlight w:val="none"/>
              </w:rPr>
              <w:t>采购需求一览表</w:t>
            </w:r>
          </w:p>
        </w:tc>
      </w:tr>
      <w:tr w14:paraId="79FA8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26" w:type="dxa"/>
            <w:vMerge w:val="restart"/>
            <w:tcBorders>
              <w:top w:val="single" w:color="auto" w:sz="4" w:space="0"/>
              <w:left w:val="single" w:color="auto" w:sz="4" w:space="0"/>
              <w:right w:val="single" w:color="auto" w:sz="4" w:space="0"/>
            </w:tcBorders>
            <w:noWrap w:val="0"/>
            <w:vAlign w:val="center"/>
          </w:tcPr>
          <w:p w14:paraId="5DD42DE1">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采购清单及技术参数</w:t>
            </w:r>
          </w:p>
        </w:tc>
        <w:tc>
          <w:tcPr>
            <w:tcW w:w="31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20F1A45">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序号</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6C05DA99">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标的的名称</w:t>
            </w:r>
          </w:p>
        </w:tc>
        <w:tc>
          <w:tcPr>
            <w:tcW w:w="405" w:type="dxa"/>
            <w:tcBorders>
              <w:top w:val="single" w:color="auto" w:sz="4" w:space="0"/>
              <w:left w:val="single" w:color="auto" w:sz="4" w:space="0"/>
              <w:bottom w:val="single" w:color="auto" w:sz="4" w:space="0"/>
              <w:right w:val="single" w:color="auto" w:sz="4" w:space="0"/>
            </w:tcBorders>
            <w:noWrap w:val="0"/>
            <w:vAlign w:val="center"/>
          </w:tcPr>
          <w:p w14:paraId="38B22BC8">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单位</w:t>
            </w:r>
          </w:p>
        </w:tc>
        <w:tc>
          <w:tcPr>
            <w:tcW w:w="315" w:type="dxa"/>
            <w:tcBorders>
              <w:top w:val="single" w:color="auto" w:sz="4" w:space="0"/>
              <w:left w:val="single" w:color="auto" w:sz="4" w:space="0"/>
              <w:bottom w:val="single" w:color="auto" w:sz="4" w:space="0"/>
              <w:right w:val="single" w:color="auto" w:sz="4" w:space="0"/>
            </w:tcBorders>
            <w:noWrap w:val="0"/>
            <w:vAlign w:val="center"/>
          </w:tcPr>
          <w:p w14:paraId="4296F4EE">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数量</w:t>
            </w:r>
          </w:p>
        </w:tc>
        <w:tc>
          <w:tcPr>
            <w:tcW w:w="6285" w:type="dxa"/>
            <w:tcBorders>
              <w:top w:val="single" w:color="auto" w:sz="4" w:space="0"/>
              <w:left w:val="single" w:color="auto" w:sz="4" w:space="0"/>
              <w:bottom w:val="single" w:color="auto" w:sz="4" w:space="0"/>
              <w:right w:val="single" w:color="auto" w:sz="4" w:space="0"/>
            </w:tcBorders>
            <w:noWrap w:val="0"/>
            <w:vAlign w:val="center"/>
          </w:tcPr>
          <w:p w14:paraId="7B5B50DA">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color w:val="auto"/>
                <w:szCs w:val="21"/>
                <w:highlight w:val="none"/>
              </w:rPr>
            </w:pPr>
            <w:r>
              <w:rPr>
                <w:rFonts w:hint="eastAsia" w:ascii="宋体" w:hAnsi="宋体" w:eastAsia="宋体" w:cs="宋体"/>
                <w:color w:val="auto"/>
                <w:szCs w:val="21"/>
                <w:highlight w:val="none"/>
              </w:rPr>
              <w:t>工程概况及采购范围</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076558C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olor w:val="auto"/>
                <w:sz w:val="21"/>
                <w:szCs w:val="21"/>
                <w:highlight w:val="none"/>
              </w:rPr>
              <w:t>中小企业划分标准所属行业名称</w:t>
            </w:r>
          </w:p>
        </w:tc>
      </w:tr>
      <w:tr w14:paraId="7D761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26" w:type="dxa"/>
            <w:vMerge w:val="continue"/>
            <w:tcBorders>
              <w:left w:val="single" w:color="auto" w:sz="4" w:space="0"/>
              <w:bottom w:val="single" w:color="auto" w:sz="4" w:space="0"/>
              <w:right w:val="single" w:color="auto" w:sz="4" w:space="0"/>
            </w:tcBorders>
            <w:noWrap w:val="0"/>
            <w:vAlign w:val="top"/>
          </w:tcPr>
          <w:p w14:paraId="3EA30809">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bCs/>
                <w:color w:val="auto"/>
                <w:szCs w:val="21"/>
                <w:highlight w:val="none"/>
              </w:rPr>
            </w:pPr>
          </w:p>
        </w:tc>
        <w:tc>
          <w:tcPr>
            <w:tcW w:w="315" w:type="dxa"/>
            <w:tcBorders>
              <w:top w:val="single" w:color="auto" w:sz="4" w:space="0"/>
              <w:left w:val="single" w:color="auto" w:sz="4" w:space="0"/>
              <w:bottom w:val="single" w:color="auto" w:sz="4" w:space="0"/>
              <w:right w:val="single" w:color="auto" w:sz="4" w:space="0"/>
            </w:tcBorders>
            <w:noWrap w:val="0"/>
            <w:vAlign w:val="center"/>
          </w:tcPr>
          <w:p w14:paraId="26F17BB1">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1</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3676B4F7">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宋体" w:hAnsi="宋体" w:eastAsia="宋体"/>
                <w:color w:val="auto"/>
                <w:szCs w:val="21"/>
                <w:highlight w:val="none"/>
                <w:lang w:val="en-US" w:eastAsia="zh-CN"/>
              </w:rPr>
            </w:pPr>
            <w:r>
              <w:rPr>
                <w:rFonts w:hint="eastAsia" w:ascii="宋体" w:hAnsi="宋体" w:cs="宋体"/>
                <w:color w:val="auto"/>
                <w:szCs w:val="21"/>
                <w:highlight w:val="none"/>
                <w:lang w:eastAsia="zh-CN"/>
              </w:rPr>
              <w:t>南宁市西乡塘区金腾小学学生宿舍楼标准化改造及地面硬化等工程</w:t>
            </w:r>
          </w:p>
        </w:tc>
        <w:tc>
          <w:tcPr>
            <w:tcW w:w="405" w:type="dxa"/>
            <w:tcBorders>
              <w:top w:val="single" w:color="auto" w:sz="4" w:space="0"/>
              <w:left w:val="single" w:color="auto" w:sz="4" w:space="0"/>
              <w:bottom w:val="single" w:color="auto" w:sz="4" w:space="0"/>
              <w:right w:val="single" w:color="auto" w:sz="4" w:space="0"/>
            </w:tcBorders>
            <w:noWrap w:val="0"/>
            <w:vAlign w:val="center"/>
          </w:tcPr>
          <w:p w14:paraId="3B36FD97">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项</w:t>
            </w:r>
          </w:p>
        </w:tc>
        <w:tc>
          <w:tcPr>
            <w:tcW w:w="315" w:type="dxa"/>
            <w:tcBorders>
              <w:top w:val="single" w:color="auto" w:sz="4" w:space="0"/>
              <w:left w:val="single" w:color="auto" w:sz="4" w:space="0"/>
              <w:bottom w:val="single" w:color="auto" w:sz="4" w:space="0"/>
              <w:right w:val="single" w:color="auto" w:sz="4" w:space="0"/>
            </w:tcBorders>
            <w:noWrap w:val="0"/>
            <w:vAlign w:val="center"/>
          </w:tcPr>
          <w:p w14:paraId="66ED4570">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285" w:type="dxa"/>
            <w:tcBorders>
              <w:top w:val="single" w:color="auto" w:sz="4" w:space="0"/>
              <w:left w:val="single" w:color="auto" w:sz="4" w:space="0"/>
              <w:bottom w:val="single" w:color="auto" w:sz="4" w:space="0"/>
              <w:right w:val="single" w:color="auto" w:sz="4" w:space="0"/>
            </w:tcBorders>
            <w:noWrap w:val="0"/>
            <w:vAlign w:val="center"/>
          </w:tcPr>
          <w:p w14:paraId="2E8552B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color w:val="auto"/>
                <w:highlight w:val="none"/>
              </w:rPr>
            </w:pPr>
            <w:r>
              <w:rPr>
                <w:rFonts w:hint="eastAsia" w:ascii="宋体" w:hAnsi="宋体" w:cs="宋体"/>
                <w:b/>
                <w:bCs/>
                <w:color w:val="auto"/>
                <w:szCs w:val="21"/>
                <w:highlight w:val="none"/>
              </w:rPr>
              <w:t>▲</w:t>
            </w:r>
            <w:r>
              <w:rPr>
                <w:rFonts w:hint="eastAsia" w:asciiTheme="minorEastAsia" w:hAnsiTheme="minorEastAsia" w:eastAsiaTheme="minorEastAsia" w:cstheme="minorEastAsia"/>
                <w:b/>
                <w:bCs/>
                <w:color w:val="auto"/>
                <w:szCs w:val="21"/>
                <w:highlight w:val="none"/>
                <w:lang w:val="en-US" w:eastAsia="zh-CN"/>
              </w:rPr>
              <w:t>一、</w:t>
            </w:r>
            <w:r>
              <w:rPr>
                <w:rFonts w:hint="eastAsia" w:asciiTheme="minorEastAsia" w:hAnsiTheme="minorEastAsia" w:eastAsiaTheme="minorEastAsia" w:cstheme="minorEastAsia"/>
                <w:b/>
                <w:bCs/>
                <w:color w:val="auto"/>
                <w:highlight w:val="none"/>
                <w:lang w:val="en-US" w:eastAsia="zh-CN"/>
              </w:rPr>
              <w:t>采购内容</w:t>
            </w:r>
            <w:r>
              <w:rPr>
                <w:rFonts w:hint="eastAsia" w:asciiTheme="minorEastAsia" w:hAnsiTheme="minorEastAsia" w:eastAsiaTheme="minorEastAsia" w:cstheme="minorEastAsia"/>
                <w:b/>
                <w:bCs/>
                <w:color w:val="auto"/>
                <w:highlight w:val="none"/>
              </w:rPr>
              <w:t>：</w:t>
            </w:r>
          </w:p>
          <w:p w14:paraId="0B2B46A9">
            <w:pPr>
              <w:keepNext w:val="0"/>
              <w:keepLines w:val="0"/>
              <w:pageBreakBefore w:val="0"/>
              <w:kinsoku/>
              <w:wordWrap/>
              <w:overflowPunct/>
              <w:topLinePunct w:val="0"/>
              <w:autoSpaceDE/>
              <w:autoSpaceDN/>
              <w:bidi w:val="0"/>
              <w:adjustRightInd/>
              <w:snapToGrid/>
              <w:spacing w:line="460" w:lineRule="exact"/>
              <w:ind w:firstLine="404" w:firstLineChars="200"/>
              <w:textAlignment w:val="baseline"/>
              <w:rPr>
                <w:rFonts w:hint="eastAsia" w:ascii="宋体" w:hAnsi="宋体" w:cs="宋体"/>
                <w:color w:val="auto"/>
                <w:szCs w:val="21"/>
                <w:highlight w:val="none"/>
                <w:lang w:val="en-US" w:eastAsia="zh-CN"/>
              </w:rPr>
            </w:pPr>
            <w:r>
              <w:rPr>
                <w:rFonts w:hint="eastAsia" w:ascii="宋体" w:hAnsi="宋体" w:eastAsia="宋体" w:cs="宋体"/>
                <w:color w:val="auto"/>
                <w:spacing w:val="-4"/>
                <w:szCs w:val="21"/>
                <w:highlight w:val="none"/>
                <w:lang w:eastAsia="zh-CN"/>
              </w:rPr>
              <w:t>本项目为南宁市西乡塘区金腾小学学生宿舍楼标准化改造及地面硬化等工程</w:t>
            </w:r>
            <w:r>
              <w:rPr>
                <w:rFonts w:hint="eastAsia" w:ascii="宋体" w:hAnsi="宋体" w:eastAsia="宋体" w:cs="宋体"/>
                <w:color w:val="auto"/>
                <w:spacing w:val="-4"/>
                <w:szCs w:val="21"/>
                <w:highlight w:val="none"/>
                <w:lang w:val="en-US" w:eastAsia="zh-CN"/>
              </w:rPr>
              <w:t>1项</w:t>
            </w:r>
            <w:r>
              <w:rPr>
                <w:rFonts w:hint="eastAsia" w:ascii="宋体" w:hAnsi="宋体" w:eastAsia="宋体" w:cs="宋体"/>
                <w:color w:val="auto"/>
                <w:spacing w:val="-4"/>
                <w:szCs w:val="21"/>
                <w:highlight w:val="none"/>
                <w:lang w:eastAsia="zh-CN"/>
              </w:rPr>
              <w:t>，项目位于南宁市西乡塘区金腾小学内，建设内容包括一栋女生宿舍楼和一栋男生宿舍楼改造，及男女生宿舍楼前地面硬化等。其中女生宿舍楼建筑面积为1170.25㎡，男生宿舍楼建筑面积为1342.4㎡，改造总建筑面积为2512.65㎡，地面硬化总面积为500㎡</w:t>
            </w:r>
            <w:r>
              <w:rPr>
                <w:rFonts w:hint="eastAsia" w:ascii="宋体" w:hAnsi="宋体" w:cs="宋体"/>
                <w:color w:val="auto"/>
                <w:szCs w:val="21"/>
                <w:highlight w:val="none"/>
                <w:lang w:val="en-US" w:eastAsia="zh-CN"/>
              </w:rPr>
              <w:t>，具体内容详见图纸及工程量清单。</w:t>
            </w:r>
          </w:p>
          <w:p w14:paraId="3D57E069">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二、</w:t>
            </w:r>
            <w:r>
              <w:rPr>
                <w:rFonts w:hint="eastAsia" w:asciiTheme="minorEastAsia" w:hAnsiTheme="minorEastAsia" w:eastAsiaTheme="minorEastAsia" w:cstheme="minorEastAsia"/>
                <w:b/>
                <w:bCs/>
                <w:color w:val="auto"/>
                <w:szCs w:val="21"/>
                <w:highlight w:val="none"/>
              </w:rPr>
              <w:t>建设地点：</w:t>
            </w:r>
            <w:r>
              <w:rPr>
                <w:rFonts w:hint="eastAsia" w:ascii="宋体" w:hAnsi="宋体" w:eastAsia="宋体" w:cs="宋体"/>
                <w:color w:val="auto"/>
                <w:szCs w:val="21"/>
                <w:highlight w:val="none"/>
                <w:lang w:val="en-US" w:eastAsia="zh-CN"/>
              </w:rPr>
              <w:t>南宁市西乡塘区金陵镇</w:t>
            </w:r>
          </w:p>
          <w:p w14:paraId="336912A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color w:val="auto"/>
                <w:szCs w:val="21"/>
                <w:highlight w:val="none"/>
                <w:lang w:val="en-US" w:eastAsia="zh-CN"/>
              </w:rPr>
            </w:pPr>
            <w:r>
              <w:rPr>
                <w:rFonts w:hint="eastAsia" w:ascii="宋体" w:hAnsi="宋体" w:cs="宋体"/>
                <w:b/>
                <w:bCs/>
                <w:color w:val="auto"/>
                <w:szCs w:val="21"/>
                <w:highlight w:val="none"/>
              </w:rPr>
              <w:t>▲</w:t>
            </w:r>
            <w:r>
              <w:rPr>
                <w:rFonts w:hint="eastAsia" w:asciiTheme="minorEastAsia" w:hAnsiTheme="minorEastAsia" w:eastAsiaTheme="minorEastAsia" w:cstheme="minorEastAsia"/>
                <w:b/>
                <w:bCs/>
                <w:color w:val="auto"/>
                <w:szCs w:val="21"/>
                <w:highlight w:val="none"/>
                <w:lang w:val="en-US" w:eastAsia="zh-CN"/>
              </w:rPr>
              <w:t>三、发包方式：</w:t>
            </w:r>
            <w:r>
              <w:rPr>
                <w:rFonts w:hint="eastAsia" w:asciiTheme="minorEastAsia" w:hAnsiTheme="minorEastAsia" w:eastAsiaTheme="minorEastAsia" w:cstheme="minorEastAsia"/>
                <w:b w:val="0"/>
                <w:bCs w:val="0"/>
                <w:color w:val="auto"/>
                <w:szCs w:val="21"/>
                <w:highlight w:val="none"/>
                <w:lang w:val="en-US" w:eastAsia="zh-CN"/>
              </w:rPr>
              <w:t>固定综合单价方式，包工包料</w:t>
            </w:r>
          </w:p>
          <w:p w14:paraId="30D6B88E">
            <w:pPr>
              <w:pageBreakBefore w:val="0"/>
              <w:kinsoku/>
              <w:topLinePunct w:val="0"/>
              <w:bidi w:val="0"/>
              <w:spacing w:line="360" w:lineRule="auto"/>
              <w:rPr>
                <w:rFonts w:hint="eastAsia" w:ascii="宋体" w:hAnsi="宋体" w:eastAsia="宋体" w:cs="Times New Roman"/>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四、人员投入要求：</w:t>
            </w:r>
          </w:p>
          <w:p w14:paraId="21D78918">
            <w:pPr>
              <w:pageBreakBefore w:val="0"/>
              <w:kinsoku/>
              <w:topLinePunct w:val="0"/>
              <w:bidi w:val="0"/>
              <w:spacing w:line="360" w:lineRule="auto"/>
              <w:rPr>
                <w:rFonts w:hint="default" w:ascii="宋体" w:hAnsi="宋体" w:eastAsia="宋体" w:cs="Times New Roman"/>
                <w:color w:val="auto"/>
                <w:szCs w:val="21"/>
                <w:highlight w:val="none"/>
                <w:lang w:val="en-US"/>
              </w:rPr>
            </w:pPr>
            <w:r>
              <w:rPr>
                <w:rFonts w:hint="eastAsia" w:ascii="宋体" w:hAnsi="宋体" w:eastAsia="宋体" w:cs="Times New Roman"/>
                <w:color w:val="auto"/>
                <w:szCs w:val="21"/>
                <w:highlight w:val="none"/>
                <w:lang w:val="en-US" w:eastAsia="zh-CN"/>
              </w:rPr>
              <w:t>（1）拟投入的项目经理具有</w:t>
            </w:r>
            <w:r>
              <w:rPr>
                <w:rFonts w:hint="eastAsia" w:ascii="宋体" w:hAnsi="宋体" w:eastAsia="宋体" w:cs="宋体"/>
                <w:color w:val="auto"/>
                <w:spacing w:val="0"/>
                <w:w w:val="100"/>
                <w:position w:val="0"/>
                <w:sz w:val="21"/>
                <w:szCs w:val="21"/>
                <w:highlight w:val="none"/>
              </w:rPr>
              <w:t>建筑工程专业</w:t>
            </w:r>
            <w:r>
              <w:rPr>
                <w:rFonts w:hint="eastAsia" w:ascii="宋体" w:hAnsi="宋体" w:cs="宋体"/>
                <w:color w:val="auto"/>
                <w:spacing w:val="0"/>
                <w:w w:val="100"/>
                <w:position w:val="0"/>
                <w:sz w:val="21"/>
                <w:szCs w:val="21"/>
                <w:highlight w:val="none"/>
                <w:lang w:val="en-US" w:eastAsia="zh-CN"/>
              </w:rPr>
              <w:t>二</w:t>
            </w:r>
            <w:r>
              <w:rPr>
                <w:rFonts w:hint="eastAsia" w:ascii="宋体" w:hAnsi="宋体" w:eastAsia="宋体" w:cs="宋体"/>
                <w:color w:val="auto"/>
                <w:spacing w:val="0"/>
                <w:w w:val="100"/>
                <w:position w:val="0"/>
                <w:sz w:val="21"/>
                <w:szCs w:val="21"/>
                <w:highlight w:val="none"/>
              </w:rPr>
              <w:t>级</w:t>
            </w:r>
            <w:r>
              <w:rPr>
                <w:rFonts w:hint="eastAsia" w:ascii="宋体" w:hAnsi="宋体" w:cs="宋体"/>
                <w:color w:val="auto"/>
                <w:spacing w:val="0"/>
                <w:w w:val="100"/>
                <w:position w:val="0"/>
                <w:sz w:val="21"/>
                <w:szCs w:val="21"/>
                <w:highlight w:val="none"/>
                <w:lang w:val="en-US" w:eastAsia="zh-CN"/>
              </w:rPr>
              <w:t>或二级</w:t>
            </w:r>
            <w:r>
              <w:rPr>
                <w:rFonts w:hint="eastAsia" w:ascii="宋体" w:hAnsi="宋体" w:eastAsia="宋体" w:cs="宋体"/>
                <w:color w:val="auto"/>
                <w:spacing w:val="0"/>
                <w:w w:val="100"/>
                <w:position w:val="0"/>
                <w:sz w:val="21"/>
                <w:szCs w:val="21"/>
                <w:highlight w:val="none"/>
              </w:rPr>
              <w:t>以上注册建造师执业资格</w:t>
            </w:r>
            <w:r>
              <w:rPr>
                <w:rFonts w:hint="eastAsia" w:ascii="宋体" w:hAnsi="宋体" w:eastAsia="宋体" w:cs="宋体"/>
                <w:color w:val="auto"/>
                <w:spacing w:val="0"/>
                <w:w w:val="100"/>
                <w:position w:val="0"/>
                <w:sz w:val="21"/>
                <w:szCs w:val="21"/>
                <w:highlight w:val="none"/>
                <w:lang w:val="en-US" w:eastAsia="zh-CN"/>
              </w:rPr>
              <w:t>及</w:t>
            </w:r>
            <w:r>
              <w:rPr>
                <w:rFonts w:hint="eastAsia" w:ascii="宋体" w:hAnsi="宋体" w:eastAsia="宋体" w:cs="宋体"/>
                <w:color w:val="auto"/>
                <w:spacing w:val="0"/>
                <w:w w:val="100"/>
                <w:position w:val="0"/>
                <w:sz w:val="21"/>
                <w:szCs w:val="21"/>
                <w:highlight w:val="none"/>
              </w:rPr>
              <w:t>有效的安全生产考核合格证书（B类）</w:t>
            </w:r>
            <w:r>
              <w:rPr>
                <w:rFonts w:hint="eastAsia" w:ascii="宋体" w:hAnsi="宋体" w:eastAsia="宋体" w:cs="Times New Roman"/>
                <w:color w:val="auto"/>
                <w:szCs w:val="21"/>
                <w:highlight w:val="none"/>
                <w:lang w:val="en-US" w:eastAsia="zh-CN"/>
              </w:rPr>
              <w:t>；且不</w:t>
            </w:r>
            <w:r>
              <w:rPr>
                <w:rFonts w:hint="eastAsia" w:ascii="宋体" w:hAnsi="宋体" w:eastAsia="宋体" w:cs="宋体"/>
                <w:color w:val="auto"/>
                <w:spacing w:val="0"/>
                <w:w w:val="100"/>
                <w:position w:val="0"/>
                <w:sz w:val="21"/>
                <w:szCs w:val="21"/>
                <w:highlight w:val="none"/>
              </w:rPr>
              <w:t>接受有在建、已中标未开工或已列为其他项目中标候选人第一名的建造师作为项目经理</w:t>
            </w:r>
            <w:r>
              <w:rPr>
                <w:rFonts w:hint="eastAsia" w:ascii="宋体" w:hAnsi="宋体" w:cs="宋体"/>
                <w:bCs/>
                <w:color w:val="auto"/>
                <w:highlight w:val="none"/>
              </w:rPr>
              <w:t>。</w:t>
            </w:r>
          </w:p>
          <w:p w14:paraId="1A4EB98E">
            <w:pPr>
              <w:pageBreakBefore w:val="0"/>
              <w:kinsoku/>
              <w:topLinePunct w:val="0"/>
              <w:bidi w:val="0"/>
              <w:spacing w:line="360" w:lineRule="auto"/>
              <w:rPr>
                <w:rFonts w:hint="eastAsia" w:asciiTheme="minorEastAsia" w:hAnsiTheme="minorEastAsia" w:eastAsiaTheme="minorEastAsia" w:cstheme="minorEastAsia"/>
                <w:b/>
                <w:bCs/>
                <w:color w:val="auto"/>
                <w:szCs w:val="21"/>
                <w:highlight w:val="none"/>
                <w:lang w:val="en-US"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）本项目项目管理机构配备人员至少</w:t>
            </w:r>
            <w:r>
              <w:rPr>
                <w:rFonts w:hint="eastAsia" w:ascii="宋体" w:hAnsi="宋体" w:cs="Times New Roman"/>
                <w:color w:val="auto"/>
                <w:szCs w:val="21"/>
                <w:highlight w:val="none"/>
                <w:lang w:val="en-US" w:eastAsia="zh-CN"/>
              </w:rPr>
              <w:t>包含</w:t>
            </w:r>
            <w:r>
              <w:rPr>
                <w:rFonts w:hint="eastAsia" w:ascii="宋体" w:hAnsi="宋体" w:eastAsia="宋体" w:cs="Times New Roman"/>
                <w:color w:val="auto"/>
                <w:szCs w:val="21"/>
                <w:highlight w:val="none"/>
                <w:lang w:eastAsia="zh-CN"/>
              </w:rPr>
              <w:t>项目经理1名，技术负责人1名、施工员1名、质检（量）员1名、安全员1名、材料员1名，其中施工员、质检（量）员、安全员、材料员必需持证上岗且年检合格，项目经理和安全员必须具有安全考核合格证且在有效期内</w:t>
            </w:r>
            <w:r>
              <w:rPr>
                <w:rFonts w:hint="eastAsia" w:ascii="宋体" w:hAnsi="宋体" w:eastAsia="宋体" w:cs="Times New Roman"/>
                <w:b/>
                <w:bCs/>
                <w:color w:val="auto"/>
                <w:szCs w:val="21"/>
                <w:highlight w:val="none"/>
                <w:lang w:eastAsia="zh-CN"/>
              </w:rPr>
              <w:t>（竞标时须提供竞标单位在202</w:t>
            </w:r>
            <w:r>
              <w:rPr>
                <w:rFonts w:hint="eastAsia" w:ascii="宋体" w:hAnsi="宋体" w:cs="Times New Roman"/>
                <w:b/>
                <w:bCs/>
                <w:color w:val="auto"/>
                <w:szCs w:val="21"/>
                <w:highlight w:val="none"/>
                <w:lang w:val="en-US" w:eastAsia="zh-CN"/>
              </w:rPr>
              <w:t>5</w:t>
            </w:r>
            <w:r>
              <w:rPr>
                <w:rFonts w:hint="eastAsia" w:ascii="宋体" w:hAnsi="宋体" w:eastAsia="宋体" w:cs="Times New Roman"/>
                <w:b/>
                <w:bCs/>
                <w:color w:val="auto"/>
                <w:szCs w:val="21"/>
                <w:highlight w:val="none"/>
                <w:lang w:eastAsia="zh-CN"/>
              </w:rPr>
              <w:t>年</w:t>
            </w:r>
            <w:r>
              <w:rPr>
                <w:rFonts w:hint="eastAsia" w:ascii="宋体" w:hAnsi="宋体" w:cs="Times New Roman"/>
                <w:b/>
                <w:bCs/>
                <w:color w:val="auto"/>
                <w:szCs w:val="21"/>
                <w:highlight w:val="none"/>
                <w:lang w:val="en-US" w:eastAsia="zh-CN"/>
              </w:rPr>
              <w:t>1</w:t>
            </w:r>
            <w:r>
              <w:rPr>
                <w:rFonts w:hint="eastAsia" w:ascii="宋体" w:hAnsi="宋体" w:eastAsia="宋体" w:cs="Times New Roman"/>
                <w:b/>
                <w:bCs/>
                <w:color w:val="auto"/>
                <w:szCs w:val="21"/>
                <w:highlight w:val="none"/>
                <w:lang w:eastAsia="zh-CN"/>
              </w:rPr>
              <w:t>月以来任意一个月为拟投入人员缴纳社会保险的证明材料、相关证书的复印件等证明材料）</w:t>
            </w:r>
            <w:r>
              <w:rPr>
                <w:rFonts w:hint="eastAsia" w:ascii="宋体" w:hAnsi="宋体" w:eastAsia="宋体" w:cs="Times New Roman"/>
                <w:color w:val="auto"/>
                <w:szCs w:val="21"/>
                <w:highlight w:val="none"/>
                <w:lang w:eastAsia="zh-CN"/>
              </w:rPr>
              <w:t>。</w:t>
            </w:r>
          </w:p>
          <w:p w14:paraId="3EF1357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color w:val="auto"/>
                <w:szCs w:val="21"/>
                <w:highlight w:val="none"/>
                <w:lang w:eastAsia="zh-CN"/>
              </w:rPr>
            </w:pPr>
            <w:r>
              <w:rPr>
                <w:rFonts w:hint="eastAsia" w:ascii="宋体" w:hAnsi="宋体" w:cs="宋体"/>
                <w:b/>
                <w:bCs/>
                <w:color w:val="auto"/>
                <w:szCs w:val="21"/>
                <w:highlight w:val="none"/>
              </w:rPr>
              <w:t>▲</w:t>
            </w:r>
            <w:r>
              <w:rPr>
                <w:rFonts w:hint="eastAsia" w:asciiTheme="minorEastAsia" w:hAnsiTheme="minorEastAsia" w:eastAsiaTheme="minorEastAsia" w:cstheme="minorEastAsia"/>
                <w:b/>
                <w:bCs/>
                <w:color w:val="auto"/>
                <w:szCs w:val="21"/>
                <w:highlight w:val="none"/>
                <w:lang w:val="en-US" w:eastAsia="zh-CN"/>
              </w:rPr>
              <w:t>五、</w:t>
            </w:r>
            <w:r>
              <w:rPr>
                <w:rFonts w:hint="eastAsia" w:asciiTheme="minorEastAsia" w:hAnsiTheme="minorEastAsia" w:eastAsiaTheme="minorEastAsia" w:cstheme="minorEastAsia"/>
                <w:b/>
                <w:bCs/>
                <w:color w:val="auto"/>
                <w:szCs w:val="21"/>
                <w:highlight w:val="none"/>
                <w:lang w:eastAsia="zh-CN"/>
              </w:rPr>
              <w:t>工程建设地点的现场条件：</w:t>
            </w:r>
          </w:p>
          <w:p w14:paraId="59D6602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（1）现场自然条件：满足施工要求。</w:t>
            </w:r>
          </w:p>
          <w:p w14:paraId="751A4150">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lang w:eastAsia="zh-CN"/>
              </w:rPr>
              <w:t>（2）现场施工条件：符合施工要求。</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7D50C675">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建筑业</w:t>
            </w:r>
          </w:p>
        </w:tc>
      </w:tr>
      <w:tr w14:paraId="2CEA0C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2575" w:type="dxa"/>
            <w:gridSpan w:val="5"/>
            <w:tcBorders>
              <w:top w:val="single" w:color="auto" w:sz="4" w:space="0"/>
              <w:left w:val="single" w:color="auto" w:sz="4" w:space="0"/>
              <w:bottom w:val="single" w:color="auto" w:sz="4" w:space="0"/>
              <w:right w:val="single" w:color="auto" w:sz="4" w:space="0"/>
            </w:tcBorders>
            <w:noWrap w:val="0"/>
            <w:vAlign w:val="center"/>
          </w:tcPr>
          <w:p w14:paraId="28B1A255">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最高限价合计</w:t>
            </w:r>
            <w:r>
              <w:rPr>
                <w:rFonts w:hint="eastAsia" w:asciiTheme="minorEastAsia" w:hAnsiTheme="minorEastAsia" w:eastAsiaTheme="minorEastAsia" w:cstheme="minorEastAsia"/>
                <w:b/>
                <w:bCs/>
                <w:color w:val="auto"/>
                <w:sz w:val="21"/>
                <w:szCs w:val="21"/>
                <w:highlight w:val="none"/>
                <w:lang w:val="en-US" w:eastAsia="zh-CN"/>
              </w:rPr>
              <w:t>(人民币)</w:t>
            </w:r>
          </w:p>
        </w:tc>
        <w:tc>
          <w:tcPr>
            <w:tcW w:w="6285" w:type="dxa"/>
            <w:tcBorders>
              <w:top w:val="single" w:color="auto" w:sz="4" w:space="0"/>
              <w:left w:val="single" w:color="auto" w:sz="4" w:space="0"/>
              <w:bottom w:val="single" w:color="auto" w:sz="4" w:space="0"/>
              <w:right w:val="single" w:color="auto" w:sz="4" w:space="0"/>
            </w:tcBorders>
            <w:noWrap w:val="0"/>
            <w:vAlign w:val="center"/>
          </w:tcPr>
          <w:p w14:paraId="51E85D19">
            <w:pPr>
              <w:jc w:val="both"/>
              <w:rPr>
                <w:rFonts w:hint="eastAsia" w:asciiTheme="minorEastAsia" w:hAnsiTheme="minorEastAsia" w:eastAsiaTheme="minorEastAsia" w:cstheme="minorEastAsia"/>
                <w:b/>
                <w:bCs/>
                <w:color w:val="auto"/>
                <w:sz w:val="21"/>
                <w:szCs w:val="21"/>
                <w:highlight w:val="none"/>
                <w:lang w:eastAsia="zh-CN"/>
              </w:rPr>
            </w:pPr>
            <w:r>
              <w:rPr>
                <w:rFonts w:hint="eastAsia" w:ascii="宋体" w:hAnsi="宋体" w:cs="宋体"/>
                <w:b/>
                <w:bCs/>
                <w:color w:val="auto"/>
                <w:szCs w:val="21"/>
                <w:highlight w:val="none"/>
                <w:lang w:val="en-US" w:eastAsia="zh-CN"/>
              </w:rPr>
              <w:t>2578872.58</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3D54D6E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olor w:val="auto"/>
                <w:szCs w:val="21"/>
                <w:highlight w:val="none"/>
              </w:rPr>
            </w:pPr>
          </w:p>
        </w:tc>
      </w:tr>
      <w:tr w14:paraId="056CE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top"/>
          </w:tcPr>
          <w:p w14:paraId="1C2F199C">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bCs/>
                <w:color w:val="auto"/>
                <w:szCs w:val="21"/>
                <w:highlight w:val="none"/>
              </w:rPr>
            </w:pPr>
            <w:r>
              <w:rPr>
                <w:rFonts w:hint="eastAsia" w:ascii="宋体" w:hAnsi="宋体"/>
                <w:b/>
                <w:bCs/>
                <w:color w:val="auto"/>
                <w:szCs w:val="21"/>
                <w:highlight w:val="none"/>
              </w:rPr>
              <w:t>商务条款</w:t>
            </w:r>
          </w:p>
        </w:tc>
        <w:tc>
          <w:tcPr>
            <w:tcW w:w="9597" w:type="dxa"/>
            <w:gridSpan w:val="6"/>
            <w:tcBorders>
              <w:top w:val="single" w:color="auto" w:sz="4" w:space="0"/>
              <w:left w:val="single" w:color="auto" w:sz="4" w:space="0"/>
              <w:bottom w:val="single" w:color="auto" w:sz="4" w:space="0"/>
              <w:right w:val="single" w:color="auto" w:sz="4" w:space="0"/>
            </w:tcBorders>
            <w:noWrap w:val="0"/>
            <w:vAlign w:val="top"/>
          </w:tcPr>
          <w:p w14:paraId="5C5BBDC9">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一、合同签订期：自成交通知书发出之日起 25 日内</w:t>
            </w:r>
            <w:r>
              <w:rPr>
                <w:rFonts w:hint="eastAsia" w:ascii="宋体" w:hAnsi="宋体" w:cs="Times New Roman"/>
                <w:color w:val="auto"/>
                <w:szCs w:val="21"/>
                <w:highlight w:val="none"/>
                <w:lang w:val="en-US" w:eastAsia="zh-CN"/>
              </w:rPr>
              <w:t>。</w:t>
            </w:r>
          </w:p>
          <w:p w14:paraId="2261EAA6">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w:t>
            </w:r>
            <w:r>
              <w:rPr>
                <w:rFonts w:hint="eastAsia" w:ascii="宋体" w:hAnsi="宋体" w:eastAsia="宋体" w:cs="宋体"/>
                <w:color w:val="auto"/>
                <w:szCs w:val="21"/>
                <w:highlight w:val="none"/>
              </w:rPr>
              <w:t>合同履行期限</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：合同签订之日起</w:t>
            </w:r>
            <w:r>
              <w:rPr>
                <w:rFonts w:hint="eastAsia" w:ascii="宋体" w:hAnsi="宋体" w:eastAsia="宋体" w:cs="宋体"/>
                <w:color w:val="auto"/>
                <w:szCs w:val="21"/>
                <w:highlight w:val="none"/>
                <w:lang w:val="en-US" w:eastAsia="zh-CN"/>
              </w:rPr>
              <w:t>60日历日内</w:t>
            </w:r>
            <w:r>
              <w:rPr>
                <w:rFonts w:hint="eastAsia" w:ascii="宋体" w:hAnsi="宋体" w:eastAsia="宋体" w:cs="宋体"/>
                <w:color w:val="auto"/>
                <w:szCs w:val="21"/>
                <w:highlight w:val="none"/>
              </w:rPr>
              <w:t>完成施工并交付使用。</w:t>
            </w:r>
          </w:p>
          <w:p w14:paraId="3255AAEA">
            <w:pPr>
              <w:spacing w:line="360" w:lineRule="auto"/>
              <w:rPr>
                <w:rFonts w:hint="eastAsia" w:ascii="宋体" w:hAnsi="宋体"/>
                <w:color w:val="auto"/>
                <w:szCs w:val="21"/>
                <w:highlight w:val="none"/>
              </w:rPr>
            </w:pPr>
            <w:r>
              <w:rPr>
                <w:rFonts w:hint="eastAsia" w:ascii="宋体" w:hAnsi="宋体" w:eastAsia="宋体" w:cs="Times New Roman"/>
                <w:color w:val="auto"/>
                <w:szCs w:val="21"/>
                <w:highlight w:val="none"/>
              </w:rPr>
              <w:t>▲</w:t>
            </w:r>
            <w:r>
              <w:rPr>
                <w:rFonts w:hint="eastAsia" w:ascii="宋体" w:hAnsi="宋体"/>
                <w:color w:val="auto"/>
                <w:szCs w:val="21"/>
                <w:highlight w:val="none"/>
                <w:lang w:eastAsia="zh-CN"/>
              </w:rPr>
              <w:t>三</w:t>
            </w:r>
            <w:r>
              <w:rPr>
                <w:rFonts w:hint="eastAsia" w:ascii="宋体" w:hAnsi="宋体"/>
                <w:color w:val="auto"/>
                <w:szCs w:val="21"/>
                <w:highlight w:val="none"/>
              </w:rPr>
              <w:t>、开工时间：具体以采购人（监理）开工令为准。</w:t>
            </w:r>
          </w:p>
          <w:p w14:paraId="61FF5599">
            <w:pPr>
              <w:spacing w:line="360" w:lineRule="auto"/>
              <w:rPr>
                <w:rFonts w:hint="eastAsia" w:ascii="宋体" w:hAnsi="宋体"/>
                <w:color w:val="auto"/>
                <w:szCs w:val="21"/>
                <w:highlight w:val="none"/>
              </w:rPr>
            </w:pPr>
            <w:r>
              <w:rPr>
                <w:rFonts w:hint="eastAsia" w:ascii="宋体" w:hAnsi="宋体" w:eastAsia="宋体" w:cs="Times New Roman"/>
                <w:color w:val="auto"/>
                <w:szCs w:val="21"/>
                <w:highlight w:val="none"/>
              </w:rPr>
              <w:t>▲</w:t>
            </w:r>
            <w:r>
              <w:rPr>
                <w:rFonts w:hint="eastAsia" w:ascii="宋体" w:hAnsi="宋体"/>
                <w:color w:val="auto"/>
                <w:szCs w:val="21"/>
                <w:highlight w:val="none"/>
                <w:lang w:eastAsia="zh-CN"/>
              </w:rPr>
              <w:t>四</w:t>
            </w:r>
            <w:r>
              <w:rPr>
                <w:rFonts w:hint="eastAsia" w:ascii="宋体" w:hAnsi="宋体"/>
                <w:color w:val="auto"/>
                <w:szCs w:val="21"/>
                <w:highlight w:val="none"/>
              </w:rPr>
              <w:t>、工程质量要求：达到国家施工验收规范合格标准。</w:t>
            </w:r>
          </w:p>
          <w:p w14:paraId="690B3AC2">
            <w:pPr>
              <w:spacing w:line="360" w:lineRule="auto"/>
              <w:rPr>
                <w:rFonts w:hint="eastAsia" w:ascii="宋体" w:hAnsi="宋体"/>
                <w:color w:val="auto"/>
                <w:highlight w:val="none"/>
              </w:rPr>
            </w:pPr>
            <w:r>
              <w:rPr>
                <w:rFonts w:hint="eastAsia" w:ascii="宋体" w:hAnsi="宋体" w:eastAsia="宋体" w:cs="Times New Roman"/>
                <w:color w:val="auto"/>
                <w:szCs w:val="21"/>
                <w:highlight w:val="none"/>
              </w:rPr>
              <w:t>▲</w:t>
            </w:r>
            <w:r>
              <w:rPr>
                <w:rFonts w:hint="eastAsia" w:ascii="宋体" w:hAnsi="宋体"/>
                <w:color w:val="auto"/>
                <w:highlight w:val="none"/>
                <w:lang w:eastAsia="zh-CN"/>
              </w:rPr>
              <w:t>五</w:t>
            </w:r>
            <w:r>
              <w:rPr>
                <w:rFonts w:hint="eastAsia" w:ascii="宋体" w:hAnsi="宋体"/>
                <w:color w:val="auto"/>
                <w:highlight w:val="none"/>
              </w:rPr>
              <w:t>、售后服务</w:t>
            </w:r>
            <w:r>
              <w:rPr>
                <w:rFonts w:hint="eastAsia" w:ascii="宋体" w:hAnsi="宋体" w:eastAsia="宋体" w:cs="Times New Roman"/>
                <w:color w:val="auto"/>
                <w:szCs w:val="21"/>
                <w:highlight w:val="none"/>
                <w:lang w:val="en-US" w:eastAsia="zh-CN"/>
              </w:rPr>
              <w:t>要求</w:t>
            </w:r>
            <w:r>
              <w:rPr>
                <w:rFonts w:hint="eastAsia" w:ascii="宋体" w:hAnsi="宋体"/>
                <w:color w:val="auto"/>
                <w:highlight w:val="none"/>
              </w:rPr>
              <w:t>：</w:t>
            </w:r>
          </w:p>
          <w:p w14:paraId="31B5837F">
            <w:pPr>
              <w:spacing w:line="360" w:lineRule="auto"/>
              <w:rPr>
                <w:rFonts w:hint="eastAsia" w:ascii="宋体" w:hAnsi="宋体"/>
                <w:color w:val="auto"/>
                <w:highlight w:val="none"/>
              </w:rPr>
            </w:pPr>
            <w:r>
              <w:rPr>
                <w:rFonts w:hint="eastAsia" w:ascii="宋体" w:hAnsi="宋体"/>
                <w:color w:val="auto"/>
                <w:highlight w:val="none"/>
              </w:rPr>
              <w:t>（1）</w:t>
            </w:r>
            <w:r>
              <w:rPr>
                <w:rFonts w:hint="eastAsia" w:ascii="宋体" w:hAnsi="宋体"/>
                <w:b w:val="0"/>
                <w:bCs w:val="0"/>
                <w:color w:val="auto"/>
                <w:szCs w:val="21"/>
                <w:highlight w:val="none"/>
              </w:rPr>
              <w:t>工程质量保修期要求：</w:t>
            </w:r>
            <w:r>
              <w:rPr>
                <w:rFonts w:hint="eastAsia" w:ascii="宋体" w:hAnsi="宋体" w:cs="宋体"/>
                <w:bCs/>
                <w:color w:val="auto"/>
                <w:szCs w:val="21"/>
                <w:highlight w:val="none"/>
              </w:rPr>
              <w:t>自</w:t>
            </w:r>
            <w:r>
              <w:rPr>
                <w:rFonts w:hint="eastAsia" w:ascii="宋体" w:hAnsi="宋体" w:cs="宋体"/>
                <w:bCs/>
                <w:color w:val="auto"/>
                <w:szCs w:val="21"/>
                <w:highlight w:val="none"/>
                <w:lang w:val="en-US" w:eastAsia="zh-CN"/>
              </w:rPr>
              <w:t>工程实际竣工验收通过之日起</w:t>
            </w:r>
            <w:r>
              <w:rPr>
                <w:rFonts w:hint="eastAsia" w:ascii="宋体" w:hAnsi="宋体" w:cs="宋体"/>
                <w:bCs/>
                <w:color w:val="auto"/>
                <w:szCs w:val="21"/>
                <w:highlight w:val="none"/>
                <w:u w:val="none"/>
                <w:lang w:val="en-US" w:eastAsia="zh-CN"/>
              </w:rPr>
              <w:t>2</w:t>
            </w:r>
            <w:r>
              <w:rPr>
                <w:rFonts w:hint="eastAsia" w:ascii="宋体" w:hAnsi="宋体" w:cs="宋体"/>
                <w:bCs/>
                <w:color w:val="auto"/>
                <w:szCs w:val="21"/>
                <w:highlight w:val="none"/>
              </w:rPr>
              <w:t>年</w:t>
            </w:r>
            <w:r>
              <w:rPr>
                <w:rFonts w:hint="eastAsia" w:ascii="宋体" w:hAnsi="宋体"/>
                <w:bCs/>
                <w:color w:val="auto"/>
                <w:szCs w:val="21"/>
                <w:highlight w:val="none"/>
                <w:lang w:eastAsia="zh-CN"/>
              </w:rPr>
              <w:t>，</w:t>
            </w:r>
            <w:r>
              <w:rPr>
                <w:rFonts w:hint="eastAsia" w:ascii="宋体" w:hAnsi="宋体"/>
                <w:color w:val="auto"/>
                <w:highlight w:val="none"/>
              </w:rPr>
              <w:t>使用年限应符合国家建设相关要求。</w:t>
            </w:r>
          </w:p>
          <w:p w14:paraId="59B14AA6">
            <w:pPr>
              <w:spacing w:line="360" w:lineRule="auto"/>
              <w:rPr>
                <w:rFonts w:hint="eastAsia" w:ascii="宋体" w:hAnsi="宋体"/>
                <w:color w:val="auto"/>
                <w:highlight w:val="none"/>
              </w:rPr>
            </w:pPr>
            <w:r>
              <w:rPr>
                <w:rFonts w:hint="eastAsia" w:ascii="宋体" w:hAnsi="宋体"/>
                <w:color w:val="auto"/>
                <w:highlight w:val="none"/>
              </w:rPr>
              <w:t>（2）响应时间：接到采购人处理问题通知后 4 小时内到达采购人指定现场，8 小时内提出解决方案。在工程质量保修期期限内发生质量问题，必须在收到质保通知后的3个日历天内整改完毕。</w:t>
            </w:r>
          </w:p>
          <w:p w14:paraId="63BD390E">
            <w:pPr>
              <w:spacing w:line="360" w:lineRule="auto"/>
              <w:rPr>
                <w:rFonts w:hint="eastAsia" w:ascii="宋体" w:hAnsi="宋体"/>
                <w:color w:val="auto"/>
                <w:highlight w:val="none"/>
              </w:rPr>
            </w:pPr>
            <w:r>
              <w:rPr>
                <w:rFonts w:hint="eastAsia" w:ascii="宋体" w:hAnsi="宋体"/>
                <w:color w:val="auto"/>
                <w:highlight w:val="none"/>
              </w:rPr>
              <w:t>（3）</w:t>
            </w:r>
            <w:r>
              <w:rPr>
                <w:rFonts w:hint="eastAsia" w:ascii="宋体" w:hAnsi="宋体" w:eastAsia="宋体" w:cs="Times New Roman"/>
                <w:color w:val="auto"/>
                <w:szCs w:val="21"/>
                <w:highlight w:val="none"/>
              </w:rPr>
              <w:t>技术人员按项目管理机构人员配备</w:t>
            </w:r>
            <w:r>
              <w:rPr>
                <w:rFonts w:hint="eastAsia" w:ascii="宋体" w:hAnsi="宋体"/>
                <w:color w:val="auto"/>
                <w:highlight w:val="none"/>
              </w:rPr>
              <w:t>。</w:t>
            </w:r>
          </w:p>
          <w:p w14:paraId="1EB275A8">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六</w:t>
            </w:r>
            <w:r>
              <w:rPr>
                <w:rFonts w:hint="eastAsia" w:ascii="宋体" w:hAnsi="宋体" w:eastAsia="宋体" w:cs="Times New Roman"/>
                <w:color w:val="auto"/>
                <w:szCs w:val="21"/>
                <w:highlight w:val="none"/>
              </w:rPr>
              <w:t>、</w:t>
            </w:r>
            <w:r>
              <w:rPr>
                <w:rFonts w:hint="eastAsia" w:ascii="宋体" w:hAnsi="宋体"/>
                <w:color w:val="auto"/>
                <w:highlight w:val="none"/>
                <w:lang w:val="en-US" w:eastAsia="zh-CN"/>
              </w:rPr>
              <w:t>付款方式</w:t>
            </w:r>
            <w:r>
              <w:rPr>
                <w:rFonts w:hint="eastAsia" w:ascii="宋体" w:hAnsi="宋体"/>
                <w:color w:val="auto"/>
                <w:highlight w:val="none"/>
              </w:rPr>
              <w:t>：</w:t>
            </w:r>
            <w:r>
              <w:rPr>
                <w:rFonts w:hint="eastAsia" w:ascii="宋体" w:hAnsi="宋体"/>
                <w:color w:val="auto"/>
                <w:highlight w:val="none"/>
                <w:lang w:val="en-US" w:eastAsia="zh-CN"/>
              </w:rPr>
              <w:t>合同内进度款支付限额为已完成工程量的80%；工程完工验收达到质量要求，结算经审计部门审定后，工程款支付至结算总价的97%（含已支付的）；采购人按工程价款结算总额的3%预留工程质量保修金，待工程质量保修期满后返还（无息）。因采购人使用的是财政资金，如因财政资金支付时间延后，由双方协商确定付款时间。工程款支付前成交供应商须开具等额且符合国家法律法规规定的税务发票给采购人</w:t>
            </w:r>
            <w:r>
              <w:rPr>
                <w:rFonts w:hint="eastAsia" w:ascii="宋体" w:hAnsi="宋体"/>
                <w:color w:val="auto"/>
                <w:highlight w:val="none"/>
              </w:rPr>
              <w:t>。</w:t>
            </w:r>
          </w:p>
          <w:p w14:paraId="64846956">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七</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报价要求</w:t>
            </w:r>
            <w:r>
              <w:rPr>
                <w:rFonts w:hint="eastAsia" w:ascii="宋体" w:hAnsi="宋体" w:eastAsia="宋体" w:cs="Times New Roman"/>
                <w:color w:val="auto"/>
                <w:szCs w:val="21"/>
                <w:highlight w:val="none"/>
              </w:rPr>
              <w:t>：</w:t>
            </w:r>
          </w:p>
          <w:p w14:paraId="5F4B890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rPr>
              <w:t>本项目采用工程量清单报价方式。</w:t>
            </w:r>
            <w:r>
              <w:rPr>
                <w:rFonts w:hint="eastAsia" w:ascii="宋体" w:hAnsi="宋体" w:eastAsia="宋体" w:cs="宋体"/>
                <w:b/>
                <w:bCs/>
                <w:color w:val="auto"/>
                <w:szCs w:val="21"/>
                <w:highlight w:val="none"/>
                <w:lang w:val="en-US" w:eastAsia="zh-CN"/>
              </w:rPr>
              <w:t>磋商</w:t>
            </w:r>
            <w:r>
              <w:rPr>
                <w:rFonts w:hint="eastAsia" w:ascii="宋体" w:hAnsi="宋体" w:eastAsia="宋体" w:cs="宋体"/>
                <w:b/>
                <w:bCs/>
                <w:color w:val="auto"/>
                <w:szCs w:val="21"/>
                <w:highlight w:val="none"/>
              </w:rPr>
              <w:t>报价不得高于最高限价，否则</w:t>
            </w:r>
            <w:r>
              <w:rPr>
                <w:rFonts w:hint="eastAsia" w:ascii="宋体" w:hAnsi="宋体" w:cs="宋体"/>
                <w:b/>
                <w:bCs/>
                <w:color w:val="auto"/>
                <w:szCs w:val="21"/>
                <w:highlight w:val="none"/>
                <w:lang w:val="en-US" w:eastAsia="zh-CN"/>
              </w:rPr>
              <w:t>响应</w:t>
            </w:r>
            <w:r>
              <w:rPr>
                <w:rFonts w:hint="eastAsia" w:ascii="宋体" w:hAnsi="宋体" w:eastAsia="宋体" w:cs="宋体"/>
                <w:b/>
                <w:bCs/>
                <w:color w:val="auto"/>
                <w:szCs w:val="21"/>
                <w:highlight w:val="none"/>
              </w:rPr>
              <w:t>无效；本项目采用二次报价方式，</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的最终报价如有变动，则必须以工程量清单报价表的格式编制提交，</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须提前做好相关准备并按时递交最终报价文件，否则报价无效。</w:t>
            </w:r>
          </w:p>
          <w:p w14:paraId="5278FFB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报价必须包含以下部分，包括：</w:t>
            </w:r>
          </w:p>
          <w:p w14:paraId="5BD7771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①满足本项目全部采购需求，包含投标服务、货物、工程的成本、运输（含保险）、安装（如有）、调试、检验、技术服务、培训等所有费用。</w:t>
            </w:r>
          </w:p>
          <w:p w14:paraId="2D098BE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ascii="宋体" w:hAnsi="宋体" w:eastAsia="宋体" w:cs="Times New Roman"/>
                <w:color w:val="auto"/>
                <w:szCs w:val="21"/>
                <w:highlight w:val="none"/>
              </w:rPr>
              <w:t>②必要的保险费和各项税金</w:t>
            </w:r>
            <w:r>
              <w:rPr>
                <w:rFonts w:hint="eastAsia" w:ascii="宋体" w:hAnsi="宋体" w:cs="宋体"/>
                <w:color w:val="auto"/>
                <w:szCs w:val="21"/>
                <w:highlight w:val="none"/>
                <w:lang w:bidi="ar"/>
              </w:rPr>
              <w:t>（成交供应商需为该工程购买工程一切险）</w:t>
            </w:r>
            <w:r>
              <w:rPr>
                <w:rFonts w:hint="eastAsia" w:ascii="宋体" w:hAnsi="宋体" w:eastAsia="宋体" w:cs="Times New Roman"/>
                <w:color w:val="auto"/>
                <w:szCs w:val="21"/>
                <w:highlight w:val="none"/>
              </w:rPr>
              <w:t>。</w:t>
            </w:r>
          </w:p>
        </w:tc>
      </w:tr>
      <w:tr w14:paraId="7E2E11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41D64819">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其他说明</w:t>
            </w:r>
          </w:p>
        </w:tc>
        <w:tc>
          <w:tcPr>
            <w:tcW w:w="9597" w:type="dxa"/>
            <w:gridSpan w:val="6"/>
            <w:tcBorders>
              <w:top w:val="single" w:color="auto" w:sz="4" w:space="0"/>
              <w:left w:val="single" w:color="auto" w:sz="4" w:space="0"/>
              <w:bottom w:val="single" w:color="auto" w:sz="4" w:space="0"/>
              <w:right w:val="single" w:color="auto" w:sz="4" w:space="0"/>
            </w:tcBorders>
            <w:noWrap w:val="0"/>
            <w:vAlign w:val="top"/>
          </w:tcPr>
          <w:p w14:paraId="05FB28EE">
            <w:pPr>
              <w:keepNext w:val="0"/>
              <w:keepLines w:val="0"/>
              <w:pageBreakBefore w:val="0"/>
              <w:tabs>
                <w:tab w:val="left" w:pos="180"/>
                <w:tab w:val="left" w:pos="1620"/>
              </w:tabs>
              <w:kinsoku/>
              <w:wordWrap/>
              <w:overflowPunct/>
              <w:topLinePunct w:val="0"/>
              <w:autoSpaceDE/>
              <w:autoSpaceDN/>
              <w:bidi w:val="0"/>
              <w:adjustRightInd/>
              <w:snapToGrid/>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一、与本项目有关的施工图纸、清单等</w:t>
            </w:r>
            <w:r>
              <w:rPr>
                <w:rFonts w:hint="eastAsia" w:ascii="宋体" w:hAnsi="宋体" w:eastAsia="宋体" w:cs="宋体"/>
                <w:color w:val="auto"/>
                <w:spacing w:val="0"/>
                <w:w w:val="100"/>
                <w:kern w:val="0"/>
                <w:position w:val="0"/>
                <w:sz w:val="21"/>
                <w:szCs w:val="21"/>
                <w:highlight w:val="none"/>
                <w:lang w:val="en-US" w:eastAsia="zh-CN" w:bidi="ar-SA"/>
              </w:rPr>
              <w:t>附件资料获取方式：网上下载。供应商可自行在</w:t>
            </w:r>
            <w:r>
              <w:rPr>
                <w:rFonts w:hint="eastAsia" w:ascii="宋体" w:hAnsi="宋体" w:cs="宋体"/>
                <w:color w:val="auto"/>
                <w:spacing w:val="0"/>
                <w:w w:val="100"/>
                <w:kern w:val="0"/>
                <w:position w:val="0"/>
                <w:sz w:val="21"/>
                <w:szCs w:val="21"/>
                <w:highlight w:val="none"/>
                <w:lang w:val="en-US" w:eastAsia="zh-CN" w:bidi="ar-SA"/>
              </w:rPr>
              <w:t>“广西政府采购云平台”</w:t>
            </w:r>
            <w:r>
              <w:rPr>
                <w:rFonts w:hint="eastAsia" w:ascii="宋体" w:hAnsi="宋体"/>
                <w:color w:val="auto"/>
                <w:szCs w:val="21"/>
                <w:highlight w:val="none"/>
                <w:lang w:val="en-US" w:eastAsia="zh-CN"/>
              </w:rPr>
              <w:t>自行下载。</w:t>
            </w:r>
          </w:p>
          <w:p w14:paraId="3AD561F3">
            <w:pPr>
              <w:keepNext w:val="0"/>
              <w:keepLines w:val="0"/>
              <w:pageBreakBefore w:val="0"/>
              <w:tabs>
                <w:tab w:val="left" w:pos="180"/>
                <w:tab w:val="left" w:pos="1620"/>
              </w:tabs>
              <w:kinsoku/>
              <w:wordWrap/>
              <w:overflowPunct/>
              <w:topLinePunct w:val="0"/>
              <w:autoSpaceDE/>
              <w:autoSpaceDN/>
              <w:bidi w:val="0"/>
              <w:adjustRightInd/>
              <w:snapToGrid/>
              <w:spacing w:line="360" w:lineRule="auto"/>
              <w:textAlignment w:val="auto"/>
              <w:rPr>
                <w:rFonts w:ascii="宋体" w:hAnsi="宋体"/>
                <w:color w:val="auto"/>
                <w:szCs w:val="21"/>
                <w:highlight w:val="none"/>
              </w:rPr>
            </w:pPr>
            <w:r>
              <w:rPr>
                <w:rFonts w:hint="eastAsia" w:ascii="宋体" w:hAnsi="宋体"/>
                <w:color w:val="auto"/>
                <w:szCs w:val="21"/>
                <w:highlight w:val="none"/>
              </w:rPr>
              <w:t>二、现场踏勘：</w:t>
            </w:r>
            <w:r>
              <w:rPr>
                <w:rFonts w:hint="eastAsia" w:ascii="宋体" w:hAnsi="宋体"/>
                <w:color w:val="auto"/>
                <w:szCs w:val="21"/>
                <w:highlight w:val="none"/>
                <w:lang w:val="en-US" w:eastAsia="zh-CN"/>
              </w:rPr>
              <w:t>不组织。</w:t>
            </w:r>
          </w:p>
        </w:tc>
      </w:tr>
    </w:tbl>
    <w:p w14:paraId="684DD399">
      <w:pPr>
        <w:spacing w:line="360" w:lineRule="auto"/>
        <w:rPr>
          <w:rFonts w:hint="eastAsia" w:ascii="宋体" w:hAnsi="宋体" w:eastAsia="宋体" w:cs="宋体"/>
          <w:color w:val="auto"/>
          <w:sz w:val="32"/>
          <w:szCs w:val="32"/>
          <w:highlight w:val="none"/>
        </w:rPr>
        <w:sectPr>
          <w:footerReference r:id="rId7" w:type="default"/>
          <w:pgSz w:w="11906" w:h="16838"/>
          <w:pgMar w:top="1440" w:right="1080" w:bottom="1440" w:left="1080"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bookmarkStart w:id="1006" w:name="_GoBack"/>
      <w:bookmarkEnd w:id="1006"/>
      <w:permStart w:id="2" w:edGrp="everyone"/>
      <w:permEnd w:id="2"/>
    </w:p>
    <w:p w14:paraId="306461EF">
      <w:pPr>
        <w:spacing w:line="428" w:lineRule="exact"/>
        <w:rPr>
          <w:rFonts w:ascii="Arial Unicode MS" w:hAnsi="Arial Unicode MS" w:eastAsia="Times New Roman" w:cs="Arial Unicode MS"/>
          <w:color w:val="auto"/>
          <w:sz w:val="17"/>
          <w:szCs w:val="17"/>
          <w:highlight w:val="none"/>
        </w:rPr>
      </w:pPr>
      <w:bookmarkStart w:id="36" w:name="_Toc30087"/>
      <w:bookmarkStart w:id="37" w:name="_Toc23956"/>
      <w:bookmarkStart w:id="38" w:name="_Toc17962"/>
      <w:r>
        <w:rPr>
          <w:rFonts w:hint="eastAsia" w:ascii="微软雅黑" w:hAnsi="微软雅黑" w:eastAsia="微软雅黑" w:cs="微软雅黑"/>
          <w:color w:val="auto"/>
          <w:sz w:val="32"/>
          <w:szCs w:val="32"/>
          <w:highlight w:val="none"/>
        </w:rPr>
        <w:t>附件</w:t>
      </w:r>
      <w:r>
        <w:rPr>
          <w:rFonts w:ascii="微软雅黑" w:hAnsi="微软雅黑" w:eastAsia="微软雅黑" w:cs="微软雅黑"/>
          <w:color w:val="auto"/>
          <w:sz w:val="32"/>
          <w:szCs w:val="32"/>
          <w:highlight w:val="none"/>
        </w:rPr>
        <w:t>1</w:t>
      </w:r>
      <w:r>
        <w:rPr>
          <w:rFonts w:hint="eastAsia" w:ascii="微软雅黑" w:hAnsi="微软雅黑" w:eastAsia="微软雅黑" w:cs="微软雅黑"/>
          <w:color w:val="auto"/>
          <w:sz w:val="32"/>
          <w:szCs w:val="32"/>
          <w:highlight w:val="none"/>
        </w:rPr>
        <w:t>：</w:t>
      </w:r>
    </w:p>
    <w:p w14:paraId="05096751">
      <w:pPr>
        <w:spacing w:line="528" w:lineRule="exact"/>
        <w:jc w:val="center"/>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23"/>
        <w:tblW w:w="9500" w:type="dxa"/>
        <w:tblInd w:w="250" w:type="dxa"/>
        <w:tblLayout w:type="fixed"/>
        <w:tblCellMar>
          <w:top w:w="0" w:type="dxa"/>
          <w:left w:w="108" w:type="dxa"/>
          <w:bottom w:w="0" w:type="dxa"/>
          <w:right w:w="108" w:type="dxa"/>
        </w:tblCellMar>
      </w:tblPr>
      <w:tblGrid>
        <w:gridCol w:w="1985"/>
        <w:gridCol w:w="1985"/>
        <w:gridCol w:w="851"/>
        <w:gridCol w:w="1836"/>
        <w:gridCol w:w="1709"/>
        <w:gridCol w:w="1134"/>
      </w:tblGrid>
      <w:tr w14:paraId="41878B85">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7545D128">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noWrap w:val="0"/>
            <w:vAlign w:val="center"/>
          </w:tcPr>
          <w:p w14:paraId="52453DBF">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662CE888">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836" w:type="dxa"/>
            <w:tcBorders>
              <w:top w:val="single" w:color="auto" w:sz="4" w:space="0"/>
              <w:left w:val="nil"/>
              <w:bottom w:val="single" w:color="auto" w:sz="4" w:space="0"/>
              <w:right w:val="single" w:color="auto" w:sz="4" w:space="0"/>
            </w:tcBorders>
            <w:noWrap w:val="0"/>
            <w:vAlign w:val="center"/>
          </w:tcPr>
          <w:p w14:paraId="1B367877">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709" w:type="dxa"/>
            <w:tcBorders>
              <w:top w:val="single" w:color="auto" w:sz="4" w:space="0"/>
              <w:left w:val="nil"/>
              <w:bottom w:val="single" w:color="auto" w:sz="4" w:space="0"/>
              <w:right w:val="single" w:color="auto" w:sz="4" w:space="0"/>
            </w:tcBorders>
            <w:noWrap w:val="0"/>
            <w:vAlign w:val="center"/>
          </w:tcPr>
          <w:p w14:paraId="67F446E3">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001845FA">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54B22754">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6D7D675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985" w:type="dxa"/>
            <w:tcBorders>
              <w:top w:val="nil"/>
              <w:left w:val="nil"/>
              <w:bottom w:val="single" w:color="auto" w:sz="4" w:space="0"/>
              <w:right w:val="single" w:color="auto" w:sz="4" w:space="0"/>
            </w:tcBorders>
            <w:noWrap w:val="0"/>
            <w:vAlign w:val="center"/>
          </w:tcPr>
          <w:p w14:paraId="078A84C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0F78AA3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70903E4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20000</w:t>
            </w:r>
          </w:p>
        </w:tc>
        <w:tc>
          <w:tcPr>
            <w:tcW w:w="1709" w:type="dxa"/>
            <w:tcBorders>
              <w:top w:val="nil"/>
              <w:left w:val="nil"/>
              <w:bottom w:val="single" w:color="auto" w:sz="4" w:space="0"/>
              <w:right w:val="single" w:color="auto" w:sz="4" w:space="0"/>
            </w:tcBorders>
            <w:noWrap w:val="0"/>
            <w:vAlign w:val="center"/>
          </w:tcPr>
          <w:p w14:paraId="0E406F86">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w:t>
            </w:r>
          </w:p>
        </w:tc>
        <w:tc>
          <w:tcPr>
            <w:tcW w:w="1134" w:type="dxa"/>
            <w:tcBorders>
              <w:top w:val="nil"/>
              <w:left w:val="nil"/>
              <w:bottom w:val="single" w:color="auto" w:sz="4" w:space="0"/>
              <w:right w:val="single" w:color="auto" w:sz="4" w:space="0"/>
            </w:tcBorders>
            <w:noWrap w:val="0"/>
            <w:vAlign w:val="center"/>
          </w:tcPr>
          <w:p w14:paraId="47C1577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w:t>
            </w:r>
          </w:p>
        </w:tc>
      </w:tr>
      <w:tr w14:paraId="54569E4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D4BC77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985" w:type="dxa"/>
            <w:tcBorders>
              <w:top w:val="nil"/>
              <w:left w:val="nil"/>
              <w:bottom w:val="single" w:color="auto" w:sz="4" w:space="0"/>
              <w:right w:val="single" w:color="auto" w:sz="4" w:space="0"/>
            </w:tcBorders>
            <w:noWrap w:val="0"/>
            <w:vAlign w:val="center"/>
          </w:tcPr>
          <w:p w14:paraId="7E19636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41223DD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151F0FB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709" w:type="dxa"/>
            <w:tcBorders>
              <w:top w:val="nil"/>
              <w:left w:val="nil"/>
              <w:bottom w:val="single" w:color="auto" w:sz="4" w:space="0"/>
              <w:right w:val="single" w:color="auto" w:sz="4" w:space="0"/>
            </w:tcBorders>
            <w:noWrap w:val="0"/>
            <w:vAlign w:val="center"/>
          </w:tcPr>
          <w:p w14:paraId="066A495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134" w:type="dxa"/>
            <w:tcBorders>
              <w:top w:val="nil"/>
              <w:left w:val="nil"/>
              <w:bottom w:val="single" w:color="auto" w:sz="4" w:space="0"/>
              <w:right w:val="single" w:color="auto" w:sz="4" w:space="0"/>
            </w:tcBorders>
            <w:noWrap w:val="0"/>
            <w:vAlign w:val="center"/>
          </w:tcPr>
          <w:p w14:paraId="62A18BD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r>
      <w:tr w14:paraId="58E2100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D51096F">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FAFBAB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1FCEC45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451E2DD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40000</w:t>
            </w:r>
          </w:p>
        </w:tc>
        <w:tc>
          <w:tcPr>
            <w:tcW w:w="1709" w:type="dxa"/>
            <w:tcBorders>
              <w:top w:val="nil"/>
              <w:left w:val="nil"/>
              <w:bottom w:val="single" w:color="auto" w:sz="4" w:space="0"/>
              <w:right w:val="single" w:color="auto" w:sz="4" w:space="0"/>
            </w:tcBorders>
            <w:noWrap w:val="0"/>
            <w:vAlign w:val="center"/>
          </w:tcPr>
          <w:p w14:paraId="4545033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134" w:type="dxa"/>
            <w:tcBorders>
              <w:top w:val="nil"/>
              <w:left w:val="nil"/>
              <w:bottom w:val="single" w:color="auto" w:sz="4" w:space="0"/>
              <w:right w:val="single" w:color="auto" w:sz="4" w:space="0"/>
            </w:tcBorders>
            <w:noWrap w:val="0"/>
            <w:vAlign w:val="center"/>
          </w:tcPr>
          <w:p w14:paraId="68AAB8C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r>
      <w:tr w14:paraId="6F4340C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10D7F1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985" w:type="dxa"/>
            <w:tcBorders>
              <w:top w:val="nil"/>
              <w:left w:val="nil"/>
              <w:bottom w:val="single" w:color="auto" w:sz="4" w:space="0"/>
              <w:right w:val="single" w:color="auto" w:sz="4" w:space="0"/>
            </w:tcBorders>
            <w:noWrap w:val="0"/>
            <w:vAlign w:val="center"/>
          </w:tcPr>
          <w:p w14:paraId="3C9F983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5FDF2A4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2785EF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6000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80000</w:t>
            </w:r>
          </w:p>
        </w:tc>
        <w:tc>
          <w:tcPr>
            <w:tcW w:w="1709" w:type="dxa"/>
            <w:tcBorders>
              <w:top w:val="nil"/>
              <w:left w:val="nil"/>
              <w:bottom w:val="single" w:color="auto" w:sz="4" w:space="0"/>
              <w:right w:val="single" w:color="auto" w:sz="4" w:space="0"/>
            </w:tcBorders>
            <w:noWrap w:val="0"/>
            <w:vAlign w:val="center"/>
          </w:tcPr>
          <w:p w14:paraId="6D4DE83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6000</w:t>
            </w:r>
          </w:p>
        </w:tc>
        <w:tc>
          <w:tcPr>
            <w:tcW w:w="1134" w:type="dxa"/>
            <w:tcBorders>
              <w:top w:val="nil"/>
              <w:left w:val="nil"/>
              <w:bottom w:val="single" w:color="auto" w:sz="4" w:space="0"/>
              <w:right w:val="single" w:color="auto" w:sz="4" w:space="0"/>
            </w:tcBorders>
            <w:noWrap w:val="0"/>
            <w:vAlign w:val="center"/>
          </w:tcPr>
          <w:p w14:paraId="0E87FA02">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r>
      <w:tr w14:paraId="0D8115F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FF1F3E0">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4CEC47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60F558E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7F24A3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80000</w:t>
            </w:r>
          </w:p>
        </w:tc>
        <w:tc>
          <w:tcPr>
            <w:tcW w:w="1709" w:type="dxa"/>
            <w:tcBorders>
              <w:top w:val="nil"/>
              <w:left w:val="nil"/>
              <w:bottom w:val="single" w:color="auto" w:sz="4" w:space="0"/>
              <w:right w:val="single" w:color="auto" w:sz="4" w:space="0"/>
            </w:tcBorders>
            <w:noWrap w:val="0"/>
            <w:vAlign w:val="center"/>
          </w:tcPr>
          <w:p w14:paraId="02AD31E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5000</w:t>
            </w:r>
          </w:p>
        </w:tc>
        <w:tc>
          <w:tcPr>
            <w:tcW w:w="1134" w:type="dxa"/>
            <w:tcBorders>
              <w:top w:val="nil"/>
              <w:left w:val="nil"/>
              <w:bottom w:val="single" w:color="auto" w:sz="4" w:space="0"/>
              <w:right w:val="single" w:color="auto" w:sz="4" w:space="0"/>
            </w:tcBorders>
            <w:noWrap w:val="0"/>
            <w:vAlign w:val="center"/>
          </w:tcPr>
          <w:p w14:paraId="7694F0F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r>
      <w:tr w14:paraId="367A2AC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CFBE47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985" w:type="dxa"/>
            <w:tcBorders>
              <w:top w:val="nil"/>
              <w:left w:val="nil"/>
              <w:bottom w:val="single" w:color="auto" w:sz="4" w:space="0"/>
              <w:right w:val="single" w:color="auto" w:sz="4" w:space="0"/>
            </w:tcBorders>
            <w:noWrap w:val="0"/>
            <w:vAlign w:val="center"/>
          </w:tcPr>
          <w:p w14:paraId="66A71B2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63B4660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67975BE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w:t>
            </w:r>
          </w:p>
        </w:tc>
        <w:tc>
          <w:tcPr>
            <w:tcW w:w="1709" w:type="dxa"/>
            <w:tcBorders>
              <w:top w:val="nil"/>
              <w:left w:val="nil"/>
              <w:bottom w:val="single" w:color="auto" w:sz="4" w:space="0"/>
              <w:right w:val="single" w:color="auto" w:sz="4" w:space="0"/>
            </w:tcBorders>
            <w:noWrap w:val="0"/>
            <w:vAlign w:val="center"/>
          </w:tcPr>
          <w:p w14:paraId="2F8FB8D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c>
          <w:tcPr>
            <w:tcW w:w="1134" w:type="dxa"/>
            <w:tcBorders>
              <w:top w:val="nil"/>
              <w:left w:val="nil"/>
              <w:bottom w:val="single" w:color="auto" w:sz="4" w:space="0"/>
              <w:right w:val="single" w:color="auto" w:sz="4" w:space="0"/>
            </w:tcBorders>
            <w:noWrap w:val="0"/>
            <w:vAlign w:val="center"/>
          </w:tcPr>
          <w:p w14:paraId="74241B3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w:t>
            </w:r>
          </w:p>
        </w:tc>
      </w:tr>
      <w:tr w14:paraId="1BEF0EC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C4B5A05">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85971A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5213895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FBB71B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40000</w:t>
            </w:r>
          </w:p>
        </w:tc>
        <w:tc>
          <w:tcPr>
            <w:tcW w:w="1709" w:type="dxa"/>
            <w:tcBorders>
              <w:top w:val="nil"/>
              <w:left w:val="nil"/>
              <w:bottom w:val="single" w:color="auto" w:sz="4" w:space="0"/>
              <w:right w:val="single" w:color="auto" w:sz="4" w:space="0"/>
            </w:tcBorders>
            <w:noWrap w:val="0"/>
            <w:vAlign w:val="center"/>
          </w:tcPr>
          <w:p w14:paraId="087E1346">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5000</w:t>
            </w:r>
          </w:p>
        </w:tc>
        <w:tc>
          <w:tcPr>
            <w:tcW w:w="1134" w:type="dxa"/>
            <w:tcBorders>
              <w:top w:val="nil"/>
              <w:left w:val="nil"/>
              <w:bottom w:val="single" w:color="auto" w:sz="4" w:space="0"/>
              <w:right w:val="single" w:color="auto" w:sz="4" w:space="0"/>
            </w:tcBorders>
            <w:noWrap w:val="0"/>
            <w:vAlign w:val="center"/>
          </w:tcPr>
          <w:p w14:paraId="47830DC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r>
      <w:tr w14:paraId="11A8BA8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5B4682D">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985" w:type="dxa"/>
            <w:tcBorders>
              <w:top w:val="nil"/>
              <w:left w:val="nil"/>
              <w:bottom w:val="single" w:color="auto" w:sz="4" w:space="0"/>
              <w:right w:val="single" w:color="auto" w:sz="4" w:space="0"/>
            </w:tcBorders>
            <w:noWrap w:val="0"/>
            <w:vAlign w:val="center"/>
          </w:tcPr>
          <w:p w14:paraId="0C2D728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29349DB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6C14DBB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0"/>
            <w:vAlign w:val="center"/>
          </w:tcPr>
          <w:p w14:paraId="080E6A7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w:t>
            </w:r>
          </w:p>
        </w:tc>
        <w:tc>
          <w:tcPr>
            <w:tcW w:w="1134" w:type="dxa"/>
            <w:tcBorders>
              <w:top w:val="nil"/>
              <w:left w:val="nil"/>
              <w:bottom w:val="single" w:color="auto" w:sz="4" w:space="0"/>
              <w:right w:val="single" w:color="auto" w:sz="4" w:space="0"/>
            </w:tcBorders>
            <w:noWrap w:val="0"/>
            <w:vAlign w:val="center"/>
          </w:tcPr>
          <w:p w14:paraId="22666F1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7281F05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C95061B">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301E37C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47ACFD1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35F08FB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20000</w:t>
            </w:r>
          </w:p>
        </w:tc>
        <w:tc>
          <w:tcPr>
            <w:tcW w:w="1709" w:type="dxa"/>
            <w:tcBorders>
              <w:top w:val="nil"/>
              <w:left w:val="nil"/>
              <w:bottom w:val="single" w:color="auto" w:sz="4" w:space="0"/>
              <w:right w:val="single" w:color="auto" w:sz="4" w:space="0"/>
            </w:tcBorders>
            <w:noWrap w:val="0"/>
            <w:vAlign w:val="center"/>
          </w:tcPr>
          <w:p w14:paraId="0F5E922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w:t>
            </w:r>
          </w:p>
        </w:tc>
        <w:tc>
          <w:tcPr>
            <w:tcW w:w="1134" w:type="dxa"/>
            <w:tcBorders>
              <w:top w:val="nil"/>
              <w:left w:val="nil"/>
              <w:bottom w:val="single" w:color="auto" w:sz="4" w:space="0"/>
              <w:right w:val="single" w:color="auto" w:sz="4" w:space="0"/>
            </w:tcBorders>
            <w:noWrap w:val="0"/>
            <w:vAlign w:val="center"/>
          </w:tcPr>
          <w:p w14:paraId="6EC8F87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4105C0E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17A4FE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noWrap w:val="0"/>
            <w:vAlign w:val="center"/>
          </w:tcPr>
          <w:p w14:paraId="4D90D20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060DC66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66E45B5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709" w:type="dxa"/>
            <w:tcBorders>
              <w:top w:val="nil"/>
              <w:left w:val="nil"/>
              <w:bottom w:val="single" w:color="auto" w:sz="4" w:space="0"/>
              <w:right w:val="single" w:color="auto" w:sz="4" w:space="0"/>
            </w:tcBorders>
            <w:noWrap w:val="0"/>
            <w:vAlign w:val="center"/>
          </w:tcPr>
          <w:p w14:paraId="0B4AE89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134" w:type="dxa"/>
            <w:tcBorders>
              <w:top w:val="nil"/>
              <w:left w:val="nil"/>
              <w:bottom w:val="single" w:color="auto" w:sz="4" w:space="0"/>
              <w:right w:val="single" w:color="auto" w:sz="4" w:space="0"/>
            </w:tcBorders>
            <w:noWrap w:val="0"/>
            <w:vAlign w:val="center"/>
          </w:tcPr>
          <w:p w14:paraId="5A6193B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r>
      <w:tr w14:paraId="35C502D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BE0F32D">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A1BC67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7DD073B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02DCD9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30000</w:t>
            </w:r>
          </w:p>
        </w:tc>
        <w:tc>
          <w:tcPr>
            <w:tcW w:w="1709" w:type="dxa"/>
            <w:tcBorders>
              <w:top w:val="nil"/>
              <w:left w:val="nil"/>
              <w:bottom w:val="single" w:color="auto" w:sz="4" w:space="0"/>
              <w:right w:val="single" w:color="auto" w:sz="4" w:space="0"/>
            </w:tcBorders>
            <w:noWrap w:val="0"/>
            <w:vAlign w:val="center"/>
          </w:tcPr>
          <w:p w14:paraId="1B35C49F">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3000</w:t>
            </w:r>
          </w:p>
        </w:tc>
        <w:tc>
          <w:tcPr>
            <w:tcW w:w="1134" w:type="dxa"/>
            <w:tcBorders>
              <w:top w:val="nil"/>
              <w:left w:val="nil"/>
              <w:bottom w:val="single" w:color="auto" w:sz="4" w:space="0"/>
              <w:right w:val="single" w:color="auto" w:sz="4" w:space="0"/>
            </w:tcBorders>
            <w:noWrap w:val="0"/>
            <w:vAlign w:val="center"/>
          </w:tcPr>
          <w:p w14:paraId="59C3B6C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w:t>
            </w:r>
          </w:p>
        </w:tc>
      </w:tr>
      <w:tr w14:paraId="644CE32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8A7A52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985" w:type="dxa"/>
            <w:tcBorders>
              <w:top w:val="nil"/>
              <w:left w:val="nil"/>
              <w:bottom w:val="single" w:color="auto" w:sz="4" w:space="0"/>
              <w:right w:val="single" w:color="auto" w:sz="4" w:space="0"/>
            </w:tcBorders>
            <w:noWrap w:val="0"/>
            <w:vAlign w:val="center"/>
          </w:tcPr>
          <w:p w14:paraId="514FA5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7BAD86A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5AC0340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w:t>
            </w:r>
          </w:p>
        </w:tc>
        <w:tc>
          <w:tcPr>
            <w:tcW w:w="1709" w:type="dxa"/>
            <w:tcBorders>
              <w:top w:val="nil"/>
              <w:left w:val="nil"/>
              <w:bottom w:val="single" w:color="auto" w:sz="4" w:space="0"/>
              <w:right w:val="single" w:color="auto" w:sz="4" w:space="0"/>
            </w:tcBorders>
            <w:noWrap w:val="0"/>
            <w:vAlign w:val="center"/>
          </w:tcPr>
          <w:p w14:paraId="034C43E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56D7125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r>
      <w:tr w14:paraId="3CB3231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5DDFF09">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355030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7188A5A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4D6DDE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30000</w:t>
            </w:r>
          </w:p>
        </w:tc>
        <w:tc>
          <w:tcPr>
            <w:tcW w:w="1709" w:type="dxa"/>
            <w:tcBorders>
              <w:top w:val="nil"/>
              <w:left w:val="nil"/>
              <w:bottom w:val="single" w:color="auto" w:sz="4" w:space="0"/>
              <w:right w:val="single" w:color="auto" w:sz="4" w:space="0"/>
            </w:tcBorders>
            <w:noWrap w:val="0"/>
            <w:vAlign w:val="center"/>
          </w:tcPr>
          <w:p w14:paraId="6FCBA5B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0"/>
            <w:vAlign w:val="center"/>
          </w:tcPr>
          <w:p w14:paraId="7BED0B3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25C44EF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AB24E7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985" w:type="dxa"/>
            <w:tcBorders>
              <w:top w:val="nil"/>
              <w:left w:val="nil"/>
              <w:bottom w:val="single" w:color="auto" w:sz="4" w:space="0"/>
              <w:right w:val="single" w:color="auto" w:sz="4" w:space="0"/>
            </w:tcBorders>
            <w:noWrap w:val="0"/>
            <w:vAlign w:val="center"/>
          </w:tcPr>
          <w:p w14:paraId="1008EB8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52A5DE0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3477AC9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709" w:type="dxa"/>
            <w:tcBorders>
              <w:top w:val="nil"/>
              <w:left w:val="nil"/>
              <w:bottom w:val="single" w:color="auto" w:sz="4" w:space="0"/>
              <w:right w:val="single" w:color="auto" w:sz="4" w:space="0"/>
            </w:tcBorders>
            <w:noWrap w:val="0"/>
            <w:vAlign w:val="center"/>
          </w:tcPr>
          <w:p w14:paraId="67EC1D5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134" w:type="dxa"/>
            <w:tcBorders>
              <w:top w:val="nil"/>
              <w:left w:val="nil"/>
              <w:bottom w:val="single" w:color="auto" w:sz="4" w:space="0"/>
              <w:right w:val="single" w:color="auto" w:sz="4" w:space="0"/>
            </w:tcBorders>
            <w:noWrap w:val="0"/>
            <w:vAlign w:val="center"/>
          </w:tcPr>
          <w:p w14:paraId="6FF10FD2">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r>
      <w:tr w14:paraId="635F785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4B9F5F1">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17ACED8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397A12B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9715282">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30000</w:t>
            </w:r>
          </w:p>
        </w:tc>
        <w:tc>
          <w:tcPr>
            <w:tcW w:w="1709" w:type="dxa"/>
            <w:tcBorders>
              <w:top w:val="nil"/>
              <w:left w:val="nil"/>
              <w:bottom w:val="single" w:color="auto" w:sz="4" w:space="0"/>
              <w:right w:val="single" w:color="auto" w:sz="4" w:space="0"/>
            </w:tcBorders>
            <w:noWrap w:val="0"/>
            <w:vAlign w:val="center"/>
          </w:tcPr>
          <w:p w14:paraId="28DF306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134" w:type="dxa"/>
            <w:tcBorders>
              <w:top w:val="nil"/>
              <w:left w:val="nil"/>
              <w:bottom w:val="single" w:color="auto" w:sz="4" w:space="0"/>
              <w:right w:val="single" w:color="auto" w:sz="4" w:space="0"/>
            </w:tcBorders>
            <w:noWrap w:val="0"/>
            <w:vAlign w:val="center"/>
          </w:tcPr>
          <w:p w14:paraId="60494F9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210C4D2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8E29C6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985" w:type="dxa"/>
            <w:tcBorders>
              <w:top w:val="nil"/>
              <w:left w:val="nil"/>
              <w:bottom w:val="single" w:color="auto" w:sz="4" w:space="0"/>
              <w:right w:val="single" w:color="auto" w:sz="4" w:space="0"/>
            </w:tcBorders>
            <w:noWrap w:val="0"/>
            <w:vAlign w:val="center"/>
          </w:tcPr>
          <w:p w14:paraId="6091E31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1CE6B1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0925C52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0"/>
            <w:vAlign w:val="center"/>
          </w:tcPr>
          <w:p w14:paraId="4689647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2470608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51F6861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50058BE">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D626D8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732B351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61FC73E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w:t>
            </w:r>
          </w:p>
        </w:tc>
        <w:tc>
          <w:tcPr>
            <w:tcW w:w="1709" w:type="dxa"/>
            <w:tcBorders>
              <w:top w:val="nil"/>
              <w:left w:val="nil"/>
              <w:bottom w:val="single" w:color="auto" w:sz="4" w:space="0"/>
              <w:right w:val="single" w:color="auto" w:sz="4" w:space="0"/>
            </w:tcBorders>
            <w:noWrap w:val="0"/>
            <w:vAlign w:val="center"/>
          </w:tcPr>
          <w:p w14:paraId="4D7E839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134" w:type="dxa"/>
            <w:tcBorders>
              <w:top w:val="nil"/>
              <w:left w:val="nil"/>
              <w:bottom w:val="single" w:color="auto" w:sz="4" w:space="0"/>
              <w:right w:val="single" w:color="auto" w:sz="4" w:space="0"/>
            </w:tcBorders>
            <w:noWrap w:val="0"/>
            <w:vAlign w:val="center"/>
          </w:tcPr>
          <w:p w14:paraId="194FB9A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3B40CC6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C0F4144">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985" w:type="dxa"/>
            <w:tcBorders>
              <w:top w:val="nil"/>
              <w:left w:val="nil"/>
              <w:bottom w:val="single" w:color="auto" w:sz="4" w:space="0"/>
              <w:right w:val="single" w:color="auto" w:sz="4" w:space="0"/>
            </w:tcBorders>
            <w:noWrap w:val="0"/>
            <w:vAlign w:val="center"/>
          </w:tcPr>
          <w:p w14:paraId="6EEF881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1077768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0BD11F1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0"/>
            <w:vAlign w:val="center"/>
          </w:tcPr>
          <w:p w14:paraId="7E88C2F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465452A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5611CB8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7FFCB48">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F5291C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63A810C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7BAEC9E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w:t>
            </w:r>
          </w:p>
        </w:tc>
        <w:tc>
          <w:tcPr>
            <w:tcW w:w="1709" w:type="dxa"/>
            <w:tcBorders>
              <w:top w:val="nil"/>
              <w:left w:val="nil"/>
              <w:bottom w:val="single" w:color="auto" w:sz="4" w:space="0"/>
              <w:right w:val="single" w:color="auto" w:sz="4" w:space="0"/>
            </w:tcBorders>
            <w:noWrap w:val="0"/>
            <w:vAlign w:val="center"/>
          </w:tcPr>
          <w:p w14:paraId="197D15F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134" w:type="dxa"/>
            <w:tcBorders>
              <w:top w:val="nil"/>
              <w:left w:val="nil"/>
              <w:bottom w:val="single" w:color="auto" w:sz="4" w:space="0"/>
              <w:right w:val="single" w:color="auto" w:sz="4" w:space="0"/>
            </w:tcBorders>
            <w:noWrap w:val="0"/>
            <w:vAlign w:val="center"/>
          </w:tcPr>
          <w:p w14:paraId="30441E5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2D0D5B5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CD35AD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noWrap w:val="0"/>
            <w:vAlign w:val="center"/>
          </w:tcPr>
          <w:p w14:paraId="7D885FC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7FF538C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5B1FC37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709" w:type="dxa"/>
            <w:tcBorders>
              <w:top w:val="nil"/>
              <w:left w:val="nil"/>
              <w:bottom w:val="single" w:color="auto" w:sz="4" w:space="0"/>
              <w:right w:val="single" w:color="auto" w:sz="4" w:space="0"/>
            </w:tcBorders>
            <w:noWrap w:val="0"/>
            <w:vAlign w:val="center"/>
          </w:tcPr>
          <w:p w14:paraId="26A90D5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550BA34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5A56000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7E37211">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027598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474AF51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45E8023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100000</w:t>
            </w:r>
          </w:p>
        </w:tc>
        <w:tc>
          <w:tcPr>
            <w:tcW w:w="1709" w:type="dxa"/>
            <w:tcBorders>
              <w:top w:val="nil"/>
              <w:left w:val="nil"/>
              <w:bottom w:val="single" w:color="auto" w:sz="4" w:space="0"/>
              <w:right w:val="single" w:color="auto" w:sz="4" w:space="0"/>
            </w:tcBorders>
            <w:noWrap w:val="0"/>
            <w:vAlign w:val="center"/>
          </w:tcPr>
          <w:p w14:paraId="281D72B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0"/>
            <w:vAlign w:val="center"/>
          </w:tcPr>
          <w:p w14:paraId="0CC9C16F">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4A8AE25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5B8A39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noWrap w:val="0"/>
            <w:vAlign w:val="center"/>
          </w:tcPr>
          <w:p w14:paraId="65156C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22386FD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456EE67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0"/>
            <w:vAlign w:val="center"/>
          </w:tcPr>
          <w:p w14:paraId="6D0C0BC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0A1F861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2732DA4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63A89F0">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9CDD9A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052E662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E7B543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w:t>
            </w:r>
          </w:p>
        </w:tc>
        <w:tc>
          <w:tcPr>
            <w:tcW w:w="1709" w:type="dxa"/>
            <w:tcBorders>
              <w:top w:val="nil"/>
              <w:left w:val="nil"/>
              <w:bottom w:val="single" w:color="auto" w:sz="4" w:space="0"/>
              <w:right w:val="single" w:color="auto" w:sz="4" w:space="0"/>
            </w:tcBorders>
            <w:noWrap w:val="0"/>
            <w:vAlign w:val="center"/>
          </w:tcPr>
          <w:p w14:paraId="69A704E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0"/>
            <w:vAlign w:val="center"/>
          </w:tcPr>
          <w:p w14:paraId="7AFEFFFF">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w:t>
            </w:r>
          </w:p>
        </w:tc>
      </w:tr>
      <w:tr w14:paraId="6F0ACBB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C59431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noWrap w:val="0"/>
            <w:vAlign w:val="center"/>
          </w:tcPr>
          <w:p w14:paraId="026858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211C1C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C7622AF">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200000</w:t>
            </w:r>
          </w:p>
        </w:tc>
        <w:tc>
          <w:tcPr>
            <w:tcW w:w="1709" w:type="dxa"/>
            <w:tcBorders>
              <w:top w:val="nil"/>
              <w:left w:val="nil"/>
              <w:bottom w:val="single" w:color="auto" w:sz="4" w:space="0"/>
              <w:right w:val="single" w:color="auto" w:sz="4" w:space="0"/>
            </w:tcBorders>
            <w:noWrap w:val="0"/>
            <w:vAlign w:val="center"/>
          </w:tcPr>
          <w:p w14:paraId="7F5D0C5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0"/>
            <w:vAlign w:val="center"/>
          </w:tcPr>
          <w:p w14:paraId="6813D49D">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47112D1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FF5AFE3">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D52E23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5A232CE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2FDCF34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w:t>
            </w:r>
          </w:p>
        </w:tc>
        <w:tc>
          <w:tcPr>
            <w:tcW w:w="1709" w:type="dxa"/>
            <w:tcBorders>
              <w:top w:val="nil"/>
              <w:left w:val="nil"/>
              <w:bottom w:val="single" w:color="auto" w:sz="4" w:space="0"/>
              <w:right w:val="single" w:color="auto" w:sz="4" w:space="0"/>
            </w:tcBorders>
            <w:noWrap w:val="0"/>
            <w:vAlign w:val="center"/>
          </w:tcPr>
          <w:p w14:paraId="1E6CC42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5000</w:t>
            </w:r>
          </w:p>
        </w:tc>
        <w:tc>
          <w:tcPr>
            <w:tcW w:w="1134" w:type="dxa"/>
            <w:tcBorders>
              <w:top w:val="nil"/>
              <w:left w:val="nil"/>
              <w:bottom w:val="single" w:color="auto" w:sz="4" w:space="0"/>
              <w:right w:val="single" w:color="auto" w:sz="4" w:space="0"/>
            </w:tcBorders>
            <w:noWrap w:val="0"/>
            <w:vAlign w:val="center"/>
          </w:tcPr>
          <w:p w14:paraId="046DBB2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r>
      <w:tr w14:paraId="39F71BE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7F5D94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985" w:type="dxa"/>
            <w:tcBorders>
              <w:top w:val="nil"/>
              <w:left w:val="nil"/>
              <w:bottom w:val="single" w:color="auto" w:sz="4" w:space="0"/>
              <w:right w:val="single" w:color="auto" w:sz="4" w:space="0"/>
            </w:tcBorders>
            <w:noWrap w:val="0"/>
            <w:vAlign w:val="center"/>
          </w:tcPr>
          <w:p w14:paraId="0A87FE8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57E91B3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795BEA96">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709" w:type="dxa"/>
            <w:tcBorders>
              <w:top w:val="nil"/>
              <w:left w:val="nil"/>
              <w:bottom w:val="single" w:color="auto" w:sz="4" w:space="0"/>
              <w:right w:val="single" w:color="auto" w:sz="4" w:space="0"/>
            </w:tcBorders>
            <w:noWrap w:val="0"/>
            <w:vAlign w:val="center"/>
          </w:tcPr>
          <w:p w14:paraId="23F9903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134" w:type="dxa"/>
            <w:tcBorders>
              <w:top w:val="nil"/>
              <w:left w:val="nil"/>
              <w:bottom w:val="single" w:color="auto" w:sz="4" w:space="0"/>
              <w:right w:val="single" w:color="auto" w:sz="4" w:space="0"/>
            </w:tcBorders>
            <w:noWrap w:val="0"/>
            <w:vAlign w:val="center"/>
          </w:tcPr>
          <w:p w14:paraId="2F4E4F1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2CA2686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A90522C">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40FEF2B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6D3824E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6D866ED">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5000</w:t>
            </w:r>
          </w:p>
        </w:tc>
        <w:tc>
          <w:tcPr>
            <w:tcW w:w="1709" w:type="dxa"/>
            <w:tcBorders>
              <w:top w:val="nil"/>
              <w:left w:val="nil"/>
              <w:bottom w:val="single" w:color="auto" w:sz="4" w:space="0"/>
              <w:right w:val="single" w:color="auto" w:sz="4" w:space="0"/>
            </w:tcBorders>
            <w:noWrap w:val="0"/>
            <w:vAlign w:val="center"/>
          </w:tcPr>
          <w:p w14:paraId="0D3F2136">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0"/>
            <w:vAlign w:val="center"/>
          </w:tcPr>
          <w:p w14:paraId="6E07DFE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w:t>
            </w:r>
          </w:p>
        </w:tc>
      </w:tr>
      <w:tr w14:paraId="237A0D42">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24F58AE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noWrap w:val="0"/>
            <w:vAlign w:val="center"/>
          </w:tcPr>
          <w:p w14:paraId="00359CB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3B3527C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65B1611D">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0"/>
            <w:vAlign w:val="center"/>
          </w:tcPr>
          <w:p w14:paraId="0B037BC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13CE28C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204FEF8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F1D378A">
            <w:pPr>
              <w:widowControl/>
              <w:jc w:val="center"/>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775560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44745A6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786554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8000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120000</w:t>
            </w:r>
          </w:p>
        </w:tc>
        <w:tc>
          <w:tcPr>
            <w:tcW w:w="1709" w:type="dxa"/>
            <w:tcBorders>
              <w:top w:val="nil"/>
              <w:left w:val="nil"/>
              <w:bottom w:val="single" w:color="auto" w:sz="4" w:space="0"/>
              <w:right w:val="single" w:color="auto" w:sz="4" w:space="0"/>
            </w:tcBorders>
            <w:noWrap w:val="0"/>
            <w:vAlign w:val="center"/>
          </w:tcPr>
          <w:p w14:paraId="3B274F9F">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8000</w:t>
            </w:r>
          </w:p>
        </w:tc>
        <w:tc>
          <w:tcPr>
            <w:tcW w:w="1134" w:type="dxa"/>
            <w:tcBorders>
              <w:top w:val="nil"/>
              <w:left w:val="nil"/>
              <w:bottom w:val="single" w:color="auto" w:sz="4" w:space="0"/>
              <w:right w:val="single" w:color="auto" w:sz="4" w:space="0"/>
            </w:tcBorders>
            <w:noWrap w:val="0"/>
            <w:vAlign w:val="center"/>
          </w:tcPr>
          <w:p w14:paraId="3D1A1A6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451FE803">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center"/>
          </w:tcPr>
          <w:p w14:paraId="377DB66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noWrap w:val="0"/>
            <w:vAlign w:val="center"/>
          </w:tcPr>
          <w:p w14:paraId="2C647F0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7E9A2E6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43509DAF">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0"/>
            <w:vAlign w:val="center"/>
          </w:tcPr>
          <w:p w14:paraId="02DAA22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750C83F6">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bl>
    <w:p w14:paraId="5BD218FC">
      <w:pPr>
        <w:spacing w:line="560" w:lineRule="exact"/>
        <w:ind w:firstLine="525" w:firstLineChars="250"/>
        <w:rPr>
          <w:rFonts w:ascii="宋体"/>
          <w:color w:val="auto"/>
          <w:kern w:val="0"/>
          <w:sz w:val="20"/>
          <w:szCs w:val="21"/>
          <w:highlight w:val="none"/>
        </w:rPr>
        <w:sectPr>
          <w:footerReference r:id="rId8" w:type="default"/>
          <w:pgSz w:w="11906" w:h="16838"/>
          <w:pgMar w:top="1134" w:right="1134" w:bottom="1134" w:left="1134" w:header="720" w:footer="720" w:gutter="0"/>
          <w:cols w:space="720" w:num="1"/>
          <w:docGrid w:type="lines" w:linePitch="331" w:charSpace="0"/>
        </w:sectPr>
      </w:pPr>
      <w:r>
        <w:rPr>
          <w:rFonts w:hint="eastAsia" w:ascii="仿宋_GB2312" w:hAnsi="仿宋" w:eastAsia="仿宋_GB2312"/>
          <w:color w:val="auto"/>
          <w:szCs w:val="21"/>
          <w:highlight w:val="none"/>
        </w:rPr>
        <w:t>说明：上述标准参照《关于印发中小企业划型标准规定的通知》（工信部联企业</w:t>
      </w:r>
      <w:r>
        <w:rPr>
          <w:rFonts w:ascii="仿宋_GB2312" w:hAnsi="仿宋" w:eastAsia="仿宋_GB2312"/>
          <w:color w:val="auto"/>
          <w:szCs w:val="21"/>
          <w:highlight w:val="none"/>
        </w:rPr>
        <w:t>[2011]300</w:t>
      </w:r>
      <w:r>
        <w:rPr>
          <w:rFonts w:hint="eastAsia" w:ascii="仿宋_GB2312" w:hAnsi="仿宋" w:eastAsia="仿宋_GB2312"/>
          <w:color w:val="auto"/>
          <w:szCs w:val="21"/>
          <w:highlight w:val="none"/>
        </w:rPr>
        <w:t>号），大型、中型和小型企业须同时满足所列指标的下限，否则下划一档；微型企业只须满足所列指标中的一项即可。</w:t>
      </w:r>
    </w:p>
    <w:p w14:paraId="3BFFEF4F">
      <w:pPr>
        <w:pStyle w:val="2"/>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第三章 供应商须知</w:t>
      </w:r>
      <w:bookmarkEnd w:id="36"/>
      <w:bookmarkEnd w:id="37"/>
      <w:bookmarkEnd w:id="38"/>
    </w:p>
    <w:p w14:paraId="0DC45135">
      <w:pPr>
        <w:pStyle w:val="3"/>
        <w:spacing w:line="360" w:lineRule="auto"/>
        <w:jc w:val="center"/>
        <w:rPr>
          <w:rFonts w:hint="eastAsia" w:ascii="宋体" w:hAnsi="宋体" w:eastAsia="宋体" w:cs="宋体"/>
          <w:b w:val="0"/>
          <w:color w:val="auto"/>
          <w:highlight w:val="none"/>
        </w:rPr>
      </w:pPr>
      <w:bookmarkStart w:id="39" w:name="_Toc23940"/>
      <w:bookmarkStart w:id="40" w:name="_Toc24946"/>
      <w:bookmarkStart w:id="41" w:name="_Toc28335"/>
      <w:r>
        <w:rPr>
          <w:rFonts w:hint="eastAsia" w:ascii="宋体" w:hAnsi="宋体" w:eastAsia="宋体" w:cs="宋体"/>
          <w:b w:val="0"/>
          <w:color w:val="auto"/>
          <w:highlight w:val="none"/>
          <w:lang w:eastAsia="zh-CN"/>
        </w:rPr>
        <w:t xml:space="preserve">第一节 </w:t>
      </w:r>
      <w:r>
        <w:rPr>
          <w:rFonts w:hint="eastAsia" w:ascii="宋体" w:hAnsi="宋体" w:eastAsia="宋体" w:cs="宋体"/>
          <w:b w:val="0"/>
          <w:color w:val="auto"/>
          <w:highlight w:val="none"/>
        </w:rPr>
        <w:t>供应商须知前附表</w:t>
      </w:r>
      <w:bookmarkEnd w:id="39"/>
      <w:bookmarkEnd w:id="40"/>
      <w:bookmarkEnd w:id="41"/>
    </w:p>
    <w:tbl>
      <w:tblPr>
        <w:tblStyle w:val="23"/>
        <w:tblW w:w="99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2244"/>
        <w:gridCol w:w="6760"/>
      </w:tblGrid>
      <w:tr w14:paraId="04DA3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03" w:type="dxa"/>
            <w:noWrap w:val="0"/>
            <w:vAlign w:val="center"/>
          </w:tcPr>
          <w:p w14:paraId="5977565E">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244" w:type="dxa"/>
            <w:noWrap w:val="0"/>
            <w:vAlign w:val="center"/>
          </w:tcPr>
          <w:p w14:paraId="3D23F694">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760" w:type="dxa"/>
            <w:noWrap w:val="0"/>
            <w:vAlign w:val="center"/>
          </w:tcPr>
          <w:p w14:paraId="3A77604D">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0254A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5413D98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244" w:type="dxa"/>
            <w:noWrap w:val="0"/>
            <w:vAlign w:val="center"/>
          </w:tcPr>
          <w:p w14:paraId="6F5C443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760" w:type="dxa"/>
            <w:noWrap w:val="0"/>
            <w:vAlign w:val="center"/>
          </w:tcPr>
          <w:p w14:paraId="5EAE69A4">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729E0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2C9548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244" w:type="dxa"/>
            <w:noWrap w:val="0"/>
            <w:vAlign w:val="center"/>
          </w:tcPr>
          <w:p w14:paraId="7ADEF44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760" w:type="dxa"/>
            <w:noWrap w:val="0"/>
            <w:vAlign w:val="center"/>
          </w:tcPr>
          <w:p w14:paraId="79D3B4D7">
            <w:pPr>
              <w:spacing w:line="360" w:lineRule="auto"/>
              <w:jc w:val="lef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□是/☑否</w:t>
            </w:r>
          </w:p>
        </w:tc>
      </w:tr>
      <w:tr w14:paraId="77809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13898A1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244" w:type="dxa"/>
            <w:noWrap w:val="0"/>
            <w:vAlign w:val="center"/>
          </w:tcPr>
          <w:p w14:paraId="2A28385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760" w:type="dxa"/>
            <w:noWrap w:val="0"/>
            <w:vAlign w:val="center"/>
          </w:tcPr>
          <w:p w14:paraId="057A689F">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3AD87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3F58EB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244" w:type="dxa"/>
            <w:noWrap w:val="0"/>
            <w:vAlign w:val="center"/>
          </w:tcPr>
          <w:p w14:paraId="4D3B6E9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760" w:type="dxa"/>
            <w:noWrap w:val="0"/>
            <w:vAlign w:val="center"/>
          </w:tcPr>
          <w:p w14:paraId="582DC68A">
            <w:pPr>
              <w:pStyle w:val="9"/>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☑不允许分包</w:t>
            </w:r>
          </w:p>
          <w:p w14:paraId="1A47059F">
            <w:pPr>
              <w:pStyle w:val="9"/>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3881D3EF">
            <w:pPr>
              <w:pStyle w:val="9"/>
              <w:spacing w:line="360" w:lineRule="auto"/>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w:t>
            </w:r>
            <w:r>
              <w:rPr>
                <w:rFonts w:hint="eastAsia" w:asciiTheme="minorEastAsia" w:hAnsiTheme="minorEastAsia" w:eastAsiaTheme="minorEastAsia"/>
                <w:color w:val="auto"/>
                <w:kern w:val="2"/>
                <w:sz w:val="21"/>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3541F17D">
            <w:pPr>
              <w:pStyle w:val="9"/>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tc>
      </w:tr>
      <w:tr w14:paraId="615BB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43AE4A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244" w:type="dxa"/>
            <w:noWrap w:val="0"/>
            <w:vAlign w:val="center"/>
          </w:tcPr>
          <w:p w14:paraId="4ECB80C9">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资格证明文件组成</w:t>
            </w:r>
          </w:p>
        </w:tc>
        <w:tc>
          <w:tcPr>
            <w:tcW w:w="6760" w:type="dxa"/>
            <w:noWrap w:val="0"/>
            <w:vAlign w:val="center"/>
          </w:tcPr>
          <w:p w14:paraId="20F30321">
            <w:pPr>
              <w:pStyle w:val="9"/>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供应商为法人或者其他组织的提供其营业执照等证明文件（如营业执照或者事业单位法人证书或者执业许可证等）复印件，供应商为自然人的提供其身份证复印件；（</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p>
          <w:p w14:paraId="32FC579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供应商依法缴纳税收的相关材料[</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]内任意</w:t>
            </w:r>
            <w:r>
              <w:rPr>
                <w:rFonts w:hint="eastAsia" w:ascii="宋体" w:hAnsi="宋体" w:cs="宋体"/>
                <w:color w:val="auto"/>
                <w:szCs w:val="21"/>
                <w:highlight w:val="none"/>
                <w:lang w:val="en-US" w:eastAsia="zh-CN"/>
              </w:rPr>
              <w:t>连续</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个月的依法缴纳税收的凭据复印件；</w:t>
            </w:r>
            <w:r>
              <w:rPr>
                <w:rFonts w:hint="eastAsia" w:ascii="宋体" w:hAnsi="宋体" w:cs="宋体"/>
                <w:color w:val="auto"/>
                <w:szCs w:val="21"/>
                <w:highlight w:val="none"/>
              </w:rPr>
              <w:t>依</w:t>
            </w:r>
            <w:r>
              <w:rPr>
                <w:rFonts w:hint="eastAsia" w:ascii="宋体" w:hAnsi="宋体"/>
                <w:color w:val="auto"/>
                <w:szCs w:val="21"/>
                <w:highlight w:val="none"/>
              </w:rPr>
              <w:t>法免税的供应商，必须提供相应文件证明其依法免税。</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4892A29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供应商依法缴纳社会保障资金的相关材料[</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]内任意</w:t>
            </w:r>
            <w:r>
              <w:rPr>
                <w:rFonts w:hint="eastAsia" w:ascii="宋体" w:hAnsi="宋体" w:cs="宋体"/>
                <w:color w:val="auto"/>
                <w:szCs w:val="21"/>
                <w:highlight w:val="none"/>
                <w:lang w:val="en-US" w:eastAsia="zh-CN"/>
              </w:rPr>
              <w:t>连续</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0D22205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供应商财务状况报告</w:t>
            </w:r>
            <w:r>
              <w:rPr>
                <w:rFonts w:hint="eastAsia" w:asciiTheme="minorEastAsia" w:hAnsiTheme="minorEastAsia" w:eastAsiaTheme="minorEastAsia"/>
                <w:color w:val="auto"/>
                <w:szCs w:val="21"/>
                <w:highlight w:val="none"/>
              </w:rPr>
              <w:t>[</w:t>
            </w:r>
            <w:r>
              <w:rPr>
                <w:rFonts w:hint="eastAsia" w:ascii="宋体" w:hAnsi="宋体" w:eastAsia="宋体" w:cs="宋体"/>
                <w:color w:val="auto"/>
                <w:szCs w:val="21"/>
                <w:highlight w:val="none"/>
                <w:u w:val="single"/>
                <w:lang w:val="en-US" w:eastAsia="zh-CN"/>
              </w:rPr>
              <w:t>2024年</w:t>
            </w:r>
            <w:r>
              <w:rPr>
                <w:rFonts w:hint="eastAsia" w:asciiTheme="minorEastAsia" w:hAnsiTheme="minorEastAsia" w:eastAsiaTheme="minorEastAsia"/>
                <w:color w:val="auto"/>
                <w:szCs w:val="21"/>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3DFBE59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供应商直接控股股东信息、供应商直接管理关系信息表；（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E21FA4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资格声明</w:t>
            </w:r>
            <w:r>
              <w:rPr>
                <w:rFonts w:hint="eastAsia" w:ascii="宋体" w:hAnsi="宋体" w:eastAsia="宋体" w:cs="宋体"/>
                <w:color w:val="auto"/>
                <w:szCs w:val="21"/>
                <w:highlight w:val="none"/>
                <w:lang w:eastAsia="zh-CN"/>
              </w:rPr>
              <w:t>函</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1F7EAF8">
            <w:pPr>
              <w:pageBreakBefore w:val="0"/>
              <w:kinsoku/>
              <w:topLinePunct w:val="0"/>
              <w:bidi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联合体协议书</w:t>
            </w:r>
            <w:r>
              <w:rPr>
                <w:rFonts w:hint="eastAsia" w:ascii="宋体" w:hAnsi="宋体" w:eastAsia="宋体" w:cs="宋体"/>
                <w:b/>
                <w:color w:val="auto"/>
                <w:szCs w:val="21"/>
                <w:highlight w:val="none"/>
              </w:rPr>
              <w:t>（以联合体形式响应的，提供联合体协议；本项目不接受联合体响应或者供应商不以联合体形式响应的，则不需要提供）</w:t>
            </w:r>
          </w:p>
          <w:p w14:paraId="39844C39">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8</w:t>
            </w:r>
            <w:r>
              <w:rPr>
                <w:rFonts w:hint="eastAsia" w:ascii="宋体" w:hAnsi="宋体" w:cs="宋体"/>
                <w:color w:val="auto"/>
                <w:szCs w:val="21"/>
                <w:highlight w:val="none"/>
                <w:lang w:val="en-US" w:eastAsia="zh-CN"/>
              </w:rPr>
              <w:t>.</w:t>
            </w:r>
            <w:r>
              <w:rPr>
                <w:rFonts w:hint="eastAsia" w:ascii="宋体" w:hAnsi="宋体"/>
                <w:color w:val="auto"/>
                <w:szCs w:val="21"/>
                <w:highlight w:val="none"/>
                <w:lang w:eastAsia="zh-CN"/>
              </w:rPr>
              <w:t>中小</w:t>
            </w:r>
            <w:r>
              <w:rPr>
                <w:rFonts w:hint="eastAsia" w:ascii="宋体" w:hAnsi="宋体"/>
                <w:color w:val="auto"/>
                <w:szCs w:val="21"/>
                <w:highlight w:val="none"/>
              </w:rPr>
              <w:t>企业声明函或残疾人福利性单位声明函或供应商属于监狱企业的证明材料</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必须提供，否则响应文件按无效响应处理</w:t>
            </w:r>
            <w:r>
              <w:rPr>
                <w:rFonts w:hint="eastAsia" w:ascii="宋体" w:hAnsi="宋体"/>
                <w:color w:val="auto"/>
                <w:szCs w:val="21"/>
                <w:highlight w:val="none"/>
              </w:rPr>
              <w:t>）</w:t>
            </w:r>
          </w:p>
          <w:p w14:paraId="1D267884">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特定资格要求的资格证明材料</w:t>
            </w:r>
            <w:r>
              <w:rPr>
                <w:rFonts w:hint="eastAsia" w:ascii="宋体" w:hAnsi="宋体" w:cs="宋体"/>
                <w:color w:val="auto"/>
                <w:szCs w:val="21"/>
                <w:highlight w:val="none"/>
                <w:lang w:eastAsia="zh-CN"/>
              </w:rPr>
              <w:t>：</w:t>
            </w:r>
          </w:p>
          <w:p w14:paraId="667C4D69">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pacing w:val="0"/>
                <w:w w:val="100"/>
                <w:position w:val="0"/>
                <w:sz w:val="21"/>
                <w:szCs w:val="21"/>
                <w:highlight w:val="none"/>
              </w:rPr>
              <w:t>供应商须具备建筑工程施工总承包叁级（含叁级）以上资质，同时具备有效的省级及以上建设行政主管部门颁发的安全生产许可证</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（必须提供，否则响应文件按无效响应处理）</w:t>
            </w:r>
          </w:p>
          <w:p w14:paraId="787EDEC0">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lang w:val="en-US" w:eastAsia="zh-CN"/>
              </w:rPr>
              <w:t>提供</w:t>
            </w:r>
            <w:r>
              <w:rPr>
                <w:rFonts w:hint="eastAsia" w:ascii="宋体" w:hAnsi="宋体" w:eastAsia="宋体" w:cs="宋体"/>
                <w:color w:val="auto"/>
                <w:szCs w:val="21"/>
                <w:highlight w:val="none"/>
              </w:rPr>
              <w:t>拟派项目经理须具备建筑工程专业</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rPr>
              <w:t>级</w:t>
            </w:r>
            <w:r>
              <w:rPr>
                <w:rFonts w:hint="eastAsia" w:ascii="宋体" w:hAnsi="宋体" w:cs="宋体"/>
                <w:color w:val="auto"/>
                <w:szCs w:val="21"/>
                <w:highlight w:val="none"/>
                <w:lang w:val="en-US" w:eastAsia="zh-CN"/>
              </w:rPr>
              <w:t>或二级</w:t>
            </w:r>
            <w:r>
              <w:rPr>
                <w:rFonts w:hint="eastAsia" w:ascii="宋体" w:hAnsi="宋体" w:eastAsia="宋体" w:cs="宋体"/>
                <w:color w:val="auto"/>
                <w:szCs w:val="21"/>
                <w:highlight w:val="none"/>
              </w:rPr>
              <w:t>以上注册建造师执业资格</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有效的安全生产考核合格证书（B类）</w:t>
            </w:r>
            <w:r>
              <w:rPr>
                <w:rFonts w:hint="eastAsia" w:ascii="宋体" w:hAnsi="宋体" w:eastAsia="宋体" w:cs="宋体"/>
                <w:color w:val="auto"/>
                <w:szCs w:val="21"/>
                <w:highlight w:val="none"/>
                <w:lang w:val="en-US" w:eastAsia="zh-CN"/>
              </w:rPr>
              <w:t>复印件</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本项目不接受有在建、已中标未开工或已列为其他项目中标候选人第一名的建造师作为项目经理</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（提供无在建、已中标未开工或已列为其他项目成交候选人第一名的建造师作为项目经理的承诺书</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格式自拟，</w:t>
            </w:r>
            <w:r>
              <w:rPr>
                <w:rFonts w:hint="eastAsia" w:ascii="宋体" w:hAnsi="宋体" w:eastAsia="宋体" w:cs="宋体"/>
                <w:b/>
                <w:bCs/>
                <w:color w:val="auto"/>
                <w:szCs w:val="21"/>
                <w:highlight w:val="none"/>
              </w:rPr>
              <w:t>必须提供，否则响应文件按无效响应处理）</w:t>
            </w:r>
            <w:r>
              <w:rPr>
                <w:rFonts w:hint="eastAsia" w:ascii="宋体" w:hAnsi="宋体" w:eastAsia="宋体" w:cs="宋体"/>
                <w:color w:val="auto"/>
                <w:szCs w:val="21"/>
                <w:highlight w:val="none"/>
              </w:rPr>
              <w:t>；</w:t>
            </w:r>
          </w:p>
          <w:p w14:paraId="313EA9A2">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除磋商文件规定必须提供以外，供应商认为需要提供的其他证明材料。</w:t>
            </w:r>
          </w:p>
          <w:p w14:paraId="6126714A">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386E6F9C">
            <w:pPr>
              <w:snapToGrid w:val="0"/>
              <w:spacing w:line="360" w:lineRule="auto"/>
              <w:ind w:firstLine="413" w:firstLineChars="196"/>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tc>
      </w:tr>
      <w:tr w14:paraId="11094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noWrap w:val="0"/>
            <w:vAlign w:val="center"/>
          </w:tcPr>
          <w:p w14:paraId="0E2A869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244" w:type="dxa"/>
            <w:noWrap w:val="0"/>
            <w:vAlign w:val="center"/>
          </w:tcPr>
          <w:p w14:paraId="500F7DDF">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760" w:type="dxa"/>
            <w:noWrap w:val="0"/>
            <w:vAlign w:val="center"/>
          </w:tcPr>
          <w:p w14:paraId="27B1E89C">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994A49B">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w:t>
            </w:r>
            <w:r>
              <w:rPr>
                <w:rFonts w:hint="eastAsia" w:ascii="宋体" w:hAnsi="宋体" w:cs="宋体"/>
                <w:color w:val="auto"/>
                <w:szCs w:val="21"/>
                <w:highlight w:val="none"/>
              </w:rPr>
              <w:t>（</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41B3DA6">
            <w:pPr>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0F65ABA5">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1B92DC0">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5.竞标人情况介绍；</w:t>
            </w:r>
          </w:p>
          <w:p w14:paraId="29382C05">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w:t>
            </w:r>
            <w:bookmarkStart w:id="42" w:name="_Hlk106537541"/>
            <w:r>
              <w:rPr>
                <w:rFonts w:hint="eastAsia" w:ascii="宋体" w:hAnsi="宋体" w:cs="宋体"/>
                <w:color w:val="auto"/>
                <w:szCs w:val="21"/>
                <w:highlight w:val="none"/>
              </w:rPr>
              <w:t>供应商类似业绩的证明文件；</w:t>
            </w:r>
            <w:r>
              <w:rPr>
                <w:rFonts w:hint="eastAsia" w:ascii="宋体" w:hAnsi="宋体" w:cs="宋体"/>
                <w:b/>
                <w:bCs/>
                <w:color w:val="auto"/>
                <w:szCs w:val="21"/>
                <w:highlight w:val="none"/>
              </w:rPr>
              <w:t>（如有）</w:t>
            </w:r>
          </w:p>
          <w:p w14:paraId="48C24AF6">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bookmarkEnd w:id="42"/>
            <w:r>
              <w:rPr>
                <w:rFonts w:hint="eastAsia" w:ascii="宋体" w:hAnsi="宋体" w:eastAsia="宋体" w:cs="宋体"/>
                <w:color w:val="auto"/>
                <w:szCs w:val="21"/>
                <w:highlight w:val="none"/>
              </w:rPr>
              <w:t>供应商认为需要提供的其他有关资料。</w:t>
            </w:r>
          </w:p>
          <w:p w14:paraId="08F70CAE">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3F34D1BE">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w:t>
            </w:r>
            <w:r>
              <w:rPr>
                <w:rFonts w:hint="eastAsia" w:ascii="宋体" w:hAnsi="宋体" w:cs="宋体"/>
                <w:b/>
                <w:color w:val="auto"/>
                <w:szCs w:val="21"/>
                <w:highlight w:val="none"/>
                <w:lang w:val="en-US" w:eastAsia="zh-CN"/>
              </w:rPr>
              <w:t>签字或盖章</w:t>
            </w:r>
            <w:r>
              <w:rPr>
                <w:rFonts w:hint="eastAsia" w:ascii="宋体" w:hAnsi="宋体" w:eastAsia="宋体" w:cs="宋体"/>
                <w:b/>
                <w:color w:val="auto"/>
                <w:szCs w:val="21"/>
                <w:highlight w:val="none"/>
              </w:rPr>
              <w:t>及委托代理人签字，并加盖供应商公章，否则响应文件按无效响应处理。</w:t>
            </w:r>
          </w:p>
          <w:p w14:paraId="09113167">
            <w:pPr>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14:paraId="03CAB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3ACEA4CB">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43AA87DF">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760" w:type="dxa"/>
            <w:noWrap w:val="0"/>
            <w:vAlign w:val="center"/>
          </w:tcPr>
          <w:p w14:paraId="5E0ED790">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采购需求内容响应</w:t>
            </w:r>
            <w:r>
              <w:rPr>
                <w:rFonts w:hint="eastAsia" w:ascii="宋体" w:hAnsi="宋体" w:eastAsia="宋体" w:cs="宋体"/>
                <w:color w:val="auto"/>
                <w:szCs w:val="21"/>
                <w:highlight w:val="none"/>
              </w:rPr>
              <w:t>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C40A025">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.企业概况表；（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6922790">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ascii="宋体" w:hAnsi="宋体" w:cs="宋体"/>
                <w:color w:val="auto"/>
                <w:szCs w:val="21"/>
                <w:highlight w:val="none"/>
              </w:rPr>
              <w:t>.</w:t>
            </w:r>
            <w:r>
              <w:rPr>
                <w:rFonts w:hint="eastAsia" w:ascii="宋体" w:hAnsi="宋体" w:cs="宋体"/>
                <w:color w:val="auto"/>
                <w:szCs w:val="21"/>
                <w:highlight w:val="none"/>
              </w:rPr>
              <w:t>项目经理（或建造师）简历表；（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BBDB545">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ascii="宋体" w:hAnsi="宋体" w:cs="宋体"/>
                <w:color w:val="auto"/>
                <w:szCs w:val="21"/>
                <w:highlight w:val="none"/>
              </w:rPr>
              <w:t>.</w:t>
            </w:r>
            <w:r>
              <w:rPr>
                <w:rFonts w:hint="eastAsia" w:ascii="宋体" w:hAnsi="宋体" w:cs="宋体"/>
                <w:color w:val="auto"/>
                <w:szCs w:val="21"/>
                <w:highlight w:val="none"/>
              </w:rPr>
              <w:t>项目管理机构配备情况表；（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E48E261">
            <w:pPr>
              <w:numPr>
                <w:ilvl w:val="0"/>
                <w:numId w:val="0"/>
              </w:numPr>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ascii="宋体" w:hAnsi="宋体" w:cs="宋体"/>
                <w:color w:val="auto"/>
                <w:szCs w:val="21"/>
                <w:highlight w:val="none"/>
              </w:rPr>
              <w:t>.</w:t>
            </w:r>
            <w:r>
              <w:rPr>
                <w:rFonts w:hint="eastAsia" w:ascii="宋体" w:hAnsi="宋体" w:cs="宋体"/>
                <w:color w:val="auto"/>
                <w:szCs w:val="21"/>
                <w:highlight w:val="none"/>
              </w:rPr>
              <w:t>施工组织设计；（</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D4E984B">
            <w:pPr>
              <w:numPr>
                <w:ilvl w:val="0"/>
                <w:numId w:val="0"/>
              </w:numPr>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供应商认为需要提供的其他有关资料。</w:t>
            </w:r>
          </w:p>
          <w:p w14:paraId="395F0936">
            <w:pPr>
              <w:numPr>
                <w:ilvl w:val="0"/>
                <w:numId w:val="0"/>
              </w:numPr>
              <w:spacing w:line="360" w:lineRule="auto"/>
              <w:ind w:leftChars="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注：1.以上标明“必须提供”的材料属于复印件的扫描件的，必须加盖供应商电子公章，否则响应文件按无效响应处理。</w:t>
            </w:r>
          </w:p>
        </w:tc>
      </w:tr>
      <w:tr w14:paraId="17A0C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6C1AEFF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244" w:type="dxa"/>
            <w:noWrap w:val="0"/>
            <w:vAlign w:val="center"/>
          </w:tcPr>
          <w:p w14:paraId="236EFCA0">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760" w:type="dxa"/>
            <w:noWrap w:val="0"/>
            <w:vAlign w:val="center"/>
          </w:tcPr>
          <w:p w14:paraId="39D424BB">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（必须提供，否则作无效响应处理）</w:t>
            </w:r>
          </w:p>
          <w:p w14:paraId="6E3F415F">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50D581D">
            <w:pPr>
              <w:spacing w:line="360" w:lineRule="auto"/>
              <w:jc w:val="left"/>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已标价工程量清单</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0CA6660">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.供应商认为需要提供的其他有关资料。</w:t>
            </w:r>
          </w:p>
        </w:tc>
      </w:tr>
      <w:tr w14:paraId="27472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4ABEA66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244" w:type="dxa"/>
            <w:noWrap w:val="0"/>
            <w:vAlign w:val="center"/>
          </w:tcPr>
          <w:p w14:paraId="33DA883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760" w:type="dxa"/>
            <w:noWrap w:val="0"/>
            <w:vAlign w:val="center"/>
          </w:tcPr>
          <w:p w14:paraId="506AD4D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4DF1AFC4">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投送。（操作方式见公告附件“电子响应文件制作与投送教程”）</w:t>
            </w:r>
          </w:p>
        </w:tc>
      </w:tr>
      <w:tr w14:paraId="024D2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4E8247E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244" w:type="dxa"/>
            <w:noWrap w:val="0"/>
            <w:vAlign w:val="center"/>
          </w:tcPr>
          <w:p w14:paraId="1CD2844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760" w:type="dxa"/>
            <w:noWrap w:val="0"/>
            <w:vAlign w:val="center"/>
          </w:tcPr>
          <w:p w14:paraId="5558C498">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报价必须包含：</w:t>
            </w:r>
          </w:p>
          <w:p w14:paraId="618E1517">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①满足本项目全部采购需求，包含投标服务、货物、工程的成本、运输（含保险）、安装（如有）、调试、检验、技术服务、培训等所有费用。</w:t>
            </w:r>
          </w:p>
          <w:p w14:paraId="2707D1B7">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②必要的保险费和各项税金（成交供应商需为该工程购买工程一切险）。</w:t>
            </w:r>
          </w:p>
        </w:tc>
      </w:tr>
      <w:tr w14:paraId="75544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6CF85D9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244" w:type="dxa"/>
            <w:noWrap w:val="0"/>
            <w:vAlign w:val="center"/>
          </w:tcPr>
          <w:p w14:paraId="49EC69D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760" w:type="dxa"/>
            <w:noWrap w:val="0"/>
            <w:vAlign w:val="center"/>
          </w:tcPr>
          <w:p w14:paraId="48C38A39">
            <w:pPr>
              <w:pStyle w:val="7"/>
              <w:widowControl w:val="0"/>
              <w:numPr>
                <w:ilvl w:val="0"/>
                <w:numId w:val="0"/>
              </w:numPr>
              <w:tabs>
                <w:tab w:val="left" w:pos="720"/>
                <w:tab w:val="left" w:pos="840"/>
              </w:tabs>
              <w:snapToGrid w:val="0"/>
              <w:spacing w:afterLines="0" w:line="360" w:lineRule="auto"/>
              <w:ind w:left="-283" w:leftChars="-135" w:firstLine="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w:t>
            </w:r>
            <w:r>
              <w:rPr>
                <w:rFonts w:hint="eastAsia" w:cs="宋体" w:asciiTheme="minorEastAsia" w:hAnsiTheme="minorEastAsia" w:eastAsiaTheme="minorEastAsia"/>
                <w:color w:val="auto"/>
                <w:kern w:val="2"/>
                <w:sz w:val="21"/>
                <w:szCs w:val="21"/>
                <w:highlight w:val="none"/>
              </w:rPr>
              <w:t>自</w:t>
            </w:r>
            <w:r>
              <w:rPr>
                <w:rFonts w:hint="eastAsia" w:cs="宋体" w:asciiTheme="minorEastAsia" w:hAnsiTheme="minorEastAsia" w:eastAsiaTheme="minorEastAsia"/>
                <w:color w:val="auto"/>
                <w:kern w:val="2"/>
                <w:sz w:val="21"/>
                <w:szCs w:val="21"/>
                <w:highlight w:val="none"/>
                <w:lang w:eastAsia="zh-CN"/>
              </w:rPr>
              <w:t>首</w:t>
            </w:r>
            <w:r>
              <w:rPr>
                <w:rFonts w:hint="eastAsia" w:ascii="宋体" w:hAnsi="宋体" w:eastAsia="宋体" w:cs="宋体"/>
                <w:color w:val="auto"/>
                <w:kern w:val="2"/>
                <w:sz w:val="21"/>
                <w:szCs w:val="21"/>
                <w:highlight w:val="none"/>
              </w:rPr>
              <w:t>次响应文件提交截止之日起</w:t>
            </w:r>
            <w:r>
              <w:rPr>
                <w:rFonts w:hint="eastAsia" w:ascii="宋体" w:hAnsi="宋体" w:eastAsia="宋体" w:cs="宋体"/>
                <w:color w:val="auto"/>
                <w:kern w:val="2"/>
                <w:sz w:val="21"/>
                <w:szCs w:val="21"/>
                <w:highlight w:val="none"/>
                <w:u w:val="single"/>
              </w:rPr>
              <w:t xml:space="preserve"> 60 </w:t>
            </w:r>
            <w:r>
              <w:rPr>
                <w:rFonts w:hint="eastAsia" w:ascii="宋体" w:hAnsi="宋体" w:eastAsia="宋体" w:cs="宋体"/>
                <w:color w:val="auto"/>
                <w:kern w:val="2"/>
                <w:sz w:val="21"/>
                <w:szCs w:val="21"/>
                <w:highlight w:val="none"/>
              </w:rPr>
              <w:t>日。</w:t>
            </w:r>
          </w:p>
        </w:tc>
      </w:tr>
      <w:tr w14:paraId="5CB91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61DE0C5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244" w:type="dxa"/>
            <w:noWrap w:val="0"/>
            <w:vAlign w:val="center"/>
          </w:tcPr>
          <w:p w14:paraId="0EE8839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760" w:type="dxa"/>
            <w:noWrap w:val="0"/>
            <w:vAlign w:val="center"/>
          </w:tcPr>
          <w:p w14:paraId="5DF967A2">
            <w:pPr>
              <w:autoSpaceDE w:val="0"/>
              <w:autoSpaceDN w:val="0"/>
              <w:snapToGrid w:val="0"/>
              <w:spacing w:line="360" w:lineRule="auto"/>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29B2A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03" w:type="dxa"/>
            <w:vMerge w:val="restart"/>
            <w:noWrap w:val="0"/>
            <w:vAlign w:val="center"/>
          </w:tcPr>
          <w:p w14:paraId="2D9FB13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244" w:type="dxa"/>
            <w:noWrap w:val="0"/>
            <w:vAlign w:val="center"/>
          </w:tcPr>
          <w:p w14:paraId="7A963F4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760" w:type="dxa"/>
            <w:noWrap w:val="0"/>
            <w:vAlign w:val="center"/>
          </w:tcPr>
          <w:p w14:paraId="3145128E">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361C1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vMerge w:val="continue"/>
            <w:noWrap w:val="0"/>
            <w:vAlign w:val="center"/>
          </w:tcPr>
          <w:p w14:paraId="51204B40">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1225319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760" w:type="dxa"/>
            <w:noWrap w:val="0"/>
            <w:vAlign w:val="center"/>
          </w:tcPr>
          <w:p w14:paraId="13774311">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58A03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0"/>
            <w:vAlign w:val="center"/>
          </w:tcPr>
          <w:p w14:paraId="31CC6D2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244" w:type="dxa"/>
            <w:noWrap w:val="0"/>
            <w:vAlign w:val="center"/>
          </w:tcPr>
          <w:p w14:paraId="66BE9B6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760" w:type="dxa"/>
            <w:noWrap w:val="0"/>
            <w:vAlign w:val="center"/>
          </w:tcPr>
          <w:p w14:paraId="28E9A84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51BE3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0"/>
            <w:vAlign w:val="center"/>
          </w:tcPr>
          <w:p w14:paraId="5C7D3F5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244" w:type="dxa"/>
            <w:noWrap w:val="0"/>
            <w:vAlign w:val="center"/>
          </w:tcPr>
          <w:p w14:paraId="2DF813A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760" w:type="dxa"/>
            <w:noWrap w:val="0"/>
            <w:vAlign w:val="center"/>
          </w:tcPr>
          <w:p w14:paraId="4B3C3FC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0A641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03" w:type="dxa"/>
            <w:vMerge w:val="restart"/>
            <w:noWrap w:val="0"/>
            <w:vAlign w:val="center"/>
          </w:tcPr>
          <w:p w14:paraId="7670625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244" w:type="dxa"/>
            <w:noWrap w:val="0"/>
            <w:vAlign w:val="center"/>
          </w:tcPr>
          <w:p w14:paraId="31D10B3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760" w:type="dxa"/>
            <w:noWrap w:val="0"/>
            <w:vAlign w:val="center"/>
          </w:tcPr>
          <w:p w14:paraId="53F5769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项。</w:t>
            </w:r>
          </w:p>
          <w:p w14:paraId="6E36C178">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技术</w:t>
            </w:r>
            <w:r>
              <w:rPr>
                <w:rFonts w:hint="eastAsia" w:ascii="宋体" w:hAnsi="宋体" w:eastAsia="宋体" w:cs="宋体"/>
                <w:color w:val="auto"/>
                <w:szCs w:val="21"/>
                <w:highlight w:val="none"/>
              </w:rPr>
              <w:t>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24734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36FDD6A4">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72EEB0C9">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tc>
        <w:tc>
          <w:tcPr>
            <w:tcW w:w="6760" w:type="dxa"/>
            <w:noWrap w:val="0"/>
            <w:vAlign w:val="center"/>
          </w:tcPr>
          <w:p w14:paraId="2D055CB2">
            <w:pPr>
              <w:pStyle w:val="9"/>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按照提交首次响应文件的顺序，通知磋商时，若某供应商不在通知现场时，该供应商排序到最后磋商，按照签到的顺序由其下一位供应商先参与磋商。</w:t>
            </w:r>
          </w:p>
          <w:p w14:paraId="483E5B7C">
            <w:pPr>
              <w:snapToGrid w:val="0"/>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随机排序。</w:t>
            </w:r>
          </w:p>
        </w:tc>
      </w:tr>
      <w:tr w14:paraId="6FB18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45D9F9E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244" w:type="dxa"/>
            <w:noWrap w:val="0"/>
            <w:vAlign w:val="center"/>
          </w:tcPr>
          <w:p w14:paraId="20FAB27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760" w:type="dxa"/>
            <w:noWrap w:val="0"/>
            <w:vAlign w:val="center"/>
          </w:tcPr>
          <w:p w14:paraId="493F148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本项目不收取履约保证金</w:t>
            </w:r>
          </w:p>
        </w:tc>
      </w:tr>
      <w:tr w14:paraId="7667D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030EEF6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244" w:type="dxa"/>
            <w:noWrap w:val="0"/>
            <w:vAlign w:val="center"/>
          </w:tcPr>
          <w:p w14:paraId="439472E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760" w:type="dxa"/>
            <w:noWrap w:val="0"/>
            <w:vAlign w:val="center"/>
          </w:tcPr>
          <w:p w14:paraId="2C6CAAC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706F5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noWrap w:val="0"/>
            <w:vAlign w:val="center"/>
          </w:tcPr>
          <w:p w14:paraId="18D7F33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244" w:type="dxa"/>
            <w:noWrap w:val="0"/>
            <w:vAlign w:val="center"/>
          </w:tcPr>
          <w:p w14:paraId="4C02DEF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760" w:type="dxa"/>
            <w:noWrap w:val="0"/>
            <w:vAlign w:val="center"/>
          </w:tcPr>
          <w:p w14:paraId="3063FCD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20E97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5D182D79">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7C36887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760" w:type="dxa"/>
            <w:noWrap w:val="0"/>
            <w:vAlign w:val="center"/>
          </w:tcPr>
          <w:p w14:paraId="11C7791C">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w:t>
            </w:r>
            <w:r>
              <w:rPr>
                <w:rFonts w:hint="eastAsia" w:ascii="宋体" w:hAnsi="宋体" w:cs="宋体"/>
                <w:color w:val="auto"/>
                <w:szCs w:val="21"/>
                <w:highlight w:val="none"/>
                <w:u w:val="single"/>
                <w:lang w:eastAsia="zh-CN"/>
              </w:rPr>
              <w:t>广西邕政采购代理有限公司</w:t>
            </w:r>
            <w:r>
              <w:rPr>
                <w:rFonts w:hint="eastAsia" w:ascii="宋体" w:hAnsi="宋体" w:eastAsia="宋体" w:cs="宋体"/>
                <w:color w:val="auto"/>
                <w:szCs w:val="21"/>
                <w:highlight w:val="none"/>
                <w:u w:val="single"/>
              </w:rPr>
              <w:t>；</w:t>
            </w:r>
          </w:p>
          <w:p w14:paraId="2118965E">
            <w:pPr>
              <w:snapToGrid w:val="0"/>
              <w:spacing w:line="360" w:lineRule="auto"/>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rPr>
              <w:t>联系电话：</w:t>
            </w:r>
            <w:r>
              <w:rPr>
                <w:rFonts w:hint="eastAsia" w:ascii="宋体" w:hAnsi="宋体" w:cs="宋体"/>
                <w:color w:val="auto"/>
                <w:szCs w:val="21"/>
                <w:highlight w:val="none"/>
                <w:u w:val="single"/>
                <w:lang w:val="en-US" w:eastAsia="zh-CN"/>
              </w:rPr>
              <w:t>0771-2225338</w:t>
            </w:r>
          </w:p>
          <w:p w14:paraId="1A12969F">
            <w:pPr>
              <w:snapToGri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rPr>
              <w:t>通讯地址：</w:t>
            </w:r>
            <w:r>
              <w:rPr>
                <w:rFonts w:hint="eastAsia" w:ascii="宋体" w:hAnsi="宋体" w:cs="宋体"/>
                <w:color w:val="auto"/>
                <w:szCs w:val="21"/>
                <w:highlight w:val="none"/>
                <w:u w:val="single"/>
                <w:lang w:eastAsia="zh-CN"/>
              </w:rPr>
              <w:t>南宁市青秀区民族大道180号（威壮大厦）22层2210～2217室</w:t>
            </w:r>
          </w:p>
          <w:p w14:paraId="42AE329C">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w:t>
            </w:r>
            <w:r>
              <w:rPr>
                <w:rFonts w:hint="eastAsia" w:ascii="宋体" w:hAnsi="宋体" w:cs="宋体"/>
                <w:color w:val="auto"/>
                <w:szCs w:val="21"/>
                <w:highlight w:val="none"/>
                <w:u w:val="single"/>
                <w:lang w:eastAsia="zh-CN"/>
              </w:rPr>
              <w:t>南宁市西乡塘区金腾小学</w:t>
            </w:r>
            <w:r>
              <w:rPr>
                <w:rFonts w:hint="eastAsia" w:ascii="宋体" w:hAnsi="宋体" w:eastAsia="宋体" w:cs="宋体"/>
                <w:color w:val="auto"/>
                <w:szCs w:val="21"/>
                <w:highlight w:val="none"/>
                <w:u w:val="single"/>
              </w:rPr>
              <w:t>；</w:t>
            </w:r>
          </w:p>
          <w:p w14:paraId="28FD04AB">
            <w:pPr>
              <w:snapToGri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rPr>
              <w:t>联系电话：18076552359</w:t>
            </w:r>
          </w:p>
          <w:p w14:paraId="364FF972">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u w:val="single"/>
              </w:rPr>
              <w:t>通讯地址：</w:t>
            </w:r>
            <w:r>
              <w:rPr>
                <w:rFonts w:hint="eastAsia" w:ascii="宋体" w:hAnsi="宋体" w:eastAsia="宋体" w:cs="宋体"/>
                <w:color w:val="auto"/>
                <w:szCs w:val="21"/>
                <w:highlight w:val="none"/>
                <w:u w:val="single"/>
                <w:lang w:val="en-US" w:eastAsia="zh-CN"/>
              </w:rPr>
              <w:t>南宁市西乡塘区金陵镇</w:t>
            </w:r>
            <w:r>
              <w:rPr>
                <w:rFonts w:hint="eastAsia" w:ascii="宋体" w:hAnsi="宋体" w:eastAsia="宋体" w:cs="宋体"/>
                <w:color w:val="auto"/>
                <w:szCs w:val="21"/>
                <w:highlight w:val="none"/>
                <w:u w:val="single"/>
              </w:rPr>
              <w:t>西林街99号</w:t>
            </w:r>
          </w:p>
        </w:tc>
      </w:tr>
      <w:tr w14:paraId="27007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2B0F9AED">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1464608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760" w:type="dxa"/>
            <w:noWrap w:val="0"/>
            <w:vAlign w:val="center"/>
          </w:tcPr>
          <w:p w14:paraId="60E594C2">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lang w:val="en-US" w:eastAsia="zh-CN"/>
              </w:rPr>
              <w:t>17</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w:t>
            </w:r>
          </w:p>
        </w:tc>
      </w:tr>
      <w:tr w14:paraId="08442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A66947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244" w:type="dxa"/>
            <w:noWrap w:val="0"/>
            <w:vAlign w:val="center"/>
          </w:tcPr>
          <w:p w14:paraId="3D6A8A4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760" w:type="dxa"/>
            <w:noWrap w:val="0"/>
            <w:vAlign w:val="center"/>
          </w:tcPr>
          <w:p w14:paraId="249ECB2C">
            <w:pPr>
              <w:pageBreakBefore w:val="0"/>
              <w:kinsoku/>
              <w:topLinePunct w:val="0"/>
              <w:bidi w:val="0"/>
              <w:snapToGrid w:val="0"/>
              <w:spacing w:line="360" w:lineRule="auto"/>
              <w:rPr>
                <w:rFonts w:hint="eastAsia" w:ascii="Times New Roman" w:hAnsi="宋体" w:eastAsia="宋体" w:cs="Times New Roman"/>
                <w:color w:val="auto"/>
                <w:highlight w:val="none"/>
              </w:rPr>
            </w:pPr>
            <w:r>
              <w:rPr>
                <w:rFonts w:hint="eastAsia" w:hAnsi="宋体"/>
                <w:color w:val="auto"/>
                <w:highlight w:val="none"/>
              </w:rPr>
              <w:t>1、受理方</w:t>
            </w:r>
            <w:r>
              <w:rPr>
                <w:rFonts w:hint="eastAsia" w:ascii="Times New Roman" w:hAnsi="宋体" w:eastAsia="宋体" w:cs="Times New Roman"/>
                <w:color w:val="auto"/>
                <w:highlight w:val="none"/>
              </w:rPr>
              <w:t>式：纸质方式受理，投诉书正、副本（经过质疑的事项才可投诉）。</w:t>
            </w:r>
          </w:p>
          <w:p w14:paraId="29055161">
            <w:pPr>
              <w:pageBreakBefore w:val="0"/>
              <w:kinsoku/>
              <w:topLinePunct w:val="0"/>
              <w:bidi w:val="0"/>
              <w:snapToGrid w:val="0"/>
              <w:spacing w:line="360" w:lineRule="auto"/>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2、邮寄地址：</w:t>
            </w:r>
          </w:p>
          <w:p w14:paraId="2942C3D9">
            <w:pPr>
              <w:snapToGrid w:val="0"/>
              <w:spacing w:line="360" w:lineRule="auto"/>
              <w:jc w:val="both"/>
              <w:rPr>
                <w:rFonts w:hint="eastAsia" w:ascii="Times New Roman" w:hAnsi="宋体" w:eastAsia="宋体" w:cs="Times New Roman"/>
                <w:color w:val="auto"/>
                <w:highlight w:val="none"/>
                <w:lang w:val="en-US" w:eastAsia="zh-CN"/>
              </w:rPr>
            </w:pPr>
            <w:r>
              <w:rPr>
                <w:rFonts w:hint="eastAsia" w:ascii="Times New Roman" w:hAnsi="宋体" w:eastAsia="宋体" w:cs="Times New Roman"/>
                <w:color w:val="auto"/>
                <w:highlight w:val="none"/>
                <w:lang w:val="en-US" w:eastAsia="zh-CN"/>
              </w:rPr>
              <w:t xml:space="preserve">名称：南宁市西乡塘区财政局政府采购监督管理办公室 </w:t>
            </w:r>
          </w:p>
          <w:p w14:paraId="61A1E12E">
            <w:pPr>
              <w:snapToGrid w:val="0"/>
              <w:spacing w:line="360" w:lineRule="auto"/>
              <w:jc w:val="both"/>
              <w:rPr>
                <w:rFonts w:hint="eastAsia" w:ascii="Times New Roman" w:hAnsi="宋体" w:eastAsia="宋体" w:cs="Times New Roman"/>
                <w:color w:val="auto"/>
                <w:highlight w:val="none"/>
                <w:lang w:val="en-US" w:eastAsia="zh-CN"/>
              </w:rPr>
            </w:pPr>
            <w:r>
              <w:rPr>
                <w:rFonts w:hint="eastAsia" w:ascii="Times New Roman" w:hAnsi="宋体" w:eastAsia="宋体" w:cs="Times New Roman"/>
                <w:color w:val="auto"/>
                <w:highlight w:val="none"/>
                <w:lang w:val="en-US" w:eastAsia="zh-CN"/>
              </w:rPr>
              <w:t xml:space="preserve">地址：南宁市衡阳西路11号 </w:t>
            </w:r>
          </w:p>
          <w:p w14:paraId="0093D216">
            <w:pPr>
              <w:snapToGrid w:val="0"/>
              <w:spacing w:line="360" w:lineRule="auto"/>
              <w:jc w:val="both"/>
              <w:rPr>
                <w:rFonts w:hint="eastAsia" w:ascii="宋体" w:hAnsi="宋体" w:eastAsia="宋体" w:cs="宋体"/>
                <w:color w:val="auto"/>
                <w:sz w:val="21"/>
                <w:highlight w:val="none"/>
                <w:lang w:val="en-US" w:eastAsia="zh-CN"/>
              </w:rPr>
            </w:pPr>
            <w:r>
              <w:rPr>
                <w:rFonts w:hint="eastAsia" w:ascii="Times New Roman" w:hAnsi="宋体" w:eastAsia="宋体" w:cs="Times New Roman"/>
                <w:color w:val="auto"/>
                <w:highlight w:val="none"/>
                <w:lang w:val="en-US" w:eastAsia="zh-CN"/>
              </w:rPr>
              <w:t>联系电话：0771-3130365</w:t>
            </w:r>
          </w:p>
        </w:tc>
      </w:tr>
      <w:tr w14:paraId="03A05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30B4331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244" w:type="dxa"/>
            <w:noWrap w:val="0"/>
            <w:vAlign w:val="center"/>
          </w:tcPr>
          <w:p w14:paraId="4C47B9F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760" w:type="dxa"/>
            <w:noWrap w:val="0"/>
            <w:vAlign w:val="center"/>
          </w:tcPr>
          <w:p w14:paraId="35FFB58A">
            <w:pPr>
              <w:pStyle w:val="14"/>
              <w:pageBreakBefore w:val="0"/>
              <w:kinsoku/>
              <w:topLinePunct w:val="0"/>
              <w:bidi w:val="0"/>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1. 是否收取采购代理费：</w:t>
            </w:r>
          </w:p>
          <w:p w14:paraId="32024777">
            <w:pPr>
              <w:pStyle w:val="14"/>
              <w:pageBreakBefore w:val="0"/>
              <w:kinsoku/>
              <w:topLinePunct w:val="0"/>
              <w:bidi w:val="0"/>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☑是    □ 否</w:t>
            </w:r>
          </w:p>
          <w:p w14:paraId="1855A018">
            <w:pPr>
              <w:pStyle w:val="14"/>
              <w:pageBreakBefore w:val="0"/>
              <w:kinsoku/>
              <w:topLinePunct w:val="0"/>
              <w:bidi w:val="0"/>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2.采购代理费支付方式：</w:t>
            </w:r>
          </w:p>
          <w:p w14:paraId="504480DA">
            <w:pPr>
              <w:pStyle w:val="14"/>
              <w:pageBreakBefore w:val="0"/>
              <w:kinsoku/>
              <w:topLinePunct w:val="0"/>
              <w:bidi w:val="0"/>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☑本项目代理服务费由</w:t>
            </w:r>
            <w:r>
              <w:rPr>
                <w:rFonts w:hint="eastAsia" w:hAnsi="宋体" w:cs="宋体"/>
                <w:color w:val="auto"/>
                <w:sz w:val="21"/>
                <w:highlight w:val="none"/>
                <w:u w:val="single"/>
                <w:lang w:val="en-US" w:eastAsia="zh-CN"/>
              </w:rPr>
              <w:t>成交供应商</w:t>
            </w:r>
            <w:r>
              <w:rPr>
                <w:rFonts w:hint="eastAsia" w:hAnsi="宋体" w:cs="宋体"/>
                <w:color w:val="auto"/>
                <w:sz w:val="21"/>
                <w:highlight w:val="none"/>
                <w:lang w:val="en-US" w:eastAsia="zh-CN"/>
              </w:rPr>
              <w:t>领取成交通知书时，一次性向采购代理机构支付。</w:t>
            </w:r>
          </w:p>
          <w:p w14:paraId="649695B2">
            <w:pPr>
              <w:pStyle w:val="14"/>
              <w:pageBreakBefore w:val="0"/>
              <w:kinsoku/>
              <w:topLinePunct w:val="0"/>
              <w:bidi w:val="0"/>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□采购人支付。</w:t>
            </w:r>
          </w:p>
          <w:p w14:paraId="15F441E2">
            <w:pPr>
              <w:pStyle w:val="14"/>
              <w:pageBreakBefore w:val="0"/>
              <w:kinsoku/>
              <w:topLinePunct w:val="0"/>
              <w:bidi w:val="0"/>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3.采购代理费收取标准：</w:t>
            </w:r>
          </w:p>
          <w:p w14:paraId="46BCFE57">
            <w:pPr>
              <w:pStyle w:val="14"/>
              <w:pageBreakBefore w:val="0"/>
              <w:kinsoku/>
              <w:topLinePunct w:val="0"/>
              <w:bidi w:val="0"/>
              <w:snapToGrid w:val="0"/>
              <w:spacing w:line="360" w:lineRule="auto"/>
              <w:rPr>
                <w:rFonts w:hint="eastAsia" w:ascii="宋体" w:hAnsi="宋体" w:eastAsia="宋体" w:cs="宋体"/>
                <w:color w:val="auto"/>
                <w:sz w:val="21"/>
                <w:highlight w:val="none"/>
                <w:lang w:val="en-US" w:eastAsia="zh-CN"/>
              </w:rPr>
            </w:pPr>
            <w:r>
              <w:rPr>
                <w:rFonts w:hint="eastAsia" w:hAnsi="宋体" w:cs="宋体"/>
                <w:color w:val="auto"/>
                <w:sz w:val="21"/>
                <w:highlight w:val="none"/>
                <w:lang w:val="en-US" w:eastAsia="zh-CN"/>
              </w:rPr>
              <w:t>□</w:t>
            </w:r>
            <w:r>
              <w:rPr>
                <w:rFonts w:hint="eastAsia" w:ascii="宋体" w:hAnsi="宋体" w:eastAsia="宋体" w:cs="宋体"/>
                <w:color w:val="auto"/>
                <w:sz w:val="21"/>
                <w:highlight w:val="none"/>
                <w:lang w:val="en-US" w:eastAsia="zh-CN"/>
              </w:rPr>
              <w:t>按国家发改委（计价格[2002]1980号）规定的收费标准收取。</w:t>
            </w:r>
          </w:p>
          <w:tbl>
            <w:tblPr>
              <w:tblStyle w:val="24"/>
              <w:tblW w:w="6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560"/>
              <w:gridCol w:w="1560"/>
              <w:gridCol w:w="1560"/>
            </w:tblGrid>
            <w:tr w14:paraId="3AF8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560" w:type="dxa"/>
                  <w:noWrap w:val="0"/>
                  <w:vAlign w:val="top"/>
                </w:tcPr>
                <w:p w14:paraId="33836C0D">
                  <w:pPr>
                    <w:rPr>
                      <w:rFonts w:hint="eastAsia"/>
                      <w:color w:val="auto"/>
                      <w:sz w:val="21"/>
                      <w:szCs w:val="21"/>
                      <w:highlight w:val="none"/>
                      <w:lang w:val="en-US" w:eastAsia="zh-CN"/>
                    </w:rPr>
                  </w:pPr>
                  <w:r>
                    <w:rPr>
                      <w:rFonts w:hint="eastAsia"/>
                      <w:color w:val="auto"/>
                      <w:sz w:val="21"/>
                      <w:szCs w:val="21"/>
                      <w:highlight w:val="none"/>
                    </w:rPr>
                    <mc:AlternateContent>
                      <mc:Choice Requires="wpg">
                        <w:drawing>
                          <wp:anchor distT="0" distB="0" distL="114300" distR="114300" simplePos="0" relativeHeight="251661312" behindDoc="0" locked="0" layoutInCell="1" allowOverlap="1">
                            <wp:simplePos x="0" y="0"/>
                            <wp:positionH relativeFrom="column">
                              <wp:posOffset>-26670</wp:posOffset>
                            </wp:positionH>
                            <wp:positionV relativeFrom="paragraph">
                              <wp:posOffset>21590</wp:posOffset>
                            </wp:positionV>
                            <wp:extent cx="947420" cy="1015365"/>
                            <wp:effectExtent l="4445" t="3175" r="19685" b="10160"/>
                            <wp:wrapNone/>
                            <wp:docPr id="10" name="组合 10"/>
                            <wp:cNvGraphicFramePr/>
                            <a:graphic xmlns:a="http://schemas.openxmlformats.org/drawingml/2006/main">
                              <a:graphicData uri="http://schemas.microsoft.com/office/word/2010/wordprocessingGroup">
                                <wpg:wgp>
                                  <wpg:cNvGrpSpPr/>
                                  <wpg:grpSpPr>
                                    <a:xfrm>
                                      <a:off x="0" y="0"/>
                                      <a:ext cx="947420" cy="1015365"/>
                                      <a:chOff x="1204" y="6337"/>
                                      <a:chExt cx="2335" cy="2076"/>
                                    </a:xfrm>
                                  </wpg:grpSpPr>
                                  <wps:wsp>
                                    <wps:cNvPr id="5" name="直接连接符 5"/>
                                    <wps:cNvCnPr/>
                                    <wps:spPr>
                                      <a:xfrm>
                                        <a:off x="1204" y="6337"/>
                                        <a:ext cx="2335" cy="2076"/>
                                      </a:xfrm>
                                      <a:prstGeom prst="line">
                                        <a:avLst/>
                                      </a:prstGeom>
                                      <a:ln w="6350" cap="flat" cmpd="sng">
                                        <a:solidFill>
                                          <a:srgbClr val="000000"/>
                                        </a:solidFill>
                                        <a:prstDash val="solid"/>
                                        <a:headEnd type="none" w="med" len="med"/>
                                        <a:tailEnd type="none" w="med" len="med"/>
                                      </a:ln>
                                    </wps:spPr>
                                    <wps:bodyPr upright="1"/>
                                  </wps:wsp>
                                  <wps:wsp>
                                    <wps:cNvPr id="6" name="直接连接符 6"/>
                                    <wps:cNvCnPr/>
                                    <wps:spPr>
                                      <a:xfrm>
                                        <a:off x="1204" y="6337"/>
                                        <a:ext cx="1167" cy="2076"/>
                                      </a:xfrm>
                                      <a:prstGeom prst="line">
                                        <a:avLst/>
                                      </a:prstGeom>
                                      <a:ln w="635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2.1pt;margin-top:1.7pt;height:79.95pt;width:74.6pt;z-index:251661312;mso-width-relative:page;mso-height-relative:page;" coordorigin="1204,6337" coordsize="2335,2076" o:gfxdata="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Xwt+X2AAAAAgBAAAPAAAAAAAA&#10;AAEAIAAAACIAAABkcnMvZG93bnJldi54bWxQSwECFAAUAAAACACHTuJAxQ5iHoQCAAAoBwAADgAA&#10;AAAAAAABACAAAAAnAQAAZHJzL2Uyb0RvYy54bWxQSwUGAAAAAAYABgBZAQAAHQYAAAAA&#10;">
                            <o:lock v:ext="edit" aspectratio="f"/>
                            <v:line id="_x0000_s1026" o:spid="_x0000_s1026" o:spt="20" style="position:absolute;left:1204;top:6337;height:2076;width:2335;"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1204;top:6337;height:2076;width:1167;" filled="f" stroked="t" coordsize="21600,21600" o:gfxdata="UEsDBAoAAAAAAIdO4kAAAAAAAAAAAAAAAAAEAAAAZHJzL1BLAwQUAAAACACHTuJAVO6QCboAAADa&#10;AAAADwAAAGRycy9kb3ducmV2LnhtbEWPQUsDMRSE70L/Q3gFbzZZYYusTXsQtvTiwSqeH5vn7uLm&#10;ZUleN9VfbwTB4zAz3zC7w9VPaqGYxsAWqo0BRdwFN3Jv4e21vXsAlQTZ4RSYLHxRgsN+dbPDxoXM&#10;L7ScpVcFwqlBC4PI3GiduoE8pk2YiYv3EaJHKTL22kXMBe4nfW/MV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7pAJ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group>
                        </w:pict>
                      </mc:Fallback>
                    </mc:AlternateContent>
                  </w:r>
                  <w:r>
                    <w:rPr>
                      <w:rFonts w:hint="eastAsia"/>
                      <w:color w:val="auto"/>
                      <w:sz w:val="21"/>
                      <w:szCs w:val="21"/>
                      <w:highlight w:val="none"/>
                      <w:lang w:val="en-US" w:eastAsia="zh-CN"/>
                    </w:rPr>
                    <w:t xml:space="preserve">  服务类型</w:t>
                  </w:r>
                </w:p>
                <w:p w14:paraId="79409528">
                  <w:pPr>
                    <w:pStyle w:val="11"/>
                    <w:rPr>
                      <w:rFonts w:hint="eastAsia"/>
                      <w:color w:val="auto"/>
                      <w:sz w:val="21"/>
                      <w:szCs w:val="21"/>
                      <w:highlight w:val="none"/>
                      <w:lang w:val="en-US" w:eastAsia="zh-CN"/>
                    </w:rPr>
                  </w:pPr>
                </w:p>
                <w:p w14:paraId="51C8DBEC">
                  <w:pPr>
                    <w:rPr>
                      <w:rFonts w:hint="eastAsia"/>
                      <w:color w:val="auto"/>
                      <w:sz w:val="21"/>
                      <w:szCs w:val="21"/>
                      <w:highlight w:val="none"/>
                      <w:lang w:val="en-US" w:eastAsia="zh-CN"/>
                    </w:rPr>
                  </w:pPr>
                </w:p>
                <w:p w14:paraId="2541C888">
                  <w:pPr>
                    <w:rPr>
                      <w:rFonts w:hint="eastAsia" w:ascii="宋体" w:hAnsi="宋体"/>
                      <w:color w:val="auto"/>
                      <w:sz w:val="21"/>
                      <w:szCs w:val="21"/>
                      <w:highlight w:val="none"/>
                    </w:rPr>
                  </w:pPr>
                  <w:r>
                    <w:rPr>
                      <w:rFonts w:hint="eastAsia" w:ascii="宋体" w:hAnsi="宋体"/>
                      <w:color w:val="auto"/>
                      <w:sz w:val="21"/>
                      <w:szCs w:val="21"/>
                      <w:highlight w:val="none"/>
                    </w:rPr>
                    <w:t>中标</w:t>
                  </w:r>
                </w:p>
                <w:p w14:paraId="3B18430A">
                  <w:pPr>
                    <w:rPr>
                      <w:rFonts w:hint="eastAsia" w:ascii="宋体" w:hAnsi="宋体"/>
                      <w:color w:val="auto"/>
                      <w:sz w:val="21"/>
                      <w:szCs w:val="21"/>
                      <w:highlight w:val="none"/>
                    </w:rPr>
                  </w:pPr>
                  <w:r>
                    <w:rPr>
                      <w:rFonts w:hint="eastAsia" w:ascii="宋体" w:hAnsi="宋体"/>
                      <w:color w:val="auto"/>
                      <w:sz w:val="21"/>
                      <w:szCs w:val="21"/>
                      <w:highlight w:val="none"/>
                    </w:rPr>
                    <w:t>金额</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费率</w:t>
                  </w:r>
                </w:p>
                <w:p w14:paraId="410A7043">
                  <w:pPr>
                    <w:rPr>
                      <w:rFonts w:hint="default"/>
                      <w:color w:val="auto"/>
                      <w:sz w:val="21"/>
                      <w:szCs w:val="21"/>
                      <w:highlight w:val="none"/>
                      <w:lang w:val="en-US" w:eastAsia="zh-CN"/>
                    </w:rPr>
                  </w:pPr>
                  <w:r>
                    <w:rPr>
                      <w:rFonts w:hint="eastAsia" w:ascii="宋体" w:hAnsi="宋体"/>
                      <w:color w:val="auto"/>
                      <w:sz w:val="21"/>
                      <w:szCs w:val="21"/>
                      <w:highlight w:val="none"/>
                    </w:rPr>
                    <w:t>（万元</w:t>
                  </w:r>
                </w:p>
              </w:tc>
              <w:tc>
                <w:tcPr>
                  <w:tcW w:w="1560" w:type="dxa"/>
                  <w:noWrap w:val="0"/>
                  <w:vAlign w:val="center"/>
                </w:tcPr>
                <w:p w14:paraId="2EEB92F8">
                  <w:pPr>
                    <w:adjustRightInd w:val="0"/>
                    <w:snapToGrid w:val="0"/>
                    <w:spacing w:line="500" w:lineRule="exact"/>
                    <w:jc w:val="center"/>
                    <w:rPr>
                      <w:rFonts w:hint="eastAsia"/>
                      <w:color w:val="auto"/>
                      <w:sz w:val="21"/>
                      <w:szCs w:val="21"/>
                      <w:highlight w:val="none"/>
                      <w:vertAlign w:val="baseline"/>
                      <w:lang w:val="en-US" w:eastAsia="zh-CN"/>
                    </w:rPr>
                  </w:pPr>
                  <w:r>
                    <w:rPr>
                      <w:rFonts w:hint="eastAsia" w:ascii="宋体" w:hAnsi="宋体"/>
                      <w:b/>
                      <w:color w:val="auto"/>
                      <w:sz w:val="21"/>
                      <w:szCs w:val="21"/>
                      <w:highlight w:val="none"/>
                    </w:rPr>
                    <w:t>货物招标</w:t>
                  </w:r>
                </w:p>
              </w:tc>
              <w:tc>
                <w:tcPr>
                  <w:tcW w:w="1560" w:type="dxa"/>
                  <w:noWrap w:val="0"/>
                  <w:vAlign w:val="center"/>
                </w:tcPr>
                <w:p w14:paraId="4FB088EF">
                  <w:pPr>
                    <w:spacing w:line="500" w:lineRule="exact"/>
                    <w:jc w:val="center"/>
                    <w:rPr>
                      <w:rFonts w:hint="eastAsia"/>
                      <w:color w:val="auto"/>
                      <w:sz w:val="21"/>
                      <w:szCs w:val="21"/>
                      <w:highlight w:val="none"/>
                      <w:vertAlign w:val="baseline"/>
                      <w:lang w:val="en-US" w:eastAsia="zh-CN"/>
                    </w:rPr>
                  </w:pPr>
                  <w:r>
                    <w:rPr>
                      <w:rFonts w:hint="eastAsia" w:ascii="宋体" w:hAnsi="宋体"/>
                      <w:b/>
                      <w:color w:val="auto"/>
                      <w:sz w:val="21"/>
                      <w:szCs w:val="21"/>
                      <w:highlight w:val="none"/>
                    </w:rPr>
                    <w:t>服务招标</w:t>
                  </w:r>
                </w:p>
              </w:tc>
              <w:tc>
                <w:tcPr>
                  <w:tcW w:w="1560" w:type="dxa"/>
                  <w:noWrap w:val="0"/>
                  <w:vAlign w:val="center"/>
                </w:tcPr>
                <w:p w14:paraId="2FED4BFB">
                  <w:pPr>
                    <w:spacing w:line="500" w:lineRule="exact"/>
                    <w:jc w:val="center"/>
                    <w:rPr>
                      <w:rFonts w:hint="eastAsia"/>
                      <w:color w:val="auto"/>
                      <w:sz w:val="21"/>
                      <w:szCs w:val="21"/>
                      <w:highlight w:val="none"/>
                      <w:vertAlign w:val="baseline"/>
                      <w:lang w:val="en-US" w:eastAsia="zh-CN"/>
                    </w:rPr>
                  </w:pPr>
                  <w:r>
                    <w:rPr>
                      <w:rFonts w:hint="eastAsia" w:ascii="宋体" w:hAnsi="宋体"/>
                      <w:b/>
                      <w:color w:val="auto"/>
                      <w:sz w:val="21"/>
                      <w:szCs w:val="21"/>
                      <w:highlight w:val="none"/>
                    </w:rPr>
                    <w:t>工程招标</w:t>
                  </w:r>
                </w:p>
              </w:tc>
            </w:tr>
            <w:tr w14:paraId="1C1E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top"/>
                </w:tcPr>
                <w:p w14:paraId="1A99A015">
                  <w:pPr>
                    <w:keepNext w:val="0"/>
                    <w:keepLines w:val="0"/>
                    <w:widowControl/>
                    <w:suppressLineNumbers w:val="0"/>
                    <w:jc w:val="center"/>
                    <w:textAlignment w:val="top"/>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100以下</w:t>
                  </w:r>
                </w:p>
              </w:tc>
              <w:tc>
                <w:tcPr>
                  <w:tcW w:w="1560" w:type="dxa"/>
                  <w:noWrap w:val="0"/>
                  <w:vAlign w:val="top"/>
                </w:tcPr>
                <w:p w14:paraId="3F47AE19">
                  <w:pPr>
                    <w:spacing w:line="500" w:lineRule="exact"/>
                    <w:jc w:val="center"/>
                    <w:rPr>
                      <w:rFonts w:hint="eastAsia"/>
                      <w:color w:val="auto"/>
                      <w:sz w:val="21"/>
                      <w:szCs w:val="21"/>
                      <w:highlight w:val="none"/>
                      <w:vertAlign w:val="baseline"/>
                      <w:lang w:val="en-US" w:eastAsia="zh-CN"/>
                    </w:rPr>
                  </w:pPr>
                  <w:r>
                    <w:rPr>
                      <w:rFonts w:hint="eastAsia" w:ascii="宋体" w:hAnsi="宋体"/>
                      <w:color w:val="auto"/>
                      <w:sz w:val="21"/>
                      <w:szCs w:val="21"/>
                      <w:highlight w:val="none"/>
                    </w:rPr>
                    <w:t>1.5%</w:t>
                  </w:r>
                </w:p>
              </w:tc>
              <w:tc>
                <w:tcPr>
                  <w:tcW w:w="1560" w:type="dxa"/>
                  <w:noWrap w:val="0"/>
                  <w:vAlign w:val="top"/>
                </w:tcPr>
                <w:p w14:paraId="0E5AF799">
                  <w:pPr>
                    <w:spacing w:line="500" w:lineRule="exact"/>
                    <w:jc w:val="center"/>
                    <w:rPr>
                      <w:rFonts w:hint="eastAsia"/>
                      <w:color w:val="auto"/>
                      <w:sz w:val="21"/>
                      <w:szCs w:val="21"/>
                      <w:highlight w:val="none"/>
                      <w:vertAlign w:val="baseline"/>
                      <w:lang w:val="en-US" w:eastAsia="zh-CN"/>
                    </w:rPr>
                  </w:pPr>
                  <w:r>
                    <w:rPr>
                      <w:rFonts w:hint="eastAsia" w:ascii="宋体" w:hAnsi="宋体"/>
                      <w:color w:val="auto"/>
                      <w:sz w:val="21"/>
                      <w:szCs w:val="21"/>
                      <w:highlight w:val="none"/>
                    </w:rPr>
                    <w:t>1.5%</w:t>
                  </w:r>
                </w:p>
              </w:tc>
              <w:tc>
                <w:tcPr>
                  <w:tcW w:w="1560" w:type="dxa"/>
                  <w:noWrap w:val="0"/>
                  <w:vAlign w:val="top"/>
                </w:tcPr>
                <w:p w14:paraId="118D3ECA">
                  <w:pPr>
                    <w:spacing w:line="500" w:lineRule="exact"/>
                    <w:jc w:val="center"/>
                    <w:rPr>
                      <w:rFonts w:hint="eastAsia"/>
                      <w:color w:val="auto"/>
                      <w:sz w:val="21"/>
                      <w:szCs w:val="21"/>
                      <w:highlight w:val="none"/>
                      <w:vertAlign w:val="baseline"/>
                      <w:lang w:val="en-US" w:eastAsia="zh-CN"/>
                    </w:rPr>
                  </w:pPr>
                  <w:r>
                    <w:rPr>
                      <w:rFonts w:hint="eastAsia" w:ascii="宋体" w:hAnsi="宋体"/>
                      <w:color w:val="auto"/>
                      <w:sz w:val="21"/>
                      <w:szCs w:val="21"/>
                      <w:highlight w:val="none"/>
                    </w:rPr>
                    <w:t>1.0%</w:t>
                  </w:r>
                </w:p>
              </w:tc>
            </w:tr>
            <w:tr w14:paraId="67A1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top"/>
                </w:tcPr>
                <w:p w14:paraId="64B20ABE">
                  <w:pPr>
                    <w:keepNext w:val="0"/>
                    <w:keepLines w:val="0"/>
                    <w:widowControl/>
                    <w:suppressLineNumbers w:val="0"/>
                    <w:jc w:val="center"/>
                    <w:textAlignment w:val="top"/>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100-500</w:t>
                  </w:r>
                </w:p>
              </w:tc>
              <w:tc>
                <w:tcPr>
                  <w:tcW w:w="1560" w:type="dxa"/>
                  <w:noWrap w:val="0"/>
                  <w:vAlign w:val="top"/>
                </w:tcPr>
                <w:p w14:paraId="6A8D365D">
                  <w:pPr>
                    <w:spacing w:line="500" w:lineRule="exact"/>
                    <w:jc w:val="center"/>
                    <w:rPr>
                      <w:rFonts w:hint="eastAsia"/>
                      <w:color w:val="auto"/>
                      <w:sz w:val="21"/>
                      <w:szCs w:val="21"/>
                      <w:highlight w:val="none"/>
                      <w:vertAlign w:val="baseline"/>
                      <w:lang w:val="en-US" w:eastAsia="zh-CN"/>
                    </w:rPr>
                  </w:pPr>
                  <w:r>
                    <w:rPr>
                      <w:rFonts w:hint="eastAsia" w:ascii="宋体" w:hAnsi="宋体"/>
                      <w:color w:val="auto"/>
                      <w:sz w:val="21"/>
                      <w:szCs w:val="21"/>
                      <w:highlight w:val="none"/>
                    </w:rPr>
                    <w:t>1.1%</w:t>
                  </w:r>
                </w:p>
              </w:tc>
              <w:tc>
                <w:tcPr>
                  <w:tcW w:w="1560" w:type="dxa"/>
                  <w:noWrap w:val="0"/>
                  <w:vAlign w:val="top"/>
                </w:tcPr>
                <w:p w14:paraId="722EC8CE">
                  <w:pPr>
                    <w:spacing w:line="500" w:lineRule="exact"/>
                    <w:jc w:val="center"/>
                    <w:rPr>
                      <w:rFonts w:hint="eastAsia"/>
                      <w:color w:val="auto"/>
                      <w:sz w:val="21"/>
                      <w:szCs w:val="21"/>
                      <w:highlight w:val="none"/>
                      <w:vertAlign w:val="baseline"/>
                      <w:lang w:val="en-US" w:eastAsia="zh-CN"/>
                    </w:rPr>
                  </w:pPr>
                  <w:r>
                    <w:rPr>
                      <w:rFonts w:hint="eastAsia" w:ascii="宋体" w:hAnsi="宋体"/>
                      <w:color w:val="auto"/>
                      <w:sz w:val="21"/>
                      <w:szCs w:val="21"/>
                      <w:highlight w:val="none"/>
                    </w:rPr>
                    <w:t>0.8%</w:t>
                  </w:r>
                </w:p>
              </w:tc>
              <w:tc>
                <w:tcPr>
                  <w:tcW w:w="1560" w:type="dxa"/>
                  <w:noWrap w:val="0"/>
                  <w:vAlign w:val="top"/>
                </w:tcPr>
                <w:p w14:paraId="1644A8B4">
                  <w:pPr>
                    <w:spacing w:line="500" w:lineRule="exact"/>
                    <w:jc w:val="center"/>
                    <w:rPr>
                      <w:rFonts w:hint="eastAsia"/>
                      <w:color w:val="auto"/>
                      <w:sz w:val="21"/>
                      <w:szCs w:val="21"/>
                      <w:highlight w:val="none"/>
                      <w:vertAlign w:val="baseline"/>
                      <w:lang w:val="en-US" w:eastAsia="zh-CN"/>
                    </w:rPr>
                  </w:pPr>
                  <w:r>
                    <w:rPr>
                      <w:rFonts w:hint="eastAsia" w:ascii="宋体" w:hAnsi="宋体"/>
                      <w:color w:val="auto"/>
                      <w:sz w:val="21"/>
                      <w:szCs w:val="21"/>
                      <w:highlight w:val="none"/>
                    </w:rPr>
                    <w:t>0.7%</w:t>
                  </w:r>
                </w:p>
              </w:tc>
            </w:tr>
            <w:tr w14:paraId="1E8C6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560" w:type="dxa"/>
                  <w:noWrap w:val="0"/>
                  <w:vAlign w:val="top"/>
                </w:tcPr>
                <w:p w14:paraId="782451AA">
                  <w:pPr>
                    <w:keepNext w:val="0"/>
                    <w:keepLines w:val="0"/>
                    <w:widowControl/>
                    <w:suppressLineNumbers w:val="0"/>
                    <w:jc w:val="center"/>
                    <w:textAlignment w:val="top"/>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500-1000</w:t>
                  </w:r>
                </w:p>
              </w:tc>
              <w:tc>
                <w:tcPr>
                  <w:tcW w:w="1560" w:type="dxa"/>
                  <w:noWrap w:val="0"/>
                  <w:vAlign w:val="top"/>
                </w:tcPr>
                <w:p w14:paraId="570CDB46">
                  <w:pPr>
                    <w:spacing w:line="500" w:lineRule="exact"/>
                    <w:jc w:val="center"/>
                    <w:rPr>
                      <w:rFonts w:hint="eastAsia"/>
                      <w:color w:val="auto"/>
                      <w:sz w:val="21"/>
                      <w:szCs w:val="21"/>
                      <w:highlight w:val="none"/>
                      <w:vertAlign w:val="baseline"/>
                      <w:lang w:val="en-US" w:eastAsia="zh-CN"/>
                    </w:rPr>
                  </w:pPr>
                  <w:r>
                    <w:rPr>
                      <w:rFonts w:hint="eastAsia" w:ascii="宋体" w:hAnsi="宋体"/>
                      <w:color w:val="auto"/>
                      <w:sz w:val="21"/>
                      <w:szCs w:val="21"/>
                      <w:highlight w:val="none"/>
                    </w:rPr>
                    <w:t>0.8%</w:t>
                  </w:r>
                </w:p>
              </w:tc>
              <w:tc>
                <w:tcPr>
                  <w:tcW w:w="1560" w:type="dxa"/>
                  <w:noWrap w:val="0"/>
                  <w:vAlign w:val="top"/>
                </w:tcPr>
                <w:p w14:paraId="731C727B">
                  <w:pPr>
                    <w:spacing w:line="500" w:lineRule="exact"/>
                    <w:jc w:val="center"/>
                    <w:rPr>
                      <w:rFonts w:hint="eastAsia"/>
                      <w:color w:val="auto"/>
                      <w:sz w:val="21"/>
                      <w:szCs w:val="21"/>
                      <w:highlight w:val="none"/>
                      <w:vertAlign w:val="baseline"/>
                      <w:lang w:val="en-US" w:eastAsia="zh-CN"/>
                    </w:rPr>
                  </w:pPr>
                  <w:r>
                    <w:rPr>
                      <w:rFonts w:hint="eastAsia" w:ascii="宋体" w:hAnsi="宋体"/>
                      <w:color w:val="auto"/>
                      <w:sz w:val="21"/>
                      <w:szCs w:val="21"/>
                      <w:highlight w:val="none"/>
                    </w:rPr>
                    <w:t>0.45%</w:t>
                  </w:r>
                </w:p>
              </w:tc>
              <w:tc>
                <w:tcPr>
                  <w:tcW w:w="1560" w:type="dxa"/>
                  <w:noWrap w:val="0"/>
                  <w:vAlign w:val="top"/>
                </w:tcPr>
                <w:p w14:paraId="0F030924">
                  <w:pPr>
                    <w:spacing w:line="500" w:lineRule="exact"/>
                    <w:jc w:val="center"/>
                    <w:rPr>
                      <w:rFonts w:hint="eastAsia"/>
                      <w:color w:val="auto"/>
                      <w:sz w:val="21"/>
                      <w:szCs w:val="21"/>
                      <w:highlight w:val="none"/>
                      <w:vertAlign w:val="baseline"/>
                      <w:lang w:val="en-US" w:eastAsia="zh-CN"/>
                    </w:rPr>
                  </w:pPr>
                  <w:r>
                    <w:rPr>
                      <w:rFonts w:hint="eastAsia" w:ascii="宋体" w:hAnsi="宋体"/>
                      <w:color w:val="auto"/>
                      <w:sz w:val="21"/>
                      <w:szCs w:val="21"/>
                      <w:highlight w:val="none"/>
                    </w:rPr>
                    <w:t>0.55%</w:t>
                  </w:r>
                </w:p>
              </w:tc>
            </w:tr>
            <w:tr w14:paraId="6E11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top"/>
                </w:tcPr>
                <w:p w14:paraId="633C0941">
                  <w:pPr>
                    <w:keepNext w:val="0"/>
                    <w:keepLines w:val="0"/>
                    <w:widowControl/>
                    <w:suppressLineNumbers w:val="0"/>
                    <w:jc w:val="center"/>
                    <w:textAlignment w:val="top"/>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1000-5000</w:t>
                  </w:r>
                </w:p>
              </w:tc>
              <w:tc>
                <w:tcPr>
                  <w:tcW w:w="1560" w:type="dxa"/>
                  <w:noWrap w:val="0"/>
                  <w:vAlign w:val="top"/>
                </w:tcPr>
                <w:p w14:paraId="07E07811">
                  <w:pPr>
                    <w:spacing w:line="500" w:lineRule="exact"/>
                    <w:jc w:val="center"/>
                    <w:rPr>
                      <w:rFonts w:hint="eastAsia"/>
                      <w:color w:val="auto"/>
                      <w:sz w:val="21"/>
                      <w:szCs w:val="21"/>
                      <w:highlight w:val="none"/>
                      <w:vertAlign w:val="baseline"/>
                      <w:lang w:val="en-US" w:eastAsia="zh-CN"/>
                    </w:rPr>
                  </w:pPr>
                  <w:r>
                    <w:rPr>
                      <w:rFonts w:hint="eastAsia" w:ascii="宋体" w:hAnsi="宋体"/>
                      <w:color w:val="auto"/>
                      <w:sz w:val="21"/>
                      <w:szCs w:val="21"/>
                      <w:highlight w:val="none"/>
                    </w:rPr>
                    <w:t>0.5%</w:t>
                  </w:r>
                </w:p>
              </w:tc>
              <w:tc>
                <w:tcPr>
                  <w:tcW w:w="1560" w:type="dxa"/>
                  <w:noWrap w:val="0"/>
                  <w:vAlign w:val="top"/>
                </w:tcPr>
                <w:p w14:paraId="29DAC62D">
                  <w:pPr>
                    <w:spacing w:line="500" w:lineRule="exact"/>
                    <w:jc w:val="center"/>
                    <w:rPr>
                      <w:rFonts w:hint="eastAsia"/>
                      <w:color w:val="auto"/>
                      <w:sz w:val="21"/>
                      <w:szCs w:val="21"/>
                      <w:highlight w:val="none"/>
                      <w:vertAlign w:val="baseline"/>
                      <w:lang w:val="en-US" w:eastAsia="zh-CN"/>
                    </w:rPr>
                  </w:pPr>
                  <w:r>
                    <w:rPr>
                      <w:rFonts w:hint="eastAsia" w:ascii="宋体" w:hAnsi="宋体"/>
                      <w:color w:val="auto"/>
                      <w:sz w:val="21"/>
                      <w:szCs w:val="21"/>
                      <w:highlight w:val="none"/>
                    </w:rPr>
                    <w:t>0.25%</w:t>
                  </w:r>
                </w:p>
              </w:tc>
              <w:tc>
                <w:tcPr>
                  <w:tcW w:w="1560" w:type="dxa"/>
                  <w:noWrap w:val="0"/>
                  <w:vAlign w:val="top"/>
                </w:tcPr>
                <w:p w14:paraId="1619193A">
                  <w:pPr>
                    <w:spacing w:line="500" w:lineRule="exact"/>
                    <w:jc w:val="center"/>
                    <w:rPr>
                      <w:rFonts w:hint="eastAsia"/>
                      <w:color w:val="auto"/>
                      <w:sz w:val="21"/>
                      <w:szCs w:val="21"/>
                      <w:highlight w:val="none"/>
                      <w:vertAlign w:val="baseline"/>
                      <w:lang w:val="en-US" w:eastAsia="zh-CN"/>
                    </w:rPr>
                  </w:pPr>
                  <w:r>
                    <w:rPr>
                      <w:rFonts w:hint="eastAsia" w:ascii="宋体" w:hAnsi="宋体"/>
                      <w:color w:val="auto"/>
                      <w:sz w:val="21"/>
                      <w:szCs w:val="21"/>
                      <w:highlight w:val="none"/>
                    </w:rPr>
                    <w:t>0.35%</w:t>
                  </w:r>
                </w:p>
              </w:tc>
            </w:tr>
            <w:tr w14:paraId="7A9F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top"/>
                </w:tcPr>
                <w:p w14:paraId="0B7A529D">
                  <w:pPr>
                    <w:keepNext w:val="0"/>
                    <w:keepLines w:val="0"/>
                    <w:widowControl/>
                    <w:suppressLineNumbers w:val="0"/>
                    <w:jc w:val="center"/>
                    <w:textAlignment w:val="top"/>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5000-10000</w:t>
                  </w:r>
                </w:p>
              </w:tc>
              <w:tc>
                <w:tcPr>
                  <w:tcW w:w="1560" w:type="dxa"/>
                  <w:noWrap w:val="0"/>
                  <w:vAlign w:val="top"/>
                </w:tcPr>
                <w:p w14:paraId="5F5862B7">
                  <w:pPr>
                    <w:spacing w:line="500" w:lineRule="exact"/>
                    <w:jc w:val="center"/>
                    <w:rPr>
                      <w:rFonts w:hint="eastAsia"/>
                      <w:color w:val="auto"/>
                      <w:sz w:val="21"/>
                      <w:szCs w:val="21"/>
                      <w:highlight w:val="none"/>
                      <w:vertAlign w:val="baseline"/>
                      <w:lang w:val="en-US" w:eastAsia="zh-CN"/>
                    </w:rPr>
                  </w:pPr>
                  <w:r>
                    <w:rPr>
                      <w:rFonts w:hint="eastAsia" w:ascii="宋体" w:hAnsi="宋体"/>
                      <w:color w:val="auto"/>
                      <w:sz w:val="21"/>
                      <w:szCs w:val="21"/>
                      <w:highlight w:val="none"/>
                    </w:rPr>
                    <w:t>0.25%</w:t>
                  </w:r>
                </w:p>
              </w:tc>
              <w:tc>
                <w:tcPr>
                  <w:tcW w:w="1560" w:type="dxa"/>
                  <w:noWrap w:val="0"/>
                  <w:vAlign w:val="top"/>
                </w:tcPr>
                <w:p w14:paraId="1BB0B279">
                  <w:pPr>
                    <w:spacing w:line="500" w:lineRule="exact"/>
                    <w:jc w:val="center"/>
                    <w:rPr>
                      <w:rFonts w:hint="eastAsia"/>
                      <w:color w:val="auto"/>
                      <w:sz w:val="21"/>
                      <w:szCs w:val="21"/>
                      <w:highlight w:val="none"/>
                      <w:vertAlign w:val="baseline"/>
                      <w:lang w:val="en-US" w:eastAsia="zh-CN"/>
                    </w:rPr>
                  </w:pPr>
                  <w:r>
                    <w:rPr>
                      <w:rFonts w:hint="eastAsia" w:ascii="宋体" w:hAnsi="宋体"/>
                      <w:color w:val="auto"/>
                      <w:sz w:val="21"/>
                      <w:szCs w:val="21"/>
                      <w:highlight w:val="none"/>
                    </w:rPr>
                    <w:t>0.1%</w:t>
                  </w:r>
                </w:p>
              </w:tc>
              <w:tc>
                <w:tcPr>
                  <w:tcW w:w="1560" w:type="dxa"/>
                  <w:noWrap w:val="0"/>
                  <w:vAlign w:val="top"/>
                </w:tcPr>
                <w:p w14:paraId="6661CE71">
                  <w:pPr>
                    <w:spacing w:line="500" w:lineRule="exact"/>
                    <w:jc w:val="center"/>
                    <w:rPr>
                      <w:rFonts w:hint="eastAsia"/>
                      <w:color w:val="auto"/>
                      <w:sz w:val="21"/>
                      <w:szCs w:val="21"/>
                      <w:highlight w:val="none"/>
                      <w:vertAlign w:val="baseline"/>
                      <w:lang w:val="en-US" w:eastAsia="zh-CN"/>
                    </w:rPr>
                  </w:pPr>
                  <w:r>
                    <w:rPr>
                      <w:rFonts w:hint="eastAsia" w:ascii="宋体" w:hAnsi="宋体"/>
                      <w:color w:val="auto"/>
                      <w:sz w:val="21"/>
                      <w:szCs w:val="21"/>
                      <w:highlight w:val="none"/>
                    </w:rPr>
                    <w:t>0.2%</w:t>
                  </w:r>
                </w:p>
              </w:tc>
            </w:tr>
          </w:tbl>
          <w:p w14:paraId="338873BB">
            <w:pPr>
              <w:rPr>
                <w:rFonts w:hint="eastAsia"/>
                <w:color w:val="auto"/>
                <w:highlight w:val="none"/>
                <w:lang w:val="en-US" w:eastAsia="zh-CN"/>
              </w:rPr>
            </w:pPr>
          </w:p>
          <w:p w14:paraId="6D2B2DE2">
            <w:pPr>
              <w:pStyle w:val="14"/>
              <w:pageBreakBefore w:val="0"/>
              <w:kinsoku/>
              <w:topLinePunct w:val="0"/>
              <w:bidi w:val="0"/>
              <w:snapToGrid w:val="0"/>
              <w:spacing w:line="360" w:lineRule="auto"/>
              <w:rPr>
                <w:rFonts w:hint="default" w:ascii="宋体" w:hAnsi="宋体" w:eastAsia="宋体" w:cs="宋体"/>
                <w:color w:val="auto"/>
                <w:sz w:val="21"/>
                <w:highlight w:val="none"/>
                <w:lang w:val="en-US" w:eastAsia="zh-CN"/>
              </w:rPr>
            </w:pPr>
            <w:r>
              <w:rPr>
                <w:rFonts w:hint="eastAsia" w:hAnsi="宋体" w:cs="宋体"/>
                <w:color w:val="auto"/>
                <w:sz w:val="21"/>
                <w:highlight w:val="none"/>
                <w:lang w:val="en-US" w:eastAsia="zh-CN"/>
              </w:rPr>
              <w:t>☑</w:t>
            </w:r>
            <w:r>
              <w:rPr>
                <w:rFonts w:hint="eastAsia" w:ascii="宋体" w:hAnsi="宋体" w:eastAsia="宋体" w:cs="宋体"/>
                <w:color w:val="auto"/>
                <w:sz w:val="21"/>
                <w:highlight w:val="none"/>
                <w:lang w:val="en-US" w:eastAsia="zh-CN"/>
              </w:rPr>
              <w:t>固定采购代理收费</w:t>
            </w:r>
            <w:r>
              <w:rPr>
                <w:rFonts w:hint="eastAsia" w:ascii="宋体" w:hAnsi="宋体" w:eastAsia="宋体" w:cs="宋体"/>
                <w:color w:val="auto"/>
                <w:sz w:val="21"/>
                <w:highlight w:val="none"/>
                <w:u w:val="single"/>
                <w:lang w:val="en-US" w:eastAsia="zh-CN"/>
              </w:rPr>
              <w:t xml:space="preserve"> </w:t>
            </w:r>
            <w:r>
              <w:rPr>
                <w:rFonts w:hint="default" w:ascii="Arial" w:hAnsi="Arial" w:eastAsia="宋体" w:cs="Arial"/>
                <w:color w:val="auto"/>
                <w:sz w:val="21"/>
                <w:highlight w:val="none"/>
                <w:u w:val="single"/>
                <w:lang w:val="en-US" w:eastAsia="zh-CN"/>
              </w:rPr>
              <w:t>¥</w:t>
            </w:r>
            <w:r>
              <w:rPr>
                <w:rFonts w:hint="eastAsia" w:hAnsi="宋体" w:cs="宋体"/>
                <w:color w:val="auto"/>
                <w:sz w:val="21"/>
                <w:highlight w:val="none"/>
                <w:u w:val="single"/>
                <w:lang w:val="en-US" w:eastAsia="zh-CN"/>
              </w:rPr>
              <w:t>22000.00</w:t>
            </w:r>
            <w:r>
              <w:rPr>
                <w:rFonts w:hint="eastAsia" w:ascii="宋体" w:hAnsi="宋体" w:eastAsia="宋体" w:cs="宋体"/>
                <w:color w:val="auto"/>
                <w:sz w:val="21"/>
                <w:highlight w:val="none"/>
                <w:u w:val="single"/>
                <w:lang w:val="en-US" w:eastAsia="zh-CN"/>
              </w:rPr>
              <w:t xml:space="preserve">元      </w:t>
            </w:r>
          </w:p>
          <w:p w14:paraId="5ECB4AC3">
            <w:pPr>
              <w:pStyle w:val="14"/>
              <w:pageBreakBefore w:val="0"/>
              <w:kinsoku/>
              <w:topLinePunct w:val="0"/>
              <w:bidi w:val="0"/>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4. 采购代理费收取银行账户</w:t>
            </w:r>
          </w:p>
          <w:p w14:paraId="5BA67B3C">
            <w:pPr>
              <w:pStyle w:val="14"/>
              <w:pageBreakBefore w:val="0"/>
              <w:kinsoku/>
              <w:topLinePunct w:val="0"/>
              <w:bidi w:val="0"/>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账户名称：广西邕政采购代理有限公司</w:t>
            </w:r>
          </w:p>
          <w:p w14:paraId="45460B3D">
            <w:pPr>
              <w:pStyle w:val="14"/>
              <w:pageBreakBefore w:val="0"/>
              <w:kinsoku/>
              <w:topLinePunct w:val="0"/>
              <w:bidi w:val="0"/>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开户银行：交通银行南宁东葛西支行</w:t>
            </w:r>
          </w:p>
          <w:p w14:paraId="68919B85">
            <w:pPr>
              <w:pStyle w:val="14"/>
              <w:pageBreakBefore w:val="0"/>
              <w:kinsoku/>
              <w:topLinePunct w:val="0"/>
              <w:bidi w:val="0"/>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 xml:space="preserve">银行账号：4510 6070 1018 1602 32818 </w:t>
            </w:r>
          </w:p>
          <w:p w14:paraId="62872D4C">
            <w:pPr>
              <w:pStyle w:val="14"/>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开户行行号：301611000718</w:t>
            </w:r>
          </w:p>
          <w:p w14:paraId="026040AA">
            <w:pPr>
              <w:pStyle w:val="14"/>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bidi="ar-SA"/>
              </w:rPr>
              <w:t>备注信息：某项目编号或项目名称采购代理服务费。</w:t>
            </w:r>
          </w:p>
        </w:tc>
      </w:tr>
      <w:tr w14:paraId="765F7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2299657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244" w:type="dxa"/>
            <w:noWrap w:val="0"/>
            <w:vAlign w:val="center"/>
          </w:tcPr>
          <w:p w14:paraId="3256491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760" w:type="dxa"/>
            <w:noWrap w:val="0"/>
            <w:vAlign w:val="center"/>
          </w:tcPr>
          <w:p w14:paraId="47E3D94E">
            <w:pPr>
              <w:pStyle w:val="14"/>
              <w:snapToGrid w:val="0"/>
              <w:spacing w:line="360" w:lineRule="auto"/>
              <w:jc w:val="left"/>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1"/>
                <w:highlight w:val="none"/>
                <w:lang w:val="en-US" w:eastAsia="zh-CN"/>
              </w:rPr>
              <w:t>由采购人或者采购代理机构负责解释。</w:t>
            </w:r>
          </w:p>
          <w:p w14:paraId="79FAE216">
            <w:pPr>
              <w:pStyle w:val="14"/>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b/>
                <w:color w:val="auto"/>
                <w:sz w:val="21"/>
                <w:highlight w:val="none"/>
                <w:lang w:val="en-US" w:eastAsia="zh-CN"/>
              </w:rPr>
              <w:t>法律责任：</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6C1B6EA1">
            <w:pPr>
              <w:pStyle w:val="14"/>
              <w:snapToGrid w:val="0"/>
              <w:spacing w:line="360" w:lineRule="auto"/>
              <w:jc w:val="left"/>
              <w:rPr>
                <w:rFonts w:hint="eastAsia" w:ascii="宋体" w:hAnsi="宋体" w:eastAsia="宋体" w:cs="宋体"/>
                <w:color w:val="auto"/>
                <w:kern w:val="2"/>
                <w:sz w:val="21"/>
                <w:highlight w:val="none"/>
                <w:lang w:val="en-US" w:eastAsia="zh-CN"/>
              </w:rPr>
            </w:pPr>
            <w:r>
              <w:rPr>
                <w:rFonts w:hint="eastAsia" w:ascii="宋体" w:hAnsi="宋体" w:eastAsia="宋体" w:cs="宋体"/>
                <w:b/>
                <w:bCs/>
                <w:color w:val="auto"/>
                <w:sz w:val="21"/>
                <w:highlight w:val="none"/>
                <w:lang w:val="en-US" w:eastAsia="zh-CN"/>
              </w:rPr>
              <w:t>2.本项目采购代理机构应严格按照</w:t>
            </w:r>
            <w:r>
              <w:rPr>
                <w:rFonts w:hint="eastAsia" w:hAnsi="宋体" w:cs="宋体"/>
                <w:b/>
                <w:bCs/>
                <w:color w:val="auto"/>
                <w:sz w:val="21"/>
                <w:highlight w:val="none"/>
                <w:lang w:val="en-US" w:eastAsia="zh-CN"/>
              </w:rPr>
              <w:t>“广西政府采购云平台”</w:t>
            </w:r>
            <w:r>
              <w:rPr>
                <w:rFonts w:hint="eastAsia" w:ascii="宋体" w:hAnsi="宋体" w:eastAsia="宋体" w:cs="宋体"/>
                <w:b/>
                <w:bCs/>
                <w:color w:val="auto"/>
                <w:sz w:val="21"/>
                <w:highlight w:val="none"/>
                <w:lang w:val="en-US" w:eastAsia="zh-CN"/>
              </w:rPr>
              <w:t>项目采购全流程电子化电子开评标规程执行项目采购活动，代理机构在</w:t>
            </w:r>
            <w:r>
              <w:rPr>
                <w:rFonts w:hint="eastAsia" w:hAnsi="宋体" w:cs="宋体"/>
                <w:b/>
                <w:bCs/>
                <w:color w:val="auto"/>
                <w:sz w:val="21"/>
                <w:highlight w:val="none"/>
                <w:lang w:val="en-US" w:eastAsia="zh-CN"/>
              </w:rPr>
              <w:t>“广西政府采购云平台”</w:t>
            </w:r>
            <w:r>
              <w:rPr>
                <w:rFonts w:hint="eastAsia" w:ascii="宋体" w:hAnsi="宋体" w:eastAsia="宋体" w:cs="宋体"/>
                <w:b/>
                <w:bCs/>
                <w:color w:val="auto"/>
                <w:sz w:val="21"/>
                <w:highlight w:val="none"/>
                <w:lang w:val="en-US" w:eastAsia="zh-CN"/>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2DE3D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9979A8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244" w:type="dxa"/>
            <w:noWrap w:val="0"/>
            <w:vAlign w:val="center"/>
          </w:tcPr>
          <w:p w14:paraId="5CBF559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760" w:type="dxa"/>
            <w:noWrap w:val="0"/>
            <w:vAlign w:val="center"/>
          </w:tcPr>
          <w:p w14:paraId="63F05D9F">
            <w:pPr>
              <w:pStyle w:val="14"/>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603E8C55">
            <w:pPr>
              <w:pStyle w:val="14"/>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65DA0A3">
            <w:pPr>
              <w:pStyle w:val="14"/>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4F2143A7">
            <w:pPr>
              <w:pStyle w:val="14"/>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4.自然人竞标的，磋商文件规定盖公章处由自然人摁手指指印。</w:t>
            </w:r>
          </w:p>
          <w:p w14:paraId="14EA2E4E">
            <w:pPr>
              <w:pStyle w:val="14"/>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5.本磋商文件所称的“以上”“以下”“以内”“届满”，包括本数；所称的“不满”“超过”“以外”，不包括本数。</w:t>
            </w:r>
          </w:p>
        </w:tc>
      </w:tr>
    </w:tbl>
    <w:p w14:paraId="14DE7DE0">
      <w:pPr>
        <w:pStyle w:val="3"/>
        <w:spacing w:line="360" w:lineRule="auto"/>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43" w:name="_Toc18606"/>
      <w:bookmarkStart w:id="44" w:name="_Toc3460"/>
      <w:bookmarkStart w:id="45" w:name="_Toc28698"/>
      <w:r>
        <w:rPr>
          <w:rFonts w:hint="eastAsia" w:ascii="宋体" w:hAnsi="宋体" w:eastAsia="宋体" w:cs="宋体"/>
          <w:b w:val="0"/>
          <w:color w:val="auto"/>
          <w:highlight w:val="none"/>
        </w:rPr>
        <w:t>第二节 供应商须知正文</w:t>
      </w:r>
      <w:bookmarkEnd w:id="43"/>
      <w:bookmarkEnd w:id="44"/>
      <w:bookmarkEnd w:id="45"/>
    </w:p>
    <w:p w14:paraId="44668022">
      <w:pPr>
        <w:pStyle w:val="4"/>
        <w:spacing w:before="0" w:after="0" w:line="360" w:lineRule="auto"/>
        <w:rPr>
          <w:rFonts w:hint="eastAsia" w:ascii="宋体" w:hAnsi="宋体" w:eastAsia="宋体" w:cs="宋体"/>
          <w:b/>
          <w:bCs w:val="0"/>
          <w:color w:val="auto"/>
          <w:highlight w:val="none"/>
        </w:rPr>
      </w:pPr>
      <w:bookmarkStart w:id="46" w:name="_Toc5632"/>
      <w:bookmarkStart w:id="47" w:name="_Toc4039"/>
      <w:bookmarkStart w:id="48" w:name="_Toc6602"/>
      <w:r>
        <w:rPr>
          <w:rFonts w:hint="eastAsia" w:ascii="宋体" w:hAnsi="宋体" w:eastAsia="宋体" w:cs="宋体"/>
          <w:b/>
          <w:bCs w:val="0"/>
          <w:color w:val="auto"/>
          <w:highlight w:val="none"/>
        </w:rPr>
        <w:t>一、总则</w:t>
      </w:r>
      <w:bookmarkEnd w:id="46"/>
      <w:bookmarkEnd w:id="47"/>
      <w:bookmarkEnd w:id="48"/>
    </w:p>
    <w:p w14:paraId="4299150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56A2AB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49EC5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621092F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419BF5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5AB42007">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41C766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11C515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r>
        <w:rPr>
          <w:rFonts w:hint="eastAsia" w:ascii="宋体" w:hAnsi="宋体"/>
          <w:color w:val="auto"/>
          <w:szCs w:val="21"/>
          <w:highlight w:val="none"/>
        </w:rPr>
        <w:t>“工程”是指除货物和服务以外的其他政府采购对象</w:t>
      </w:r>
      <w:r>
        <w:rPr>
          <w:rFonts w:hint="eastAsia" w:ascii="宋体" w:hAnsi="宋体" w:eastAsia="宋体" w:cs="宋体"/>
          <w:color w:val="auto"/>
          <w:szCs w:val="21"/>
          <w:highlight w:val="none"/>
        </w:rPr>
        <w:t>。</w:t>
      </w:r>
    </w:p>
    <w:p w14:paraId="45FE7F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058E0E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1507B2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20AA89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34F0A4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472FD9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52AEFC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28E61D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061EA2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7C09A9B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71BB1B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25DDE28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202591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w:t>
      </w:r>
      <w:r>
        <w:rPr>
          <w:rFonts w:hint="eastAsia" w:ascii="宋体" w:hAnsi="宋体" w:cs="宋体"/>
          <w:color w:val="auto"/>
          <w:szCs w:val="21"/>
          <w:highlight w:val="none"/>
          <w:lang w:val="en-US" w:eastAsia="zh-CN"/>
        </w:rPr>
        <w:t>察</w:t>
      </w:r>
      <w:r>
        <w:rPr>
          <w:rFonts w:hint="eastAsia" w:ascii="宋体" w:hAnsi="宋体" w:eastAsia="宋体" w:cs="宋体"/>
          <w:color w:val="auto"/>
          <w:szCs w:val="21"/>
          <w:highlight w:val="none"/>
        </w:rPr>
        <w:t>现场、编制和提交响应文件、参加磋商与应答、签订合同等，不论竞标结果如何，均应自行承担。</w:t>
      </w:r>
    </w:p>
    <w:p w14:paraId="60A960D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214EDE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0789D7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44884DBB">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1%—2%的扣除，用扣除后的价格参加评审。组成联合体的小微企业与联合体内其他企业、分包企业之间存在直接控股、管理关系的，不享受价格扣除优惠政策。</w:t>
      </w:r>
    </w:p>
    <w:p w14:paraId="39627B7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2F35E0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6EE8BD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bCs/>
          <w:color w:val="auto"/>
          <w:szCs w:val="21"/>
          <w:highlight w:val="none"/>
        </w:rPr>
        <w:t>根据《政府采购促进中小企业发展管理办法》（财库[2020]46号）第九条及《广西壮族自治区财政厅关于进一步发挥政府采购政策功能促进企业发展的通知》（桂财采〔2022〕30号</w:t>
      </w:r>
      <w:r>
        <w:rPr>
          <w:rFonts w:hint="eastAsia" w:ascii="仿宋_GB2312" w:hAnsi="Calibri" w:eastAsia="仿宋_GB2312"/>
          <w:color w:val="auto"/>
          <w:sz w:val="24"/>
          <w:highlight w:val="none"/>
        </w:rPr>
        <w:t>）</w:t>
      </w:r>
      <w:r>
        <w:rPr>
          <w:rFonts w:hint="eastAsia" w:ascii="宋体" w:hAnsi="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1%-2%的扣除，用扣除后的价格参加评审。接受分包的小微企业与分包企业之间存在直接控股、管理关系的，不享受价格扣除优惠政策</w:t>
      </w:r>
      <w:r>
        <w:rPr>
          <w:rFonts w:hint="eastAsia" w:ascii="宋体" w:hAnsi="宋体" w:eastAsia="宋体" w:cs="宋体"/>
          <w:bCs/>
          <w:color w:val="auto"/>
          <w:szCs w:val="21"/>
          <w:highlight w:val="none"/>
        </w:rPr>
        <w:t>。</w:t>
      </w:r>
    </w:p>
    <w:p w14:paraId="68FCEC3E">
      <w:pPr>
        <w:spacing w:line="360" w:lineRule="auto"/>
        <w:ind w:firstLine="482" w:firstLineChars="200"/>
        <w:rPr>
          <w:rFonts w:hint="eastAsia" w:ascii="宋体" w:hAnsi="宋体" w:eastAsia="宋体" w:cs="宋体"/>
          <w:b/>
          <w:bCs/>
          <w:color w:val="auto"/>
          <w:sz w:val="24"/>
          <w:highlight w:val="none"/>
        </w:rPr>
      </w:pPr>
      <w:bookmarkStart w:id="49" w:name="_Toc254970673"/>
      <w:bookmarkStart w:id="50" w:name="_Toc254970532"/>
      <w:r>
        <w:rPr>
          <w:rFonts w:hint="eastAsia" w:ascii="宋体" w:hAnsi="宋体" w:eastAsia="宋体" w:cs="宋体"/>
          <w:b/>
          <w:bCs/>
          <w:color w:val="auto"/>
          <w:sz w:val="24"/>
          <w:highlight w:val="none"/>
        </w:rPr>
        <w:t>7.特别说明</w:t>
      </w:r>
      <w:bookmarkEnd w:id="49"/>
      <w:bookmarkEnd w:id="50"/>
    </w:p>
    <w:p w14:paraId="65A770EA">
      <w:pPr>
        <w:spacing w:line="360" w:lineRule="auto"/>
        <w:ind w:firstLine="420" w:firstLineChars="200"/>
        <w:rPr>
          <w:rFonts w:hint="eastAsia" w:ascii="宋体" w:hAnsi="宋体" w:eastAsia="宋体" w:cs="宋体"/>
          <w:color w:val="auto"/>
          <w:szCs w:val="21"/>
          <w:highlight w:val="none"/>
        </w:rPr>
      </w:pPr>
      <w:bookmarkStart w:id="51" w:name="_8.1提供相同品牌产品且通过资格审查、符合性审查的不同投标人参加同一合"/>
      <w:bookmarkEnd w:id="51"/>
      <w:r>
        <w:rPr>
          <w:rFonts w:hint="eastAsia" w:ascii="宋体" w:hAnsi="宋体" w:eastAsia="宋体" w:cs="宋体"/>
          <w:color w:val="auto"/>
          <w:szCs w:val="21"/>
          <w:highlight w:val="none"/>
        </w:rPr>
        <w:t>7.1</w:t>
      </w:r>
      <w:bookmarkStart w:id="52"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52"/>
    <w:p w14:paraId="436217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5ECB9E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69A8D4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2281D4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08CD7B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0E9DBB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75F815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13F7F7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6FBF10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EE825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1FC107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06D16D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3FA866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61E269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4EB566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1AA59146">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7E58DC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65CDD1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451807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4531AF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43896C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26FD22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5C5C02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74EA76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5139943B">
      <w:pPr>
        <w:bidi w:val="0"/>
        <w:spacing w:line="360" w:lineRule="auto"/>
        <w:rPr>
          <w:rFonts w:hint="eastAsia" w:ascii="宋体" w:hAnsi="宋体" w:eastAsia="宋体" w:cs="宋体"/>
          <w:color w:val="auto"/>
          <w:highlight w:val="none"/>
        </w:rPr>
      </w:pPr>
      <w:bookmarkStart w:id="53" w:name="_Toc254970534"/>
      <w:bookmarkStart w:id="54" w:name="_Toc254970675"/>
    </w:p>
    <w:p w14:paraId="3AA88AF6">
      <w:pPr>
        <w:pStyle w:val="4"/>
        <w:spacing w:before="0" w:after="0" w:line="360" w:lineRule="auto"/>
        <w:rPr>
          <w:rFonts w:hint="eastAsia" w:ascii="宋体" w:hAnsi="宋体" w:eastAsia="宋体" w:cs="宋体"/>
          <w:b/>
          <w:bCs w:val="0"/>
          <w:color w:val="auto"/>
          <w:highlight w:val="none"/>
        </w:rPr>
      </w:pPr>
      <w:bookmarkStart w:id="55" w:name="_Toc22797"/>
      <w:bookmarkStart w:id="56" w:name="_Toc25818"/>
      <w:bookmarkStart w:id="57" w:name="_Toc16003"/>
      <w:r>
        <w:rPr>
          <w:rFonts w:hint="eastAsia" w:ascii="宋体" w:hAnsi="宋体" w:eastAsia="宋体" w:cs="宋体"/>
          <w:b/>
          <w:bCs w:val="0"/>
          <w:color w:val="auto"/>
          <w:highlight w:val="none"/>
        </w:rPr>
        <w:t>二、磋商文件</w:t>
      </w:r>
      <w:bookmarkEnd w:id="53"/>
      <w:bookmarkEnd w:id="54"/>
      <w:bookmarkEnd w:id="55"/>
      <w:bookmarkEnd w:id="56"/>
      <w:bookmarkEnd w:id="57"/>
    </w:p>
    <w:p w14:paraId="62E1308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6474656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0EA04F5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0ED9D41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735748A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122904D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55896B4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71C92250">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第七章 </w:t>
      </w:r>
      <w:r>
        <w:rPr>
          <w:rFonts w:hint="eastAsia" w:ascii="宋体" w:hAnsi="宋体" w:cs="宋体"/>
          <w:color w:val="auto"/>
          <w:szCs w:val="21"/>
          <w:highlight w:val="none"/>
          <w:lang w:val="en-US" w:eastAsia="zh-CN"/>
        </w:rPr>
        <w:t>工程量清单</w:t>
      </w:r>
    </w:p>
    <w:p w14:paraId="4974C59A">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 xml:space="preserve">章 </w:t>
      </w:r>
      <w:r>
        <w:rPr>
          <w:rFonts w:hint="eastAsia" w:ascii="宋体" w:hAnsi="宋体" w:cs="宋体"/>
          <w:color w:val="auto"/>
          <w:szCs w:val="21"/>
          <w:highlight w:val="none"/>
          <w:lang w:val="en-US" w:eastAsia="zh-CN"/>
        </w:rPr>
        <w:t>图纸</w:t>
      </w:r>
    </w:p>
    <w:p w14:paraId="13270D4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第九章 </w:t>
      </w:r>
      <w:r>
        <w:rPr>
          <w:rFonts w:hint="eastAsia" w:ascii="宋体" w:hAnsi="宋体" w:eastAsia="宋体" w:cs="宋体"/>
          <w:color w:val="auto"/>
          <w:szCs w:val="21"/>
          <w:highlight w:val="none"/>
        </w:rPr>
        <w:t>质疑、投诉材料格式。</w:t>
      </w:r>
    </w:p>
    <w:p w14:paraId="3219900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4B0E0F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4F8EBDA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20A44C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2D8B0A9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0754BB00">
      <w:pPr>
        <w:pageBreakBefore w:val="0"/>
        <w:kinsoku/>
        <w:topLinePunct w:val="0"/>
        <w:bidi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目前为网上公告和系统短信等形式）通知所有获取磋商文件的供应商；不足5日的，采购人、采购代理机构应当顺延提交首次响应文件截止时间。</w:t>
      </w:r>
    </w:p>
    <w:p w14:paraId="640652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w:t>
      </w:r>
      <w:r>
        <w:rPr>
          <w:rFonts w:hint="eastAsia" w:ascii="宋体" w:hAnsi="宋体" w:eastAsia="宋体" w:cs="宋体"/>
          <w:color w:val="auto"/>
          <w:szCs w:val="21"/>
          <w:highlight w:val="none"/>
        </w:rPr>
        <w:t>公告的采购项目名称及首次公告日期，更正事项、内容及日期，采购项目联系人和电话。</w:t>
      </w:r>
    </w:p>
    <w:p w14:paraId="2EEDDA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32D4991D">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响应文件未按磋商文件的澄清、修改的内容编制，又不符合实质性要求的，其响应文件作无效处理。</w:t>
      </w:r>
    </w:p>
    <w:p w14:paraId="005C943D">
      <w:pPr>
        <w:pStyle w:val="11"/>
        <w:spacing w:line="360" w:lineRule="auto"/>
        <w:rPr>
          <w:rFonts w:hint="eastAsia" w:ascii="宋体" w:hAnsi="宋体" w:eastAsia="宋体" w:cs="宋体"/>
          <w:color w:val="auto"/>
          <w:highlight w:val="none"/>
        </w:rPr>
      </w:pPr>
    </w:p>
    <w:p w14:paraId="2A0E3A2F">
      <w:pPr>
        <w:pStyle w:val="4"/>
        <w:spacing w:before="0" w:after="0" w:line="360" w:lineRule="auto"/>
        <w:rPr>
          <w:rFonts w:hint="eastAsia" w:ascii="宋体" w:hAnsi="宋体" w:eastAsia="宋体" w:cs="宋体"/>
          <w:b/>
          <w:bCs w:val="0"/>
          <w:color w:val="auto"/>
          <w:highlight w:val="none"/>
        </w:rPr>
      </w:pPr>
      <w:bookmarkStart w:id="58" w:name="_Toc30069"/>
      <w:bookmarkStart w:id="59" w:name="_Toc30454"/>
      <w:bookmarkStart w:id="60" w:name="_Toc18572"/>
      <w:r>
        <w:rPr>
          <w:rFonts w:hint="eastAsia" w:ascii="宋体" w:hAnsi="宋体" w:eastAsia="宋体" w:cs="宋体"/>
          <w:b/>
          <w:bCs w:val="0"/>
          <w:color w:val="auto"/>
          <w:highlight w:val="none"/>
        </w:rPr>
        <w:t>三、响应文件的编制</w:t>
      </w:r>
      <w:bookmarkEnd w:id="58"/>
      <w:bookmarkEnd w:id="59"/>
      <w:bookmarkEnd w:id="60"/>
    </w:p>
    <w:p w14:paraId="1750264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209ABE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319868E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4E91B5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25C99208">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6D51E66A">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50895AD2">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03ABFA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762EF28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6AB35B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417ED19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14907003">
      <w:pPr>
        <w:pageBreakBefore w:val="0"/>
        <w:kinsoku/>
        <w:topLinePunct w:val="0"/>
        <w:bidi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供应商没有按照磋商文件要求提供全部资料，或者供应商没有对</w:t>
      </w:r>
      <w:r>
        <w:rPr>
          <w:rFonts w:hint="eastAsia" w:ascii="宋体" w:hAnsi="宋体" w:cs="宋体"/>
          <w:color w:val="auto"/>
          <w:szCs w:val="21"/>
          <w:highlight w:val="none"/>
          <w:lang w:val="en-US" w:eastAsia="zh-CN"/>
        </w:rPr>
        <w:t>竞争性</w:t>
      </w:r>
      <w:r>
        <w:rPr>
          <w:rFonts w:hint="eastAsia" w:ascii="宋体" w:hAnsi="宋体" w:cs="宋体"/>
          <w:color w:val="auto"/>
          <w:szCs w:val="21"/>
          <w:highlight w:val="none"/>
        </w:rPr>
        <w:t>磋商文件在各方面作出实质性响应可能导致其响应无效，是供应商应当考</w:t>
      </w:r>
      <w:r>
        <w:rPr>
          <w:rFonts w:hint="eastAsia" w:ascii="宋体" w:hAnsi="宋体" w:eastAsia="宋体" w:cs="宋体"/>
          <w:color w:val="auto"/>
          <w:szCs w:val="21"/>
          <w:highlight w:val="none"/>
        </w:rPr>
        <w:t>虑的风险。各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人在编制</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文件时请按照</w:t>
      </w:r>
      <w:r>
        <w:rPr>
          <w:rFonts w:hint="eastAsia" w:ascii="宋体" w:hAnsi="宋体" w:eastAsia="宋体" w:cs="宋体"/>
          <w:color w:val="auto"/>
          <w:szCs w:val="21"/>
          <w:highlight w:val="none"/>
          <w:lang w:val="en-US" w:eastAsia="zh-CN"/>
        </w:rPr>
        <w:t>竞争性磋商</w:t>
      </w:r>
      <w:r>
        <w:rPr>
          <w:rFonts w:hint="eastAsia" w:ascii="宋体" w:hAnsi="宋体" w:eastAsia="宋体" w:cs="宋体"/>
          <w:color w:val="auto"/>
          <w:szCs w:val="21"/>
          <w:highlight w:val="none"/>
        </w:rPr>
        <w:t>文件规定的编排格式进行，不按要求提交齐全的文件、混乱的编排导致</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文件被误读或</w:t>
      </w:r>
      <w:r>
        <w:rPr>
          <w:rFonts w:hint="eastAsia" w:ascii="宋体" w:hAnsi="宋体" w:eastAsia="宋体" w:cs="宋体"/>
          <w:color w:val="auto"/>
          <w:szCs w:val="21"/>
          <w:highlight w:val="none"/>
          <w:lang w:val="en-US" w:eastAsia="zh-CN"/>
        </w:rPr>
        <w:t>磋商小组</w:t>
      </w:r>
      <w:r>
        <w:rPr>
          <w:rFonts w:hint="eastAsia" w:ascii="宋体" w:hAnsi="宋体" w:eastAsia="宋体" w:cs="宋体"/>
          <w:color w:val="auto"/>
          <w:szCs w:val="21"/>
          <w:highlight w:val="none"/>
        </w:rPr>
        <w:t>查找不到有效文件是造成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文件无效的风险。</w:t>
      </w:r>
      <w:r>
        <w:rPr>
          <w:rFonts w:hint="eastAsia" w:hAnsi="宋体"/>
          <w:b/>
          <w:bCs/>
          <w:color w:val="auto"/>
          <w:highlight w:val="none"/>
        </w:rPr>
        <w:t>▲响应文件内容不齐全、未按规定的文件格式编制的、没有对</w:t>
      </w:r>
      <w:r>
        <w:rPr>
          <w:rFonts w:hint="eastAsia" w:hAnsi="宋体"/>
          <w:b/>
          <w:bCs/>
          <w:color w:val="auto"/>
          <w:highlight w:val="none"/>
          <w:lang w:val="en-US" w:eastAsia="zh-CN"/>
        </w:rPr>
        <w:t>竞争性磋商</w:t>
      </w:r>
      <w:r>
        <w:rPr>
          <w:rFonts w:hint="eastAsia" w:hAnsi="宋体"/>
          <w:b/>
          <w:bCs/>
          <w:color w:val="auto"/>
          <w:highlight w:val="none"/>
        </w:rPr>
        <w:t>文件作出实质性响应，</w:t>
      </w:r>
      <w:r>
        <w:rPr>
          <w:rFonts w:hint="eastAsia" w:hAnsi="宋体"/>
          <w:b/>
          <w:bCs/>
          <w:color w:val="auto"/>
          <w:highlight w:val="none"/>
          <w:lang w:val="en-US" w:eastAsia="zh-CN"/>
        </w:rPr>
        <w:t>响应</w:t>
      </w:r>
      <w:r>
        <w:rPr>
          <w:rFonts w:hint="eastAsia" w:hAnsi="宋体"/>
          <w:b/>
          <w:bCs/>
          <w:color w:val="auto"/>
          <w:highlight w:val="none"/>
        </w:rPr>
        <w:t>无效；</w:t>
      </w:r>
    </w:p>
    <w:p w14:paraId="66AD796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603C0B5D">
      <w:pPr>
        <w:pageBreakBefore w:val="0"/>
        <w:tabs>
          <w:tab w:val="left" w:pos="2492"/>
        </w:tabs>
        <w:kinsoku/>
        <w:topLinePunct w:val="0"/>
        <w:bidi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40076EA4">
      <w:pPr>
        <w:pageBreakBefore w:val="0"/>
        <w:tabs>
          <w:tab w:val="left" w:pos="2492"/>
        </w:tabs>
        <w:kinsoku/>
        <w:topLinePunct w:val="0"/>
        <w:bidi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6AEB2D55">
      <w:pPr>
        <w:pageBreakBefore w:val="0"/>
        <w:kinsoku/>
        <w:topLinePunct w:val="0"/>
        <w:bidi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15.3响应报价要求</w:t>
      </w:r>
    </w:p>
    <w:p w14:paraId="09115200">
      <w:pPr>
        <w:pageBreakBefore w:val="0"/>
        <w:kinsoku/>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供应商的响应报价应符合以下要求，否则响应文件按无效响应处理：</w:t>
      </w:r>
    </w:p>
    <w:p w14:paraId="779F287A">
      <w:pPr>
        <w:pageBreakBefore w:val="0"/>
        <w:kinsoku/>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3461C757">
      <w:pPr>
        <w:pageBreakBefore w:val="0"/>
        <w:kinsoku/>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1CA01192">
      <w:pPr>
        <w:pageBreakBefore w:val="0"/>
        <w:kinsoku/>
        <w:topLinePunct w:val="0"/>
        <w:bidi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响应报价（包含首次报价、最后报价）超过所竞标分标规定的采购预算金额或者最高限价的，其响应文件将作无效处理。</w:t>
      </w:r>
    </w:p>
    <w:p w14:paraId="4B9B6A6A">
      <w:pPr>
        <w:pageBreakBefore w:val="0"/>
        <w:kinsoku/>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r>
        <w:rPr>
          <w:rFonts w:hint="eastAsia" w:ascii="宋体" w:hAnsi="宋体" w:cs="宋体"/>
          <w:color w:val="auto"/>
          <w:szCs w:val="21"/>
          <w:highlight w:val="none"/>
        </w:rPr>
        <w:t>响应报价（包含首次报价、最后报价）超过分项采购预算金额或者最高限价的，其响应文件将作无效处理。</w:t>
      </w:r>
    </w:p>
    <w:p w14:paraId="2A8E17B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09BCA0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51152B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073FFB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0E17AA3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376A8A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59F984A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2C39E0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56C4C3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602EDF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61"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61"/>
      <w:r>
        <w:rPr>
          <w:rFonts w:hint="eastAsia" w:ascii="宋体" w:hAnsi="宋体" w:eastAsia="宋体" w:cs="宋体"/>
          <w:color w:val="auto"/>
          <w:szCs w:val="21"/>
          <w:highlight w:val="none"/>
        </w:rPr>
        <w:t>，否则其响应文件按无效响应处理。骑缝盖公章不视为在规定位置盖章。</w:t>
      </w:r>
    </w:p>
    <w:p w14:paraId="5C697E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498F8A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09E5CE0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135D3CBC">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w:t>
      </w:r>
      <w:r>
        <w:rPr>
          <w:rFonts w:hint="eastAsia" w:ascii="宋体" w:hAnsi="宋体" w:cs="宋体"/>
          <w:color w:val="auto"/>
          <w:kern w:val="0"/>
          <w:szCs w:val="21"/>
          <w:highlight w:val="none"/>
          <w:lang w:val="zh-CN"/>
        </w:rPr>
        <w:t>广西政府采购云平台电子</w:t>
      </w:r>
      <w:r>
        <w:rPr>
          <w:rFonts w:hint="eastAsia" w:ascii="宋体" w:hAnsi="宋体" w:eastAsia="宋体" w:cs="宋体"/>
          <w:color w:val="auto"/>
          <w:kern w:val="0"/>
          <w:szCs w:val="21"/>
          <w:highlight w:val="none"/>
          <w:lang w:val="zh-CN"/>
        </w:rPr>
        <w:t>交易客户端”，并按照磋商文件和电子交易平台的要求编制并加密响应文件。供应商未按规定加密的响应文件，电子交易平台将拒收并提示。</w:t>
      </w:r>
    </w:p>
    <w:p w14:paraId="510B62FE">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w:t>
      </w:r>
      <w:r>
        <w:rPr>
          <w:rFonts w:hint="eastAsia" w:ascii="宋体" w:hAnsi="宋体" w:cs="宋体"/>
          <w:color w:val="auto"/>
          <w:kern w:val="0"/>
          <w:szCs w:val="21"/>
          <w:highlight w:val="none"/>
          <w:lang w:val="zh-CN"/>
        </w:rPr>
        <w:t>广西政府采购云平台电子</w:t>
      </w:r>
      <w:r>
        <w:rPr>
          <w:rFonts w:hint="eastAsia" w:ascii="宋体" w:hAnsi="宋体" w:eastAsia="宋体" w:cs="宋体"/>
          <w:color w:val="auto"/>
          <w:kern w:val="0"/>
          <w:szCs w:val="21"/>
          <w:highlight w:val="none"/>
          <w:lang w:val="zh-CN"/>
        </w:rPr>
        <w:t>交易客户端”需要提前申领CA数字证书，申领流程见该项目采购公告附件。</w:t>
      </w:r>
    </w:p>
    <w:p w14:paraId="6D79E843">
      <w:pPr>
        <w:pStyle w:val="14"/>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19</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14:paraId="2E3BA58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635888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4F3BF7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3748AB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14:paraId="7F5D38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640735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315BE675">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14:paraId="32CB006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437109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23772BE0">
      <w:pPr>
        <w:spacing w:line="360" w:lineRule="auto"/>
        <w:ind w:firstLine="482" w:firstLineChars="200"/>
        <w:rPr>
          <w:rFonts w:hint="eastAsia" w:ascii="宋体" w:hAnsi="宋体" w:eastAsia="宋体" w:cs="宋体"/>
          <w:b/>
          <w:bCs/>
          <w:color w:val="auto"/>
          <w:sz w:val="24"/>
          <w:highlight w:val="none"/>
        </w:rPr>
      </w:pPr>
      <w:bookmarkStart w:id="62" w:name="_Hlk45702405"/>
      <w:r>
        <w:rPr>
          <w:rFonts w:hint="eastAsia" w:ascii="宋体" w:hAnsi="宋体" w:eastAsia="宋体" w:cs="宋体"/>
          <w:b/>
          <w:bCs/>
          <w:color w:val="auto"/>
          <w:sz w:val="24"/>
          <w:highlight w:val="none"/>
        </w:rPr>
        <w:t>22. 首次响应文件的退回</w:t>
      </w:r>
    </w:p>
    <w:p w14:paraId="2A1C93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操作退回，除此之外采购人和采购代理机构对已提交的电子响应文件概不退回。</w:t>
      </w:r>
    </w:p>
    <w:p w14:paraId="583C6E9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30D815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本项目不收取磋商保证金，供应商在首次响应文件提交截止时间后可向采购人、采购代理机构书面申请撤回电子响应文件。</w:t>
      </w:r>
      <w:bookmarkEnd w:id="62"/>
    </w:p>
    <w:p w14:paraId="7B07A3BF">
      <w:pPr>
        <w:pStyle w:val="11"/>
        <w:spacing w:line="360" w:lineRule="auto"/>
        <w:rPr>
          <w:rFonts w:hint="eastAsia" w:ascii="宋体" w:hAnsi="宋体" w:eastAsia="宋体" w:cs="宋体"/>
          <w:color w:val="auto"/>
          <w:highlight w:val="none"/>
        </w:rPr>
      </w:pPr>
    </w:p>
    <w:p w14:paraId="196226FC">
      <w:pPr>
        <w:pStyle w:val="4"/>
        <w:spacing w:before="0" w:after="0" w:line="360" w:lineRule="auto"/>
        <w:rPr>
          <w:rFonts w:hint="eastAsia" w:ascii="宋体" w:hAnsi="宋体" w:eastAsia="宋体" w:cs="宋体"/>
          <w:b/>
          <w:bCs w:val="0"/>
          <w:color w:val="auto"/>
          <w:highlight w:val="none"/>
        </w:rPr>
      </w:pPr>
      <w:bookmarkStart w:id="63" w:name="_Toc27120"/>
      <w:bookmarkStart w:id="64" w:name="_Toc25351"/>
      <w:bookmarkStart w:id="65" w:name="_Toc30168"/>
      <w:r>
        <w:rPr>
          <w:rFonts w:hint="eastAsia" w:ascii="宋体" w:hAnsi="宋体" w:eastAsia="宋体" w:cs="宋体"/>
          <w:b/>
          <w:bCs w:val="0"/>
          <w:color w:val="auto"/>
          <w:highlight w:val="none"/>
        </w:rPr>
        <w:t>四、评审及磋商</w:t>
      </w:r>
      <w:bookmarkEnd w:id="63"/>
      <w:bookmarkEnd w:id="64"/>
      <w:bookmarkEnd w:id="65"/>
    </w:p>
    <w:p w14:paraId="0728BFA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55D9E5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45B138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B43533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417D3F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469EC38A">
      <w:pPr>
        <w:pStyle w:val="14"/>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文件解密</w:t>
      </w:r>
    </w:p>
    <w:p w14:paraId="435D9277">
      <w:pPr>
        <w:pStyle w:val="14"/>
        <w:snapToGrid w:val="0"/>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bCs/>
          <w:color w:val="auto"/>
          <w:sz w:val="21"/>
          <w:highlight w:val="none"/>
        </w:rPr>
        <w:t>采购代理机构将在“</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须知前附表”规定的时</w:t>
      </w:r>
      <w:r>
        <w:rPr>
          <w:rFonts w:hint="eastAsia" w:ascii="宋体" w:hAnsi="宋体" w:eastAsia="宋体" w:cs="宋体"/>
          <w:color w:val="auto"/>
          <w:sz w:val="21"/>
          <w:highlight w:val="none"/>
        </w:rPr>
        <w:t>间通过电子交易平台组织响应文件开启，采购机构依托电子交易平台发起开始解密指令，</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的法定代表人或其委托代理人</w:t>
      </w:r>
      <w:r>
        <w:rPr>
          <w:rFonts w:hint="eastAsia" w:ascii="宋体" w:hAnsi="宋体" w:eastAsia="宋体" w:cs="宋体"/>
          <w:b/>
          <w:color w:val="auto"/>
          <w:sz w:val="21"/>
          <w:highlight w:val="none"/>
        </w:rPr>
        <w:t>须携带加密时所用的CA锁</w:t>
      </w:r>
      <w:r>
        <w:rPr>
          <w:rFonts w:hint="eastAsia" w:ascii="宋体" w:hAnsi="宋体" w:eastAsia="宋体" w:cs="宋体"/>
          <w:b/>
          <w:color w:val="auto"/>
          <w:sz w:val="21"/>
          <w:highlight w:val="none"/>
          <w:lang w:eastAsia="zh-CN"/>
        </w:rPr>
        <w:t>按平台提示和采购文件的规定</w:t>
      </w:r>
      <w:r>
        <w:rPr>
          <w:rFonts w:hint="eastAsia" w:ascii="宋体" w:hAnsi="宋体" w:eastAsia="宋体" w:cs="宋体"/>
          <w:b/>
          <w:color w:val="auto"/>
          <w:sz w:val="21"/>
          <w:highlight w:val="none"/>
        </w:rPr>
        <w:t>登录到</w:t>
      </w:r>
      <w:r>
        <w:rPr>
          <w:rFonts w:hint="eastAsia" w:hAnsi="宋体" w:cs="宋体"/>
          <w:b/>
          <w:color w:val="auto"/>
          <w:sz w:val="21"/>
          <w:highlight w:val="none"/>
          <w:lang w:eastAsia="zh-CN"/>
        </w:rPr>
        <w:t>“广西政府采购云平台”</w:t>
      </w:r>
      <w:r>
        <w:rPr>
          <w:rFonts w:hint="eastAsia" w:ascii="宋体" w:hAnsi="宋体" w:eastAsia="宋体" w:cs="宋体"/>
          <w:b/>
          <w:color w:val="auto"/>
          <w:sz w:val="21"/>
          <w:highlight w:val="none"/>
        </w:rPr>
        <w:t>电子开标大厅签到并</w:t>
      </w:r>
      <w:r>
        <w:rPr>
          <w:rFonts w:hint="eastAsia" w:ascii="宋体" w:hAnsi="宋体" w:eastAsia="宋体" w:cs="宋体"/>
          <w:b/>
          <w:color w:val="auto"/>
          <w:sz w:val="21"/>
          <w:highlight w:val="none"/>
          <w:lang w:eastAsia="zh-CN"/>
        </w:rPr>
        <w:t>在</w:t>
      </w:r>
      <w:r>
        <w:rPr>
          <w:rFonts w:hint="eastAsia" w:ascii="宋体" w:hAnsi="宋体" w:eastAsia="宋体" w:cs="宋体"/>
          <w:b/>
          <w:color w:val="auto"/>
          <w:sz w:val="21"/>
          <w:highlight w:val="none"/>
        </w:rPr>
        <w:t>发起解密指令之时起30分钟</w:t>
      </w:r>
      <w:r>
        <w:rPr>
          <w:rFonts w:hint="eastAsia" w:ascii="宋体" w:hAnsi="宋体" w:eastAsia="宋体" w:cs="宋体"/>
          <w:b/>
          <w:color w:val="auto"/>
          <w:sz w:val="21"/>
          <w:highlight w:val="none"/>
          <w:lang w:eastAsia="zh-CN"/>
        </w:rPr>
        <w:t>内完成</w:t>
      </w:r>
      <w:r>
        <w:rPr>
          <w:rFonts w:hint="eastAsia" w:ascii="宋体" w:hAnsi="宋体" w:eastAsia="宋体" w:cs="宋体"/>
          <w:b/>
          <w:color w:val="auto"/>
          <w:sz w:val="21"/>
          <w:highlight w:val="none"/>
        </w:rPr>
        <w:t>对电子</w:t>
      </w:r>
      <w:r>
        <w:rPr>
          <w:rFonts w:hint="eastAsia" w:ascii="宋体" w:hAnsi="宋体" w:eastAsia="宋体" w:cs="宋体"/>
          <w:b/>
          <w:color w:val="auto"/>
          <w:sz w:val="21"/>
          <w:highlight w:val="none"/>
          <w:lang w:eastAsia="zh-CN"/>
        </w:rPr>
        <w:t>响应</w:t>
      </w:r>
      <w:r>
        <w:rPr>
          <w:rFonts w:hint="eastAsia" w:ascii="宋体" w:hAnsi="宋体" w:eastAsia="宋体" w:cs="宋体"/>
          <w:b/>
          <w:color w:val="auto"/>
          <w:sz w:val="21"/>
          <w:highlight w:val="none"/>
        </w:rPr>
        <w:t>文件</w:t>
      </w:r>
      <w:r>
        <w:rPr>
          <w:rFonts w:hint="eastAsia" w:ascii="宋体" w:hAnsi="宋体" w:eastAsia="宋体" w:cs="宋体"/>
          <w:b/>
          <w:color w:val="auto"/>
          <w:sz w:val="21"/>
          <w:highlight w:val="none"/>
          <w:lang w:eastAsia="zh-CN"/>
        </w:rPr>
        <w:t>在线</w:t>
      </w:r>
      <w:r>
        <w:rPr>
          <w:rFonts w:hint="eastAsia" w:ascii="宋体" w:hAnsi="宋体" w:eastAsia="宋体" w:cs="宋体"/>
          <w:b/>
          <w:color w:val="auto"/>
          <w:sz w:val="21"/>
          <w:highlight w:val="none"/>
        </w:rPr>
        <w:t>解密</w:t>
      </w:r>
      <w:r>
        <w:rPr>
          <w:rFonts w:hint="eastAsia" w:ascii="宋体" w:hAnsi="宋体" w:eastAsia="宋体" w:cs="宋体"/>
          <w:color w:val="auto"/>
          <w:sz w:val="21"/>
          <w:highlight w:val="none"/>
        </w:rPr>
        <w:t>。发起解密指令</w:t>
      </w:r>
      <w:r>
        <w:rPr>
          <w:rFonts w:hint="eastAsia" w:ascii="宋体" w:hAnsi="宋体" w:eastAsia="宋体" w:cs="宋体"/>
          <w:color w:val="auto"/>
          <w:sz w:val="21"/>
          <w:highlight w:val="none"/>
          <w:lang w:val="en-US" w:eastAsia="zh-CN"/>
        </w:rPr>
        <w:t>之时起</w:t>
      </w:r>
      <w:r>
        <w:rPr>
          <w:rFonts w:hint="eastAsia" w:ascii="宋体" w:hAnsi="宋体" w:eastAsia="宋体" w:cs="宋体"/>
          <w:color w:val="auto"/>
          <w:sz w:val="21"/>
          <w:highlight w:val="none"/>
        </w:rPr>
        <w:t>5分钟</w:t>
      </w:r>
      <w:r>
        <w:rPr>
          <w:rFonts w:hint="eastAsia" w:ascii="宋体" w:hAnsi="宋体" w:eastAsia="宋体" w:cs="宋体"/>
          <w:color w:val="auto"/>
          <w:sz w:val="21"/>
          <w:highlight w:val="none"/>
          <w:lang w:eastAsia="zh-CN"/>
        </w:rPr>
        <w:t>内供应商</w:t>
      </w:r>
      <w:r>
        <w:rPr>
          <w:rFonts w:hint="eastAsia" w:ascii="宋体" w:hAnsi="宋体" w:eastAsia="宋体" w:cs="宋体"/>
          <w:color w:val="auto"/>
          <w:sz w:val="21"/>
          <w:highlight w:val="none"/>
        </w:rPr>
        <w:t>还未进行解密的，代理机构要通知</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没预留联系方式或预留联系方式无效，导致代理机构无法联系到</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进行解密的，</w:t>
      </w:r>
      <w:r>
        <w:rPr>
          <w:rFonts w:hint="eastAsia" w:ascii="宋体" w:hAnsi="宋体" w:eastAsia="宋体" w:cs="宋体"/>
          <w:b/>
          <w:color w:val="auto"/>
          <w:sz w:val="21"/>
          <w:highlight w:val="none"/>
        </w:rPr>
        <w:t>视为</w:t>
      </w:r>
      <w:r>
        <w:rPr>
          <w:rFonts w:hint="eastAsia" w:ascii="宋体" w:hAnsi="宋体" w:eastAsia="宋体" w:cs="宋体"/>
          <w:b/>
          <w:color w:val="auto"/>
          <w:sz w:val="21"/>
          <w:highlight w:val="none"/>
          <w:lang w:eastAsia="zh-CN"/>
        </w:rPr>
        <w:t>响应文件无效</w:t>
      </w:r>
      <w:r>
        <w:rPr>
          <w:rFonts w:hint="eastAsia" w:ascii="宋体" w:hAnsi="宋体" w:eastAsia="宋体" w:cs="宋体"/>
          <w:b/>
          <w:color w:val="auto"/>
          <w:sz w:val="21"/>
          <w:highlight w:val="none"/>
        </w:rPr>
        <w:t>。</w:t>
      </w:r>
      <w:r>
        <w:rPr>
          <w:rFonts w:hint="eastAsia" w:ascii="宋体" w:hAnsi="宋体" w:eastAsia="宋体" w:cs="宋体"/>
          <w:color w:val="auto"/>
          <w:sz w:val="21"/>
          <w:highlight w:val="none"/>
        </w:rPr>
        <w:t>（解密</w:t>
      </w:r>
      <w:r>
        <w:rPr>
          <w:rFonts w:hint="eastAsia" w:ascii="宋体" w:hAnsi="宋体" w:eastAsia="宋体" w:cs="宋体"/>
          <w:bCs/>
          <w:color w:val="auto"/>
          <w:sz w:val="21"/>
          <w:highlight w:val="none"/>
        </w:rPr>
        <w:t>异常情况处理：详见本章</w:t>
      </w:r>
      <w:r>
        <w:rPr>
          <w:rFonts w:hint="eastAsia" w:ascii="宋体" w:hAnsi="宋体" w:eastAsia="宋体" w:cs="宋体"/>
          <w:color w:val="auto"/>
          <w:sz w:val="21"/>
          <w:highlight w:val="none"/>
          <w:lang w:eastAsia="zh-CN"/>
        </w:rPr>
        <w:t>26.3</w:t>
      </w: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lang w:eastAsia="zh-CN"/>
        </w:rPr>
        <w:t>电子交易活动的中止</w:t>
      </w:r>
      <w:r>
        <w:rPr>
          <w:rFonts w:hint="eastAsia" w:ascii="宋体" w:hAnsi="宋体" w:eastAsia="宋体" w:cs="宋体"/>
          <w:color w:val="auto"/>
          <w:sz w:val="21"/>
          <w:highlight w:val="none"/>
        </w:rPr>
        <w:t>。）</w:t>
      </w:r>
    </w:p>
    <w:p w14:paraId="4FE85B16">
      <w:pPr>
        <w:pStyle w:val="14"/>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成功解密</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文件，但未在““广西政府采购云平台”电子开标大厅参加</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的，视同认可</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过程和结果，</w:t>
      </w:r>
      <w:r>
        <w:rPr>
          <w:rFonts w:hint="eastAsia" w:ascii="宋体" w:hAnsi="宋体" w:eastAsia="宋体" w:cs="宋体"/>
          <w:color w:val="auto"/>
          <w:sz w:val="21"/>
          <w:highlight w:val="none"/>
        </w:rPr>
        <w:t>由此产生的后果由供应商自行负责。 参与谈判的供应商不足3家的，不得</w:t>
      </w:r>
      <w:r>
        <w:rPr>
          <w:rFonts w:hint="eastAsia" w:ascii="宋体" w:hAnsi="宋体" w:eastAsia="宋体" w:cs="宋体"/>
          <w:color w:val="auto"/>
          <w:sz w:val="21"/>
          <w:highlight w:val="none"/>
          <w:lang w:eastAsia="zh-CN"/>
        </w:rPr>
        <w:t>谈判</w:t>
      </w:r>
      <w:r>
        <w:rPr>
          <w:rFonts w:hint="eastAsia" w:ascii="宋体" w:hAnsi="宋体" w:eastAsia="宋体" w:cs="宋体"/>
          <w:color w:val="auto"/>
          <w:sz w:val="21"/>
          <w:highlight w:val="none"/>
        </w:rPr>
        <w:t>。</w:t>
      </w:r>
    </w:p>
    <w:p w14:paraId="2E0EEBE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1C8224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1CC53B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0F3EDE0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65AA202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5ABD90B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09C4C58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6A1F264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6828D72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14:paraId="60068F4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6811EE8">
      <w:pPr>
        <w:pStyle w:val="11"/>
        <w:spacing w:line="360" w:lineRule="auto"/>
        <w:rPr>
          <w:rFonts w:hint="eastAsia" w:ascii="宋体" w:hAnsi="宋体" w:eastAsia="宋体" w:cs="宋体"/>
          <w:color w:val="auto"/>
          <w:highlight w:val="none"/>
        </w:rPr>
      </w:pPr>
    </w:p>
    <w:p w14:paraId="132D4C43">
      <w:pPr>
        <w:pStyle w:val="4"/>
        <w:spacing w:before="0" w:after="0" w:line="360" w:lineRule="auto"/>
        <w:rPr>
          <w:rFonts w:hint="eastAsia" w:ascii="宋体" w:hAnsi="宋体" w:eastAsia="宋体" w:cs="宋体"/>
          <w:b/>
          <w:bCs w:val="0"/>
          <w:color w:val="auto"/>
          <w:highlight w:val="none"/>
        </w:rPr>
      </w:pPr>
      <w:bookmarkStart w:id="66" w:name="_Toc26245"/>
      <w:bookmarkStart w:id="67" w:name="_Toc24541"/>
      <w:bookmarkStart w:id="68" w:name="_Toc24055"/>
      <w:r>
        <w:rPr>
          <w:rFonts w:hint="eastAsia" w:ascii="宋体" w:hAnsi="宋体" w:eastAsia="宋体" w:cs="宋体"/>
          <w:b/>
          <w:bCs w:val="0"/>
          <w:color w:val="auto"/>
          <w:highlight w:val="none"/>
        </w:rPr>
        <w:t>五、成交及合同</w:t>
      </w:r>
      <w:bookmarkEnd w:id="66"/>
      <w:bookmarkEnd w:id="67"/>
      <w:bookmarkEnd w:id="68"/>
    </w:p>
    <w:p w14:paraId="1FA06D6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4F2A59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27CDDF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南宁市本级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同时向成交供应商发出成交通知书，成交通知书规定签订合同的时间不得超过25日。</w:t>
      </w:r>
    </w:p>
    <w:p w14:paraId="578581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40FBC0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486880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7DB5244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179AD062">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5021164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19082587">
      <w:pPr>
        <w:pStyle w:val="27"/>
        <w:snapToGrid w:val="0"/>
        <w:spacing w:before="0" w:line="360" w:lineRule="auto"/>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401DF0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79EB13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03764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0EE0C687">
      <w:pPr>
        <w:pStyle w:val="27"/>
        <w:spacing w:before="0"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2F94EA9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2068478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290D07C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5D7A1EF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5696F62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14:paraId="33CD6A6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14:paraId="6AF6443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5F764A8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14:paraId="3C57830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C69A6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32F7EE3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6033232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59EB44A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79CE28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044D97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53B6A9B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24F2648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437DD36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659C15B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7D6DAE6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5BA361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60A0A59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69" w:name="_Toc80205930"/>
    </w:p>
    <w:p w14:paraId="20342215">
      <w:pPr>
        <w:pStyle w:val="11"/>
        <w:spacing w:line="360" w:lineRule="auto"/>
        <w:rPr>
          <w:rFonts w:hint="eastAsia" w:ascii="宋体" w:hAnsi="宋体" w:eastAsia="宋体" w:cs="宋体"/>
          <w:color w:val="auto"/>
          <w:highlight w:val="none"/>
        </w:rPr>
      </w:pPr>
    </w:p>
    <w:p w14:paraId="66C151C6">
      <w:pPr>
        <w:pStyle w:val="4"/>
        <w:spacing w:before="0" w:after="0" w:line="360" w:lineRule="auto"/>
        <w:rPr>
          <w:rFonts w:hint="eastAsia" w:ascii="宋体" w:hAnsi="宋体" w:eastAsia="宋体" w:cs="宋体"/>
          <w:b/>
          <w:bCs w:val="0"/>
          <w:color w:val="auto"/>
          <w:highlight w:val="none"/>
        </w:rPr>
      </w:pPr>
      <w:bookmarkStart w:id="70" w:name="_Toc7926"/>
      <w:bookmarkStart w:id="71" w:name="_Toc12020"/>
      <w:bookmarkStart w:id="72" w:name="_Toc15338"/>
      <w:r>
        <w:rPr>
          <w:rFonts w:hint="eastAsia" w:ascii="宋体" w:hAnsi="宋体" w:eastAsia="宋体" w:cs="宋体"/>
          <w:b/>
          <w:bCs w:val="0"/>
          <w:color w:val="auto"/>
          <w:highlight w:val="none"/>
        </w:rPr>
        <w:t>六、验收</w:t>
      </w:r>
      <w:bookmarkEnd w:id="69"/>
      <w:bookmarkEnd w:id="70"/>
      <w:bookmarkEnd w:id="71"/>
      <w:bookmarkEnd w:id="72"/>
    </w:p>
    <w:p w14:paraId="34F13844">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2C4A3154">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FCCE6A">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607D3317">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7924E13">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A53A8D4">
      <w:pPr>
        <w:pStyle w:val="11"/>
        <w:spacing w:line="360" w:lineRule="auto"/>
        <w:rPr>
          <w:rFonts w:hint="eastAsia" w:ascii="宋体" w:hAnsi="宋体" w:eastAsia="宋体" w:cs="宋体"/>
          <w:color w:val="auto"/>
          <w:highlight w:val="none"/>
        </w:rPr>
      </w:pPr>
    </w:p>
    <w:p w14:paraId="331D9F62">
      <w:pPr>
        <w:pStyle w:val="4"/>
        <w:spacing w:before="0" w:after="0" w:line="360" w:lineRule="auto"/>
        <w:rPr>
          <w:rFonts w:hint="eastAsia" w:ascii="宋体" w:hAnsi="宋体" w:eastAsia="宋体" w:cs="宋体"/>
          <w:b/>
          <w:bCs w:val="0"/>
          <w:color w:val="auto"/>
          <w:highlight w:val="none"/>
        </w:rPr>
      </w:pPr>
      <w:bookmarkStart w:id="73" w:name="_Toc3779"/>
      <w:bookmarkStart w:id="74" w:name="_Toc12694"/>
      <w:bookmarkStart w:id="75" w:name="_Toc14544"/>
      <w:r>
        <w:rPr>
          <w:rFonts w:hint="eastAsia" w:ascii="宋体" w:hAnsi="宋体" w:eastAsia="宋体" w:cs="宋体"/>
          <w:b/>
          <w:bCs w:val="0"/>
          <w:color w:val="auto"/>
          <w:highlight w:val="none"/>
          <w:lang w:eastAsia="zh-CN"/>
        </w:rPr>
        <w:t>七</w:t>
      </w:r>
      <w:r>
        <w:rPr>
          <w:rFonts w:hint="eastAsia" w:ascii="宋体" w:hAnsi="宋体" w:eastAsia="宋体" w:cs="宋体"/>
          <w:b/>
          <w:bCs w:val="0"/>
          <w:color w:val="auto"/>
          <w:highlight w:val="none"/>
        </w:rPr>
        <w:t>、其他事项</w:t>
      </w:r>
      <w:bookmarkEnd w:id="73"/>
      <w:bookmarkEnd w:id="74"/>
      <w:bookmarkEnd w:id="75"/>
    </w:p>
    <w:p w14:paraId="6F884FE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6F569959">
      <w:pPr>
        <w:tabs>
          <w:tab w:val="left" w:pos="2835"/>
        </w:tabs>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569DE03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3B243CAD">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34.1本磋商文件解释规则详见“供应商须知前附表”。</w:t>
      </w:r>
    </w:p>
    <w:p w14:paraId="0C23BFE2">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34.2 其他事项详见“供应商须知前附表”。</w:t>
      </w:r>
    </w:p>
    <w:p w14:paraId="5D8E54F9">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w:t>
      </w:r>
      <w:r>
        <w:rPr>
          <w:rFonts w:hint="eastAsia" w:ascii="宋体" w:hAnsi="宋体" w:eastAsia="宋体" w:cs="宋体"/>
          <w:color w:val="auto"/>
          <w:sz w:val="21"/>
          <w:highlight w:val="none"/>
          <w:lang w:val="en-US" w:eastAsia="zh-CN"/>
        </w:rPr>
        <w:t>的</w:t>
      </w:r>
      <w:r>
        <w:rPr>
          <w:rFonts w:hint="eastAsia" w:ascii="宋体" w:hAnsi="宋体" w:eastAsia="宋体" w:cs="宋体"/>
          <w:color w:val="auto"/>
          <w:kern w:val="2"/>
          <w:sz w:val="21"/>
          <w:highlight w:val="none"/>
          <w:lang w:val="en-US" w:eastAsia="zh-CN"/>
        </w:rPr>
        <w:t>，享受本文件规定的中小企业扶持政策。</w:t>
      </w:r>
    </w:p>
    <w:p w14:paraId="37984728">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以联合体形式参加政府采购活动，联合体各方均为中小企业的，联合体视同中小企业。其中，联合体各方均为小微企业的，联合体视同小微企业。</w:t>
      </w:r>
    </w:p>
    <w:p w14:paraId="34083465">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14:paraId="50C78B4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35. 政采贷相关说明</w:t>
      </w:r>
    </w:p>
    <w:p w14:paraId="18D6EAA7">
      <w:pPr>
        <w:pStyle w:val="14"/>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center"/>
        <w:rPr>
          <w:rFonts w:hint="eastAsia" w:ascii="宋体" w:hAnsi="宋体" w:eastAsia="宋体" w:cs="Times New Roman"/>
          <w:color w:val="auto"/>
          <w:sz w:val="21"/>
          <w:highlight w:val="none"/>
        </w:rPr>
      </w:pPr>
      <w:r>
        <w:rPr>
          <w:rFonts w:hint="eastAsia" w:hAnsi="宋体"/>
          <w:color w:val="auto"/>
          <w:sz w:val="21"/>
          <w:highlight w:val="none"/>
        </w:rPr>
        <w:t>为优化政府采购营</w:t>
      </w:r>
      <w:r>
        <w:rPr>
          <w:rFonts w:hint="eastAsia" w:ascii="宋体" w:hAnsi="宋体" w:eastAsia="宋体" w:cs="Times New Roman"/>
          <w:color w:val="auto"/>
          <w:sz w:val="21"/>
          <w:highlight w:val="none"/>
        </w:rPr>
        <w:t>商环境，缓解供应商资金难题，南宁市政府采购试行政府采购信用融资制度，中标供应商如有融资需求，可凭政府采购合同通过以下方式申请政府采购信用融资贷款：</w:t>
      </w:r>
    </w:p>
    <w:p w14:paraId="71038ABB">
      <w:pPr>
        <w:pStyle w:val="14"/>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center"/>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rPr>
        <w:t>线下渠道：在“南宁市公共资源交易中心”官网（网址：</w:t>
      </w:r>
      <w:r>
        <w:rPr>
          <w:rFonts w:hint="eastAsia" w:ascii="宋体" w:hAnsi="宋体" w:eastAsia="宋体" w:cs="Times New Roman"/>
          <w:color w:val="auto"/>
          <w:sz w:val="21"/>
          <w:highlight w:val="none"/>
        </w:rPr>
        <w:fldChar w:fldCharType="begin"/>
      </w:r>
      <w:r>
        <w:rPr>
          <w:rFonts w:hint="eastAsia" w:ascii="宋体" w:hAnsi="宋体" w:eastAsia="宋体" w:cs="Times New Roman"/>
          <w:color w:val="auto"/>
          <w:sz w:val="21"/>
          <w:highlight w:val="none"/>
        </w:rPr>
        <w:instrText xml:space="preserve"> HYPERLINK "http://www.nnggzy.org.cn）\“交易信息-政府采购-政府采购信用融资\”中融资银行和南宁市企业融资服务中心专栏信息申请政府采购信用融资。" </w:instrText>
      </w:r>
      <w:r>
        <w:rPr>
          <w:rFonts w:hint="eastAsia" w:ascii="宋体" w:hAnsi="宋体" w:eastAsia="宋体" w:cs="Times New Roman"/>
          <w:color w:val="auto"/>
          <w:sz w:val="21"/>
          <w:highlight w:val="none"/>
        </w:rPr>
        <w:fldChar w:fldCharType="separate"/>
      </w:r>
      <w:r>
        <w:rPr>
          <w:rFonts w:hint="eastAsia" w:ascii="宋体" w:hAnsi="宋体" w:eastAsia="宋体" w:cs="Times New Roman"/>
          <w:color w:val="auto"/>
          <w:sz w:val="21"/>
          <w:highlight w:val="none"/>
        </w:rPr>
        <w:t>http://www.nnggzy.org.cn）“交易信息-政府采购-政府采购信用融资”中融资银行和南宁市企业融资服务中心专栏信息申请政府采购信用融资。</w:t>
      </w:r>
      <w:r>
        <w:rPr>
          <w:rFonts w:hint="eastAsia" w:ascii="宋体" w:hAnsi="宋体" w:eastAsia="宋体" w:cs="Times New Roman"/>
          <w:color w:val="auto"/>
          <w:sz w:val="21"/>
          <w:highlight w:val="none"/>
        </w:rPr>
        <w:fldChar w:fldCharType="end"/>
      </w:r>
    </w:p>
    <w:p w14:paraId="5F0D81B4">
      <w:pPr>
        <w:pStyle w:val="14"/>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rPr>
          <w:rFonts w:hint="eastAsia" w:ascii="宋体" w:hAnsi="宋体" w:eastAsia="宋体" w:cs="宋体"/>
          <w:color w:val="auto"/>
          <w:highlight w:val="none"/>
        </w:rPr>
      </w:pPr>
      <w:r>
        <w:rPr>
          <w:rFonts w:hint="eastAsia" w:ascii="宋体" w:hAnsi="宋体" w:eastAsia="宋体" w:cs="Times New Roman"/>
          <w:color w:val="auto"/>
          <w:sz w:val="21"/>
          <w:highlight w:val="none"/>
        </w:rPr>
        <w:t>（2）线上渠道：登录中征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14:paraId="3EFF0BDB">
      <w:pPr>
        <w:pStyle w:val="14"/>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0D042DF3">
      <w:pPr>
        <w:pStyle w:val="14"/>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1E97EDE3">
      <w:pPr>
        <w:pStyle w:val="14"/>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00E04C14">
      <w:pPr>
        <w:pStyle w:val="14"/>
        <w:numPr>
          <w:ilvl w:val="0"/>
          <w:numId w:val="0"/>
        </w:numPr>
        <w:spacing w:line="360" w:lineRule="auto"/>
        <w:ind w:firstLine="0" w:firstLineChars="0"/>
        <w:textAlignment w:val="center"/>
        <w:rPr>
          <w:rFonts w:hint="eastAsia" w:ascii="宋体" w:hAnsi="宋体" w:eastAsia="宋体" w:cs="宋体"/>
          <w:color w:val="auto"/>
          <w:highlight w:val="none"/>
        </w:rPr>
      </w:pPr>
    </w:p>
    <w:p w14:paraId="1B478C86">
      <w:pPr>
        <w:pStyle w:val="2"/>
        <w:spacing w:line="360" w:lineRule="auto"/>
        <w:jc w:val="center"/>
        <w:rPr>
          <w:rFonts w:hint="eastAsia" w:ascii="宋体" w:hAnsi="宋体" w:eastAsia="宋体" w:cs="宋体"/>
          <w:b/>
          <w:bCs/>
          <w:color w:val="auto"/>
          <w:highlight w:val="none"/>
        </w:rPr>
        <w:sectPr>
          <w:footerReference r:id="rId9"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613B410C">
      <w:pPr>
        <w:pStyle w:val="2"/>
        <w:spacing w:line="360" w:lineRule="auto"/>
        <w:jc w:val="center"/>
        <w:rPr>
          <w:rFonts w:hint="eastAsia" w:ascii="宋体" w:hAnsi="宋体" w:eastAsia="宋体" w:cs="宋体"/>
          <w:b/>
          <w:bCs/>
          <w:color w:val="auto"/>
          <w:highlight w:val="none"/>
        </w:rPr>
      </w:pPr>
      <w:bookmarkStart w:id="76" w:name="_Toc22508"/>
      <w:bookmarkStart w:id="77" w:name="_Toc16334"/>
      <w:bookmarkStart w:id="78" w:name="_Toc14829"/>
      <w:r>
        <w:rPr>
          <w:rFonts w:hint="eastAsia" w:ascii="宋体" w:hAnsi="宋体" w:eastAsia="宋体" w:cs="宋体"/>
          <w:b/>
          <w:bCs/>
          <w:color w:val="auto"/>
          <w:highlight w:val="none"/>
        </w:rPr>
        <w:t>第四章  评审程序、评审方法和评审标准</w:t>
      </w:r>
      <w:bookmarkEnd w:id="76"/>
      <w:bookmarkEnd w:id="77"/>
      <w:bookmarkEnd w:id="78"/>
    </w:p>
    <w:p w14:paraId="23175487">
      <w:pPr>
        <w:pStyle w:val="3"/>
        <w:spacing w:line="360" w:lineRule="auto"/>
        <w:jc w:val="center"/>
        <w:rPr>
          <w:rFonts w:hint="eastAsia" w:ascii="宋体" w:hAnsi="宋体" w:eastAsia="宋体" w:cs="宋体"/>
          <w:b w:val="0"/>
          <w:color w:val="auto"/>
          <w:highlight w:val="none"/>
        </w:rPr>
      </w:pPr>
      <w:bookmarkStart w:id="79" w:name="_Toc2012"/>
      <w:bookmarkStart w:id="80" w:name="_Toc23306"/>
      <w:bookmarkStart w:id="81" w:name="_Toc8295"/>
      <w:r>
        <w:rPr>
          <w:rFonts w:hint="eastAsia" w:ascii="宋体" w:hAnsi="宋体" w:eastAsia="宋体" w:cs="宋体"/>
          <w:b w:val="0"/>
          <w:color w:val="auto"/>
          <w:highlight w:val="none"/>
        </w:rPr>
        <w:t>第一节 评审程序和评审方法</w:t>
      </w:r>
      <w:bookmarkEnd w:id="79"/>
      <w:bookmarkEnd w:id="80"/>
      <w:bookmarkEnd w:id="81"/>
    </w:p>
    <w:p w14:paraId="296AD21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714242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762C8C1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4977E9F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4025A40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5A48DE03">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cs="宋体"/>
          <w:color w:val="auto"/>
          <w:szCs w:val="21"/>
          <w:highlight w:val="none"/>
          <w:lang w:eastAsia="zh-CN"/>
        </w:rPr>
        <w:t>“广西政府采购</w:t>
      </w:r>
      <w:r>
        <w:rPr>
          <w:rFonts w:hint="eastAsia" w:ascii="宋体" w:hAnsi="宋体" w:cs="宋体"/>
          <w:color w:val="auto"/>
          <w:szCs w:val="21"/>
          <w:highlight w:val="none"/>
          <w:lang w:val="en-US" w:eastAsia="zh-CN"/>
        </w:rPr>
        <w:t>网</w:t>
      </w:r>
      <w:r>
        <w:rPr>
          <w:rFonts w:hint="eastAsia" w:ascii="宋体" w:hAnsi="宋体" w:cs="宋体"/>
          <w:color w:val="auto"/>
          <w:szCs w:val="21"/>
          <w:highlight w:val="none"/>
          <w:lang w:eastAsia="zh-CN"/>
        </w:rPr>
        <w:t>”平台</w:t>
      </w:r>
      <w:r>
        <w:rPr>
          <w:rFonts w:hint="eastAsia" w:ascii="宋体" w:hAnsi="宋体" w:eastAsia="宋体" w:cs="宋体"/>
          <w:color w:val="auto"/>
          <w:szCs w:val="21"/>
          <w:highlight w:val="none"/>
        </w:rPr>
        <w:t>“信用中国”网站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26"/>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26"/>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1F8291A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123570F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1E6141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4BB56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5E6BA3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2091261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4A845C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64AC0B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5122C4B4">
      <w:pPr>
        <w:spacing w:line="360" w:lineRule="auto"/>
        <w:ind w:firstLine="420" w:firstLineChars="200"/>
        <w:rPr>
          <w:rFonts w:hint="eastAsia" w:ascii="宋体" w:hAnsi="宋体" w:eastAsia="宋体" w:cs="宋体"/>
          <w:color w:val="auto"/>
          <w:szCs w:val="21"/>
          <w:highlight w:val="none"/>
        </w:rPr>
      </w:pPr>
      <w:bookmarkStart w:id="82"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82"/>
    </w:p>
    <w:p w14:paraId="76D32A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5E9B107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595576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3786A3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21CB790">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5144928A">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66669C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470047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2D6225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317E73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39FDF5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55EB1D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66AAE6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0A1EDA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7BF31A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56803E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7723CD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3D785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04DB3E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6B9200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3118DF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24F92A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4E3260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52A4B0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cs="宋体"/>
          <w:color w:val="auto"/>
          <w:szCs w:val="21"/>
          <w:highlight w:val="none"/>
        </w:rPr>
        <w:t>技术需求</w:t>
      </w:r>
      <w:r>
        <w:rPr>
          <w:rFonts w:hint="eastAsia" w:ascii="宋体" w:hAnsi="宋体" w:eastAsia="宋体" w:cs="宋体"/>
          <w:color w:val="auto"/>
          <w:szCs w:val="21"/>
          <w:highlight w:val="none"/>
        </w:rPr>
        <w:t>允许负偏离的条款数超过“供应商须知前附表”规定项数；</w:t>
      </w:r>
    </w:p>
    <w:p w14:paraId="4E1852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558032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74F8C3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433C2E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304586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0BB17B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13EC9E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件中规定的“响应报价表”；</w:t>
      </w:r>
    </w:p>
    <w:p w14:paraId="78DA41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5C3985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48F786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30E65E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4493DF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6）响应文件响应的标的数量及单位与竞争性磋商文件要求实质性不一致的。</w:t>
      </w:r>
    </w:p>
    <w:p w14:paraId="7C23EE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70399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6101A23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2EA12E3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23208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AAAC9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6F342C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334958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007C2B87">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46B224F8">
      <w:pPr>
        <w:pStyle w:val="27"/>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21D844BA">
      <w:pPr>
        <w:pStyle w:val="27"/>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5930B842">
      <w:pPr>
        <w:pStyle w:val="27"/>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78DCAA01">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36BF702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77719A4B">
      <w:pPr>
        <w:spacing w:line="360" w:lineRule="auto"/>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1C79A8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0557B2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0DCB32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45A819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45BC27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4DFF1B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24D0A0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26CF9C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1713A1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42473A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60024E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3F914B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5C3BDE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2C47C8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74F08B23">
      <w:pPr>
        <w:spacing w:line="360" w:lineRule="auto"/>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6CED4B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599C6B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617EB5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5FADE2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6F4E92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01EFB1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7BCBF68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44873F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FFBEC55">
      <w:pPr>
        <w:spacing w:line="360" w:lineRule="auto"/>
        <w:ind w:firstLine="0" w:firstLineChars="0"/>
        <w:rPr>
          <w:rFonts w:hint="eastAsia" w:ascii="宋体" w:hAnsi="宋体" w:eastAsia="宋体" w:cs="Times New Roman"/>
          <w:color w:val="auto"/>
          <w:szCs w:val="21"/>
          <w:highlight w:val="none"/>
        </w:rPr>
      </w:pPr>
      <w:r>
        <w:rPr>
          <w:rFonts w:hint="eastAsia" w:ascii="黑体" w:hAnsi="黑体" w:eastAsia="黑体" w:cs="宋体"/>
          <w:b/>
          <w:bCs/>
          <w:color w:val="auto"/>
          <w:sz w:val="24"/>
          <w:highlight w:val="none"/>
        </w:rPr>
        <w:t>7.评审复核</w:t>
      </w:r>
    </w:p>
    <w:p w14:paraId="7C169DDA">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7.1评审报告签署前，评审委员会要对评审结果进行复核，复核意见要体现在评审报告中。</w:t>
      </w:r>
    </w:p>
    <w:p w14:paraId="03D05DF2">
      <w:pPr>
        <w:spacing w:line="360" w:lineRule="auto"/>
        <w:ind w:firstLine="409" w:firstLineChars="195"/>
        <w:rPr>
          <w:rFonts w:hint="eastAsia" w:ascii="宋体" w:hAnsi="宋体" w:eastAsia="宋体" w:cs="宋体"/>
          <w:b/>
          <w:bCs/>
          <w:color w:val="auto"/>
          <w:sz w:val="24"/>
          <w:highlight w:val="none"/>
        </w:rPr>
      </w:pPr>
      <w:r>
        <w:rPr>
          <w:rFonts w:hint="eastAsia" w:ascii="宋体" w:hAnsi="宋体" w:eastAsia="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6A6FA16E">
      <w:pPr>
        <w:spacing w:line="360" w:lineRule="auto"/>
        <w:ind w:firstLine="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.评审标准</w:t>
      </w:r>
    </w:p>
    <w:p w14:paraId="12316895">
      <w:pPr>
        <w:spacing w:line="360" w:lineRule="auto"/>
        <w:ind w:firstLine="420" w:firstLineChars="200"/>
        <w:rPr>
          <w:rFonts w:hint="eastAsia" w:ascii="宋体" w:hAnsi="宋体" w:eastAsia="宋体" w:cs="Times New Roman"/>
          <w:color w:val="auto"/>
          <w:szCs w:val="21"/>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宋体" w:hAnsi="宋体" w:eastAsia="宋体" w:cs="Times New Roman"/>
          <w:color w:val="auto"/>
          <w:szCs w:val="21"/>
          <w:highlight w:val="none"/>
        </w:rPr>
        <w:t>8.1评审依据：磋商小组将以磋商响应文件为评审依据，对供应商的报价、技术、商务等方面内容按百分制打分。（计分方法按四舍五入取至百分位）</w:t>
      </w:r>
    </w:p>
    <w:tbl>
      <w:tblPr>
        <w:tblStyle w:val="23"/>
        <w:tblpPr w:leftFromText="180" w:rightFromText="180" w:vertAnchor="text" w:horzAnchor="page" w:tblpX="1232" w:tblpY="227"/>
        <w:tblOverlap w:val="never"/>
        <w:tblW w:w="9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420"/>
        <w:gridCol w:w="1200"/>
        <w:gridCol w:w="6392"/>
        <w:gridCol w:w="840"/>
      </w:tblGrid>
      <w:tr w14:paraId="6778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574" w:type="dxa"/>
            <w:noWrap w:val="0"/>
            <w:vAlign w:val="center"/>
          </w:tcPr>
          <w:p w14:paraId="0822115A">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620" w:type="dxa"/>
            <w:gridSpan w:val="2"/>
            <w:noWrap w:val="0"/>
            <w:vAlign w:val="center"/>
          </w:tcPr>
          <w:p w14:paraId="1480069A">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6392" w:type="dxa"/>
            <w:noWrap w:val="0"/>
            <w:vAlign w:val="center"/>
          </w:tcPr>
          <w:p w14:paraId="2DA646DB">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评审因素具体内容</w:t>
            </w:r>
          </w:p>
        </w:tc>
        <w:tc>
          <w:tcPr>
            <w:tcW w:w="840" w:type="dxa"/>
            <w:noWrap w:val="0"/>
            <w:vAlign w:val="center"/>
          </w:tcPr>
          <w:p w14:paraId="6EE0D5BC">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534E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74" w:type="dxa"/>
            <w:noWrap w:val="0"/>
            <w:vAlign w:val="center"/>
          </w:tcPr>
          <w:p w14:paraId="7F31FF57">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620" w:type="dxa"/>
            <w:gridSpan w:val="2"/>
            <w:noWrap w:val="0"/>
            <w:vAlign w:val="center"/>
          </w:tcPr>
          <w:p w14:paraId="6D7D8D43">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Cs w:val="21"/>
                <w:highlight w:val="none"/>
              </w:rPr>
            </w:pPr>
          </w:p>
          <w:p w14:paraId="56EF7AE1">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Cs w:val="21"/>
                <w:highlight w:val="none"/>
              </w:rPr>
            </w:pPr>
          </w:p>
          <w:p w14:paraId="530D3E97">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Cs w:val="21"/>
                <w:highlight w:val="none"/>
              </w:rPr>
            </w:pPr>
          </w:p>
          <w:p w14:paraId="74F19DA9">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Cs w:val="21"/>
                <w:highlight w:val="none"/>
              </w:rPr>
            </w:pPr>
          </w:p>
          <w:p w14:paraId="28E57913">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Cs w:val="21"/>
                <w:highlight w:val="none"/>
              </w:rPr>
            </w:pPr>
          </w:p>
          <w:p w14:paraId="5610E186">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Cs w:val="21"/>
                <w:highlight w:val="none"/>
              </w:rPr>
            </w:pPr>
          </w:p>
          <w:p w14:paraId="433A54E6">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价格分</w:t>
            </w:r>
          </w:p>
        </w:tc>
        <w:tc>
          <w:tcPr>
            <w:tcW w:w="6392" w:type="dxa"/>
            <w:noWrap w:val="0"/>
            <w:vAlign w:val="center"/>
          </w:tcPr>
          <w:p w14:paraId="430696BE">
            <w:pPr>
              <w:pageBreakBefore w:val="0"/>
              <w:kinsoku/>
              <w:topLinePunct w:val="0"/>
              <w:bidi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（1）评标报价为</w:t>
            </w:r>
            <w:r>
              <w:rPr>
                <w:rFonts w:hint="eastAsia" w:ascii="宋体" w:hAnsi="宋体" w:eastAsia="宋体" w:cs="Times New Roman"/>
                <w:bCs/>
                <w:color w:val="auto"/>
                <w:szCs w:val="21"/>
                <w:highlight w:val="none"/>
                <w:lang w:eastAsia="zh-CN"/>
              </w:rPr>
              <w:t>响应</w:t>
            </w:r>
            <w:r>
              <w:rPr>
                <w:rFonts w:hint="eastAsia" w:ascii="宋体" w:hAnsi="宋体" w:eastAsia="宋体" w:cs="Times New Roman"/>
                <w:bCs/>
                <w:color w:val="auto"/>
                <w:szCs w:val="21"/>
                <w:highlight w:val="none"/>
              </w:rPr>
              <w:t>人的</w:t>
            </w:r>
            <w:r>
              <w:rPr>
                <w:rFonts w:hint="eastAsia" w:ascii="宋体" w:hAnsi="宋体" w:eastAsia="宋体" w:cs="Times New Roman"/>
                <w:bCs/>
                <w:color w:val="auto"/>
                <w:szCs w:val="21"/>
                <w:highlight w:val="none"/>
                <w:lang w:eastAsia="zh-CN"/>
              </w:rPr>
              <w:t>响应</w:t>
            </w:r>
            <w:r>
              <w:rPr>
                <w:rFonts w:hint="eastAsia" w:ascii="宋体" w:hAnsi="宋体" w:eastAsia="宋体" w:cs="Times New Roman"/>
                <w:bCs/>
                <w:color w:val="auto"/>
                <w:szCs w:val="21"/>
                <w:highlight w:val="none"/>
              </w:rPr>
              <w:t>报价进行政策性扣除后的价格，评标报价只是作为评标时使用。最终</w:t>
            </w:r>
            <w:r>
              <w:rPr>
                <w:rFonts w:hint="eastAsia" w:ascii="宋体" w:hAnsi="宋体" w:eastAsia="宋体" w:cs="Times New Roman"/>
                <w:bCs/>
                <w:color w:val="auto"/>
                <w:szCs w:val="21"/>
                <w:highlight w:val="none"/>
                <w:lang w:val="en-US" w:eastAsia="zh-CN"/>
              </w:rPr>
              <w:t>成交</w:t>
            </w:r>
            <w:r>
              <w:rPr>
                <w:rFonts w:hint="eastAsia" w:ascii="宋体" w:hAnsi="宋体" w:eastAsia="宋体" w:cs="Times New Roman"/>
                <w:bCs/>
                <w:color w:val="auto"/>
                <w:szCs w:val="21"/>
                <w:highlight w:val="none"/>
              </w:rPr>
              <w:t>人的</w:t>
            </w:r>
            <w:r>
              <w:rPr>
                <w:rFonts w:hint="eastAsia" w:ascii="宋体" w:hAnsi="宋体" w:eastAsia="宋体" w:cs="Times New Roman"/>
                <w:bCs/>
                <w:color w:val="auto"/>
                <w:szCs w:val="21"/>
                <w:highlight w:val="none"/>
                <w:lang w:val="en-US" w:eastAsia="zh-CN"/>
              </w:rPr>
              <w:t>成交</w:t>
            </w:r>
            <w:r>
              <w:rPr>
                <w:rFonts w:hint="eastAsia" w:ascii="宋体" w:hAnsi="宋体" w:eastAsia="宋体" w:cs="Times New Roman"/>
                <w:bCs/>
                <w:color w:val="auto"/>
                <w:szCs w:val="21"/>
                <w:highlight w:val="none"/>
              </w:rPr>
              <w:t>金额等于</w:t>
            </w:r>
            <w:r>
              <w:rPr>
                <w:rFonts w:hint="eastAsia" w:ascii="宋体" w:hAnsi="宋体" w:eastAsia="宋体" w:cs="Times New Roman"/>
                <w:bCs/>
                <w:color w:val="auto"/>
                <w:szCs w:val="21"/>
                <w:highlight w:val="none"/>
                <w:lang w:eastAsia="zh-CN"/>
              </w:rPr>
              <w:t>响应</w:t>
            </w:r>
            <w:r>
              <w:rPr>
                <w:rFonts w:hint="eastAsia" w:ascii="宋体" w:hAnsi="宋体" w:eastAsia="宋体" w:cs="Times New Roman"/>
                <w:bCs/>
                <w:color w:val="auto"/>
                <w:szCs w:val="21"/>
                <w:highlight w:val="none"/>
              </w:rPr>
              <w:t>报价。</w:t>
            </w:r>
          </w:p>
          <w:p w14:paraId="40D0C876">
            <w:pPr>
              <w:pageBreakBefore w:val="0"/>
              <w:kinsoku/>
              <w:topLinePunct w:val="0"/>
              <w:bidi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（2）按照《政府采购促进中小企业发展管理办法》（财库〔2020〕46号）的规定，</w:t>
            </w:r>
            <w:r>
              <w:rPr>
                <w:rFonts w:hint="eastAsia" w:ascii="宋体" w:hAnsi="宋体" w:eastAsia="宋体" w:cs="Times New Roman"/>
                <w:bCs/>
                <w:color w:val="auto"/>
                <w:szCs w:val="21"/>
                <w:highlight w:val="none"/>
                <w:lang w:eastAsia="zh-CN"/>
              </w:rPr>
              <w:t>响应</w:t>
            </w:r>
            <w:r>
              <w:rPr>
                <w:rFonts w:hint="eastAsia" w:ascii="宋体" w:hAnsi="宋体" w:eastAsia="宋体" w:cs="Times New Roman"/>
                <w:bCs/>
                <w:color w:val="auto"/>
                <w:szCs w:val="21"/>
                <w:highlight w:val="none"/>
              </w:rPr>
              <w:t>人在其</w:t>
            </w:r>
            <w:r>
              <w:rPr>
                <w:rFonts w:hint="eastAsia" w:ascii="宋体" w:hAnsi="宋体" w:eastAsia="宋体" w:cs="Times New Roman"/>
                <w:bCs/>
                <w:color w:val="auto"/>
                <w:szCs w:val="21"/>
                <w:highlight w:val="none"/>
                <w:lang w:eastAsia="zh-CN"/>
              </w:rPr>
              <w:t>响应</w:t>
            </w:r>
            <w:r>
              <w:rPr>
                <w:rFonts w:hint="eastAsia" w:ascii="宋体" w:hAnsi="宋体" w:eastAsia="宋体" w:cs="Times New Roman"/>
                <w:bCs/>
                <w:color w:val="auto"/>
                <w:szCs w:val="21"/>
                <w:highlight w:val="none"/>
              </w:rPr>
              <w:t>文件中提供《中小企业声明函》，且其服务为小型和微型企业承接的，对其最后报价给予</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%的扣除。</w:t>
            </w:r>
          </w:p>
          <w:p w14:paraId="6C8DF8C3">
            <w:pPr>
              <w:pageBreakBefore w:val="0"/>
              <w:kinsoku/>
              <w:topLinePunct w:val="0"/>
              <w:bidi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2B30ED0">
            <w:pPr>
              <w:pageBreakBefore w:val="0"/>
              <w:kinsoku/>
              <w:topLinePunct w:val="0"/>
              <w:bidi w:val="0"/>
              <w:spacing w:line="360" w:lineRule="auto"/>
              <w:ind w:firstLine="420" w:firstLineChars="200"/>
              <w:rPr>
                <w:rFonts w:hint="eastAsia" w:hAnsi="宋体" w:cs="Courier New"/>
                <w:b w:val="0"/>
                <w:bCs/>
                <w:color w:val="auto"/>
                <w:kern w:val="2"/>
                <w:sz w:val="21"/>
                <w:highlight w:val="none"/>
              </w:rPr>
            </w:pPr>
            <w:r>
              <w:rPr>
                <w:rFonts w:hint="eastAsia" w:ascii="宋体" w:hAnsi="宋体" w:eastAsia="宋体" w:cs="Times New Roman"/>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7D03193">
            <w:pPr>
              <w:pStyle w:val="14"/>
              <w:keepNext w:val="0"/>
              <w:keepLines w:val="0"/>
              <w:pageBreakBefore w:val="0"/>
              <w:kinsoku/>
              <w:wordWrap/>
              <w:overflowPunct/>
              <w:topLinePunct w:val="0"/>
              <w:bidi w:val="0"/>
              <w:spacing w:line="400" w:lineRule="exact"/>
              <w:ind w:firstLine="210" w:firstLineChars="100"/>
              <w:jc w:val="left"/>
              <w:textAlignment w:val="auto"/>
              <w:rPr>
                <w:rFonts w:hint="eastAsia" w:hAnsi="宋体" w:cs="Courier New"/>
                <w:b w:val="0"/>
                <w:bCs/>
                <w:color w:val="auto"/>
                <w:kern w:val="2"/>
                <w:sz w:val="21"/>
                <w:highlight w:val="none"/>
              </w:rPr>
            </w:pPr>
            <w:r>
              <w:rPr>
                <w:rFonts w:hint="eastAsia" w:hAnsi="宋体" w:cs="Courier New"/>
                <w:b w:val="0"/>
                <w:bCs/>
                <w:color w:val="auto"/>
                <w:kern w:val="2"/>
                <w:sz w:val="21"/>
                <w:highlight w:val="none"/>
                <w:lang w:eastAsia="zh-CN"/>
              </w:rPr>
              <w:t>（</w:t>
            </w:r>
            <w:r>
              <w:rPr>
                <w:rFonts w:hint="eastAsia" w:hAnsi="宋体" w:cs="Courier New"/>
                <w:b w:val="0"/>
                <w:bCs/>
                <w:color w:val="auto"/>
                <w:kern w:val="2"/>
                <w:sz w:val="21"/>
                <w:highlight w:val="none"/>
                <w:lang w:val="en-US" w:eastAsia="zh-CN"/>
              </w:rPr>
              <w:t>5</w:t>
            </w:r>
            <w:r>
              <w:rPr>
                <w:rFonts w:hint="eastAsia" w:hAnsi="宋体" w:cs="Courier New"/>
                <w:b w:val="0"/>
                <w:bCs/>
                <w:color w:val="auto"/>
                <w:kern w:val="2"/>
                <w:sz w:val="21"/>
                <w:highlight w:val="none"/>
                <w:lang w:eastAsia="zh-CN"/>
              </w:rPr>
              <w:t>）</w:t>
            </w:r>
            <w:r>
              <w:rPr>
                <w:rFonts w:hint="eastAsia" w:hAnsi="宋体" w:cs="Courier New"/>
                <w:b w:val="0"/>
                <w:bCs/>
                <w:color w:val="auto"/>
                <w:kern w:val="2"/>
                <w:sz w:val="21"/>
                <w:highlight w:val="none"/>
              </w:rPr>
              <w:t>政策性扣除计算方法：</w:t>
            </w:r>
            <w:r>
              <w:rPr>
                <w:rFonts w:hint="eastAsia" w:ascii="宋体" w:hAnsi="宋体" w:eastAsia="宋体" w:cs="宋体"/>
                <w:b w:val="0"/>
                <w:bCs/>
                <w:color w:val="auto"/>
                <w:sz w:val="21"/>
                <w:szCs w:val="21"/>
                <w:highlight w:val="none"/>
              </w:rPr>
              <w:t>本项目专门面向</w:t>
            </w:r>
            <w:r>
              <w:rPr>
                <w:rFonts w:hint="eastAsia" w:hAnsi="宋体" w:cs="宋体"/>
                <w:b w:val="0"/>
                <w:bCs/>
                <w:color w:val="auto"/>
                <w:sz w:val="21"/>
                <w:szCs w:val="21"/>
                <w:highlight w:val="none"/>
                <w:lang w:val="en-US" w:eastAsia="zh-CN"/>
              </w:rPr>
              <w:t>中小</w:t>
            </w:r>
            <w:r>
              <w:rPr>
                <w:rFonts w:hint="eastAsia" w:ascii="宋体" w:hAnsi="宋体" w:eastAsia="宋体" w:cs="宋体"/>
                <w:b w:val="0"/>
                <w:bCs/>
                <w:color w:val="auto"/>
                <w:sz w:val="21"/>
                <w:szCs w:val="21"/>
                <w:highlight w:val="none"/>
              </w:rPr>
              <w:t>企业采购</w:t>
            </w:r>
            <w:r>
              <w:rPr>
                <w:rFonts w:hint="eastAsia" w:hAnsi="宋体" w:cs="Courier New"/>
                <w:b w:val="0"/>
                <w:bCs/>
                <w:color w:val="auto"/>
                <w:kern w:val="2"/>
                <w:sz w:val="21"/>
                <w:highlight w:val="none"/>
              </w:rPr>
              <w:t>，按照《政府采购促进中小企业发展管理办法》（财库〔2020〕46号）规定及《广西壮族自治区财政厅关于进一步发挥政府采购政策功能促进企业发展的通知》（桂财采〔2022〕30号），</w:t>
            </w:r>
            <w:r>
              <w:rPr>
                <w:rFonts w:hint="eastAsia" w:hAnsi="宋体" w:cs="Courier New"/>
                <w:b w:val="0"/>
                <w:bCs/>
                <w:color w:val="auto"/>
                <w:kern w:val="2"/>
                <w:sz w:val="21"/>
                <w:highlight w:val="none"/>
                <w:lang w:val="en-US" w:eastAsia="zh-CN"/>
              </w:rPr>
              <w:t>中小</w:t>
            </w:r>
            <w:r>
              <w:rPr>
                <w:rFonts w:hint="eastAsia" w:hAnsi="宋体" w:cs="Courier New"/>
                <w:b w:val="0"/>
                <w:bCs/>
                <w:color w:val="auto"/>
                <w:kern w:val="2"/>
                <w:sz w:val="21"/>
                <w:highlight w:val="none"/>
              </w:rPr>
              <w:t>企业、监狱企业、残疾人福利性单位不再执行价格评审优惠的扶持政策。</w:t>
            </w:r>
          </w:p>
          <w:p w14:paraId="01A5A964">
            <w:pPr>
              <w:pStyle w:val="14"/>
              <w:keepNext w:val="0"/>
              <w:keepLines w:val="0"/>
              <w:pageBreakBefore w:val="0"/>
              <w:kinsoku/>
              <w:wordWrap/>
              <w:overflowPunct/>
              <w:topLinePunct w:val="0"/>
              <w:bidi w:val="0"/>
              <w:spacing w:line="400" w:lineRule="exact"/>
              <w:ind w:firstLine="210" w:firstLineChars="100"/>
              <w:jc w:val="left"/>
              <w:textAlignment w:val="auto"/>
              <w:rPr>
                <w:rFonts w:hint="eastAsia" w:hAnsi="宋体" w:cs="Courier New"/>
                <w:b w:val="0"/>
                <w:bCs/>
                <w:color w:val="auto"/>
                <w:kern w:val="2"/>
                <w:sz w:val="21"/>
                <w:highlight w:val="none"/>
              </w:rPr>
            </w:pPr>
            <w:r>
              <w:rPr>
                <w:rFonts w:hint="eastAsia" w:hAnsi="宋体" w:cs="Courier New"/>
                <w:b w:val="0"/>
                <w:bCs/>
                <w:color w:val="auto"/>
                <w:kern w:val="2"/>
                <w:sz w:val="21"/>
                <w:highlight w:val="none"/>
                <w:lang w:eastAsia="zh-CN"/>
              </w:rPr>
              <w:t>（</w:t>
            </w:r>
            <w:r>
              <w:rPr>
                <w:rFonts w:hint="eastAsia" w:hAnsi="宋体" w:cs="Courier New"/>
                <w:b w:val="0"/>
                <w:bCs/>
                <w:color w:val="auto"/>
                <w:kern w:val="2"/>
                <w:sz w:val="21"/>
                <w:highlight w:val="none"/>
                <w:lang w:val="en-US" w:eastAsia="zh-CN"/>
              </w:rPr>
              <w:t>6</w:t>
            </w:r>
            <w:r>
              <w:rPr>
                <w:rFonts w:hint="eastAsia" w:hAnsi="宋体" w:cs="Courier New"/>
                <w:b w:val="0"/>
                <w:bCs/>
                <w:color w:val="auto"/>
                <w:kern w:val="2"/>
                <w:sz w:val="21"/>
                <w:highlight w:val="none"/>
                <w:lang w:eastAsia="zh-CN"/>
              </w:rPr>
              <w:t>）</w:t>
            </w:r>
            <w:r>
              <w:rPr>
                <w:rFonts w:hint="eastAsia" w:hAnsi="宋体" w:cs="Courier New"/>
                <w:b w:val="0"/>
                <w:bCs/>
                <w:color w:val="auto"/>
                <w:kern w:val="2"/>
                <w:sz w:val="21"/>
                <w:highlight w:val="none"/>
              </w:rPr>
              <w:t>以</w:t>
            </w:r>
            <w:r>
              <w:rPr>
                <w:rFonts w:hint="eastAsia" w:hAnsi="宋体" w:cs="Courier New"/>
                <w:b w:val="0"/>
                <w:bCs/>
                <w:color w:val="auto"/>
                <w:kern w:val="2"/>
                <w:sz w:val="21"/>
                <w:highlight w:val="none"/>
                <w:lang w:val="en-US" w:eastAsia="zh-CN"/>
              </w:rPr>
              <w:t>通过评审供应商</w:t>
            </w:r>
            <w:r>
              <w:rPr>
                <w:rFonts w:hint="eastAsia" w:hAnsi="宋体" w:cs="Courier New"/>
                <w:b w:val="0"/>
                <w:bCs/>
                <w:color w:val="auto"/>
                <w:kern w:val="2"/>
                <w:sz w:val="21"/>
                <w:highlight w:val="none"/>
              </w:rPr>
              <w:t>最低的最终报价为评标基准价，即指满足采购文件要求且价格最低的最终报价。</w:t>
            </w:r>
          </w:p>
          <w:p w14:paraId="1CBE65E9">
            <w:pPr>
              <w:pStyle w:val="14"/>
              <w:keepNext w:val="0"/>
              <w:keepLines w:val="0"/>
              <w:pageBreakBefore w:val="0"/>
              <w:kinsoku/>
              <w:wordWrap/>
              <w:overflowPunct/>
              <w:topLinePunct w:val="0"/>
              <w:bidi w:val="0"/>
              <w:spacing w:line="400" w:lineRule="exact"/>
              <w:ind w:firstLine="210" w:firstLineChars="100"/>
              <w:jc w:val="left"/>
              <w:textAlignment w:val="auto"/>
              <w:rPr>
                <w:rFonts w:hint="eastAsia" w:ascii="宋体" w:hAnsi="宋体" w:cs="宋体"/>
                <w:b w:val="0"/>
                <w:bCs/>
                <w:color w:val="auto"/>
                <w:szCs w:val="21"/>
                <w:highlight w:val="none"/>
              </w:rPr>
            </w:pPr>
            <w:r>
              <w:rPr>
                <w:rFonts w:hint="eastAsia" w:hAnsi="宋体" w:cs="Courier New"/>
                <w:b w:val="0"/>
                <w:bCs/>
                <w:color w:val="auto"/>
                <w:kern w:val="2"/>
                <w:sz w:val="21"/>
                <w:highlight w:val="none"/>
                <w:lang w:eastAsia="zh-CN"/>
              </w:rPr>
              <w:t>（</w:t>
            </w:r>
            <w:r>
              <w:rPr>
                <w:rFonts w:hint="eastAsia" w:hAnsi="宋体" w:cs="Courier New"/>
                <w:b w:val="0"/>
                <w:bCs/>
                <w:color w:val="auto"/>
                <w:kern w:val="2"/>
                <w:sz w:val="21"/>
                <w:highlight w:val="none"/>
                <w:lang w:val="en-US" w:eastAsia="zh-CN"/>
              </w:rPr>
              <w:t>7</w:t>
            </w:r>
            <w:r>
              <w:rPr>
                <w:rFonts w:hint="eastAsia" w:hAnsi="宋体" w:cs="Courier New"/>
                <w:b w:val="0"/>
                <w:bCs/>
                <w:color w:val="auto"/>
                <w:kern w:val="2"/>
                <w:sz w:val="21"/>
                <w:highlight w:val="none"/>
                <w:lang w:eastAsia="zh-CN"/>
              </w:rPr>
              <w:t>）</w:t>
            </w:r>
            <w:r>
              <w:rPr>
                <w:rFonts w:hint="eastAsia" w:hAnsi="宋体" w:cs="Courier New"/>
                <w:b w:val="0"/>
                <w:bCs/>
                <w:color w:val="auto"/>
                <w:kern w:val="2"/>
                <w:sz w:val="21"/>
                <w:highlight w:val="none"/>
              </w:rPr>
              <w:t>某供应商价格分=(评标基准价/某供应商的最终报价)×</w:t>
            </w:r>
            <w:r>
              <w:rPr>
                <w:rFonts w:hint="eastAsia" w:hAnsi="宋体" w:cs="Courier New"/>
                <w:b w:val="0"/>
                <w:bCs/>
                <w:color w:val="auto"/>
                <w:kern w:val="2"/>
                <w:sz w:val="21"/>
                <w:highlight w:val="none"/>
                <w:lang w:val="en-US" w:eastAsia="zh-CN"/>
              </w:rPr>
              <w:t>10</w:t>
            </w:r>
            <w:r>
              <w:rPr>
                <w:rFonts w:hint="eastAsia" w:hAnsi="宋体" w:cs="Courier New"/>
                <w:b w:val="0"/>
                <w:bCs/>
                <w:color w:val="auto"/>
                <w:kern w:val="2"/>
                <w:sz w:val="21"/>
                <w:highlight w:val="none"/>
              </w:rPr>
              <w:t>分</w:t>
            </w:r>
          </w:p>
        </w:tc>
        <w:tc>
          <w:tcPr>
            <w:tcW w:w="840" w:type="dxa"/>
            <w:noWrap w:val="0"/>
            <w:vAlign w:val="center"/>
          </w:tcPr>
          <w:p w14:paraId="0B263412">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Cs w:val="21"/>
                <w:highlight w:val="none"/>
                <w:lang w:val="en-US" w:eastAsia="zh-CN"/>
              </w:rPr>
            </w:pPr>
          </w:p>
          <w:p w14:paraId="143D7431">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Cs w:val="21"/>
                <w:highlight w:val="none"/>
                <w:lang w:val="en-US" w:eastAsia="zh-CN"/>
              </w:rPr>
            </w:pPr>
          </w:p>
          <w:p w14:paraId="64D64518">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Cs w:val="21"/>
                <w:highlight w:val="none"/>
                <w:lang w:val="en-US" w:eastAsia="zh-CN"/>
              </w:rPr>
            </w:pPr>
          </w:p>
          <w:p w14:paraId="0B6CBF34">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Cs w:val="21"/>
                <w:highlight w:val="none"/>
                <w:lang w:val="en-US" w:eastAsia="zh-CN"/>
              </w:rPr>
            </w:pPr>
          </w:p>
          <w:p w14:paraId="58E8628B">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Cs w:val="21"/>
                <w:highlight w:val="none"/>
                <w:lang w:val="en-US" w:eastAsia="zh-CN"/>
              </w:rPr>
            </w:pPr>
          </w:p>
          <w:p w14:paraId="693FF894">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Cs w:val="21"/>
                <w:highlight w:val="none"/>
                <w:lang w:val="en-US" w:eastAsia="zh-CN"/>
              </w:rPr>
            </w:pPr>
          </w:p>
          <w:p w14:paraId="1EBDED6F">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lang w:val="en-US" w:eastAsia="zh-CN"/>
              </w:rPr>
              <w:t>10</w:t>
            </w:r>
            <w:r>
              <w:rPr>
                <w:rFonts w:hint="eastAsia" w:ascii="宋体" w:hAnsi="宋体" w:eastAsia="宋体" w:cs="宋体"/>
                <w:b w:val="0"/>
                <w:bCs/>
                <w:color w:val="auto"/>
                <w:kern w:val="0"/>
                <w:szCs w:val="21"/>
                <w:highlight w:val="none"/>
              </w:rPr>
              <w:t>分</w:t>
            </w:r>
          </w:p>
        </w:tc>
      </w:tr>
      <w:tr w14:paraId="500C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74" w:type="dxa"/>
            <w:noWrap w:val="0"/>
            <w:vAlign w:val="center"/>
          </w:tcPr>
          <w:p w14:paraId="01D64810">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2</w:t>
            </w:r>
          </w:p>
        </w:tc>
        <w:tc>
          <w:tcPr>
            <w:tcW w:w="1620" w:type="dxa"/>
            <w:gridSpan w:val="2"/>
            <w:noWrap w:val="0"/>
            <w:vAlign w:val="center"/>
          </w:tcPr>
          <w:p w14:paraId="607B9E01">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技术分</w:t>
            </w:r>
          </w:p>
        </w:tc>
        <w:tc>
          <w:tcPr>
            <w:tcW w:w="6392" w:type="dxa"/>
            <w:noWrap w:val="0"/>
            <w:vAlign w:val="center"/>
          </w:tcPr>
          <w:p w14:paraId="33F77EF5">
            <w:pPr>
              <w:keepNext w:val="0"/>
              <w:keepLines w:val="0"/>
              <w:pageBreakBefore w:val="0"/>
              <w:widowControl/>
              <w:kinsoku/>
              <w:wordWrap/>
              <w:overflowPunct/>
              <w:topLinePunct w:val="0"/>
              <w:bidi w:val="0"/>
              <w:spacing w:line="400" w:lineRule="exact"/>
              <w:ind w:firstLine="422" w:firstLineChars="200"/>
              <w:jc w:val="center"/>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评审因素</w:t>
            </w:r>
          </w:p>
        </w:tc>
        <w:tc>
          <w:tcPr>
            <w:tcW w:w="840" w:type="dxa"/>
            <w:noWrap w:val="0"/>
            <w:vAlign w:val="top"/>
          </w:tcPr>
          <w:p w14:paraId="1F422817">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80</w:t>
            </w:r>
            <w:r>
              <w:rPr>
                <w:rFonts w:hint="eastAsia" w:ascii="宋体" w:hAnsi="宋体" w:cs="宋体"/>
                <w:b/>
                <w:color w:val="auto"/>
                <w:kern w:val="0"/>
                <w:szCs w:val="21"/>
                <w:highlight w:val="none"/>
              </w:rPr>
              <w:t>分</w:t>
            </w:r>
          </w:p>
        </w:tc>
      </w:tr>
      <w:tr w14:paraId="5BAA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74" w:type="dxa"/>
            <w:vMerge w:val="restart"/>
            <w:noWrap w:val="0"/>
            <w:vAlign w:val="center"/>
          </w:tcPr>
          <w:p w14:paraId="1EA0CE14">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2.1</w:t>
            </w:r>
          </w:p>
        </w:tc>
        <w:tc>
          <w:tcPr>
            <w:tcW w:w="420" w:type="dxa"/>
            <w:vMerge w:val="restart"/>
            <w:noWrap w:val="0"/>
            <w:vAlign w:val="center"/>
          </w:tcPr>
          <w:p w14:paraId="292D2962">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项目管理机构</w:t>
            </w:r>
          </w:p>
        </w:tc>
        <w:tc>
          <w:tcPr>
            <w:tcW w:w="1200" w:type="dxa"/>
            <w:noWrap w:val="0"/>
            <w:vAlign w:val="center"/>
          </w:tcPr>
          <w:p w14:paraId="6B9FC301">
            <w:pPr>
              <w:spacing w:line="360" w:lineRule="auto"/>
              <w:jc w:val="left"/>
              <w:rPr>
                <w:rFonts w:hint="eastAsia" w:ascii="宋体" w:hAnsi="宋体" w:cs="宋体"/>
                <w:b/>
                <w:color w:val="auto"/>
                <w:kern w:val="0"/>
                <w:szCs w:val="21"/>
                <w:highlight w:val="none"/>
              </w:rPr>
            </w:pPr>
            <w:r>
              <w:rPr>
                <w:rFonts w:hint="eastAsia" w:ascii="宋体" w:hAnsi="宋体" w:eastAsia="宋体" w:cs="宋体"/>
                <w:color w:val="auto"/>
                <w:highlight w:val="none"/>
              </w:rPr>
              <w:t>项目经理情况</w:t>
            </w:r>
          </w:p>
        </w:tc>
        <w:tc>
          <w:tcPr>
            <w:tcW w:w="6392" w:type="dxa"/>
            <w:noWrap w:val="0"/>
            <w:vAlign w:val="center"/>
          </w:tcPr>
          <w:p w14:paraId="35B1D396">
            <w:pPr>
              <w:keepNext w:val="0"/>
              <w:keepLines w:val="0"/>
              <w:pageBreakBefore w:val="0"/>
              <w:widowControl/>
              <w:kinsoku/>
              <w:wordWrap/>
              <w:overflowPunct/>
              <w:topLinePunct w:val="0"/>
              <w:bidi w:val="0"/>
              <w:spacing w:line="400" w:lineRule="exact"/>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具备工程类专业中级工程师</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以上</w:t>
            </w:r>
            <w:r>
              <w:rPr>
                <w:rFonts w:hint="eastAsia" w:ascii="宋体" w:hAnsi="宋体" w:cs="宋体"/>
                <w:color w:val="auto"/>
                <w:szCs w:val="21"/>
                <w:highlight w:val="none"/>
                <w:lang w:val="en-US" w:eastAsia="zh-CN"/>
              </w:rPr>
              <w:t>技术</w:t>
            </w:r>
            <w:r>
              <w:rPr>
                <w:rFonts w:hint="eastAsia" w:ascii="宋体" w:hAnsi="宋体" w:eastAsia="宋体" w:cs="宋体"/>
                <w:color w:val="auto"/>
                <w:szCs w:val="21"/>
                <w:highlight w:val="none"/>
              </w:rPr>
              <w:t>职称的得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本项满分</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309D74D6">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注：</w:t>
            </w:r>
            <w:r>
              <w:rPr>
                <w:rFonts w:hint="eastAsia" w:ascii="宋体" w:hAnsi="宋体" w:cs="宋体"/>
                <w:b w:val="0"/>
                <w:bCs w:val="0"/>
                <w:color w:val="auto"/>
                <w:szCs w:val="21"/>
                <w:highlight w:val="none"/>
                <w:lang w:val="en-US" w:eastAsia="zh-CN"/>
              </w:rPr>
              <w:t>供应商须</w:t>
            </w:r>
            <w:r>
              <w:rPr>
                <w:rFonts w:hint="eastAsia" w:ascii="宋体" w:hAnsi="宋体" w:eastAsia="宋体" w:cs="宋体"/>
                <w:b w:val="0"/>
                <w:bCs w:val="0"/>
                <w:color w:val="auto"/>
                <w:szCs w:val="21"/>
                <w:highlight w:val="none"/>
                <w:lang w:val="en-US" w:eastAsia="zh-CN"/>
              </w:rPr>
              <w:t>在响应文件中提供技术负责人的有效职称证书复印件</w:t>
            </w:r>
            <w:r>
              <w:rPr>
                <w:rFonts w:hint="eastAsia" w:ascii="宋体" w:hAnsi="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lang w:val="en-US" w:eastAsia="zh-CN"/>
              </w:rPr>
              <w:t>并附供应商为其缴纳的</w:t>
            </w:r>
            <w:r>
              <w:rPr>
                <w:rFonts w:hint="eastAsia" w:ascii="宋体" w:hAnsi="宋体" w:cs="宋体"/>
                <w:b w:val="0"/>
                <w:bCs w:val="0"/>
                <w:color w:val="auto"/>
                <w:szCs w:val="21"/>
                <w:highlight w:val="none"/>
                <w:lang w:val="en-US" w:eastAsia="zh-CN"/>
              </w:rPr>
              <w:t>2025年1月以来</w:t>
            </w:r>
            <w:r>
              <w:rPr>
                <w:rFonts w:hint="eastAsia" w:ascii="宋体" w:hAnsi="宋体" w:eastAsia="宋体" w:cs="宋体"/>
                <w:b w:val="0"/>
                <w:bCs w:val="0"/>
                <w:color w:val="auto"/>
                <w:szCs w:val="21"/>
                <w:highlight w:val="none"/>
                <w:lang w:val="en-US" w:eastAsia="zh-CN"/>
              </w:rPr>
              <w:t>任意</w:t>
            </w:r>
            <w:r>
              <w:rPr>
                <w:rFonts w:hint="eastAsia" w:ascii="宋体" w:hAnsi="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lang w:val="en-US" w:eastAsia="zh-CN"/>
              </w:rPr>
              <w:t>个月的社保证明或劳动/聘用合同或协议等有效证明材料，否则不得分。</w:t>
            </w:r>
          </w:p>
          <w:p w14:paraId="5F5DEBBD">
            <w:pPr>
              <w:pStyle w:val="16"/>
              <w:rPr>
                <w:rFonts w:hint="eastAsia"/>
                <w:color w:val="auto"/>
                <w:highlight w:val="none"/>
              </w:rPr>
            </w:pPr>
          </w:p>
        </w:tc>
        <w:tc>
          <w:tcPr>
            <w:tcW w:w="840" w:type="dxa"/>
            <w:noWrap w:val="0"/>
            <w:vAlign w:val="top"/>
          </w:tcPr>
          <w:p w14:paraId="651F2E2E">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Cs w:val="21"/>
                <w:highlight w:val="none"/>
                <w:lang w:val="en-US" w:eastAsia="zh-CN"/>
              </w:rPr>
            </w:pPr>
            <w:r>
              <w:rPr>
                <w:rFonts w:hint="eastAsia" w:hAnsi="宋体" w:cs="Courier New"/>
                <w:bCs/>
                <w:color w:val="auto"/>
                <w:kern w:val="2"/>
                <w:sz w:val="21"/>
                <w:szCs w:val="21"/>
                <w:highlight w:val="none"/>
                <w:lang w:val="en-US" w:eastAsia="zh-CN"/>
              </w:rPr>
              <w:t>0~</w:t>
            </w:r>
            <w:r>
              <w:rPr>
                <w:rFonts w:hint="eastAsia" w:ascii="宋体" w:hAnsi="宋体" w:cs="宋体"/>
                <w:b w:val="0"/>
                <w:bCs/>
                <w:color w:val="auto"/>
                <w:kern w:val="0"/>
                <w:szCs w:val="21"/>
                <w:highlight w:val="none"/>
                <w:lang w:val="en-US" w:eastAsia="zh-CN"/>
              </w:rPr>
              <w:t>3分（客观分）</w:t>
            </w:r>
          </w:p>
        </w:tc>
      </w:tr>
      <w:tr w14:paraId="3BE6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74" w:type="dxa"/>
            <w:vMerge w:val="continue"/>
            <w:noWrap w:val="0"/>
            <w:vAlign w:val="center"/>
          </w:tcPr>
          <w:p w14:paraId="60BE7698">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Cs w:val="21"/>
                <w:highlight w:val="none"/>
              </w:rPr>
            </w:pPr>
          </w:p>
        </w:tc>
        <w:tc>
          <w:tcPr>
            <w:tcW w:w="420" w:type="dxa"/>
            <w:vMerge w:val="continue"/>
            <w:noWrap w:val="0"/>
            <w:vAlign w:val="center"/>
          </w:tcPr>
          <w:p w14:paraId="23891EF0">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Cs w:val="21"/>
                <w:highlight w:val="none"/>
              </w:rPr>
            </w:pPr>
          </w:p>
        </w:tc>
        <w:tc>
          <w:tcPr>
            <w:tcW w:w="1200" w:type="dxa"/>
            <w:noWrap w:val="0"/>
            <w:vAlign w:val="center"/>
          </w:tcPr>
          <w:p w14:paraId="3F180B28">
            <w:pPr>
              <w:spacing w:line="360" w:lineRule="auto"/>
              <w:jc w:val="left"/>
              <w:rPr>
                <w:rFonts w:hint="eastAsia" w:ascii="宋体" w:hAnsi="宋体" w:cs="宋体"/>
                <w:b/>
                <w:color w:val="auto"/>
                <w:kern w:val="0"/>
                <w:szCs w:val="21"/>
                <w:highlight w:val="none"/>
              </w:rPr>
            </w:pPr>
            <w:r>
              <w:rPr>
                <w:rFonts w:hint="eastAsia" w:ascii="宋体" w:hAnsi="宋体" w:eastAsia="宋体" w:cs="宋体"/>
                <w:color w:val="auto"/>
                <w:highlight w:val="none"/>
              </w:rPr>
              <w:t>技术负责人情况</w:t>
            </w:r>
          </w:p>
        </w:tc>
        <w:tc>
          <w:tcPr>
            <w:tcW w:w="6392" w:type="dxa"/>
            <w:noWrap w:val="0"/>
            <w:vAlign w:val="center"/>
          </w:tcPr>
          <w:p w14:paraId="67D9C6CC">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具备工程类专业中级工程师</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以上</w:t>
            </w:r>
            <w:r>
              <w:rPr>
                <w:rFonts w:hint="eastAsia" w:ascii="宋体" w:hAnsi="宋体" w:cs="宋体"/>
                <w:color w:val="auto"/>
                <w:szCs w:val="21"/>
                <w:highlight w:val="none"/>
                <w:lang w:val="en-US" w:eastAsia="zh-CN"/>
              </w:rPr>
              <w:t>技术</w:t>
            </w:r>
            <w:r>
              <w:rPr>
                <w:rFonts w:hint="eastAsia" w:ascii="宋体" w:hAnsi="宋体" w:eastAsia="宋体" w:cs="宋体"/>
                <w:color w:val="auto"/>
                <w:szCs w:val="21"/>
                <w:highlight w:val="none"/>
              </w:rPr>
              <w:t>职称的得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本项满分</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技术负责人和项目经理为不相同的两个人</w:t>
            </w:r>
            <w:r>
              <w:rPr>
                <w:rFonts w:hint="eastAsia" w:ascii="宋体" w:hAnsi="宋体" w:eastAsia="宋体" w:cs="宋体"/>
                <w:b w:val="0"/>
                <w:bCs w:val="0"/>
                <w:color w:val="auto"/>
                <w:szCs w:val="21"/>
                <w:highlight w:val="none"/>
                <w:lang w:eastAsia="zh-CN"/>
              </w:rPr>
              <w:t>）</w:t>
            </w:r>
          </w:p>
          <w:p w14:paraId="52FDC170">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cs="宋体"/>
                <w:b/>
                <w:color w:val="auto"/>
                <w:kern w:val="0"/>
                <w:szCs w:val="21"/>
                <w:highlight w:val="none"/>
              </w:rPr>
            </w:pPr>
            <w:r>
              <w:rPr>
                <w:rFonts w:hint="eastAsia" w:ascii="宋体" w:hAnsi="宋体" w:eastAsia="宋体" w:cs="宋体"/>
                <w:b w:val="0"/>
                <w:bCs w:val="0"/>
                <w:color w:val="auto"/>
                <w:szCs w:val="21"/>
                <w:highlight w:val="none"/>
                <w:lang w:val="en-US" w:eastAsia="zh-CN"/>
              </w:rPr>
              <w:t>注：</w:t>
            </w:r>
            <w:r>
              <w:rPr>
                <w:rFonts w:hint="eastAsia" w:ascii="宋体" w:hAnsi="宋体" w:cs="宋体"/>
                <w:b w:val="0"/>
                <w:bCs w:val="0"/>
                <w:color w:val="auto"/>
                <w:szCs w:val="21"/>
                <w:highlight w:val="none"/>
                <w:lang w:val="en-US" w:eastAsia="zh-CN"/>
              </w:rPr>
              <w:t>供应商须</w:t>
            </w:r>
            <w:r>
              <w:rPr>
                <w:rFonts w:hint="eastAsia" w:ascii="宋体" w:hAnsi="宋体" w:eastAsia="宋体" w:cs="宋体"/>
                <w:b w:val="0"/>
                <w:bCs w:val="0"/>
                <w:color w:val="auto"/>
                <w:szCs w:val="21"/>
                <w:highlight w:val="none"/>
                <w:lang w:val="en-US" w:eastAsia="zh-CN"/>
              </w:rPr>
              <w:t>在响应文件中提供技术负责人的有效职称证书复印件</w:t>
            </w:r>
            <w:r>
              <w:rPr>
                <w:rFonts w:hint="eastAsia" w:ascii="宋体" w:hAnsi="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lang w:val="en-US" w:eastAsia="zh-CN"/>
              </w:rPr>
              <w:t>并附供应商为其缴纳的</w:t>
            </w:r>
            <w:r>
              <w:rPr>
                <w:rFonts w:hint="eastAsia" w:ascii="宋体" w:hAnsi="宋体" w:cs="宋体"/>
                <w:b w:val="0"/>
                <w:bCs w:val="0"/>
                <w:color w:val="auto"/>
                <w:szCs w:val="21"/>
                <w:highlight w:val="none"/>
                <w:lang w:val="en-US" w:eastAsia="zh-CN"/>
              </w:rPr>
              <w:t>2025年1月以来</w:t>
            </w:r>
            <w:r>
              <w:rPr>
                <w:rFonts w:hint="eastAsia" w:ascii="宋体" w:hAnsi="宋体" w:eastAsia="宋体" w:cs="宋体"/>
                <w:b w:val="0"/>
                <w:bCs w:val="0"/>
                <w:color w:val="auto"/>
                <w:szCs w:val="21"/>
                <w:highlight w:val="none"/>
                <w:lang w:val="en-US" w:eastAsia="zh-CN"/>
              </w:rPr>
              <w:t>任意</w:t>
            </w:r>
            <w:r>
              <w:rPr>
                <w:rFonts w:hint="eastAsia" w:ascii="宋体" w:hAnsi="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lang w:val="en-US" w:eastAsia="zh-CN"/>
              </w:rPr>
              <w:t>个月的社保证明或劳动/聘用合同或协议等有效证明材料，否则不得分。</w:t>
            </w:r>
          </w:p>
        </w:tc>
        <w:tc>
          <w:tcPr>
            <w:tcW w:w="840" w:type="dxa"/>
            <w:noWrap w:val="0"/>
            <w:vAlign w:val="top"/>
          </w:tcPr>
          <w:p w14:paraId="11311BFE">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Cs w:val="21"/>
                <w:highlight w:val="none"/>
                <w:lang w:val="en-US" w:eastAsia="zh-CN"/>
              </w:rPr>
            </w:pPr>
            <w:r>
              <w:rPr>
                <w:rFonts w:hint="eastAsia" w:hAnsi="宋体" w:cs="Courier New"/>
                <w:bCs/>
                <w:color w:val="auto"/>
                <w:kern w:val="2"/>
                <w:sz w:val="21"/>
                <w:szCs w:val="21"/>
                <w:highlight w:val="none"/>
                <w:lang w:val="en-US" w:eastAsia="zh-CN"/>
              </w:rPr>
              <w:t>0~</w:t>
            </w:r>
            <w:r>
              <w:rPr>
                <w:rFonts w:hint="eastAsia" w:ascii="宋体" w:hAnsi="宋体" w:cs="宋体"/>
                <w:b w:val="0"/>
                <w:bCs/>
                <w:color w:val="auto"/>
                <w:kern w:val="0"/>
                <w:szCs w:val="21"/>
                <w:highlight w:val="none"/>
                <w:lang w:val="en-US" w:eastAsia="zh-CN"/>
              </w:rPr>
              <w:t>3分（客观分）</w:t>
            </w:r>
          </w:p>
        </w:tc>
      </w:tr>
      <w:tr w14:paraId="054A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74" w:type="dxa"/>
            <w:vMerge w:val="continue"/>
            <w:noWrap w:val="0"/>
            <w:vAlign w:val="center"/>
          </w:tcPr>
          <w:p w14:paraId="7FAFD651">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 w:val="0"/>
                <w:bCs/>
                <w:color w:val="auto"/>
                <w:kern w:val="0"/>
                <w:szCs w:val="21"/>
                <w:highlight w:val="none"/>
                <w:lang w:val="en-US" w:eastAsia="zh-CN"/>
              </w:rPr>
            </w:pPr>
          </w:p>
        </w:tc>
        <w:tc>
          <w:tcPr>
            <w:tcW w:w="420" w:type="dxa"/>
            <w:vMerge w:val="continue"/>
            <w:noWrap w:val="0"/>
            <w:vAlign w:val="center"/>
          </w:tcPr>
          <w:p w14:paraId="6AA78288">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Cs w:val="21"/>
                <w:highlight w:val="none"/>
              </w:rPr>
            </w:pPr>
          </w:p>
        </w:tc>
        <w:tc>
          <w:tcPr>
            <w:tcW w:w="1200" w:type="dxa"/>
            <w:noWrap w:val="0"/>
            <w:vAlign w:val="center"/>
          </w:tcPr>
          <w:p w14:paraId="621E65A3">
            <w:pPr>
              <w:spacing w:line="360" w:lineRule="auto"/>
              <w:jc w:val="left"/>
              <w:rPr>
                <w:rFonts w:hint="eastAsia" w:ascii="宋体" w:hAnsi="宋体" w:cs="宋体"/>
                <w:b w:val="0"/>
                <w:bCs/>
                <w:color w:val="auto"/>
                <w:kern w:val="0"/>
                <w:szCs w:val="21"/>
                <w:highlight w:val="none"/>
              </w:rPr>
            </w:pPr>
            <w:r>
              <w:rPr>
                <w:rFonts w:hint="eastAsia" w:ascii="宋体" w:hAnsi="宋体" w:eastAsia="宋体" w:cs="宋体"/>
                <w:color w:val="auto"/>
                <w:highlight w:val="none"/>
              </w:rPr>
              <w:t>拟投入本工程管理人员情况</w:t>
            </w:r>
          </w:p>
        </w:tc>
        <w:tc>
          <w:tcPr>
            <w:tcW w:w="6392" w:type="dxa"/>
            <w:noWrap w:val="0"/>
            <w:vAlign w:val="center"/>
          </w:tcPr>
          <w:p w14:paraId="7AEF9252">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拟投入本项目的</w:t>
            </w:r>
            <w:r>
              <w:rPr>
                <w:rFonts w:hint="eastAsia" w:ascii="宋体" w:hAnsi="宋体" w:eastAsia="宋体" w:cs="宋体"/>
                <w:color w:val="auto"/>
                <w:szCs w:val="21"/>
                <w:highlight w:val="none"/>
                <w:lang w:val="en-US" w:eastAsia="zh-CN"/>
              </w:rPr>
              <w:t>其他管理人员（除项目经理和技术负责人</w:t>
            </w:r>
            <w:r>
              <w:rPr>
                <w:rFonts w:hint="eastAsia" w:ascii="宋体" w:hAnsi="宋体" w:cs="宋体"/>
                <w:color w:val="auto"/>
                <w:szCs w:val="21"/>
                <w:highlight w:val="none"/>
                <w:lang w:val="en-US" w:eastAsia="zh-CN"/>
              </w:rPr>
              <w:t>外</w:t>
            </w:r>
            <w:r>
              <w:rPr>
                <w:rFonts w:hint="eastAsia" w:ascii="宋体" w:hAnsi="宋体" w:eastAsia="宋体" w:cs="宋体"/>
                <w:color w:val="auto"/>
                <w:szCs w:val="21"/>
                <w:highlight w:val="none"/>
                <w:lang w:val="en-US" w:eastAsia="zh-CN"/>
              </w:rPr>
              <w:t>）：</w:t>
            </w:r>
          </w:p>
          <w:p w14:paraId="637FE1AF">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拟投入本工程施工员、质量员、材料员配备有效的相应施工现场专业人员职业培训合格证书，专职安全生产管理人员需有有效建筑施工企业三类人员C证的，按以下标准计分： </w:t>
            </w:r>
          </w:p>
          <w:p w14:paraId="03AD5FD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优（5分）：完全满足施工需要，管理人员配备齐全且具有丰富地同类经验。</w:t>
            </w:r>
          </w:p>
          <w:p w14:paraId="38530493">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良（4分）：满足施工需要，管理人员配备齐全且有一定的同类项目经验。 </w:t>
            </w:r>
          </w:p>
          <w:p w14:paraId="1210BAD4">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中（</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 xml:space="preserve">分）：基本满足施工需要，管理人员配备齐全。 </w:t>
            </w:r>
          </w:p>
          <w:p w14:paraId="393C04D5">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差（1分）:不满足施工需要，管理人员配备不齐全。</w:t>
            </w:r>
          </w:p>
          <w:p w14:paraId="6342D169">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注：</w:t>
            </w:r>
            <w:r>
              <w:rPr>
                <w:rFonts w:hint="eastAsia" w:ascii="宋体" w:hAnsi="宋体" w:cs="宋体"/>
                <w:b w:val="0"/>
                <w:bCs w:val="0"/>
                <w:color w:val="auto"/>
                <w:szCs w:val="21"/>
                <w:highlight w:val="none"/>
                <w:lang w:val="en-US" w:eastAsia="zh-CN"/>
              </w:rPr>
              <w:t>供应商须</w:t>
            </w:r>
            <w:r>
              <w:rPr>
                <w:rFonts w:hint="eastAsia" w:ascii="宋体" w:hAnsi="宋体" w:eastAsia="宋体" w:cs="宋体"/>
                <w:b w:val="0"/>
                <w:bCs w:val="0"/>
                <w:color w:val="auto"/>
                <w:szCs w:val="21"/>
                <w:highlight w:val="none"/>
                <w:lang w:val="en-US" w:eastAsia="zh-CN"/>
              </w:rPr>
              <w:t>在响应文件中提供以上人员的有效职称证书或岗位证复印件，并附供应商为其缴纳的202</w:t>
            </w:r>
            <w:r>
              <w:rPr>
                <w:rFonts w:hint="eastAsia" w:ascii="宋体" w:hAnsi="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lang w:val="en-US" w:eastAsia="zh-CN"/>
              </w:rPr>
              <w:t>年1月以来任意1个月的社保证明或劳动/聘用合同或协议等有效证明材料，否则不得分。</w:t>
            </w:r>
          </w:p>
          <w:p w14:paraId="6B37D0D1">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color w:val="auto"/>
                <w:highlight w:val="none"/>
              </w:rPr>
            </w:pPr>
            <w:r>
              <w:rPr>
                <w:rFonts w:hint="eastAsia" w:ascii="宋体" w:hAnsi="宋体" w:eastAsia="宋体" w:cs="宋体"/>
                <w:b w:val="0"/>
                <w:bCs w:val="0"/>
                <w:color w:val="auto"/>
                <w:szCs w:val="21"/>
                <w:highlight w:val="none"/>
                <w:lang w:val="en-US" w:eastAsia="zh-CN"/>
              </w:rPr>
              <w:t>不符合最低入档条件的按不入档处理并计0分。</w:t>
            </w:r>
          </w:p>
        </w:tc>
        <w:tc>
          <w:tcPr>
            <w:tcW w:w="840" w:type="dxa"/>
            <w:noWrap w:val="0"/>
            <w:vAlign w:val="center"/>
          </w:tcPr>
          <w:p w14:paraId="078A7FCD">
            <w:pPr>
              <w:keepNext w:val="0"/>
              <w:keepLines w:val="0"/>
              <w:pageBreakBefore w:val="0"/>
              <w:widowControl/>
              <w:kinsoku/>
              <w:wordWrap/>
              <w:overflowPunct/>
              <w:topLinePunct w:val="0"/>
              <w:bidi w:val="0"/>
              <w:spacing w:line="400" w:lineRule="exact"/>
              <w:jc w:val="center"/>
              <w:textAlignment w:val="auto"/>
              <w:rPr>
                <w:rFonts w:hint="default" w:ascii="宋体" w:hAnsi="宋体" w:cs="宋体"/>
                <w:b w:val="0"/>
                <w:bCs/>
                <w:color w:val="auto"/>
                <w:kern w:val="0"/>
                <w:szCs w:val="21"/>
                <w:highlight w:val="none"/>
                <w:lang w:val="en-US" w:eastAsia="zh-CN"/>
              </w:rPr>
            </w:pPr>
            <w:r>
              <w:rPr>
                <w:rFonts w:hint="eastAsia" w:hAnsi="宋体" w:cs="Courier New"/>
                <w:bCs/>
                <w:color w:val="auto"/>
                <w:kern w:val="2"/>
                <w:sz w:val="21"/>
                <w:szCs w:val="21"/>
                <w:highlight w:val="none"/>
                <w:lang w:val="en-US" w:eastAsia="zh-CN"/>
              </w:rPr>
              <w:t>0~</w:t>
            </w:r>
            <w:r>
              <w:rPr>
                <w:rFonts w:hint="eastAsia" w:ascii="宋体" w:hAnsi="宋体" w:cs="宋体"/>
                <w:b w:val="0"/>
                <w:bCs/>
                <w:color w:val="auto"/>
                <w:kern w:val="0"/>
                <w:szCs w:val="21"/>
                <w:highlight w:val="none"/>
                <w:lang w:val="en-US" w:eastAsia="zh-CN"/>
              </w:rPr>
              <w:t>5分（客观分）</w:t>
            </w:r>
          </w:p>
        </w:tc>
      </w:tr>
      <w:tr w14:paraId="0057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4" w:type="dxa"/>
            <w:noWrap w:val="0"/>
            <w:vAlign w:val="center"/>
          </w:tcPr>
          <w:p w14:paraId="6A955BB8">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2</w:t>
            </w:r>
          </w:p>
        </w:tc>
        <w:tc>
          <w:tcPr>
            <w:tcW w:w="1620" w:type="dxa"/>
            <w:gridSpan w:val="2"/>
            <w:noWrap w:val="0"/>
            <w:vAlign w:val="center"/>
          </w:tcPr>
          <w:p w14:paraId="24AD2275">
            <w:pPr>
              <w:pStyle w:val="14"/>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主要施工方法</w:t>
            </w:r>
          </w:p>
          <w:p w14:paraId="764AAEA3">
            <w:pPr>
              <w:pStyle w:val="14"/>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p>
        </w:tc>
        <w:tc>
          <w:tcPr>
            <w:tcW w:w="6392" w:type="dxa"/>
            <w:noWrap w:val="0"/>
            <w:vAlign w:val="center"/>
          </w:tcPr>
          <w:p w14:paraId="7677E201">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优（</w:t>
            </w:r>
            <w:r>
              <w:rPr>
                <w:rFonts w:hint="eastAsia" w:ascii="宋体" w:hAnsi="宋体" w:eastAsia="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r>
              <w:rPr>
                <w:rFonts w:hint="eastAsia" w:ascii="宋体" w:hAnsi="宋体" w:eastAsia="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各主要分部施工方法符合项目实际，有详尽的施工技术方案，方案能够针对本项目实际情况进行</w:t>
            </w:r>
            <w:r>
              <w:rPr>
                <w:rFonts w:hint="eastAsia" w:ascii="宋体" w:hAnsi="宋体" w:cs="Courier New"/>
                <w:bCs/>
                <w:color w:val="auto"/>
                <w:kern w:val="2"/>
                <w:sz w:val="21"/>
                <w:szCs w:val="21"/>
                <w:highlight w:val="none"/>
                <w:lang w:val="en-US" w:eastAsia="zh-CN"/>
              </w:rPr>
              <w:t>清晰</w:t>
            </w:r>
            <w:r>
              <w:rPr>
                <w:rFonts w:hint="eastAsia" w:ascii="宋体" w:hAnsi="宋体" w:eastAsia="宋体" w:cs="Courier New"/>
                <w:bCs/>
                <w:color w:val="auto"/>
                <w:kern w:val="2"/>
                <w:sz w:val="21"/>
                <w:szCs w:val="21"/>
                <w:highlight w:val="none"/>
              </w:rPr>
              <w:t>表述，有明显的针对性，拟采用的工艺先进、方法科学详细完整且适用于本项目，表述清晰能非常好的指导具体施工并确保安全。</w:t>
            </w:r>
          </w:p>
          <w:p w14:paraId="7C7314C9">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良（</w:t>
            </w:r>
            <w:r>
              <w:rPr>
                <w:rFonts w:hint="eastAsia" w:ascii="宋体" w:hAnsi="宋体" w:eastAsia="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r>
              <w:rPr>
                <w:rFonts w:hint="eastAsia" w:ascii="宋体" w:hAnsi="宋体" w:eastAsia="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各主要分部施工方法符合项目实际，有完整的施工技术方案，但是缺乏针对本项目实际情况的表述，工艺操作规范成熟、方法科学完整，能指导具体施工并确保安全。</w:t>
            </w:r>
          </w:p>
          <w:p w14:paraId="5E0C0ECA">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中（</w:t>
            </w:r>
            <w:r>
              <w:rPr>
                <w:rFonts w:hint="eastAsia" w:ascii="宋体" w:hAnsi="宋体" w:eastAsia="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ascii="宋体" w:hAnsi="宋体" w:eastAsia="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各主要分部施工方法符合项目实际，有施工技术方案，工艺落后、方法粗略，能指导施工并确保安全。</w:t>
            </w:r>
          </w:p>
          <w:p w14:paraId="0F34B3BE">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差（</w:t>
            </w:r>
            <w:r>
              <w:rPr>
                <w:rFonts w:hint="eastAsia" w:ascii="宋体" w:hAnsi="宋体" w:eastAsia="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ascii="宋体" w:hAnsi="宋体" w:eastAsia="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各主要分部施工方法不符合项目实际，有施工技术方案，工艺落后，不能指导具体施工并确保安全。</w:t>
            </w:r>
          </w:p>
          <w:p w14:paraId="3C9EB284">
            <w:pPr>
              <w:keepNext w:val="0"/>
              <w:keepLines w:val="0"/>
              <w:pageBreakBefore w:val="0"/>
              <w:kinsoku/>
              <w:wordWrap/>
              <w:overflowPunct/>
              <w:topLinePunct w:val="0"/>
              <w:autoSpaceDE w:val="0"/>
              <w:autoSpaceDN w:val="0"/>
              <w:bidi w:val="0"/>
              <w:adjustRightInd w:val="0"/>
              <w:spacing w:line="400" w:lineRule="exact"/>
              <w:jc w:val="left"/>
              <w:textAlignment w:val="auto"/>
              <w:rPr>
                <w:color w:val="auto"/>
                <w:sz w:val="21"/>
                <w:szCs w:val="21"/>
                <w:highlight w:val="none"/>
              </w:rPr>
            </w:pPr>
            <w:r>
              <w:rPr>
                <w:rFonts w:hint="eastAsia" w:ascii="宋体" w:hAnsi="宋体" w:eastAsia="宋体" w:cs="Courier New"/>
                <w:bCs/>
                <w:color w:val="auto"/>
                <w:kern w:val="2"/>
                <w:sz w:val="21"/>
                <w:szCs w:val="21"/>
                <w:highlight w:val="none"/>
              </w:rPr>
              <w:t>不符合最低入档条件的按不入档处理并计0分。</w:t>
            </w:r>
          </w:p>
        </w:tc>
        <w:tc>
          <w:tcPr>
            <w:tcW w:w="840" w:type="dxa"/>
            <w:noWrap w:val="0"/>
            <w:vAlign w:val="center"/>
          </w:tcPr>
          <w:p w14:paraId="53A6B074">
            <w:pPr>
              <w:pStyle w:val="14"/>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0~</w:t>
            </w:r>
            <w:r>
              <w:rPr>
                <w:rFonts w:hint="eastAsia" w:ascii="宋体" w:hAnsi="宋体" w:eastAsia="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p>
          <w:p w14:paraId="347469A7">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p>
        </w:tc>
      </w:tr>
      <w:tr w14:paraId="6C5D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6" w:hRule="atLeast"/>
        </w:trPr>
        <w:tc>
          <w:tcPr>
            <w:tcW w:w="574" w:type="dxa"/>
            <w:noWrap w:val="0"/>
            <w:vAlign w:val="center"/>
          </w:tcPr>
          <w:p w14:paraId="6603FD8F">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3</w:t>
            </w:r>
          </w:p>
        </w:tc>
        <w:tc>
          <w:tcPr>
            <w:tcW w:w="1620" w:type="dxa"/>
            <w:gridSpan w:val="2"/>
            <w:noWrap w:val="0"/>
            <w:vAlign w:val="center"/>
          </w:tcPr>
          <w:p w14:paraId="25D9A0A9">
            <w:pPr>
              <w:pStyle w:val="14"/>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拟投入的主要物资计划</w:t>
            </w:r>
          </w:p>
          <w:p w14:paraId="27A560C5">
            <w:pPr>
              <w:pStyle w:val="14"/>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p>
        </w:tc>
        <w:tc>
          <w:tcPr>
            <w:tcW w:w="6392" w:type="dxa"/>
            <w:noWrap w:val="0"/>
            <w:vAlign w:val="center"/>
          </w:tcPr>
          <w:p w14:paraId="7F825999">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优（</w:t>
            </w:r>
            <w:r>
              <w:rPr>
                <w:rFonts w:hint="eastAsia" w:hAnsi="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投入的施工材料有详细的组织计划且计划周密贴合施工实际要求，数量、选型配置计划内容详尽、进场时间安排贴合现场需要与进度计划呼应，满足施工需要。</w:t>
            </w:r>
          </w:p>
          <w:p w14:paraId="5E83AB88">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良（</w:t>
            </w:r>
            <w:r>
              <w:rPr>
                <w:rFonts w:hint="eastAsia" w:hAnsi="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投入的施工材料有详细的组织计划但计划不够贴合施工实际要求，数量、选型配置、进场时间安排与进度计划有偏差，但基本满足现场需要，满足施工需要。</w:t>
            </w:r>
          </w:p>
          <w:p w14:paraId="2E5194C6">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中（</w:t>
            </w:r>
            <w:r>
              <w:rPr>
                <w:rFonts w:hint="eastAsia" w:hAnsi="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投入的施工材料有组织计划但计划粗略，数量、选型配置计划内容有缺项、进场时间安排与进度计划有偏差，基本满足施工需要。</w:t>
            </w:r>
          </w:p>
          <w:p w14:paraId="7203E01B">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差（</w:t>
            </w:r>
            <w:r>
              <w:rPr>
                <w:rFonts w:hint="eastAsia" w:hAnsi="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投入的施工材料无组织计划，数量、选型配置、进场时间安排不切实际，不满足施工需要。</w:t>
            </w:r>
          </w:p>
          <w:p w14:paraId="5815968C">
            <w:pPr>
              <w:pStyle w:val="14"/>
              <w:keepNext w:val="0"/>
              <w:keepLines w:val="0"/>
              <w:pageBreakBefore w:val="0"/>
              <w:kinsoku/>
              <w:wordWrap/>
              <w:overflowPunct/>
              <w:topLinePunct w:val="0"/>
              <w:bidi w:val="0"/>
              <w:spacing w:line="400" w:lineRule="exact"/>
              <w:jc w:val="left"/>
              <w:textAlignment w:val="auto"/>
              <w:rPr>
                <w:rFonts w:hint="eastAsia" w:ascii="宋体" w:hAnsi="宋体" w:cs="宋体"/>
                <w:bCs/>
                <w:color w:val="auto"/>
                <w:kern w:val="0"/>
                <w:sz w:val="21"/>
                <w:szCs w:val="21"/>
                <w:highlight w:val="none"/>
              </w:rPr>
            </w:pPr>
            <w:r>
              <w:rPr>
                <w:rFonts w:hint="eastAsia" w:ascii="宋体" w:hAnsi="宋体" w:eastAsia="宋体" w:cs="Courier New"/>
                <w:bCs/>
                <w:color w:val="auto"/>
                <w:kern w:val="2"/>
                <w:sz w:val="21"/>
                <w:szCs w:val="21"/>
                <w:highlight w:val="none"/>
              </w:rPr>
              <w:t>不符合最低入档条件的按不入档处理并计0分。</w:t>
            </w:r>
          </w:p>
        </w:tc>
        <w:tc>
          <w:tcPr>
            <w:tcW w:w="840" w:type="dxa"/>
            <w:noWrap w:val="0"/>
            <w:vAlign w:val="center"/>
          </w:tcPr>
          <w:p w14:paraId="38068B59">
            <w:pPr>
              <w:keepNext w:val="0"/>
              <w:keepLines w:val="0"/>
              <w:pageBreakBefore w:val="0"/>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r>
              <w:rPr>
                <w:rFonts w:hint="eastAsia" w:hAnsi="宋体" w:cs="Courier New"/>
                <w:bCs/>
                <w:color w:val="auto"/>
                <w:kern w:val="2"/>
                <w:sz w:val="21"/>
                <w:szCs w:val="21"/>
                <w:highlight w:val="none"/>
                <w:lang w:val="en-US" w:eastAsia="zh-CN"/>
              </w:rPr>
              <w:t>0~</w:t>
            </w:r>
            <w:r>
              <w:rPr>
                <w:rFonts w:hint="eastAsia" w:ascii="宋体" w:hAnsi="宋体" w:eastAsia="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p>
        </w:tc>
      </w:tr>
      <w:tr w14:paraId="0D09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74" w:type="dxa"/>
            <w:noWrap w:val="0"/>
            <w:vAlign w:val="center"/>
          </w:tcPr>
          <w:p w14:paraId="598CD764">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4</w:t>
            </w:r>
          </w:p>
        </w:tc>
        <w:tc>
          <w:tcPr>
            <w:tcW w:w="1620" w:type="dxa"/>
            <w:gridSpan w:val="2"/>
            <w:noWrap w:val="0"/>
            <w:vAlign w:val="center"/>
          </w:tcPr>
          <w:p w14:paraId="504200B6">
            <w:pPr>
              <w:pStyle w:val="14"/>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拟投入的主要施工机械、设备计划</w:t>
            </w:r>
          </w:p>
          <w:p w14:paraId="3C370FF4">
            <w:pPr>
              <w:pStyle w:val="14"/>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p>
        </w:tc>
        <w:tc>
          <w:tcPr>
            <w:tcW w:w="6392" w:type="dxa"/>
            <w:noWrap w:val="0"/>
            <w:vAlign w:val="center"/>
          </w:tcPr>
          <w:p w14:paraId="6F1F3C74">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cs="宋体" w:asciiTheme="minorEastAsia" w:hAnsiTheme="minorEastAsia" w:eastAsiaTheme="minorEastAsia"/>
                <w:color w:val="auto"/>
                <w:kern w:val="0"/>
                <w:sz w:val="21"/>
                <w:szCs w:val="21"/>
                <w:highlight w:val="none"/>
              </w:rPr>
              <w:t>优</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投入的施工机械、设备、机具有详细的组织计划且计划周密，设备数量、选型配置计划内容详尽、进场时间安排贴合现场需要进度计划呼应，满足施工需要。</w:t>
            </w:r>
          </w:p>
          <w:p w14:paraId="12AD3C7C">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良（</w:t>
            </w:r>
            <w:r>
              <w:rPr>
                <w:rFonts w:hint="eastAsia" w:hAnsi="宋体" w:cs="Courier New"/>
                <w:bCs/>
                <w:color w:val="auto"/>
                <w:kern w:val="2"/>
                <w:sz w:val="21"/>
                <w:szCs w:val="21"/>
                <w:highlight w:val="none"/>
                <w:lang w:val="en-US" w:eastAsia="zh-CN"/>
              </w:rPr>
              <w:t>5</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投入的施工机械、设备、机具有详细的组织计划但计划不够贴合施工实际要求，设备数量、选型配置计划内容有缺项、进场时间安排与进度计划有偏差，但基本满足现场需要，满足施工需要。</w:t>
            </w:r>
          </w:p>
          <w:p w14:paraId="5237B492">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中（</w:t>
            </w:r>
            <w:r>
              <w:rPr>
                <w:rFonts w:hint="eastAsia" w:hAnsi="宋体" w:cs="Courier New"/>
                <w:bCs/>
                <w:color w:val="auto"/>
                <w:kern w:val="2"/>
                <w:sz w:val="21"/>
                <w:szCs w:val="21"/>
                <w:highlight w:val="none"/>
                <w:lang w:val="en-US" w:eastAsia="zh-CN"/>
              </w:rPr>
              <w:t>3</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投入的施工机械、设备、机具有组织计划但计划粗略，设备数量、选型配置计划内容有缺项、进场时间安排与进度计划有偏差，基本满足施工需要。</w:t>
            </w:r>
          </w:p>
          <w:p w14:paraId="773F27E5">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差（</w:t>
            </w:r>
            <w:r>
              <w:rPr>
                <w:rFonts w:hint="eastAsia" w:ascii="宋体" w:hAnsi="宋体" w:eastAsia="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投入的施工机械、设备、机具无组织计划，设备数量、选型配置计划内容有重大缺项、进场时间安排不切实际，不满足施工需要。</w:t>
            </w:r>
          </w:p>
          <w:p w14:paraId="6C6AA912">
            <w:pPr>
              <w:pStyle w:val="14"/>
              <w:keepNext w:val="0"/>
              <w:keepLines w:val="0"/>
              <w:pageBreakBefore w:val="0"/>
              <w:kinsoku/>
              <w:wordWrap/>
              <w:overflowPunct/>
              <w:topLinePunct w:val="0"/>
              <w:bidi w:val="0"/>
              <w:spacing w:line="400" w:lineRule="exact"/>
              <w:jc w:val="left"/>
              <w:textAlignment w:val="auto"/>
              <w:rPr>
                <w:rFonts w:hint="eastAsia" w:ascii="宋体" w:hAnsi="宋体" w:cs="宋体"/>
                <w:bCs/>
                <w:color w:val="auto"/>
                <w:kern w:val="0"/>
                <w:sz w:val="21"/>
                <w:szCs w:val="21"/>
                <w:highlight w:val="none"/>
              </w:rPr>
            </w:pPr>
            <w:r>
              <w:rPr>
                <w:rFonts w:hint="eastAsia" w:ascii="宋体" w:hAnsi="宋体" w:eastAsia="宋体" w:cs="Courier New"/>
                <w:bCs/>
                <w:color w:val="auto"/>
                <w:kern w:val="2"/>
                <w:sz w:val="21"/>
                <w:szCs w:val="21"/>
                <w:highlight w:val="none"/>
              </w:rPr>
              <w:t>不符合最低入档条件的按不入档处理并计0分。</w:t>
            </w:r>
          </w:p>
        </w:tc>
        <w:tc>
          <w:tcPr>
            <w:tcW w:w="840" w:type="dxa"/>
            <w:noWrap w:val="0"/>
            <w:vAlign w:val="center"/>
          </w:tcPr>
          <w:p w14:paraId="402ED436">
            <w:pPr>
              <w:pStyle w:val="14"/>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0~7</w:t>
            </w:r>
            <w:r>
              <w:rPr>
                <w:rFonts w:hint="eastAsia" w:ascii="宋体" w:hAnsi="宋体" w:eastAsia="宋体" w:cs="Courier New"/>
                <w:bCs/>
                <w:color w:val="auto"/>
                <w:kern w:val="2"/>
                <w:sz w:val="21"/>
                <w:szCs w:val="21"/>
                <w:highlight w:val="none"/>
              </w:rPr>
              <w:t>分</w:t>
            </w:r>
          </w:p>
          <w:p w14:paraId="573119D6">
            <w:pPr>
              <w:pStyle w:val="36"/>
              <w:keepNext w:val="0"/>
              <w:keepLines w:val="0"/>
              <w:pageBreakBefore w:val="0"/>
              <w:kinsoku/>
              <w:wordWrap/>
              <w:overflowPunct/>
              <w:topLinePunct w:val="0"/>
              <w:bidi w:val="0"/>
              <w:spacing w:line="400" w:lineRule="exact"/>
              <w:ind w:firstLine="720" w:firstLineChars="0"/>
              <w:textAlignment w:val="auto"/>
              <w:rPr>
                <w:rFonts w:ascii="宋体" w:hAnsi="宋体" w:cs="宋体"/>
                <w:bCs/>
                <w:color w:val="auto"/>
                <w:kern w:val="0"/>
                <w:sz w:val="21"/>
                <w:szCs w:val="21"/>
                <w:highlight w:val="none"/>
              </w:rPr>
            </w:pPr>
          </w:p>
        </w:tc>
      </w:tr>
      <w:tr w14:paraId="5406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74" w:type="dxa"/>
            <w:noWrap w:val="0"/>
            <w:vAlign w:val="center"/>
          </w:tcPr>
          <w:p w14:paraId="2AB5E0BC">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5</w:t>
            </w:r>
          </w:p>
        </w:tc>
        <w:tc>
          <w:tcPr>
            <w:tcW w:w="1620" w:type="dxa"/>
            <w:gridSpan w:val="2"/>
            <w:noWrap w:val="0"/>
            <w:vAlign w:val="center"/>
          </w:tcPr>
          <w:p w14:paraId="79F1606C">
            <w:pPr>
              <w:pStyle w:val="14"/>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r>
              <w:rPr>
                <w:rFonts w:hint="eastAsia" w:ascii="宋体" w:hAnsi="宋体" w:eastAsia="宋体" w:cs="Courier New"/>
                <w:bCs/>
                <w:color w:val="auto"/>
                <w:kern w:val="2"/>
                <w:sz w:val="21"/>
                <w:szCs w:val="21"/>
                <w:highlight w:val="none"/>
              </w:rPr>
              <w:t>劳动力安排计划</w:t>
            </w:r>
          </w:p>
        </w:tc>
        <w:tc>
          <w:tcPr>
            <w:tcW w:w="6392" w:type="dxa"/>
            <w:noWrap w:val="0"/>
            <w:vAlign w:val="center"/>
          </w:tcPr>
          <w:p w14:paraId="4387DBD8">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优（</w:t>
            </w:r>
            <w:r>
              <w:rPr>
                <w:rFonts w:hint="eastAsia" w:hAnsi="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各主要施工工序有详细周密的劳动力安排计划，有各工种劳动力安排计划，劳动力投入贴合现场需要与进度计划呼应，较满足施工需要。</w:t>
            </w:r>
          </w:p>
          <w:p w14:paraId="36B5D6D2">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良（</w:t>
            </w:r>
            <w:r>
              <w:rPr>
                <w:rFonts w:hint="eastAsia" w:hAnsi="宋体" w:cs="Courier New"/>
                <w:bCs/>
                <w:color w:val="auto"/>
                <w:kern w:val="2"/>
                <w:sz w:val="21"/>
                <w:szCs w:val="21"/>
                <w:highlight w:val="none"/>
                <w:lang w:val="en-US" w:eastAsia="zh-CN"/>
              </w:rPr>
              <w:t>5</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各主要施工工序有劳动力安排计划，有各工种劳动力安排计划，劳动力投入满足现场需要与进度计划呼应，满足施工需要。</w:t>
            </w:r>
          </w:p>
          <w:p w14:paraId="3C2BB9C6">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中（</w:t>
            </w:r>
            <w:r>
              <w:rPr>
                <w:rFonts w:hint="eastAsia" w:hAnsi="宋体" w:cs="Courier New"/>
                <w:bCs/>
                <w:color w:val="auto"/>
                <w:kern w:val="2"/>
                <w:sz w:val="21"/>
                <w:szCs w:val="21"/>
                <w:highlight w:val="none"/>
                <w:lang w:val="en-US" w:eastAsia="zh-CN"/>
              </w:rPr>
              <w:t>3</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各主要施工工序只有劳动力安排计划，无各工种劳动力安排计划，劳动力投入与进度计划有偏差，基本满足施工需要。</w:t>
            </w:r>
          </w:p>
          <w:p w14:paraId="02C82F83">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差（</w:t>
            </w:r>
            <w:r>
              <w:rPr>
                <w:rFonts w:hint="eastAsia" w:hAnsi="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各主要施工工序无劳动力安排计划，劳动力投入不足，不满足施工需要。</w:t>
            </w:r>
          </w:p>
          <w:p w14:paraId="04760698">
            <w:pPr>
              <w:pStyle w:val="14"/>
              <w:keepNext w:val="0"/>
              <w:keepLines w:val="0"/>
              <w:pageBreakBefore w:val="0"/>
              <w:kinsoku/>
              <w:wordWrap/>
              <w:overflowPunct/>
              <w:topLinePunct w:val="0"/>
              <w:bidi w:val="0"/>
              <w:spacing w:line="400" w:lineRule="exact"/>
              <w:jc w:val="left"/>
              <w:textAlignment w:val="auto"/>
              <w:rPr>
                <w:rFonts w:hint="eastAsia" w:ascii="宋体" w:hAnsi="宋体" w:cs="宋体"/>
                <w:bCs/>
                <w:color w:val="auto"/>
                <w:sz w:val="21"/>
                <w:szCs w:val="21"/>
                <w:highlight w:val="none"/>
              </w:rPr>
            </w:pPr>
            <w:r>
              <w:rPr>
                <w:rFonts w:hint="eastAsia" w:ascii="宋体" w:hAnsi="宋体" w:eastAsia="宋体" w:cs="Courier New"/>
                <w:bCs/>
                <w:color w:val="auto"/>
                <w:kern w:val="2"/>
                <w:sz w:val="21"/>
                <w:szCs w:val="21"/>
                <w:highlight w:val="none"/>
              </w:rPr>
              <w:t>不符合最低入档条件的按不入档处理并计0分。</w:t>
            </w:r>
          </w:p>
        </w:tc>
        <w:tc>
          <w:tcPr>
            <w:tcW w:w="840" w:type="dxa"/>
            <w:noWrap w:val="0"/>
            <w:vAlign w:val="center"/>
          </w:tcPr>
          <w:p w14:paraId="4973E963">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r>
              <w:rPr>
                <w:rFonts w:hint="eastAsia" w:hAnsi="宋体" w:cs="Courier New"/>
                <w:bCs/>
                <w:color w:val="auto"/>
                <w:kern w:val="2"/>
                <w:sz w:val="21"/>
                <w:szCs w:val="21"/>
                <w:highlight w:val="none"/>
                <w:lang w:val="en-US" w:eastAsia="zh-CN"/>
              </w:rPr>
              <w:t>0~</w:t>
            </w:r>
            <w:r>
              <w:rPr>
                <w:rFonts w:hint="eastAsia" w:ascii="宋体" w:hAnsi="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p>
        </w:tc>
      </w:tr>
      <w:tr w14:paraId="3954C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74" w:type="dxa"/>
            <w:noWrap w:val="0"/>
            <w:vAlign w:val="center"/>
          </w:tcPr>
          <w:p w14:paraId="618168E6">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6</w:t>
            </w:r>
          </w:p>
        </w:tc>
        <w:tc>
          <w:tcPr>
            <w:tcW w:w="1620" w:type="dxa"/>
            <w:gridSpan w:val="2"/>
            <w:noWrap w:val="0"/>
            <w:vAlign w:val="center"/>
          </w:tcPr>
          <w:p w14:paraId="009664FF">
            <w:pPr>
              <w:pStyle w:val="14"/>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确保工程质量的技术组织措施</w:t>
            </w:r>
          </w:p>
          <w:p w14:paraId="55430860">
            <w:pPr>
              <w:pStyle w:val="14"/>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p>
        </w:tc>
        <w:tc>
          <w:tcPr>
            <w:tcW w:w="6392" w:type="dxa"/>
            <w:noWrap w:val="0"/>
            <w:vAlign w:val="center"/>
          </w:tcPr>
          <w:p w14:paraId="2AC686C2">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优（</w:t>
            </w:r>
            <w:r>
              <w:rPr>
                <w:rFonts w:hint="eastAsia" w:hAnsi="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有专门的质量技术管理班子和制度，且人员配备完善符合施工需要，制度健全。主要工序有质量技术保证措施和手段，自控体系完整，能有效保证技术质量，达到承诺的质量标准。</w:t>
            </w:r>
          </w:p>
          <w:p w14:paraId="63D67A1E">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良（</w:t>
            </w:r>
            <w:r>
              <w:rPr>
                <w:rFonts w:hint="eastAsia" w:hAnsi="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有质量技术管理班子和制度，且人员配备满足施工需要，制度健全。主要工序有质量技术保证措施和手段，自控体系完整，能有效保证技术质量，达到承诺的质量标准。</w:t>
            </w:r>
          </w:p>
          <w:p w14:paraId="1C112FD8">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中（</w:t>
            </w:r>
            <w:r>
              <w:rPr>
                <w:rFonts w:hint="eastAsia" w:hAnsi="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有质量技术管理班子和制度。主要工序有质量技术保证措施和手段，自控体系有缺漏，基本能保证技术质量，达到承诺的质量标准。</w:t>
            </w:r>
          </w:p>
          <w:p w14:paraId="389D9E04">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差（</w:t>
            </w:r>
            <w:r>
              <w:rPr>
                <w:rFonts w:hint="eastAsia" w:hAnsi="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有质量技术管理班子和制度。主要工序无质量技术保证措施和手段，自控体系有重大缺漏，不能有效保证技术质量。</w:t>
            </w:r>
          </w:p>
          <w:p w14:paraId="28D86F9D">
            <w:pPr>
              <w:pStyle w:val="14"/>
              <w:keepNext w:val="0"/>
              <w:keepLines w:val="0"/>
              <w:pageBreakBefore w:val="0"/>
              <w:kinsoku/>
              <w:wordWrap/>
              <w:overflowPunct/>
              <w:topLinePunct w:val="0"/>
              <w:bidi w:val="0"/>
              <w:spacing w:line="400" w:lineRule="exact"/>
              <w:jc w:val="left"/>
              <w:textAlignment w:val="auto"/>
              <w:rPr>
                <w:rFonts w:hint="eastAsia" w:ascii="宋体" w:hAnsi="宋体" w:cs="宋体"/>
                <w:bCs/>
                <w:color w:val="auto"/>
                <w:sz w:val="21"/>
                <w:szCs w:val="21"/>
                <w:highlight w:val="none"/>
              </w:rPr>
            </w:pPr>
            <w:r>
              <w:rPr>
                <w:rFonts w:hint="eastAsia" w:ascii="宋体" w:hAnsi="宋体" w:eastAsia="宋体" w:cs="Courier New"/>
                <w:bCs/>
                <w:color w:val="auto"/>
                <w:kern w:val="2"/>
                <w:sz w:val="21"/>
                <w:szCs w:val="21"/>
                <w:highlight w:val="none"/>
              </w:rPr>
              <w:t>不符合最低入档条件的按不入档处理并计0分。</w:t>
            </w:r>
          </w:p>
        </w:tc>
        <w:tc>
          <w:tcPr>
            <w:tcW w:w="840" w:type="dxa"/>
            <w:noWrap w:val="0"/>
            <w:vAlign w:val="center"/>
          </w:tcPr>
          <w:p w14:paraId="0253DE6C">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r>
              <w:rPr>
                <w:rFonts w:hint="eastAsia" w:hAnsi="宋体" w:cs="Courier New"/>
                <w:bCs/>
                <w:color w:val="auto"/>
                <w:kern w:val="2"/>
                <w:sz w:val="21"/>
                <w:szCs w:val="21"/>
                <w:highlight w:val="none"/>
                <w:lang w:val="en-US" w:eastAsia="zh-CN"/>
              </w:rPr>
              <w:t>0~</w:t>
            </w:r>
            <w:r>
              <w:rPr>
                <w:rFonts w:hint="eastAsia" w:ascii="宋体" w:hAnsi="宋体" w:eastAsia="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p>
        </w:tc>
      </w:tr>
      <w:tr w14:paraId="2543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74" w:type="dxa"/>
            <w:noWrap w:val="0"/>
            <w:vAlign w:val="center"/>
          </w:tcPr>
          <w:p w14:paraId="45EDB35D">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7</w:t>
            </w:r>
          </w:p>
        </w:tc>
        <w:tc>
          <w:tcPr>
            <w:tcW w:w="1620" w:type="dxa"/>
            <w:gridSpan w:val="2"/>
            <w:noWrap w:val="0"/>
            <w:vAlign w:val="center"/>
          </w:tcPr>
          <w:p w14:paraId="3BC1A9B9">
            <w:pPr>
              <w:pStyle w:val="14"/>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确保安全生产的技术组织措施</w:t>
            </w:r>
          </w:p>
          <w:p w14:paraId="6ADACD86">
            <w:pPr>
              <w:pStyle w:val="14"/>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p>
        </w:tc>
        <w:tc>
          <w:tcPr>
            <w:tcW w:w="6392" w:type="dxa"/>
            <w:noWrap w:val="0"/>
            <w:vAlign w:val="center"/>
          </w:tcPr>
          <w:p w14:paraId="37889280">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优（</w:t>
            </w:r>
            <w:r>
              <w:rPr>
                <w:rFonts w:hint="eastAsia" w:hAnsi="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有专门的安全管理人员和制度，且人员配备完善符合施工需要，制度健全，各道工序安全技术措施针对性强，符合实际且满足有关安全技术标准要求。现场防火、应急救援、社会治安安全措施得力。</w:t>
            </w:r>
          </w:p>
          <w:p w14:paraId="1055D115">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良（</w:t>
            </w:r>
            <w:r>
              <w:rPr>
                <w:rFonts w:hint="eastAsia" w:hAnsi="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有安全管理人员和制度，且人员配备满足施工需要，制度健全，各道工序安全技术措施针对性强，符合实际且满足有关安全技术标准要求。现场防火、应急救援、社会治安安全措施得力。</w:t>
            </w:r>
          </w:p>
          <w:p w14:paraId="571EC63A">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中（</w:t>
            </w:r>
            <w:r>
              <w:rPr>
                <w:rFonts w:hint="eastAsia" w:hAnsi="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有安全管理人员和制度，各道工序安全技术措施针对性差，满足有关安全技术标准要求。现场防火、应急救援、社会治安安全措施差。</w:t>
            </w:r>
          </w:p>
          <w:p w14:paraId="6A65129A">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差（</w:t>
            </w:r>
            <w:r>
              <w:rPr>
                <w:rFonts w:hint="eastAsia" w:hAnsi="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有安全管理人员和制度，各道工序安全技术措施无针对性，满足有关安全技术标准要求。现场防火、应急救援、社会治安安全措施差。</w:t>
            </w:r>
          </w:p>
          <w:p w14:paraId="1DF6FE21">
            <w:pPr>
              <w:pStyle w:val="14"/>
              <w:keepNext w:val="0"/>
              <w:keepLines w:val="0"/>
              <w:pageBreakBefore w:val="0"/>
              <w:kinsoku/>
              <w:wordWrap/>
              <w:overflowPunct/>
              <w:topLinePunct w:val="0"/>
              <w:bidi w:val="0"/>
              <w:spacing w:line="400" w:lineRule="exact"/>
              <w:jc w:val="left"/>
              <w:textAlignment w:val="auto"/>
              <w:rPr>
                <w:rFonts w:hint="eastAsia" w:ascii="宋体" w:hAnsi="宋体" w:cs="宋体"/>
                <w:bCs/>
                <w:color w:val="auto"/>
                <w:sz w:val="21"/>
                <w:szCs w:val="21"/>
                <w:highlight w:val="none"/>
              </w:rPr>
            </w:pPr>
            <w:r>
              <w:rPr>
                <w:rFonts w:hint="eastAsia" w:ascii="宋体" w:hAnsi="宋体" w:eastAsia="宋体" w:cs="Courier New"/>
                <w:bCs/>
                <w:color w:val="auto"/>
                <w:kern w:val="2"/>
                <w:sz w:val="21"/>
                <w:szCs w:val="21"/>
                <w:highlight w:val="none"/>
              </w:rPr>
              <w:t>不符合最低入档条件的按不入档处理并计0分。</w:t>
            </w:r>
          </w:p>
        </w:tc>
        <w:tc>
          <w:tcPr>
            <w:tcW w:w="840" w:type="dxa"/>
            <w:noWrap w:val="0"/>
            <w:vAlign w:val="center"/>
          </w:tcPr>
          <w:p w14:paraId="6A62C2A4">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r>
              <w:rPr>
                <w:rFonts w:hint="eastAsia" w:hAnsi="宋体" w:cs="Courier New"/>
                <w:bCs/>
                <w:color w:val="auto"/>
                <w:kern w:val="2"/>
                <w:sz w:val="21"/>
                <w:szCs w:val="21"/>
                <w:highlight w:val="none"/>
                <w:lang w:val="en-US" w:eastAsia="zh-CN"/>
              </w:rPr>
              <w:t>0~</w:t>
            </w:r>
            <w:r>
              <w:rPr>
                <w:rFonts w:hint="eastAsia" w:ascii="宋体" w:hAnsi="宋体" w:eastAsia="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p>
        </w:tc>
      </w:tr>
      <w:tr w14:paraId="763B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74" w:type="dxa"/>
            <w:noWrap w:val="0"/>
            <w:vAlign w:val="center"/>
          </w:tcPr>
          <w:p w14:paraId="58A62443">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2.8</w:t>
            </w:r>
          </w:p>
        </w:tc>
        <w:tc>
          <w:tcPr>
            <w:tcW w:w="1620" w:type="dxa"/>
            <w:gridSpan w:val="2"/>
            <w:noWrap w:val="0"/>
            <w:vAlign w:val="center"/>
          </w:tcPr>
          <w:p w14:paraId="56A3E88F">
            <w:pPr>
              <w:keepNext w:val="0"/>
              <w:keepLines w:val="0"/>
              <w:pageBreakBefore w:val="0"/>
              <w:widowControl/>
              <w:kinsoku/>
              <w:wordWrap/>
              <w:overflowPunct/>
              <w:topLinePunct w:val="0"/>
              <w:autoSpaceDE/>
              <w:autoSpaceDN/>
              <w:bidi w:val="0"/>
              <w:spacing w:line="480" w:lineRule="exact"/>
              <w:ind w:right="0" w:rightChars="0"/>
              <w:jc w:val="center"/>
              <w:rPr>
                <w:rFonts w:hint="eastAsia" w:ascii="宋体" w:hAnsi="宋体" w:cs="宋体"/>
                <w:bCs/>
                <w:color w:val="auto"/>
                <w:kern w:val="0"/>
                <w:sz w:val="21"/>
                <w:szCs w:val="21"/>
                <w:highlight w:val="none"/>
              </w:rPr>
            </w:pPr>
            <w:r>
              <w:rPr>
                <w:rFonts w:hint="eastAsia" w:ascii="宋体" w:hAnsi="宋体" w:cs="宋体"/>
                <w:bCs/>
                <w:color w:val="auto"/>
                <w:kern w:val="0"/>
                <w:szCs w:val="21"/>
                <w:highlight w:val="none"/>
              </w:rPr>
              <w:t>确保工期的技术组织措施</w:t>
            </w:r>
          </w:p>
        </w:tc>
        <w:tc>
          <w:tcPr>
            <w:tcW w:w="6392" w:type="dxa"/>
            <w:noWrap w:val="0"/>
            <w:vAlign w:val="center"/>
          </w:tcPr>
          <w:p w14:paraId="72D68426">
            <w:pPr>
              <w:spacing w:line="400" w:lineRule="exact"/>
              <w:rPr>
                <w:rFonts w:ascii="宋体" w:hAnsi="宋体" w:cs="宋体"/>
                <w:bCs/>
                <w:color w:val="auto"/>
                <w:highlight w:val="none"/>
              </w:rPr>
            </w:pPr>
            <w:r>
              <w:rPr>
                <w:rFonts w:hint="eastAsia" w:ascii="宋体" w:hAnsi="宋体" w:cs="宋体"/>
                <w:bCs/>
                <w:color w:val="auto"/>
                <w:highlight w:val="none"/>
              </w:rPr>
              <w:t>优（</w:t>
            </w:r>
            <w:r>
              <w:rPr>
                <w:rFonts w:hint="eastAsia" w:ascii="宋体" w:hAnsi="宋体" w:cs="宋体"/>
                <w:bCs/>
                <w:color w:val="auto"/>
                <w:highlight w:val="none"/>
                <w:lang w:val="en-US" w:eastAsia="zh-CN"/>
              </w:rPr>
              <w:t>10</w:t>
            </w:r>
            <w:r>
              <w:rPr>
                <w:rFonts w:hint="eastAsia" w:ascii="宋体" w:hAnsi="宋体" w:cs="宋体"/>
                <w:bCs/>
                <w:color w:val="auto"/>
                <w:highlight w:val="none"/>
              </w:rPr>
              <w:t xml:space="preserve">分）：在施工工艺、施工方法、材料选用、劳动力安排、技术等方面有保证工期的具体措施。有控制工期的施工进度计划。有施工总进度表或施工网络图，各项计划图表编制完善，安排科学合理，符合本项目施工实际要求。 </w:t>
            </w:r>
          </w:p>
          <w:p w14:paraId="5E2654CB">
            <w:pPr>
              <w:spacing w:line="400" w:lineRule="exact"/>
              <w:rPr>
                <w:rFonts w:ascii="宋体" w:hAnsi="宋体" w:cs="宋体"/>
                <w:bCs/>
                <w:color w:val="auto"/>
                <w:highlight w:val="none"/>
              </w:rPr>
            </w:pPr>
            <w:r>
              <w:rPr>
                <w:rFonts w:hint="eastAsia" w:ascii="宋体" w:hAnsi="宋体" w:cs="宋体"/>
                <w:bCs/>
                <w:color w:val="auto"/>
                <w:highlight w:val="none"/>
              </w:rPr>
              <w:t>良（</w:t>
            </w:r>
            <w:r>
              <w:rPr>
                <w:rFonts w:hint="eastAsia" w:ascii="宋体" w:hAnsi="宋体" w:cs="宋体"/>
                <w:bCs/>
                <w:color w:val="auto"/>
                <w:highlight w:val="none"/>
                <w:lang w:val="en-US" w:eastAsia="zh-CN"/>
              </w:rPr>
              <w:t>7</w:t>
            </w:r>
            <w:r>
              <w:rPr>
                <w:rFonts w:hint="eastAsia" w:ascii="宋体" w:hAnsi="宋体" w:cs="宋体"/>
                <w:bCs/>
                <w:color w:val="auto"/>
                <w:highlight w:val="none"/>
              </w:rPr>
              <w:t>分）：在施工工艺、施工方法、材料选用、劳动力安排、技术等方面有可行措施。有控制工期的施工进度可行计划。有完整的施工总进度表或施工网络图，安排合理。</w:t>
            </w:r>
          </w:p>
          <w:p w14:paraId="718B6CFA">
            <w:pPr>
              <w:spacing w:line="400" w:lineRule="exact"/>
              <w:rPr>
                <w:rFonts w:ascii="宋体" w:hAnsi="宋体" w:cs="宋体"/>
                <w:bCs/>
                <w:color w:val="auto"/>
                <w:highlight w:val="none"/>
              </w:rPr>
            </w:pPr>
            <w:r>
              <w:rPr>
                <w:rFonts w:hint="eastAsia" w:ascii="宋体" w:hAnsi="宋体" w:cs="宋体"/>
                <w:bCs/>
                <w:color w:val="auto"/>
                <w:highlight w:val="none"/>
              </w:rPr>
              <w:t>中（</w:t>
            </w:r>
            <w:r>
              <w:rPr>
                <w:rFonts w:hint="eastAsia" w:ascii="宋体" w:hAnsi="宋体" w:cs="宋体"/>
                <w:bCs/>
                <w:color w:val="auto"/>
                <w:highlight w:val="none"/>
                <w:lang w:val="en-US" w:eastAsia="zh-CN"/>
              </w:rPr>
              <w:t>4</w:t>
            </w:r>
            <w:r>
              <w:rPr>
                <w:rFonts w:hint="eastAsia" w:ascii="宋体" w:hAnsi="宋体" w:cs="宋体"/>
                <w:bCs/>
                <w:color w:val="auto"/>
                <w:highlight w:val="none"/>
              </w:rPr>
              <w:t>分）：在施工工艺、施工方法、材料选用、劳动力安排、技术等方面有简单措施。有控制工期的施工进度可行计划。有完整的施工总进度表或施工网络图，安排基本合理。</w:t>
            </w:r>
          </w:p>
          <w:p w14:paraId="3BC36EAD">
            <w:pPr>
              <w:keepNext w:val="0"/>
              <w:keepLines w:val="0"/>
              <w:pageBreakBefore w:val="0"/>
              <w:widowControl/>
              <w:kinsoku/>
              <w:wordWrap/>
              <w:overflowPunct/>
              <w:topLinePunct w:val="0"/>
              <w:autoSpaceDE/>
              <w:autoSpaceDN/>
              <w:bidi w:val="0"/>
              <w:adjustRightInd/>
              <w:snapToGrid/>
              <w:spacing w:line="480" w:lineRule="exact"/>
              <w:ind w:right="0" w:rightChars="0"/>
              <w:jc w:val="both"/>
              <w:textAlignment w:val="auto"/>
              <w:rPr>
                <w:rFonts w:hint="eastAsia" w:ascii="宋体" w:hAnsi="宋体" w:cs="宋体"/>
                <w:bCs/>
                <w:color w:val="auto"/>
                <w:highlight w:val="none"/>
              </w:rPr>
            </w:pPr>
            <w:r>
              <w:rPr>
                <w:rFonts w:hint="eastAsia" w:ascii="宋体" w:hAnsi="宋体" w:cs="宋体"/>
                <w:bCs/>
                <w:color w:val="auto"/>
                <w:highlight w:val="none"/>
              </w:rPr>
              <w:t>差（1分）：在施工工艺、施工方法、材料选用、劳动力安排、技术等方面没有措施。没有控制工期的施工进度计划。没有施工总进度表或施工网络图。</w:t>
            </w:r>
          </w:p>
          <w:p w14:paraId="256C280B">
            <w:pPr>
              <w:pStyle w:val="11"/>
              <w:rPr>
                <w:rFonts w:hint="eastAsia"/>
                <w:color w:val="auto"/>
                <w:highlight w:val="none"/>
              </w:rPr>
            </w:pPr>
            <w:r>
              <w:rPr>
                <w:rFonts w:hint="eastAsia" w:ascii="宋体" w:hAnsi="宋体" w:eastAsia="宋体" w:cs="Courier New"/>
                <w:bCs/>
                <w:color w:val="auto"/>
                <w:kern w:val="2"/>
                <w:sz w:val="21"/>
                <w:szCs w:val="21"/>
                <w:highlight w:val="none"/>
              </w:rPr>
              <w:t>不符合最低入档条件的按不入档处理并计0分。</w:t>
            </w:r>
          </w:p>
        </w:tc>
        <w:tc>
          <w:tcPr>
            <w:tcW w:w="840" w:type="dxa"/>
            <w:noWrap w:val="0"/>
            <w:vAlign w:val="center"/>
          </w:tcPr>
          <w:p w14:paraId="1D288D36">
            <w:pPr>
              <w:keepNext w:val="0"/>
              <w:keepLines w:val="0"/>
              <w:pageBreakBefore w:val="0"/>
              <w:kinsoku/>
              <w:wordWrap/>
              <w:overflowPunct/>
              <w:topLinePunct w:val="0"/>
              <w:bidi w:val="0"/>
              <w:spacing w:line="400" w:lineRule="exact"/>
              <w:jc w:val="center"/>
              <w:textAlignment w:val="auto"/>
              <w:rPr>
                <w:rFonts w:hint="eastAsia" w:hAnsi="宋体" w:cs="Courier New"/>
                <w:bCs/>
                <w:color w:val="auto"/>
                <w:kern w:val="2"/>
                <w:sz w:val="21"/>
                <w:szCs w:val="21"/>
                <w:highlight w:val="none"/>
                <w:lang w:val="en-US" w:eastAsia="zh-CN"/>
              </w:rPr>
            </w:pPr>
            <w:r>
              <w:rPr>
                <w:rFonts w:hint="eastAsia" w:hAnsi="宋体" w:cs="Courier New"/>
                <w:bCs/>
                <w:color w:val="auto"/>
                <w:kern w:val="2"/>
                <w:sz w:val="21"/>
                <w:szCs w:val="21"/>
                <w:highlight w:val="none"/>
                <w:lang w:val="en-US" w:eastAsia="zh-CN"/>
              </w:rPr>
              <w:t>0~</w:t>
            </w:r>
            <w:r>
              <w:rPr>
                <w:rFonts w:hint="eastAsia" w:ascii="宋体" w:hAnsi="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p>
        </w:tc>
      </w:tr>
      <w:tr w14:paraId="00ED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74" w:type="dxa"/>
            <w:noWrap w:val="0"/>
            <w:vAlign w:val="center"/>
          </w:tcPr>
          <w:p w14:paraId="4D68E7CE">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9</w:t>
            </w:r>
          </w:p>
        </w:tc>
        <w:tc>
          <w:tcPr>
            <w:tcW w:w="1620" w:type="dxa"/>
            <w:gridSpan w:val="2"/>
            <w:noWrap w:val="0"/>
            <w:vAlign w:val="center"/>
          </w:tcPr>
          <w:p w14:paraId="0D25DD4F">
            <w:pPr>
              <w:pStyle w:val="14"/>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r>
              <w:rPr>
                <w:rFonts w:hint="eastAsia" w:ascii="宋体" w:hAnsi="宋体" w:eastAsia="宋体" w:cs="Courier New"/>
                <w:bCs/>
                <w:color w:val="auto"/>
                <w:kern w:val="2"/>
                <w:sz w:val="21"/>
                <w:szCs w:val="21"/>
                <w:highlight w:val="none"/>
              </w:rPr>
              <w:t>工程施工的重点</w:t>
            </w:r>
          </w:p>
        </w:tc>
        <w:tc>
          <w:tcPr>
            <w:tcW w:w="6392" w:type="dxa"/>
            <w:noWrap w:val="0"/>
            <w:vAlign w:val="center"/>
          </w:tcPr>
          <w:p w14:paraId="0BC1C2BE">
            <w:pPr>
              <w:keepNext w:val="0"/>
              <w:keepLines w:val="0"/>
              <w:pageBreakBefore w:val="0"/>
              <w:kinsoku/>
              <w:wordWrap/>
              <w:overflowPunct/>
              <w:topLinePunct w:val="0"/>
              <w:autoSpaceDE w:val="0"/>
              <w:autoSpaceDN w:val="0"/>
              <w:bidi w:val="0"/>
              <w:adjustRightInd w:val="0"/>
              <w:spacing w:line="4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优（</w:t>
            </w:r>
            <w:r>
              <w:rPr>
                <w:rFonts w:hint="eastAsia" w:cs="宋体" w:asciiTheme="minorEastAsia" w:hAnsiTheme="minorEastAsia" w:eastAsiaTheme="minorEastAsia"/>
                <w:color w:val="auto"/>
                <w:kern w:val="0"/>
                <w:sz w:val="21"/>
                <w:szCs w:val="21"/>
                <w:highlight w:val="none"/>
                <w:lang w:val="en-US" w:eastAsia="zh-CN"/>
              </w:rPr>
              <w:t>5</w:t>
            </w:r>
            <w:r>
              <w:rPr>
                <w:rFonts w:hint="eastAsia" w:cs="宋体" w:asciiTheme="minorEastAsia" w:hAnsiTheme="minorEastAsia" w:eastAsiaTheme="minorEastAsia"/>
                <w:color w:val="auto"/>
                <w:kern w:val="0"/>
                <w:sz w:val="21"/>
                <w:szCs w:val="21"/>
                <w:highlight w:val="none"/>
              </w:rPr>
              <w:t>分）</w:t>
            </w:r>
            <w:r>
              <w:rPr>
                <w:rFonts w:hint="eastAsia" w:cs="宋体" w:asciiTheme="minorEastAsia" w:hAnsiTheme="minorEastAsia" w:eastAsiaTheme="minorEastAsia"/>
                <w:color w:val="auto"/>
                <w:kern w:val="0"/>
                <w:sz w:val="21"/>
                <w:szCs w:val="21"/>
                <w:highlight w:val="none"/>
                <w:lang w:eastAsia="zh-CN"/>
              </w:rPr>
              <w:t>：</w:t>
            </w:r>
            <w:r>
              <w:rPr>
                <w:rFonts w:hint="eastAsia" w:cs="宋体" w:asciiTheme="minorEastAsia" w:hAnsiTheme="minorEastAsia" w:eastAsiaTheme="minorEastAsia"/>
                <w:color w:val="auto"/>
                <w:kern w:val="0"/>
                <w:sz w:val="21"/>
                <w:szCs w:val="21"/>
                <w:highlight w:val="none"/>
              </w:rPr>
              <w:t>针对本工程的特点，详细阐述了本工程的重点，解决重点问题的方法科学、详细贴合项目实际情况，能确保项目顺利实施。</w:t>
            </w:r>
          </w:p>
          <w:p w14:paraId="439BE406">
            <w:pPr>
              <w:keepNext w:val="0"/>
              <w:keepLines w:val="0"/>
              <w:pageBreakBefore w:val="0"/>
              <w:kinsoku/>
              <w:wordWrap/>
              <w:overflowPunct/>
              <w:topLinePunct w:val="0"/>
              <w:autoSpaceDE w:val="0"/>
              <w:autoSpaceDN w:val="0"/>
              <w:bidi w:val="0"/>
              <w:adjustRightInd w:val="0"/>
              <w:spacing w:line="4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良（</w:t>
            </w:r>
            <w:r>
              <w:rPr>
                <w:rFonts w:hint="eastAsia" w:cs="宋体" w:asciiTheme="minorEastAsia" w:hAnsiTheme="minorEastAsia" w:eastAsiaTheme="minorEastAsia"/>
                <w:color w:val="auto"/>
                <w:kern w:val="0"/>
                <w:sz w:val="21"/>
                <w:szCs w:val="21"/>
                <w:highlight w:val="none"/>
                <w:lang w:val="en-US" w:eastAsia="zh-CN"/>
              </w:rPr>
              <w:t>4</w:t>
            </w:r>
            <w:r>
              <w:rPr>
                <w:rFonts w:hint="eastAsia" w:cs="宋体" w:asciiTheme="minorEastAsia" w:hAnsiTheme="minorEastAsia" w:eastAsiaTheme="minorEastAsia"/>
                <w:color w:val="auto"/>
                <w:kern w:val="0"/>
                <w:sz w:val="21"/>
                <w:szCs w:val="21"/>
                <w:highlight w:val="none"/>
              </w:rPr>
              <w:t>分）</w:t>
            </w:r>
            <w:r>
              <w:rPr>
                <w:rFonts w:hint="eastAsia" w:cs="宋体" w:asciiTheme="minorEastAsia" w:hAnsiTheme="minorEastAsia" w:eastAsiaTheme="minorEastAsia"/>
                <w:color w:val="auto"/>
                <w:kern w:val="0"/>
                <w:sz w:val="21"/>
                <w:szCs w:val="21"/>
                <w:highlight w:val="none"/>
                <w:lang w:eastAsia="zh-CN"/>
              </w:rPr>
              <w:t>：</w:t>
            </w:r>
            <w:r>
              <w:rPr>
                <w:rFonts w:hint="eastAsia" w:cs="宋体" w:asciiTheme="minorEastAsia" w:hAnsiTheme="minorEastAsia" w:eastAsiaTheme="minorEastAsia"/>
                <w:color w:val="auto"/>
                <w:kern w:val="0"/>
                <w:sz w:val="21"/>
                <w:szCs w:val="21"/>
                <w:highlight w:val="none"/>
              </w:rPr>
              <w:t>针对本工程的特点，阐述了本工程的重点，解决重点问题的方法有针对性，其内容符合项目情况。</w:t>
            </w:r>
          </w:p>
          <w:p w14:paraId="3EFCB64E">
            <w:pPr>
              <w:keepNext w:val="0"/>
              <w:keepLines w:val="0"/>
              <w:pageBreakBefore w:val="0"/>
              <w:kinsoku/>
              <w:wordWrap/>
              <w:overflowPunct/>
              <w:topLinePunct w:val="0"/>
              <w:autoSpaceDE w:val="0"/>
              <w:autoSpaceDN w:val="0"/>
              <w:bidi w:val="0"/>
              <w:adjustRightInd w:val="0"/>
              <w:spacing w:line="4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w:t>
            </w:r>
            <w:r>
              <w:rPr>
                <w:rFonts w:hint="eastAsia" w:cs="宋体" w:asciiTheme="minorEastAsia" w:hAnsiTheme="minorEastAsia" w:eastAsiaTheme="minorEastAsia"/>
                <w:color w:val="auto"/>
                <w:kern w:val="0"/>
                <w:sz w:val="21"/>
                <w:szCs w:val="21"/>
                <w:highlight w:val="none"/>
                <w:lang w:val="en-US" w:eastAsia="zh-CN"/>
              </w:rPr>
              <w:t>2</w:t>
            </w:r>
            <w:r>
              <w:rPr>
                <w:rFonts w:hint="eastAsia" w:cs="宋体" w:asciiTheme="minorEastAsia" w:hAnsiTheme="minorEastAsia" w:eastAsiaTheme="minorEastAsia"/>
                <w:color w:val="auto"/>
                <w:kern w:val="0"/>
                <w:sz w:val="21"/>
                <w:szCs w:val="21"/>
                <w:highlight w:val="none"/>
              </w:rPr>
              <w:t>分）</w:t>
            </w:r>
            <w:r>
              <w:rPr>
                <w:rFonts w:hint="eastAsia" w:cs="宋体" w:asciiTheme="minorEastAsia" w:hAnsiTheme="minorEastAsia" w:eastAsiaTheme="minorEastAsia"/>
                <w:color w:val="auto"/>
                <w:kern w:val="0"/>
                <w:sz w:val="21"/>
                <w:szCs w:val="21"/>
                <w:highlight w:val="none"/>
                <w:lang w:eastAsia="zh-CN"/>
              </w:rPr>
              <w:t>：</w:t>
            </w:r>
            <w:r>
              <w:rPr>
                <w:rFonts w:hint="eastAsia" w:cs="宋体" w:asciiTheme="minorEastAsia" w:hAnsiTheme="minorEastAsia" w:eastAsiaTheme="minorEastAsia"/>
                <w:color w:val="auto"/>
                <w:kern w:val="0"/>
                <w:sz w:val="21"/>
                <w:szCs w:val="21"/>
                <w:highlight w:val="none"/>
              </w:rPr>
              <w:t>简单阐述了本工程的重点，解决重点问题的方法粗略。</w:t>
            </w:r>
          </w:p>
          <w:p w14:paraId="7331EDEE">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差（</w:t>
            </w:r>
            <w:r>
              <w:rPr>
                <w:rFonts w:hint="eastAsia" w:cs="宋体" w:asciiTheme="minorEastAsia" w:hAnsiTheme="minorEastAsia" w:eastAsiaTheme="minorEastAsia"/>
                <w:color w:val="auto"/>
                <w:kern w:val="0"/>
                <w:sz w:val="21"/>
                <w:szCs w:val="21"/>
                <w:highlight w:val="none"/>
                <w:lang w:val="en-US" w:eastAsia="zh-CN"/>
              </w:rPr>
              <w:t>1</w:t>
            </w:r>
            <w:r>
              <w:rPr>
                <w:rFonts w:hint="eastAsia" w:cs="宋体" w:asciiTheme="minorEastAsia" w:hAnsiTheme="minorEastAsia" w:eastAsiaTheme="minorEastAsia"/>
                <w:color w:val="auto"/>
                <w:kern w:val="0"/>
                <w:sz w:val="21"/>
                <w:szCs w:val="21"/>
                <w:highlight w:val="none"/>
              </w:rPr>
              <w:t>分）</w:t>
            </w:r>
            <w:r>
              <w:rPr>
                <w:rFonts w:hint="eastAsia" w:cs="宋体" w:asciiTheme="minorEastAsia" w:hAnsiTheme="minorEastAsia" w:eastAsiaTheme="minorEastAsia"/>
                <w:color w:val="auto"/>
                <w:kern w:val="0"/>
                <w:sz w:val="21"/>
                <w:szCs w:val="21"/>
                <w:highlight w:val="none"/>
                <w:lang w:eastAsia="zh-CN"/>
              </w:rPr>
              <w:t>：</w:t>
            </w:r>
            <w:r>
              <w:rPr>
                <w:rFonts w:hint="eastAsia" w:cs="宋体" w:asciiTheme="minorEastAsia" w:hAnsiTheme="minorEastAsia" w:eastAsiaTheme="minorEastAsia"/>
                <w:color w:val="auto"/>
                <w:kern w:val="0"/>
                <w:sz w:val="21"/>
                <w:szCs w:val="21"/>
                <w:highlight w:val="none"/>
              </w:rPr>
              <w:t>未阐述本工程的重点，无解决重点</w:t>
            </w:r>
            <w:r>
              <w:rPr>
                <w:rFonts w:hint="eastAsia" w:cs="宋体" w:asciiTheme="minorEastAsia" w:hAnsiTheme="minorEastAsia" w:eastAsiaTheme="minorEastAsia"/>
                <w:color w:val="auto"/>
                <w:sz w:val="21"/>
                <w:szCs w:val="21"/>
                <w:highlight w:val="none"/>
              </w:rPr>
              <w:t>问题的方法。</w:t>
            </w:r>
          </w:p>
          <w:p w14:paraId="1F12570F">
            <w:pPr>
              <w:pStyle w:val="14"/>
              <w:keepNext w:val="0"/>
              <w:keepLines w:val="0"/>
              <w:pageBreakBefore w:val="0"/>
              <w:kinsoku/>
              <w:wordWrap/>
              <w:overflowPunct/>
              <w:topLinePunct w:val="0"/>
              <w:bidi w:val="0"/>
              <w:spacing w:line="400" w:lineRule="exact"/>
              <w:jc w:val="left"/>
              <w:textAlignment w:val="auto"/>
              <w:rPr>
                <w:rFonts w:hint="eastAsia" w:ascii="宋体" w:hAnsi="宋体" w:cs="宋体"/>
                <w:bCs/>
                <w:color w:val="auto"/>
                <w:sz w:val="21"/>
                <w:szCs w:val="21"/>
                <w:highlight w:val="none"/>
              </w:rPr>
            </w:pPr>
            <w:r>
              <w:rPr>
                <w:rFonts w:hint="eastAsia" w:ascii="宋体" w:hAnsi="宋体" w:eastAsia="宋体" w:cs="Courier New"/>
                <w:bCs/>
                <w:color w:val="auto"/>
                <w:kern w:val="2"/>
                <w:sz w:val="21"/>
                <w:szCs w:val="21"/>
                <w:highlight w:val="none"/>
              </w:rPr>
              <w:t>不符合最低入档条件的按不入档处理并计0分。</w:t>
            </w:r>
          </w:p>
        </w:tc>
        <w:tc>
          <w:tcPr>
            <w:tcW w:w="840" w:type="dxa"/>
            <w:noWrap w:val="0"/>
            <w:vAlign w:val="center"/>
          </w:tcPr>
          <w:p w14:paraId="7C32F714">
            <w:pPr>
              <w:keepNext w:val="0"/>
              <w:keepLines w:val="0"/>
              <w:pageBreakBefore w:val="0"/>
              <w:kinsoku/>
              <w:wordWrap/>
              <w:overflowPunct/>
              <w:topLinePunct w:val="0"/>
              <w:bidi w:val="0"/>
              <w:spacing w:line="400" w:lineRule="exact"/>
              <w:jc w:val="both"/>
              <w:textAlignment w:val="auto"/>
              <w:rPr>
                <w:rFonts w:ascii="宋体" w:hAnsi="宋体" w:cs="宋体"/>
                <w:bCs/>
                <w:color w:val="auto"/>
                <w:kern w:val="0"/>
                <w:sz w:val="21"/>
                <w:szCs w:val="21"/>
                <w:highlight w:val="none"/>
              </w:rPr>
            </w:pPr>
            <w:r>
              <w:rPr>
                <w:rFonts w:hint="eastAsia" w:hAnsi="宋体" w:cs="Courier New"/>
                <w:bCs/>
                <w:color w:val="auto"/>
                <w:kern w:val="2"/>
                <w:sz w:val="21"/>
                <w:szCs w:val="21"/>
                <w:highlight w:val="none"/>
                <w:lang w:val="en-US" w:eastAsia="zh-CN"/>
              </w:rPr>
              <w:t>0~</w:t>
            </w:r>
            <w:r>
              <w:rPr>
                <w:rFonts w:hint="eastAsia" w:ascii="宋体" w:hAnsi="宋体" w:cs="Courier New"/>
                <w:bCs/>
                <w:color w:val="auto"/>
                <w:kern w:val="2"/>
                <w:sz w:val="21"/>
                <w:szCs w:val="21"/>
                <w:highlight w:val="none"/>
                <w:lang w:val="en-US" w:eastAsia="zh-CN"/>
              </w:rPr>
              <w:t>5</w:t>
            </w:r>
            <w:r>
              <w:rPr>
                <w:rFonts w:hint="eastAsia" w:ascii="宋体" w:hAnsi="宋体" w:eastAsia="宋体" w:cs="Courier New"/>
                <w:bCs/>
                <w:color w:val="auto"/>
                <w:kern w:val="2"/>
                <w:sz w:val="21"/>
                <w:szCs w:val="21"/>
                <w:highlight w:val="none"/>
              </w:rPr>
              <w:t>分</w:t>
            </w:r>
          </w:p>
        </w:tc>
      </w:tr>
      <w:tr w14:paraId="2982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74" w:type="dxa"/>
            <w:noWrap w:val="0"/>
            <w:vAlign w:val="center"/>
          </w:tcPr>
          <w:p w14:paraId="66934267">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3</w:t>
            </w:r>
          </w:p>
        </w:tc>
        <w:tc>
          <w:tcPr>
            <w:tcW w:w="1620" w:type="dxa"/>
            <w:gridSpan w:val="2"/>
            <w:noWrap w:val="0"/>
            <w:vAlign w:val="center"/>
          </w:tcPr>
          <w:p w14:paraId="14A047F1">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rPr>
              <w:t>商务分</w:t>
            </w:r>
          </w:p>
        </w:tc>
        <w:tc>
          <w:tcPr>
            <w:tcW w:w="6392" w:type="dxa"/>
            <w:noWrap w:val="0"/>
            <w:vAlign w:val="center"/>
          </w:tcPr>
          <w:p w14:paraId="1F9F6354">
            <w:pPr>
              <w:keepNext w:val="0"/>
              <w:keepLines w:val="0"/>
              <w:pageBreakBefore w:val="0"/>
              <w:widowControl/>
              <w:kinsoku/>
              <w:wordWrap/>
              <w:overflowPunct/>
              <w:topLinePunct w:val="0"/>
              <w:bidi w:val="0"/>
              <w:spacing w:line="400" w:lineRule="exact"/>
              <w:ind w:firstLine="422" w:firstLineChars="200"/>
              <w:jc w:val="center"/>
              <w:textAlignment w:val="auto"/>
              <w:rPr>
                <w:rFonts w:hint="eastAsia" w:ascii="宋体" w:hAnsi="宋体" w:cs="宋体"/>
                <w:b/>
                <w:bCs/>
                <w:color w:val="auto"/>
                <w:szCs w:val="21"/>
                <w:highlight w:val="none"/>
              </w:rPr>
            </w:pPr>
            <w:r>
              <w:rPr>
                <w:rFonts w:hint="eastAsia" w:ascii="宋体" w:hAnsi="宋体" w:eastAsia="宋体" w:cs="Tahoma"/>
                <w:b/>
                <w:bCs/>
                <w:color w:val="auto"/>
                <w:kern w:val="0"/>
                <w:szCs w:val="21"/>
                <w:highlight w:val="none"/>
              </w:rPr>
              <w:t>评审因素</w:t>
            </w:r>
          </w:p>
        </w:tc>
        <w:tc>
          <w:tcPr>
            <w:tcW w:w="840" w:type="dxa"/>
            <w:noWrap w:val="0"/>
            <w:vAlign w:val="center"/>
          </w:tcPr>
          <w:p w14:paraId="0205DC30">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10</w:t>
            </w:r>
            <w:r>
              <w:rPr>
                <w:rFonts w:hint="eastAsia" w:ascii="宋体" w:hAnsi="宋体" w:cs="宋体"/>
                <w:b/>
                <w:bCs/>
                <w:color w:val="auto"/>
                <w:kern w:val="0"/>
                <w:szCs w:val="21"/>
                <w:highlight w:val="none"/>
              </w:rPr>
              <w:t>分</w:t>
            </w:r>
          </w:p>
        </w:tc>
      </w:tr>
      <w:tr w14:paraId="462D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574" w:type="dxa"/>
            <w:noWrap w:val="0"/>
            <w:vAlign w:val="center"/>
          </w:tcPr>
          <w:p w14:paraId="245484FF">
            <w:pPr>
              <w:keepNext w:val="0"/>
              <w:keepLines w:val="0"/>
              <w:pageBreakBefore w:val="0"/>
              <w:kinsoku/>
              <w:wordWrap/>
              <w:overflowPunct/>
              <w:topLinePunct w:val="0"/>
              <w:bidi w:val="0"/>
              <w:spacing w:line="400" w:lineRule="exac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3.1</w:t>
            </w:r>
          </w:p>
        </w:tc>
        <w:tc>
          <w:tcPr>
            <w:tcW w:w="1620" w:type="dxa"/>
            <w:gridSpan w:val="2"/>
            <w:noWrap w:val="0"/>
            <w:vAlign w:val="center"/>
          </w:tcPr>
          <w:p w14:paraId="48402B4D">
            <w:pPr>
              <w:keepNext w:val="0"/>
              <w:keepLines w:val="0"/>
              <w:pageBreakBefore w:val="0"/>
              <w:kinsoku/>
              <w:wordWrap/>
              <w:overflowPunct/>
              <w:topLinePunct w:val="0"/>
              <w:bidi w:val="0"/>
              <w:snapToGrid w:val="0"/>
              <w:spacing w:line="400" w:lineRule="exact"/>
              <w:jc w:val="center"/>
              <w:textAlignment w:val="auto"/>
              <w:rPr>
                <w:rFonts w:hint="eastAsia" w:ascii="宋体" w:hAnsi="宋体" w:cs="宋体"/>
                <w:color w:val="auto"/>
                <w:kern w:val="0"/>
                <w:szCs w:val="21"/>
                <w:highlight w:val="none"/>
              </w:rPr>
            </w:pPr>
            <w:r>
              <w:rPr>
                <w:rFonts w:hint="eastAsia" w:ascii="宋体" w:hAnsi="宋体" w:eastAsia="宋体" w:cs="宋体"/>
                <w:bCs/>
                <w:color w:val="auto"/>
                <w:szCs w:val="21"/>
                <w:highlight w:val="none"/>
                <w:lang w:val="en-US" w:eastAsia="zh-CN"/>
              </w:rPr>
              <w:t>业绩</w:t>
            </w:r>
            <w:r>
              <w:rPr>
                <w:rFonts w:hint="eastAsia" w:ascii="宋体" w:hAnsi="宋体" w:cs="宋体"/>
                <w:bCs/>
                <w:color w:val="auto"/>
                <w:szCs w:val="21"/>
                <w:highlight w:val="none"/>
                <w:lang w:val="en-US" w:eastAsia="zh-CN"/>
              </w:rPr>
              <w:t>信誉</w:t>
            </w:r>
          </w:p>
        </w:tc>
        <w:tc>
          <w:tcPr>
            <w:tcW w:w="6392" w:type="dxa"/>
            <w:noWrap w:val="0"/>
            <w:vAlign w:val="center"/>
          </w:tcPr>
          <w:p w14:paraId="3552DF01">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szCs w:val="21"/>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eastAsia="宋体" w:cs="宋体"/>
                <w:color w:val="auto"/>
                <w:highlight w:val="none"/>
              </w:rPr>
              <w:t>供应商自20</w:t>
            </w: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年以来</w:t>
            </w:r>
            <w:r>
              <w:rPr>
                <w:rFonts w:hint="eastAsia" w:ascii="宋体" w:hAnsi="宋体" w:cs="宋体"/>
                <w:color w:val="auto"/>
                <w:highlight w:val="none"/>
                <w:lang w:val="en-US" w:eastAsia="zh-CN"/>
              </w:rPr>
              <w:t>承接</w:t>
            </w:r>
            <w:r>
              <w:rPr>
                <w:rFonts w:hint="eastAsia" w:ascii="宋体" w:hAnsi="宋体" w:eastAsia="宋体" w:cs="宋体"/>
                <w:color w:val="auto"/>
                <w:highlight w:val="none"/>
              </w:rPr>
              <w:t>过</w:t>
            </w:r>
            <w:r>
              <w:rPr>
                <w:rFonts w:hint="eastAsia" w:ascii="宋体" w:hAnsi="宋体" w:cs="宋体"/>
                <w:color w:val="auto"/>
                <w:highlight w:val="none"/>
                <w:lang w:val="en-US" w:eastAsia="zh-CN"/>
              </w:rPr>
              <w:t>同类</w:t>
            </w:r>
            <w:r>
              <w:rPr>
                <w:rFonts w:hint="eastAsia" w:ascii="宋体" w:hAnsi="宋体" w:eastAsia="宋体" w:cs="宋体"/>
                <w:color w:val="auto"/>
                <w:highlight w:val="none"/>
                <w:lang w:val="en-US" w:eastAsia="zh-CN"/>
              </w:rPr>
              <w:t>工程</w:t>
            </w:r>
            <w:r>
              <w:rPr>
                <w:rFonts w:hint="eastAsia" w:ascii="宋体" w:hAnsi="宋体" w:eastAsia="宋体" w:cs="宋体"/>
                <w:color w:val="auto"/>
                <w:highlight w:val="none"/>
              </w:rPr>
              <w:t>业绩的，每个项目计</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分；此项满分</w:t>
            </w:r>
            <w:r>
              <w:rPr>
                <w:rFonts w:hint="eastAsia" w:ascii="宋体" w:hAnsi="宋体" w:cs="宋体"/>
                <w:color w:val="auto"/>
                <w:highlight w:val="none"/>
                <w:lang w:val="en-US" w:eastAsia="zh-CN"/>
              </w:rPr>
              <w:t>6</w:t>
            </w:r>
            <w:r>
              <w:rPr>
                <w:rFonts w:hint="eastAsia" w:ascii="宋体" w:hAnsi="宋体" w:eastAsia="宋体" w:cs="宋体"/>
                <w:color w:val="auto"/>
                <w:highlight w:val="none"/>
              </w:rPr>
              <w:t>分。</w:t>
            </w:r>
            <w:r>
              <w:rPr>
                <w:rFonts w:hint="eastAsia" w:ascii="宋体" w:hAnsi="宋体" w:eastAsia="宋体" w:cs="宋体"/>
                <w:b w:val="0"/>
                <w:bCs w:val="0"/>
                <w:color w:val="auto"/>
                <w:highlight w:val="none"/>
              </w:rPr>
              <w:t>（提供</w:t>
            </w:r>
            <w:r>
              <w:rPr>
                <w:rFonts w:hint="eastAsia" w:ascii="宋体" w:hAnsi="宋体" w:eastAsia="宋体" w:cs="宋体"/>
                <w:b w:val="0"/>
                <w:bCs w:val="0"/>
                <w:color w:val="auto"/>
                <w:szCs w:val="21"/>
                <w:highlight w:val="none"/>
              </w:rPr>
              <w:t>中标</w:t>
            </w:r>
            <w:r>
              <w:rPr>
                <w:rFonts w:hint="eastAsia" w:ascii="宋体" w:hAnsi="宋体" w:eastAsia="宋体" w:cs="宋体"/>
                <w:b w:val="0"/>
                <w:bCs w:val="0"/>
                <w:color w:val="auto"/>
                <w:szCs w:val="21"/>
                <w:highlight w:val="none"/>
                <w:lang w:val="en-US" w:eastAsia="zh-CN"/>
              </w:rPr>
              <w:t>/成交</w:t>
            </w:r>
            <w:r>
              <w:rPr>
                <w:rFonts w:hint="eastAsia" w:ascii="宋体" w:hAnsi="宋体" w:eastAsia="宋体" w:cs="宋体"/>
                <w:b w:val="0"/>
                <w:bCs w:val="0"/>
                <w:color w:val="auto"/>
                <w:szCs w:val="21"/>
                <w:highlight w:val="none"/>
              </w:rPr>
              <w:t>通知书</w:t>
            </w:r>
            <w:r>
              <w:rPr>
                <w:rFonts w:hint="eastAsia" w:ascii="宋体" w:hAnsi="宋体" w:eastAsia="宋体" w:cs="宋体"/>
                <w:b w:val="0"/>
                <w:bCs w:val="0"/>
                <w:color w:val="auto"/>
                <w:szCs w:val="21"/>
                <w:highlight w:val="none"/>
                <w:lang w:val="en-US" w:eastAsia="zh-CN"/>
              </w:rPr>
              <w:t>或</w:t>
            </w:r>
            <w:r>
              <w:rPr>
                <w:rFonts w:hint="eastAsia" w:ascii="宋体" w:hAnsi="宋体" w:eastAsia="宋体" w:cs="宋体"/>
                <w:b w:val="0"/>
                <w:bCs w:val="0"/>
                <w:color w:val="auto"/>
                <w:szCs w:val="21"/>
                <w:highlight w:val="none"/>
              </w:rPr>
              <w:t>合同协议书复印件</w:t>
            </w:r>
            <w:r>
              <w:rPr>
                <w:rFonts w:hint="eastAsia" w:ascii="宋体" w:hAnsi="宋体" w:eastAsia="宋体" w:cs="宋体"/>
                <w:b w:val="0"/>
                <w:bCs w:val="0"/>
                <w:color w:val="auto"/>
                <w:szCs w:val="21"/>
                <w:highlight w:val="none"/>
                <w:lang w:val="en-US" w:eastAsia="zh-CN"/>
              </w:rPr>
              <w:t>并</w:t>
            </w:r>
            <w:r>
              <w:rPr>
                <w:rFonts w:hint="eastAsia" w:ascii="宋体" w:hAnsi="宋体" w:eastAsia="宋体" w:cs="宋体"/>
                <w:b w:val="0"/>
                <w:bCs w:val="0"/>
                <w:color w:val="auto"/>
                <w:szCs w:val="21"/>
                <w:highlight w:val="none"/>
              </w:rPr>
              <w:t>加盖供应商单位公章</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否则不予计分</w:t>
            </w:r>
            <w:r>
              <w:rPr>
                <w:rFonts w:hint="eastAsia" w:ascii="宋体" w:hAnsi="宋体" w:eastAsia="宋体" w:cs="宋体"/>
                <w:b w:val="0"/>
                <w:bCs w:val="0"/>
                <w:color w:val="auto"/>
                <w:szCs w:val="21"/>
                <w:highlight w:val="none"/>
              </w:rPr>
              <w:t>）</w:t>
            </w:r>
          </w:p>
          <w:p w14:paraId="5875FCD1">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宋体"/>
                <w:bCs/>
                <w:color w:val="auto"/>
                <w:kern w:val="0"/>
                <w:szCs w:val="21"/>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eastAsia="宋体" w:cs="宋体"/>
                <w:color w:val="auto"/>
                <w:highlight w:val="none"/>
              </w:rPr>
              <w:t>供应商自20</w:t>
            </w: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年以来</w:t>
            </w:r>
            <w:r>
              <w:rPr>
                <w:rFonts w:hint="eastAsia" w:ascii="宋体" w:hAnsi="宋体" w:cs="宋体"/>
                <w:color w:val="auto"/>
                <w:highlight w:val="none"/>
                <w:lang w:eastAsia="zh-CN"/>
              </w:rPr>
              <w:t>获得市级或以上的建设工程施工安全文明标准化工地，每个</w:t>
            </w:r>
            <w:r>
              <w:rPr>
                <w:rFonts w:hint="eastAsia" w:ascii="宋体" w:hAnsi="宋体" w:cs="宋体"/>
                <w:color w:val="auto"/>
                <w:highlight w:val="none"/>
                <w:lang w:val="en-US" w:eastAsia="zh-CN"/>
              </w:rPr>
              <w:t>1分，满分4分</w:t>
            </w:r>
          </w:p>
        </w:tc>
        <w:tc>
          <w:tcPr>
            <w:tcW w:w="840" w:type="dxa"/>
            <w:noWrap w:val="0"/>
            <w:vAlign w:val="center"/>
          </w:tcPr>
          <w:p w14:paraId="29A95F42">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lang w:val="en-US" w:eastAsia="zh-CN"/>
              </w:rPr>
              <w:t>分</w:t>
            </w:r>
          </w:p>
        </w:tc>
      </w:tr>
    </w:tbl>
    <w:p w14:paraId="0C91535A">
      <w:pPr>
        <w:spacing w:line="360" w:lineRule="auto"/>
        <w:rPr>
          <w:rFonts w:hint="eastAsia" w:ascii="宋体" w:hAnsi="宋体" w:eastAsia="宋体" w:cs="宋体"/>
          <w:color w:val="auto"/>
          <w:highlight w:val="none"/>
        </w:rPr>
      </w:pPr>
    </w:p>
    <w:p w14:paraId="36A97605">
      <w:pPr>
        <w:spacing w:line="360" w:lineRule="auto"/>
        <w:ind w:firstLine="420" w:firstLineChars="200"/>
        <w:rPr>
          <w:rFonts w:hint="eastAsia" w:ascii="宋体" w:hAnsi="宋体" w:eastAsia="宋体" w:cs="宋体"/>
          <w:b w:val="0"/>
          <w:bCs/>
          <w:color w:val="auto"/>
          <w:highlight w:val="none"/>
        </w:rPr>
      </w:pPr>
      <w:r>
        <w:rPr>
          <w:rFonts w:hint="eastAsia" w:ascii="宋体" w:hAnsi="宋体" w:eastAsia="宋体" w:cs="宋体"/>
          <w:color w:val="auto"/>
          <w:highlight w:val="none"/>
        </w:rPr>
        <w:t>8.2商务技术评审因素为客观评分项的，应在评分项目或评分标准中予以标注为“客观分”。对供应商的客观评分项目，各评审专家评分应当一致。</w:t>
      </w:r>
    </w:p>
    <w:p w14:paraId="1F6AEE7C">
      <w:pPr>
        <w:spacing w:line="360" w:lineRule="auto"/>
        <w:ind w:firstLine="420" w:firstLineChars="200"/>
        <w:rPr>
          <w:rFonts w:hint="eastAsia" w:ascii="宋体" w:hAnsi="宋体" w:eastAsia="宋体" w:cs="宋体"/>
          <w:color w:val="auto"/>
          <w:highlight w:val="none"/>
        </w:rPr>
      </w:pPr>
      <w:bookmarkStart w:id="83" w:name="_Toc80205935"/>
      <w:r>
        <w:rPr>
          <w:rFonts w:hint="eastAsia" w:ascii="宋体" w:hAnsi="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.终止竞争性磋商采购活动</w:t>
      </w:r>
    </w:p>
    <w:p w14:paraId="5B7BFF4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1A234196">
      <w:pPr>
        <w:pStyle w:val="3"/>
        <w:spacing w:before="0" w:after="0" w:line="360" w:lineRule="auto"/>
        <w:jc w:val="both"/>
        <w:rPr>
          <w:rFonts w:hint="eastAsia" w:ascii="宋体" w:hAnsi="宋体" w:eastAsia="宋体" w:cs="宋体"/>
          <w:b w:val="0"/>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EA3220D">
      <w:pPr>
        <w:pStyle w:val="3"/>
        <w:spacing w:before="0" w:after="0" w:line="360" w:lineRule="auto"/>
        <w:ind w:firstLine="640" w:firstLineChars="200"/>
        <w:jc w:val="center"/>
        <w:rPr>
          <w:rFonts w:hint="eastAsia" w:ascii="宋体" w:hAnsi="宋体" w:eastAsia="宋体" w:cs="宋体"/>
          <w:b w:val="0"/>
          <w:color w:val="auto"/>
          <w:highlight w:val="none"/>
          <w:lang w:eastAsia="zh-CN"/>
        </w:rPr>
      </w:pPr>
      <w:bookmarkStart w:id="84" w:name="_Toc22098"/>
      <w:bookmarkStart w:id="85" w:name="_Toc6406"/>
      <w:bookmarkStart w:id="86" w:name="_Toc498"/>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二</w:t>
      </w:r>
      <w:r>
        <w:rPr>
          <w:rFonts w:hint="eastAsia" w:ascii="宋体" w:hAnsi="宋体" w:eastAsia="宋体" w:cs="宋体"/>
          <w:b w:val="0"/>
          <w:color w:val="auto"/>
          <w:highlight w:val="none"/>
        </w:rPr>
        <w:t xml:space="preserve">节 </w:t>
      </w:r>
      <w:r>
        <w:rPr>
          <w:rFonts w:hint="eastAsia" w:ascii="宋体" w:hAnsi="宋体" w:eastAsia="宋体" w:cs="宋体"/>
          <w:b w:val="0"/>
          <w:color w:val="auto"/>
          <w:highlight w:val="none"/>
          <w:lang w:eastAsia="zh-CN"/>
        </w:rPr>
        <w:t>评标报告</w:t>
      </w:r>
      <w:bookmarkEnd w:id="83"/>
      <w:bookmarkEnd w:id="84"/>
      <w:bookmarkEnd w:id="85"/>
      <w:bookmarkEnd w:id="86"/>
    </w:p>
    <w:p w14:paraId="72D8746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6EA2BFF2">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需求偏离分由高到低排序）。评审得分、最后报价（不计算价格折扣）、技术得分、</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需求偏离分均相同的，由磋商小组随机抽取推荐。</w:t>
      </w:r>
    </w:p>
    <w:p w14:paraId="77C75123">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37B51EB8">
      <w:pPr>
        <w:pStyle w:val="27"/>
        <w:spacing w:before="0" w:line="360" w:lineRule="auto"/>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5C283997">
      <w:pPr>
        <w:pStyle w:val="3"/>
        <w:spacing w:before="0" w:after="0" w:line="360" w:lineRule="auto"/>
        <w:ind w:firstLine="640" w:firstLineChars="200"/>
        <w:jc w:val="center"/>
        <w:rPr>
          <w:rFonts w:hint="eastAsia" w:ascii="宋体" w:hAnsi="宋体" w:eastAsia="宋体" w:cs="宋体"/>
          <w:b w:val="0"/>
          <w:color w:val="auto"/>
          <w:highlight w:val="none"/>
        </w:rPr>
      </w:pPr>
      <w:bookmarkStart w:id="87" w:name="_Toc3713"/>
      <w:bookmarkStart w:id="88" w:name="_Toc9233"/>
      <w:bookmarkStart w:id="89" w:name="_Toc3846"/>
      <w:bookmarkStart w:id="90" w:name="_Toc80205936"/>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三</w:t>
      </w:r>
      <w:r>
        <w:rPr>
          <w:rFonts w:hint="eastAsia" w:ascii="宋体" w:hAnsi="宋体" w:eastAsia="宋体" w:cs="宋体"/>
          <w:b w:val="0"/>
          <w:color w:val="auto"/>
          <w:highlight w:val="none"/>
        </w:rPr>
        <w:t>节 评审过程的保密与录像</w:t>
      </w:r>
      <w:bookmarkEnd w:id="87"/>
      <w:bookmarkEnd w:id="88"/>
      <w:bookmarkEnd w:id="89"/>
      <w:bookmarkEnd w:id="90"/>
    </w:p>
    <w:p w14:paraId="2A16C44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0AEE1518">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507D7E5F">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452B162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154D28CF">
      <w:pPr>
        <w:spacing w:line="360" w:lineRule="auto"/>
        <w:ind w:firstLine="420" w:firstLineChars="200"/>
        <w:rPr>
          <w:rFonts w:hint="eastAsia" w:ascii="宋体" w:hAnsi="宋体" w:eastAsia="宋体" w:cs="宋体"/>
          <w:color w:val="auto"/>
          <w:highlight w:val="none"/>
        </w:rPr>
      </w:pPr>
    </w:p>
    <w:p w14:paraId="343E8E48">
      <w:pPr>
        <w:spacing w:line="360" w:lineRule="auto"/>
        <w:ind w:firstLine="420" w:firstLineChars="200"/>
        <w:rPr>
          <w:rFonts w:hint="eastAsia" w:ascii="宋体" w:hAnsi="宋体" w:eastAsia="宋体" w:cs="宋体"/>
          <w:color w:val="auto"/>
          <w:highlight w:val="none"/>
        </w:rPr>
      </w:pPr>
    </w:p>
    <w:p w14:paraId="1503E1A8">
      <w:pPr>
        <w:spacing w:line="360" w:lineRule="auto"/>
        <w:rPr>
          <w:rFonts w:hint="eastAsia" w:ascii="宋体" w:hAnsi="宋体" w:eastAsia="宋体" w:cs="宋体"/>
          <w:color w:val="auto"/>
          <w:highlight w:val="none"/>
        </w:rPr>
      </w:pPr>
    </w:p>
    <w:p w14:paraId="15081A5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6EB8A65">
      <w:pPr>
        <w:pStyle w:val="11"/>
        <w:spacing w:line="360" w:lineRule="auto"/>
        <w:rPr>
          <w:rFonts w:hint="eastAsia" w:ascii="宋体" w:hAnsi="宋体" w:eastAsia="宋体" w:cs="宋体"/>
          <w:color w:val="auto"/>
          <w:highlight w:val="none"/>
        </w:rPr>
      </w:pPr>
    </w:p>
    <w:p w14:paraId="3F77E3A5">
      <w:pPr>
        <w:pStyle w:val="11"/>
        <w:spacing w:line="360" w:lineRule="auto"/>
        <w:rPr>
          <w:rFonts w:hint="eastAsia" w:ascii="宋体" w:hAnsi="宋体" w:eastAsia="宋体" w:cs="宋体"/>
          <w:color w:val="auto"/>
          <w:highlight w:val="none"/>
        </w:rPr>
      </w:pPr>
    </w:p>
    <w:p w14:paraId="36D09383">
      <w:pPr>
        <w:pStyle w:val="11"/>
        <w:spacing w:line="360" w:lineRule="auto"/>
        <w:rPr>
          <w:rFonts w:hint="eastAsia" w:ascii="宋体" w:hAnsi="宋体" w:eastAsia="宋体" w:cs="宋体"/>
          <w:color w:val="auto"/>
          <w:highlight w:val="none"/>
        </w:rPr>
      </w:pPr>
    </w:p>
    <w:p w14:paraId="0BCBE23F">
      <w:pPr>
        <w:pStyle w:val="11"/>
        <w:spacing w:line="360" w:lineRule="auto"/>
        <w:rPr>
          <w:rFonts w:hint="eastAsia" w:ascii="宋体" w:hAnsi="宋体" w:eastAsia="宋体" w:cs="宋体"/>
          <w:color w:val="auto"/>
          <w:highlight w:val="none"/>
        </w:rPr>
      </w:pPr>
    </w:p>
    <w:p w14:paraId="4DFDA84F">
      <w:pPr>
        <w:pStyle w:val="11"/>
        <w:spacing w:line="360" w:lineRule="auto"/>
        <w:rPr>
          <w:rFonts w:hint="eastAsia" w:ascii="宋体" w:hAnsi="宋体" w:eastAsia="宋体" w:cs="宋体"/>
          <w:color w:val="auto"/>
          <w:highlight w:val="none"/>
        </w:rPr>
      </w:pPr>
    </w:p>
    <w:p w14:paraId="7CFF8736">
      <w:pPr>
        <w:pStyle w:val="11"/>
        <w:spacing w:line="360" w:lineRule="auto"/>
        <w:rPr>
          <w:rFonts w:hint="eastAsia" w:ascii="宋体" w:hAnsi="宋体" w:eastAsia="宋体" w:cs="宋体"/>
          <w:color w:val="auto"/>
          <w:highlight w:val="none"/>
        </w:rPr>
      </w:pPr>
    </w:p>
    <w:p w14:paraId="5BFDC49C">
      <w:pPr>
        <w:pStyle w:val="11"/>
        <w:spacing w:line="360" w:lineRule="auto"/>
        <w:rPr>
          <w:rFonts w:hint="eastAsia" w:ascii="宋体" w:hAnsi="宋体" w:eastAsia="宋体" w:cs="宋体"/>
          <w:color w:val="auto"/>
          <w:highlight w:val="none"/>
        </w:rPr>
      </w:pPr>
    </w:p>
    <w:p w14:paraId="5D26BFDE">
      <w:pPr>
        <w:pStyle w:val="11"/>
        <w:spacing w:line="360" w:lineRule="auto"/>
        <w:rPr>
          <w:rFonts w:hint="eastAsia" w:ascii="宋体" w:hAnsi="宋体" w:eastAsia="宋体" w:cs="宋体"/>
          <w:color w:val="auto"/>
          <w:highlight w:val="none"/>
        </w:rPr>
      </w:pPr>
    </w:p>
    <w:p w14:paraId="4BD74C88">
      <w:pPr>
        <w:pStyle w:val="11"/>
        <w:spacing w:line="360" w:lineRule="auto"/>
        <w:rPr>
          <w:rFonts w:hint="eastAsia" w:ascii="宋体" w:hAnsi="宋体" w:eastAsia="宋体" w:cs="宋体"/>
          <w:color w:val="auto"/>
          <w:highlight w:val="none"/>
        </w:rPr>
      </w:pPr>
    </w:p>
    <w:p w14:paraId="52E623EF">
      <w:pPr>
        <w:pStyle w:val="11"/>
        <w:spacing w:line="360" w:lineRule="auto"/>
        <w:rPr>
          <w:rFonts w:hint="eastAsia" w:ascii="宋体" w:hAnsi="宋体" w:eastAsia="宋体" w:cs="宋体"/>
          <w:color w:val="auto"/>
          <w:highlight w:val="none"/>
        </w:rPr>
      </w:pPr>
    </w:p>
    <w:p w14:paraId="0033D0CA">
      <w:pPr>
        <w:pStyle w:val="11"/>
        <w:spacing w:line="360" w:lineRule="auto"/>
        <w:rPr>
          <w:rFonts w:hint="eastAsia" w:ascii="宋体" w:hAnsi="宋体" w:eastAsia="宋体" w:cs="宋体"/>
          <w:color w:val="auto"/>
          <w:highlight w:val="none"/>
        </w:rPr>
      </w:pPr>
    </w:p>
    <w:p w14:paraId="118D779C">
      <w:pPr>
        <w:pStyle w:val="2"/>
        <w:spacing w:line="360" w:lineRule="auto"/>
        <w:jc w:val="center"/>
        <w:rPr>
          <w:rFonts w:hint="eastAsia" w:ascii="宋体" w:hAnsi="宋体" w:eastAsia="宋体" w:cs="宋体"/>
          <w:b/>
          <w:bCs/>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bookmarkStart w:id="91" w:name="_Toc16991"/>
      <w:bookmarkStart w:id="92" w:name="_Toc8541"/>
      <w:bookmarkStart w:id="93" w:name="_Toc29932"/>
      <w:r>
        <w:rPr>
          <w:rFonts w:hint="eastAsia" w:ascii="宋体" w:hAnsi="宋体" w:eastAsia="宋体" w:cs="宋体"/>
          <w:b/>
          <w:bCs/>
          <w:color w:val="auto"/>
          <w:highlight w:val="none"/>
        </w:rPr>
        <w:t>第五章 响应文件格式</w:t>
      </w:r>
      <w:bookmarkEnd w:id="91"/>
      <w:bookmarkEnd w:id="92"/>
      <w:bookmarkEnd w:id="93"/>
    </w:p>
    <w:p w14:paraId="20A3368E">
      <w:pPr>
        <w:pStyle w:val="3"/>
        <w:spacing w:line="360" w:lineRule="auto"/>
        <w:jc w:val="center"/>
        <w:rPr>
          <w:rFonts w:hint="eastAsia" w:ascii="宋体" w:hAnsi="宋体" w:eastAsia="宋体" w:cs="宋体"/>
          <w:b w:val="0"/>
          <w:color w:val="auto"/>
          <w:highlight w:val="none"/>
          <w:lang w:val="en-US" w:eastAsia="zh-CN"/>
        </w:rPr>
      </w:pPr>
      <w:bookmarkStart w:id="94" w:name="_Toc3747"/>
      <w:bookmarkStart w:id="95" w:name="_Toc80205938"/>
      <w:bookmarkStart w:id="96" w:name="_Toc16580"/>
      <w:bookmarkStart w:id="97" w:name="_Toc26547"/>
      <w:r>
        <w:rPr>
          <w:rFonts w:hint="eastAsia" w:ascii="宋体" w:hAnsi="宋体" w:eastAsia="宋体" w:cs="宋体"/>
          <w:b w:val="0"/>
          <w:color w:val="auto"/>
          <w:highlight w:val="none"/>
          <w:lang w:val="en-US" w:eastAsia="zh-CN"/>
        </w:rPr>
        <w:t>第一节 封面格式</w:t>
      </w:r>
      <w:bookmarkEnd w:id="94"/>
      <w:bookmarkEnd w:id="95"/>
      <w:bookmarkEnd w:id="96"/>
      <w:bookmarkEnd w:id="97"/>
    </w:p>
    <w:p w14:paraId="63F77032">
      <w:pPr>
        <w:snapToGrid w:val="0"/>
        <w:spacing w:before="120" w:beforeLines="50" w:after="50" w:line="360" w:lineRule="auto"/>
        <w:rPr>
          <w:rFonts w:hint="eastAsia" w:ascii="宋体" w:hAnsi="宋体" w:eastAsia="宋体" w:cs="宋体"/>
          <w:color w:val="auto"/>
          <w:sz w:val="24"/>
          <w:szCs w:val="20"/>
          <w:highlight w:val="none"/>
        </w:rPr>
      </w:pPr>
    </w:p>
    <w:p w14:paraId="017DC974">
      <w:pPr>
        <w:snapToGrid w:val="0"/>
        <w:spacing w:before="120" w:beforeLines="50" w:after="50" w:line="360" w:lineRule="auto"/>
        <w:jc w:val="center"/>
        <w:rPr>
          <w:rFonts w:hint="eastAsia" w:ascii="宋体" w:hAnsi="宋体" w:eastAsia="宋体" w:cs="宋体"/>
          <w:bCs/>
          <w:color w:val="auto"/>
          <w:sz w:val="24"/>
          <w:szCs w:val="20"/>
          <w:highlight w:val="none"/>
        </w:rPr>
      </w:pPr>
    </w:p>
    <w:p w14:paraId="76FDF323">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02107B8C">
      <w:pPr>
        <w:snapToGrid w:val="0"/>
        <w:spacing w:before="120" w:beforeLines="50" w:after="50" w:line="360" w:lineRule="auto"/>
        <w:rPr>
          <w:rFonts w:hint="eastAsia" w:ascii="宋体" w:hAnsi="宋体" w:eastAsia="宋体" w:cs="宋体"/>
          <w:bCs/>
          <w:color w:val="auto"/>
          <w:sz w:val="24"/>
          <w:szCs w:val="20"/>
          <w:highlight w:val="none"/>
        </w:rPr>
      </w:pPr>
    </w:p>
    <w:p w14:paraId="203A9A7E">
      <w:pPr>
        <w:snapToGrid w:val="0"/>
        <w:spacing w:before="120" w:beforeLines="50" w:after="50" w:line="360" w:lineRule="auto"/>
        <w:rPr>
          <w:rFonts w:hint="eastAsia" w:ascii="宋体" w:hAnsi="宋体" w:eastAsia="宋体" w:cs="宋体"/>
          <w:bCs/>
          <w:color w:val="auto"/>
          <w:sz w:val="32"/>
          <w:szCs w:val="32"/>
          <w:highlight w:val="none"/>
        </w:rPr>
      </w:pPr>
    </w:p>
    <w:p w14:paraId="0C8F4A5F">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p>
    <w:p w14:paraId="6B71D7F4">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14:paraId="681579C3">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p>
    <w:p w14:paraId="682366BF">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14:paraId="3760A2C5">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386E6893">
      <w:pPr>
        <w:snapToGrid w:val="0"/>
        <w:spacing w:before="120" w:beforeLines="50" w:after="50" w:line="360" w:lineRule="auto"/>
        <w:rPr>
          <w:rFonts w:hint="eastAsia" w:ascii="宋体" w:hAnsi="宋体" w:eastAsia="宋体" w:cs="宋体"/>
          <w:bCs/>
          <w:color w:val="auto"/>
          <w:sz w:val="32"/>
          <w:szCs w:val="32"/>
          <w:highlight w:val="none"/>
        </w:rPr>
      </w:pPr>
    </w:p>
    <w:p w14:paraId="2704FCCA">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B6AF5A2">
      <w:pPr>
        <w:snapToGrid w:val="0"/>
        <w:spacing w:before="120" w:beforeLines="50" w:after="50" w:line="360" w:lineRule="auto"/>
        <w:rPr>
          <w:rFonts w:hint="eastAsia" w:ascii="宋体" w:hAnsi="宋体" w:eastAsia="宋体" w:cs="宋体"/>
          <w:bCs/>
          <w:color w:val="auto"/>
          <w:sz w:val="32"/>
          <w:szCs w:val="32"/>
          <w:highlight w:val="none"/>
        </w:rPr>
      </w:pPr>
    </w:p>
    <w:p w14:paraId="0811F8B3">
      <w:pPr>
        <w:snapToGrid w:val="0"/>
        <w:spacing w:before="120" w:beforeLines="50" w:after="50" w:line="360" w:lineRule="auto"/>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7B1FB683">
      <w:pPr>
        <w:snapToGrid w:val="0"/>
        <w:spacing w:before="120" w:beforeLines="50" w:after="50" w:line="360" w:lineRule="auto"/>
        <w:ind w:firstLine="5440" w:firstLineChars="1700"/>
        <w:jc w:val="center"/>
        <w:rPr>
          <w:rFonts w:hint="eastAsia" w:ascii="宋体" w:hAnsi="宋体" w:eastAsia="宋体" w:cs="宋体"/>
          <w:bCs/>
          <w:color w:val="auto"/>
          <w:sz w:val="32"/>
          <w:szCs w:val="32"/>
          <w:highlight w:val="none"/>
        </w:rPr>
      </w:pPr>
    </w:p>
    <w:p w14:paraId="08CD935E">
      <w:pPr>
        <w:snapToGrid w:val="0"/>
        <w:spacing w:before="120" w:beforeLines="50" w:after="50" w:line="360" w:lineRule="auto"/>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35166D12">
      <w:pPr>
        <w:spacing w:line="360" w:lineRule="auto"/>
        <w:rPr>
          <w:rFonts w:hint="eastAsia" w:ascii="宋体" w:hAnsi="宋体" w:eastAsia="宋体" w:cs="宋体"/>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4A37DC25">
      <w:pPr>
        <w:pStyle w:val="3"/>
        <w:spacing w:line="360" w:lineRule="auto"/>
        <w:jc w:val="center"/>
        <w:rPr>
          <w:rFonts w:hint="eastAsia" w:ascii="宋体" w:hAnsi="宋体" w:eastAsia="宋体" w:cs="宋体"/>
          <w:bCs w:val="0"/>
          <w:color w:val="auto"/>
          <w:highlight w:val="none"/>
        </w:rPr>
      </w:pPr>
      <w:bookmarkStart w:id="98" w:name="_Toc25717"/>
      <w:bookmarkStart w:id="99" w:name="_Toc21695"/>
      <w:bookmarkStart w:id="100" w:name="_Toc80205939"/>
      <w:bookmarkStart w:id="101" w:name="_Toc1270"/>
      <w:r>
        <w:rPr>
          <w:rFonts w:hint="eastAsia" w:ascii="宋体" w:hAnsi="宋体" w:eastAsia="宋体" w:cs="宋体"/>
          <w:bCs w:val="0"/>
          <w:color w:val="auto"/>
          <w:highlight w:val="none"/>
        </w:rPr>
        <w:t>第二节 资格证明文件格式</w:t>
      </w:r>
      <w:bookmarkEnd w:id="98"/>
      <w:bookmarkEnd w:id="99"/>
      <w:bookmarkEnd w:id="100"/>
      <w:bookmarkEnd w:id="101"/>
    </w:p>
    <w:p w14:paraId="4ACE31BD">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685465B0">
      <w:pPr>
        <w:snapToGrid w:val="0"/>
        <w:spacing w:before="120" w:beforeLines="50" w:after="50" w:line="360" w:lineRule="auto"/>
        <w:rPr>
          <w:rFonts w:hint="eastAsia" w:ascii="宋体" w:hAnsi="宋体" w:eastAsia="宋体" w:cs="宋体"/>
          <w:color w:val="auto"/>
          <w:sz w:val="24"/>
          <w:szCs w:val="20"/>
          <w:highlight w:val="none"/>
        </w:rPr>
      </w:pPr>
    </w:p>
    <w:p w14:paraId="65C7224D">
      <w:pPr>
        <w:snapToGrid w:val="0"/>
        <w:spacing w:before="120" w:beforeLines="50" w:after="50" w:line="360" w:lineRule="auto"/>
        <w:rPr>
          <w:rFonts w:hint="eastAsia" w:ascii="宋体" w:hAnsi="宋体" w:eastAsia="宋体" w:cs="宋体"/>
          <w:color w:val="auto"/>
          <w:sz w:val="24"/>
          <w:szCs w:val="20"/>
          <w:highlight w:val="none"/>
        </w:rPr>
      </w:pPr>
    </w:p>
    <w:p w14:paraId="43B2CE19">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6BC24B05">
      <w:pPr>
        <w:snapToGrid w:val="0"/>
        <w:spacing w:before="120" w:beforeLines="50" w:after="50" w:line="360" w:lineRule="auto"/>
        <w:rPr>
          <w:rFonts w:hint="eastAsia" w:ascii="宋体" w:hAnsi="宋体" w:eastAsia="宋体" w:cs="宋体"/>
          <w:bCs/>
          <w:color w:val="auto"/>
          <w:sz w:val="24"/>
          <w:szCs w:val="20"/>
          <w:highlight w:val="none"/>
        </w:rPr>
      </w:pPr>
    </w:p>
    <w:p w14:paraId="593F4DB1">
      <w:pPr>
        <w:snapToGrid w:val="0"/>
        <w:spacing w:before="120" w:beforeLines="50" w:after="50" w:line="360" w:lineRule="auto"/>
        <w:rPr>
          <w:rFonts w:hint="eastAsia" w:ascii="宋体" w:hAnsi="宋体" w:eastAsia="宋体" w:cs="宋体"/>
          <w:bCs/>
          <w:color w:val="auto"/>
          <w:sz w:val="24"/>
          <w:szCs w:val="20"/>
          <w:highlight w:val="none"/>
        </w:rPr>
      </w:pPr>
    </w:p>
    <w:p w14:paraId="7DD354D6">
      <w:pPr>
        <w:snapToGrid w:val="0"/>
        <w:spacing w:before="120" w:beforeLines="50" w:after="50" w:line="360" w:lineRule="auto"/>
        <w:rPr>
          <w:rFonts w:hint="eastAsia" w:ascii="宋体" w:hAnsi="宋体" w:eastAsia="宋体" w:cs="宋体"/>
          <w:bCs/>
          <w:color w:val="auto"/>
          <w:sz w:val="24"/>
          <w:szCs w:val="20"/>
          <w:highlight w:val="none"/>
        </w:rPr>
      </w:pPr>
    </w:p>
    <w:p w14:paraId="2BE7F63E">
      <w:pPr>
        <w:snapToGrid w:val="0"/>
        <w:spacing w:before="120" w:beforeLines="50" w:after="50" w:line="360" w:lineRule="auto"/>
        <w:rPr>
          <w:rFonts w:hint="eastAsia" w:ascii="宋体" w:hAnsi="宋体" w:eastAsia="宋体" w:cs="宋体"/>
          <w:bCs/>
          <w:color w:val="auto"/>
          <w:sz w:val="24"/>
          <w:szCs w:val="20"/>
          <w:highlight w:val="none"/>
        </w:rPr>
      </w:pPr>
    </w:p>
    <w:p w14:paraId="2CE191CF">
      <w:pPr>
        <w:snapToGrid w:val="0"/>
        <w:spacing w:before="120" w:beforeLines="50" w:after="50" w:line="360" w:lineRule="auto"/>
        <w:rPr>
          <w:rFonts w:hint="eastAsia" w:ascii="宋体" w:hAnsi="宋体" w:eastAsia="宋体" w:cs="宋体"/>
          <w:bCs/>
          <w:color w:val="auto"/>
          <w:sz w:val="24"/>
          <w:szCs w:val="20"/>
          <w:highlight w:val="none"/>
        </w:rPr>
      </w:pPr>
    </w:p>
    <w:p w14:paraId="04A2623E">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p>
    <w:p w14:paraId="3DE65CCB">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2FD29E44">
      <w:pPr>
        <w:snapToGrid w:val="0"/>
        <w:spacing w:before="120" w:beforeLines="50" w:after="50" w:line="360" w:lineRule="auto"/>
        <w:ind w:firstLine="720" w:firstLineChars="225"/>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p>
    <w:p w14:paraId="2F6A2288">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7BF43F94">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26EE6F8B">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599A3647">
      <w:pPr>
        <w:pStyle w:val="8"/>
        <w:snapToGrid w:val="0"/>
        <w:spacing w:before="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8C50C1D">
      <w:pPr>
        <w:pStyle w:val="8"/>
        <w:snapToGrid w:val="0"/>
        <w:spacing w:before="50" w:after="50" w:line="360" w:lineRule="auto"/>
        <w:ind w:left="0" w:leftChars="0" w:firstLine="0" w:firstLineChars="0"/>
        <w:rPr>
          <w:rFonts w:hint="eastAsia" w:ascii="宋体" w:hAnsi="宋体" w:eastAsia="宋体" w:cs="宋体"/>
          <w:bCs/>
          <w:color w:val="auto"/>
          <w:sz w:val="32"/>
          <w:szCs w:val="32"/>
          <w:highlight w:val="none"/>
        </w:rPr>
      </w:pPr>
    </w:p>
    <w:p w14:paraId="76D984CE">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33DBBC1D">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r>
        <w:rPr>
          <w:rFonts w:hint="eastAsia" w:ascii="宋体" w:hAnsi="宋体" w:eastAsia="宋体" w:cs="宋体"/>
          <w:b/>
          <w:color w:val="auto"/>
          <w:kern w:val="0"/>
          <w:sz w:val="36"/>
          <w:szCs w:val="36"/>
          <w:highlight w:val="none"/>
        </w:rPr>
        <w:t>资格证明文件目录</w:t>
      </w:r>
    </w:p>
    <w:p w14:paraId="5B55891A">
      <w:pPr>
        <w:snapToGrid w:val="0"/>
        <w:spacing w:line="360" w:lineRule="auto"/>
        <w:rPr>
          <w:rFonts w:hint="eastAsia" w:ascii="宋体" w:hAnsi="宋体" w:eastAsia="宋体" w:cs="宋体"/>
          <w:color w:val="auto"/>
          <w:kern w:val="0"/>
          <w:sz w:val="24"/>
          <w:highlight w:val="none"/>
        </w:rPr>
      </w:pPr>
    </w:p>
    <w:p w14:paraId="1C2BF3D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或事业法人登记证或其他工商等登记证明材料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复印件（供应商为自然人的，须提供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（页码）</w:t>
      </w:r>
    </w:p>
    <w:p w14:paraId="60DA2E0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二、符合参与政府采购活动的资格条件依法缴纳税收、社会保障资金等方面的材料………………………………………………………………………………</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（页码）</w:t>
      </w:r>
    </w:p>
    <w:p w14:paraId="758B289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三、财务状况报告方面的材料…………………………………………………（页码）</w:t>
      </w:r>
    </w:p>
    <w:p w14:paraId="591E68B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四、供应商直接控股股东信息</w:t>
      </w:r>
      <w:r>
        <w:rPr>
          <w:rFonts w:hint="eastAsia" w:ascii="宋体" w:hAnsi="宋体" w:eastAsia="宋体" w:cs="宋体"/>
          <w:color w:val="auto"/>
          <w:kern w:val="0"/>
          <w:sz w:val="24"/>
          <w:highlight w:val="none"/>
        </w:rPr>
        <w:t>…………………………………………………（页码）</w:t>
      </w:r>
    </w:p>
    <w:p w14:paraId="4BA9C83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五、供应商直接</w:t>
      </w:r>
      <w:r>
        <w:rPr>
          <w:rFonts w:hint="eastAsia" w:ascii="宋体" w:hAnsi="宋体" w:cs="宋体"/>
          <w:color w:val="auto"/>
          <w:sz w:val="24"/>
          <w:highlight w:val="none"/>
          <w:lang w:val="en-US" w:eastAsia="zh-CN"/>
        </w:rPr>
        <w:t>管理</w:t>
      </w:r>
      <w:r>
        <w:rPr>
          <w:rFonts w:hint="eastAsia" w:ascii="宋体" w:hAnsi="宋体" w:eastAsia="宋体" w:cs="宋体"/>
          <w:color w:val="auto"/>
          <w:sz w:val="24"/>
          <w:highlight w:val="none"/>
        </w:rPr>
        <w:t>关系信息表</w:t>
      </w:r>
      <w:r>
        <w:rPr>
          <w:rFonts w:hint="eastAsia" w:ascii="宋体" w:hAnsi="宋体" w:eastAsia="宋体" w:cs="宋体"/>
          <w:color w:val="auto"/>
          <w:kern w:val="0"/>
          <w:sz w:val="24"/>
          <w:highlight w:val="none"/>
        </w:rPr>
        <w:t>………………………………………………（页码）</w:t>
      </w:r>
    </w:p>
    <w:p w14:paraId="22FE0FF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六、资格声明函…………………………………………………………………（页码）</w:t>
      </w:r>
    </w:p>
    <w:p w14:paraId="4EDA272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七、联合体协议书（</w:t>
      </w:r>
      <w:r>
        <w:rPr>
          <w:rFonts w:hint="eastAsia" w:ascii="宋体" w:hAnsi="宋体" w:eastAsia="宋体" w:cs="宋体"/>
          <w:color w:val="auto"/>
          <w:sz w:val="24"/>
          <w:highlight w:val="none"/>
        </w:rPr>
        <w:t>以联合体形式响应的，提供联合体协议；本项目不接受联合体响应或者供应商不以联合体形式响应的，则不需要提供</w:t>
      </w:r>
      <w:r>
        <w:rPr>
          <w:rFonts w:hint="eastAsia" w:ascii="宋体" w:hAnsi="宋体" w:eastAsia="宋体" w:cs="宋体"/>
          <w:color w:val="auto"/>
          <w:kern w:val="0"/>
          <w:sz w:val="24"/>
          <w:highlight w:val="none"/>
        </w:rPr>
        <w:t>）………………………………（页码）</w:t>
      </w:r>
    </w:p>
    <w:p w14:paraId="27EF522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八、</w:t>
      </w:r>
      <w:r>
        <w:rPr>
          <w:rFonts w:hint="eastAsia" w:ascii="宋体" w:hAnsi="宋体" w:eastAsia="宋体"/>
          <w:color w:val="auto"/>
          <w:sz w:val="24"/>
          <w:szCs w:val="24"/>
          <w:highlight w:val="none"/>
          <w:lang w:eastAsia="zh-CN"/>
        </w:rPr>
        <w:t>中小</w:t>
      </w:r>
      <w:r>
        <w:rPr>
          <w:rFonts w:hint="eastAsia" w:ascii="宋体" w:hAnsi="宋体"/>
          <w:color w:val="auto"/>
          <w:sz w:val="24"/>
          <w:szCs w:val="24"/>
          <w:highlight w:val="none"/>
        </w:rPr>
        <w:t>企业声明函或残疾人福利性单位声明函或供应商属于监狱企业的证明材料</w:t>
      </w:r>
      <w:r>
        <w:rPr>
          <w:rFonts w:hint="eastAsia" w:ascii="宋体" w:hAnsi="宋体" w:cs="宋体"/>
          <w:color w:val="auto"/>
          <w:sz w:val="24"/>
          <w:szCs w:val="24"/>
          <w:highlight w:val="none"/>
        </w:rPr>
        <w:t>；</w:t>
      </w:r>
      <w:r>
        <w:rPr>
          <w:rFonts w:hint="eastAsia" w:ascii="宋体" w:hAnsi="宋体"/>
          <w:color w:val="auto"/>
          <w:szCs w:val="21"/>
          <w:highlight w:val="none"/>
        </w:rPr>
        <w:t>（</w:t>
      </w:r>
      <w:r>
        <w:rPr>
          <w:rFonts w:hint="eastAsia" w:ascii="宋体" w:hAnsi="宋体"/>
          <w:b/>
          <w:color w:val="auto"/>
          <w:szCs w:val="21"/>
          <w:highlight w:val="none"/>
        </w:rPr>
        <w:t>必须提供</w:t>
      </w:r>
      <w:r>
        <w:rPr>
          <w:rFonts w:hint="eastAsia" w:ascii="宋体" w:hAnsi="宋体"/>
          <w:b/>
          <w:color w:val="auto"/>
          <w:szCs w:val="21"/>
          <w:highlight w:val="none"/>
          <w:lang w:eastAsia="zh-CN"/>
        </w:rPr>
        <w:t>）</w:t>
      </w:r>
      <w:r>
        <w:rPr>
          <w:rFonts w:hint="eastAsia" w:ascii="宋体" w:hAnsi="宋体" w:eastAsia="宋体" w:cs="宋体"/>
          <w:color w:val="auto"/>
          <w:kern w:val="0"/>
          <w:sz w:val="24"/>
          <w:highlight w:val="none"/>
        </w:rPr>
        <w:t>………………………………………………（页码）</w:t>
      </w:r>
    </w:p>
    <w:p w14:paraId="4D345CF9">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val="en-US" w:eastAsia="zh-CN"/>
        </w:rPr>
        <w:t>九</w:t>
      </w:r>
      <w:r>
        <w:rPr>
          <w:rFonts w:hint="eastAsia" w:ascii="宋体" w:hAnsi="宋体" w:eastAsia="宋体" w:cs="宋体"/>
          <w:color w:val="auto"/>
          <w:sz w:val="24"/>
          <w:highlight w:val="none"/>
        </w:rPr>
        <w:t>、符合特定资格条件（如有）的有关证明材料（复印件）</w:t>
      </w:r>
      <w:r>
        <w:rPr>
          <w:rFonts w:hint="eastAsia" w:ascii="宋体" w:hAnsi="宋体" w:eastAsia="宋体" w:cs="宋体"/>
          <w:color w:val="auto"/>
          <w:kern w:val="0"/>
          <w:sz w:val="24"/>
          <w:highlight w:val="none"/>
        </w:rPr>
        <w:t>………………（页码）</w:t>
      </w:r>
    </w:p>
    <w:p w14:paraId="288DA544">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十</w:t>
      </w:r>
      <w:r>
        <w:rPr>
          <w:rFonts w:hint="eastAsia" w:ascii="宋体" w:hAnsi="宋体" w:eastAsia="宋体" w:cs="宋体"/>
          <w:color w:val="auto"/>
          <w:sz w:val="24"/>
          <w:highlight w:val="none"/>
        </w:rPr>
        <w:t>、除磋商文件规定必须提供以外，供应商认为需要提供的其他证明材料。</w:t>
      </w:r>
      <w:r>
        <w:rPr>
          <w:rFonts w:hint="eastAsia" w:ascii="宋体" w:hAnsi="宋体" w:eastAsia="宋体" w:cs="宋体"/>
          <w:color w:val="auto"/>
          <w:kern w:val="0"/>
          <w:sz w:val="24"/>
          <w:highlight w:val="none"/>
        </w:rPr>
        <w:t>…</w:t>
      </w:r>
    </w:p>
    <w:p w14:paraId="58C50016">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……………………………………………………………………………………（页码）</w:t>
      </w:r>
    </w:p>
    <w:p w14:paraId="44317CC2">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74A06EE1">
      <w:pPr>
        <w:snapToGrid w:val="0"/>
        <w:spacing w:before="120" w:beforeLines="50" w:after="50" w:line="360" w:lineRule="auto"/>
        <w:ind w:left="142" w:firstLine="420" w:firstLineChars="200"/>
        <w:jc w:val="left"/>
        <w:rPr>
          <w:rFonts w:hint="eastAsia" w:ascii="宋体" w:hAnsi="宋体" w:eastAsia="宋体" w:cs="宋体"/>
          <w:color w:val="auto"/>
          <w:szCs w:val="21"/>
          <w:highlight w:val="none"/>
        </w:rPr>
      </w:pPr>
    </w:p>
    <w:p w14:paraId="3277813B">
      <w:pPr>
        <w:spacing w:line="360" w:lineRule="auto"/>
        <w:rPr>
          <w:rFonts w:hint="eastAsia" w:ascii="宋体" w:hAnsi="宋体" w:eastAsia="宋体" w:cs="宋体"/>
          <w:color w:val="auto"/>
          <w:szCs w:val="21"/>
          <w:highlight w:val="none"/>
        </w:rPr>
      </w:pPr>
    </w:p>
    <w:p w14:paraId="24625F6A">
      <w:pPr>
        <w:spacing w:line="360" w:lineRule="auto"/>
        <w:rPr>
          <w:rFonts w:hint="eastAsia" w:ascii="宋体" w:hAnsi="宋体" w:eastAsia="宋体" w:cs="宋体"/>
          <w:color w:val="auto"/>
          <w:szCs w:val="21"/>
          <w:highlight w:val="none"/>
        </w:rPr>
      </w:pPr>
    </w:p>
    <w:p w14:paraId="061D969A">
      <w:pPr>
        <w:spacing w:line="360" w:lineRule="auto"/>
        <w:rPr>
          <w:rFonts w:hint="eastAsia" w:ascii="宋体" w:hAnsi="宋体" w:eastAsia="宋体" w:cs="宋体"/>
          <w:color w:val="auto"/>
          <w:szCs w:val="21"/>
          <w:highlight w:val="none"/>
        </w:rPr>
      </w:pPr>
    </w:p>
    <w:p w14:paraId="47F0E937">
      <w:pPr>
        <w:spacing w:line="360" w:lineRule="auto"/>
        <w:rPr>
          <w:rFonts w:hint="eastAsia" w:ascii="宋体" w:hAnsi="宋体" w:eastAsia="宋体" w:cs="宋体"/>
          <w:color w:val="auto"/>
          <w:szCs w:val="21"/>
          <w:highlight w:val="none"/>
        </w:rPr>
      </w:pPr>
    </w:p>
    <w:p w14:paraId="39666223">
      <w:pPr>
        <w:spacing w:line="360" w:lineRule="auto"/>
        <w:rPr>
          <w:rFonts w:hint="eastAsia" w:ascii="宋体" w:hAnsi="宋体" w:eastAsia="宋体" w:cs="宋体"/>
          <w:color w:val="auto"/>
          <w:szCs w:val="21"/>
          <w:highlight w:val="none"/>
        </w:rPr>
      </w:pPr>
    </w:p>
    <w:p w14:paraId="76B5B71E">
      <w:pPr>
        <w:spacing w:line="360" w:lineRule="auto"/>
        <w:rPr>
          <w:rFonts w:hint="eastAsia" w:ascii="宋体" w:hAnsi="宋体" w:eastAsia="宋体" w:cs="宋体"/>
          <w:color w:val="auto"/>
          <w:szCs w:val="21"/>
          <w:highlight w:val="none"/>
        </w:rPr>
      </w:pPr>
    </w:p>
    <w:p w14:paraId="1D9864C9">
      <w:pPr>
        <w:spacing w:line="360" w:lineRule="auto"/>
        <w:rPr>
          <w:rFonts w:hint="eastAsia" w:ascii="宋体" w:hAnsi="宋体" w:eastAsia="宋体" w:cs="宋体"/>
          <w:color w:val="auto"/>
          <w:szCs w:val="21"/>
          <w:highlight w:val="none"/>
        </w:rPr>
      </w:pPr>
    </w:p>
    <w:p w14:paraId="0C7EDC22">
      <w:pPr>
        <w:spacing w:line="360" w:lineRule="auto"/>
        <w:rPr>
          <w:rFonts w:hint="eastAsia" w:ascii="宋体" w:hAnsi="宋体" w:eastAsia="宋体" w:cs="宋体"/>
          <w:color w:val="auto"/>
          <w:szCs w:val="21"/>
          <w:highlight w:val="none"/>
        </w:rPr>
      </w:pPr>
    </w:p>
    <w:p w14:paraId="2B759420">
      <w:pPr>
        <w:spacing w:line="360" w:lineRule="auto"/>
        <w:rPr>
          <w:rFonts w:hint="eastAsia" w:ascii="宋体" w:hAnsi="宋体" w:eastAsia="宋体" w:cs="宋体"/>
          <w:color w:val="auto"/>
          <w:szCs w:val="21"/>
          <w:highlight w:val="none"/>
        </w:rPr>
      </w:pPr>
    </w:p>
    <w:p w14:paraId="6059BD79">
      <w:pPr>
        <w:pStyle w:val="14"/>
        <w:spacing w:line="360" w:lineRule="auto"/>
        <w:ind w:firstLine="400" w:firstLineChars="200"/>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r>
        <w:rPr>
          <w:rFonts w:hint="eastAsia" w:ascii="宋体" w:hAnsi="宋体" w:eastAsia="宋体" w:cs="宋体"/>
          <w:b/>
          <w:color w:val="auto"/>
          <w:sz w:val="30"/>
          <w:szCs w:val="30"/>
          <w:highlight w:val="none"/>
        </w:rPr>
        <w:t>一、营业执照</w:t>
      </w:r>
      <w:r>
        <w:rPr>
          <w:rFonts w:hint="eastAsia"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或事业法人登记证或其他工商等登记证明材料</w:t>
      </w:r>
      <w:r>
        <w:rPr>
          <w:rFonts w:hint="eastAsia"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复印件（</w:t>
      </w: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为自然人的，提供自然人的身份证明）</w:t>
      </w:r>
    </w:p>
    <w:p w14:paraId="28670854">
      <w:pPr>
        <w:pStyle w:val="14"/>
        <w:spacing w:line="360" w:lineRule="auto"/>
        <w:ind w:firstLine="602" w:firstLineChars="200"/>
        <w:rPr>
          <w:rFonts w:hint="eastAsia" w:ascii="宋体" w:hAnsi="宋体" w:eastAsia="宋体" w:cs="宋体"/>
          <w:b/>
          <w:color w:val="auto"/>
          <w:sz w:val="30"/>
          <w:szCs w:val="30"/>
          <w:highlight w:val="none"/>
        </w:rPr>
      </w:pPr>
    </w:p>
    <w:p w14:paraId="18789A06">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0E9E986">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4EF551E8">
      <w:pPr>
        <w:snapToGrid w:val="0"/>
        <w:spacing w:before="120" w:beforeLines="50" w:after="50" w:line="360" w:lineRule="auto"/>
        <w:rPr>
          <w:rFonts w:hint="eastAsia" w:ascii="宋体" w:hAnsi="宋体" w:eastAsia="宋体" w:cs="宋体"/>
          <w:color w:val="auto"/>
          <w:sz w:val="24"/>
          <w:szCs w:val="20"/>
          <w:highlight w:val="none"/>
        </w:rPr>
      </w:pPr>
    </w:p>
    <w:p w14:paraId="216F13A1">
      <w:pPr>
        <w:pStyle w:val="14"/>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二、</w:t>
      </w:r>
      <w:r>
        <w:rPr>
          <w:rFonts w:hint="eastAsia" w:ascii="宋体" w:hAnsi="宋体" w:eastAsia="宋体" w:cs="宋体"/>
          <w:b/>
          <w:color w:val="auto"/>
          <w:sz w:val="30"/>
          <w:szCs w:val="30"/>
          <w:highlight w:val="none"/>
        </w:rPr>
        <w:t>符合参与政府采购活动的资格条件依法缴纳税收、社会保障资金等方面的材料</w:t>
      </w:r>
    </w:p>
    <w:p w14:paraId="5EF7412D">
      <w:pPr>
        <w:spacing w:line="360" w:lineRule="auto"/>
        <w:rPr>
          <w:rFonts w:hint="eastAsia" w:ascii="宋体" w:hAnsi="宋体" w:eastAsia="宋体" w:cs="宋体"/>
          <w:color w:val="auto"/>
          <w:szCs w:val="21"/>
          <w:highlight w:val="none"/>
        </w:rPr>
      </w:pPr>
    </w:p>
    <w:p w14:paraId="78222E93">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A7FF72E">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60038CE0">
      <w:pPr>
        <w:spacing w:line="360" w:lineRule="auto"/>
        <w:rPr>
          <w:rFonts w:hint="eastAsia" w:ascii="宋体" w:hAnsi="宋体" w:eastAsia="宋体" w:cs="宋体"/>
          <w:color w:val="auto"/>
          <w:szCs w:val="21"/>
          <w:highlight w:val="none"/>
        </w:rPr>
      </w:pPr>
    </w:p>
    <w:p w14:paraId="7B852183">
      <w:pPr>
        <w:spacing w:line="360" w:lineRule="auto"/>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三、财务状况报告方面的材料</w:t>
      </w:r>
    </w:p>
    <w:p w14:paraId="07CEEAB6">
      <w:pPr>
        <w:spacing w:line="360" w:lineRule="auto"/>
        <w:rPr>
          <w:rFonts w:hint="eastAsia" w:ascii="宋体" w:hAnsi="宋体" w:eastAsia="宋体" w:cs="宋体"/>
          <w:color w:val="auto"/>
          <w:szCs w:val="21"/>
          <w:highlight w:val="none"/>
        </w:rPr>
      </w:pPr>
    </w:p>
    <w:p w14:paraId="3B882241">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1633FB1">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53BAB86F">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6B400D8">
      <w:pPr>
        <w:snapToGrid w:val="0"/>
        <w:spacing w:before="120" w:beforeLines="50" w:after="50" w:line="360" w:lineRule="auto"/>
        <w:jc w:val="center"/>
        <w:rPr>
          <w:rFonts w:hint="eastAsia" w:ascii="宋体" w:hAnsi="宋体" w:eastAsia="宋体" w:cs="宋体"/>
          <w:b/>
          <w:color w:val="auto"/>
          <w:sz w:val="24"/>
          <w:highlight w:val="none"/>
        </w:rPr>
      </w:pPr>
    </w:p>
    <w:p w14:paraId="50A55E13">
      <w:pPr>
        <w:spacing w:line="360" w:lineRule="auto"/>
        <w:ind w:firstLine="596" w:firstLineChars="198"/>
        <w:contextualSpacing/>
        <w:rPr>
          <w:rFonts w:hint="eastAsia" w:ascii="宋体" w:hAnsi="宋体" w:eastAsia="宋体" w:cs="宋体"/>
          <w:b/>
          <w:color w:val="auto"/>
          <w:kern w:val="0"/>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4B921C34">
      <w:pPr>
        <w:spacing w:line="360" w:lineRule="auto"/>
        <w:ind w:firstLine="596" w:firstLineChars="198"/>
        <w:contextualSpacing/>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四、供应商直接控股股东信息</w:t>
      </w:r>
    </w:p>
    <w:p w14:paraId="46D98F93">
      <w:pPr>
        <w:spacing w:line="360" w:lineRule="auto"/>
        <w:contextualSpacing/>
        <w:jc w:val="center"/>
        <w:rPr>
          <w:rFonts w:hint="eastAsia" w:ascii="宋体" w:hAnsi="宋体" w:eastAsia="宋体" w:cs="宋体"/>
          <w:b/>
          <w:color w:val="auto"/>
          <w:sz w:val="24"/>
          <w:highlight w:val="none"/>
        </w:rPr>
      </w:pPr>
    </w:p>
    <w:tbl>
      <w:tblPr>
        <w:tblStyle w:val="23"/>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29FC924">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218BC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569A94">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90294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76530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782466">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1D3D6162">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9C4351">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A819A6">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FED2D2">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42174B">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D2E4E0">
            <w:pPr>
              <w:widowControl/>
              <w:spacing w:line="360" w:lineRule="auto"/>
              <w:contextualSpacing/>
              <w:jc w:val="center"/>
              <w:rPr>
                <w:rFonts w:hint="eastAsia" w:ascii="宋体" w:hAnsi="宋体" w:eastAsia="宋体" w:cs="宋体"/>
                <w:color w:val="auto"/>
                <w:kern w:val="0"/>
                <w:sz w:val="24"/>
                <w:highlight w:val="none"/>
              </w:rPr>
            </w:pPr>
          </w:p>
        </w:tc>
      </w:tr>
      <w:tr w14:paraId="10021BF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F95CD8">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97568D">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664BCC">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D314DF">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B8A4D4">
            <w:pPr>
              <w:widowControl/>
              <w:spacing w:line="360" w:lineRule="auto"/>
              <w:contextualSpacing/>
              <w:jc w:val="center"/>
              <w:rPr>
                <w:rFonts w:hint="eastAsia" w:ascii="宋体" w:hAnsi="宋体" w:eastAsia="宋体" w:cs="宋体"/>
                <w:color w:val="auto"/>
                <w:kern w:val="0"/>
                <w:sz w:val="24"/>
                <w:highlight w:val="none"/>
              </w:rPr>
            </w:pPr>
          </w:p>
        </w:tc>
      </w:tr>
      <w:tr w14:paraId="2D4E560C">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567A52">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7F280E">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87EF74">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530A10">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00E4FE">
            <w:pPr>
              <w:widowControl/>
              <w:spacing w:line="360" w:lineRule="auto"/>
              <w:contextualSpacing/>
              <w:jc w:val="center"/>
              <w:rPr>
                <w:rFonts w:hint="eastAsia" w:ascii="宋体" w:hAnsi="宋体" w:eastAsia="宋体" w:cs="宋体"/>
                <w:color w:val="auto"/>
                <w:kern w:val="0"/>
                <w:sz w:val="24"/>
                <w:highlight w:val="none"/>
              </w:rPr>
            </w:pPr>
          </w:p>
        </w:tc>
      </w:tr>
      <w:tr w14:paraId="074AE68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05BF55">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2129DE">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566BF8">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9E7AD0">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31DE59">
            <w:pPr>
              <w:widowControl/>
              <w:spacing w:line="360" w:lineRule="auto"/>
              <w:contextualSpacing/>
              <w:jc w:val="center"/>
              <w:rPr>
                <w:rFonts w:hint="eastAsia" w:ascii="宋体" w:hAnsi="宋体" w:eastAsia="宋体" w:cs="宋体"/>
                <w:color w:val="auto"/>
                <w:kern w:val="0"/>
                <w:sz w:val="24"/>
                <w:highlight w:val="none"/>
              </w:rPr>
            </w:pPr>
          </w:p>
        </w:tc>
      </w:tr>
    </w:tbl>
    <w:p w14:paraId="7882FAB0">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7BA49C61">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CF16663">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70AD61B0">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67DE2CDC">
      <w:pPr>
        <w:snapToGrid w:val="0"/>
        <w:spacing w:line="360" w:lineRule="auto"/>
        <w:jc w:val="left"/>
        <w:rPr>
          <w:rFonts w:hint="eastAsia" w:ascii="宋体" w:hAnsi="宋体" w:eastAsia="宋体" w:cs="宋体"/>
          <w:color w:val="auto"/>
          <w:sz w:val="24"/>
          <w:highlight w:val="none"/>
        </w:rPr>
      </w:pPr>
    </w:p>
    <w:p w14:paraId="76540CD6">
      <w:pPr>
        <w:snapToGrid w:val="0"/>
        <w:spacing w:line="360" w:lineRule="auto"/>
        <w:jc w:val="left"/>
        <w:rPr>
          <w:rFonts w:hint="eastAsia" w:ascii="宋体" w:hAnsi="宋体" w:eastAsia="宋体" w:cs="宋体"/>
          <w:color w:val="auto"/>
          <w:sz w:val="24"/>
          <w:highlight w:val="none"/>
        </w:rPr>
      </w:pPr>
    </w:p>
    <w:p w14:paraId="6D9720A5">
      <w:pPr>
        <w:snapToGrid w:val="0"/>
        <w:spacing w:line="360" w:lineRule="auto"/>
        <w:jc w:val="left"/>
        <w:rPr>
          <w:rFonts w:hint="eastAsia" w:ascii="宋体" w:hAnsi="宋体" w:eastAsia="宋体" w:cs="宋体"/>
          <w:color w:val="auto"/>
          <w:sz w:val="24"/>
          <w:highlight w:val="none"/>
        </w:rPr>
      </w:pPr>
    </w:p>
    <w:p w14:paraId="0F9F3E44">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4F8211F">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2F2CD0D">
      <w:pPr>
        <w:snapToGrid w:val="0"/>
        <w:spacing w:line="360" w:lineRule="auto"/>
        <w:rPr>
          <w:rFonts w:hint="eastAsia" w:ascii="宋体" w:hAnsi="宋体" w:eastAsia="宋体" w:cs="宋体"/>
          <w:b/>
          <w:color w:val="auto"/>
          <w:kern w:val="0"/>
          <w:sz w:val="30"/>
          <w:szCs w:val="30"/>
          <w:highlight w:val="none"/>
        </w:rPr>
      </w:pPr>
    </w:p>
    <w:p w14:paraId="0163679B">
      <w:pPr>
        <w:snapToGrid w:val="0"/>
        <w:spacing w:line="360" w:lineRule="auto"/>
        <w:ind w:firstLine="596" w:firstLineChars="198"/>
        <w:rPr>
          <w:rFonts w:hint="eastAsia" w:ascii="宋体" w:hAnsi="宋体" w:eastAsia="宋体" w:cs="宋体"/>
          <w:b/>
          <w:color w:val="auto"/>
          <w:kern w:val="0"/>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67CB8AFD">
      <w:pPr>
        <w:snapToGrid w:val="0"/>
        <w:spacing w:line="360" w:lineRule="auto"/>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五、供应商直接管理关系信息表</w:t>
      </w:r>
    </w:p>
    <w:p w14:paraId="33330E56">
      <w:pPr>
        <w:snapToGrid w:val="0"/>
        <w:spacing w:line="360" w:lineRule="auto"/>
        <w:jc w:val="center"/>
        <w:rPr>
          <w:rFonts w:hint="eastAsia" w:ascii="宋体" w:hAnsi="宋体" w:eastAsia="宋体" w:cs="宋体"/>
          <w:b/>
          <w:color w:val="auto"/>
          <w:sz w:val="24"/>
          <w:highlight w:val="none"/>
        </w:rPr>
      </w:pPr>
    </w:p>
    <w:tbl>
      <w:tblPr>
        <w:tblStyle w:val="23"/>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7391060">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8753C4">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18E4A6">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14F76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C1EA81">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4932F92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749A7C">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518E46">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E2B1F8">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1C4654">
            <w:pPr>
              <w:widowControl/>
              <w:spacing w:line="360" w:lineRule="auto"/>
              <w:contextualSpacing/>
              <w:jc w:val="center"/>
              <w:rPr>
                <w:rFonts w:hint="eastAsia" w:ascii="宋体" w:hAnsi="宋体" w:eastAsia="宋体" w:cs="宋体"/>
                <w:color w:val="auto"/>
                <w:kern w:val="0"/>
                <w:sz w:val="24"/>
                <w:highlight w:val="none"/>
              </w:rPr>
            </w:pPr>
          </w:p>
        </w:tc>
      </w:tr>
      <w:tr w14:paraId="30AF577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AD5B03">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DE8F09">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B1632E">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DBBAF6">
            <w:pPr>
              <w:widowControl/>
              <w:spacing w:line="360" w:lineRule="auto"/>
              <w:contextualSpacing/>
              <w:jc w:val="center"/>
              <w:rPr>
                <w:rFonts w:hint="eastAsia" w:ascii="宋体" w:hAnsi="宋体" w:eastAsia="宋体" w:cs="宋体"/>
                <w:color w:val="auto"/>
                <w:kern w:val="0"/>
                <w:sz w:val="24"/>
                <w:highlight w:val="none"/>
              </w:rPr>
            </w:pPr>
          </w:p>
        </w:tc>
      </w:tr>
      <w:tr w14:paraId="3CFE6CA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FE1ACE">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C6AB98">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16D147">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0A5CFE">
            <w:pPr>
              <w:widowControl/>
              <w:spacing w:line="360" w:lineRule="auto"/>
              <w:contextualSpacing/>
              <w:jc w:val="center"/>
              <w:rPr>
                <w:rFonts w:hint="eastAsia" w:ascii="宋体" w:hAnsi="宋体" w:eastAsia="宋体" w:cs="宋体"/>
                <w:color w:val="auto"/>
                <w:kern w:val="0"/>
                <w:sz w:val="24"/>
                <w:highlight w:val="none"/>
              </w:rPr>
            </w:pPr>
          </w:p>
        </w:tc>
      </w:tr>
      <w:tr w14:paraId="5B941A26">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FF03FA">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C71907">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25BBCF">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DAF114">
            <w:pPr>
              <w:widowControl/>
              <w:spacing w:line="360" w:lineRule="auto"/>
              <w:contextualSpacing/>
              <w:jc w:val="center"/>
              <w:rPr>
                <w:rFonts w:hint="eastAsia" w:ascii="宋体" w:hAnsi="宋体" w:eastAsia="宋体" w:cs="宋体"/>
                <w:color w:val="auto"/>
                <w:kern w:val="0"/>
                <w:sz w:val="24"/>
                <w:highlight w:val="none"/>
              </w:rPr>
            </w:pPr>
          </w:p>
        </w:tc>
      </w:tr>
    </w:tbl>
    <w:p w14:paraId="43C0B210">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74F31145">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3126E242">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7F82A3C4">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1ABDC257">
      <w:pPr>
        <w:spacing w:line="360" w:lineRule="auto"/>
        <w:contextualSpacing/>
        <w:jc w:val="left"/>
        <w:rPr>
          <w:rFonts w:hint="eastAsia" w:ascii="宋体" w:hAnsi="宋体" w:eastAsia="宋体" w:cs="宋体"/>
          <w:color w:val="auto"/>
          <w:sz w:val="24"/>
          <w:highlight w:val="none"/>
        </w:rPr>
      </w:pPr>
    </w:p>
    <w:p w14:paraId="48FF20AC">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CD445CF">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0F25F4EA">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p>
    <w:p w14:paraId="2EA58FDA">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kern w:val="0"/>
          <w:sz w:val="30"/>
          <w:szCs w:val="30"/>
          <w:highlight w:val="none"/>
        </w:rPr>
        <w:t>六、资格声明函</w:t>
      </w:r>
    </w:p>
    <w:p w14:paraId="44D3E9D8">
      <w:pPr>
        <w:spacing w:line="360" w:lineRule="auto"/>
        <w:jc w:val="center"/>
        <w:rPr>
          <w:rFonts w:hint="eastAsia" w:ascii="宋体" w:hAnsi="宋体" w:eastAsia="宋体" w:cs="宋体"/>
          <w:b/>
          <w:color w:val="auto"/>
          <w:sz w:val="32"/>
          <w:szCs w:val="32"/>
          <w:highlight w:val="none"/>
        </w:rPr>
      </w:pPr>
    </w:p>
    <w:p w14:paraId="18E0648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14:paraId="3292C495">
      <w:pPr>
        <w:spacing w:line="360" w:lineRule="auto"/>
        <w:jc w:val="center"/>
        <w:rPr>
          <w:rFonts w:hint="eastAsia" w:ascii="宋体" w:hAnsi="宋体" w:eastAsia="宋体" w:cs="宋体"/>
          <w:color w:val="auto"/>
          <w:sz w:val="24"/>
          <w:szCs w:val="20"/>
          <w:highlight w:val="none"/>
        </w:rPr>
      </w:pPr>
    </w:p>
    <w:p w14:paraId="6135A5B8">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（采购代理机构名称）</w:t>
      </w:r>
      <w:r>
        <w:rPr>
          <w:rFonts w:hint="eastAsia" w:ascii="宋体" w:hAnsi="宋体" w:eastAsia="宋体" w:cs="宋体"/>
          <w:color w:val="auto"/>
          <w:sz w:val="24"/>
          <w:highlight w:val="none"/>
        </w:rPr>
        <w:t>：</w:t>
      </w:r>
    </w:p>
    <w:p w14:paraId="7FAB43C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2F5F77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项目的竞标，为便于贵方公正、择优</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rPr>
        <w:t>确定成交供应商及其竞标产品和服务，我方就本次竞标有关事项郑重声明如下：</w:t>
      </w:r>
    </w:p>
    <w:p w14:paraId="4351812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23333CD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2.我方不是为本次采购项目提供整体设计、规范编制或者项目管理、监理、检测等服务的供应商；在获知本项目采购信息后，与采购人聘请的为此项目提供咨询服务的公司及其附属机构没有任何联系。</w:t>
      </w:r>
    </w:p>
    <w:p w14:paraId="50DC462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2F94416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037E6D8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14:paraId="218E1E8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（3）同意提供按照贵方可能要求的与谈判有关的一切数据或者资料；</w:t>
      </w:r>
    </w:p>
    <w:p w14:paraId="6C61B42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（4）响应磋商文件规定的竞标有效期。</w:t>
      </w:r>
    </w:p>
    <w:p w14:paraId="73DAD1A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4.我方承诺符合《中华人民共和国政府采购法》第二十二条规定：</w:t>
      </w:r>
    </w:p>
    <w:p w14:paraId="5094CB1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B48353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2B869DD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E720BE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CAF8DC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4C4F785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3B9BC33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66C39C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9A200E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56DC1D0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F93547A">
      <w:pPr>
        <w:pStyle w:val="14"/>
        <w:numPr>
          <w:ilvl w:val="0"/>
          <w:numId w:val="0"/>
        </w:numPr>
        <w:spacing w:line="360"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lang w:val="en-US" w:eastAsia="zh-CN" w:bidi="ar-SA"/>
        </w:rPr>
        <w:t>7.</w:t>
      </w:r>
      <w:r>
        <w:rPr>
          <w:rFonts w:hint="eastAsia" w:ascii="宋体" w:hAnsi="宋体" w:eastAsia="宋体" w:cs="宋体"/>
          <w:color w:val="auto"/>
          <w:sz w:val="24"/>
          <w:szCs w:val="24"/>
          <w:highlight w:val="none"/>
        </w:rPr>
        <w:t>与本</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有关的一切正式往来信函请寄：</w:t>
      </w:r>
      <w:r>
        <w:rPr>
          <w:rFonts w:hint="eastAsia" w:ascii="宋体" w:hAnsi="宋体" w:eastAsia="宋体" w:cs="宋体"/>
          <w:color w:val="auto"/>
          <w:sz w:val="24"/>
          <w:szCs w:val="24"/>
          <w:highlight w:val="none"/>
          <w:u w:val="single"/>
        </w:rPr>
        <w:t xml:space="preserve">                  </w:t>
      </w:r>
    </w:p>
    <w:p w14:paraId="08DA5C7C">
      <w:pPr>
        <w:pStyle w:val="14"/>
        <w:numPr>
          <w:ilvl w:val="0"/>
          <w:numId w:val="0"/>
        </w:numPr>
        <w:spacing w:line="360"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14:paraId="02DCE061">
      <w:pPr>
        <w:pStyle w:val="14"/>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E0CE298">
      <w:pPr>
        <w:pStyle w:val="14"/>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0FA7067">
      <w:pPr>
        <w:pStyle w:val="13"/>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4996DCD3">
      <w:pPr>
        <w:pStyle w:val="13"/>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帐号：</w:t>
      </w:r>
      <w:r>
        <w:rPr>
          <w:rFonts w:hint="eastAsia" w:ascii="宋体" w:hAnsi="宋体" w:eastAsia="宋体" w:cs="宋体"/>
          <w:color w:val="auto"/>
          <w:sz w:val="24"/>
          <w:highlight w:val="none"/>
          <w:u w:val="single"/>
        </w:rPr>
        <w:t xml:space="preserve">                               </w:t>
      </w:r>
    </w:p>
    <w:p w14:paraId="24138472">
      <w:pPr>
        <w:pStyle w:val="13"/>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77D21D90">
      <w:pPr>
        <w:pStyle w:val="13"/>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1201E05B">
      <w:pPr>
        <w:pStyle w:val="13"/>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注：如为联合体竞标，盖章处须加盖联合体各方公章并由联合体各方法定代表人签署，否则其响应文件按无效响应处理。</w:t>
      </w:r>
    </w:p>
    <w:p w14:paraId="47D214A0">
      <w:pPr>
        <w:pStyle w:val="13"/>
        <w:tabs>
          <w:tab w:val="left" w:pos="939"/>
        </w:tabs>
        <w:spacing w:line="360" w:lineRule="auto"/>
        <w:ind w:left="0" w:leftChars="0" w:firstLine="480" w:firstLineChars="200"/>
        <w:rPr>
          <w:rFonts w:hint="eastAsia" w:ascii="宋体" w:hAnsi="宋体" w:eastAsia="宋体" w:cs="宋体"/>
          <w:color w:val="auto"/>
          <w:sz w:val="24"/>
          <w:highlight w:val="none"/>
        </w:rPr>
      </w:pPr>
    </w:p>
    <w:p w14:paraId="7F8C5E8F">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02F7AB4">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kern w:val="0"/>
          <w:sz w:val="24"/>
          <w:highlight w:val="none"/>
          <w:lang w:val="zh-CN"/>
        </w:rPr>
        <w:t>日期：  年  月   日</w:t>
      </w:r>
    </w:p>
    <w:p w14:paraId="0BF79305">
      <w:pPr>
        <w:pStyle w:val="8"/>
        <w:overflowPunct w:val="0"/>
        <w:spacing w:line="360" w:lineRule="auto"/>
        <w:ind w:firstLine="0"/>
        <w:rPr>
          <w:rFonts w:hint="eastAsia" w:ascii="宋体" w:hAnsi="宋体" w:eastAsia="宋体" w:cs="宋体"/>
          <w:b/>
          <w:bCs/>
          <w:color w:val="auto"/>
          <w:sz w:val="32"/>
          <w:szCs w:val="32"/>
          <w:highlight w:val="none"/>
        </w:rPr>
      </w:pPr>
      <w:r>
        <w:rPr>
          <w:rFonts w:hint="eastAsia" w:ascii="宋体" w:hAnsi="宋体" w:eastAsia="宋体" w:cs="宋体"/>
          <w:b/>
          <w:color w:val="auto"/>
          <w:kern w:val="0"/>
          <w:sz w:val="30"/>
          <w:szCs w:val="30"/>
          <w:highlight w:val="none"/>
        </w:rPr>
        <w:t>七、联合体协议书（如有）</w:t>
      </w:r>
    </w:p>
    <w:p w14:paraId="695F20C6">
      <w:pPr>
        <w:pStyle w:val="14"/>
        <w:spacing w:line="360" w:lineRule="auto"/>
        <w:jc w:val="center"/>
        <w:rPr>
          <w:rFonts w:hint="eastAsia" w:ascii="宋体" w:hAnsi="宋体" w:eastAsia="宋体" w:cs="宋体"/>
          <w:color w:val="auto"/>
          <w:kern w:val="2"/>
          <w:sz w:val="44"/>
          <w:szCs w:val="44"/>
          <w:highlight w:val="none"/>
          <w:lang w:val="en-US" w:eastAsia="zh-CN"/>
        </w:rPr>
      </w:pPr>
    </w:p>
    <w:p w14:paraId="3577688B">
      <w:pPr>
        <w:pStyle w:val="14"/>
        <w:spacing w:line="360" w:lineRule="auto"/>
        <w:jc w:val="center"/>
        <w:rPr>
          <w:rFonts w:hint="eastAsia" w:ascii="宋体" w:hAnsi="宋体" w:eastAsia="宋体" w:cs="宋体"/>
          <w:color w:val="auto"/>
          <w:kern w:val="2"/>
          <w:sz w:val="44"/>
          <w:szCs w:val="44"/>
          <w:highlight w:val="none"/>
          <w:lang w:val="en-US" w:eastAsia="zh-CN"/>
        </w:rPr>
      </w:pPr>
      <w:r>
        <w:rPr>
          <w:rFonts w:hint="eastAsia" w:ascii="宋体" w:hAnsi="宋体" w:eastAsia="宋体" w:cs="宋体"/>
          <w:color w:val="auto"/>
          <w:kern w:val="2"/>
          <w:sz w:val="44"/>
          <w:szCs w:val="44"/>
          <w:highlight w:val="none"/>
          <w:lang w:val="en-US" w:eastAsia="zh-CN"/>
        </w:rPr>
        <w:t>联合体竞标协议书（格式）</w:t>
      </w:r>
    </w:p>
    <w:p w14:paraId="4A6DDFDF">
      <w:pPr>
        <w:autoSpaceDE w:val="0"/>
        <w:autoSpaceDN w:val="0"/>
        <w:adjustRightInd w:val="0"/>
        <w:spacing w:line="360" w:lineRule="auto"/>
        <w:jc w:val="left"/>
        <w:rPr>
          <w:rFonts w:hint="eastAsia" w:ascii="宋体" w:hAnsi="宋体" w:eastAsia="宋体" w:cs="宋体"/>
          <w:color w:val="auto"/>
          <w:kern w:val="0"/>
          <w:szCs w:val="21"/>
          <w:highlight w:val="none"/>
          <w:u w:val="single"/>
        </w:rPr>
      </w:pPr>
    </w:p>
    <w:p w14:paraId="33E31AEA">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（所有成员单位名称）自愿组成联合体，共同参加</w:t>
      </w:r>
      <w:r>
        <w:rPr>
          <w:rFonts w:hint="eastAsia" w:ascii="宋体" w:hAnsi="宋体" w:eastAsia="宋体" w:cs="宋体"/>
          <w:color w:val="auto"/>
          <w:kern w:val="0"/>
          <w:sz w:val="24"/>
          <w:highlight w:val="none"/>
          <w:u w:val="single"/>
        </w:rPr>
        <w:t xml:space="preserve">     （采购代理机构名称）    </w:t>
      </w:r>
      <w:r>
        <w:rPr>
          <w:rFonts w:hint="eastAsia" w:ascii="宋体" w:hAnsi="宋体" w:eastAsia="宋体" w:cs="宋体"/>
          <w:color w:val="auto"/>
          <w:kern w:val="0"/>
          <w:sz w:val="24"/>
          <w:highlight w:val="none"/>
        </w:rPr>
        <w:t>组织的</w:t>
      </w:r>
      <w:r>
        <w:rPr>
          <w:rFonts w:hint="eastAsia" w:ascii="宋体" w:hAnsi="宋体" w:eastAsia="宋体" w:cs="宋体"/>
          <w:color w:val="auto"/>
          <w:kern w:val="0"/>
          <w:sz w:val="24"/>
          <w:highlight w:val="none"/>
          <w:u w:val="single"/>
        </w:rPr>
        <w:t xml:space="preserve">         （项目名称）         </w:t>
      </w:r>
      <w:r>
        <w:rPr>
          <w:rFonts w:hint="eastAsia" w:ascii="宋体" w:hAnsi="宋体" w:eastAsia="宋体" w:cs="宋体"/>
          <w:color w:val="auto"/>
          <w:kern w:val="0"/>
          <w:sz w:val="24"/>
          <w:highlight w:val="none"/>
        </w:rPr>
        <w:t>（项目编号：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）竞争性磋商采购。现就联合体竞标事宜订立如下协议：</w:t>
      </w:r>
    </w:p>
    <w:p w14:paraId="41C1C611">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sz w:val="24"/>
          <w:highlight w:val="none"/>
        </w:rPr>
        <w:t>________________________</w:t>
      </w:r>
      <w:r>
        <w:rPr>
          <w:rFonts w:hint="eastAsia" w:ascii="宋体" w:hAnsi="宋体" w:eastAsia="宋体" w:cs="宋体"/>
          <w:color w:val="auto"/>
          <w:kern w:val="0"/>
          <w:sz w:val="24"/>
          <w:highlight w:val="none"/>
        </w:rPr>
        <w:t>（某成员单位名称）为联合体名称牵头人。</w:t>
      </w:r>
    </w:p>
    <w:p w14:paraId="3FA7A200">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65BD273A">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584FA449">
      <w:pPr>
        <w:autoSpaceDE w:val="0"/>
        <w:autoSpaceDN w:val="0"/>
        <w:adjustRightInd w:val="0"/>
        <w:spacing w:line="360" w:lineRule="auto"/>
        <w:ind w:firstLine="420"/>
        <w:jc w:val="left"/>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rPr>
        <w:t>4、联合体各成员单位内部的职责分工如下</w:t>
      </w:r>
      <w:r>
        <w:rPr>
          <w:rFonts w:hint="eastAsia" w:ascii="宋体" w:hAnsi="宋体" w:eastAsia="宋体" w:cs="宋体"/>
          <w:color w:val="auto"/>
          <w:kern w:val="0"/>
          <w:sz w:val="24"/>
          <w:highlight w:val="none"/>
          <w:u w:val="single"/>
        </w:rPr>
        <w:t>：</w:t>
      </w:r>
      <w:r>
        <w:rPr>
          <w:rFonts w:hint="eastAsia" w:ascii="宋体" w:hAnsi="宋体" w:eastAsia="宋体" w:cs="宋体"/>
          <w:color w:val="auto"/>
          <w:sz w:val="24"/>
          <w:highlight w:val="none"/>
          <w:u w:val="none"/>
        </w:rPr>
        <w:t>________________________________________________</w:t>
      </w:r>
      <w:r>
        <w:rPr>
          <w:rFonts w:hint="eastAsia" w:ascii="宋体" w:hAnsi="宋体" w:eastAsia="宋体" w:cs="宋体"/>
          <w:color w:val="auto"/>
          <w:kern w:val="0"/>
          <w:sz w:val="24"/>
          <w:highlight w:val="none"/>
          <w:u w:val="none"/>
        </w:rPr>
        <w:t>。</w:t>
      </w:r>
    </w:p>
    <w:p w14:paraId="32524D81">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5、本联合体中，</w:t>
      </w:r>
      <w:r>
        <w:rPr>
          <w:rFonts w:hint="eastAsia" w:ascii="宋体" w:hAnsi="宋体" w:eastAsia="宋体" w:cs="宋体"/>
          <w:color w:val="auto"/>
          <w:sz w:val="24"/>
          <w:highlight w:val="none"/>
          <w:u w:val="none"/>
        </w:rPr>
        <w:t>________________________</w:t>
      </w:r>
      <w:r>
        <w:rPr>
          <w:rFonts w:hint="eastAsia" w:ascii="宋体" w:hAnsi="宋体" w:eastAsia="宋体" w:cs="宋体"/>
          <w:color w:val="auto"/>
          <w:sz w:val="24"/>
          <w:szCs w:val="24"/>
          <w:highlight w:val="none"/>
          <w:u w:val="none"/>
        </w:rPr>
        <w:t>（某成员单位名称）为______（请填写：中型、小型、微型）企业，其协议合同金额占联合体协议合同总金额的______%</w:t>
      </w:r>
      <w:r>
        <w:rPr>
          <w:rFonts w:hint="eastAsia" w:ascii="宋体" w:hAnsi="宋体" w:eastAsia="宋体" w:cs="宋体"/>
          <w:color w:val="auto"/>
          <w:sz w:val="24"/>
          <w:szCs w:val="24"/>
          <w:highlight w:val="none"/>
        </w:rPr>
        <w:t>。【如联合体成员中有小型、微型企业的，请填写此条，否则无需填写；如联合体成员中有多个小型、微型企业的，请逐一列出。】</w:t>
      </w:r>
    </w:p>
    <w:p w14:paraId="4E017DC1">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6、本协议书自签署之日起生效，合同履行完毕后自动失效。</w:t>
      </w:r>
    </w:p>
    <w:p w14:paraId="54C803DF">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7、本协议书一式</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份，联合体成员和采购代理机构各执一份。</w:t>
      </w:r>
    </w:p>
    <w:p w14:paraId="17BCC0FC">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注：本协议书由法定代表人签字的，应附法定代表人身份证明；本协议书由委托代理人签字的，应附法定代表人授权委托书。</w:t>
      </w:r>
    </w:p>
    <w:p w14:paraId="1581895B">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牵头人名称：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（盖单位公章）</w:t>
      </w:r>
    </w:p>
    <w:p w14:paraId="57D53BC1">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（签字或盖章）</w:t>
      </w:r>
    </w:p>
    <w:p w14:paraId="31C24552">
      <w:pPr>
        <w:autoSpaceDE w:val="0"/>
        <w:autoSpaceDN w:val="0"/>
        <w:adjustRightInd w:val="0"/>
        <w:spacing w:line="360" w:lineRule="auto"/>
        <w:jc w:val="left"/>
        <w:rPr>
          <w:rFonts w:hint="eastAsia" w:ascii="宋体" w:hAnsi="宋体" w:eastAsia="宋体" w:cs="宋体"/>
          <w:color w:val="auto"/>
          <w:kern w:val="0"/>
          <w:sz w:val="24"/>
          <w:highlight w:val="none"/>
        </w:rPr>
      </w:pPr>
    </w:p>
    <w:p w14:paraId="37009E0C">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成员一名称：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（盖单位公章）</w:t>
      </w:r>
    </w:p>
    <w:p w14:paraId="0AF124B6">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（签字或盖章）</w:t>
      </w:r>
    </w:p>
    <w:p w14:paraId="330CA4AE">
      <w:pPr>
        <w:autoSpaceDE w:val="0"/>
        <w:autoSpaceDN w:val="0"/>
        <w:adjustRightInd w:val="0"/>
        <w:spacing w:line="360" w:lineRule="auto"/>
        <w:jc w:val="left"/>
        <w:rPr>
          <w:rFonts w:hint="eastAsia" w:ascii="宋体" w:hAnsi="宋体" w:eastAsia="宋体" w:cs="宋体"/>
          <w:color w:val="auto"/>
          <w:kern w:val="0"/>
          <w:szCs w:val="21"/>
          <w:highlight w:val="none"/>
        </w:rPr>
      </w:pPr>
    </w:p>
    <w:p w14:paraId="517906C5">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成员二名称：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（盖单位公章）</w:t>
      </w:r>
    </w:p>
    <w:p w14:paraId="4350851D">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                         （签字或盖章）</w:t>
      </w:r>
    </w:p>
    <w:p w14:paraId="3E3A837E">
      <w:pPr>
        <w:autoSpaceDE w:val="0"/>
        <w:autoSpaceDN w:val="0"/>
        <w:adjustRightInd w:val="0"/>
        <w:spacing w:line="360" w:lineRule="auto"/>
        <w:jc w:val="left"/>
        <w:rPr>
          <w:rFonts w:hint="eastAsia" w:ascii="宋体" w:hAnsi="宋体" w:eastAsia="宋体" w:cs="宋体"/>
          <w:color w:val="auto"/>
          <w:kern w:val="0"/>
          <w:sz w:val="24"/>
          <w:highlight w:val="none"/>
        </w:rPr>
      </w:pPr>
    </w:p>
    <w:p w14:paraId="2E83E8BE">
      <w:pPr>
        <w:autoSpaceDE w:val="0"/>
        <w:autoSpaceDN w:val="0"/>
        <w:adjustRightInd w:val="0"/>
        <w:spacing w:line="360" w:lineRule="auto"/>
        <w:jc w:val="left"/>
        <w:rPr>
          <w:rFonts w:hint="eastAsia" w:ascii="宋体" w:hAnsi="宋体" w:eastAsia="宋体" w:cs="宋体"/>
          <w:color w:val="auto"/>
          <w:kern w:val="0"/>
          <w:sz w:val="24"/>
          <w:highlight w:val="none"/>
        </w:rPr>
      </w:pPr>
    </w:p>
    <w:p w14:paraId="567E19A7">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ED28B44">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6D20B2E">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52FB43A1">
      <w:pPr>
        <w:pStyle w:val="11"/>
        <w:rPr>
          <w:rFonts w:hint="eastAsia"/>
          <w:color w:val="auto"/>
          <w:highlight w:val="none"/>
          <w:lang w:val="zh-CN"/>
        </w:rPr>
      </w:pPr>
    </w:p>
    <w:p w14:paraId="74732FFF">
      <w:pPr>
        <w:pStyle w:val="14"/>
        <w:spacing w:line="360" w:lineRule="auto"/>
        <w:ind w:firstLine="0" w:firstLineChars="0"/>
        <w:rPr>
          <w:rFonts w:hint="default" w:ascii="宋体" w:hAnsi="宋体" w:eastAsia="宋体" w:cs="宋体"/>
          <w:b/>
          <w:color w:val="auto"/>
          <w:kern w:val="2"/>
          <w:sz w:val="30"/>
          <w:szCs w:val="30"/>
          <w:highlight w:val="none"/>
          <w:lang w:val="en-US" w:eastAsia="zh-CN"/>
        </w:rPr>
      </w:pPr>
      <w:r>
        <w:rPr>
          <w:rFonts w:hint="eastAsia" w:ascii="宋体" w:hAnsi="宋体" w:eastAsia="宋体" w:cs="宋体"/>
          <w:b/>
          <w:color w:val="auto"/>
          <w:kern w:val="2"/>
          <w:sz w:val="30"/>
          <w:szCs w:val="30"/>
          <w:highlight w:val="none"/>
          <w:lang w:val="en-US" w:eastAsia="zh-CN"/>
        </w:rPr>
        <w:t>八、中小企业声明函及残疾人福利性单位声明函（专门面向中小企业采购的项目则必须提供</w:t>
      </w:r>
      <w:r>
        <w:rPr>
          <w:rFonts w:hint="eastAsia" w:hAnsi="宋体" w:cs="宋体"/>
          <w:b/>
          <w:color w:val="auto"/>
          <w:kern w:val="2"/>
          <w:sz w:val="30"/>
          <w:szCs w:val="30"/>
          <w:highlight w:val="none"/>
          <w:lang w:val="en-US" w:eastAsia="zh-CN"/>
        </w:rPr>
        <w:t>）</w:t>
      </w:r>
    </w:p>
    <w:p w14:paraId="54F44464">
      <w:pPr>
        <w:spacing w:line="360" w:lineRule="auto"/>
        <w:ind w:firstLine="2200" w:firstLineChars="5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w:t>
      </w:r>
      <w:r>
        <w:rPr>
          <w:rFonts w:hint="eastAsia" w:ascii="宋体" w:hAnsi="宋体" w:cs="宋体"/>
          <w:color w:val="auto"/>
          <w:sz w:val="44"/>
          <w:szCs w:val="44"/>
          <w:highlight w:val="none"/>
          <w:lang w:val="en-US" w:eastAsia="zh-CN"/>
        </w:rPr>
        <w:t>工程</w:t>
      </w:r>
      <w:r>
        <w:rPr>
          <w:rFonts w:hint="eastAsia" w:ascii="宋体" w:hAnsi="宋体" w:eastAsia="宋体" w:cs="宋体"/>
          <w:color w:val="auto"/>
          <w:sz w:val="44"/>
          <w:szCs w:val="44"/>
          <w:highlight w:val="none"/>
        </w:rPr>
        <w:t>）</w:t>
      </w:r>
    </w:p>
    <w:p w14:paraId="29F1A19F">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本公司（联合体）郑重声明，根据《政府采购促进中小企业发展管理办法》（财库﹝2020﹞46 号）的规定，本公司（联合体）参加</w:t>
      </w:r>
      <w:r>
        <w:rPr>
          <w:rFonts w:hint="eastAsia" w:ascii="宋体" w:hAnsi="宋体" w:cs="宋体"/>
          <w:color w:val="auto"/>
          <w:kern w:val="2"/>
          <w:sz w:val="24"/>
          <w:szCs w:val="24"/>
          <w:highlight w:val="none"/>
          <w:u w:val="single"/>
          <w:shd w:val="clear" w:color="auto" w:fill="FFFFFF"/>
          <w:lang w:val="en-US" w:eastAsia="zh-CN"/>
        </w:rPr>
        <w:t xml:space="preserve"> 南宁市西乡塘区金腾小学 </w:t>
      </w:r>
      <w:r>
        <w:rPr>
          <w:rFonts w:hint="eastAsia" w:ascii="宋体" w:hAnsi="宋体" w:eastAsia="宋体" w:cs="宋体"/>
          <w:color w:val="auto"/>
          <w:kern w:val="2"/>
          <w:sz w:val="24"/>
          <w:szCs w:val="24"/>
          <w:highlight w:val="none"/>
          <w:shd w:val="clear" w:color="auto" w:fill="FFFFFF"/>
          <w:lang w:val="en-US" w:eastAsia="zh-CN"/>
        </w:rPr>
        <w:t>的</w:t>
      </w:r>
      <w:r>
        <w:rPr>
          <w:rFonts w:hint="eastAsia" w:ascii="宋体" w:hAnsi="宋体" w:cs="宋体"/>
          <w:color w:val="auto"/>
          <w:kern w:val="2"/>
          <w:sz w:val="24"/>
          <w:szCs w:val="24"/>
          <w:highlight w:val="none"/>
          <w:u w:val="single"/>
          <w:shd w:val="clear" w:color="auto" w:fill="FFFFFF"/>
          <w:lang w:val="en-US" w:eastAsia="zh-CN"/>
        </w:rPr>
        <w:t xml:space="preserve"> 南宁市西乡塘区金腾小学学生宿舍楼标准化改造及地面硬化等工程 </w:t>
      </w:r>
      <w:r>
        <w:rPr>
          <w:rFonts w:hint="eastAsia" w:ascii="宋体" w:hAnsi="宋体" w:eastAsia="宋体" w:cs="宋体"/>
          <w:color w:val="auto"/>
          <w:kern w:val="2"/>
          <w:sz w:val="24"/>
          <w:szCs w:val="24"/>
          <w:highlight w:val="none"/>
          <w:shd w:val="clear" w:color="auto" w:fill="FFFFFF"/>
          <w:lang w:val="en-US" w:eastAsia="zh-CN"/>
        </w:rPr>
        <w:t>采购活动，工程的施工单位全部为符合政策要求的中小企业承接。相关企业（含联合体中的中小企业、签订分包意向协议的中小企业）的具体情况如下：</w:t>
      </w:r>
    </w:p>
    <w:p w14:paraId="31DFBBDC">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1.</w:t>
      </w:r>
      <w:r>
        <w:rPr>
          <w:rFonts w:hint="eastAsia" w:ascii="宋体" w:hAnsi="宋体" w:cs="宋体"/>
          <w:color w:val="auto"/>
          <w:kern w:val="2"/>
          <w:sz w:val="24"/>
          <w:szCs w:val="24"/>
          <w:highlight w:val="none"/>
          <w:u w:val="single"/>
          <w:shd w:val="clear" w:color="auto" w:fill="FFFFFF"/>
          <w:lang w:val="en-US" w:eastAsia="zh-CN"/>
        </w:rPr>
        <w:t>（标的的名称）</w:t>
      </w:r>
      <w:r>
        <w:rPr>
          <w:rFonts w:hint="eastAsia" w:ascii="宋体" w:hAnsi="宋体" w:eastAsia="宋体" w:cs="宋体"/>
          <w:color w:val="auto"/>
          <w:kern w:val="2"/>
          <w:sz w:val="24"/>
          <w:szCs w:val="24"/>
          <w:highlight w:val="none"/>
          <w:shd w:val="clear" w:color="auto" w:fill="FFFFFF"/>
          <w:lang w:val="en-US" w:eastAsia="zh-CN"/>
        </w:rPr>
        <w:t>，属于</w:t>
      </w:r>
      <w:r>
        <w:rPr>
          <w:rFonts w:hint="eastAsia" w:ascii="宋体" w:hAnsi="宋体" w:cs="宋体"/>
          <w:color w:val="auto"/>
          <w:kern w:val="2"/>
          <w:sz w:val="24"/>
          <w:szCs w:val="24"/>
          <w:highlight w:val="none"/>
          <w:u w:val="single"/>
          <w:shd w:val="clear" w:color="auto" w:fill="FFFFFF"/>
          <w:lang w:val="en-US" w:eastAsia="zh-CN"/>
        </w:rPr>
        <w:t xml:space="preserve">     </w:t>
      </w:r>
      <w:r>
        <w:rPr>
          <w:rFonts w:hint="eastAsia" w:ascii="宋体" w:hAnsi="宋体" w:eastAsia="宋体" w:cs="宋体"/>
          <w:color w:val="auto"/>
          <w:kern w:val="2"/>
          <w:sz w:val="24"/>
          <w:szCs w:val="24"/>
          <w:highlight w:val="none"/>
          <w:u w:val="single"/>
          <w:shd w:val="clear" w:color="auto" w:fill="FFFFFF"/>
          <w:lang w:val="en-US" w:eastAsia="zh-CN"/>
        </w:rPr>
        <w:t>（采购文件列明的行业）</w:t>
      </w:r>
      <w:r>
        <w:rPr>
          <w:rFonts w:hint="eastAsia" w:ascii="宋体" w:hAnsi="宋体" w:eastAsia="宋体" w:cs="宋体"/>
          <w:color w:val="auto"/>
          <w:kern w:val="2"/>
          <w:sz w:val="24"/>
          <w:szCs w:val="24"/>
          <w:highlight w:val="none"/>
          <w:shd w:val="clear" w:color="auto" w:fill="FFFFFF"/>
          <w:lang w:val="en-US" w:eastAsia="zh-CN"/>
        </w:rPr>
        <w:t>；承建（承接）企业为</w:t>
      </w:r>
      <w:r>
        <w:rPr>
          <w:rFonts w:hint="eastAsia" w:ascii="宋体" w:hAnsi="宋体" w:cs="宋体"/>
          <w:color w:val="auto"/>
          <w:kern w:val="2"/>
          <w:sz w:val="24"/>
          <w:szCs w:val="24"/>
          <w:highlight w:val="none"/>
          <w:u w:val="single"/>
          <w:shd w:val="clear" w:color="auto" w:fill="FFFFFF"/>
          <w:lang w:val="en-US" w:eastAsia="zh-CN"/>
        </w:rPr>
        <w:t xml:space="preserve">  </w:t>
      </w:r>
      <w:r>
        <w:rPr>
          <w:rFonts w:hint="eastAsia" w:ascii="宋体" w:hAnsi="宋体" w:eastAsia="宋体" w:cs="宋体"/>
          <w:color w:val="auto"/>
          <w:kern w:val="2"/>
          <w:sz w:val="24"/>
          <w:szCs w:val="24"/>
          <w:highlight w:val="none"/>
          <w:u w:val="single"/>
          <w:shd w:val="clear" w:color="auto" w:fill="FFFFFF"/>
          <w:lang w:val="en-US" w:eastAsia="zh-CN"/>
        </w:rPr>
        <w:t>（企业名称）</w:t>
      </w:r>
      <w:r>
        <w:rPr>
          <w:rFonts w:hint="eastAsia" w:ascii="宋体" w:hAnsi="宋体" w:cs="宋体"/>
          <w:color w:val="auto"/>
          <w:kern w:val="2"/>
          <w:sz w:val="24"/>
          <w:szCs w:val="24"/>
          <w:highlight w:val="none"/>
          <w:u w:val="single"/>
          <w:shd w:val="clear" w:color="auto" w:fill="FFFFFF"/>
          <w:lang w:val="en-US" w:eastAsia="zh-CN"/>
        </w:rPr>
        <w:t xml:space="preserve">  </w:t>
      </w:r>
      <w:r>
        <w:rPr>
          <w:rFonts w:hint="eastAsia" w:ascii="宋体" w:hAnsi="宋体" w:eastAsia="宋体" w:cs="宋体"/>
          <w:color w:val="auto"/>
          <w:kern w:val="2"/>
          <w:sz w:val="24"/>
          <w:szCs w:val="24"/>
          <w:highlight w:val="none"/>
          <w:shd w:val="clear" w:color="auto" w:fill="FFFFFF"/>
          <w:lang w:val="en-US" w:eastAsia="zh-CN"/>
        </w:rPr>
        <w:t>，从业人员_____人，营业收入为_____万元，资产总额为_____万元，属于</w:t>
      </w:r>
      <w:r>
        <w:rPr>
          <w:rFonts w:hint="eastAsia" w:ascii="宋体" w:hAnsi="宋体" w:cs="宋体"/>
          <w:color w:val="auto"/>
          <w:kern w:val="2"/>
          <w:sz w:val="24"/>
          <w:szCs w:val="24"/>
          <w:highlight w:val="none"/>
          <w:u w:val="single"/>
          <w:shd w:val="clear" w:color="auto" w:fill="FFFFFF"/>
          <w:lang w:val="en-US" w:eastAsia="zh-CN"/>
        </w:rPr>
        <w:t xml:space="preserve">       </w:t>
      </w:r>
      <w:r>
        <w:rPr>
          <w:rFonts w:hint="eastAsia" w:ascii="宋体" w:hAnsi="宋体" w:eastAsia="宋体" w:cs="宋体"/>
          <w:color w:val="auto"/>
          <w:kern w:val="2"/>
          <w:sz w:val="24"/>
          <w:szCs w:val="24"/>
          <w:highlight w:val="none"/>
          <w:u w:val="single"/>
          <w:shd w:val="clear" w:color="auto" w:fill="FFFFFF"/>
          <w:lang w:val="en-US" w:eastAsia="zh-CN"/>
        </w:rPr>
        <w:t>（中型企业、小型企业、微型企业）</w:t>
      </w:r>
      <w:r>
        <w:rPr>
          <w:rFonts w:hint="eastAsia" w:ascii="宋体" w:hAnsi="宋体" w:eastAsia="宋体" w:cs="宋体"/>
          <w:color w:val="auto"/>
          <w:kern w:val="2"/>
          <w:sz w:val="24"/>
          <w:szCs w:val="24"/>
          <w:highlight w:val="none"/>
          <w:shd w:val="clear" w:color="auto" w:fill="FFFFFF"/>
          <w:lang w:val="en-US" w:eastAsia="zh-CN"/>
        </w:rPr>
        <w:t>；</w:t>
      </w:r>
    </w:p>
    <w:p w14:paraId="030F5B9F">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以上企业，不属于大企业的分支机构，不存在控股股东为大企业的情形，也不存在与大企业的负责人为同一人的情形。</w:t>
      </w:r>
    </w:p>
    <w:p w14:paraId="38923CEA">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本企业对上述声明内容的真实性负责。如有虚假，将依法承担相应责任。</w:t>
      </w:r>
    </w:p>
    <w:p w14:paraId="4F8FAD7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6D687ED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8E9718E">
      <w:pPr>
        <w:pStyle w:val="14"/>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日期：  </w:t>
      </w:r>
      <w:r>
        <w:rPr>
          <w:rFonts w:hint="eastAsia" w:ascii="宋体" w:hAnsi="宋体" w:eastAsia="宋体" w:cs="宋体"/>
          <w:color w:val="auto"/>
          <w:sz w:val="24"/>
          <w:highlight w:val="none"/>
          <w:lang w:val="zh-CN"/>
        </w:rPr>
        <w:t>年  月</w:t>
      </w:r>
      <w:r>
        <w:rPr>
          <w:rFonts w:hint="eastAsia" w:ascii="宋体" w:hAnsi="宋体" w:eastAsia="宋体" w:cs="宋体"/>
          <w:color w:val="auto"/>
          <w:kern w:val="0"/>
          <w:sz w:val="24"/>
          <w:highlight w:val="none"/>
          <w:lang w:val="zh-CN"/>
        </w:rPr>
        <w:t xml:space="preserve">   日</w:t>
      </w:r>
    </w:p>
    <w:p w14:paraId="39A250C8">
      <w:pPr>
        <w:pStyle w:val="11"/>
        <w:spacing w:after="0" w:line="360" w:lineRule="auto"/>
        <w:ind w:left="3960" w:right="1808"/>
        <w:contextualSpacing/>
        <w:rPr>
          <w:rFonts w:hint="eastAsia" w:ascii="宋体" w:hAnsi="宋体" w:eastAsia="宋体" w:cs="宋体"/>
          <w:color w:val="auto"/>
          <w:highlight w:val="none"/>
        </w:rPr>
      </w:pPr>
    </w:p>
    <w:p w14:paraId="4CD66AA7">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AC35A8C">
      <w:pPr>
        <w:snapToGrid w:val="0"/>
        <w:spacing w:before="120" w:beforeLines="50" w:after="50" w:line="360" w:lineRule="auto"/>
        <w:outlineLvl w:val="1"/>
        <w:rPr>
          <w:rFonts w:hint="eastAsia" w:ascii="宋体" w:hAnsi="宋体" w:eastAsia="宋体" w:cs="宋体"/>
          <w:b/>
          <w:bCs/>
          <w:color w:val="auto"/>
          <w:sz w:val="32"/>
          <w:szCs w:val="32"/>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2C2B8A7D">
      <w:pPr>
        <w:spacing w:line="360" w:lineRule="auto"/>
        <w:rPr>
          <w:rFonts w:hint="eastAsia" w:ascii="宋体" w:hAnsi="宋体" w:eastAsia="宋体" w:cs="宋体"/>
          <w:color w:val="auto"/>
          <w:sz w:val="24"/>
          <w:highlight w:val="none"/>
        </w:rPr>
      </w:pPr>
    </w:p>
    <w:p w14:paraId="0839D479">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14:paraId="128297E1">
      <w:pPr>
        <w:spacing w:line="360" w:lineRule="auto"/>
        <w:rPr>
          <w:rFonts w:hint="eastAsia" w:ascii="宋体" w:hAnsi="宋体" w:eastAsia="宋体" w:cs="宋体"/>
          <w:color w:val="auto"/>
          <w:sz w:val="32"/>
          <w:szCs w:val="32"/>
          <w:highlight w:val="none"/>
        </w:rPr>
      </w:pPr>
    </w:p>
    <w:p w14:paraId="6853041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项目采购活动由本单位提供服务。</w:t>
      </w:r>
    </w:p>
    <w:p w14:paraId="4A2713D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638A1F9">
      <w:pPr>
        <w:spacing w:line="360" w:lineRule="auto"/>
        <w:contextualSpacing/>
        <w:rPr>
          <w:rFonts w:hint="eastAsia" w:ascii="宋体" w:hAnsi="宋体" w:eastAsia="宋体" w:cs="宋体"/>
          <w:color w:val="auto"/>
          <w:sz w:val="24"/>
          <w:highlight w:val="none"/>
        </w:rPr>
      </w:pPr>
    </w:p>
    <w:p w14:paraId="64875B47">
      <w:pPr>
        <w:spacing w:line="360" w:lineRule="auto"/>
        <w:contextualSpacing/>
        <w:rPr>
          <w:rFonts w:hint="eastAsia" w:ascii="宋体" w:hAnsi="宋体" w:eastAsia="宋体" w:cs="宋体"/>
          <w:color w:val="auto"/>
          <w:sz w:val="24"/>
          <w:highlight w:val="none"/>
        </w:rPr>
      </w:pPr>
    </w:p>
    <w:p w14:paraId="6C3CDAB4">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290D25A1">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51AFCF24">
      <w:pPr>
        <w:spacing w:line="360" w:lineRule="auto"/>
        <w:contextualSpacing/>
        <w:rPr>
          <w:rFonts w:hint="eastAsia" w:ascii="宋体" w:hAnsi="宋体" w:eastAsia="宋体" w:cs="宋体"/>
          <w:color w:val="auto"/>
          <w:sz w:val="24"/>
          <w:highlight w:val="none"/>
        </w:rPr>
      </w:pPr>
    </w:p>
    <w:p w14:paraId="083EDEA9">
      <w:pPr>
        <w:spacing w:line="360" w:lineRule="auto"/>
        <w:contextualSpacing/>
        <w:rPr>
          <w:rFonts w:hint="eastAsia" w:ascii="宋体" w:hAnsi="宋体" w:eastAsia="宋体" w:cs="宋体"/>
          <w:color w:val="auto"/>
          <w:sz w:val="24"/>
          <w:highlight w:val="none"/>
        </w:rPr>
      </w:pPr>
    </w:p>
    <w:p w14:paraId="7E090D3D">
      <w:pPr>
        <w:spacing w:line="360" w:lineRule="auto"/>
        <w:contextualSpacing/>
        <w:rPr>
          <w:rFonts w:hint="eastAsia" w:ascii="宋体" w:hAnsi="宋体" w:eastAsia="宋体" w:cs="宋体"/>
          <w:color w:val="auto"/>
          <w:sz w:val="24"/>
          <w:highlight w:val="none"/>
        </w:rPr>
      </w:pPr>
    </w:p>
    <w:p w14:paraId="2945238E">
      <w:pPr>
        <w:pageBreakBefore w:val="0"/>
        <w:kinsoku/>
        <w:topLinePunct w:val="0"/>
        <w:bidi w:val="0"/>
        <w:spacing w:line="360" w:lineRule="auto"/>
        <w:contextualSpacing/>
        <w:rPr>
          <w:rFonts w:ascii="宋体" w:hAnsi="宋体" w:cs="仿宋_GB2312"/>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r>
        <w:rPr>
          <w:rFonts w:hint="eastAsia" w:ascii="宋体" w:hAnsi="宋体" w:cs="仿宋_GB2312"/>
          <w:color w:val="auto"/>
          <w:sz w:val="24"/>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14:paraId="7C878F93">
      <w:pPr>
        <w:spacing w:line="360" w:lineRule="auto"/>
        <w:contextualSpacing/>
        <w:rPr>
          <w:rFonts w:hint="eastAsia" w:ascii="宋体" w:hAnsi="宋体" w:eastAsia="宋体" w:cs="宋体"/>
          <w:color w:val="auto"/>
          <w:sz w:val="24"/>
          <w:highlight w:val="none"/>
        </w:rPr>
      </w:pPr>
    </w:p>
    <w:p w14:paraId="5F06CD8B">
      <w:pPr>
        <w:spacing w:line="360" w:lineRule="auto"/>
        <w:jc w:val="center"/>
        <w:rPr>
          <w:rFonts w:hint="eastAsia" w:ascii="宋体" w:hAnsi="宋体" w:eastAsia="宋体" w:cs="宋体"/>
          <w:color w:val="auto"/>
          <w:sz w:val="24"/>
          <w:highlight w:val="none"/>
        </w:rPr>
      </w:pPr>
    </w:p>
    <w:p w14:paraId="10E56FE3">
      <w:pPr>
        <w:spacing w:line="360" w:lineRule="auto"/>
        <w:jc w:val="center"/>
        <w:rPr>
          <w:rFonts w:hint="eastAsia" w:ascii="宋体" w:hAnsi="宋体" w:eastAsia="宋体" w:cs="宋体"/>
          <w:color w:val="auto"/>
          <w:sz w:val="24"/>
          <w:highlight w:val="none"/>
        </w:rPr>
      </w:pPr>
    </w:p>
    <w:p w14:paraId="17AC194B">
      <w:pPr>
        <w:spacing w:line="360" w:lineRule="auto"/>
        <w:jc w:val="center"/>
        <w:rPr>
          <w:rFonts w:hint="eastAsia" w:ascii="宋体" w:hAnsi="宋体" w:eastAsia="宋体" w:cs="宋体"/>
          <w:color w:val="auto"/>
          <w:sz w:val="24"/>
          <w:highlight w:val="none"/>
        </w:rPr>
      </w:pPr>
    </w:p>
    <w:p w14:paraId="4B1E4304">
      <w:pPr>
        <w:spacing w:line="360" w:lineRule="auto"/>
        <w:jc w:val="center"/>
        <w:rPr>
          <w:rFonts w:hint="eastAsia" w:ascii="宋体" w:hAnsi="宋体" w:eastAsia="宋体" w:cs="宋体"/>
          <w:color w:val="auto"/>
          <w:sz w:val="24"/>
          <w:highlight w:val="none"/>
        </w:rPr>
      </w:pPr>
    </w:p>
    <w:p w14:paraId="7EA61007">
      <w:pPr>
        <w:spacing w:line="360" w:lineRule="auto"/>
        <w:jc w:val="center"/>
        <w:rPr>
          <w:rFonts w:hint="eastAsia" w:ascii="宋体" w:hAnsi="宋体" w:eastAsia="宋体" w:cs="宋体"/>
          <w:color w:val="auto"/>
          <w:sz w:val="24"/>
          <w:highlight w:val="none"/>
        </w:rPr>
      </w:pPr>
    </w:p>
    <w:p w14:paraId="6B2DA633">
      <w:pPr>
        <w:spacing w:line="360" w:lineRule="auto"/>
        <w:jc w:val="center"/>
        <w:rPr>
          <w:rFonts w:hint="eastAsia" w:ascii="宋体" w:hAnsi="宋体" w:eastAsia="宋体" w:cs="宋体"/>
          <w:color w:val="auto"/>
          <w:sz w:val="24"/>
          <w:highlight w:val="none"/>
        </w:rPr>
      </w:pPr>
    </w:p>
    <w:p w14:paraId="35654F5E">
      <w:pPr>
        <w:spacing w:line="360" w:lineRule="auto"/>
        <w:jc w:val="center"/>
        <w:rPr>
          <w:rFonts w:hint="eastAsia" w:ascii="宋体" w:hAnsi="宋体" w:eastAsia="宋体" w:cs="宋体"/>
          <w:color w:val="auto"/>
          <w:sz w:val="24"/>
          <w:highlight w:val="none"/>
        </w:rPr>
      </w:pPr>
    </w:p>
    <w:p w14:paraId="5711C979">
      <w:pPr>
        <w:spacing w:line="360" w:lineRule="auto"/>
        <w:jc w:val="center"/>
        <w:rPr>
          <w:rFonts w:hint="eastAsia" w:ascii="宋体" w:hAnsi="宋体" w:eastAsia="宋体" w:cs="宋体"/>
          <w:color w:val="auto"/>
          <w:sz w:val="24"/>
          <w:highlight w:val="none"/>
        </w:rPr>
      </w:pPr>
    </w:p>
    <w:p w14:paraId="3F8DA93B">
      <w:pPr>
        <w:spacing w:line="360" w:lineRule="auto"/>
        <w:jc w:val="center"/>
        <w:rPr>
          <w:rFonts w:hint="eastAsia" w:ascii="宋体" w:hAnsi="宋体" w:eastAsia="宋体" w:cs="宋体"/>
          <w:color w:val="auto"/>
          <w:sz w:val="24"/>
          <w:highlight w:val="none"/>
        </w:rPr>
      </w:pPr>
    </w:p>
    <w:p w14:paraId="12852AC6">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2BA1E79F">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50274062">
      <w:pPr>
        <w:pStyle w:val="8"/>
        <w:overflowPunct w:val="0"/>
        <w:spacing w:line="360" w:lineRule="auto"/>
        <w:ind w:firstLine="0"/>
        <w:jc w:val="left"/>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九</w:t>
      </w:r>
      <w:r>
        <w:rPr>
          <w:rFonts w:hint="eastAsia" w:ascii="宋体" w:hAnsi="宋体" w:eastAsia="宋体" w:cs="宋体"/>
          <w:b/>
          <w:color w:val="auto"/>
          <w:sz w:val="30"/>
          <w:szCs w:val="30"/>
          <w:highlight w:val="none"/>
        </w:rPr>
        <w:t>、符合特定资格</w:t>
      </w:r>
      <w:r>
        <w:rPr>
          <w:rFonts w:hint="eastAsia" w:ascii="宋体" w:hAnsi="宋体" w:eastAsia="宋体" w:cs="宋体"/>
          <w:b/>
          <w:color w:val="auto"/>
          <w:sz w:val="30"/>
          <w:szCs w:val="30"/>
          <w:highlight w:val="none"/>
          <w:lang w:eastAsia="zh-CN"/>
        </w:rPr>
        <w:t>要求和特定</w:t>
      </w:r>
      <w:r>
        <w:rPr>
          <w:rFonts w:hint="eastAsia" w:ascii="宋体" w:hAnsi="宋体" w:eastAsia="宋体" w:cs="宋体"/>
          <w:b/>
          <w:color w:val="auto"/>
          <w:sz w:val="30"/>
          <w:szCs w:val="30"/>
          <w:highlight w:val="none"/>
        </w:rPr>
        <w:t>条件（如果项目要求）的有关证明材料（复印件）</w:t>
      </w:r>
    </w:p>
    <w:p w14:paraId="632D66A8">
      <w:pPr>
        <w:snapToGrid w:val="0"/>
        <w:spacing w:line="360" w:lineRule="auto"/>
        <w:ind w:firstLine="602" w:firstLineChars="200"/>
        <w:rPr>
          <w:rFonts w:hint="eastAsia" w:ascii="宋体" w:hAnsi="宋体" w:eastAsia="宋体" w:cs="宋体"/>
          <w:b/>
          <w:color w:val="auto"/>
          <w:sz w:val="30"/>
          <w:szCs w:val="30"/>
          <w:highlight w:val="none"/>
        </w:rPr>
      </w:pPr>
    </w:p>
    <w:p w14:paraId="1A3C79B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B142026">
      <w:pPr>
        <w:autoSpaceDE w:val="0"/>
        <w:autoSpaceDN w:val="0"/>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5EDCB31">
      <w:pPr>
        <w:pStyle w:val="11"/>
        <w:rPr>
          <w:rFonts w:hint="eastAsia" w:ascii="宋体" w:hAnsi="宋体" w:eastAsia="宋体" w:cs="宋体"/>
          <w:color w:val="auto"/>
          <w:kern w:val="0"/>
          <w:sz w:val="24"/>
          <w:highlight w:val="none"/>
          <w:lang w:val="zh-CN"/>
        </w:rPr>
      </w:pPr>
    </w:p>
    <w:p w14:paraId="5A026D6F">
      <w:pPr>
        <w:rPr>
          <w:rFonts w:hint="eastAsia" w:ascii="宋体" w:hAnsi="宋体" w:eastAsia="宋体" w:cs="宋体"/>
          <w:color w:val="auto"/>
          <w:kern w:val="0"/>
          <w:sz w:val="24"/>
          <w:highlight w:val="none"/>
          <w:lang w:val="zh-CN"/>
        </w:rPr>
      </w:pPr>
    </w:p>
    <w:p w14:paraId="6CDEA4A3">
      <w:pPr>
        <w:pStyle w:val="11"/>
        <w:rPr>
          <w:rFonts w:hint="eastAsia" w:ascii="宋体" w:hAnsi="宋体" w:eastAsia="宋体" w:cs="宋体"/>
          <w:color w:val="auto"/>
          <w:kern w:val="0"/>
          <w:sz w:val="24"/>
          <w:highlight w:val="none"/>
          <w:lang w:val="zh-CN"/>
        </w:rPr>
      </w:pPr>
      <w:r>
        <w:rPr>
          <w:rFonts w:hint="eastAsia" w:ascii="宋体" w:hAnsi="宋体" w:cs="宋体"/>
          <w:b/>
          <w:color w:val="auto"/>
          <w:sz w:val="30"/>
          <w:szCs w:val="30"/>
          <w:highlight w:val="none"/>
          <w:lang w:val="en-US" w:eastAsia="zh-CN"/>
        </w:rPr>
        <w:t>十</w:t>
      </w:r>
      <w:r>
        <w:rPr>
          <w:rFonts w:hint="eastAsia" w:ascii="宋体" w:hAnsi="宋体" w:eastAsia="宋体" w:cs="宋体"/>
          <w:b/>
          <w:color w:val="auto"/>
          <w:sz w:val="30"/>
          <w:szCs w:val="30"/>
          <w:highlight w:val="none"/>
        </w:rPr>
        <w:t>、除磋商文件规定必须提供以外，供应商认为需要提供的其他证明材料。</w:t>
      </w:r>
    </w:p>
    <w:p w14:paraId="6F54753E">
      <w:pPr>
        <w:rPr>
          <w:rFonts w:hint="eastAsia" w:ascii="宋体" w:hAnsi="宋体" w:eastAsia="宋体" w:cs="宋体"/>
          <w:color w:val="auto"/>
          <w:kern w:val="0"/>
          <w:sz w:val="24"/>
          <w:highlight w:val="none"/>
          <w:lang w:val="zh-CN"/>
        </w:rPr>
      </w:pPr>
    </w:p>
    <w:p w14:paraId="307B563E">
      <w:pPr>
        <w:pStyle w:val="11"/>
        <w:rPr>
          <w:rFonts w:hint="eastAsia"/>
          <w:color w:val="auto"/>
          <w:highlight w:val="none"/>
          <w:lang w:val="zh-CN"/>
        </w:rPr>
      </w:pPr>
    </w:p>
    <w:p w14:paraId="5F52DF76">
      <w:pPr>
        <w:rPr>
          <w:rFonts w:hint="eastAsia"/>
          <w:color w:val="auto"/>
          <w:highlight w:val="none"/>
          <w:lang w:val="zh-CN"/>
        </w:rPr>
      </w:pPr>
    </w:p>
    <w:p w14:paraId="65A73C98">
      <w:pPr>
        <w:pStyle w:val="11"/>
        <w:rPr>
          <w:rFonts w:hint="eastAsia"/>
          <w:color w:val="auto"/>
          <w:highlight w:val="none"/>
          <w:lang w:val="zh-CN"/>
        </w:rPr>
      </w:pPr>
    </w:p>
    <w:p w14:paraId="081C35FF">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2E8127F">
      <w:pPr>
        <w:autoSpaceDE w:val="0"/>
        <w:autoSpaceDN w:val="0"/>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0034254">
      <w:pPr>
        <w:rPr>
          <w:rFonts w:hint="eastAsia"/>
          <w:color w:val="auto"/>
          <w:highlight w:val="none"/>
          <w:lang w:val="zh-CN"/>
        </w:rPr>
      </w:pPr>
    </w:p>
    <w:p w14:paraId="488A32E5">
      <w:pPr>
        <w:pStyle w:val="11"/>
        <w:rPr>
          <w:rFonts w:hint="eastAsia"/>
          <w:color w:val="auto"/>
          <w:highlight w:val="none"/>
          <w:lang w:val="zh-CN"/>
        </w:rPr>
      </w:pPr>
    </w:p>
    <w:p w14:paraId="35F3B8B7">
      <w:pPr>
        <w:rPr>
          <w:rFonts w:hint="eastAsia"/>
          <w:color w:val="auto"/>
          <w:highlight w:val="none"/>
          <w:lang w:val="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6326C942">
      <w:pPr>
        <w:pStyle w:val="3"/>
        <w:spacing w:line="360" w:lineRule="auto"/>
        <w:jc w:val="center"/>
        <w:rPr>
          <w:rFonts w:hint="eastAsia" w:ascii="宋体" w:hAnsi="宋体" w:eastAsia="宋体" w:cs="宋体"/>
          <w:b w:val="0"/>
          <w:color w:val="auto"/>
          <w:highlight w:val="none"/>
        </w:rPr>
      </w:pPr>
      <w:bookmarkStart w:id="102" w:name="_Toc8220"/>
      <w:bookmarkStart w:id="103" w:name="_Toc24675"/>
      <w:bookmarkStart w:id="104" w:name="_Toc80205940"/>
      <w:bookmarkStart w:id="105" w:name="_Toc22872"/>
      <w:r>
        <w:rPr>
          <w:rFonts w:hint="eastAsia" w:ascii="宋体" w:hAnsi="宋体" w:eastAsia="宋体" w:cs="宋体"/>
          <w:b w:val="0"/>
          <w:bCs w:val="0"/>
          <w:color w:val="auto"/>
          <w:highlight w:val="none"/>
        </w:rPr>
        <w:t>第</w:t>
      </w:r>
      <w:r>
        <w:rPr>
          <w:rFonts w:hint="eastAsia" w:ascii="宋体" w:hAnsi="宋体" w:eastAsia="宋体" w:cs="宋体"/>
          <w:b w:val="0"/>
          <w:bCs w:val="0"/>
          <w:color w:val="auto"/>
          <w:highlight w:val="none"/>
          <w:lang w:eastAsia="zh-CN"/>
        </w:rPr>
        <w:t>三</w:t>
      </w:r>
      <w:r>
        <w:rPr>
          <w:rFonts w:hint="eastAsia" w:ascii="宋体" w:hAnsi="宋体" w:eastAsia="宋体" w:cs="宋体"/>
          <w:b w:val="0"/>
          <w:bCs w:val="0"/>
          <w:color w:val="auto"/>
          <w:highlight w:val="none"/>
        </w:rPr>
        <w:t xml:space="preserve">节 </w:t>
      </w:r>
      <w:r>
        <w:rPr>
          <w:rFonts w:hint="eastAsia" w:ascii="宋体" w:hAnsi="宋体" w:eastAsia="宋体" w:cs="宋体"/>
          <w:b w:val="0"/>
          <w:color w:val="auto"/>
          <w:highlight w:val="none"/>
        </w:rPr>
        <w:t>商务技术文件格式</w:t>
      </w:r>
      <w:bookmarkEnd w:id="102"/>
      <w:bookmarkEnd w:id="103"/>
      <w:bookmarkEnd w:id="104"/>
      <w:bookmarkEnd w:id="105"/>
    </w:p>
    <w:p w14:paraId="4A8BD44A">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47A38DE0">
      <w:pPr>
        <w:snapToGrid w:val="0"/>
        <w:spacing w:before="120" w:beforeLines="50" w:after="50" w:line="360" w:lineRule="auto"/>
        <w:rPr>
          <w:rFonts w:hint="eastAsia" w:ascii="宋体" w:hAnsi="宋体" w:eastAsia="宋体" w:cs="宋体"/>
          <w:color w:val="auto"/>
          <w:sz w:val="24"/>
          <w:szCs w:val="20"/>
          <w:highlight w:val="none"/>
        </w:rPr>
      </w:pPr>
    </w:p>
    <w:p w14:paraId="7201D81F">
      <w:pPr>
        <w:snapToGrid w:val="0"/>
        <w:spacing w:before="120" w:beforeLines="50" w:after="50" w:line="360" w:lineRule="auto"/>
        <w:rPr>
          <w:rFonts w:hint="eastAsia" w:ascii="宋体" w:hAnsi="宋体" w:eastAsia="宋体" w:cs="宋体"/>
          <w:color w:val="auto"/>
          <w:sz w:val="24"/>
          <w:szCs w:val="20"/>
          <w:highlight w:val="none"/>
        </w:rPr>
      </w:pPr>
    </w:p>
    <w:p w14:paraId="45CA6202">
      <w:pPr>
        <w:snapToGrid w:val="0"/>
        <w:spacing w:before="120" w:beforeLines="50" w:after="50" w:line="360" w:lineRule="auto"/>
        <w:rPr>
          <w:rFonts w:hint="eastAsia" w:ascii="宋体" w:hAnsi="宋体" w:eastAsia="宋体" w:cs="宋体"/>
          <w:color w:val="auto"/>
          <w:sz w:val="24"/>
          <w:szCs w:val="20"/>
          <w:highlight w:val="none"/>
        </w:rPr>
      </w:pPr>
    </w:p>
    <w:p w14:paraId="7E3619A5">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42A88CDD">
      <w:pPr>
        <w:snapToGrid w:val="0"/>
        <w:spacing w:before="120" w:beforeLines="50" w:after="50" w:line="360" w:lineRule="auto"/>
        <w:rPr>
          <w:rFonts w:hint="eastAsia" w:ascii="宋体" w:hAnsi="宋体" w:eastAsia="宋体" w:cs="宋体"/>
          <w:bCs/>
          <w:color w:val="auto"/>
          <w:sz w:val="24"/>
          <w:szCs w:val="20"/>
          <w:highlight w:val="none"/>
        </w:rPr>
      </w:pPr>
    </w:p>
    <w:p w14:paraId="2E0D9B75">
      <w:pPr>
        <w:snapToGrid w:val="0"/>
        <w:spacing w:before="120" w:beforeLines="50" w:after="50" w:line="360" w:lineRule="auto"/>
        <w:rPr>
          <w:rFonts w:hint="eastAsia" w:ascii="宋体" w:hAnsi="宋体" w:eastAsia="宋体" w:cs="宋体"/>
          <w:bCs/>
          <w:color w:val="auto"/>
          <w:sz w:val="24"/>
          <w:szCs w:val="20"/>
          <w:highlight w:val="none"/>
        </w:rPr>
      </w:pPr>
    </w:p>
    <w:p w14:paraId="49F2187F">
      <w:pPr>
        <w:snapToGrid w:val="0"/>
        <w:spacing w:before="120" w:beforeLines="50" w:after="50" w:line="360" w:lineRule="auto"/>
        <w:rPr>
          <w:rFonts w:hint="eastAsia" w:ascii="宋体" w:hAnsi="宋体" w:eastAsia="宋体" w:cs="宋体"/>
          <w:bCs/>
          <w:color w:val="auto"/>
          <w:sz w:val="24"/>
          <w:szCs w:val="20"/>
          <w:highlight w:val="none"/>
        </w:rPr>
      </w:pPr>
    </w:p>
    <w:p w14:paraId="15AD1041">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p>
    <w:p w14:paraId="1D473926">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49A27976">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p>
    <w:p w14:paraId="7389AA05">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5C32D89C">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24A697E0">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2912AAAD">
      <w:pPr>
        <w:pStyle w:val="8"/>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83CC0CF">
      <w:pPr>
        <w:pStyle w:val="8"/>
        <w:snapToGrid w:val="0"/>
        <w:spacing w:before="50" w:after="50" w:line="360" w:lineRule="auto"/>
        <w:ind w:firstLine="720" w:firstLineChars="225"/>
        <w:rPr>
          <w:rFonts w:hint="eastAsia" w:ascii="宋体" w:hAnsi="宋体" w:eastAsia="宋体" w:cs="宋体"/>
          <w:bCs/>
          <w:color w:val="auto"/>
          <w:sz w:val="32"/>
          <w:szCs w:val="32"/>
          <w:highlight w:val="none"/>
        </w:rPr>
      </w:pPr>
    </w:p>
    <w:p w14:paraId="56383FEB">
      <w:pPr>
        <w:pStyle w:val="8"/>
        <w:snapToGrid w:val="0"/>
        <w:spacing w:before="50" w:after="50" w:line="360" w:lineRule="auto"/>
        <w:ind w:firstLine="1280" w:firstLineChars="400"/>
        <w:rPr>
          <w:rFonts w:hint="eastAsia" w:ascii="宋体" w:hAnsi="宋体" w:eastAsia="宋体" w:cs="宋体"/>
          <w:bCs/>
          <w:color w:val="auto"/>
          <w:sz w:val="32"/>
          <w:szCs w:val="32"/>
          <w:highlight w:val="none"/>
        </w:rPr>
      </w:pPr>
    </w:p>
    <w:p w14:paraId="5FFD27B4">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CA950E2">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A47FFFE">
      <w:pPr>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商务技术文件目录</w:t>
      </w:r>
    </w:p>
    <w:p w14:paraId="63867D18">
      <w:pPr>
        <w:spacing w:line="360" w:lineRule="auto"/>
        <w:jc w:val="center"/>
        <w:rPr>
          <w:rFonts w:hint="eastAsia" w:ascii="宋体" w:hAnsi="宋体" w:eastAsia="宋体" w:cs="宋体"/>
          <w:b/>
          <w:color w:val="auto"/>
          <w:kern w:val="0"/>
          <w:sz w:val="28"/>
          <w:szCs w:val="28"/>
          <w:highlight w:val="none"/>
        </w:rPr>
      </w:pPr>
    </w:p>
    <w:p w14:paraId="34C1BB5F">
      <w:pPr>
        <w:pStyle w:val="2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一、无串通竞标行为的承诺函……………………………………………………（页码）</w:t>
      </w:r>
    </w:p>
    <w:p w14:paraId="0DD88EDB">
      <w:pPr>
        <w:pStyle w:val="2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二、法定代表人身份证明书及法定代表人有效身份证正反面复印件…………（页码）</w:t>
      </w:r>
    </w:p>
    <w:p w14:paraId="0C6A42E9">
      <w:pPr>
        <w:pStyle w:val="2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三、法定代表人授权委托书及委托代理人有效身份证正反面复印件（如有委托时）……………………………（页码）</w:t>
      </w:r>
    </w:p>
    <w:p w14:paraId="30EDB51E">
      <w:pPr>
        <w:pStyle w:val="2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1A357D43">
      <w:pPr>
        <w:pStyle w:val="28"/>
        <w:spacing w:line="360" w:lineRule="auto"/>
        <w:rPr>
          <w:rFonts w:hint="eastAsia" w:ascii="宋体" w:hAnsi="宋体" w:eastAsia="宋体" w:cs="宋体"/>
          <w:color w:val="auto"/>
          <w:highlight w:val="none"/>
        </w:rPr>
      </w:pPr>
      <w:bookmarkStart w:id="106" w:name="OLE_LINK7"/>
      <w:bookmarkStart w:id="107" w:name="OLE_LINK6"/>
      <w:bookmarkStart w:id="108"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EB0A284">
      <w:pPr>
        <w:pStyle w:val="2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六、供应商类似业绩的证明文件</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2E43DF4">
      <w:pPr>
        <w:pStyle w:val="28"/>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七、供应商认为需要提供的其他有关资料</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en-US" w:eastAsia="zh-CN"/>
        </w:rPr>
        <w:t>（页码）</w:t>
      </w:r>
      <w:bookmarkEnd w:id="106"/>
      <w:bookmarkEnd w:id="107"/>
    </w:p>
    <w:bookmarkEnd w:id="108"/>
    <w:p w14:paraId="2CF17F25">
      <w:pPr>
        <w:pStyle w:val="28"/>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八、采购需求内容响应偏离表</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（页码）</w:t>
      </w:r>
    </w:p>
    <w:p w14:paraId="125CF740">
      <w:pPr>
        <w:pStyle w:val="28"/>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九、企业概况表…………………………………………………………</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（页码）</w:t>
      </w:r>
    </w:p>
    <w:p w14:paraId="1711063F">
      <w:pPr>
        <w:pStyle w:val="28"/>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十、项目经理（或建造师）简历表……………………………………………（页码）</w:t>
      </w:r>
    </w:p>
    <w:p w14:paraId="66C2B6A2">
      <w:pPr>
        <w:pStyle w:val="28"/>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十一、项目管理机构配备情况表…………………………………………………（页码）</w:t>
      </w:r>
    </w:p>
    <w:p w14:paraId="206CB811">
      <w:pPr>
        <w:pStyle w:val="28"/>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十二、施工组织设计………………………………………………………………（页码）</w:t>
      </w:r>
    </w:p>
    <w:p w14:paraId="2C85039A">
      <w:pPr>
        <w:pStyle w:val="28"/>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十三、供应商认为需要提供的其他有关资料……………………………………（页码）</w:t>
      </w:r>
    </w:p>
    <w:p w14:paraId="6AA9690C">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6C46F54C">
      <w:pPr>
        <w:spacing w:line="360" w:lineRule="auto"/>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一、无串通竞标行为的承诺函</w:t>
      </w:r>
    </w:p>
    <w:p w14:paraId="3D1BF58E">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44"/>
          <w:szCs w:val="44"/>
          <w:highlight w:val="none"/>
        </w:rPr>
        <w:t>无串通竞标行为的承诺函</w:t>
      </w:r>
    </w:p>
    <w:p w14:paraId="23A9AD6F">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12A9F42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14:paraId="00FA9CF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1A40F08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4C8E1CC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1AF7DF5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7FF1429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062A4E95">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72350D7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31A6E4D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38FAED7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4720595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53DF7EF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6D8D79E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5444511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4928C537">
      <w:pPr>
        <w:spacing w:line="360" w:lineRule="auto"/>
        <w:ind w:firstLine="480" w:firstLineChars="200"/>
        <w:contextualSpacing/>
        <w:rPr>
          <w:rFonts w:hint="eastAsia" w:ascii="宋体" w:hAnsi="宋体" w:eastAsia="宋体" w:cs="宋体"/>
          <w:color w:val="auto"/>
          <w:sz w:val="24"/>
          <w:highlight w:val="none"/>
        </w:rPr>
      </w:pPr>
    </w:p>
    <w:p w14:paraId="42999A1A">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3D9A2C6F">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F452BE7">
      <w:pPr>
        <w:spacing w:line="360" w:lineRule="auto"/>
        <w:ind w:left="237" w:leftChars="113" w:firstLine="5860" w:firstLineChars="2442"/>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0"/>
          <w:szCs w:val="30"/>
          <w:highlight w:val="none"/>
        </w:rPr>
        <w:t>二、法定代表人身份证明及法定代表人有效身份证正反面复印件</w:t>
      </w:r>
    </w:p>
    <w:p w14:paraId="64E120C0">
      <w:pPr>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44"/>
          <w:szCs w:val="44"/>
          <w:highlight w:val="none"/>
        </w:rPr>
        <w:t>法定代表人证明书</w:t>
      </w:r>
    </w:p>
    <w:p w14:paraId="51741851">
      <w:pPr>
        <w:spacing w:line="360" w:lineRule="auto"/>
        <w:ind w:left="540"/>
        <w:contextualSpacing/>
        <w:rPr>
          <w:rFonts w:hint="eastAsia" w:ascii="宋体" w:hAnsi="宋体" w:eastAsia="宋体" w:cs="宋体"/>
          <w:color w:val="auto"/>
          <w:sz w:val="32"/>
          <w:szCs w:val="32"/>
          <w:highlight w:val="none"/>
        </w:rPr>
      </w:pPr>
    </w:p>
    <w:p w14:paraId="736D819F">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0DC5B63B">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15FB2EB3">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5FD94D59">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4A85691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0467210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01D0510A">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252A5D54">
      <w:pPr>
        <w:spacing w:line="360" w:lineRule="auto"/>
        <w:ind w:left="540"/>
        <w:contextualSpacing/>
        <w:rPr>
          <w:rFonts w:hint="eastAsia" w:ascii="宋体" w:hAnsi="宋体" w:eastAsia="宋体" w:cs="宋体"/>
          <w:color w:val="auto"/>
          <w:sz w:val="24"/>
          <w:highlight w:val="none"/>
        </w:rPr>
      </w:pPr>
    </w:p>
    <w:p w14:paraId="4B111477">
      <w:pPr>
        <w:spacing w:line="360" w:lineRule="auto"/>
        <w:ind w:left="540"/>
        <w:contextualSpacing/>
        <w:rPr>
          <w:rFonts w:hint="eastAsia" w:ascii="宋体" w:hAnsi="宋体" w:eastAsia="宋体" w:cs="宋体"/>
          <w:color w:val="auto"/>
          <w:sz w:val="24"/>
          <w:highlight w:val="none"/>
        </w:rPr>
      </w:pPr>
    </w:p>
    <w:p w14:paraId="7129DB2B">
      <w:pPr>
        <w:spacing w:line="360" w:lineRule="auto"/>
        <w:ind w:left="540"/>
        <w:contextualSpacing/>
        <w:rPr>
          <w:rFonts w:hint="eastAsia" w:ascii="宋体" w:hAnsi="宋体" w:eastAsia="宋体" w:cs="宋体"/>
          <w:color w:val="auto"/>
          <w:sz w:val="24"/>
          <w:highlight w:val="none"/>
        </w:rPr>
      </w:pPr>
    </w:p>
    <w:p w14:paraId="6134CA5F">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72DDEEED">
      <w:pPr>
        <w:spacing w:line="360" w:lineRule="auto"/>
        <w:ind w:left="540"/>
        <w:contextualSpacing/>
        <w:rPr>
          <w:rFonts w:hint="eastAsia" w:ascii="宋体" w:hAnsi="宋体" w:eastAsia="宋体" w:cs="宋体"/>
          <w:color w:val="auto"/>
          <w:sz w:val="24"/>
          <w:highlight w:val="none"/>
        </w:rPr>
      </w:pPr>
    </w:p>
    <w:p w14:paraId="6CA12CB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160D9E9">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50AC666D">
      <w:pPr>
        <w:spacing w:line="360" w:lineRule="auto"/>
        <w:contextualSpacing/>
        <w:jc w:val="left"/>
        <w:rPr>
          <w:rFonts w:hint="eastAsia" w:ascii="宋体" w:hAnsi="宋体" w:eastAsia="宋体" w:cs="宋体"/>
          <w:color w:val="auto"/>
          <w:sz w:val="24"/>
          <w:highlight w:val="none"/>
        </w:rPr>
      </w:pPr>
    </w:p>
    <w:p w14:paraId="1E2EC4BF">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22D51855">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3"/>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14:paraId="019D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0" w:hRule="atLeast"/>
        </w:trPr>
        <w:tc>
          <w:tcPr>
            <w:tcW w:w="9400" w:type="dxa"/>
            <w:noWrap w:val="0"/>
            <w:vAlign w:val="top"/>
          </w:tcPr>
          <w:p w14:paraId="070798A5">
            <w:pPr>
              <w:spacing w:line="360" w:lineRule="auto"/>
              <w:rPr>
                <w:rFonts w:hint="eastAsia" w:ascii="宋体" w:hAnsi="宋体" w:eastAsia="宋体" w:cs="宋体"/>
                <w:b/>
                <w:color w:val="auto"/>
                <w:sz w:val="24"/>
                <w:highlight w:val="none"/>
              </w:rPr>
            </w:pPr>
          </w:p>
          <w:p w14:paraId="45EA118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eastAsia="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14:paraId="3F911065">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1E433844">
      <w:pPr>
        <w:adjustRightInd w:val="0"/>
        <w:snapToGrid w:val="0"/>
        <w:spacing w:line="360" w:lineRule="auto"/>
        <w:jc w:val="left"/>
        <w:rPr>
          <w:rFonts w:hint="eastAsia" w:ascii="宋体" w:hAnsi="宋体" w:eastAsia="宋体" w:cs="宋体"/>
          <w:b/>
          <w:color w:val="auto"/>
          <w:szCs w:val="21"/>
          <w:highlight w:val="none"/>
        </w:rPr>
      </w:pPr>
    </w:p>
    <w:p w14:paraId="38EDC5A8">
      <w:pPr>
        <w:spacing w:line="360" w:lineRule="auto"/>
        <w:ind w:firstLine="880"/>
        <w:jc w:val="left"/>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三、法定代表人授权委托书及委托代理人有效身份证正反面复印件</w:t>
      </w:r>
    </w:p>
    <w:p w14:paraId="2DB49733">
      <w:pPr>
        <w:spacing w:line="360" w:lineRule="auto"/>
        <w:jc w:val="center"/>
        <w:rPr>
          <w:rFonts w:hint="eastAsia" w:ascii="宋体" w:hAnsi="宋体" w:eastAsia="宋体" w:cs="宋体"/>
          <w:color w:val="auto"/>
          <w:sz w:val="44"/>
          <w:szCs w:val="44"/>
          <w:highlight w:val="none"/>
        </w:rPr>
      </w:pPr>
    </w:p>
    <w:p w14:paraId="3A2557CF">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授权委托书（非联合体竞标格式）</w:t>
      </w:r>
    </w:p>
    <w:p w14:paraId="0AE2B5C9">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（如有委托时）</w:t>
      </w:r>
    </w:p>
    <w:p w14:paraId="7BCBC52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4193F1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72EF252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39D054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36686F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400D87C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357EDEA8">
      <w:pPr>
        <w:spacing w:line="360" w:lineRule="auto"/>
        <w:rPr>
          <w:rFonts w:hint="eastAsia" w:ascii="宋体" w:hAnsi="宋体" w:eastAsia="宋体" w:cs="宋体"/>
          <w:color w:val="auto"/>
          <w:sz w:val="24"/>
          <w:highlight w:val="none"/>
        </w:rPr>
      </w:pPr>
    </w:p>
    <w:p w14:paraId="2EC5686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法定代表人（签字或盖章）：                    </w:t>
      </w:r>
    </w:p>
    <w:p w14:paraId="312286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149A71C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kern w:val="0"/>
          <w:sz w:val="24"/>
          <w:highlight w:val="none"/>
        </w:rPr>
        <w:t>供应商名称（电子签章）：</w:t>
      </w:r>
    </w:p>
    <w:p w14:paraId="52CAFB09">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183D4D3A">
      <w:pPr>
        <w:spacing w:line="360" w:lineRule="auto"/>
        <w:rPr>
          <w:rFonts w:hint="eastAsia" w:ascii="宋体" w:hAnsi="宋体" w:eastAsia="宋体" w:cs="宋体"/>
          <w:color w:val="auto"/>
          <w:sz w:val="24"/>
          <w:highlight w:val="none"/>
        </w:rPr>
      </w:pPr>
    </w:p>
    <w:p w14:paraId="530127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4BF5CF6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2C637B1">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298D06AD">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44"/>
          <w:szCs w:val="44"/>
          <w:highlight w:val="none"/>
        </w:rPr>
        <w:t>授权委托书（联合体竞标格式）</w:t>
      </w:r>
    </w:p>
    <w:p w14:paraId="01E551B1">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（如有委托时）</w:t>
      </w:r>
    </w:p>
    <w:p w14:paraId="12C2A628">
      <w:pPr>
        <w:spacing w:line="360" w:lineRule="auto"/>
        <w:jc w:val="center"/>
        <w:rPr>
          <w:rFonts w:hint="eastAsia" w:ascii="宋体" w:hAnsi="宋体" w:eastAsia="宋体" w:cs="宋体"/>
          <w:color w:val="auto"/>
          <w:sz w:val="32"/>
          <w:szCs w:val="32"/>
          <w:highlight w:val="none"/>
        </w:rPr>
      </w:pPr>
    </w:p>
    <w:p w14:paraId="119ED22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（联合体其他成员名称）签订的《联合体竞标协议书》的内容，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4B2A28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14:paraId="7DFD39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697988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1141AB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7459F6A">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牵头人法定代表人（签字或盖章）：</w:t>
      </w:r>
    </w:p>
    <w:p w14:paraId="7C95BF67">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牵头人（电子签章）：</w:t>
      </w:r>
    </w:p>
    <w:p w14:paraId="2D96D66B">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6AEDB88B">
      <w:pPr>
        <w:spacing w:line="360" w:lineRule="auto"/>
        <w:rPr>
          <w:rFonts w:hint="eastAsia" w:ascii="宋体" w:hAnsi="宋体" w:eastAsia="宋体" w:cs="宋体"/>
          <w:color w:val="auto"/>
          <w:sz w:val="24"/>
          <w:highlight w:val="none"/>
        </w:rPr>
      </w:pPr>
    </w:p>
    <w:p w14:paraId="7F8FFA09">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被授权人（签字）：</w:t>
      </w:r>
    </w:p>
    <w:p w14:paraId="2115E50D">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5C44B59E">
      <w:pPr>
        <w:spacing w:line="360" w:lineRule="auto"/>
        <w:rPr>
          <w:rFonts w:hint="eastAsia" w:ascii="宋体" w:hAnsi="宋体" w:eastAsia="宋体" w:cs="宋体"/>
          <w:color w:val="auto"/>
          <w:sz w:val="24"/>
          <w:highlight w:val="none"/>
        </w:rPr>
      </w:pPr>
    </w:p>
    <w:p w14:paraId="7F573D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4410F1D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4CC9F53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FACBDB4">
      <w:pPr>
        <w:spacing w:line="360" w:lineRule="auto"/>
        <w:ind w:firstLine="480" w:firstLineChars="200"/>
        <w:jc w:val="left"/>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4.法人、其他组织竞标时“我方”是指“我单位”，自然人竞标时“我方”是指“本人”。</w:t>
      </w:r>
      <w:r>
        <w:rPr>
          <w:rFonts w:hint="eastAsia" w:ascii="宋体" w:hAnsi="宋体" w:eastAsia="宋体" w:cs="宋体"/>
          <w:color w:val="auto"/>
          <w:sz w:val="32"/>
          <w:szCs w:val="32"/>
          <w:highlight w:val="none"/>
        </w:rPr>
        <w:br w:type="page"/>
      </w:r>
      <w:r>
        <w:rPr>
          <w:rFonts w:hint="eastAsia" w:ascii="宋体" w:hAnsi="宋体" w:eastAsia="宋体" w:cs="宋体"/>
          <w:b/>
          <w:color w:val="auto"/>
          <w:sz w:val="30"/>
          <w:szCs w:val="30"/>
          <w:highlight w:val="none"/>
        </w:rPr>
        <w:t>四、商务条款偏离表</w:t>
      </w:r>
    </w:p>
    <w:p w14:paraId="2D51FFCB">
      <w:pPr>
        <w:spacing w:line="360" w:lineRule="auto"/>
        <w:jc w:val="center"/>
        <w:rPr>
          <w:rFonts w:hint="eastAsia" w:ascii="宋体" w:hAnsi="宋体" w:eastAsia="宋体" w:cs="宋体"/>
          <w:bCs/>
          <w:color w:val="auto"/>
          <w:sz w:val="44"/>
          <w:szCs w:val="44"/>
          <w:highlight w:val="none"/>
        </w:rPr>
      </w:pPr>
      <w:r>
        <w:rPr>
          <w:rFonts w:hint="eastAsia" w:ascii="宋体" w:hAnsi="宋体" w:eastAsia="宋体" w:cs="宋体"/>
          <w:b/>
          <w:bCs w:val="0"/>
          <w:color w:val="auto"/>
          <w:sz w:val="44"/>
          <w:szCs w:val="44"/>
          <w:highlight w:val="none"/>
        </w:rPr>
        <w:t>商务条款偏离表</w:t>
      </w:r>
    </w:p>
    <w:p w14:paraId="5F73AEC0">
      <w:pPr>
        <w:spacing w:line="360" w:lineRule="auto"/>
        <w:contextualSpacing/>
        <w:rPr>
          <w:rFonts w:hint="default" w:ascii="宋体" w:hAnsi="宋体" w:eastAsia="宋体" w:cs="宋体"/>
          <w:color w:val="auto"/>
          <w:sz w:val="24"/>
          <w:highlight w:val="none"/>
          <w:u w:val="single"/>
          <w:lang w:val="en-US"/>
        </w:rPr>
      </w:pPr>
      <w:r>
        <w:rPr>
          <w:rFonts w:hint="eastAsia" w:ascii="宋体" w:hAnsi="宋体" w:eastAsia="宋体" w:cs="宋体"/>
          <w:color w:val="auto"/>
          <w:sz w:val="24"/>
          <w:highlight w:val="none"/>
        </w:rPr>
        <w:t>采购项目编号：</w:t>
      </w:r>
      <w:r>
        <w:rPr>
          <w:rFonts w:hint="eastAsia" w:ascii="宋体" w:hAnsi="宋体" w:cs="宋体"/>
          <w:color w:val="auto"/>
          <w:sz w:val="24"/>
          <w:highlight w:val="none"/>
          <w:u w:val="single"/>
          <w:lang w:val="en-US" w:eastAsia="zh-CN"/>
        </w:rPr>
        <w:t xml:space="preserve">                         </w:t>
      </w:r>
    </w:p>
    <w:p w14:paraId="4C4436C2">
      <w:pPr>
        <w:spacing w:line="360" w:lineRule="auto"/>
        <w:contextualSpacing/>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采购项目名称：</w:t>
      </w:r>
      <w:r>
        <w:rPr>
          <w:rFonts w:hint="eastAsia" w:ascii="宋体" w:hAnsi="宋体" w:cs="宋体"/>
          <w:color w:val="auto"/>
          <w:sz w:val="24"/>
          <w:highlight w:val="none"/>
          <w:u w:val="single"/>
          <w:lang w:val="en-US" w:eastAsia="zh-CN"/>
        </w:rPr>
        <w:t xml:space="preserve">                        </w:t>
      </w:r>
    </w:p>
    <w:p w14:paraId="6F0CDD81">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23"/>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248"/>
        <w:gridCol w:w="1615"/>
      </w:tblGrid>
      <w:tr w14:paraId="6A3F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3174534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334355F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竞争性磋商文件的商务需求</w:t>
            </w:r>
          </w:p>
        </w:tc>
        <w:tc>
          <w:tcPr>
            <w:tcW w:w="3248" w:type="dxa"/>
            <w:tcBorders>
              <w:top w:val="single" w:color="auto" w:sz="4" w:space="0"/>
              <w:left w:val="single" w:color="auto" w:sz="4" w:space="0"/>
              <w:bottom w:val="single" w:color="auto" w:sz="4" w:space="0"/>
              <w:right w:val="single" w:color="auto" w:sz="4" w:space="0"/>
            </w:tcBorders>
            <w:noWrap w:val="0"/>
            <w:vAlign w:val="center"/>
          </w:tcPr>
          <w:p w14:paraId="15703A6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174FD76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293E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5C08BA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2A1DD7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7F165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D1266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E582A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48" w:type="dxa"/>
            <w:tcBorders>
              <w:top w:val="single" w:color="auto" w:sz="4" w:space="0"/>
              <w:left w:val="single" w:color="auto" w:sz="4" w:space="0"/>
              <w:bottom w:val="single" w:color="auto" w:sz="4" w:space="0"/>
              <w:right w:val="single" w:color="auto" w:sz="4" w:space="0"/>
            </w:tcBorders>
            <w:noWrap w:val="0"/>
            <w:vAlign w:val="top"/>
          </w:tcPr>
          <w:p w14:paraId="74F0E46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14B8F8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33C0D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593E2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top"/>
          </w:tcPr>
          <w:p w14:paraId="309F819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r w14:paraId="4C56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552037C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1575D91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21AD80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8C24DA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7B18FF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48" w:type="dxa"/>
            <w:tcBorders>
              <w:top w:val="single" w:color="auto" w:sz="4" w:space="0"/>
              <w:left w:val="single" w:color="auto" w:sz="4" w:space="0"/>
              <w:bottom w:val="single" w:color="auto" w:sz="4" w:space="0"/>
              <w:right w:val="single" w:color="auto" w:sz="4" w:space="0"/>
            </w:tcBorders>
            <w:noWrap w:val="0"/>
            <w:vAlign w:val="top"/>
          </w:tcPr>
          <w:p w14:paraId="725603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F45F5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CA0DC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DEABF9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top"/>
          </w:tcPr>
          <w:p w14:paraId="6F0DD9C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r w14:paraId="6AE51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A363C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68BBCF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81A892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938EF6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EF827E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48" w:type="dxa"/>
            <w:tcBorders>
              <w:top w:val="single" w:color="auto" w:sz="4" w:space="0"/>
              <w:left w:val="single" w:color="auto" w:sz="4" w:space="0"/>
              <w:bottom w:val="single" w:color="auto" w:sz="4" w:space="0"/>
              <w:right w:val="single" w:color="auto" w:sz="4" w:space="0"/>
            </w:tcBorders>
            <w:noWrap w:val="0"/>
            <w:vAlign w:val="top"/>
          </w:tcPr>
          <w:p w14:paraId="3E8DBC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49B39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B28E7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6AD62D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top"/>
          </w:tcPr>
          <w:p w14:paraId="1A5E7E9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bl>
    <w:p w14:paraId="57D8239D">
      <w:pPr>
        <w:pStyle w:val="12"/>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C0CD299">
      <w:pPr>
        <w:pStyle w:val="14"/>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1.说明：应对照磋商文件“第二章 采购需求”中的商务条款逐条作出明确响应，并</w:t>
      </w:r>
      <w:r>
        <w:rPr>
          <w:rFonts w:hint="eastAsia" w:hAnsi="宋体" w:eastAsia="宋体" w:cs="宋体"/>
          <w:color w:val="auto"/>
          <w:sz w:val="24"/>
          <w:szCs w:val="24"/>
          <w:highlight w:val="none"/>
          <w:lang w:eastAsia="zh-CN"/>
        </w:rPr>
        <w:t>做出</w:t>
      </w:r>
      <w:r>
        <w:rPr>
          <w:rFonts w:hint="eastAsia" w:ascii="宋体" w:hAnsi="宋体" w:eastAsia="宋体" w:cs="宋体"/>
          <w:color w:val="auto"/>
          <w:sz w:val="24"/>
          <w:szCs w:val="24"/>
          <w:highlight w:val="none"/>
          <w:lang w:eastAsia="zh-CN"/>
        </w:rPr>
        <w:t>偏离说明。</w:t>
      </w:r>
    </w:p>
    <w:p w14:paraId="533E4CB4">
      <w:pPr>
        <w:pStyle w:val="14"/>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2.供应商应根据自身的承诺，对照磋商文件要求，在“偏离说明”中注明“正偏离”、“负偏离”或者“无偏离”。既不属于“正偏离”也不属于“负偏离”即为“无偏离”。</w:t>
      </w:r>
      <w:r>
        <w:rPr>
          <w:rFonts w:hint="eastAsia" w:ascii="宋体" w:hAnsi="宋体" w:eastAsia="宋体" w:cs="宋体"/>
          <w:b/>
          <w:bCs/>
          <w:color w:val="auto"/>
          <w:sz w:val="24"/>
          <w:szCs w:val="24"/>
          <w:highlight w:val="none"/>
          <w:lang w:eastAsia="zh-CN"/>
        </w:rPr>
        <w:t>当响应文件的</w:t>
      </w:r>
      <w:r>
        <w:rPr>
          <w:rFonts w:hint="eastAsia" w:ascii="宋体" w:hAnsi="宋体" w:eastAsia="宋体" w:cs="宋体"/>
          <w:color w:val="auto"/>
          <w:sz w:val="24"/>
          <w:szCs w:val="24"/>
          <w:highlight w:val="none"/>
          <w:lang w:eastAsia="zh-CN"/>
        </w:rPr>
        <w:t>商务内容低于竞争性磋商文件要求时，竞标人应当如实写明“负偏离”，否则视为虚假应标</w:t>
      </w:r>
    </w:p>
    <w:p w14:paraId="2AA2E772">
      <w:pPr>
        <w:pStyle w:val="14"/>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3.表格内容均需按要求填写，不得留空，否则按竞标无效处理。</w:t>
      </w:r>
    </w:p>
    <w:p w14:paraId="2108945B">
      <w:pPr>
        <w:pStyle w:val="14"/>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p>
    <w:p w14:paraId="173E42BA">
      <w:pPr>
        <w:pStyle w:val="14"/>
        <w:spacing w:line="360" w:lineRule="auto"/>
        <w:contextualSpacing/>
        <w:rPr>
          <w:rFonts w:hint="eastAsia" w:ascii="宋体" w:hAnsi="宋体" w:eastAsia="宋体" w:cs="宋体"/>
          <w:color w:val="auto"/>
          <w:sz w:val="24"/>
          <w:highlight w:val="none"/>
          <w:lang w:eastAsia="zh-CN"/>
        </w:rPr>
      </w:pPr>
    </w:p>
    <w:p w14:paraId="1DEF996E">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71FAAC51">
      <w:pPr>
        <w:spacing w:line="360" w:lineRule="auto"/>
        <w:contextualSpacing/>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3C05D83">
      <w:pPr>
        <w:spacing w:line="360" w:lineRule="auto"/>
        <w:contextualSpacing/>
        <w:jc w:val="center"/>
        <w:rPr>
          <w:rFonts w:hint="eastAsia" w:ascii="宋体" w:hAnsi="宋体" w:eastAsia="宋体" w:cs="宋体"/>
          <w:b/>
          <w:color w:val="auto"/>
          <w:sz w:val="24"/>
          <w:highlight w:val="none"/>
        </w:rPr>
      </w:pPr>
    </w:p>
    <w:p w14:paraId="67E9A817">
      <w:pPr>
        <w:snapToGrid w:val="0"/>
        <w:spacing w:line="360" w:lineRule="auto"/>
        <w:ind w:firstLine="602" w:firstLineChars="200"/>
        <w:rPr>
          <w:rFonts w:hint="eastAsia" w:ascii="宋体" w:hAnsi="宋体" w:eastAsia="宋体" w:cs="宋体"/>
          <w:b/>
          <w:color w:val="auto"/>
          <w:sz w:val="30"/>
          <w:szCs w:val="30"/>
          <w:highlight w:val="none"/>
        </w:rPr>
      </w:pPr>
    </w:p>
    <w:p w14:paraId="37ADDE0B">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五、竞标人情况介绍</w:t>
      </w:r>
    </w:p>
    <w:p w14:paraId="2020AA79">
      <w:pPr>
        <w:snapToGrid w:val="0"/>
        <w:spacing w:line="360" w:lineRule="auto"/>
        <w:ind w:firstLine="602" w:firstLineChars="200"/>
        <w:rPr>
          <w:rFonts w:hint="eastAsia" w:ascii="宋体" w:hAnsi="宋体" w:eastAsia="宋体" w:cs="宋体"/>
          <w:b/>
          <w:color w:val="auto"/>
          <w:sz w:val="30"/>
          <w:szCs w:val="30"/>
          <w:highlight w:val="none"/>
        </w:rPr>
      </w:pPr>
    </w:p>
    <w:p w14:paraId="525BE8F8">
      <w:pPr>
        <w:pStyle w:val="11"/>
        <w:spacing w:line="360" w:lineRule="auto"/>
        <w:rPr>
          <w:rFonts w:hint="eastAsia" w:ascii="宋体" w:hAnsi="宋体" w:eastAsia="宋体" w:cs="宋体"/>
          <w:b/>
          <w:color w:val="auto"/>
          <w:sz w:val="30"/>
          <w:szCs w:val="30"/>
          <w:highlight w:val="none"/>
        </w:rPr>
      </w:pPr>
    </w:p>
    <w:p w14:paraId="62312865">
      <w:pPr>
        <w:pStyle w:val="11"/>
        <w:spacing w:line="360" w:lineRule="auto"/>
        <w:rPr>
          <w:rFonts w:hint="eastAsia" w:ascii="宋体" w:hAnsi="宋体" w:eastAsia="宋体" w:cs="宋体"/>
          <w:b/>
          <w:color w:val="auto"/>
          <w:sz w:val="30"/>
          <w:szCs w:val="30"/>
          <w:highlight w:val="none"/>
        </w:rPr>
      </w:pPr>
    </w:p>
    <w:p w14:paraId="19DA8A5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EDE4787">
      <w:pPr>
        <w:spacing w:line="360" w:lineRule="auto"/>
        <w:ind w:left="0" w:leftChars="0" w:firstLine="6098" w:firstLineChars="2541"/>
        <w:contextualSpacing/>
        <w:jc w:val="both"/>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AAD7901">
      <w:pPr>
        <w:snapToGrid w:val="0"/>
        <w:spacing w:before="120" w:beforeLines="50" w:after="50" w:line="360" w:lineRule="auto"/>
        <w:ind w:firstLine="602" w:firstLineChars="200"/>
        <w:rPr>
          <w:rFonts w:hint="eastAsia" w:ascii="宋体" w:hAnsi="宋体" w:eastAsia="宋体" w:cs="宋体"/>
          <w:b/>
          <w:color w:val="auto"/>
          <w:sz w:val="30"/>
          <w:szCs w:val="30"/>
          <w:highlight w:val="none"/>
        </w:rPr>
      </w:pPr>
    </w:p>
    <w:p w14:paraId="7C3900B1">
      <w:pPr>
        <w:snapToGrid w:val="0"/>
        <w:spacing w:before="120" w:beforeLines="50" w:after="50" w:line="360" w:lineRule="auto"/>
        <w:ind w:firstLine="602" w:firstLineChars="200"/>
        <w:rPr>
          <w:rFonts w:hint="eastAsia" w:ascii="宋体" w:hAnsi="宋体" w:eastAsia="宋体" w:cs="宋体"/>
          <w:b/>
          <w:color w:val="auto"/>
          <w:sz w:val="30"/>
          <w:szCs w:val="30"/>
          <w:highlight w:val="none"/>
        </w:rPr>
      </w:pPr>
    </w:p>
    <w:p w14:paraId="59708964">
      <w:pPr>
        <w:snapToGrid w:val="0"/>
        <w:spacing w:before="120" w:beforeLines="50" w:after="50" w:line="360" w:lineRule="auto"/>
        <w:ind w:firstLine="602" w:firstLineChars="200"/>
        <w:rPr>
          <w:rFonts w:hint="eastAsia" w:ascii="宋体" w:hAnsi="宋体" w:eastAsia="宋体" w:cs="宋体"/>
          <w:b/>
          <w:color w:val="auto"/>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59A84034">
      <w:pPr>
        <w:tabs>
          <w:tab w:val="left" w:pos="826"/>
        </w:tabs>
        <w:snapToGrid w:val="0"/>
        <w:ind w:firstLine="602" w:firstLineChars="200"/>
        <w:rPr>
          <w:rFonts w:hint="eastAsia" w:ascii="宋体" w:hAnsi="宋体" w:eastAsia="宋体" w:cs="宋体"/>
          <w:b/>
          <w:color w:val="auto"/>
          <w:sz w:val="30"/>
          <w:szCs w:val="30"/>
          <w:highlight w:val="none"/>
        </w:rPr>
      </w:pPr>
    </w:p>
    <w:p w14:paraId="0DB1E931">
      <w:pPr>
        <w:tabs>
          <w:tab w:val="left" w:pos="826"/>
        </w:tabs>
        <w:snapToGrid w:val="0"/>
        <w:ind w:firstLine="602" w:firstLineChars="200"/>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六</w:t>
      </w:r>
      <w:r>
        <w:rPr>
          <w:rFonts w:hint="eastAsia" w:ascii="宋体" w:hAnsi="宋体" w:cs="宋体"/>
          <w:b/>
          <w:color w:val="auto"/>
          <w:sz w:val="30"/>
          <w:szCs w:val="30"/>
          <w:highlight w:val="none"/>
          <w:lang w:eastAsia="zh-CN"/>
        </w:rPr>
        <w:t>、</w:t>
      </w:r>
      <w:r>
        <w:rPr>
          <w:rFonts w:hint="eastAsia" w:ascii="宋体" w:hAnsi="宋体" w:eastAsia="宋体" w:cs="宋体"/>
          <w:b/>
          <w:color w:val="auto"/>
          <w:sz w:val="30"/>
          <w:szCs w:val="30"/>
          <w:highlight w:val="none"/>
        </w:rPr>
        <w:t>供应商类似业绩的证明文件</w:t>
      </w:r>
    </w:p>
    <w:p w14:paraId="518801E5">
      <w:pPr>
        <w:tabs>
          <w:tab w:val="left" w:pos="826"/>
        </w:tabs>
        <w:snapToGrid w:val="0"/>
        <w:ind w:firstLine="602" w:firstLineChars="20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类似</w:t>
      </w:r>
      <w:r>
        <w:rPr>
          <w:rFonts w:hint="eastAsia" w:ascii="宋体" w:hAnsi="宋体" w:cs="宋体"/>
          <w:b/>
          <w:color w:val="auto"/>
          <w:sz w:val="30"/>
          <w:szCs w:val="30"/>
          <w:highlight w:val="none"/>
          <w:lang w:val="en-US" w:eastAsia="zh-CN"/>
        </w:rPr>
        <w:t>业绩</w:t>
      </w:r>
      <w:r>
        <w:rPr>
          <w:rFonts w:hint="eastAsia" w:ascii="宋体" w:hAnsi="宋体" w:cs="宋体"/>
          <w:b/>
          <w:color w:val="auto"/>
          <w:sz w:val="30"/>
          <w:szCs w:val="30"/>
          <w:highlight w:val="none"/>
        </w:rPr>
        <w:t>一览表</w:t>
      </w:r>
    </w:p>
    <w:p w14:paraId="7EC3FD6C">
      <w:pPr>
        <w:pStyle w:val="11"/>
        <w:rPr>
          <w:color w:val="auto"/>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60"/>
        <w:gridCol w:w="2409"/>
        <w:gridCol w:w="1284"/>
        <w:gridCol w:w="1701"/>
      </w:tblGrid>
      <w:tr w14:paraId="1EB2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1DF830BA">
            <w:pPr>
              <w:jc w:val="center"/>
              <w:rPr>
                <w:rFonts w:ascii="宋体" w:hAnsi="宋体"/>
                <w:color w:val="auto"/>
                <w:sz w:val="24"/>
                <w:szCs w:val="24"/>
                <w:highlight w:val="none"/>
              </w:rPr>
            </w:pPr>
            <w:r>
              <w:rPr>
                <w:rFonts w:hint="eastAsia" w:ascii="宋体" w:hAnsi="宋体" w:cs="宋体"/>
                <w:color w:val="auto"/>
                <w:sz w:val="24"/>
                <w:szCs w:val="24"/>
                <w:highlight w:val="none"/>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73E663E">
            <w:pPr>
              <w:jc w:val="center"/>
              <w:rPr>
                <w:rFonts w:ascii="宋体" w:hAnsi="宋体"/>
                <w:color w:val="auto"/>
                <w:sz w:val="24"/>
                <w:szCs w:val="24"/>
                <w:highlight w:val="none"/>
              </w:rPr>
            </w:pPr>
            <w:r>
              <w:rPr>
                <w:rFonts w:hint="eastAsia" w:ascii="宋体" w:hAnsi="宋体" w:cs="宋体"/>
                <w:color w:val="auto"/>
                <w:sz w:val="24"/>
                <w:szCs w:val="24"/>
                <w:highlight w:val="none"/>
              </w:rPr>
              <w:t>发包人名称</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69C0711">
            <w:pPr>
              <w:jc w:val="center"/>
              <w:rPr>
                <w:rFonts w:ascii="宋体" w:hAnsi="宋体"/>
                <w:color w:val="auto"/>
                <w:sz w:val="24"/>
                <w:szCs w:val="24"/>
                <w:highlight w:val="none"/>
              </w:rPr>
            </w:pPr>
            <w:r>
              <w:rPr>
                <w:rFonts w:hint="eastAsia" w:ascii="宋体" w:hAnsi="宋体" w:cs="宋体"/>
                <w:color w:val="auto"/>
                <w:sz w:val="24"/>
                <w:szCs w:val="24"/>
                <w:highlight w:val="none"/>
              </w:rPr>
              <w:t>工程名称</w:t>
            </w:r>
          </w:p>
          <w:p w14:paraId="70BBA698">
            <w:pPr>
              <w:jc w:val="center"/>
              <w:rPr>
                <w:rFonts w:ascii="宋体" w:hAnsi="宋体"/>
                <w:color w:val="auto"/>
                <w:sz w:val="24"/>
                <w:szCs w:val="24"/>
                <w:highlight w:val="none"/>
              </w:rPr>
            </w:pPr>
            <w:r>
              <w:rPr>
                <w:rFonts w:hint="eastAsia" w:ascii="宋体" w:hAnsi="宋体" w:cs="宋体"/>
                <w:color w:val="auto"/>
                <w:sz w:val="24"/>
                <w:szCs w:val="24"/>
                <w:highlight w:val="none"/>
              </w:rPr>
              <w:t>及建设地点</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2093F947">
            <w:pPr>
              <w:jc w:val="center"/>
              <w:rPr>
                <w:rFonts w:ascii="宋体" w:hAnsi="宋体"/>
                <w:color w:val="auto"/>
                <w:sz w:val="24"/>
                <w:szCs w:val="24"/>
                <w:highlight w:val="none"/>
              </w:rPr>
            </w:pPr>
            <w:r>
              <w:rPr>
                <w:rFonts w:hint="eastAsia" w:ascii="宋体" w:hAnsi="宋体" w:cs="宋体"/>
                <w:color w:val="auto"/>
                <w:sz w:val="24"/>
                <w:szCs w:val="24"/>
                <w:highlight w:val="none"/>
              </w:rPr>
              <w:t>建设规模</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E39DA7E">
            <w:pPr>
              <w:jc w:val="center"/>
              <w:rPr>
                <w:rFonts w:ascii="宋体" w:hAnsi="宋体"/>
                <w:color w:val="auto"/>
                <w:sz w:val="24"/>
                <w:szCs w:val="24"/>
                <w:highlight w:val="none"/>
              </w:rPr>
            </w:pPr>
            <w:r>
              <w:rPr>
                <w:rFonts w:hint="eastAsia" w:ascii="宋体" w:hAnsi="宋体" w:cs="宋体"/>
                <w:color w:val="auto"/>
                <w:sz w:val="24"/>
                <w:szCs w:val="24"/>
                <w:highlight w:val="none"/>
              </w:rPr>
              <w:t>合同金额</w:t>
            </w:r>
          </w:p>
          <w:p w14:paraId="0E452B29">
            <w:pPr>
              <w:jc w:val="center"/>
              <w:rPr>
                <w:rFonts w:ascii="宋体" w:hAnsi="宋体"/>
                <w:color w:val="auto"/>
                <w:sz w:val="24"/>
                <w:szCs w:val="24"/>
                <w:highlight w:val="none"/>
              </w:rPr>
            </w:pPr>
            <w:r>
              <w:rPr>
                <w:rFonts w:hint="eastAsia" w:ascii="宋体" w:hAnsi="宋体" w:cs="宋体"/>
                <w:color w:val="auto"/>
                <w:sz w:val="24"/>
                <w:szCs w:val="24"/>
                <w:highlight w:val="none"/>
              </w:rPr>
              <w:t>（万元）</w:t>
            </w:r>
          </w:p>
        </w:tc>
      </w:tr>
      <w:tr w14:paraId="0E4C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4EFAE707">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C6C43DC">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8180A2A">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774B24F0">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4F5CC95">
            <w:pPr>
              <w:jc w:val="center"/>
              <w:rPr>
                <w:rFonts w:ascii="宋体" w:hAnsi="宋体"/>
                <w:color w:val="auto"/>
                <w:sz w:val="24"/>
                <w:szCs w:val="24"/>
                <w:highlight w:val="none"/>
              </w:rPr>
            </w:pPr>
          </w:p>
        </w:tc>
      </w:tr>
      <w:tr w14:paraId="1809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19059A77">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8F7E919">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6FE7746">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62B43243">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BBB0058">
            <w:pPr>
              <w:jc w:val="center"/>
              <w:rPr>
                <w:rFonts w:ascii="宋体" w:hAnsi="宋体"/>
                <w:color w:val="auto"/>
                <w:sz w:val="24"/>
                <w:szCs w:val="24"/>
                <w:highlight w:val="none"/>
              </w:rPr>
            </w:pPr>
          </w:p>
        </w:tc>
      </w:tr>
      <w:tr w14:paraId="4D11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3BA95A83">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FA81F3F">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E654273">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111E706B">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E84A492">
            <w:pPr>
              <w:jc w:val="center"/>
              <w:rPr>
                <w:rFonts w:ascii="宋体" w:hAnsi="宋体"/>
                <w:color w:val="auto"/>
                <w:sz w:val="24"/>
                <w:szCs w:val="24"/>
                <w:highlight w:val="none"/>
              </w:rPr>
            </w:pPr>
          </w:p>
        </w:tc>
      </w:tr>
      <w:tr w14:paraId="6C0E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215AEB5B">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640C20A">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453F2F2">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47269EF0">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DC163AA">
            <w:pPr>
              <w:jc w:val="center"/>
              <w:rPr>
                <w:rFonts w:ascii="宋体" w:hAnsi="宋体"/>
                <w:color w:val="auto"/>
                <w:sz w:val="24"/>
                <w:szCs w:val="24"/>
                <w:highlight w:val="none"/>
              </w:rPr>
            </w:pPr>
          </w:p>
        </w:tc>
      </w:tr>
      <w:tr w14:paraId="5D95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258FC765">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21CA36B">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37279B9D">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D690283">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A3BDCE0">
            <w:pPr>
              <w:jc w:val="center"/>
              <w:rPr>
                <w:rFonts w:ascii="宋体" w:hAnsi="宋体"/>
                <w:color w:val="auto"/>
                <w:sz w:val="24"/>
                <w:szCs w:val="24"/>
                <w:highlight w:val="none"/>
              </w:rPr>
            </w:pPr>
          </w:p>
        </w:tc>
      </w:tr>
      <w:tr w14:paraId="5CD5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101EC002">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A438672">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C58B242">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E6C2275">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2774833">
            <w:pPr>
              <w:jc w:val="center"/>
              <w:rPr>
                <w:rFonts w:ascii="宋体" w:hAnsi="宋体"/>
                <w:color w:val="auto"/>
                <w:sz w:val="24"/>
                <w:szCs w:val="24"/>
                <w:highlight w:val="none"/>
              </w:rPr>
            </w:pPr>
          </w:p>
        </w:tc>
      </w:tr>
      <w:tr w14:paraId="1FB08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79646FC5">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30E51AC">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A76FB13">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60A026CF">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D5013F2">
            <w:pPr>
              <w:jc w:val="center"/>
              <w:rPr>
                <w:rFonts w:ascii="宋体" w:hAnsi="宋体"/>
                <w:color w:val="auto"/>
                <w:sz w:val="24"/>
                <w:szCs w:val="24"/>
                <w:highlight w:val="none"/>
              </w:rPr>
            </w:pPr>
          </w:p>
        </w:tc>
      </w:tr>
    </w:tbl>
    <w:p w14:paraId="7C4E8AFA">
      <w:pPr>
        <w:ind w:firstLine="480" w:firstLineChars="200"/>
        <w:rPr>
          <w:rFonts w:ascii="宋体" w:hAnsi="宋体"/>
          <w:color w:val="auto"/>
          <w:sz w:val="24"/>
          <w:szCs w:val="24"/>
          <w:highlight w:val="none"/>
        </w:rPr>
      </w:pPr>
      <w:r>
        <w:rPr>
          <w:rFonts w:hint="eastAsia" w:ascii="宋体" w:hAnsi="宋体" w:cs="楷体_GB2312"/>
          <w:color w:val="auto"/>
          <w:sz w:val="24"/>
          <w:szCs w:val="24"/>
          <w:highlight w:val="none"/>
        </w:rPr>
        <w:t>备注：</w:t>
      </w:r>
    </w:p>
    <w:p w14:paraId="68016BF9">
      <w:pPr>
        <w:ind w:firstLine="720" w:firstLineChars="300"/>
        <w:rPr>
          <w:rFonts w:ascii="宋体" w:hAnsi="宋体"/>
          <w:color w:val="auto"/>
          <w:sz w:val="24"/>
          <w:szCs w:val="24"/>
          <w:highlight w:val="none"/>
        </w:rPr>
      </w:pPr>
      <w:bookmarkStart w:id="109" w:name="OLE_LINK26"/>
      <w:r>
        <w:rPr>
          <w:rFonts w:ascii="宋体" w:hAnsi="宋体"/>
          <w:color w:val="auto"/>
          <w:sz w:val="24"/>
          <w:szCs w:val="24"/>
          <w:highlight w:val="none"/>
        </w:rPr>
        <w:t>1</w:t>
      </w:r>
      <w:r>
        <w:rPr>
          <w:rFonts w:hint="eastAsia" w:ascii="宋体" w:hAnsi="宋体" w:cs="楷体_GB2312"/>
          <w:color w:val="auto"/>
          <w:sz w:val="24"/>
          <w:szCs w:val="24"/>
          <w:highlight w:val="none"/>
        </w:rPr>
        <w:t>、</w:t>
      </w:r>
      <w:r>
        <w:rPr>
          <w:rFonts w:hint="eastAsia" w:ascii="宋体" w:hAnsi="宋体" w:eastAsia="宋体" w:cs="楷体_GB2312"/>
          <w:color w:val="auto"/>
          <w:sz w:val="24"/>
          <w:szCs w:val="24"/>
          <w:highlight w:val="none"/>
        </w:rPr>
        <w:t>附以上类似工程的</w:t>
      </w:r>
      <w:r>
        <w:rPr>
          <w:rFonts w:hint="eastAsia" w:ascii="宋体" w:hAnsi="宋体" w:eastAsia="宋体" w:cs="Tahoma"/>
          <w:color w:val="auto"/>
          <w:kern w:val="0"/>
          <w:sz w:val="24"/>
          <w:szCs w:val="24"/>
          <w:highlight w:val="none"/>
          <w:lang w:val="en-US" w:eastAsia="zh-CN"/>
        </w:rPr>
        <w:t>中标（</w:t>
      </w:r>
      <w:r>
        <w:rPr>
          <w:rFonts w:ascii="宋体" w:hAnsi="宋体" w:eastAsia="宋体" w:cs="Tahoma"/>
          <w:color w:val="auto"/>
          <w:kern w:val="0"/>
          <w:sz w:val="24"/>
          <w:szCs w:val="24"/>
          <w:highlight w:val="none"/>
        </w:rPr>
        <w:t>成交</w:t>
      </w:r>
      <w:r>
        <w:rPr>
          <w:rFonts w:hint="eastAsia" w:ascii="宋体" w:hAnsi="宋体" w:eastAsia="宋体" w:cs="Tahoma"/>
          <w:color w:val="auto"/>
          <w:kern w:val="0"/>
          <w:sz w:val="24"/>
          <w:szCs w:val="24"/>
          <w:highlight w:val="none"/>
          <w:lang w:eastAsia="zh-CN"/>
        </w:rPr>
        <w:t>）</w:t>
      </w:r>
      <w:r>
        <w:rPr>
          <w:rFonts w:hint="eastAsia" w:ascii="宋体" w:hAnsi="宋体" w:eastAsia="宋体" w:cs="楷体_GB2312"/>
          <w:color w:val="auto"/>
          <w:sz w:val="24"/>
          <w:szCs w:val="24"/>
          <w:highlight w:val="none"/>
        </w:rPr>
        <w:t>通知书或工程合同</w:t>
      </w:r>
      <w:r>
        <w:rPr>
          <w:rFonts w:hint="eastAsia" w:ascii="宋体" w:hAnsi="宋体" w:cs="楷体_GB2312"/>
          <w:color w:val="auto"/>
          <w:sz w:val="24"/>
          <w:szCs w:val="24"/>
          <w:highlight w:val="none"/>
        </w:rPr>
        <w:t>。</w:t>
      </w:r>
    </w:p>
    <w:bookmarkEnd w:id="109"/>
    <w:p w14:paraId="550D258A">
      <w:pPr>
        <w:jc w:val="center"/>
        <w:rPr>
          <w:rFonts w:ascii="宋体" w:hAnsi="宋体"/>
          <w:color w:val="auto"/>
          <w:sz w:val="24"/>
          <w:szCs w:val="24"/>
          <w:highlight w:val="none"/>
        </w:rPr>
      </w:pPr>
    </w:p>
    <w:p w14:paraId="275D6FF7">
      <w:pPr>
        <w:widowControl/>
        <w:tabs>
          <w:tab w:val="center" w:pos="4153"/>
          <w:tab w:val="right" w:pos="8306"/>
        </w:tabs>
        <w:snapToGrid w:val="0"/>
        <w:jc w:val="left"/>
        <w:rPr>
          <w:rFonts w:ascii="宋体" w:hAnsi="宋体"/>
          <w:color w:val="auto"/>
          <w:kern w:val="0"/>
          <w:sz w:val="24"/>
          <w:szCs w:val="24"/>
          <w:highlight w:val="none"/>
        </w:rPr>
      </w:pPr>
    </w:p>
    <w:p w14:paraId="790ACBCE">
      <w:pPr>
        <w:widowControl/>
        <w:tabs>
          <w:tab w:val="center" w:pos="4153"/>
          <w:tab w:val="right" w:pos="8306"/>
        </w:tabs>
        <w:snapToGrid w:val="0"/>
        <w:jc w:val="left"/>
        <w:rPr>
          <w:rFonts w:ascii="宋体" w:hAnsi="宋体"/>
          <w:color w:val="auto"/>
          <w:kern w:val="0"/>
          <w:sz w:val="24"/>
          <w:szCs w:val="24"/>
          <w:highlight w:val="none"/>
        </w:rPr>
      </w:pPr>
    </w:p>
    <w:p w14:paraId="1A2A3E72">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14:paraId="18049A59">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日期：  年  月   日</w:t>
      </w:r>
    </w:p>
    <w:p w14:paraId="59C42A03">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0E36E45F">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54B81AB5">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4AE785A9">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723BF45A">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2D9287CE">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67E1E50A">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eastAsia="zh-CN"/>
        </w:rPr>
      </w:pPr>
    </w:p>
    <w:p w14:paraId="7C310F44">
      <w:pPr>
        <w:pStyle w:val="19"/>
        <w:snapToGrid w:val="0"/>
        <w:spacing w:line="360" w:lineRule="auto"/>
        <w:ind w:left="480" w:hanging="480"/>
        <w:rPr>
          <w:rFonts w:hint="eastAsia" w:ascii="宋体" w:hAnsi="宋体" w:eastAsia="宋体" w:cs="宋体"/>
          <w:color w:val="auto"/>
          <w:sz w:val="24"/>
          <w:highlight w:val="none"/>
        </w:rPr>
      </w:pPr>
    </w:p>
    <w:p w14:paraId="07C48792">
      <w:pPr>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lang w:val="en-US" w:eastAsia="zh-CN"/>
        </w:rPr>
        <w:t>七</w:t>
      </w:r>
      <w:r>
        <w:rPr>
          <w:rFonts w:hint="eastAsia" w:ascii="宋体" w:hAnsi="宋体" w:cs="宋体"/>
          <w:b/>
          <w:color w:val="auto"/>
          <w:sz w:val="30"/>
          <w:szCs w:val="30"/>
          <w:highlight w:val="none"/>
        </w:rPr>
        <w:t>、供应商认为需要提供的其他有关资料</w:t>
      </w:r>
    </w:p>
    <w:p w14:paraId="6677DF6F">
      <w:pPr>
        <w:jc w:val="center"/>
        <w:rPr>
          <w:rFonts w:hint="eastAsia" w:ascii="宋体" w:hAnsi="宋体" w:cs="宋体"/>
          <w:b/>
          <w:color w:val="auto"/>
          <w:sz w:val="30"/>
          <w:szCs w:val="30"/>
          <w:highlight w:val="none"/>
        </w:rPr>
      </w:pPr>
    </w:p>
    <w:p w14:paraId="409F0868">
      <w:pPr>
        <w:jc w:val="center"/>
        <w:rPr>
          <w:rFonts w:hint="eastAsia" w:ascii="宋体" w:hAnsi="宋体" w:cs="宋体"/>
          <w:b/>
          <w:color w:val="auto"/>
          <w:sz w:val="30"/>
          <w:szCs w:val="30"/>
          <w:highlight w:val="none"/>
        </w:rPr>
      </w:pPr>
    </w:p>
    <w:p w14:paraId="4ABD7CEF">
      <w:pPr>
        <w:jc w:val="center"/>
        <w:rPr>
          <w:rFonts w:hint="eastAsia" w:ascii="宋体" w:hAnsi="宋体" w:cs="宋体"/>
          <w:b/>
          <w:color w:val="auto"/>
          <w:sz w:val="30"/>
          <w:szCs w:val="30"/>
          <w:highlight w:val="none"/>
        </w:rPr>
      </w:pPr>
    </w:p>
    <w:p w14:paraId="1AB4B4C5">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14:paraId="684FA666">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日期：  年  月   日</w:t>
      </w:r>
    </w:p>
    <w:p w14:paraId="5E716CD3">
      <w:pPr>
        <w:jc w:val="center"/>
        <w:rPr>
          <w:rFonts w:hint="eastAsia" w:ascii="宋体" w:hAnsi="宋体" w:cs="宋体"/>
          <w:b/>
          <w:color w:val="auto"/>
          <w:sz w:val="30"/>
          <w:szCs w:val="30"/>
          <w:highlight w:val="none"/>
        </w:rPr>
      </w:pPr>
    </w:p>
    <w:p w14:paraId="1AE9306D">
      <w:pPr>
        <w:jc w:val="center"/>
        <w:rPr>
          <w:rFonts w:hint="eastAsia" w:ascii="宋体" w:hAnsi="宋体" w:cs="宋体"/>
          <w:b/>
          <w:color w:val="auto"/>
          <w:sz w:val="30"/>
          <w:szCs w:val="30"/>
          <w:highlight w:val="none"/>
        </w:rPr>
      </w:pPr>
    </w:p>
    <w:p w14:paraId="46FD9CAE">
      <w:pPr>
        <w:jc w:val="center"/>
        <w:rPr>
          <w:rFonts w:hint="eastAsia" w:ascii="宋体" w:hAnsi="宋体" w:cs="宋体"/>
          <w:b/>
          <w:color w:val="auto"/>
          <w:sz w:val="30"/>
          <w:szCs w:val="30"/>
          <w:highlight w:val="none"/>
        </w:rPr>
      </w:pPr>
    </w:p>
    <w:p w14:paraId="502F9FCA">
      <w:pPr>
        <w:jc w:val="center"/>
        <w:rPr>
          <w:rFonts w:hint="eastAsia" w:ascii="宋体" w:hAnsi="宋体" w:cs="宋体"/>
          <w:b/>
          <w:color w:val="auto"/>
          <w:sz w:val="30"/>
          <w:szCs w:val="30"/>
          <w:highlight w:val="none"/>
        </w:rPr>
      </w:pPr>
    </w:p>
    <w:p w14:paraId="399554C6">
      <w:pPr>
        <w:pStyle w:val="35"/>
        <w:rPr>
          <w:rFonts w:hint="eastAsia" w:ascii="宋体" w:hAnsi="宋体" w:cs="宋体"/>
          <w:b/>
          <w:color w:val="auto"/>
          <w:sz w:val="30"/>
          <w:szCs w:val="30"/>
          <w:highlight w:val="none"/>
        </w:rPr>
      </w:pPr>
    </w:p>
    <w:p w14:paraId="51AB2D27">
      <w:pPr>
        <w:pStyle w:val="35"/>
        <w:rPr>
          <w:rFonts w:hint="eastAsia" w:ascii="宋体" w:hAnsi="宋体" w:cs="宋体"/>
          <w:b/>
          <w:color w:val="auto"/>
          <w:sz w:val="30"/>
          <w:szCs w:val="30"/>
          <w:highlight w:val="none"/>
        </w:rPr>
      </w:pPr>
    </w:p>
    <w:p w14:paraId="67E085B7">
      <w:pPr>
        <w:pStyle w:val="35"/>
        <w:rPr>
          <w:rFonts w:hint="eastAsia" w:ascii="宋体" w:hAnsi="宋体" w:cs="宋体"/>
          <w:b/>
          <w:color w:val="auto"/>
          <w:sz w:val="30"/>
          <w:szCs w:val="30"/>
          <w:highlight w:val="none"/>
        </w:rPr>
      </w:pPr>
    </w:p>
    <w:p w14:paraId="53516CB5">
      <w:pPr>
        <w:pStyle w:val="35"/>
        <w:rPr>
          <w:rFonts w:hint="eastAsia" w:ascii="宋体" w:hAnsi="宋体" w:cs="宋体"/>
          <w:b/>
          <w:color w:val="auto"/>
          <w:sz w:val="30"/>
          <w:szCs w:val="30"/>
          <w:highlight w:val="none"/>
        </w:rPr>
      </w:pPr>
    </w:p>
    <w:p w14:paraId="50ABA94F">
      <w:pPr>
        <w:pStyle w:val="35"/>
        <w:rPr>
          <w:rFonts w:hint="eastAsia" w:ascii="宋体" w:hAnsi="宋体" w:cs="宋体"/>
          <w:b/>
          <w:color w:val="auto"/>
          <w:sz w:val="30"/>
          <w:szCs w:val="30"/>
          <w:highlight w:val="none"/>
        </w:rPr>
      </w:pPr>
    </w:p>
    <w:p w14:paraId="1F26A500">
      <w:pPr>
        <w:pStyle w:val="35"/>
        <w:rPr>
          <w:rFonts w:hint="eastAsia" w:ascii="宋体" w:hAnsi="宋体" w:cs="宋体"/>
          <w:b/>
          <w:color w:val="auto"/>
          <w:sz w:val="30"/>
          <w:szCs w:val="30"/>
          <w:highlight w:val="none"/>
        </w:rPr>
      </w:pPr>
    </w:p>
    <w:p w14:paraId="11734A29">
      <w:pPr>
        <w:pStyle w:val="35"/>
        <w:rPr>
          <w:rFonts w:hint="eastAsia" w:ascii="宋体" w:hAnsi="宋体" w:cs="宋体"/>
          <w:b/>
          <w:color w:val="auto"/>
          <w:sz w:val="30"/>
          <w:szCs w:val="30"/>
          <w:highlight w:val="none"/>
        </w:rPr>
      </w:pPr>
    </w:p>
    <w:p w14:paraId="77F1AC10">
      <w:pPr>
        <w:pStyle w:val="35"/>
        <w:rPr>
          <w:rFonts w:hint="eastAsia" w:ascii="宋体" w:hAnsi="宋体" w:cs="宋体"/>
          <w:b/>
          <w:color w:val="auto"/>
          <w:sz w:val="30"/>
          <w:szCs w:val="30"/>
          <w:highlight w:val="none"/>
        </w:rPr>
      </w:pPr>
    </w:p>
    <w:p w14:paraId="2A331F9A">
      <w:pPr>
        <w:pStyle w:val="35"/>
        <w:rPr>
          <w:rFonts w:hint="eastAsia" w:ascii="宋体" w:hAnsi="宋体" w:cs="宋体"/>
          <w:b/>
          <w:color w:val="auto"/>
          <w:sz w:val="30"/>
          <w:szCs w:val="30"/>
          <w:highlight w:val="none"/>
        </w:rPr>
      </w:pPr>
    </w:p>
    <w:p w14:paraId="3072E8F0">
      <w:pPr>
        <w:pStyle w:val="35"/>
        <w:rPr>
          <w:rFonts w:hint="eastAsia" w:ascii="宋体" w:hAnsi="宋体" w:cs="宋体"/>
          <w:b/>
          <w:color w:val="auto"/>
          <w:sz w:val="30"/>
          <w:szCs w:val="30"/>
          <w:highlight w:val="none"/>
        </w:rPr>
      </w:pPr>
    </w:p>
    <w:p w14:paraId="529F3C5D">
      <w:pPr>
        <w:pStyle w:val="35"/>
        <w:rPr>
          <w:rFonts w:hint="eastAsia" w:ascii="宋体" w:hAnsi="宋体" w:cs="宋体"/>
          <w:b/>
          <w:color w:val="auto"/>
          <w:sz w:val="30"/>
          <w:szCs w:val="30"/>
          <w:highlight w:val="none"/>
        </w:rPr>
      </w:pPr>
    </w:p>
    <w:p w14:paraId="53F7A258">
      <w:pPr>
        <w:pStyle w:val="35"/>
        <w:rPr>
          <w:rFonts w:hint="eastAsia" w:ascii="宋体" w:hAnsi="宋体" w:cs="宋体"/>
          <w:b/>
          <w:color w:val="auto"/>
          <w:sz w:val="30"/>
          <w:szCs w:val="30"/>
          <w:highlight w:val="none"/>
        </w:rPr>
      </w:pPr>
    </w:p>
    <w:p w14:paraId="74F562B0">
      <w:pPr>
        <w:pStyle w:val="35"/>
        <w:rPr>
          <w:rFonts w:hint="eastAsia" w:ascii="宋体" w:hAnsi="宋体" w:cs="宋体"/>
          <w:b/>
          <w:color w:val="auto"/>
          <w:sz w:val="30"/>
          <w:szCs w:val="30"/>
          <w:highlight w:val="none"/>
        </w:rPr>
      </w:pPr>
    </w:p>
    <w:p w14:paraId="1FA652D9">
      <w:pPr>
        <w:pStyle w:val="35"/>
        <w:rPr>
          <w:rFonts w:hint="eastAsia" w:ascii="宋体" w:hAnsi="宋体" w:cs="宋体"/>
          <w:b/>
          <w:color w:val="auto"/>
          <w:sz w:val="30"/>
          <w:szCs w:val="30"/>
          <w:highlight w:val="none"/>
        </w:rPr>
      </w:pPr>
    </w:p>
    <w:p w14:paraId="286E180B">
      <w:pPr>
        <w:pStyle w:val="35"/>
        <w:rPr>
          <w:rFonts w:hint="eastAsia" w:ascii="宋体" w:hAnsi="宋体" w:cs="宋体"/>
          <w:b/>
          <w:color w:val="auto"/>
          <w:sz w:val="30"/>
          <w:szCs w:val="30"/>
          <w:highlight w:val="none"/>
        </w:rPr>
      </w:pPr>
    </w:p>
    <w:p w14:paraId="699E21F3">
      <w:pPr>
        <w:pStyle w:val="35"/>
        <w:rPr>
          <w:rFonts w:hint="eastAsia" w:ascii="宋体" w:hAnsi="宋体" w:cs="宋体"/>
          <w:b/>
          <w:color w:val="auto"/>
          <w:sz w:val="30"/>
          <w:szCs w:val="30"/>
          <w:highlight w:val="none"/>
        </w:rPr>
      </w:pPr>
    </w:p>
    <w:p w14:paraId="5E553079">
      <w:pPr>
        <w:pStyle w:val="35"/>
        <w:rPr>
          <w:rFonts w:hint="eastAsia" w:ascii="宋体" w:hAnsi="宋体" w:cs="宋体"/>
          <w:b/>
          <w:color w:val="auto"/>
          <w:sz w:val="30"/>
          <w:szCs w:val="30"/>
          <w:highlight w:val="none"/>
        </w:rPr>
      </w:pPr>
    </w:p>
    <w:p w14:paraId="156522CB">
      <w:pPr>
        <w:pStyle w:val="35"/>
        <w:rPr>
          <w:rFonts w:hint="eastAsia" w:ascii="宋体" w:hAnsi="宋体" w:cs="宋体"/>
          <w:b/>
          <w:color w:val="auto"/>
          <w:sz w:val="30"/>
          <w:szCs w:val="30"/>
          <w:highlight w:val="none"/>
        </w:rPr>
      </w:pPr>
    </w:p>
    <w:p w14:paraId="645E3887">
      <w:pPr>
        <w:pStyle w:val="35"/>
        <w:rPr>
          <w:rFonts w:hint="eastAsia" w:ascii="宋体" w:hAnsi="宋体" w:cs="宋体"/>
          <w:b/>
          <w:color w:val="auto"/>
          <w:sz w:val="30"/>
          <w:szCs w:val="30"/>
          <w:highlight w:val="none"/>
        </w:rPr>
      </w:pPr>
    </w:p>
    <w:p w14:paraId="3A17C84A">
      <w:pPr>
        <w:pStyle w:val="35"/>
        <w:rPr>
          <w:rFonts w:hint="eastAsia" w:ascii="宋体" w:hAnsi="宋体" w:cs="宋体"/>
          <w:b/>
          <w:color w:val="auto"/>
          <w:sz w:val="30"/>
          <w:szCs w:val="30"/>
          <w:highlight w:val="none"/>
        </w:rPr>
      </w:pPr>
    </w:p>
    <w:p w14:paraId="253B99BA">
      <w:pPr>
        <w:pStyle w:val="35"/>
        <w:rPr>
          <w:rFonts w:hint="eastAsia" w:ascii="宋体" w:hAnsi="宋体" w:cs="宋体"/>
          <w:b/>
          <w:color w:val="auto"/>
          <w:sz w:val="30"/>
          <w:szCs w:val="30"/>
          <w:highlight w:val="none"/>
        </w:rPr>
      </w:pPr>
    </w:p>
    <w:p w14:paraId="24D298C1">
      <w:pPr>
        <w:pStyle w:val="35"/>
        <w:rPr>
          <w:rFonts w:hint="eastAsia" w:ascii="宋体" w:hAnsi="宋体" w:cs="宋体"/>
          <w:b/>
          <w:color w:val="auto"/>
          <w:sz w:val="30"/>
          <w:szCs w:val="30"/>
          <w:highlight w:val="none"/>
        </w:rPr>
      </w:pPr>
    </w:p>
    <w:p w14:paraId="322FC345">
      <w:pPr>
        <w:pStyle w:val="35"/>
        <w:rPr>
          <w:rFonts w:hint="eastAsia" w:ascii="宋体" w:hAnsi="宋体" w:cs="宋体"/>
          <w:b/>
          <w:color w:val="auto"/>
          <w:sz w:val="30"/>
          <w:szCs w:val="30"/>
          <w:highlight w:val="none"/>
        </w:rPr>
      </w:pPr>
    </w:p>
    <w:p w14:paraId="0C88C3B6">
      <w:pPr>
        <w:jc w:val="center"/>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lang w:val="en-US" w:eastAsia="zh-CN"/>
        </w:rPr>
        <w:t>八</w:t>
      </w:r>
      <w:r>
        <w:rPr>
          <w:rFonts w:hint="eastAsia" w:ascii="宋体" w:hAnsi="宋体" w:cs="宋体"/>
          <w:b/>
          <w:color w:val="auto"/>
          <w:sz w:val="30"/>
          <w:szCs w:val="30"/>
          <w:highlight w:val="none"/>
          <w:lang w:eastAsia="zh-CN"/>
        </w:rPr>
        <w:t>、采购需求内容响应偏离表</w:t>
      </w:r>
    </w:p>
    <w:p w14:paraId="3A748E90">
      <w:pPr>
        <w:jc w:val="center"/>
        <w:rPr>
          <w:rFonts w:hint="eastAsia" w:ascii="宋体" w:hAnsi="宋体" w:cs="宋体"/>
          <w:b/>
          <w:color w:val="auto"/>
          <w:sz w:val="30"/>
          <w:szCs w:val="30"/>
          <w:highlight w:val="none"/>
          <w:lang w:eastAsia="zh-CN"/>
        </w:rPr>
      </w:pPr>
    </w:p>
    <w:p w14:paraId="1223BDA4">
      <w:pPr>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b/>
          <w:bCs w:val="0"/>
          <w:color w:val="auto"/>
          <w:sz w:val="44"/>
          <w:szCs w:val="44"/>
          <w:highlight w:val="none"/>
          <w:lang w:val="en-US" w:eastAsia="zh-CN"/>
        </w:rPr>
        <w:t>采购</w:t>
      </w:r>
      <w:r>
        <w:rPr>
          <w:rFonts w:hint="eastAsia" w:ascii="宋体" w:hAnsi="宋体" w:eastAsia="宋体" w:cs="宋体"/>
          <w:b/>
          <w:bCs w:val="0"/>
          <w:color w:val="auto"/>
          <w:sz w:val="44"/>
          <w:szCs w:val="44"/>
          <w:highlight w:val="none"/>
        </w:rPr>
        <w:t>需求</w:t>
      </w:r>
      <w:r>
        <w:rPr>
          <w:rFonts w:hint="eastAsia" w:ascii="宋体" w:hAnsi="宋体" w:eastAsia="宋体" w:cs="宋体"/>
          <w:b/>
          <w:bCs w:val="0"/>
          <w:color w:val="auto"/>
          <w:sz w:val="44"/>
          <w:szCs w:val="44"/>
          <w:highlight w:val="none"/>
          <w:lang w:val="en-US" w:eastAsia="zh-CN"/>
        </w:rPr>
        <w:t>内容响应</w:t>
      </w:r>
      <w:r>
        <w:rPr>
          <w:rFonts w:hint="eastAsia" w:ascii="宋体" w:hAnsi="宋体" w:eastAsia="宋体" w:cs="宋体"/>
          <w:b/>
          <w:bCs w:val="0"/>
          <w:color w:val="auto"/>
          <w:sz w:val="44"/>
          <w:szCs w:val="44"/>
          <w:highlight w:val="none"/>
        </w:rPr>
        <w:t>偏离表</w:t>
      </w:r>
    </w:p>
    <w:p w14:paraId="73E0FD19">
      <w:pPr>
        <w:pStyle w:val="10"/>
        <w:pageBreakBefore w:val="0"/>
        <w:kinsoku/>
        <w:overflowPunct/>
        <w:topLinePunct w:val="0"/>
        <w:bidi w:val="0"/>
        <w:spacing w:after="0"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kern w:val="0"/>
          <w:sz w:val="21"/>
          <w:szCs w:val="21"/>
          <w:highlight w:val="none"/>
        </w:rPr>
        <w:t>分标号（此处有分标时填写具体分标号，无分标时填写“无”）：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4"/>
          <w:highlight w:val="none"/>
          <w:u w:val="singl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502"/>
        <w:gridCol w:w="790"/>
        <w:gridCol w:w="1692"/>
        <w:gridCol w:w="1318"/>
        <w:gridCol w:w="763"/>
        <w:gridCol w:w="1400"/>
        <w:gridCol w:w="1225"/>
      </w:tblGrid>
      <w:tr w14:paraId="15545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20" w:type="dxa"/>
            <w:vMerge w:val="restart"/>
            <w:tcBorders>
              <w:top w:val="single" w:color="auto" w:sz="4" w:space="0"/>
              <w:left w:val="single" w:color="auto" w:sz="4" w:space="0"/>
              <w:bottom w:val="single" w:color="auto" w:sz="4" w:space="0"/>
              <w:right w:val="single" w:color="auto" w:sz="4" w:space="0"/>
            </w:tcBorders>
            <w:noWrap w:val="0"/>
            <w:vAlign w:val="center"/>
          </w:tcPr>
          <w:p w14:paraId="6EA5A242">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84" w:type="dxa"/>
            <w:gridSpan w:val="3"/>
            <w:tcBorders>
              <w:top w:val="single" w:color="auto" w:sz="4" w:space="0"/>
              <w:left w:val="single" w:color="auto" w:sz="4" w:space="0"/>
              <w:bottom w:val="single" w:color="auto" w:sz="4" w:space="0"/>
              <w:right w:val="single" w:color="auto" w:sz="4" w:space="0"/>
            </w:tcBorders>
            <w:noWrap w:val="0"/>
            <w:vAlign w:val="center"/>
          </w:tcPr>
          <w:p w14:paraId="5B1F939F">
            <w:pPr>
              <w:pageBreakBefore w:val="0"/>
              <w:kinsoku/>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3481" w:type="dxa"/>
            <w:gridSpan w:val="3"/>
            <w:tcBorders>
              <w:top w:val="single" w:color="auto" w:sz="4" w:space="0"/>
              <w:left w:val="single" w:color="auto" w:sz="4" w:space="0"/>
              <w:bottom w:val="single" w:color="auto" w:sz="4" w:space="0"/>
              <w:right w:val="single" w:color="auto" w:sz="4" w:space="0"/>
            </w:tcBorders>
            <w:noWrap w:val="0"/>
            <w:vAlign w:val="center"/>
          </w:tcPr>
          <w:p w14:paraId="6C3813C8">
            <w:pPr>
              <w:pageBreakBefore w:val="0"/>
              <w:kinsoku/>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225" w:type="dxa"/>
            <w:vMerge w:val="restart"/>
            <w:tcBorders>
              <w:top w:val="single" w:color="auto" w:sz="4" w:space="0"/>
              <w:left w:val="single" w:color="auto" w:sz="4" w:space="0"/>
              <w:bottom w:val="single" w:color="auto" w:sz="4" w:space="0"/>
              <w:right w:val="single" w:color="auto" w:sz="4" w:space="0"/>
            </w:tcBorders>
            <w:noWrap w:val="0"/>
            <w:vAlign w:val="center"/>
          </w:tcPr>
          <w:p w14:paraId="2FB32335">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7BA2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center"/>
          </w:tcPr>
          <w:p w14:paraId="2ECBD46C">
            <w:pPr>
              <w:pageBreakBefore w:val="0"/>
              <w:widowControl/>
              <w:kinsoku/>
              <w:overflowPunct/>
              <w:topLinePunct w:val="0"/>
              <w:bidi w:val="0"/>
              <w:spacing w:line="360" w:lineRule="auto"/>
              <w:jc w:val="left"/>
              <w:rPr>
                <w:rFonts w:hint="eastAsia" w:ascii="宋体" w:hAnsi="宋体" w:eastAsia="宋体" w:cs="宋体"/>
                <w:color w:val="auto"/>
                <w:szCs w:val="21"/>
                <w:highlight w:val="none"/>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14:paraId="55A600CA">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标的的名称</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DCADF12">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数量</w:t>
            </w:r>
            <w:r>
              <w:rPr>
                <w:rFonts w:ascii="宋体" w:hAnsi="宋体" w:cs="宋体"/>
                <w:color w:val="auto"/>
                <w:szCs w:val="21"/>
                <w:highlight w:val="none"/>
              </w:rPr>
              <w:t>及单位</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8495D1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工程概况及采购范围</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D211C18">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标的的名称</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4DE6D612">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数量</w:t>
            </w:r>
            <w:r>
              <w:rPr>
                <w:rFonts w:ascii="宋体" w:hAnsi="宋体" w:cs="宋体"/>
                <w:color w:val="auto"/>
                <w:szCs w:val="21"/>
                <w:highlight w:val="none"/>
              </w:rPr>
              <w:t>及单位</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3B9B8A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承诺的工程概况及采购范围</w:t>
            </w:r>
          </w:p>
        </w:tc>
        <w:tc>
          <w:tcPr>
            <w:tcW w:w="1225" w:type="dxa"/>
            <w:vMerge w:val="continue"/>
            <w:tcBorders>
              <w:top w:val="single" w:color="auto" w:sz="4" w:space="0"/>
              <w:left w:val="single" w:color="auto" w:sz="4" w:space="0"/>
              <w:bottom w:val="single" w:color="auto" w:sz="4" w:space="0"/>
              <w:right w:val="single" w:color="auto" w:sz="4" w:space="0"/>
            </w:tcBorders>
            <w:noWrap w:val="0"/>
            <w:vAlign w:val="center"/>
          </w:tcPr>
          <w:p w14:paraId="27F6D583">
            <w:pPr>
              <w:pageBreakBefore w:val="0"/>
              <w:widowControl/>
              <w:kinsoku/>
              <w:overflowPunct/>
              <w:topLinePunct w:val="0"/>
              <w:bidi w:val="0"/>
              <w:spacing w:line="360" w:lineRule="auto"/>
              <w:jc w:val="left"/>
              <w:rPr>
                <w:rFonts w:hint="eastAsia" w:ascii="宋体" w:hAnsi="宋体" w:eastAsia="宋体" w:cs="宋体"/>
                <w:color w:val="auto"/>
                <w:szCs w:val="21"/>
                <w:highlight w:val="none"/>
              </w:rPr>
            </w:pPr>
          </w:p>
        </w:tc>
      </w:tr>
      <w:tr w14:paraId="3938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5977C178">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7157A689">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6B414327">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77725164">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04423AB">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02E0D4E">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34C6FCF">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FBCD089">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478F3CC4">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6582D69">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F00A65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234EA55">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2D1E7D3">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7686B501">
            <w:pPr>
              <w:pageBreakBefore w:val="0"/>
              <w:kinsoku/>
              <w:overflowPunct/>
              <w:topLinePunct w:val="0"/>
              <w:bidi w:val="0"/>
              <w:spacing w:line="360" w:lineRule="auto"/>
              <w:rPr>
                <w:rFonts w:hint="eastAsia" w:ascii="宋体" w:hAnsi="宋体" w:eastAsia="宋体" w:cs="宋体"/>
                <w:color w:val="auto"/>
                <w:szCs w:val="21"/>
                <w:highlight w:val="none"/>
              </w:rPr>
            </w:pPr>
          </w:p>
        </w:tc>
      </w:tr>
      <w:tr w14:paraId="158D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25C9E8C1">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4FC65E0B">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339B5092">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CCB59D9">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25D1D36">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A033007">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7DEC657">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58ADD3D1">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6FD232CF">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E399653">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8F4D857">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F29176E">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F4347E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30D76747">
            <w:pPr>
              <w:pageBreakBefore w:val="0"/>
              <w:kinsoku/>
              <w:overflowPunct/>
              <w:topLinePunct w:val="0"/>
              <w:bidi w:val="0"/>
              <w:spacing w:line="360" w:lineRule="auto"/>
              <w:rPr>
                <w:rFonts w:hint="eastAsia" w:ascii="宋体" w:hAnsi="宋体" w:eastAsia="宋体" w:cs="宋体"/>
                <w:color w:val="auto"/>
                <w:szCs w:val="21"/>
                <w:highlight w:val="none"/>
              </w:rPr>
            </w:pPr>
          </w:p>
        </w:tc>
      </w:tr>
      <w:tr w14:paraId="6146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5509EFD8">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27134AC2">
            <w:pPr>
              <w:pageBreakBefore w:val="0"/>
              <w:kinsoku/>
              <w:overflowPunct/>
              <w:topLinePunct w:val="0"/>
              <w:bidi w:val="0"/>
              <w:spacing w:line="360" w:lineRule="auto"/>
              <w:rPr>
                <w:rFonts w:hint="eastAsia" w:ascii="宋体" w:hAnsi="宋体" w:eastAsia="宋体" w:cs="宋体"/>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0CDF0F7F">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4CEC6A7">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B0DB62E">
            <w:pPr>
              <w:pageBreakBefore w:val="0"/>
              <w:kinsoku/>
              <w:overflowPunct/>
              <w:topLinePunct w:val="0"/>
              <w:bidi w:val="0"/>
              <w:spacing w:line="360" w:lineRule="auto"/>
              <w:rPr>
                <w:rFonts w:hint="eastAsia" w:ascii="宋体" w:hAnsi="宋体" w:eastAsia="宋体"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05C3E932">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97FF7C4">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3728AFBD">
            <w:pPr>
              <w:pageBreakBefore w:val="0"/>
              <w:kinsoku/>
              <w:overflowPunct/>
              <w:topLinePunct w:val="0"/>
              <w:bidi w:val="0"/>
              <w:spacing w:line="360" w:lineRule="auto"/>
              <w:rPr>
                <w:rFonts w:hint="eastAsia" w:ascii="宋体" w:hAnsi="宋体" w:eastAsia="宋体" w:cs="宋体"/>
                <w:color w:val="auto"/>
                <w:szCs w:val="21"/>
                <w:highlight w:val="none"/>
              </w:rPr>
            </w:pPr>
          </w:p>
        </w:tc>
      </w:tr>
    </w:tbl>
    <w:p w14:paraId="46B558C1">
      <w:pPr>
        <w:pStyle w:val="10"/>
        <w:pageBreakBefore w:val="0"/>
        <w:kinsoku/>
        <w:overflowPunct/>
        <w:topLinePunct w:val="0"/>
        <w:bidi w:val="0"/>
        <w:spacing w:after="0" w:line="360" w:lineRule="auto"/>
        <w:contextualSpacing/>
        <w:rPr>
          <w:rFonts w:hint="eastAsia" w:ascii="宋体" w:hAnsi="宋体" w:eastAsia="宋体" w:cs="宋体"/>
          <w:color w:val="auto"/>
          <w:kern w:val="0"/>
          <w:sz w:val="24"/>
          <w:szCs w:val="24"/>
          <w:highlight w:val="none"/>
        </w:rPr>
      </w:pPr>
    </w:p>
    <w:p w14:paraId="1A9D4FCE">
      <w:pPr>
        <w:pStyle w:val="10"/>
        <w:pageBreakBefore w:val="0"/>
        <w:kinsoku/>
        <w:overflowPunct/>
        <w:topLinePunct w:val="0"/>
        <w:bidi w:val="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05C29D09">
      <w:pPr>
        <w:pStyle w:val="10"/>
        <w:pageBreakBefore w:val="0"/>
        <w:kinsoku/>
        <w:overflowPunct/>
        <w:topLinePunct w:val="0"/>
        <w:bidi w:val="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1.说明：应对照磋商文件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第二章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需求</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的工程概况及采购范围逐条作出明确响应，并作出偏离说明。</w:t>
      </w:r>
    </w:p>
    <w:p w14:paraId="1E408C71">
      <w:pPr>
        <w:pStyle w:val="12"/>
        <w:pageBreakBefore w:val="0"/>
        <w:kinsoku/>
        <w:overflowPunct/>
        <w:topLinePunct w:val="0"/>
        <w:bidi w:val="0"/>
        <w:spacing w:line="360" w:lineRule="auto"/>
        <w:ind w:firstLine="0" w:firstLineChars="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2.供应商应根据自身的承诺，对照磋商文件要求，在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偏离说明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中注明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。既不属于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也不属于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即为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当响应文件的商务内容低于竞争性磋商采购文件要求时，竞标人应当如实写明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，否则视为虚假应标</w:t>
      </w:r>
      <w:r>
        <w:rPr>
          <w:rFonts w:hint="eastAsia" w:ascii="宋体" w:hAnsi="宋体" w:eastAsia="宋体" w:cs="宋体"/>
          <w:color w:val="auto"/>
          <w:sz w:val="21"/>
          <w:szCs w:val="21"/>
          <w:highlight w:val="none"/>
          <w:lang w:eastAsia="zh-CN"/>
        </w:rPr>
        <w:t>。</w:t>
      </w:r>
    </w:p>
    <w:p w14:paraId="1854CB1D">
      <w:pPr>
        <w:pageBreakBefore w:val="0"/>
        <w:kinsoku/>
        <w:overflowPunct/>
        <w:topLinePunct w:val="0"/>
        <w:bidi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14:paraId="1D04425A">
      <w:pPr>
        <w:pageBreakBefore w:val="0"/>
        <w:kinsoku/>
        <w:overflowPunct/>
        <w:topLinePunct w:val="0"/>
        <w:bidi w:val="0"/>
        <w:spacing w:line="360" w:lineRule="auto"/>
        <w:contextualSpacing/>
        <w:rPr>
          <w:rFonts w:hint="eastAsia" w:ascii="宋体" w:hAnsi="宋体" w:eastAsia="宋体" w:cs="宋体"/>
          <w:b/>
          <w:color w:val="auto"/>
          <w:sz w:val="30"/>
          <w:szCs w:val="30"/>
          <w:highlight w:val="none"/>
        </w:rPr>
      </w:pPr>
      <w:r>
        <w:rPr>
          <w:rFonts w:hint="eastAsia" w:ascii="宋体" w:hAnsi="宋体" w:eastAsia="宋体" w:cs="宋体"/>
          <w:color w:val="auto"/>
          <w:kern w:val="0"/>
          <w:szCs w:val="21"/>
          <w:highlight w:val="none"/>
        </w:rPr>
        <w:t>4.如技术偏离表中的竞标响应与佐证材料不一致的，以佐证材料为准。</w:t>
      </w:r>
    </w:p>
    <w:p w14:paraId="6AF5F3B7">
      <w:pPr>
        <w:pageBreakBefore w:val="0"/>
        <w:kinsoku/>
        <w:overflowPunct/>
        <w:topLinePunct w:val="0"/>
        <w:autoSpaceDE w:val="0"/>
        <w:autoSpaceDN w:val="0"/>
        <w:bidi w:val="0"/>
        <w:spacing w:line="360" w:lineRule="auto"/>
        <w:ind w:left="4334" w:leftChars="2064" w:firstLine="720" w:firstLineChars="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785018E">
      <w:pPr>
        <w:pageBreakBefore w:val="0"/>
        <w:kinsoku/>
        <w:overflowPunct/>
        <w:topLinePunct w:val="0"/>
        <w:autoSpaceDE w:val="0"/>
        <w:autoSpaceDN w:val="0"/>
        <w:bidi w:val="0"/>
        <w:spacing w:line="360" w:lineRule="auto"/>
        <w:ind w:firstLine="7440" w:firstLineChars="3100"/>
        <w:rPr>
          <w:rFonts w:hint="eastAsia" w:ascii="宋体" w:hAnsi="宋体" w:eastAsia="宋体" w:cs="宋体"/>
          <w:color w:val="auto"/>
          <w:kern w:val="0"/>
          <w:sz w:val="24"/>
          <w:highlight w:val="none"/>
          <w:lang w:val="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kern w:val="0"/>
          <w:sz w:val="24"/>
          <w:highlight w:val="none"/>
          <w:lang w:val="zh-CN"/>
        </w:rPr>
        <w:t>日期：  年  月   日</w:t>
      </w:r>
    </w:p>
    <w:p w14:paraId="4118B9C7">
      <w:pPr>
        <w:pageBreakBefore w:val="0"/>
        <w:kinsoku/>
        <w:overflowPunct/>
        <w:topLinePunct w:val="0"/>
        <w:autoSpaceDE w:val="0"/>
        <w:autoSpaceDN w:val="0"/>
        <w:bidi w:val="0"/>
        <w:spacing w:line="360" w:lineRule="auto"/>
        <w:ind w:firstLine="7440" w:firstLineChars="3100"/>
        <w:rPr>
          <w:rFonts w:hint="eastAsia" w:ascii="宋体" w:hAnsi="宋体" w:eastAsia="宋体" w:cs="宋体"/>
          <w:color w:val="auto"/>
          <w:kern w:val="0"/>
          <w:sz w:val="24"/>
          <w:highlight w:val="none"/>
          <w:lang w:val="zh-CN"/>
        </w:rPr>
      </w:pPr>
    </w:p>
    <w:p w14:paraId="311B519B">
      <w:pPr>
        <w:jc w:val="center"/>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lang w:val="en-US" w:eastAsia="zh-CN"/>
        </w:rPr>
        <w:t>九</w:t>
      </w:r>
      <w:r>
        <w:rPr>
          <w:rFonts w:hint="eastAsia" w:ascii="宋体" w:hAnsi="宋体" w:cs="宋体"/>
          <w:b/>
          <w:color w:val="auto"/>
          <w:sz w:val="30"/>
          <w:szCs w:val="30"/>
          <w:highlight w:val="none"/>
          <w:lang w:eastAsia="zh-CN"/>
        </w:rPr>
        <w:t>、企业概况表</w:t>
      </w:r>
    </w:p>
    <w:tbl>
      <w:tblPr>
        <w:tblStyle w:val="23"/>
        <w:tblW w:w="0" w:type="auto"/>
        <w:jc w:val="center"/>
        <w:tblLayout w:type="fixed"/>
        <w:tblCellMar>
          <w:top w:w="0" w:type="dxa"/>
          <w:left w:w="0" w:type="dxa"/>
          <w:bottom w:w="0" w:type="dxa"/>
          <w:right w:w="0" w:type="dxa"/>
        </w:tblCellMar>
      </w:tblPr>
      <w:tblGrid>
        <w:gridCol w:w="2008"/>
        <w:gridCol w:w="1318"/>
        <w:gridCol w:w="1382"/>
        <w:gridCol w:w="1400"/>
        <w:gridCol w:w="1513"/>
        <w:gridCol w:w="1187"/>
      </w:tblGrid>
      <w:tr w14:paraId="2911CB54">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8FA9BE">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企业注册名称</w:t>
            </w:r>
          </w:p>
        </w:tc>
        <w:tc>
          <w:tcPr>
            <w:tcW w:w="410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CAD25C">
            <w:pPr>
              <w:spacing w:line="500" w:lineRule="exact"/>
              <w:jc w:val="center"/>
              <w:rPr>
                <w:rFonts w:ascii="新宋体" w:hAnsi="新宋体" w:eastAsia="新宋体"/>
                <w:color w:val="auto"/>
                <w:highlight w:val="none"/>
              </w:rPr>
            </w:pPr>
          </w:p>
        </w:tc>
        <w:tc>
          <w:tcPr>
            <w:tcW w:w="1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7FABD9">
            <w:pPr>
              <w:spacing w:line="500" w:lineRule="exact"/>
              <w:ind w:left="72"/>
              <w:jc w:val="center"/>
              <w:rPr>
                <w:rFonts w:ascii="新宋体" w:hAnsi="新宋体" w:eastAsia="新宋体"/>
                <w:color w:val="auto"/>
                <w:highlight w:val="none"/>
              </w:rPr>
            </w:pPr>
            <w:r>
              <w:rPr>
                <w:rFonts w:hint="eastAsia" w:ascii="新宋体" w:hAnsi="新宋体" w:eastAsia="新宋体"/>
                <w:color w:val="auto"/>
                <w:highlight w:val="none"/>
              </w:rPr>
              <w:t>建立日期</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51929B">
            <w:pPr>
              <w:spacing w:line="500" w:lineRule="exact"/>
              <w:jc w:val="center"/>
              <w:rPr>
                <w:rFonts w:ascii="新宋体" w:hAnsi="新宋体" w:eastAsia="新宋体"/>
                <w:color w:val="auto"/>
                <w:highlight w:val="none"/>
              </w:rPr>
            </w:pPr>
          </w:p>
        </w:tc>
      </w:tr>
      <w:tr w14:paraId="2BF1F1C7">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2413B4">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企业法人代表</w:t>
            </w:r>
          </w:p>
        </w:tc>
        <w:tc>
          <w:tcPr>
            <w:tcW w:w="13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5B3D878">
            <w:pPr>
              <w:spacing w:line="500" w:lineRule="exact"/>
              <w:rPr>
                <w:rFonts w:ascii="新宋体" w:hAnsi="新宋体" w:eastAsia="新宋体"/>
                <w:color w:val="auto"/>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37EBA5">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职    称</w:t>
            </w:r>
          </w:p>
        </w:tc>
        <w:tc>
          <w:tcPr>
            <w:tcW w:w="14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62FD86">
            <w:pPr>
              <w:spacing w:line="500" w:lineRule="exact"/>
              <w:jc w:val="center"/>
              <w:rPr>
                <w:rFonts w:ascii="新宋体" w:hAnsi="新宋体" w:eastAsia="新宋体"/>
                <w:color w:val="auto"/>
                <w:highlight w:val="none"/>
              </w:rPr>
            </w:pPr>
          </w:p>
        </w:tc>
        <w:tc>
          <w:tcPr>
            <w:tcW w:w="1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4BAB9D">
            <w:pPr>
              <w:spacing w:line="500" w:lineRule="exact"/>
              <w:ind w:left="72"/>
              <w:jc w:val="center"/>
              <w:rPr>
                <w:rFonts w:ascii="新宋体" w:hAnsi="新宋体" w:eastAsia="新宋体"/>
                <w:color w:val="auto"/>
                <w:highlight w:val="none"/>
              </w:rPr>
            </w:pPr>
            <w:r>
              <w:rPr>
                <w:rFonts w:hint="eastAsia" w:ascii="新宋体" w:hAnsi="新宋体" w:eastAsia="新宋体"/>
                <w:color w:val="auto"/>
                <w:highlight w:val="none"/>
              </w:rPr>
              <w:t>企业性质</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6E87AC">
            <w:pPr>
              <w:spacing w:line="500" w:lineRule="exact"/>
              <w:jc w:val="center"/>
              <w:rPr>
                <w:rFonts w:ascii="新宋体" w:hAnsi="新宋体" w:eastAsia="新宋体"/>
                <w:color w:val="auto"/>
                <w:highlight w:val="none"/>
              </w:rPr>
            </w:pPr>
          </w:p>
        </w:tc>
      </w:tr>
      <w:tr w14:paraId="397A1F0F">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9A53EA">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企业资质等级</w:t>
            </w:r>
          </w:p>
        </w:tc>
        <w:tc>
          <w:tcPr>
            <w:tcW w:w="13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F00045F">
            <w:pPr>
              <w:spacing w:line="500" w:lineRule="exact"/>
              <w:rPr>
                <w:rFonts w:ascii="新宋体" w:hAnsi="新宋体" w:eastAsia="新宋体"/>
                <w:color w:val="auto"/>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75F203">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经营方式</w:t>
            </w:r>
          </w:p>
        </w:tc>
        <w:tc>
          <w:tcPr>
            <w:tcW w:w="410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DA8402">
            <w:pPr>
              <w:spacing w:line="500" w:lineRule="exact"/>
              <w:jc w:val="center"/>
              <w:rPr>
                <w:rFonts w:ascii="新宋体" w:hAnsi="新宋体" w:eastAsia="新宋体"/>
                <w:color w:val="auto"/>
                <w:highlight w:val="none"/>
              </w:rPr>
            </w:pPr>
          </w:p>
        </w:tc>
      </w:tr>
      <w:tr w14:paraId="2592365B">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01AF55">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上级主管部门</w:t>
            </w:r>
          </w:p>
        </w:tc>
        <w:tc>
          <w:tcPr>
            <w:tcW w:w="68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6B3E99">
            <w:pPr>
              <w:spacing w:line="500" w:lineRule="exact"/>
              <w:jc w:val="center"/>
              <w:rPr>
                <w:rFonts w:ascii="新宋体" w:hAnsi="新宋体" w:eastAsia="新宋体"/>
                <w:color w:val="auto"/>
                <w:highlight w:val="none"/>
              </w:rPr>
            </w:pPr>
          </w:p>
        </w:tc>
      </w:tr>
      <w:tr w14:paraId="077E693C">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6956B5">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批准成立机构</w:t>
            </w:r>
          </w:p>
        </w:tc>
        <w:tc>
          <w:tcPr>
            <w:tcW w:w="68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F115D7C">
            <w:pPr>
              <w:spacing w:line="500" w:lineRule="exact"/>
              <w:rPr>
                <w:rFonts w:ascii="新宋体" w:hAnsi="新宋体" w:eastAsia="新宋体"/>
                <w:color w:val="auto"/>
                <w:highlight w:val="none"/>
              </w:rPr>
            </w:pPr>
          </w:p>
        </w:tc>
      </w:tr>
      <w:tr w14:paraId="05B19B57">
        <w:tblPrEx>
          <w:tblCellMar>
            <w:top w:w="0" w:type="dxa"/>
            <w:left w:w="0" w:type="dxa"/>
            <w:bottom w:w="0" w:type="dxa"/>
            <w:right w:w="0" w:type="dxa"/>
          </w:tblCellMar>
        </w:tblPrEx>
        <w:trPr>
          <w:trHeight w:val="1334" w:hRule="atLeast"/>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FA2866">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经营范围</w:t>
            </w:r>
          </w:p>
        </w:tc>
        <w:tc>
          <w:tcPr>
            <w:tcW w:w="68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6C3FF13">
            <w:pPr>
              <w:spacing w:line="500" w:lineRule="exact"/>
              <w:rPr>
                <w:rFonts w:ascii="新宋体" w:hAnsi="新宋体" w:eastAsia="新宋体"/>
                <w:color w:val="auto"/>
                <w:highlight w:val="none"/>
              </w:rPr>
            </w:pPr>
            <w:r>
              <w:rPr>
                <w:rFonts w:hint="eastAsia" w:ascii="新宋体" w:hAnsi="新宋体" w:eastAsia="新宋体"/>
                <w:color w:val="auto"/>
                <w:highlight w:val="none"/>
              </w:rPr>
              <w:t xml:space="preserve">                                                                  </w:t>
            </w:r>
          </w:p>
        </w:tc>
      </w:tr>
      <w:tr w14:paraId="3CDB7CFF">
        <w:tblPrEx>
          <w:tblCellMar>
            <w:top w:w="0" w:type="dxa"/>
            <w:left w:w="0" w:type="dxa"/>
            <w:bottom w:w="0" w:type="dxa"/>
            <w:right w:w="0" w:type="dxa"/>
          </w:tblCellMar>
        </w:tblPrEx>
        <w:trPr>
          <w:trHeight w:val="5620" w:hRule="atLeast"/>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1F720D">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企业简介</w:t>
            </w:r>
          </w:p>
        </w:tc>
        <w:tc>
          <w:tcPr>
            <w:tcW w:w="68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191C04C">
            <w:pPr>
              <w:spacing w:line="500" w:lineRule="exact"/>
              <w:rPr>
                <w:rFonts w:ascii="新宋体" w:hAnsi="新宋体" w:eastAsia="新宋体"/>
                <w:color w:val="auto"/>
                <w:highlight w:val="none"/>
              </w:rPr>
            </w:pPr>
          </w:p>
        </w:tc>
      </w:tr>
    </w:tbl>
    <w:p w14:paraId="57C627AD">
      <w:pPr>
        <w:snapToGrid w:val="0"/>
        <w:spacing w:line="360" w:lineRule="auto"/>
        <w:ind w:firstLine="602" w:firstLineChars="200"/>
        <w:rPr>
          <w:rFonts w:ascii="仿宋" w:hAnsi="仿宋" w:eastAsia="仿宋" w:cs="仿宋_GB2312"/>
          <w:b/>
          <w:color w:val="auto"/>
          <w:sz w:val="30"/>
          <w:szCs w:val="30"/>
          <w:highlight w:val="none"/>
        </w:rPr>
      </w:pPr>
    </w:p>
    <w:p w14:paraId="3BE678BE">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14:paraId="6EE0D1B9">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日期：  年  月   日</w:t>
      </w:r>
    </w:p>
    <w:p w14:paraId="01A5D636">
      <w:pPr>
        <w:jc w:val="center"/>
        <w:rPr>
          <w:rFonts w:hint="eastAsia" w:ascii="宋体" w:hAnsi="宋体" w:cs="宋体"/>
          <w:b/>
          <w:color w:val="auto"/>
          <w:sz w:val="30"/>
          <w:szCs w:val="30"/>
          <w:highlight w:val="none"/>
          <w:lang w:eastAsia="zh-CN"/>
        </w:rPr>
      </w:pPr>
    </w:p>
    <w:p w14:paraId="612D42E2">
      <w:pPr>
        <w:jc w:val="center"/>
        <w:rPr>
          <w:rFonts w:hint="eastAsia" w:ascii="宋体" w:hAnsi="宋体" w:cs="宋体"/>
          <w:b/>
          <w:color w:val="auto"/>
          <w:sz w:val="30"/>
          <w:szCs w:val="30"/>
          <w:highlight w:val="none"/>
          <w:lang w:eastAsia="zh-CN"/>
        </w:rPr>
      </w:pPr>
    </w:p>
    <w:p w14:paraId="1F668437">
      <w:pPr>
        <w:jc w:val="center"/>
        <w:rPr>
          <w:rFonts w:hint="eastAsia" w:ascii="宋体" w:hAnsi="宋体" w:cs="宋体"/>
          <w:b/>
          <w:color w:val="auto"/>
          <w:sz w:val="30"/>
          <w:szCs w:val="30"/>
          <w:highlight w:val="none"/>
          <w:lang w:eastAsia="zh-CN"/>
        </w:rPr>
      </w:pPr>
    </w:p>
    <w:p w14:paraId="55EBFC67">
      <w:pPr>
        <w:jc w:val="center"/>
        <w:rPr>
          <w:rFonts w:hint="eastAsia" w:ascii="宋体" w:hAnsi="宋体" w:cs="宋体"/>
          <w:b/>
          <w:color w:val="auto"/>
          <w:sz w:val="30"/>
          <w:szCs w:val="30"/>
          <w:highlight w:val="none"/>
          <w:lang w:eastAsia="zh-CN"/>
        </w:rPr>
      </w:pPr>
    </w:p>
    <w:p w14:paraId="7528BA66">
      <w:pPr>
        <w:jc w:val="center"/>
        <w:rPr>
          <w:rFonts w:hint="eastAsia" w:ascii="宋体" w:hAnsi="宋体" w:cs="宋体"/>
          <w:b/>
          <w:color w:val="auto"/>
          <w:sz w:val="30"/>
          <w:szCs w:val="30"/>
          <w:highlight w:val="none"/>
          <w:lang w:eastAsia="zh-CN"/>
        </w:rPr>
      </w:pPr>
    </w:p>
    <w:p w14:paraId="6DDF8C5B">
      <w:pPr>
        <w:jc w:val="center"/>
        <w:rPr>
          <w:rFonts w:hint="eastAsia" w:ascii="宋体" w:hAnsi="宋体" w:cs="宋体"/>
          <w:b/>
          <w:color w:val="auto"/>
          <w:sz w:val="30"/>
          <w:szCs w:val="30"/>
          <w:highlight w:val="none"/>
          <w:lang w:eastAsia="zh-CN"/>
        </w:rPr>
      </w:pPr>
    </w:p>
    <w:p w14:paraId="354161C0">
      <w:pPr>
        <w:jc w:val="center"/>
        <w:rPr>
          <w:rFonts w:ascii="宋体" w:hAnsi="宋体"/>
          <w:b/>
          <w:color w:val="auto"/>
          <w:sz w:val="30"/>
          <w:szCs w:val="30"/>
          <w:highlight w:val="none"/>
        </w:rPr>
      </w:pPr>
      <w:r>
        <w:rPr>
          <w:rFonts w:hint="eastAsia" w:ascii="宋体" w:hAnsi="宋体" w:cs="宋体"/>
          <w:b/>
          <w:color w:val="auto"/>
          <w:sz w:val="30"/>
          <w:szCs w:val="30"/>
          <w:highlight w:val="none"/>
          <w:lang w:eastAsia="zh-CN"/>
        </w:rPr>
        <w:t>十、</w:t>
      </w:r>
      <w:r>
        <w:rPr>
          <w:rFonts w:hint="eastAsia" w:ascii="宋体" w:hAnsi="宋体" w:cs="宋体"/>
          <w:b/>
          <w:color w:val="auto"/>
          <w:sz w:val="30"/>
          <w:szCs w:val="30"/>
          <w:highlight w:val="none"/>
        </w:rPr>
        <w:t>项目经理（或建造师）简历表</w:t>
      </w:r>
    </w:p>
    <w:p w14:paraId="775F3EB0">
      <w:pPr>
        <w:jc w:val="center"/>
        <w:rPr>
          <w:rFonts w:ascii="宋体" w:hAnsi="宋体"/>
          <w:color w:val="auto"/>
          <w:highlight w:val="none"/>
        </w:rPr>
      </w:pPr>
    </w:p>
    <w:tbl>
      <w:tblPr>
        <w:tblStyle w:val="23"/>
        <w:tblW w:w="0" w:type="auto"/>
        <w:jc w:val="center"/>
        <w:tblLayout w:type="fixed"/>
        <w:tblCellMar>
          <w:top w:w="0" w:type="dxa"/>
          <w:left w:w="0" w:type="dxa"/>
          <w:bottom w:w="0" w:type="dxa"/>
          <w:right w:w="0" w:type="dxa"/>
        </w:tblCellMar>
      </w:tblPr>
      <w:tblGrid>
        <w:gridCol w:w="1158"/>
        <w:gridCol w:w="2005"/>
        <w:gridCol w:w="1155"/>
        <w:gridCol w:w="1565"/>
        <w:gridCol w:w="1060"/>
        <w:gridCol w:w="1670"/>
      </w:tblGrid>
      <w:tr w14:paraId="5C6C833E">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027E3ED">
            <w:pPr>
              <w:jc w:val="center"/>
              <w:rPr>
                <w:rFonts w:ascii="宋体" w:hAnsi="宋体"/>
                <w:color w:val="auto"/>
                <w:szCs w:val="21"/>
                <w:highlight w:val="none"/>
              </w:rPr>
            </w:pPr>
            <w:r>
              <w:rPr>
                <w:rFonts w:hint="eastAsia" w:ascii="宋体" w:hAnsi="宋体" w:cs="宋体"/>
                <w:color w:val="auto"/>
                <w:szCs w:val="21"/>
                <w:highlight w:val="none"/>
              </w:rPr>
              <w:t>姓名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1CD9E81">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8CDBB42">
            <w:pPr>
              <w:jc w:val="center"/>
              <w:rPr>
                <w:rFonts w:ascii="宋体" w:hAnsi="宋体"/>
                <w:color w:val="auto"/>
                <w:szCs w:val="21"/>
                <w:highlight w:val="none"/>
              </w:rPr>
            </w:pPr>
            <w:r>
              <w:rPr>
                <w:rFonts w:hint="eastAsia" w:ascii="宋体" w:hAnsi="宋体" w:cs="宋体"/>
                <w:color w:val="auto"/>
                <w:szCs w:val="21"/>
                <w:highlight w:val="none"/>
              </w:rPr>
              <w:t>性别</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8CDC50B">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63AE729">
            <w:pPr>
              <w:jc w:val="center"/>
              <w:rPr>
                <w:rFonts w:ascii="宋体" w:hAnsi="宋体"/>
                <w:color w:val="auto"/>
                <w:szCs w:val="21"/>
                <w:highlight w:val="none"/>
              </w:rPr>
            </w:pPr>
            <w:r>
              <w:rPr>
                <w:rFonts w:hint="eastAsia" w:ascii="宋体" w:hAnsi="宋体" w:cs="宋体"/>
                <w:color w:val="auto"/>
                <w:szCs w:val="21"/>
                <w:highlight w:val="none"/>
              </w:rPr>
              <w:t>年龄</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5449627">
            <w:pPr>
              <w:jc w:val="center"/>
              <w:rPr>
                <w:rFonts w:ascii="宋体" w:hAnsi="宋体"/>
                <w:color w:val="auto"/>
                <w:szCs w:val="21"/>
                <w:highlight w:val="none"/>
              </w:rPr>
            </w:pPr>
          </w:p>
        </w:tc>
      </w:tr>
      <w:tr w14:paraId="7DFB778E">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15EFBF5">
            <w:pPr>
              <w:jc w:val="center"/>
              <w:rPr>
                <w:rFonts w:ascii="宋体" w:hAnsi="宋体"/>
                <w:color w:val="auto"/>
                <w:szCs w:val="21"/>
                <w:highlight w:val="none"/>
              </w:rPr>
            </w:pPr>
            <w:r>
              <w:rPr>
                <w:rFonts w:hint="eastAsia" w:ascii="宋体" w:hAnsi="宋体" w:cs="宋体"/>
                <w:color w:val="auto"/>
                <w:szCs w:val="21"/>
                <w:highlight w:val="none"/>
              </w:rPr>
              <w:t>职务</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0E1E8C7">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382E946">
            <w:pPr>
              <w:jc w:val="center"/>
              <w:rPr>
                <w:rFonts w:ascii="宋体" w:hAnsi="宋体"/>
                <w:color w:val="auto"/>
                <w:szCs w:val="21"/>
                <w:highlight w:val="none"/>
              </w:rPr>
            </w:pPr>
            <w:r>
              <w:rPr>
                <w:rFonts w:hint="eastAsia" w:ascii="宋体" w:hAnsi="宋体" w:cs="宋体"/>
                <w:color w:val="auto"/>
                <w:szCs w:val="21"/>
                <w:highlight w:val="none"/>
              </w:rPr>
              <w:t>职称</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26BED32">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EA4940E">
            <w:pPr>
              <w:jc w:val="center"/>
              <w:rPr>
                <w:rFonts w:ascii="宋体" w:hAnsi="宋体"/>
                <w:color w:val="auto"/>
                <w:szCs w:val="21"/>
                <w:highlight w:val="none"/>
              </w:rPr>
            </w:pPr>
            <w:r>
              <w:rPr>
                <w:rFonts w:hint="eastAsia" w:ascii="宋体" w:hAnsi="宋体" w:cs="宋体"/>
                <w:color w:val="auto"/>
                <w:szCs w:val="21"/>
                <w:highlight w:val="none"/>
              </w:rPr>
              <w:t>学历</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D159430">
            <w:pPr>
              <w:jc w:val="center"/>
              <w:rPr>
                <w:rFonts w:ascii="宋体" w:hAnsi="宋体"/>
                <w:color w:val="auto"/>
                <w:szCs w:val="21"/>
                <w:highlight w:val="none"/>
              </w:rPr>
            </w:pPr>
          </w:p>
        </w:tc>
      </w:tr>
      <w:tr w14:paraId="5C2AC2C2">
        <w:tblPrEx>
          <w:tblCellMar>
            <w:top w:w="0" w:type="dxa"/>
            <w:left w:w="0" w:type="dxa"/>
            <w:bottom w:w="0" w:type="dxa"/>
            <w:right w:w="0" w:type="dxa"/>
          </w:tblCellMar>
        </w:tblPrEx>
        <w:trPr>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97C6D1F">
            <w:pPr>
              <w:jc w:val="center"/>
              <w:rPr>
                <w:rFonts w:ascii="宋体" w:hAnsi="宋体"/>
                <w:color w:val="auto"/>
                <w:szCs w:val="21"/>
                <w:highlight w:val="none"/>
              </w:rPr>
            </w:pPr>
            <w:r>
              <w:rPr>
                <w:rFonts w:hint="eastAsia" w:ascii="宋体" w:hAnsi="宋体" w:cs="宋体"/>
                <w:color w:val="auto"/>
                <w:szCs w:val="21"/>
                <w:highlight w:val="none"/>
              </w:rPr>
              <w:t>参加工作时间</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210F65F">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37E7D20">
            <w:pPr>
              <w:jc w:val="center"/>
              <w:rPr>
                <w:rFonts w:ascii="宋体" w:hAnsi="宋体"/>
                <w:color w:val="auto"/>
                <w:szCs w:val="21"/>
                <w:highlight w:val="none"/>
              </w:rPr>
            </w:pPr>
            <w:r>
              <w:rPr>
                <w:rFonts w:hint="eastAsia" w:ascii="宋体" w:hAnsi="宋体" w:cs="宋体"/>
                <w:color w:val="auto"/>
                <w:szCs w:val="21"/>
                <w:highlight w:val="none"/>
              </w:rPr>
              <w:t>从事项目经理（或建造师）年限</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C43E079">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B081150">
            <w:pPr>
              <w:jc w:val="center"/>
              <w:rPr>
                <w:rFonts w:ascii="宋体" w:hAnsi="宋体"/>
                <w:color w:val="auto"/>
                <w:szCs w:val="21"/>
                <w:highlight w:val="none"/>
              </w:rPr>
            </w:pPr>
            <w:r>
              <w:rPr>
                <w:rFonts w:hint="eastAsia" w:ascii="宋体" w:hAnsi="宋体" w:cs="宋体"/>
                <w:color w:val="auto"/>
                <w:szCs w:val="21"/>
                <w:highlight w:val="none"/>
              </w:rPr>
              <w:t>资质等级</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3798191">
            <w:pPr>
              <w:jc w:val="center"/>
              <w:rPr>
                <w:rFonts w:ascii="宋体" w:hAnsi="宋体"/>
                <w:color w:val="auto"/>
                <w:szCs w:val="21"/>
                <w:highlight w:val="none"/>
              </w:rPr>
            </w:pPr>
          </w:p>
        </w:tc>
      </w:tr>
      <w:tr w14:paraId="5B9C3A09">
        <w:tblPrEx>
          <w:tblCellMar>
            <w:top w:w="0" w:type="dxa"/>
            <w:left w:w="0" w:type="dxa"/>
            <w:bottom w:w="0" w:type="dxa"/>
            <w:right w:w="0" w:type="dxa"/>
          </w:tblCellMar>
        </w:tblPrEx>
        <w:trPr>
          <w:trHeight w:val="500" w:hRule="exact"/>
          <w:jc w:val="center"/>
        </w:trPr>
        <w:tc>
          <w:tcPr>
            <w:tcW w:w="4318"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845EAAA">
            <w:pPr>
              <w:jc w:val="center"/>
              <w:rPr>
                <w:rFonts w:ascii="宋体" w:hAnsi="宋体"/>
                <w:color w:val="auto"/>
                <w:szCs w:val="21"/>
                <w:highlight w:val="none"/>
              </w:rPr>
            </w:pPr>
            <w:r>
              <w:rPr>
                <w:rFonts w:hint="eastAsia" w:ascii="宋体" w:hAnsi="宋体" w:cs="宋体"/>
                <w:color w:val="auto"/>
                <w:szCs w:val="21"/>
                <w:highlight w:val="none"/>
              </w:rPr>
              <w:t>拟在本工程中担任的工作和职务</w:t>
            </w:r>
          </w:p>
        </w:tc>
        <w:tc>
          <w:tcPr>
            <w:tcW w:w="4295"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63165F">
            <w:pPr>
              <w:jc w:val="center"/>
              <w:rPr>
                <w:rFonts w:ascii="宋体" w:hAnsi="宋体"/>
                <w:color w:val="auto"/>
                <w:szCs w:val="21"/>
                <w:highlight w:val="none"/>
              </w:rPr>
            </w:pPr>
          </w:p>
        </w:tc>
      </w:tr>
      <w:tr w14:paraId="592898DE">
        <w:tblPrEx>
          <w:tblCellMar>
            <w:top w:w="0" w:type="dxa"/>
            <w:left w:w="0" w:type="dxa"/>
            <w:bottom w:w="0" w:type="dxa"/>
            <w:right w:w="0" w:type="dxa"/>
          </w:tblCellMar>
        </w:tblPrEx>
        <w:trPr>
          <w:trHeight w:val="500" w:hRule="atLeast"/>
          <w:jc w:val="center"/>
        </w:trPr>
        <w:tc>
          <w:tcPr>
            <w:tcW w:w="8613"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E121571">
            <w:pPr>
              <w:jc w:val="center"/>
              <w:rPr>
                <w:rFonts w:ascii="宋体" w:hAnsi="宋体"/>
                <w:color w:val="auto"/>
                <w:szCs w:val="21"/>
                <w:highlight w:val="none"/>
              </w:rPr>
            </w:pPr>
            <w:r>
              <w:rPr>
                <w:rFonts w:hint="eastAsia" w:ascii="宋体" w:hAnsi="宋体" w:cs="宋体"/>
                <w:color w:val="auto"/>
                <w:szCs w:val="21"/>
                <w:highlight w:val="none"/>
              </w:rPr>
              <w:t>已完工程项目情况</w:t>
            </w:r>
          </w:p>
        </w:tc>
      </w:tr>
      <w:tr w14:paraId="6A2E7814">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ACA6AB6">
            <w:pPr>
              <w:jc w:val="center"/>
              <w:rPr>
                <w:rFonts w:ascii="宋体" w:hAnsi="宋体"/>
                <w:color w:val="auto"/>
                <w:szCs w:val="21"/>
                <w:highlight w:val="none"/>
              </w:rPr>
            </w:pPr>
            <w:r>
              <w:rPr>
                <w:rFonts w:hint="eastAsia" w:ascii="宋体" w:hAnsi="宋体" w:cs="宋体"/>
                <w:color w:val="auto"/>
                <w:szCs w:val="21"/>
                <w:highlight w:val="none"/>
              </w:rPr>
              <w:t>建设单位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7D13080">
            <w:pPr>
              <w:jc w:val="center"/>
              <w:rPr>
                <w:rFonts w:ascii="宋体" w:hAnsi="宋体"/>
                <w:color w:val="auto"/>
                <w:szCs w:val="21"/>
                <w:highlight w:val="none"/>
              </w:rPr>
            </w:pPr>
            <w:r>
              <w:rPr>
                <w:rFonts w:hint="eastAsia" w:ascii="宋体" w:hAnsi="宋体" w:cs="宋体"/>
                <w:color w:val="auto"/>
                <w:szCs w:val="21"/>
                <w:highlight w:val="none"/>
              </w:rPr>
              <w:t>项目名称</w:t>
            </w: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FE805D9">
            <w:pPr>
              <w:jc w:val="center"/>
              <w:rPr>
                <w:rFonts w:ascii="宋体" w:hAnsi="宋体"/>
                <w:color w:val="auto"/>
                <w:szCs w:val="21"/>
                <w:highlight w:val="none"/>
              </w:rPr>
            </w:pPr>
            <w:r>
              <w:rPr>
                <w:rFonts w:hint="eastAsia" w:ascii="宋体" w:hAnsi="宋体" w:cs="宋体"/>
                <w:color w:val="auto"/>
                <w:szCs w:val="21"/>
                <w:highlight w:val="none"/>
              </w:rPr>
              <w:t>建筑规模</w:t>
            </w: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2743C54">
            <w:pPr>
              <w:jc w:val="center"/>
              <w:rPr>
                <w:rFonts w:ascii="宋体" w:hAnsi="宋体"/>
                <w:color w:val="auto"/>
                <w:szCs w:val="21"/>
                <w:highlight w:val="none"/>
              </w:rPr>
            </w:pPr>
            <w:r>
              <w:rPr>
                <w:rFonts w:hint="eastAsia" w:ascii="宋体" w:hAnsi="宋体" w:cs="宋体"/>
                <w:color w:val="auto"/>
                <w:szCs w:val="21"/>
                <w:highlight w:val="none"/>
              </w:rPr>
              <w:t>开竣工日期</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AE13314">
            <w:pPr>
              <w:jc w:val="center"/>
              <w:rPr>
                <w:rFonts w:ascii="宋体" w:hAnsi="宋体"/>
                <w:color w:val="auto"/>
                <w:szCs w:val="21"/>
                <w:highlight w:val="none"/>
              </w:rPr>
            </w:pPr>
            <w:r>
              <w:rPr>
                <w:rFonts w:hint="eastAsia" w:ascii="宋体" w:hAnsi="宋体" w:cs="宋体"/>
                <w:color w:val="auto"/>
                <w:szCs w:val="21"/>
                <w:highlight w:val="none"/>
              </w:rPr>
              <w:t>质量等级</w:t>
            </w:r>
          </w:p>
        </w:tc>
      </w:tr>
      <w:tr w14:paraId="17C6C055">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89FAA66">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03D4289">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013237A">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8099C59">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B1E8E0B">
            <w:pPr>
              <w:jc w:val="center"/>
              <w:rPr>
                <w:rFonts w:ascii="宋体" w:hAnsi="宋体"/>
                <w:color w:val="auto"/>
                <w:szCs w:val="21"/>
                <w:highlight w:val="none"/>
              </w:rPr>
            </w:pPr>
          </w:p>
        </w:tc>
      </w:tr>
      <w:tr w14:paraId="4768931B">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3CB101D">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8F379DD">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09C548A">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1496F81">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DBC4504">
            <w:pPr>
              <w:jc w:val="center"/>
              <w:rPr>
                <w:rFonts w:ascii="宋体" w:hAnsi="宋体"/>
                <w:color w:val="auto"/>
                <w:szCs w:val="21"/>
                <w:highlight w:val="none"/>
              </w:rPr>
            </w:pPr>
          </w:p>
        </w:tc>
      </w:tr>
      <w:tr w14:paraId="5BD4F397">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876DA34">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0F18512">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7C6BFD6">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D73577E">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DA42650">
            <w:pPr>
              <w:jc w:val="center"/>
              <w:rPr>
                <w:rFonts w:ascii="宋体" w:hAnsi="宋体"/>
                <w:color w:val="auto"/>
                <w:szCs w:val="21"/>
                <w:highlight w:val="none"/>
              </w:rPr>
            </w:pPr>
          </w:p>
        </w:tc>
      </w:tr>
      <w:tr w14:paraId="08FFCEBB">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7037187">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118B76A">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841A255">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3D0ADB2">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C339AA7">
            <w:pPr>
              <w:jc w:val="center"/>
              <w:rPr>
                <w:rFonts w:ascii="宋体" w:hAnsi="宋体"/>
                <w:color w:val="auto"/>
                <w:szCs w:val="21"/>
                <w:highlight w:val="none"/>
              </w:rPr>
            </w:pPr>
          </w:p>
        </w:tc>
      </w:tr>
      <w:tr w14:paraId="03CB0C31">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72CB717">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ACDF850">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F11448E">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960CAD0">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3BC5789">
            <w:pPr>
              <w:jc w:val="center"/>
              <w:rPr>
                <w:rFonts w:ascii="宋体" w:hAnsi="宋体"/>
                <w:color w:val="auto"/>
                <w:szCs w:val="21"/>
                <w:highlight w:val="none"/>
              </w:rPr>
            </w:pPr>
          </w:p>
        </w:tc>
      </w:tr>
      <w:tr w14:paraId="7EAEDF36">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FEDCC19">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95A1485">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E0FFB44">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43F67EC">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310957A">
            <w:pPr>
              <w:jc w:val="center"/>
              <w:rPr>
                <w:rFonts w:ascii="宋体" w:hAnsi="宋体"/>
                <w:color w:val="auto"/>
                <w:szCs w:val="21"/>
                <w:highlight w:val="none"/>
              </w:rPr>
            </w:pPr>
          </w:p>
        </w:tc>
      </w:tr>
      <w:tr w14:paraId="0A662997">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46161E5">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CD6748C">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0AD2AA5">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F9CCFBF">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F55691C">
            <w:pPr>
              <w:jc w:val="center"/>
              <w:rPr>
                <w:rFonts w:ascii="宋体" w:hAnsi="宋体"/>
                <w:color w:val="auto"/>
                <w:szCs w:val="21"/>
                <w:highlight w:val="none"/>
              </w:rPr>
            </w:pPr>
          </w:p>
        </w:tc>
      </w:tr>
      <w:tr w14:paraId="117C63F1">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301177B">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1DC8ACB">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16DC744">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A310BFF">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FCF0190">
            <w:pPr>
              <w:jc w:val="center"/>
              <w:rPr>
                <w:rFonts w:ascii="宋体" w:hAnsi="宋体"/>
                <w:color w:val="auto"/>
                <w:szCs w:val="21"/>
                <w:highlight w:val="none"/>
              </w:rPr>
            </w:pPr>
          </w:p>
        </w:tc>
      </w:tr>
      <w:tr w14:paraId="165E2294">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BB800C0">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B05136D">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70C41A9">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12CD1FF">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55BA672">
            <w:pPr>
              <w:jc w:val="center"/>
              <w:rPr>
                <w:rFonts w:ascii="宋体" w:hAnsi="宋体"/>
                <w:color w:val="auto"/>
                <w:szCs w:val="21"/>
                <w:highlight w:val="none"/>
              </w:rPr>
            </w:pPr>
          </w:p>
        </w:tc>
      </w:tr>
      <w:tr w14:paraId="6EEB8C7C">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35932D6">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D7E0178">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350479D">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33586E3">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7772D21">
            <w:pPr>
              <w:jc w:val="center"/>
              <w:rPr>
                <w:rFonts w:ascii="宋体" w:hAnsi="宋体"/>
                <w:color w:val="auto"/>
                <w:szCs w:val="21"/>
                <w:highlight w:val="none"/>
              </w:rPr>
            </w:pPr>
          </w:p>
        </w:tc>
      </w:tr>
      <w:tr w14:paraId="08756358">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EBCC5F3">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100EEBD">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0B8929">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79994B9">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2FD35BD">
            <w:pPr>
              <w:jc w:val="center"/>
              <w:rPr>
                <w:rFonts w:ascii="宋体" w:hAnsi="宋体"/>
                <w:color w:val="auto"/>
                <w:szCs w:val="21"/>
                <w:highlight w:val="none"/>
              </w:rPr>
            </w:pPr>
          </w:p>
        </w:tc>
      </w:tr>
      <w:tr w14:paraId="0DB6BB95">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068C6B">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2548C2E">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9EE4160">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F77A876">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190B6E8">
            <w:pPr>
              <w:jc w:val="center"/>
              <w:rPr>
                <w:rFonts w:ascii="宋体" w:hAnsi="宋体"/>
                <w:color w:val="auto"/>
                <w:szCs w:val="21"/>
                <w:highlight w:val="none"/>
              </w:rPr>
            </w:pPr>
          </w:p>
        </w:tc>
      </w:tr>
    </w:tbl>
    <w:p w14:paraId="582B4387">
      <w:pPr>
        <w:rPr>
          <w:rFonts w:ascii="宋体" w:hAnsi="宋体"/>
          <w:color w:val="auto"/>
          <w:szCs w:val="21"/>
          <w:highlight w:val="none"/>
        </w:rPr>
      </w:pPr>
    </w:p>
    <w:p w14:paraId="2198BE48">
      <w:pPr>
        <w:ind w:firstLine="422" w:firstLineChars="200"/>
        <w:rPr>
          <w:rFonts w:ascii="宋体" w:hAnsi="宋体"/>
          <w:b/>
          <w:color w:val="auto"/>
          <w:szCs w:val="21"/>
          <w:highlight w:val="none"/>
        </w:rPr>
      </w:pPr>
      <w:r>
        <w:rPr>
          <w:rFonts w:hint="eastAsia" w:ascii="宋体" w:hAnsi="宋体" w:cs="宋体"/>
          <w:b/>
          <w:color w:val="auto"/>
          <w:szCs w:val="21"/>
          <w:highlight w:val="none"/>
        </w:rPr>
        <w:t>附：项目经理（或建造师）或注册建造师资质等级证书扫描件及资质等级年检情况。</w:t>
      </w:r>
    </w:p>
    <w:p w14:paraId="55A87852">
      <w:pPr>
        <w:rPr>
          <w:rFonts w:ascii="宋体" w:hAnsi="宋体"/>
          <w:b/>
          <w:color w:val="auto"/>
          <w:szCs w:val="21"/>
          <w:highlight w:val="none"/>
        </w:rPr>
      </w:pPr>
    </w:p>
    <w:p w14:paraId="0B97FFE7">
      <w:pPr>
        <w:rPr>
          <w:rFonts w:ascii="宋体" w:hAnsi="宋体"/>
          <w:b/>
          <w:color w:val="auto"/>
          <w:szCs w:val="21"/>
          <w:highlight w:val="none"/>
        </w:rPr>
      </w:pPr>
    </w:p>
    <w:p w14:paraId="38B1623B">
      <w:pPr>
        <w:rPr>
          <w:rFonts w:ascii="宋体" w:hAnsi="宋体"/>
          <w:b/>
          <w:color w:val="auto"/>
          <w:szCs w:val="21"/>
          <w:highlight w:val="none"/>
        </w:rPr>
      </w:pPr>
    </w:p>
    <w:p w14:paraId="739EFD5B">
      <w:pPr>
        <w:rPr>
          <w:rFonts w:ascii="宋体" w:hAnsi="宋体"/>
          <w:b/>
          <w:color w:val="auto"/>
          <w:szCs w:val="21"/>
          <w:highlight w:val="none"/>
        </w:rPr>
      </w:pPr>
    </w:p>
    <w:p w14:paraId="297E3CE3">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14:paraId="0AFD6415">
      <w:pPr>
        <w:pStyle w:val="19"/>
        <w:snapToGrid w:val="0"/>
        <w:spacing w:line="360" w:lineRule="auto"/>
        <w:ind w:left="409" w:leftChars="195" w:firstLine="6240" w:firstLineChars="2600"/>
        <w:rPr>
          <w:rFonts w:hint="eastAsia" w:ascii="宋体" w:hAnsi="宋体" w:eastAsia="宋体" w:cs="宋体"/>
          <w:color w:val="auto"/>
          <w:sz w:val="24"/>
          <w:szCs w:val="24"/>
          <w:highlight w:val="none"/>
        </w:rPr>
      </w:pPr>
      <w:r>
        <w:rPr>
          <w:rFonts w:hint="eastAsia" w:ascii="宋体" w:hAnsi="宋体" w:cs="仿宋_GB2312"/>
          <w:color w:val="auto"/>
          <w:kern w:val="0"/>
          <w:sz w:val="24"/>
          <w:szCs w:val="24"/>
          <w:highlight w:val="none"/>
          <w:lang w:val="zh-CN"/>
        </w:rPr>
        <w:t>日期：  年  月   日</w:t>
      </w:r>
    </w:p>
    <w:p w14:paraId="41D822F7">
      <w:pPr>
        <w:pStyle w:val="19"/>
        <w:snapToGrid w:val="0"/>
        <w:spacing w:line="360" w:lineRule="auto"/>
        <w:ind w:left="480" w:hanging="480"/>
        <w:rPr>
          <w:rFonts w:hint="eastAsia" w:ascii="宋体" w:hAnsi="宋体" w:eastAsia="宋体" w:cs="宋体"/>
          <w:color w:val="auto"/>
          <w:sz w:val="24"/>
          <w:highlight w:val="none"/>
        </w:rPr>
      </w:pPr>
    </w:p>
    <w:p w14:paraId="162C24F8">
      <w:pPr>
        <w:pStyle w:val="19"/>
        <w:snapToGrid w:val="0"/>
        <w:spacing w:line="360" w:lineRule="auto"/>
        <w:ind w:left="480" w:hanging="480"/>
        <w:rPr>
          <w:rFonts w:hint="eastAsia" w:ascii="宋体" w:hAnsi="宋体" w:eastAsia="宋体" w:cs="宋体"/>
          <w:color w:val="auto"/>
          <w:sz w:val="2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EA4D529">
      <w:pPr>
        <w:snapToGrid w:val="0"/>
        <w:spacing w:line="360" w:lineRule="auto"/>
        <w:ind w:left="480" w:firstLine="0" w:firstLineChars="0"/>
        <w:jc w:val="center"/>
        <w:rPr>
          <w:rFonts w:hint="eastAsia" w:ascii="宋体" w:hAnsi="宋体" w:eastAsia="宋体" w:cs="宋体"/>
          <w:b/>
          <w:color w:val="auto"/>
          <w:sz w:val="30"/>
          <w:szCs w:val="30"/>
          <w:highlight w:val="none"/>
          <w:lang w:val="en-US"/>
        </w:rPr>
      </w:pPr>
      <w:bookmarkStart w:id="110" w:name="_Toc2647"/>
      <w:r>
        <w:rPr>
          <w:rFonts w:hint="eastAsia" w:ascii="宋体" w:hAnsi="宋体" w:cs="宋体"/>
          <w:b/>
          <w:color w:val="auto"/>
          <w:sz w:val="28"/>
          <w:szCs w:val="28"/>
          <w:highlight w:val="none"/>
          <w:lang w:val="en-US" w:eastAsia="zh-CN"/>
        </w:rPr>
        <w:t>十一</w:t>
      </w:r>
      <w:r>
        <w:rPr>
          <w:rFonts w:hint="eastAsia" w:ascii="宋体" w:hAnsi="宋体" w:cs="宋体"/>
          <w:b/>
          <w:color w:val="auto"/>
          <w:sz w:val="28"/>
          <w:szCs w:val="28"/>
          <w:highlight w:val="none"/>
        </w:rPr>
        <w:t>、项目管理机构配备情况表</w:t>
      </w:r>
      <w:bookmarkEnd w:id="110"/>
    </w:p>
    <w:p w14:paraId="0A1CDDFC">
      <w:pPr>
        <w:widowControl/>
        <w:rPr>
          <w:rFonts w:hint="eastAsia" w:ascii="宋体" w:hAnsi="宋体" w:cs="宋体"/>
          <w:color w:val="auto"/>
          <w:szCs w:val="21"/>
          <w:highlight w:val="none"/>
          <w:u w:val="single"/>
        </w:rPr>
      </w:pPr>
      <w:bookmarkStart w:id="111" w:name="_Toc251052185"/>
    </w:p>
    <w:p w14:paraId="708909EA">
      <w:pPr>
        <w:widowControl/>
        <w:ind w:firstLine="210" w:firstLineChars="100"/>
        <w:rPr>
          <w:rFonts w:hint="default" w:ascii="宋体" w:hAnsi="宋体" w:cs="宋体"/>
          <w:color w:val="auto"/>
          <w:szCs w:val="21"/>
          <w:highlight w:val="none"/>
          <w:u w:val="single"/>
          <w:lang w:val="en-US" w:eastAsia="zh-CN"/>
        </w:rPr>
      </w:pPr>
      <w:r>
        <w:rPr>
          <w:rFonts w:hint="eastAsia" w:ascii="宋体" w:hAnsi="宋体" w:cs="宋体"/>
          <w:color w:val="auto"/>
          <w:szCs w:val="21"/>
          <w:highlight w:val="none"/>
          <w:u w:val="single"/>
        </w:rPr>
        <w:t>项目名称</w:t>
      </w:r>
      <w:bookmarkEnd w:id="111"/>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 xml:space="preserve">                 </w:t>
      </w:r>
    </w:p>
    <w:p w14:paraId="2C50AC1A">
      <w:pPr>
        <w:widowControl/>
        <w:ind w:firstLine="210" w:firstLineChars="100"/>
        <w:rPr>
          <w:rFonts w:hint="eastAsia" w:ascii="宋体" w:hAnsi="宋体" w:cs="宋体"/>
          <w:color w:val="auto"/>
          <w:szCs w:val="21"/>
          <w:highlight w:val="none"/>
          <w:u w:val="single"/>
          <w:lang w:val="en-US" w:eastAsia="zh-CN"/>
        </w:rPr>
      </w:pPr>
    </w:p>
    <w:p w14:paraId="7D48F048">
      <w:pPr>
        <w:widowControl/>
        <w:ind w:firstLine="210" w:firstLineChars="100"/>
        <w:rPr>
          <w:rFonts w:hint="default"/>
          <w:color w:val="auto"/>
          <w:highlight w:val="none"/>
          <w:lang w:val="en-US" w:eastAsia="zh-CN"/>
        </w:rPr>
      </w:pPr>
      <w:r>
        <w:rPr>
          <w:rFonts w:hint="eastAsia" w:ascii="宋体" w:hAnsi="宋体" w:cs="宋体"/>
          <w:color w:val="auto"/>
          <w:szCs w:val="21"/>
          <w:highlight w:val="none"/>
          <w:u w:val="single"/>
          <w:lang w:val="en-US" w:eastAsia="zh-CN"/>
        </w:rPr>
        <w:t xml:space="preserve"> 项目编号：                    </w:t>
      </w:r>
    </w:p>
    <w:tbl>
      <w:tblPr>
        <w:tblStyle w:val="2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830"/>
        <w:gridCol w:w="817"/>
        <w:gridCol w:w="1148"/>
        <w:gridCol w:w="1148"/>
        <w:gridCol w:w="1148"/>
        <w:gridCol w:w="1148"/>
        <w:gridCol w:w="850"/>
        <w:gridCol w:w="1277"/>
      </w:tblGrid>
      <w:tr w14:paraId="2B8D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14:paraId="66D5B38D">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岗位</w:t>
            </w:r>
          </w:p>
        </w:tc>
        <w:tc>
          <w:tcPr>
            <w:tcW w:w="829" w:type="dxa"/>
            <w:vMerge w:val="restart"/>
            <w:tcBorders>
              <w:top w:val="single" w:color="auto" w:sz="4" w:space="0"/>
              <w:left w:val="single" w:color="auto" w:sz="4" w:space="0"/>
              <w:bottom w:val="single" w:color="auto" w:sz="4" w:space="0"/>
              <w:right w:val="single" w:color="auto" w:sz="4" w:space="0"/>
            </w:tcBorders>
            <w:noWrap w:val="0"/>
            <w:vAlign w:val="center"/>
          </w:tcPr>
          <w:p w14:paraId="0DF3FDFE">
            <w:pPr>
              <w:ind w:left="223" w:hanging="222" w:hangingChars="106"/>
              <w:jc w:val="center"/>
              <w:rPr>
                <w:rFonts w:ascii="宋体" w:hAnsi="宋体"/>
                <w:color w:val="auto"/>
                <w:szCs w:val="21"/>
                <w:highlight w:val="none"/>
              </w:rPr>
            </w:pPr>
            <w:bookmarkStart w:id="112" w:name="_Toc251052187"/>
            <w:r>
              <w:rPr>
                <w:rFonts w:hint="eastAsia" w:ascii="宋体" w:hAnsi="宋体" w:cs="宋体"/>
                <w:color w:val="auto"/>
                <w:szCs w:val="21"/>
                <w:highlight w:val="none"/>
              </w:rPr>
              <w:t>姓名</w:t>
            </w:r>
            <w:bookmarkEnd w:id="112"/>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14:paraId="22AD676D">
            <w:pPr>
              <w:ind w:left="223" w:hanging="222" w:hangingChars="106"/>
              <w:jc w:val="center"/>
              <w:rPr>
                <w:rFonts w:ascii="宋体" w:hAnsi="宋体"/>
                <w:color w:val="auto"/>
                <w:szCs w:val="21"/>
                <w:highlight w:val="none"/>
              </w:rPr>
            </w:pPr>
            <w:bookmarkStart w:id="113" w:name="_Toc251052188"/>
            <w:r>
              <w:rPr>
                <w:rFonts w:hint="eastAsia" w:ascii="宋体" w:hAnsi="宋体" w:cs="宋体"/>
                <w:color w:val="auto"/>
                <w:szCs w:val="21"/>
                <w:highlight w:val="none"/>
              </w:rPr>
              <w:t>职称</w:t>
            </w:r>
            <w:bookmarkEnd w:id="113"/>
          </w:p>
        </w:tc>
        <w:tc>
          <w:tcPr>
            <w:tcW w:w="4592" w:type="dxa"/>
            <w:gridSpan w:val="4"/>
            <w:tcBorders>
              <w:top w:val="single" w:color="auto" w:sz="4" w:space="0"/>
              <w:left w:val="single" w:color="auto" w:sz="4" w:space="0"/>
              <w:bottom w:val="single" w:color="auto" w:sz="4" w:space="0"/>
              <w:right w:val="single" w:color="auto" w:sz="4" w:space="0"/>
            </w:tcBorders>
            <w:noWrap w:val="0"/>
            <w:vAlign w:val="center"/>
          </w:tcPr>
          <w:p w14:paraId="2681E4AD">
            <w:pPr>
              <w:ind w:left="223" w:hanging="222" w:hangingChars="106"/>
              <w:jc w:val="center"/>
              <w:rPr>
                <w:rFonts w:ascii="宋体" w:hAnsi="宋体"/>
                <w:color w:val="auto"/>
                <w:szCs w:val="21"/>
                <w:highlight w:val="none"/>
              </w:rPr>
            </w:pPr>
            <w:bookmarkStart w:id="114" w:name="_Toc251052189"/>
            <w:r>
              <w:rPr>
                <w:rFonts w:hint="eastAsia" w:ascii="宋体" w:hAnsi="宋体" w:cs="宋体"/>
                <w:color w:val="auto"/>
                <w:szCs w:val="21"/>
                <w:highlight w:val="none"/>
              </w:rPr>
              <w:t>执业或职业资格证明</w:t>
            </w:r>
            <w:bookmarkEnd w:id="114"/>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49D4C273">
            <w:pPr>
              <w:ind w:left="223" w:hanging="222" w:hangingChars="106"/>
              <w:jc w:val="center"/>
              <w:rPr>
                <w:rFonts w:ascii="宋体" w:hAnsi="宋体"/>
                <w:color w:val="auto"/>
                <w:szCs w:val="21"/>
                <w:highlight w:val="none"/>
              </w:rPr>
            </w:pPr>
            <w:bookmarkStart w:id="115" w:name="_Toc251052190"/>
            <w:r>
              <w:rPr>
                <w:rFonts w:hint="eastAsia" w:ascii="宋体" w:hAnsi="宋体" w:cs="宋体"/>
                <w:color w:val="auto"/>
                <w:szCs w:val="21"/>
                <w:highlight w:val="none"/>
              </w:rPr>
              <w:t>承担完工</w:t>
            </w:r>
            <w:bookmarkEnd w:id="115"/>
            <w:bookmarkStart w:id="116" w:name="_Toc251052191"/>
            <w:r>
              <w:rPr>
                <w:rFonts w:hint="eastAsia" w:ascii="宋体" w:hAnsi="宋体" w:cs="宋体"/>
                <w:color w:val="auto"/>
                <w:szCs w:val="21"/>
                <w:highlight w:val="none"/>
              </w:rPr>
              <w:t>工程情况</w:t>
            </w:r>
            <w:bookmarkEnd w:id="116"/>
          </w:p>
        </w:tc>
      </w:tr>
      <w:tr w14:paraId="49AD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14:paraId="06480BA8">
            <w:pPr>
              <w:rPr>
                <w:rFonts w:ascii="宋体" w:hAnsi="宋体"/>
                <w:color w:val="auto"/>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13E4D209">
            <w:pPr>
              <w:rPr>
                <w:rFonts w:ascii="宋体" w:hAnsi="宋体"/>
                <w:color w:val="auto"/>
                <w:szCs w:val="21"/>
                <w:highlight w:val="none"/>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14:paraId="6E31125F">
            <w:pP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62C0771">
            <w:pPr>
              <w:ind w:left="223" w:hanging="222" w:hangingChars="106"/>
              <w:jc w:val="center"/>
              <w:rPr>
                <w:rFonts w:ascii="宋体" w:hAnsi="宋体"/>
                <w:color w:val="auto"/>
                <w:szCs w:val="21"/>
                <w:highlight w:val="none"/>
              </w:rPr>
            </w:pPr>
            <w:bookmarkStart w:id="117" w:name="_Toc251052192"/>
            <w:r>
              <w:rPr>
                <w:rFonts w:hint="eastAsia" w:ascii="宋体" w:hAnsi="宋体" w:cs="宋体"/>
                <w:color w:val="auto"/>
                <w:szCs w:val="21"/>
                <w:highlight w:val="none"/>
              </w:rPr>
              <w:t>证书名称</w:t>
            </w:r>
            <w:bookmarkEnd w:id="117"/>
          </w:p>
        </w:tc>
        <w:tc>
          <w:tcPr>
            <w:tcW w:w="1148" w:type="dxa"/>
            <w:tcBorders>
              <w:top w:val="single" w:color="auto" w:sz="4" w:space="0"/>
              <w:left w:val="single" w:color="auto" w:sz="4" w:space="0"/>
              <w:bottom w:val="single" w:color="auto" w:sz="4" w:space="0"/>
              <w:right w:val="single" w:color="auto" w:sz="4" w:space="0"/>
            </w:tcBorders>
            <w:noWrap w:val="0"/>
            <w:vAlign w:val="center"/>
          </w:tcPr>
          <w:p w14:paraId="402D7951">
            <w:pPr>
              <w:ind w:left="223" w:hanging="222" w:hangingChars="106"/>
              <w:jc w:val="center"/>
              <w:rPr>
                <w:rFonts w:ascii="宋体" w:hAnsi="宋体"/>
                <w:color w:val="auto"/>
                <w:szCs w:val="21"/>
                <w:highlight w:val="none"/>
              </w:rPr>
            </w:pPr>
            <w:bookmarkStart w:id="118" w:name="_Toc251052193"/>
            <w:r>
              <w:rPr>
                <w:rFonts w:hint="eastAsia" w:ascii="宋体" w:hAnsi="宋体" w:cs="宋体"/>
                <w:color w:val="auto"/>
                <w:szCs w:val="21"/>
                <w:highlight w:val="none"/>
              </w:rPr>
              <w:t>级别</w:t>
            </w:r>
            <w:bookmarkEnd w:id="118"/>
          </w:p>
        </w:tc>
        <w:tc>
          <w:tcPr>
            <w:tcW w:w="1148" w:type="dxa"/>
            <w:tcBorders>
              <w:top w:val="single" w:color="auto" w:sz="4" w:space="0"/>
              <w:left w:val="single" w:color="auto" w:sz="4" w:space="0"/>
              <w:bottom w:val="single" w:color="auto" w:sz="4" w:space="0"/>
              <w:right w:val="single" w:color="auto" w:sz="4" w:space="0"/>
            </w:tcBorders>
            <w:noWrap w:val="0"/>
            <w:vAlign w:val="center"/>
          </w:tcPr>
          <w:p w14:paraId="4C2D4751">
            <w:pPr>
              <w:ind w:left="223" w:hanging="222" w:hangingChars="106"/>
              <w:jc w:val="center"/>
              <w:rPr>
                <w:rFonts w:ascii="宋体" w:hAnsi="宋体"/>
                <w:color w:val="auto"/>
                <w:szCs w:val="21"/>
                <w:highlight w:val="none"/>
              </w:rPr>
            </w:pPr>
            <w:bookmarkStart w:id="119" w:name="_Toc251052194"/>
            <w:r>
              <w:rPr>
                <w:rFonts w:hint="eastAsia" w:ascii="宋体" w:hAnsi="宋体" w:cs="宋体"/>
                <w:color w:val="auto"/>
                <w:szCs w:val="21"/>
                <w:highlight w:val="none"/>
              </w:rPr>
              <w:t>证号</w:t>
            </w:r>
            <w:bookmarkEnd w:id="119"/>
          </w:p>
        </w:tc>
        <w:tc>
          <w:tcPr>
            <w:tcW w:w="1148" w:type="dxa"/>
            <w:tcBorders>
              <w:top w:val="single" w:color="auto" w:sz="4" w:space="0"/>
              <w:left w:val="single" w:color="auto" w:sz="4" w:space="0"/>
              <w:bottom w:val="single" w:color="auto" w:sz="4" w:space="0"/>
              <w:right w:val="single" w:color="auto" w:sz="4" w:space="0"/>
            </w:tcBorders>
            <w:noWrap w:val="0"/>
            <w:vAlign w:val="center"/>
          </w:tcPr>
          <w:p w14:paraId="167360CD">
            <w:pPr>
              <w:ind w:left="223" w:hanging="222" w:hangingChars="106"/>
              <w:jc w:val="center"/>
              <w:rPr>
                <w:rFonts w:ascii="宋体" w:hAnsi="宋体"/>
                <w:color w:val="auto"/>
                <w:szCs w:val="21"/>
                <w:highlight w:val="none"/>
              </w:rPr>
            </w:pPr>
            <w:bookmarkStart w:id="120" w:name="_Toc251052195"/>
            <w:r>
              <w:rPr>
                <w:rFonts w:hint="eastAsia" w:ascii="宋体" w:hAnsi="宋体" w:cs="宋体"/>
                <w:color w:val="auto"/>
                <w:szCs w:val="21"/>
                <w:highlight w:val="none"/>
              </w:rPr>
              <w:t>专业</w:t>
            </w:r>
            <w:bookmarkEnd w:id="120"/>
          </w:p>
        </w:tc>
        <w:tc>
          <w:tcPr>
            <w:tcW w:w="850" w:type="dxa"/>
            <w:tcBorders>
              <w:top w:val="single" w:color="auto" w:sz="4" w:space="0"/>
              <w:left w:val="single" w:color="auto" w:sz="4" w:space="0"/>
              <w:bottom w:val="single" w:color="auto" w:sz="4" w:space="0"/>
              <w:right w:val="single" w:color="auto" w:sz="4" w:space="0"/>
            </w:tcBorders>
            <w:noWrap w:val="0"/>
            <w:vAlign w:val="center"/>
          </w:tcPr>
          <w:p w14:paraId="29EE421A">
            <w:pPr>
              <w:ind w:left="223" w:hanging="222" w:hangingChars="106"/>
              <w:jc w:val="center"/>
              <w:rPr>
                <w:rFonts w:ascii="宋体" w:hAnsi="宋体"/>
                <w:color w:val="auto"/>
                <w:szCs w:val="21"/>
                <w:highlight w:val="none"/>
              </w:rPr>
            </w:pPr>
            <w:bookmarkStart w:id="121" w:name="_Toc251052197"/>
            <w:r>
              <w:rPr>
                <w:rFonts w:hint="eastAsia" w:ascii="宋体" w:hAnsi="宋体" w:cs="宋体"/>
                <w:color w:val="auto"/>
                <w:szCs w:val="21"/>
                <w:highlight w:val="none"/>
              </w:rPr>
              <w:t>项目数</w:t>
            </w:r>
            <w:bookmarkEnd w:id="121"/>
          </w:p>
        </w:tc>
        <w:tc>
          <w:tcPr>
            <w:tcW w:w="1276" w:type="dxa"/>
            <w:tcBorders>
              <w:top w:val="single" w:color="auto" w:sz="4" w:space="0"/>
              <w:left w:val="single" w:color="auto" w:sz="4" w:space="0"/>
              <w:bottom w:val="single" w:color="auto" w:sz="4" w:space="0"/>
              <w:right w:val="single" w:color="auto" w:sz="4" w:space="0"/>
            </w:tcBorders>
            <w:noWrap w:val="0"/>
            <w:vAlign w:val="center"/>
          </w:tcPr>
          <w:p w14:paraId="6ADAD4C7">
            <w:pPr>
              <w:ind w:left="223" w:hanging="222" w:hangingChars="106"/>
              <w:jc w:val="center"/>
              <w:rPr>
                <w:rFonts w:ascii="宋体" w:hAnsi="宋体"/>
                <w:color w:val="auto"/>
                <w:szCs w:val="21"/>
                <w:highlight w:val="none"/>
              </w:rPr>
            </w:pPr>
            <w:bookmarkStart w:id="122" w:name="_Toc251052198"/>
            <w:r>
              <w:rPr>
                <w:rFonts w:hint="eastAsia" w:ascii="宋体" w:hAnsi="宋体" w:cs="宋体"/>
                <w:color w:val="auto"/>
                <w:szCs w:val="21"/>
                <w:highlight w:val="none"/>
              </w:rPr>
              <w:t>主要项目</w:t>
            </w:r>
          </w:p>
          <w:p w14:paraId="68CD9F72">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名称</w:t>
            </w:r>
            <w:bookmarkEnd w:id="122"/>
          </w:p>
        </w:tc>
      </w:tr>
      <w:tr w14:paraId="35C2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2640479F">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435EB638">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25D373D5">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E9802A5">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53BEBEC">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E418FA5">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971903B">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F25A8DB">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E134117">
            <w:pPr>
              <w:ind w:left="223" w:hanging="222" w:hangingChars="106"/>
              <w:jc w:val="center"/>
              <w:rPr>
                <w:rFonts w:ascii="宋体" w:hAnsi="宋体"/>
                <w:color w:val="auto"/>
                <w:szCs w:val="21"/>
                <w:highlight w:val="none"/>
              </w:rPr>
            </w:pPr>
          </w:p>
        </w:tc>
      </w:tr>
      <w:tr w14:paraId="6B91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73F5F502">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35C0400B">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1EE54262">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F6E43A1">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625B253">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9B977CA">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05313C6">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A7745D6">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1E3D685">
            <w:pPr>
              <w:ind w:left="223" w:hanging="222" w:hangingChars="106"/>
              <w:jc w:val="center"/>
              <w:rPr>
                <w:rFonts w:ascii="宋体" w:hAnsi="宋体"/>
                <w:color w:val="auto"/>
                <w:szCs w:val="21"/>
                <w:highlight w:val="none"/>
              </w:rPr>
            </w:pPr>
          </w:p>
        </w:tc>
      </w:tr>
      <w:tr w14:paraId="7F9F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29111276">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1A7CF3E5">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0AC8D9FA">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8D2FF7B">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4AE2533">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2482515">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165F252">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DB59B47">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C8FB13F">
            <w:pPr>
              <w:ind w:left="223" w:hanging="222" w:hangingChars="106"/>
              <w:jc w:val="center"/>
              <w:rPr>
                <w:rFonts w:ascii="宋体" w:hAnsi="宋体"/>
                <w:color w:val="auto"/>
                <w:szCs w:val="21"/>
                <w:highlight w:val="none"/>
              </w:rPr>
            </w:pPr>
          </w:p>
        </w:tc>
      </w:tr>
      <w:tr w14:paraId="5729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00A11B0A">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686A15DA">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04BBDC9A">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726EFD5">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54624BF">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696A2CF">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326E8ED">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F957003">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155049A">
            <w:pPr>
              <w:ind w:left="223" w:hanging="222" w:hangingChars="106"/>
              <w:jc w:val="center"/>
              <w:rPr>
                <w:rFonts w:ascii="宋体" w:hAnsi="宋体"/>
                <w:color w:val="auto"/>
                <w:szCs w:val="21"/>
                <w:highlight w:val="none"/>
              </w:rPr>
            </w:pPr>
          </w:p>
        </w:tc>
      </w:tr>
    </w:tbl>
    <w:p w14:paraId="4933C477">
      <w:pPr>
        <w:jc w:val="center"/>
        <w:rPr>
          <w:rFonts w:ascii="宋体" w:hAnsi="宋体"/>
          <w:b/>
          <w:color w:val="auto"/>
          <w:szCs w:val="21"/>
          <w:highlight w:val="none"/>
        </w:rPr>
      </w:pPr>
    </w:p>
    <w:p w14:paraId="6FDC47E5">
      <w:pPr>
        <w:tabs>
          <w:tab w:val="left" w:pos="0"/>
        </w:tabs>
        <w:spacing w:line="360" w:lineRule="auto"/>
        <w:ind w:right="-210"/>
        <w:rPr>
          <w:rFonts w:ascii="宋体" w:hAnsi="宋体"/>
          <w:color w:val="auto"/>
          <w:szCs w:val="21"/>
          <w:highlight w:val="none"/>
        </w:rPr>
      </w:pPr>
      <w:r>
        <w:rPr>
          <w:rFonts w:hint="eastAsia" w:ascii="宋体" w:hAnsi="宋体" w:cs="楷体_GB2312"/>
          <w:color w:val="auto"/>
          <w:szCs w:val="21"/>
          <w:highlight w:val="none"/>
        </w:rPr>
        <w:t>【备注：附各岗位人员资格证件（如有）扫描件。以上扫描件均为原件的扫描件】</w:t>
      </w:r>
    </w:p>
    <w:p w14:paraId="0EE89B32">
      <w:pPr>
        <w:spacing w:line="440" w:lineRule="exact"/>
        <w:jc w:val="center"/>
        <w:rPr>
          <w:rFonts w:ascii="宋体" w:hAnsi="宋体"/>
          <w:b/>
          <w:color w:val="auto"/>
          <w:szCs w:val="21"/>
          <w:highlight w:val="none"/>
        </w:rPr>
      </w:pPr>
    </w:p>
    <w:p w14:paraId="0C382151">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14:paraId="2566B974">
      <w:pPr>
        <w:pStyle w:val="11"/>
        <w:snapToGrid w:val="0"/>
        <w:spacing w:line="360" w:lineRule="auto"/>
        <w:ind w:left="480" w:firstLine="6960" w:firstLineChars="2900"/>
        <w:rPr>
          <w:rFonts w:hint="eastAsia" w:ascii="宋体" w:hAnsi="宋体" w:eastAsia="宋体" w:cs="宋体"/>
          <w:b/>
          <w:color w:val="auto"/>
          <w:sz w:val="24"/>
          <w:szCs w:val="24"/>
          <w:highlight w:val="none"/>
          <w:lang w:val="en-US"/>
        </w:rPr>
      </w:pPr>
      <w:r>
        <w:rPr>
          <w:rFonts w:hint="eastAsia" w:ascii="宋体" w:hAnsi="宋体" w:cs="仿宋_GB2312"/>
          <w:color w:val="auto"/>
          <w:kern w:val="0"/>
          <w:sz w:val="24"/>
          <w:szCs w:val="24"/>
          <w:highlight w:val="none"/>
          <w:lang w:val="zh-CN"/>
        </w:rPr>
        <w:t>日期：  年  月   日</w:t>
      </w:r>
    </w:p>
    <w:p w14:paraId="542C38E8">
      <w:pPr>
        <w:snapToGrid w:val="0"/>
        <w:spacing w:line="360" w:lineRule="auto"/>
        <w:ind w:left="480" w:hanging="480"/>
        <w:rPr>
          <w:rFonts w:hint="eastAsia"/>
          <w:color w:val="auto"/>
          <w:sz w:val="24"/>
          <w:szCs w:val="24"/>
          <w:highlight w:val="none"/>
          <w:lang w:val="en-US"/>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42381C8F">
      <w:pPr>
        <w:numPr>
          <w:ilvl w:val="0"/>
          <w:numId w:val="0"/>
        </w:numPr>
        <w:snapToGrid w:val="0"/>
        <w:spacing w:line="360" w:lineRule="auto"/>
        <w:ind w:left="480" w:leftChars="0"/>
        <w:jc w:val="left"/>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十二、施工组织设计</w:t>
      </w:r>
    </w:p>
    <w:p w14:paraId="71C91AB0">
      <w:pPr>
        <w:numPr>
          <w:ilvl w:val="0"/>
          <w:numId w:val="0"/>
        </w:numPr>
        <w:ind w:firstLine="630" w:firstLineChars="300"/>
        <w:outlineLvl w:val="9"/>
        <w:rPr>
          <w:rFonts w:hint="eastAsia"/>
          <w:color w:val="auto"/>
          <w:highlight w:val="none"/>
          <w:lang w:val="en-US" w:eastAsia="zh-CN"/>
        </w:rPr>
      </w:pPr>
      <w:r>
        <w:rPr>
          <w:rFonts w:hint="eastAsia" w:hAnsi="宋体"/>
          <w:color w:val="auto"/>
          <w:highlight w:val="none"/>
        </w:rPr>
        <w:t>由供应商</w:t>
      </w:r>
      <w:r>
        <w:rPr>
          <w:rFonts w:hint="eastAsia" w:hAnsi="宋体"/>
          <w:color w:val="auto"/>
          <w:highlight w:val="none"/>
          <w:lang w:eastAsia="zh-CN"/>
        </w:rPr>
        <w:t>根据</w:t>
      </w:r>
      <w:r>
        <w:rPr>
          <w:rFonts w:hint="eastAsia" w:hAnsi="宋体"/>
          <w:color w:val="auto"/>
          <w:highlight w:val="none"/>
        </w:rPr>
        <w:t>本项目“采购需求”</w:t>
      </w:r>
      <w:r>
        <w:rPr>
          <w:rFonts w:hint="eastAsia" w:hAnsi="宋体"/>
          <w:color w:val="auto"/>
          <w:highlight w:val="none"/>
          <w:lang w:eastAsia="zh-CN"/>
        </w:rPr>
        <w:t>及评审内容</w:t>
      </w:r>
      <w:r>
        <w:rPr>
          <w:rFonts w:hint="eastAsia" w:hAnsi="宋体"/>
          <w:color w:val="auto"/>
          <w:highlight w:val="none"/>
        </w:rPr>
        <w:t>自行</w:t>
      </w:r>
      <w:r>
        <w:rPr>
          <w:rFonts w:hint="eastAsia" w:hAnsi="宋体"/>
          <w:color w:val="auto"/>
          <w:highlight w:val="none"/>
          <w:lang w:eastAsia="zh-CN"/>
        </w:rPr>
        <w:t>编</w:t>
      </w:r>
      <w:r>
        <w:rPr>
          <w:rFonts w:hint="eastAsia" w:hAnsi="宋体"/>
          <w:color w:val="auto"/>
          <w:highlight w:val="none"/>
        </w:rPr>
        <w:t>写。</w:t>
      </w:r>
    </w:p>
    <w:p w14:paraId="0939D79A">
      <w:pPr>
        <w:outlineLvl w:val="9"/>
        <w:rPr>
          <w:rFonts w:hint="eastAsia"/>
          <w:color w:val="auto"/>
          <w:highlight w:val="none"/>
          <w:lang w:val="en-US" w:eastAsia="zh-CN"/>
        </w:rPr>
      </w:pPr>
    </w:p>
    <w:p w14:paraId="1BE9987C">
      <w:pPr>
        <w:outlineLvl w:val="9"/>
        <w:rPr>
          <w:rFonts w:hint="eastAsia"/>
          <w:color w:val="auto"/>
          <w:highlight w:val="none"/>
          <w:lang w:val="en-US" w:eastAsia="zh-CN"/>
        </w:rPr>
      </w:pPr>
    </w:p>
    <w:p w14:paraId="030244E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7D7A4E9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6F120AB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686CED1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81DB09C">
      <w:pPr>
        <w:spacing w:line="360" w:lineRule="auto"/>
        <w:ind w:left="0" w:leftChars="0" w:firstLine="6098" w:firstLineChars="2541"/>
        <w:contextualSpacing/>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8CECC1B">
      <w:pPr>
        <w:numPr>
          <w:ilvl w:val="0"/>
          <w:numId w:val="0"/>
        </w:numPr>
        <w:snapToGrid w:val="0"/>
        <w:spacing w:line="360" w:lineRule="auto"/>
        <w:ind w:left="480" w:leftChars="0"/>
        <w:jc w:val="left"/>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十三、</w:t>
      </w:r>
      <w:r>
        <w:rPr>
          <w:rFonts w:hint="eastAsia" w:ascii="宋体" w:hAnsi="宋体" w:eastAsia="宋体" w:cs="宋体"/>
          <w:b/>
          <w:color w:val="auto"/>
          <w:sz w:val="28"/>
          <w:szCs w:val="28"/>
          <w:highlight w:val="none"/>
          <w:lang w:val="en-US" w:eastAsia="zh-CN"/>
        </w:rPr>
        <w:t>供应商认为需要提供的其他有关资料</w:t>
      </w:r>
    </w:p>
    <w:p w14:paraId="47D32986">
      <w:pPr>
        <w:numPr>
          <w:ilvl w:val="0"/>
          <w:numId w:val="0"/>
        </w:numPr>
        <w:outlineLvl w:val="9"/>
        <w:rPr>
          <w:rFonts w:hint="eastAsia"/>
          <w:color w:val="auto"/>
          <w:highlight w:val="none"/>
          <w:lang w:val="en-US" w:eastAsia="zh-CN"/>
        </w:rPr>
      </w:pPr>
    </w:p>
    <w:p w14:paraId="0A4675BF">
      <w:pPr>
        <w:outlineLvl w:val="9"/>
        <w:rPr>
          <w:rFonts w:hint="eastAsia"/>
          <w:color w:val="auto"/>
          <w:highlight w:val="none"/>
          <w:lang w:val="en-US" w:eastAsia="zh-CN"/>
        </w:rPr>
      </w:pPr>
    </w:p>
    <w:p w14:paraId="58D60102">
      <w:pPr>
        <w:outlineLvl w:val="9"/>
        <w:rPr>
          <w:rFonts w:hint="eastAsia"/>
          <w:color w:val="auto"/>
          <w:highlight w:val="none"/>
          <w:lang w:val="en-US" w:eastAsia="zh-CN"/>
        </w:rPr>
      </w:pPr>
    </w:p>
    <w:p w14:paraId="6B5F2E13">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4B372ACD">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1909525D">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4B146BD">
      <w:pPr>
        <w:pStyle w:val="11"/>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14:paraId="0519FD7A">
      <w:pPr>
        <w:pStyle w:val="15"/>
        <w:rPr>
          <w:rFonts w:hint="eastAsia" w:ascii="宋体" w:hAnsi="宋体" w:eastAsia="宋体" w:cs="宋体"/>
          <w:color w:val="auto"/>
          <w:kern w:val="0"/>
          <w:sz w:val="24"/>
          <w:highlight w:val="none"/>
          <w:lang w:val="zh-CN"/>
        </w:rPr>
      </w:pPr>
    </w:p>
    <w:p w14:paraId="15170508">
      <w:pPr>
        <w:rPr>
          <w:rFonts w:hint="eastAsia"/>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016D7B12">
      <w:pPr>
        <w:autoSpaceDE w:val="0"/>
        <w:autoSpaceDN w:val="0"/>
        <w:spacing w:line="360" w:lineRule="auto"/>
        <w:ind w:firstLine="6505" w:firstLineChars="2700"/>
        <w:rPr>
          <w:rFonts w:hint="eastAsia" w:ascii="宋体" w:hAnsi="宋体" w:eastAsia="宋体" w:cs="宋体"/>
          <w:b/>
          <w:bCs/>
          <w:color w:val="auto"/>
          <w:sz w:val="24"/>
          <w:highlight w:val="none"/>
        </w:rPr>
      </w:pPr>
    </w:p>
    <w:p w14:paraId="14F2AAB0">
      <w:pPr>
        <w:pStyle w:val="3"/>
        <w:spacing w:line="360" w:lineRule="auto"/>
        <w:jc w:val="center"/>
        <w:rPr>
          <w:rFonts w:hint="eastAsia" w:ascii="宋体" w:hAnsi="宋体" w:eastAsia="宋体" w:cs="宋体"/>
          <w:color w:val="auto"/>
          <w:highlight w:val="none"/>
          <w:lang w:val="en-US" w:eastAsia="zh-CN"/>
        </w:rPr>
      </w:pPr>
      <w:bookmarkStart w:id="123" w:name="_Toc9136"/>
      <w:bookmarkStart w:id="124" w:name="_Toc14497"/>
      <w:bookmarkStart w:id="125" w:name="_Toc80205941"/>
      <w:bookmarkStart w:id="126" w:name="_Toc7838"/>
      <w:r>
        <w:rPr>
          <w:rFonts w:hint="eastAsia" w:ascii="宋体" w:hAnsi="宋体" w:eastAsia="宋体" w:cs="宋体"/>
          <w:color w:val="auto"/>
          <w:highlight w:val="none"/>
          <w:lang w:val="en-US" w:eastAsia="zh-CN"/>
        </w:rPr>
        <w:t>第四节 报价文件格式</w:t>
      </w:r>
      <w:bookmarkEnd w:id="123"/>
      <w:bookmarkEnd w:id="124"/>
      <w:bookmarkEnd w:id="125"/>
      <w:bookmarkEnd w:id="126"/>
    </w:p>
    <w:p w14:paraId="3075867C">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3A039191">
      <w:pPr>
        <w:snapToGrid w:val="0"/>
        <w:spacing w:before="120" w:beforeLines="50" w:after="50" w:line="360" w:lineRule="auto"/>
        <w:rPr>
          <w:rFonts w:hint="eastAsia" w:ascii="宋体" w:hAnsi="宋体" w:eastAsia="宋体" w:cs="宋体"/>
          <w:color w:val="auto"/>
          <w:sz w:val="24"/>
          <w:szCs w:val="20"/>
          <w:highlight w:val="none"/>
        </w:rPr>
      </w:pPr>
    </w:p>
    <w:p w14:paraId="092BA780">
      <w:pPr>
        <w:snapToGrid w:val="0"/>
        <w:spacing w:before="120" w:beforeLines="50" w:after="50" w:line="360" w:lineRule="auto"/>
        <w:rPr>
          <w:rFonts w:hint="eastAsia" w:ascii="宋体" w:hAnsi="宋体" w:eastAsia="宋体" w:cs="宋体"/>
          <w:color w:val="auto"/>
          <w:sz w:val="24"/>
          <w:szCs w:val="20"/>
          <w:highlight w:val="none"/>
        </w:rPr>
      </w:pPr>
    </w:p>
    <w:p w14:paraId="49CEE436">
      <w:pPr>
        <w:snapToGrid w:val="0"/>
        <w:spacing w:before="120" w:beforeLines="50" w:after="50" w:line="360" w:lineRule="auto"/>
        <w:rPr>
          <w:rFonts w:hint="eastAsia" w:ascii="宋体" w:hAnsi="宋体" w:eastAsia="宋体" w:cs="宋体"/>
          <w:color w:val="auto"/>
          <w:sz w:val="24"/>
          <w:szCs w:val="20"/>
          <w:highlight w:val="none"/>
        </w:rPr>
      </w:pPr>
    </w:p>
    <w:p w14:paraId="4CAA3974">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224749F6">
      <w:pPr>
        <w:snapToGrid w:val="0"/>
        <w:spacing w:before="120" w:beforeLines="50" w:after="50" w:line="360" w:lineRule="auto"/>
        <w:rPr>
          <w:rFonts w:hint="eastAsia" w:ascii="宋体" w:hAnsi="宋体" w:eastAsia="宋体" w:cs="宋体"/>
          <w:bCs/>
          <w:color w:val="auto"/>
          <w:sz w:val="24"/>
          <w:szCs w:val="20"/>
          <w:highlight w:val="none"/>
        </w:rPr>
      </w:pPr>
    </w:p>
    <w:p w14:paraId="483C27C4">
      <w:pPr>
        <w:snapToGrid w:val="0"/>
        <w:spacing w:before="120" w:beforeLines="50" w:after="50" w:line="360" w:lineRule="auto"/>
        <w:rPr>
          <w:rFonts w:hint="eastAsia" w:ascii="宋体" w:hAnsi="宋体" w:eastAsia="宋体" w:cs="宋体"/>
          <w:bCs/>
          <w:color w:val="auto"/>
          <w:sz w:val="24"/>
          <w:szCs w:val="20"/>
          <w:highlight w:val="none"/>
        </w:rPr>
      </w:pPr>
    </w:p>
    <w:p w14:paraId="03D07CF7">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p>
    <w:p w14:paraId="4E132615">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644292D3">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p>
    <w:p w14:paraId="35AAE685">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5F38EA2F">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4747ACF8">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32EE0A12">
      <w:pPr>
        <w:pStyle w:val="8"/>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611CDC3D">
      <w:pPr>
        <w:pStyle w:val="8"/>
        <w:snapToGrid w:val="0"/>
        <w:spacing w:before="50" w:after="50" w:line="360" w:lineRule="auto"/>
        <w:ind w:firstLine="720" w:firstLineChars="225"/>
        <w:rPr>
          <w:rFonts w:hint="eastAsia" w:ascii="宋体" w:hAnsi="宋体" w:eastAsia="宋体" w:cs="宋体"/>
          <w:bCs/>
          <w:color w:val="auto"/>
          <w:sz w:val="32"/>
          <w:szCs w:val="32"/>
          <w:highlight w:val="none"/>
        </w:rPr>
      </w:pPr>
    </w:p>
    <w:p w14:paraId="5C2F129C">
      <w:pPr>
        <w:pStyle w:val="8"/>
        <w:snapToGrid w:val="0"/>
        <w:spacing w:before="50" w:after="50" w:line="360" w:lineRule="auto"/>
        <w:ind w:firstLine="1280" w:firstLineChars="400"/>
        <w:rPr>
          <w:rFonts w:hint="eastAsia" w:ascii="宋体" w:hAnsi="宋体" w:eastAsia="宋体" w:cs="宋体"/>
          <w:bCs/>
          <w:color w:val="auto"/>
          <w:sz w:val="32"/>
          <w:szCs w:val="32"/>
          <w:highlight w:val="none"/>
        </w:rPr>
      </w:pPr>
    </w:p>
    <w:p w14:paraId="099B1792">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265D8305">
      <w:pPr>
        <w:snapToGrid w:val="0"/>
        <w:spacing w:before="120" w:beforeLines="50" w:after="5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2F5F57AC">
      <w:pPr>
        <w:spacing w:line="360" w:lineRule="auto"/>
        <w:rPr>
          <w:rFonts w:hint="eastAsia" w:ascii="宋体" w:hAnsi="宋体" w:eastAsia="宋体" w:cs="宋体"/>
          <w:color w:val="auto"/>
          <w:highlight w:val="none"/>
        </w:rPr>
      </w:pPr>
    </w:p>
    <w:p w14:paraId="4E1D8382">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08227603">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03C6A9CA">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已标价工程量清单</w:t>
      </w:r>
      <w:r>
        <w:rPr>
          <w:rFonts w:hint="eastAsia" w:ascii="宋体" w:hAnsi="宋体" w:eastAsia="宋体" w:cs="宋体"/>
          <w:color w:val="auto"/>
          <w:kern w:val="0"/>
          <w:sz w:val="24"/>
          <w:highlight w:val="none"/>
        </w:rPr>
        <w:t>…………………………………………（页码）</w:t>
      </w:r>
    </w:p>
    <w:p w14:paraId="47CE4BD0">
      <w:pPr>
        <w:spacing w:line="360" w:lineRule="auto"/>
        <w:rPr>
          <w:rFonts w:hint="eastAsia" w:ascii="宋体" w:hAnsi="宋体" w:eastAsia="宋体" w:cs="宋体"/>
          <w:color w:val="auto"/>
          <w:sz w:val="24"/>
          <w:highlight w:val="none"/>
        </w:rPr>
      </w:pPr>
      <w:r>
        <w:rPr>
          <w:rFonts w:hint="eastAsia" w:ascii="宋体" w:hAnsi="宋体" w:cs="宋体"/>
          <w:color w:val="auto"/>
          <w:kern w:val="0"/>
          <w:sz w:val="24"/>
          <w:highlight w:val="none"/>
          <w:lang w:val="en-US" w:eastAsia="zh-CN"/>
        </w:rPr>
        <w:t>四</w:t>
      </w:r>
      <w:r>
        <w:rPr>
          <w:rFonts w:hint="eastAsia" w:ascii="宋体" w:hAnsi="宋体" w:eastAsia="宋体" w:cs="宋体"/>
          <w:color w:val="auto"/>
          <w:kern w:val="0"/>
          <w:sz w:val="24"/>
          <w:highlight w:val="none"/>
        </w:rPr>
        <w:t>、供应商认为需要提供的其他有关资料。…………………（页码）</w:t>
      </w:r>
    </w:p>
    <w:p w14:paraId="60873BDD">
      <w:pPr>
        <w:snapToGrid w:val="0"/>
        <w:spacing w:before="120" w:beforeLines="50" w:after="50" w:line="360" w:lineRule="auto"/>
        <w:ind w:left="0" w:firstLine="0" w:firstLineChars="0"/>
        <w:jc w:val="left"/>
        <w:rPr>
          <w:rFonts w:hint="eastAsia" w:ascii="宋体" w:hAnsi="宋体" w:eastAsia="宋体" w:cs="宋体"/>
          <w:color w:val="auto"/>
          <w:sz w:val="32"/>
          <w:szCs w:val="32"/>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66CDA265">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一、响应函</w:t>
      </w:r>
    </w:p>
    <w:p w14:paraId="4603A1A1">
      <w:pPr>
        <w:pStyle w:val="14"/>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41669D4D">
      <w:pPr>
        <w:pStyle w:val="14"/>
        <w:spacing w:line="360" w:lineRule="auto"/>
        <w:rPr>
          <w:rFonts w:hint="eastAsia" w:ascii="宋体" w:hAnsi="宋体" w:eastAsia="宋体" w:cs="宋体"/>
          <w:color w:val="auto"/>
          <w:sz w:val="32"/>
          <w:highlight w:val="none"/>
        </w:rPr>
      </w:pPr>
    </w:p>
    <w:p w14:paraId="2F038D95">
      <w:pPr>
        <w:pStyle w:val="1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（采购代理机构名称）</w:t>
      </w:r>
    </w:p>
    <w:p w14:paraId="17FE191A">
      <w:pPr>
        <w:pStyle w:val="1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我方已仔细阅读了贵方组织的</w:t>
      </w:r>
      <w:r>
        <w:rPr>
          <w:rFonts w:hint="eastAsia" w:hAnsi="宋体" w:cs="宋体"/>
          <w:color w:val="auto"/>
          <w:sz w:val="21"/>
          <w:szCs w:val="21"/>
          <w:highlight w:val="none"/>
          <w:u w:val="single"/>
          <w:lang w:eastAsia="zh-CN"/>
        </w:rPr>
        <w:t>（</w:t>
      </w:r>
      <w:r>
        <w:rPr>
          <w:rFonts w:hint="eastAsia" w:hAnsi="宋体" w:cs="宋体"/>
          <w:color w:val="auto"/>
          <w:sz w:val="21"/>
          <w:szCs w:val="21"/>
          <w:highlight w:val="none"/>
          <w:u w:val="single"/>
          <w:lang w:val="en-US" w:eastAsia="zh-CN"/>
        </w:rPr>
        <w:t>项目名称</w:t>
      </w:r>
      <w:r>
        <w:rPr>
          <w:rFonts w:hint="eastAsia" w:hAnsi="宋体" w:cs="宋体"/>
          <w:color w:val="auto"/>
          <w:sz w:val="21"/>
          <w:szCs w:val="21"/>
          <w:highlight w:val="none"/>
          <w:u w:val="single"/>
          <w:lang w:eastAsia="zh-CN"/>
        </w:rPr>
        <w:t>）</w:t>
      </w:r>
      <w:r>
        <w:rPr>
          <w:rFonts w:hint="eastAsia" w:ascii="宋体" w:hAnsi="宋体" w:eastAsia="宋体" w:cs="宋体"/>
          <w:color w:val="auto"/>
          <w:sz w:val="21"/>
          <w:szCs w:val="21"/>
          <w:highlight w:val="none"/>
        </w:rPr>
        <w:t>项目（项目编号：</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 xml:space="preserve">文件的全部内容，现正式递交下述文件参加贵方组织的本次政府采购活动： </w:t>
      </w:r>
    </w:p>
    <w:p w14:paraId="6B255F45">
      <w:pPr>
        <w:pStyle w:val="1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一、首次报价文件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w:t>
      </w:r>
    </w:p>
    <w:p w14:paraId="2D7C875A">
      <w:pPr>
        <w:pStyle w:val="14"/>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二、技术文件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提交的全部文件）；商务文件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w:t>
      </w:r>
      <w:r>
        <w:rPr>
          <w:rFonts w:hint="eastAsia" w:ascii="宋体" w:hAnsi="宋体" w:eastAsia="宋体" w:cs="宋体"/>
          <w:color w:val="auto"/>
          <w:sz w:val="21"/>
          <w:szCs w:val="21"/>
          <w:highlight w:val="none"/>
          <w:lang w:eastAsia="zh-CN"/>
        </w:rPr>
        <w:t>（商务技术文件已合并装订成册）</w:t>
      </w:r>
    </w:p>
    <w:p w14:paraId="27AA2809">
      <w:pPr>
        <w:pStyle w:val="1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三、资格证明文件电子版（包含按“第三章供应商须知”提交的全部文件）；</w:t>
      </w:r>
    </w:p>
    <w:p w14:paraId="6E7765F8">
      <w:pPr>
        <w:pStyle w:val="1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据此函，签字人兹宣布：</w:t>
      </w:r>
    </w:p>
    <w:p w14:paraId="18116B1B">
      <w:pPr>
        <w:pStyle w:val="14"/>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1、我单位经考察现场和研究上述工程竞争性磋商文件的</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须知、合同条件、技术规范、图纸和其他有关文件后，我方承接本项目</w:t>
      </w:r>
      <w:r>
        <w:rPr>
          <w:rFonts w:hint="eastAsia" w:ascii="宋体" w:hAnsi="宋体"/>
          <w:color w:val="auto"/>
          <w:spacing w:val="8"/>
          <w:sz w:val="21"/>
          <w:szCs w:val="21"/>
          <w:highlight w:val="none"/>
        </w:rPr>
        <w:t>磋商</w:t>
      </w:r>
      <w:r>
        <w:rPr>
          <w:rFonts w:hint="eastAsia" w:ascii="宋体" w:hAnsi="宋体" w:eastAsia="宋体" w:cs="宋体"/>
          <w:color w:val="auto"/>
          <w:sz w:val="21"/>
          <w:szCs w:val="21"/>
          <w:highlight w:val="none"/>
        </w:rPr>
        <w:t>报价为人民币（大写）</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）。按上述合同条件、技术规范、图纸的条件承包本采购范围内全部工程的施工、竣工和保修。</w:t>
      </w:r>
    </w:p>
    <w:p w14:paraId="132AED8A">
      <w:pPr>
        <w:pStyle w:val="14"/>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2、一旦我方中标，我方保证按合同书中规定的工期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w:t>
      </w:r>
      <w:r>
        <w:rPr>
          <w:rFonts w:hint="eastAsia" w:ascii="宋体" w:hAnsi="宋体"/>
          <w:color w:val="auto"/>
          <w:sz w:val="21"/>
          <w:szCs w:val="21"/>
          <w:highlight w:val="none"/>
        </w:rPr>
        <w:t>并保证工程质量</w:t>
      </w:r>
      <w:r>
        <w:rPr>
          <w:rFonts w:hint="eastAsia" w:ascii="宋体" w:hAnsi="Courier New"/>
          <w:color w:val="auto"/>
          <w:sz w:val="21"/>
          <w:szCs w:val="21"/>
          <w:highlight w:val="none"/>
          <w:u w:val="single"/>
        </w:rPr>
        <w:t xml:space="preserve">      </w:t>
      </w:r>
      <w:r>
        <w:rPr>
          <w:rFonts w:hint="eastAsia" w:ascii="宋体" w:hAnsi="宋体" w:eastAsia="宋体" w:cs="宋体"/>
          <w:color w:val="auto"/>
          <w:sz w:val="21"/>
          <w:szCs w:val="21"/>
          <w:highlight w:val="none"/>
        </w:rPr>
        <w:t>。</w:t>
      </w:r>
    </w:p>
    <w:p w14:paraId="75556763">
      <w:pPr>
        <w:pStyle w:val="14"/>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、我方同意自本项目竞争性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采购公告</w:t>
      </w:r>
      <w:r>
        <w:rPr>
          <w:rFonts w:hint="eastAsia" w:ascii="宋体" w:hAnsi="宋体" w:eastAsia="宋体" w:cs="宋体"/>
          <w:color w:val="auto"/>
          <w:sz w:val="21"/>
          <w:szCs w:val="21"/>
          <w:highlight w:val="none"/>
        </w:rPr>
        <w:t>规定的递交响应文件截止时间起遵循本响应函，并承诺在</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规定的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有效期内不修改、撤销</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p>
    <w:p w14:paraId="35D7271F">
      <w:pPr>
        <w:pStyle w:val="14"/>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、我方在此声明，所递交的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文件及有关资料内容完整、真实和准确。</w:t>
      </w:r>
    </w:p>
    <w:p w14:paraId="354A576A">
      <w:pPr>
        <w:pStyle w:val="14"/>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、如本项目采购内容涉及须符合国家强制规定的，我方承诺我方本次竞标均符合国家有关强制规定。</w:t>
      </w:r>
    </w:p>
    <w:p w14:paraId="59D997AF">
      <w:pPr>
        <w:pStyle w:val="14"/>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、我方承诺未被列入失信被执行人、重大税收违法案件当事人名单、政府采购严重违法失信行为记录名单，并已经具备《中华人民共和国政府采购法》中规定的参加政府采购活动的供应商应当具备的条件：</w:t>
      </w:r>
    </w:p>
    <w:p w14:paraId="26BDE885">
      <w:pPr>
        <w:pStyle w:val="14"/>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p w14:paraId="52CE1FFE">
      <w:pPr>
        <w:pStyle w:val="14"/>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p w14:paraId="6B500E70">
      <w:pPr>
        <w:pStyle w:val="14"/>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p w14:paraId="77D3F2A5">
      <w:pPr>
        <w:pStyle w:val="14"/>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p w14:paraId="235BE3DF">
      <w:pPr>
        <w:pStyle w:val="14"/>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p w14:paraId="1EBF8E51">
      <w:pPr>
        <w:pStyle w:val="14"/>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p w14:paraId="74C7AD69">
      <w:pPr>
        <w:pStyle w:val="14"/>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rPr>
        <w:t>、如我方成交，我方承诺在收到成交通知书后，在成交通知书规定的期限内，根据竞争性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文件及有关澄清承诺书的要求按第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”与采购人订立书面合同，并按照合同约定承担完成合同的责任和义务。</w:t>
      </w:r>
    </w:p>
    <w:p w14:paraId="62E32421">
      <w:pPr>
        <w:pStyle w:val="14"/>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、我方已详细审核竞争性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文件，我方知道必须放弃提出含糊不清或误解问题的权利。</w:t>
      </w:r>
    </w:p>
    <w:p w14:paraId="311EEE01">
      <w:pPr>
        <w:pStyle w:val="14"/>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rPr>
        <w:t>、我方承诺满足竞争性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”的条款，承担完成合同的责任和义务。</w:t>
      </w:r>
      <w:permStart w:id="3" w:edGrp="everyone"/>
      <w:permEnd w:id="3"/>
    </w:p>
    <w:p w14:paraId="63547A77">
      <w:pPr>
        <w:pStyle w:val="14"/>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、我方同意应贵方要求提供与本竞标有关的任何数据或资料。若贵方需要，我方愿意提供我方作出的一切承诺的证明材料。</w:t>
      </w:r>
    </w:p>
    <w:p w14:paraId="25A755DB">
      <w:pPr>
        <w:pStyle w:val="14"/>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、我方完全理解贵方不一定接受响应报价最低的竞标人为成交供应商的行为。</w:t>
      </w:r>
    </w:p>
    <w:p w14:paraId="4CAB1BCC">
      <w:pPr>
        <w:pStyle w:val="14"/>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1DC0194">
      <w:pPr>
        <w:pStyle w:val="14"/>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提供虚假材料谋取中标、成交的；</w:t>
      </w:r>
    </w:p>
    <w:p w14:paraId="6D3B4A46">
      <w:pPr>
        <w:pStyle w:val="14"/>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采取不正当手段诋毁、排挤其他供应商的；</w:t>
      </w:r>
    </w:p>
    <w:p w14:paraId="07B925D1">
      <w:pPr>
        <w:pStyle w:val="14"/>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与采购人、其他供应商或者采购代理机构恶意串通的；</w:t>
      </w:r>
    </w:p>
    <w:p w14:paraId="21F906E1">
      <w:pPr>
        <w:pStyle w:val="14"/>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向采购人、采购代理机构行贿或者提供其他不正当利益的；</w:t>
      </w:r>
    </w:p>
    <w:p w14:paraId="6AF36963">
      <w:pPr>
        <w:pStyle w:val="14"/>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在采购过程中与采购人进行协商谈判的；</w:t>
      </w:r>
    </w:p>
    <w:p w14:paraId="7D60307B">
      <w:pPr>
        <w:pStyle w:val="14"/>
        <w:numPr>
          <w:ilvl w:val="0"/>
          <w:numId w:val="3"/>
        </w:numPr>
        <w:tabs>
          <w:tab w:val="left" w:pos="945"/>
        </w:tabs>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拒绝有关部门监督检查或提供虚假情况的。</w:t>
      </w:r>
    </w:p>
    <w:p w14:paraId="299BFC95">
      <w:pPr>
        <w:pStyle w:val="14"/>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.与本</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有关的一切正式往来信函请寄：</w:t>
      </w:r>
    </w:p>
    <w:p w14:paraId="5746E693">
      <w:pPr>
        <w:pStyle w:val="14"/>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2507319">
      <w:pPr>
        <w:pStyle w:val="14"/>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3E1FADCC">
      <w:pPr>
        <w:pStyle w:val="14"/>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w:t>
      </w:r>
    </w:p>
    <w:p w14:paraId="7FB852C9">
      <w:pPr>
        <w:pStyle w:val="14"/>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7F46A8EA">
      <w:pPr>
        <w:pStyle w:val="14"/>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14:paraId="4AA4A6C7">
      <w:pPr>
        <w:pStyle w:val="14"/>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1951DA53">
      <w:pPr>
        <w:pStyle w:val="14"/>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p>
    <w:p w14:paraId="5F679B73">
      <w:pPr>
        <w:pStyle w:val="13"/>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特此承诺。</w:t>
      </w:r>
    </w:p>
    <w:p w14:paraId="79EE3A97">
      <w:pPr>
        <w:spacing w:line="360" w:lineRule="auto"/>
        <w:contextualSpacing/>
        <w:jc w:val="left"/>
        <w:rPr>
          <w:rFonts w:hint="eastAsia" w:ascii="宋体" w:hAnsi="宋体" w:eastAsia="宋体" w:cs="宋体"/>
          <w:color w:val="auto"/>
          <w:szCs w:val="21"/>
          <w:highlight w:val="none"/>
        </w:rPr>
      </w:pPr>
    </w:p>
    <w:p w14:paraId="45038C5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A358427">
      <w:pPr>
        <w:autoSpaceDE w:val="0"/>
        <w:autoSpaceDN w:val="0"/>
        <w:spacing w:line="360" w:lineRule="auto"/>
        <w:ind w:left="0" w:leftChars="0"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A6CA5CF">
      <w:pPr>
        <w:spacing w:line="360" w:lineRule="auto"/>
        <w:ind w:firstLine="420" w:firstLineChars="200"/>
        <w:rPr>
          <w:rFonts w:hint="eastAsia" w:ascii="宋体" w:hAnsi="宋体" w:eastAsia="宋体" w:cs="宋体"/>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3F9C6C84">
      <w:pPr>
        <w:snapToGrid w:val="0"/>
        <w:spacing w:before="120" w:beforeLines="50" w:after="50" w:line="360" w:lineRule="auto"/>
        <w:ind w:left="142" w:firstLine="643" w:firstLineChars="200"/>
        <w:jc w:val="left"/>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二、响应报价表</w:t>
      </w:r>
    </w:p>
    <w:p w14:paraId="64DF5725">
      <w:pPr>
        <w:snapToGrid w:val="0"/>
        <w:spacing w:before="50" w:after="5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p>
    <w:p w14:paraId="2C21A996">
      <w:pPr>
        <w:snapToGrid w:val="0"/>
        <w:spacing w:before="50" w:after="50" w:line="360" w:lineRule="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 xml:space="preserve">         分标：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7E3DAE92">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59AEF280">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E1CDAC4">
      <w:pPr>
        <w:pageBreakBefore w:val="0"/>
        <w:kinsoku/>
        <w:overflowPunct/>
        <w:topLinePunct w:val="0"/>
        <w:bidi w:val="0"/>
        <w:spacing w:line="360" w:lineRule="auto"/>
        <w:ind w:left="238" w:hanging="240"/>
        <w:jc w:val="left"/>
        <w:rPr>
          <w:rFonts w:hint="eastAsia" w:ascii="宋体" w:hAnsi="宋体" w:eastAsia="宋体" w:cs="宋体"/>
          <w:color w:val="auto"/>
          <w:kern w:val="0"/>
          <w:sz w:val="24"/>
          <w:highlight w:val="none"/>
          <w:vertAlign w:val="superscript"/>
        </w:rPr>
      </w:pPr>
      <w:r>
        <w:rPr>
          <w:rFonts w:hint="eastAsia" w:ascii="宋体" w:hAnsi="宋体" w:eastAsia="宋体" w:cs="宋体"/>
          <w:color w:val="auto"/>
          <w:sz w:val="24"/>
          <w:highlight w:val="none"/>
        </w:rPr>
        <w:t>币种：人民币</w:t>
      </w:r>
      <w:r>
        <w:rPr>
          <w:rFonts w:hint="eastAsia" w:ascii="宋体" w:hAnsi="宋体" w:eastAsia="宋体" w:cs="宋体"/>
          <w:color w:val="auto"/>
          <w:sz w:val="24"/>
          <w:highlight w:val="none"/>
          <w:vertAlign w:val="superscript"/>
        </w:rPr>
        <w:t xml:space="preserve"> </w:t>
      </w:r>
    </w:p>
    <w:p w14:paraId="10EF5329">
      <w:pPr>
        <w:pageBreakBefore w:val="0"/>
        <w:kinsoku/>
        <w:overflowPunct/>
        <w:topLinePunct w:val="0"/>
        <w:bidi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w:t>
      </w:r>
    </w:p>
    <w:tbl>
      <w:tblPr>
        <w:tblStyle w:val="23"/>
        <w:tblW w:w="0" w:type="auto"/>
        <w:jc w:val="center"/>
        <w:tblLayout w:type="fixed"/>
        <w:tblCellMar>
          <w:top w:w="0" w:type="dxa"/>
          <w:left w:w="0" w:type="dxa"/>
          <w:bottom w:w="0" w:type="dxa"/>
          <w:right w:w="0" w:type="dxa"/>
        </w:tblCellMar>
      </w:tblPr>
      <w:tblGrid>
        <w:gridCol w:w="1135"/>
        <w:gridCol w:w="4450"/>
        <w:gridCol w:w="3470"/>
      </w:tblGrid>
      <w:tr w14:paraId="64B2EB4A">
        <w:tblPrEx>
          <w:tblCellMar>
            <w:top w:w="0" w:type="dxa"/>
            <w:left w:w="0" w:type="dxa"/>
            <w:bottom w:w="0" w:type="dxa"/>
            <w:right w:w="0" w:type="dxa"/>
          </w:tblCellMar>
        </w:tblPrEx>
        <w:trPr>
          <w:trHeight w:val="1122" w:hRule="atLeast"/>
          <w:jc w:val="center"/>
        </w:trPr>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9FFA580">
            <w:pPr>
              <w:pageBreakBefore w:val="0"/>
              <w:kinsoku/>
              <w:overflowPunct/>
              <w:topLinePunct w:val="0"/>
              <w:autoSpaceDE w:val="0"/>
              <w:bidi w:val="0"/>
              <w:spacing w:line="360" w:lineRule="auto"/>
              <w:rPr>
                <w:rFonts w:hint="eastAsia" w:ascii="宋体" w:hAnsi="宋体" w:eastAsia="宋体" w:cs="宋体"/>
                <w:color w:val="auto"/>
                <w:sz w:val="24"/>
                <w:highlight w:val="none"/>
              </w:rPr>
            </w:pPr>
          </w:p>
        </w:tc>
        <w:tc>
          <w:tcPr>
            <w:tcW w:w="4450" w:type="dxa"/>
            <w:tcBorders>
              <w:top w:val="single" w:color="000000" w:sz="4" w:space="0"/>
              <w:left w:val="nil"/>
              <w:bottom w:val="single" w:color="000000" w:sz="4" w:space="0"/>
              <w:right w:val="single" w:color="000000" w:sz="4" w:space="0"/>
            </w:tcBorders>
            <w:noWrap w:val="0"/>
            <w:vAlign w:val="center"/>
          </w:tcPr>
          <w:p w14:paraId="3AA3998D">
            <w:pPr>
              <w:pageBreakBefore w:val="0"/>
              <w:kinsoku/>
              <w:overflowPunct/>
              <w:topLinePunct w:val="0"/>
              <w:autoSpaceDE w:val="0"/>
              <w:bidi w:val="0"/>
              <w:spacing w:line="360" w:lineRule="auto"/>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总报价（一）＋（二）＋(三)+…</w:t>
            </w:r>
          </w:p>
        </w:tc>
        <w:tc>
          <w:tcPr>
            <w:tcW w:w="3470" w:type="dxa"/>
            <w:tcBorders>
              <w:top w:val="single" w:color="000000" w:sz="4" w:space="0"/>
              <w:left w:val="nil"/>
              <w:bottom w:val="single" w:color="000000" w:sz="4" w:space="0"/>
              <w:right w:val="single" w:color="000000" w:sz="4" w:space="0"/>
            </w:tcBorders>
            <w:noWrap w:val="0"/>
            <w:vAlign w:val="center"/>
          </w:tcPr>
          <w:p w14:paraId="7EF65FCA">
            <w:pPr>
              <w:pageBreakBefore w:val="0"/>
              <w:kinsoku/>
              <w:overflowPunct/>
              <w:topLinePunct w:val="0"/>
              <w:autoSpaceDE w:val="0"/>
              <w:bidi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r>
      <w:tr w14:paraId="1F2DE5B9">
        <w:tblPrEx>
          <w:tblCellMar>
            <w:top w:w="0" w:type="dxa"/>
            <w:left w:w="0" w:type="dxa"/>
            <w:bottom w:w="0" w:type="dxa"/>
            <w:right w:w="0" w:type="dxa"/>
          </w:tblCellMar>
        </w:tblPrEx>
        <w:trPr>
          <w:trHeight w:val="701" w:hRule="atLeast"/>
          <w:jc w:val="center"/>
        </w:trPr>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05513DB">
            <w:pPr>
              <w:pageBreakBefore w:val="0"/>
              <w:kinsoku/>
              <w:overflowPunct/>
              <w:topLinePunct w:val="0"/>
              <w:autoSpaceDE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p>
        </w:tc>
        <w:tc>
          <w:tcPr>
            <w:tcW w:w="4450" w:type="dxa"/>
            <w:tcBorders>
              <w:top w:val="single" w:color="000000" w:sz="4" w:space="0"/>
              <w:left w:val="nil"/>
              <w:bottom w:val="single" w:color="000000" w:sz="4" w:space="0"/>
              <w:right w:val="single" w:color="000000" w:sz="4" w:space="0"/>
            </w:tcBorders>
            <w:noWrap w:val="0"/>
            <w:vAlign w:val="center"/>
          </w:tcPr>
          <w:p w14:paraId="47312482">
            <w:pPr>
              <w:pageBreakBefore w:val="0"/>
              <w:kinsoku/>
              <w:overflowPunct/>
              <w:topLinePunct w:val="0"/>
              <w:autoSpaceDE w:val="0"/>
              <w:bidi w:val="0"/>
              <w:spacing w:line="360" w:lineRule="auto"/>
              <w:rPr>
                <w:rFonts w:hint="eastAsia" w:ascii="宋体" w:hAnsi="宋体" w:eastAsia="宋体" w:cs="宋体"/>
                <w:color w:val="auto"/>
                <w:sz w:val="24"/>
                <w:highlight w:val="none"/>
              </w:rPr>
            </w:pPr>
          </w:p>
        </w:tc>
        <w:tc>
          <w:tcPr>
            <w:tcW w:w="3470" w:type="dxa"/>
            <w:tcBorders>
              <w:top w:val="single" w:color="000000" w:sz="4" w:space="0"/>
              <w:left w:val="nil"/>
              <w:bottom w:val="single" w:color="000000" w:sz="4" w:space="0"/>
              <w:right w:val="single" w:color="000000" w:sz="4" w:space="0"/>
            </w:tcBorders>
            <w:noWrap w:val="0"/>
            <w:vAlign w:val="center"/>
          </w:tcPr>
          <w:p w14:paraId="09FB7A6D">
            <w:pPr>
              <w:pageBreakBefore w:val="0"/>
              <w:kinsoku/>
              <w:overflowPunct/>
              <w:topLinePunct w:val="0"/>
              <w:autoSpaceDE w:val="0"/>
              <w:bidi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r>
      <w:tr w14:paraId="3891C3D2">
        <w:tblPrEx>
          <w:tblCellMar>
            <w:top w:w="0" w:type="dxa"/>
            <w:left w:w="0" w:type="dxa"/>
            <w:bottom w:w="0" w:type="dxa"/>
            <w:right w:w="0" w:type="dxa"/>
          </w:tblCellMar>
        </w:tblPrEx>
        <w:trPr>
          <w:trHeight w:val="625" w:hRule="atLeast"/>
          <w:jc w:val="center"/>
        </w:trPr>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A96957C">
            <w:pPr>
              <w:pageBreakBefore w:val="0"/>
              <w:kinsoku/>
              <w:overflowPunct/>
              <w:topLinePunct w:val="0"/>
              <w:autoSpaceDE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p>
        </w:tc>
        <w:tc>
          <w:tcPr>
            <w:tcW w:w="4450" w:type="dxa"/>
            <w:tcBorders>
              <w:top w:val="single" w:color="000000" w:sz="4" w:space="0"/>
              <w:left w:val="nil"/>
              <w:bottom w:val="single" w:color="000000" w:sz="4" w:space="0"/>
              <w:right w:val="single" w:color="000000" w:sz="4" w:space="0"/>
            </w:tcBorders>
            <w:noWrap w:val="0"/>
            <w:vAlign w:val="center"/>
          </w:tcPr>
          <w:p w14:paraId="427D85CA">
            <w:pPr>
              <w:pageBreakBefore w:val="0"/>
              <w:kinsoku/>
              <w:overflowPunct/>
              <w:topLinePunct w:val="0"/>
              <w:autoSpaceDE w:val="0"/>
              <w:bidi w:val="0"/>
              <w:spacing w:line="360" w:lineRule="auto"/>
              <w:rPr>
                <w:rFonts w:hint="eastAsia" w:ascii="宋体" w:hAnsi="宋体" w:eastAsia="宋体" w:cs="宋体"/>
                <w:color w:val="auto"/>
                <w:sz w:val="24"/>
                <w:highlight w:val="none"/>
              </w:rPr>
            </w:pPr>
          </w:p>
        </w:tc>
        <w:tc>
          <w:tcPr>
            <w:tcW w:w="3470" w:type="dxa"/>
            <w:tcBorders>
              <w:top w:val="single" w:color="000000" w:sz="4" w:space="0"/>
              <w:left w:val="nil"/>
              <w:bottom w:val="single" w:color="000000" w:sz="4" w:space="0"/>
              <w:right w:val="single" w:color="000000" w:sz="4" w:space="0"/>
            </w:tcBorders>
            <w:noWrap w:val="0"/>
            <w:vAlign w:val="center"/>
          </w:tcPr>
          <w:p w14:paraId="04858317">
            <w:pPr>
              <w:pageBreakBefore w:val="0"/>
              <w:kinsoku/>
              <w:overflowPunct/>
              <w:topLinePunct w:val="0"/>
              <w:autoSpaceDE w:val="0"/>
              <w:bidi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r>
      <w:tr w14:paraId="66904541">
        <w:tblPrEx>
          <w:tblCellMar>
            <w:top w:w="0" w:type="dxa"/>
            <w:left w:w="0" w:type="dxa"/>
            <w:bottom w:w="0" w:type="dxa"/>
            <w:right w:w="0" w:type="dxa"/>
          </w:tblCellMar>
        </w:tblPrEx>
        <w:trPr>
          <w:trHeight w:val="625" w:hRule="atLeast"/>
          <w:jc w:val="center"/>
        </w:trPr>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285E0D3">
            <w:pPr>
              <w:pageBreakBefore w:val="0"/>
              <w:kinsoku/>
              <w:overflowPunct/>
              <w:topLinePunct w:val="0"/>
              <w:autoSpaceDE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p>
        </w:tc>
        <w:tc>
          <w:tcPr>
            <w:tcW w:w="4450" w:type="dxa"/>
            <w:tcBorders>
              <w:top w:val="single" w:color="000000" w:sz="4" w:space="0"/>
              <w:left w:val="nil"/>
              <w:bottom w:val="single" w:color="000000" w:sz="4" w:space="0"/>
              <w:right w:val="single" w:color="000000" w:sz="4" w:space="0"/>
            </w:tcBorders>
            <w:noWrap w:val="0"/>
            <w:vAlign w:val="center"/>
          </w:tcPr>
          <w:p w14:paraId="759C0347">
            <w:pPr>
              <w:pageBreakBefore w:val="0"/>
              <w:kinsoku/>
              <w:overflowPunct/>
              <w:topLinePunct w:val="0"/>
              <w:autoSpaceDE w:val="0"/>
              <w:bidi w:val="0"/>
              <w:spacing w:line="360" w:lineRule="auto"/>
              <w:rPr>
                <w:rFonts w:hint="eastAsia" w:ascii="宋体" w:hAnsi="宋体" w:eastAsia="宋体" w:cs="宋体"/>
                <w:color w:val="auto"/>
                <w:sz w:val="24"/>
                <w:highlight w:val="none"/>
              </w:rPr>
            </w:pPr>
          </w:p>
        </w:tc>
        <w:tc>
          <w:tcPr>
            <w:tcW w:w="3470" w:type="dxa"/>
            <w:tcBorders>
              <w:top w:val="single" w:color="000000" w:sz="4" w:space="0"/>
              <w:left w:val="nil"/>
              <w:bottom w:val="single" w:color="000000" w:sz="4" w:space="0"/>
              <w:right w:val="single" w:color="000000" w:sz="4" w:space="0"/>
            </w:tcBorders>
            <w:noWrap w:val="0"/>
            <w:vAlign w:val="center"/>
          </w:tcPr>
          <w:p w14:paraId="7C8B0905">
            <w:pPr>
              <w:pageBreakBefore w:val="0"/>
              <w:kinsoku/>
              <w:overflowPunct/>
              <w:topLinePunct w:val="0"/>
              <w:autoSpaceDE w:val="0"/>
              <w:bidi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r>
      <w:tr w14:paraId="3D286798">
        <w:tblPrEx>
          <w:tblCellMar>
            <w:top w:w="0" w:type="dxa"/>
            <w:left w:w="0" w:type="dxa"/>
            <w:bottom w:w="0" w:type="dxa"/>
            <w:right w:w="0" w:type="dxa"/>
          </w:tblCellMar>
        </w:tblPrEx>
        <w:trPr>
          <w:trHeight w:val="604" w:hRule="atLeast"/>
          <w:jc w:val="center"/>
        </w:trPr>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1A2F45A">
            <w:pPr>
              <w:pageBreakBefore w:val="0"/>
              <w:kinsoku/>
              <w:overflowPunct/>
              <w:topLinePunct w:val="0"/>
              <w:autoSpaceDE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4450" w:type="dxa"/>
            <w:tcBorders>
              <w:top w:val="single" w:color="000000" w:sz="4" w:space="0"/>
              <w:left w:val="nil"/>
              <w:bottom w:val="single" w:color="000000" w:sz="4" w:space="0"/>
              <w:right w:val="single" w:color="000000" w:sz="4" w:space="0"/>
            </w:tcBorders>
            <w:noWrap w:val="0"/>
            <w:vAlign w:val="center"/>
          </w:tcPr>
          <w:p w14:paraId="4A7A50AB">
            <w:pPr>
              <w:pageBreakBefore w:val="0"/>
              <w:kinsoku/>
              <w:overflowPunct/>
              <w:topLinePunct w:val="0"/>
              <w:autoSpaceDE w:val="0"/>
              <w:bidi w:val="0"/>
              <w:spacing w:line="360" w:lineRule="auto"/>
              <w:rPr>
                <w:rFonts w:hint="eastAsia" w:ascii="宋体" w:hAnsi="宋体" w:eastAsia="宋体" w:cs="宋体"/>
                <w:color w:val="auto"/>
                <w:sz w:val="24"/>
                <w:highlight w:val="none"/>
              </w:rPr>
            </w:pPr>
          </w:p>
        </w:tc>
        <w:tc>
          <w:tcPr>
            <w:tcW w:w="3470" w:type="dxa"/>
            <w:tcBorders>
              <w:top w:val="single" w:color="000000" w:sz="4" w:space="0"/>
              <w:left w:val="nil"/>
              <w:bottom w:val="single" w:color="000000" w:sz="4" w:space="0"/>
              <w:right w:val="single" w:color="000000" w:sz="4" w:space="0"/>
            </w:tcBorders>
            <w:noWrap w:val="0"/>
            <w:vAlign w:val="center"/>
          </w:tcPr>
          <w:p w14:paraId="3766F5B5">
            <w:pPr>
              <w:pageBreakBefore w:val="0"/>
              <w:kinsoku/>
              <w:overflowPunct/>
              <w:topLinePunct w:val="0"/>
              <w:autoSpaceDE w:val="0"/>
              <w:bidi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r>
      <w:tr w14:paraId="094F3EEF">
        <w:tblPrEx>
          <w:tblCellMar>
            <w:top w:w="0" w:type="dxa"/>
            <w:left w:w="0" w:type="dxa"/>
            <w:bottom w:w="0" w:type="dxa"/>
            <w:right w:w="0" w:type="dxa"/>
          </w:tblCellMar>
        </w:tblPrEx>
        <w:trPr>
          <w:trHeight w:val="821" w:hRule="atLeast"/>
          <w:jc w:val="center"/>
        </w:trPr>
        <w:tc>
          <w:tcPr>
            <w:tcW w:w="1135" w:type="dxa"/>
            <w:vMerge w:val="restart"/>
            <w:tcBorders>
              <w:top w:val="nil"/>
              <w:left w:val="single" w:color="000000" w:sz="4" w:space="0"/>
              <w:bottom w:val="single" w:color="000000" w:sz="4" w:space="0"/>
              <w:right w:val="single" w:color="000000" w:sz="4" w:space="0"/>
            </w:tcBorders>
            <w:noWrap w:val="0"/>
            <w:vAlign w:val="center"/>
          </w:tcPr>
          <w:p w14:paraId="3FA7F4DF">
            <w:pPr>
              <w:pageBreakBefore w:val="0"/>
              <w:kinsoku/>
              <w:overflowPunct/>
              <w:topLinePunct w:val="0"/>
              <w:autoSpaceDE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其中：</w:t>
            </w:r>
          </w:p>
        </w:tc>
        <w:tc>
          <w:tcPr>
            <w:tcW w:w="4450" w:type="dxa"/>
            <w:tcBorders>
              <w:top w:val="single" w:color="000000" w:sz="4" w:space="0"/>
              <w:left w:val="nil"/>
              <w:bottom w:val="single" w:color="000000" w:sz="4" w:space="0"/>
              <w:right w:val="single" w:color="000000" w:sz="4" w:space="0"/>
            </w:tcBorders>
            <w:noWrap w:val="0"/>
            <w:vAlign w:val="center"/>
          </w:tcPr>
          <w:p w14:paraId="3FAC869C">
            <w:pPr>
              <w:pageBreakBefore w:val="0"/>
              <w:kinsoku/>
              <w:overflowPunct/>
              <w:topLinePunct w:val="0"/>
              <w:autoSpaceDE w:val="0"/>
              <w:bidi w:val="0"/>
              <w:spacing w:line="360" w:lineRule="auto"/>
              <w:rPr>
                <w:rFonts w:hint="eastAsia" w:ascii="宋体" w:hAnsi="宋体" w:eastAsia="宋体" w:cs="宋体"/>
                <w:color w:val="auto"/>
                <w:sz w:val="24"/>
                <w:highlight w:val="none"/>
              </w:rPr>
            </w:pPr>
          </w:p>
        </w:tc>
        <w:tc>
          <w:tcPr>
            <w:tcW w:w="3470" w:type="dxa"/>
            <w:tcBorders>
              <w:top w:val="single" w:color="000000" w:sz="4" w:space="0"/>
              <w:left w:val="nil"/>
              <w:bottom w:val="single" w:color="000000" w:sz="4" w:space="0"/>
              <w:right w:val="single" w:color="000000" w:sz="4" w:space="0"/>
            </w:tcBorders>
            <w:noWrap w:val="0"/>
            <w:vAlign w:val="center"/>
          </w:tcPr>
          <w:p w14:paraId="2B60CB36">
            <w:pPr>
              <w:pageBreakBefore w:val="0"/>
              <w:kinsoku/>
              <w:overflowPunct/>
              <w:topLinePunct w:val="0"/>
              <w:autoSpaceDE w:val="0"/>
              <w:bidi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r>
      <w:tr w14:paraId="3FCCCA3C">
        <w:tblPrEx>
          <w:tblCellMar>
            <w:top w:w="0" w:type="dxa"/>
            <w:left w:w="0" w:type="dxa"/>
            <w:bottom w:w="0" w:type="dxa"/>
            <w:right w:w="0" w:type="dxa"/>
          </w:tblCellMar>
        </w:tblPrEx>
        <w:trPr>
          <w:trHeight w:val="290" w:hRule="atLeast"/>
          <w:jc w:val="center"/>
        </w:trPr>
        <w:tc>
          <w:tcPr>
            <w:tcW w:w="1135" w:type="dxa"/>
            <w:vMerge w:val="continue"/>
            <w:tcBorders>
              <w:top w:val="nil"/>
              <w:left w:val="single" w:color="000000" w:sz="4" w:space="0"/>
              <w:bottom w:val="single" w:color="000000" w:sz="4" w:space="0"/>
              <w:right w:val="single" w:color="000000" w:sz="4" w:space="0"/>
            </w:tcBorders>
            <w:noWrap w:val="0"/>
            <w:vAlign w:val="center"/>
          </w:tcPr>
          <w:p w14:paraId="787027A4">
            <w:pPr>
              <w:pageBreakBefore w:val="0"/>
              <w:widowControl/>
              <w:kinsoku/>
              <w:overflowPunct/>
              <w:topLinePunct w:val="0"/>
              <w:autoSpaceDE w:val="0"/>
              <w:bidi w:val="0"/>
              <w:spacing w:line="360" w:lineRule="auto"/>
              <w:jc w:val="left"/>
              <w:rPr>
                <w:rFonts w:hint="eastAsia" w:ascii="宋体" w:hAnsi="宋体" w:eastAsia="宋体" w:cs="宋体"/>
                <w:color w:val="auto"/>
                <w:sz w:val="24"/>
                <w:highlight w:val="none"/>
              </w:rPr>
            </w:pPr>
          </w:p>
        </w:tc>
        <w:tc>
          <w:tcPr>
            <w:tcW w:w="4450" w:type="dxa"/>
            <w:tcBorders>
              <w:top w:val="single" w:color="000000" w:sz="4" w:space="0"/>
              <w:left w:val="nil"/>
              <w:bottom w:val="single" w:color="000000" w:sz="4" w:space="0"/>
              <w:right w:val="single" w:color="000000" w:sz="4" w:space="0"/>
            </w:tcBorders>
            <w:noWrap w:val="0"/>
            <w:vAlign w:val="center"/>
          </w:tcPr>
          <w:p w14:paraId="4889543A">
            <w:pPr>
              <w:pageBreakBefore w:val="0"/>
              <w:kinsoku/>
              <w:overflowPunct/>
              <w:topLinePunct w:val="0"/>
              <w:autoSpaceDE w:val="0"/>
              <w:bidi w:val="0"/>
              <w:spacing w:line="360" w:lineRule="auto"/>
              <w:rPr>
                <w:rFonts w:hint="eastAsia" w:ascii="宋体" w:hAnsi="宋体" w:eastAsia="宋体" w:cs="宋体"/>
                <w:color w:val="auto"/>
                <w:sz w:val="24"/>
                <w:highlight w:val="none"/>
              </w:rPr>
            </w:pPr>
          </w:p>
        </w:tc>
        <w:tc>
          <w:tcPr>
            <w:tcW w:w="3470" w:type="dxa"/>
            <w:tcBorders>
              <w:top w:val="single" w:color="000000" w:sz="4" w:space="0"/>
              <w:left w:val="nil"/>
              <w:bottom w:val="single" w:color="000000" w:sz="4" w:space="0"/>
              <w:right w:val="single" w:color="000000" w:sz="4" w:space="0"/>
            </w:tcBorders>
            <w:noWrap w:val="0"/>
            <w:vAlign w:val="center"/>
          </w:tcPr>
          <w:p w14:paraId="3F2559C7">
            <w:pPr>
              <w:pageBreakBefore w:val="0"/>
              <w:kinsoku/>
              <w:overflowPunct/>
              <w:topLinePunct w:val="0"/>
              <w:autoSpaceDE w:val="0"/>
              <w:bidi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r>
      <w:tr w14:paraId="0FA4EC61">
        <w:tblPrEx>
          <w:tblCellMar>
            <w:top w:w="0" w:type="dxa"/>
            <w:left w:w="0" w:type="dxa"/>
            <w:bottom w:w="0" w:type="dxa"/>
            <w:right w:w="0" w:type="dxa"/>
          </w:tblCellMar>
        </w:tblPrEx>
        <w:trPr>
          <w:trHeight w:val="290" w:hRule="atLeast"/>
          <w:jc w:val="center"/>
        </w:trPr>
        <w:tc>
          <w:tcPr>
            <w:tcW w:w="1135" w:type="dxa"/>
            <w:vMerge w:val="continue"/>
            <w:tcBorders>
              <w:top w:val="nil"/>
              <w:left w:val="single" w:color="000000" w:sz="4" w:space="0"/>
              <w:bottom w:val="single" w:color="000000" w:sz="4" w:space="0"/>
              <w:right w:val="single" w:color="000000" w:sz="4" w:space="0"/>
            </w:tcBorders>
            <w:noWrap w:val="0"/>
            <w:vAlign w:val="center"/>
          </w:tcPr>
          <w:p w14:paraId="6CB934E4">
            <w:pPr>
              <w:pageBreakBefore w:val="0"/>
              <w:widowControl/>
              <w:kinsoku/>
              <w:overflowPunct/>
              <w:topLinePunct w:val="0"/>
              <w:autoSpaceDE w:val="0"/>
              <w:bidi w:val="0"/>
              <w:spacing w:line="360" w:lineRule="auto"/>
              <w:jc w:val="left"/>
              <w:rPr>
                <w:rFonts w:hint="eastAsia" w:ascii="宋体" w:hAnsi="宋体" w:eastAsia="宋体" w:cs="宋体"/>
                <w:color w:val="auto"/>
                <w:sz w:val="24"/>
                <w:highlight w:val="none"/>
              </w:rPr>
            </w:pPr>
          </w:p>
        </w:tc>
        <w:tc>
          <w:tcPr>
            <w:tcW w:w="4450" w:type="dxa"/>
            <w:tcBorders>
              <w:top w:val="single" w:color="000000" w:sz="4" w:space="0"/>
              <w:left w:val="nil"/>
              <w:bottom w:val="single" w:color="000000" w:sz="4" w:space="0"/>
              <w:right w:val="single" w:color="000000" w:sz="4" w:space="0"/>
            </w:tcBorders>
            <w:noWrap w:val="0"/>
            <w:vAlign w:val="center"/>
          </w:tcPr>
          <w:p w14:paraId="42F51210">
            <w:pPr>
              <w:pageBreakBefore w:val="0"/>
              <w:kinsoku/>
              <w:overflowPunct/>
              <w:topLinePunct w:val="0"/>
              <w:autoSpaceDE w:val="0"/>
              <w:bidi w:val="0"/>
              <w:spacing w:line="360" w:lineRule="auto"/>
              <w:rPr>
                <w:rFonts w:hint="eastAsia" w:ascii="宋体" w:hAnsi="宋体" w:eastAsia="宋体" w:cs="宋体"/>
                <w:color w:val="auto"/>
                <w:sz w:val="24"/>
                <w:highlight w:val="none"/>
              </w:rPr>
            </w:pPr>
          </w:p>
        </w:tc>
        <w:tc>
          <w:tcPr>
            <w:tcW w:w="3470" w:type="dxa"/>
            <w:tcBorders>
              <w:top w:val="single" w:color="000000" w:sz="4" w:space="0"/>
              <w:left w:val="nil"/>
              <w:bottom w:val="single" w:color="000000" w:sz="4" w:space="0"/>
              <w:right w:val="single" w:color="000000" w:sz="4" w:space="0"/>
            </w:tcBorders>
            <w:noWrap w:val="0"/>
            <w:vAlign w:val="center"/>
          </w:tcPr>
          <w:p w14:paraId="12D0368F">
            <w:pPr>
              <w:pageBreakBefore w:val="0"/>
              <w:kinsoku/>
              <w:overflowPunct/>
              <w:topLinePunct w:val="0"/>
              <w:autoSpaceDE w:val="0"/>
              <w:bidi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r>
      <w:tr w14:paraId="33E230FD">
        <w:tblPrEx>
          <w:tblCellMar>
            <w:top w:w="0" w:type="dxa"/>
            <w:left w:w="0" w:type="dxa"/>
            <w:bottom w:w="0" w:type="dxa"/>
            <w:right w:w="0" w:type="dxa"/>
          </w:tblCellMar>
        </w:tblPrEx>
        <w:trPr>
          <w:trHeight w:val="290" w:hRule="atLeast"/>
          <w:jc w:val="center"/>
        </w:trPr>
        <w:tc>
          <w:tcPr>
            <w:tcW w:w="1135" w:type="dxa"/>
            <w:vMerge w:val="continue"/>
            <w:tcBorders>
              <w:top w:val="nil"/>
              <w:left w:val="single" w:color="000000" w:sz="4" w:space="0"/>
              <w:bottom w:val="single" w:color="000000" w:sz="4" w:space="0"/>
              <w:right w:val="single" w:color="000000" w:sz="4" w:space="0"/>
            </w:tcBorders>
            <w:noWrap w:val="0"/>
            <w:vAlign w:val="center"/>
          </w:tcPr>
          <w:p w14:paraId="00A5B501">
            <w:pPr>
              <w:pageBreakBefore w:val="0"/>
              <w:widowControl/>
              <w:kinsoku/>
              <w:overflowPunct/>
              <w:topLinePunct w:val="0"/>
              <w:autoSpaceDE w:val="0"/>
              <w:bidi w:val="0"/>
              <w:spacing w:line="360" w:lineRule="auto"/>
              <w:jc w:val="left"/>
              <w:rPr>
                <w:rFonts w:hint="eastAsia" w:ascii="宋体" w:hAnsi="宋体" w:eastAsia="宋体" w:cs="宋体"/>
                <w:color w:val="auto"/>
                <w:sz w:val="24"/>
                <w:highlight w:val="none"/>
              </w:rPr>
            </w:pPr>
          </w:p>
        </w:tc>
        <w:tc>
          <w:tcPr>
            <w:tcW w:w="4450" w:type="dxa"/>
            <w:tcBorders>
              <w:top w:val="single" w:color="000000" w:sz="4" w:space="0"/>
              <w:left w:val="nil"/>
              <w:bottom w:val="single" w:color="000000" w:sz="4" w:space="0"/>
              <w:right w:val="single" w:color="000000" w:sz="4" w:space="0"/>
            </w:tcBorders>
            <w:noWrap w:val="0"/>
            <w:vAlign w:val="center"/>
          </w:tcPr>
          <w:p w14:paraId="773C2DD4">
            <w:pPr>
              <w:pageBreakBefore w:val="0"/>
              <w:kinsoku/>
              <w:overflowPunct/>
              <w:topLinePunct w:val="0"/>
              <w:autoSpaceDE w:val="0"/>
              <w:bidi w:val="0"/>
              <w:spacing w:line="360" w:lineRule="auto"/>
              <w:rPr>
                <w:rFonts w:hint="eastAsia" w:ascii="宋体" w:hAnsi="宋体" w:eastAsia="宋体" w:cs="宋体"/>
                <w:color w:val="auto"/>
                <w:sz w:val="24"/>
                <w:highlight w:val="none"/>
              </w:rPr>
            </w:pPr>
          </w:p>
        </w:tc>
        <w:tc>
          <w:tcPr>
            <w:tcW w:w="3470" w:type="dxa"/>
            <w:tcBorders>
              <w:top w:val="single" w:color="000000" w:sz="4" w:space="0"/>
              <w:left w:val="nil"/>
              <w:bottom w:val="single" w:color="000000" w:sz="4" w:space="0"/>
              <w:right w:val="single" w:color="000000" w:sz="4" w:space="0"/>
            </w:tcBorders>
            <w:noWrap w:val="0"/>
            <w:vAlign w:val="center"/>
          </w:tcPr>
          <w:p w14:paraId="079061C4">
            <w:pPr>
              <w:pageBreakBefore w:val="0"/>
              <w:kinsoku/>
              <w:overflowPunct/>
              <w:topLinePunct w:val="0"/>
              <w:autoSpaceDE w:val="0"/>
              <w:bidi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r>
    </w:tbl>
    <w:p w14:paraId="5F3899A3">
      <w:pPr>
        <w:pageBreakBefore w:val="0"/>
        <w:kinsoku/>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E400CF2">
      <w:pPr>
        <w:pageBreakBefore w:val="0"/>
        <w:kinsoku/>
        <w:overflowPunct/>
        <w:topLinePunct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备注：</w:t>
      </w:r>
      <w:r>
        <w:rPr>
          <w:rFonts w:hint="eastAsia" w:ascii="宋体" w:hAnsi="宋体" w:eastAsia="宋体" w:cs="宋体"/>
          <w:color w:val="auto"/>
          <w:sz w:val="28"/>
          <w:szCs w:val="28"/>
          <w:highlight w:val="none"/>
        </w:rPr>
        <w:t>总报价含建安劳保费</w:t>
      </w:r>
    </w:p>
    <w:p w14:paraId="62EE9ADA">
      <w:pPr>
        <w:pageBreakBefore w:val="0"/>
        <w:kinsoku/>
        <w:overflowPunct/>
        <w:topLinePunct w:val="0"/>
        <w:bidi w:val="0"/>
        <w:snapToGrid w:val="0"/>
        <w:spacing w:line="360" w:lineRule="auto"/>
        <w:rPr>
          <w:rFonts w:hint="eastAsia" w:ascii="宋体" w:hAnsi="宋体" w:eastAsia="宋体" w:cs="宋体"/>
          <w:color w:val="auto"/>
          <w:sz w:val="24"/>
          <w:highlight w:val="none"/>
          <w:u w:val="single"/>
        </w:rPr>
      </w:pPr>
    </w:p>
    <w:p w14:paraId="29C598C2">
      <w:pPr>
        <w:pageBreakBefore w:val="0"/>
        <w:kinsoku/>
        <w:overflowPunct/>
        <w:topLinePunct w:val="0"/>
        <w:autoSpaceDE w:val="0"/>
        <w:autoSpaceDN w:val="0"/>
        <w:bidi w:val="0"/>
        <w:spacing w:line="360" w:lineRule="auto"/>
        <w:ind w:left="4335" w:leftChars="1950" w:hanging="240" w:hangingChars="100"/>
        <w:rPr>
          <w:rFonts w:hint="eastAsia" w:ascii="宋体" w:hAnsi="宋体" w:eastAsia="宋体" w:cs="宋体"/>
          <w:color w:val="auto"/>
          <w:kern w:val="0"/>
          <w:sz w:val="24"/>
          <w:highlight w:val="none"/>
        </w:rPr>
      </w:pPr>
    </w:p>
    <w:p w14:paraId="08B7C799">
      <w:pPr>
        <w:pageBreakBefore w:val="0"/>
        <w:kinsoku/>
        <w:overflowPunct/>
        <w:topLinePunct w:val="0"/>
        <w:autoSpaceDE w:val="0"/>
        <w:autoSpaceDN w:val="0"/>
        <w:bidi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64CD830">
      <w:pPr>
        <w:pStyle w:val="14"/>
        <w:pageBreakBefore w:val="0"/>
        <w:kinsoku/>
        <w:overflowPunct/>
        <w:topLinePunct w:val="0"/>
        <w:bidi w:val="0"/>
        <w:spacing w:line="360" w:lineRule="auto"/>
        <w:ind w:firstLine="6360" w:firstLineChars="2650"/>
        <w:rPr>
          <w:rFonts w:hint="eastAsia" w:ascii="宋体" w:hAnsi="宋体" w:eastAsia="宋体" w:cs="宋体"/>
          <w:color w:val="auto"/>
          <w:sz w:val="24"/>
          <w:highlight w:val="none"/>
          <w:lang w:val="zh-CN"/>
        </w:rPr>
        <w:sectPr>
          <w:pgSz w:w="11910" w:h="16840"/>
          <w:pgMar w:top="1440" w:right="1080" w:bottom="1440" w:left="1080" w:header="720" w:footer="720" w:gutter="0"/>
          <w:cols w:space="720" w:num="1"/>
        </w:sectPr>
      </w:pPr>
      <w:r>
        <w:rPr>
          <w:rFonts w:hint="eastAsia" w:ascii="宋体" w:hAnsi="宋体" w:eastAsia="宋体" w:cs="宋体"/>
          <w:color w:val="auto"/>
          <w:sz w:val="24"/>
          <w:highlight w:val="none"/>
          <w:lang w:val="zh-CN"/>
        </w:rPr>
        <w:t>日期：  年  月   日</w:t>
      </w:r>
    </w:p>
    <w:p w14:paraId="4E182F63">
      <w:pPr>
        <w:rPr>
          <w:rFonts w:hint="eastAsia"/>
          <w:color w:val="auto"/>
          <w:highlight w:val="none"/>
          <w:lang w:val="zh-CN"/>
        </w:rPr>
      </w:pPr>
    </w:p>
    <w:p w14:paraId="469D84DD">
      <w:pPr>
        <w:snapToGrid w:val="0"/>
        <w:spacing w:line="360" w:lineRule="auto"/>
        <w:ind w:firstLine="602" w:firstLineChars="200"/>
        <w:rPr>
          <w:rFonts w:hint="eastAsia" w:ascii="宋体" w:hAnsi="宋体" w:cs="仿宋_GB2312"/>
          <w:b/>
          <w:color w:val="auto"/>
          <w:sz w:val="30"/>
          <w:szCs w:val="30"/>
          <w:highlight w:val="none"/>
        </w:rPr>
      </w:pPr>
      <w:r>
        <w:rPr>
          <w:rFonts w:hint="eastAsia" w:ascii="宋体" w:hAnsi="宋体" w:cs="仿宋_GB2312"/>
          <w:b/>
          <w:color w:val="auto"/>
          <w:sz w:val="30"/>
          <w:szCs w:val="30"/>
          <w:highlight w:val="none"/>
        </w:rPr>
        <w:t>三、已标价工程量清单</w:t>
      </w:r>
    </w:p>
    <w:p w14:paraId="6E81D752">
      <w:pPr>
        <w:snapToGrid w:val="0"/>
        <w:spacing w:line="360" w:lineRule="auto"/>
        <w:ind w:firstLine="482" w:firstLineChars="200"/>
        <w:rPr>
          <w:rFonts w:hint="eastAsia" w:ascii="宋体" w:hAnsi="宋体" w:cs="仿宋_GB2312"/>
          <w:b/>
          <w:color w:val="auto"/>
          <w:sz w:val="24"/>
          <w:szCs w:val="24"/>
          <w:highlight w:val="none"/>
          <w:lang w:val="en-US" w:eastAsia="zh-CN"/>
        </w:rPr>
      </w:pPr>
    </w:p>
    <w:p w14:paraId="337A3E70">
      <w:pPr>
        <w:snapToGrid w:val="0"/>
        <w:spacing w:line="360" w:lineRule="auto"/>
        <w:ind w:firstLine="482" w:firstLineChars="200"/>
        <w:rPr>
          <w:rFonts w:hint="eastAsia" w:ascii="宋体" w:hAnsi="宋体" w:eastAsia="宋体" w:cs="宋体"/>
          <w:b/>
          <w:color w:val="auto"/>
          <w:sz w:val="30"/>
          <w:szCs w:val="30"/>
          <w:highlight w:val="none"/>
          <w:lang w:val="en-US" w:eastAsia="zh-CN"/>
        </w:rPr>
      </w:pPr>
      <w:r>
        <w:rPr>
          <w:rFonts w:hint="eastAsia" w:ascii="宋体" w:hAnsi="宋体" w:cs="仿宋_GB2312"/>
          <w:b/>
          <w:color w:val="auto"/>
          <w:sz w:val="24"/>
          <w:szCs w:val="24"/>
          <w:highlight w:val="none"/>
          <w:lang w:val="en-US" w:eastAsia="zh-CN"/>
        </w:rPr>
        <w:t>说明：</w:t>
      </w:r>
      <w:r>
        <w:rPr>
          <w:rFonts w:hint="eastAsia" w:ascii="宋体" w:hAnsi="宋体" w:cs="仿宋_GB2312"/>
          <w:b/>
          <w:bCs w:val="0"/>
          <w:color w:val="auto"/>
          <w:kern w:val="2"/>
          <w:sz w:val="24"/>
          <w:szCs w:val="24"/>
          <w:highlight w:val="none"/>
          <w:lang w:val="en-US" w:eastAsia="zh-CN"/>
        </w:rPr>
        <w:t>二次报价或最后报价与首次报价相比有调整的，请供应商提前准备好调整后的已标价工程量清单（已标价工程量清单合计金额须与相对应的竞标总报价金额保持一致），如未在规定时间内提供调整后的已标价工程量清单，由此造成的后果供应商自行承担。</w:t>
      </w:r>
    </w:p>
    <w:p w14:paraId="3E953C41">
      <w:pPr>
        <w:snapToGrid w:val="0"/>
        <w:spacing w:line="360" w:lineRule="auto"/>
        <w:ind w:firstLine="602" w:firstLineChars="200"/>
        <w:rPr>
          <w:rFonts w:hint="eastAsia" w:ascii="宋体" w:hAnsi="宋体" w:eastAsia="宋体" w:cs="宋体"/>
          <w:b/>
          <w:color w:val="auto"/>
          <w:sz w:val="30"/>
          <w:szCs w:val="30"/>
          <w:highlight w:val="none"/>
          <w:lang w:val="en-US" w:eastAsia="zh-CN"/>
        </w:rPr>
      </w:pPr>
    </w:p>
    <w:p w14:paraId="6E7878A1">
      <w:pPr>
        <w:pStyle w:val="11"/>
        <w:jc w:val="center"/>
        <w:rPr>
          <w:rFonts w:hint="eastAsia" w:ascii="宋体" w:hAnsi="宋体" w:cs="宋体"/>
          <w:b/>
          <w:color w:val="auto"/>
          <w:sz w:val="24"/>
          <w:szCs w:val="24"/>
          <w:highlight w:val="none"/>
          <w:lang w:val="en-US" w:eastAsia="zh-CN"/>
        </w:rPr>
      </w:pPr>
    </w:p>
    <w:p w14:paraId="18B3727A">
      <w:pPr>
        <w:pStyle w:val="11"/>
        <w:jc w:val="center"/>
        <w:rPr>
          <w:rFonts w:hint="eastAsia" w:ascii="宋体" w:hAnsi="宋体" w:cs="宋体"/>
          <w:b/>
          <w:color w:val="auto"/>
          <w:sz w:val="24"/>
          <w:szCs w:val="24"/>
          <w:highlight w:val="none"/>
          <w:lang w:val="en-US" w:eastAsia="zh-CN"/>
        </w:rPr>
      </w:pPr>
    </w:p>
    <w:p w14:paraId="501D8E1D">
      <w:pPr>
        <w:pStyle w:val="11"/>
        <w:ind w:firstLine="630" w:firstLineChars="300"/>
        <w:rPr>
          <w:rFonts w:hint="eastAsia"/>
          <w:color w:val="auto"/>
          <w:highlight w:val="none"/>
          <w:lang w:val="en-US" w:eastAsia="zh-CN"/>
        </w:rPr>
      </w:pPr>
    </w:p>
    <w:p w14:paraId="7F249580">
      <w:pPr>
        <w:snapToGrid w:val="0"/>
        <w:spacing w:line="360" w:lineRule="auto"/>
        <w:ind w:firstLine="602" w:firstLineChars="200"/>
        <w:rPr>
          <w:rFonts w:hint="eastAsia" w:ascii="宋体" w:hAnsi="宋体" w:eastAsia="宋体" w:cs="宋体"/>
          <w:b/>
          <w:color w:val="auto"/>
          <w:sz w:val="30"/>
          <w:szCs w:val="30"/>
          <w:highlight w:val="none"/>
          <w:lang w:val="en-US" w:eastAsia="zh-CN"/>
        </w:rPr>
      </w:pPr>
    </w:p>
    <w:p w14:paraId="16819D58">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四</w:t>
      </w:r>
      <w:r>
        <w:rPr>
          <w:rFonts w:hint="eastAsia" w:ascii="宋体" w:hAnsi="宋体" w:eastAsia="宋体" w:cs="宋体"/>
          <w:b/>
          <w:color w:val="auto"/>
          <w:sz w:val="30"/>
          <w:szCs w:val="30"/>
          <w:highlight w:val="none"/>
        </w:rPr>
        <w:t>、供应商认为需要提供的其他有关资料</w:t>
      </w:r>
    </w:p>
    <w:p w14:paraId="2F5F5F5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608676BB">
      <w:pPr>
        <w:pStyle w:val="11"/>
        <w:spacing w:line="360" w:lineRule="auto"/>
        <w:rPr>
          <w:rFonts w:hint="eastAsia" w:ascii="宋体" w:hAnsi="宋体" w:eastAsia="宋体" w:cs="宋体"/>
          <w:color w:val="auto"/>
          <w:highlight w:val="none"/>
        </w:rPr>
      </w:pPr>
    </w:p>
    <w:p w14:paraId="0F7D5C9F">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732E63E">
      <w:pPr>
        <w:ind w:firstLine="2160" w:firstLineChars="900"/>
        <w:rPr>
          <w:rFonts w:hint="eastAsia"/>
          <w:color w:val="auto"/>
          <w:highlight w:val="none"/>
          <w:lang w:val="zh-CN"/>
        </w:rPr>
        <w:sectPr>
          <w:pgSz w:w="11906" w:h="16838"/>
          <w:pgMar w:top="1440" w:right="1080" w:bottom="1440" w:left="1080"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14:paraId="014B1E91">
      <w:pPr>
        <w:rPr>
          <w:rFonts w:hint="eastAsia"/>
          <w:color w:val="auto"/>
          <w:highlight w:val="none"/>
          <w:lang w:val="zh-CN" w:eastAsia="zh-CN"/>
        </w:rPr>
      </w:pPr>
    </w:p>
    <w:p w14:paraId="5A558BCE">
      <w:pPr>
        <w:pStyle w:val="14"/>
        <w:spacing w:line="360" w:lineRule="auto"/>
        <w:ind w:firstLine="602" w:firstLineChars="200"/>
        <w:rPr>
          <w:rFonts w:hint="eastAsia" w:ascii="宋体" w:hAnsi="宋体" w:eastAsia="宋体" w:cs="宋体"/>
          <w:b/>
          <w:color w:val="auto"/>
          <w:kern w:val="2"/>
          <w:sz w:val="30"/>
          <w:szCs w:val="30"/>
          <w:highlight w:val="none"/>
          <w:lang w:val="en-US" w:eastAsia="zh-CN"/>
        </w:rPr>
      </w:pPr>
    </w:p>
    <w:p w14:paraId="30B5AA06">
      <w:pPr>
        <w:spacing w:line="360" w:lineRule="auto"/>
        <w:jc w:val="center"/>
        <w:rPr>
          <w:rFonts w:hint="eastAsia" w:ascii="宋体" w:hAnsi="宋体" w:eastAsia="宋体" w:cs="宋体"/>
          <w:color w:val="auto"/>
          <w:sz w:val="24"/>
          <w:highlight w:val="none"/>
        </w:rPr>
      </w:pPr>
    </w:p>
    <w:p w14:paraId="003EF4C7">
      <w:pPr>
        <w:spacing w:line="360" w:lineRule="auto"/>
        <w:jc w:val="center"/>
        <w:rPr>
          <w:rFonts w:hint="eastAsia" w:ascii="宋体" w:hAnsi="宋体" w:eastAsia="宋体" w:cs="宋体"/>
          <w:color w:val="auto"/>
          <w:sz w:val="24"/>
          <w:highlight w:val="none"/>
        </w:rPr>
      </w:pPr>
    </w:p>
    <w:p w14:paraId="003927ED">
      <w:pPr>
        <w:spacing w:line="360" w:lineRule="auto"/>
        <w:jc w:val="center"/>
        <w:rPr>
          <w:rFonts w:hint="eastAsia" w:ascii="宋体" w:hAnsi="宋体" w:eastAsia="宋体" w:cs="宋体"/>
          <w:color w:val="auto"/>
          <w:sz w:val="24"/>
          <w:highlight w:val="none"/>
        </w:rPr>
      </w:pPr>
    </w:p>
    <w:p w14:paraId="02EC88C2">
      <w:pPr>
        <w:spacing w:line="360" w:lineRule="auto"/>
        <w:jc w:val="center"/>
        <w:rPr>
          <w:rFonts w:hint="eastAsia" w:ascii="宋体" w:hAnsi="宋体" w:eastAsia="宋体" w:cs="宋体"/>
          <w:color w:val="auto"/>
          <w:sz w:val="24"/>
          <w:highlight w:val="none"/>
        </w:rPr>
      </w:pPr>
    </w:p>
    <w:p w14:paraId="217D3B11">
      <w:pPr>
        <w:spacing w:line="360" w:lineRule="auto"/>
        <w:jc w:val="center"/>
        <w:rPr>
          <w:rFonts w:hint="eastAsia" w:ascii="宋体" w:hAnsi="宋体" w:eastAsia="宋体" w:cs="宋体"/>
          <w:color w:val="auto"/>
          <w:sz w:val="24"/>
          <w:highlight w:val="none"/>
        </w:rPr>
      </w:pPr>
    </w:p>
    <w:p w14:paraId="06BF5A7D">
      <w:pPr>
        <w:spacing w:line="360" w:lineRule="auto"/>
        <w:jc w:val="both"/>
        <w:rPr>
          <w:rFonts w:hint="eastAsia" w:ascii="宋体" w:hAnsi="宋体" w:eastAsia="宋体" w:cs="宋体"/>
          <w:color w:val="auto"/>
          <w:sz w:val="24"/>
          <w:highlight w:val="none"/>
        </w:rPr>
      </w:pPr>
    </w:p>
    <w:p w14:paraId="44235933">
      <w:pPr>
        <w:spacing w:line="360" w:lineRule="auto"/>
        <w:jc w:val="center"/>
        <w:rPr>
          <w:rFonts w:hint="eastAsia" w:ascii="宋体" w:hAnsi="宋体" w:eastAsia="宋体" w:cs="宋体"/>
          <w:color w:val="auto"/>
          <w:sz w:val="24"/>
          <w:highlight w:val="none"/>
        </w:rPr>
      </w:pPr>
    </w:p>
    <w:p w14:paraId="5AEBAC36">
      <w:pPr>
        <w:spacing w:line="360" w:lineRule="auto"/>
        <w:jc w:val="center"/>
        <w:rPr>
          <w:rFonts w:hint="eastAsia" w:ascii="宋体" w:hAnsi="宋体" w:eastAsia="宋体" w:cs="宋体"/>
          <w:color w:val="auto"/>
          <w:sz w:val="24"/>
          <w:highlight w:val="none"/>
        </w:rPr>
      </w:pPr>
    </w:p>
    <w:p w14:paraId="33228905">
      <w:pPr>
        <w:spacing w:line="360" w:lineRule="auto"/>
        <w:jc w:val="center"/>
        <w:rPr>
          <w:rFonts w:hint="eastAsia" w:ascii="宋体" w:hAnsi="宋体" w:eastAsia="宋体" w:cs="宋体"/>
          <w:color w:val="auto"/>
          <w:sz w:val="24"/>
          <w:highlight w:val="none"/>
        </w:rPr>
      </w:pPr>
    </w:p>
    <w:p w14:paraId="009386F4">
      <w:pPr>
        <w:pStyle w:val="2"/>
        <w:spacing w:line="360" w:lineRule="auto"/>
        <w:jc w:val="center"/>
        <w:rPr>
          <w:rFonts w:hint="eastAsia" w:ascii="宋体" w:hAnsi="宋体" w:eastAsia="宋体" w:cs="宋体"/>
          <w:b w:val="0"/>
          <w:bCs w:val="0"/>
          <w:color w:val="auto"/>
          <w:highlight w:val="none"/>
        </w:rPr>
      </w:pPr>
      <w:bookmarkStart w:id="127" w:name="_Toc26628"/>
      <w:bookmarkStart w:id="128" w:name="_Toc14897"/>
      <w:bookmarkStart w:id="129" w:name="_Toc25466"/>
      <w:r>
        <w:rPr>
          <w:rFonts w:hint="eastAsia" w:ascii="宋体" w:hAnsi="宋体" w:eastAsia="宋体" w:cs="宋体"/>
          <w:b/>
          <w:bCs/>
          <w:color w:val="auto"/>
          <w:highlight w:val="none"/>
        </w:rPr>
        <w:t>第六章  合同文本</w:t>
      </w:r>
      <w:r>
        <w:rPr>
          <w:rFonts w:hint="eastAsia" w:ascii="宋体" w:hAnsi="宋体" w:eastAsia="宋体" w:cs="宋体"/>
          <w:b/>
          <w:bCs/>
          <w:color w:val="auto"/>
          <w:highlight w:val="none"/>
        </w:rPr>
        <w:br w:type="page"/>
      </w:r>
      <w:bookmarkEnd w:id="127"/>
      <w:bookmarkEnd w:id="128"/>
      <w:bookmarkEnd w:id="129"/>
    </w:p>
    <w:p w14:paraId="2E0EF445">
      <w:pPr>
        <w:pageBreakBefore w:val="0"/>
        <w:kinsoku/>
        <w:topLinePunct w:val="0"/>
        <w:bidi w:val="0"/>
        <w:spacing w:line="360" w:lineRule="auto"/>
        <w:rPr>
          <w:rFonts w:hint="eastAsia" w:ascii="宋体" w:hAnsi="宋体"/>
          <w:b/>
          <w:bCs/>
          <w:color w:val="auto"/>
          <w:highlight w:val="none"/>
        </w:rPr>
      </w:pPr>
      <w:r>
        <w:rPr>
          <w:rFonts w:hint="eastAsia" w:ascii="仿宋_GB2312" w:hAnsi="楷体" w:eastAsia="仿宋_GB2312"/>
          <w:color w:val="auto"/>
          <w:sz w:val="24"/>
          <w:highlight w:val="none"/>
          <w:lang w:eastAsia="zh-CN"/>
        </w:rPr>
        <w:t>“广西政府采购云平台”</w:t>
      </w:r>
      <w:r>
        <w:rPr>
          <w:rFonts w:hint="eastAsia" w:ascii="仿宋_GB2312" w:hAnsi="楷体" w:eastAsia="仿宋_GB2312"/>
          <w:color w:val="auto"/>
          <w:sz w:val="24"/>
          <w:highlight w:val="none"/>
        </w:rPr>
        <w:t>合同编号：</w:t>
      </w:r>
    </w:p>
    <w:p w14:paraId="24480D4F">
      <w:pPr>
        <w:pageBreakBefore w:val="0"/>
        <w:kinsoku/>
        <w:topLinePunct w:val="0"/>
        <w:bidi w:val="0"/>
        <w:spacing w:line="360" w:lineRule="auto"/>
        <w:jc w:val="center"/>
        <w:rPr>
          <w:rFonts w:hint="eastAsia" w:ascii="宋体"/>
          <w:b/>
          <w:bCs/>
          <w:color w:val="auto"/>
          <w:sz w:val="52"/>
          <w:highlight w:val="none"/>
        </w:rPr>
      </w:pPr>
      <w:r>
        <w:rPr>
          <w:rFonts w:hint="eastAsia" w:ascii="宋体"/>
          <w:b/>
          <w:bCs/>
          <w:color w:val="auto"/>
          <w:sz w:val="52"/>
          <w:highlight w:val="none"/>
        </w:rPr>
        <w:t>南 宁 市 政 府 采 购</w:t>
      </w:r>
    </w:p>
    <w:p w14:paraId="1E54ADF7">
      <w:pPr>
        <w:pageBreakBefore w:val="0"/>
        <w:kinsoku/>
        <w:topLinePunct w:val="0"/>
        <w:bidi w:val="0"/>
        <w:spacing w:line="360" w:lineRule="auto"/>
        <w:ind w:firstLine="420" w:firstLineChars="200"/>
        <w:rPr>
          <w:rFonts w:hint="eastAsia" w:ascii="宋体"/>
          <w:color w:val="auto"/>
          <w:highlight w:val="none"/>
        </w:rPr>
      </w:pPr>
    </w:p>
    <w:p w14:paraId="42A7F23E">
      <w:pPr>
        <w:pageBreakBefore w:val="0"/>
        <w:kinsoku/>
        <w:topLinePunct w:val="0"/>
        <w:bidi w:val="0"/>
        <w:spacing w:line="360" w:lineRule="auto"/>
        <w:ind w:firstLine="420" w:firstLineChars="200"/>
        <w:rPr>
          <w:rFonts w:hint="eastAsia" w:ascii="宋体"/>
          <w:color w:val="auto"/>
          <w:highlight w:val="none"/>
        </w:rPr>
      </w:pPr>
      <w:r>
        <w:rPr>
          <w:rFonts w:hint="eastAsia" w:ascii="宋体"/>
          <w:color w:val="auto"/>
          <w:highlight w:val="none"/>
        </w:rPr>
        <w:t xml:space="preserve">                                                 </w:t>
      </w:r>
    </w:p>
    <w:p w14:paraId="30D6FAAD">
      <w:pPr>
        <w:pageBreakBefore w:val="0"/>
        <w:kinsoku/>
        <w:topLinePunct w:val="0"/>
        <w:bidi w:val="0"/>
        <w:spacing w:line="360" w:lineRule="auto"/>
        <w:jc w:val="center"/>
        <w:rPr>
          <w:rFonts w:hint="default" w:ascii="宋体" w:eastAsia="宋体"/>
          <w:b/>
          <w:bCs/>
          <w:color w:val="auto"/>
          <w:sz w:val="44"/>
          <w:highlight w:val="none"/>
          <w:lang w:val="en-US" w:eastAsia="zh-CN"/>
        </w:rPr>
      </w:pPr>
      <w:r>
        <w:rPr>
          <w:rFonts w:hint="eastAsia" w:ascii="宋体"/>
          <w:b/>
          <w:bCs/>
          <w:color w:val="auto"/>
          <w:sz w:val="44"/>
          <w:highlight w:val="none"/>
          <w:u w:val="single"/>
        </w:rPr>
        <w:t xml:space="preserve">    （项目名称）    </w:t>
      </w:r>
      <w:r>
        <w:rPr>
          <w:rFonts w:hint="eastAsia" w:ascii="宋体"/>
          <w:b/>
          <w:bCs/>
          <w:color w:val="auto"/>
          <w:sz w:val="44"/>
          <w:highlight w:val="none"/>
        </w:rPr>
        <w:t>合同</w:t>
      </w:r>
    </w:p>
    <w:p w14:paraId="079F6299">
      <w:pPr>
        <w:pageBreakBefore w:val="0"/>
        <w:kinsoku/>
        <w:topLinePunct w:val="0"/>
        <w:bidi w:val="0"/>
        <w:spacing w:line="360" w:lineRule="auto"/>
        <w:jc w:val="center"/>
        <w:rPr>
          <w:rFonts w:hint="eastAsia" w:ascii="宋体"/>
          <w:b/>
          <w:bCs/>
          <w:color w:val="auto"/>
          <w:sz w:val="44"/>
          <w:highlight w:val="none"/>
        </w:rPr>
      </w:pPr>
    </w:p>
    <w:p w14:paraId="13D360D7">
      <w:pPr>
        <w:pageBreakBefore w:val="0"/>
        <w:kinsoku/>
        <w:topLinePunct w:val="0"/>
        <w:bidi w:val="0"/>
        <w:spacing w:line="360" w:lineRule="auto"/>
        <w:ind w:firstLine="3507" w:firstLineChars="794"/>
        <w:rPr>
          <w:rFonts w:hint="eastAsia" w:ascii="宋体"/>
          <w:b/>
          <w:bCs/>
          <w:color w:val="auto"/>
          <w:sz w:val="44"/>
          <w:highlight w:val="none"/>
        </w:rPr>
      </w:pPr>
    </w:p>
    <w:p w14:paraId="7E0ED22C">
      <w:pPr>
        <w:pageBreakBefore w:val="0"/>
        <w:kinsoku/>
        <w:topLinePunct w:val="0"/>
        <w:bidi w:val="0"/>
        <w:spacing w:line="360" w:lineRule="auto"/>
        <w:ind w:firstLine="3507" w:firstLineChars="794"/>
        <w:rPr>
          <w:rFonts w:hint="eastAsia" w:ascii="宋体"/>
          <w:b/>
          <w:bCs/>
          <w:color w:val="auto"/>
          <w:sz w:val="44"/>
          <w:highlight w:val="none"/>
        </w:rPr>
      </w:pPr>
    </w:p>
    <w:p w14:paraId="60711864">
      <w:pPr>
        <w:pageBreakBefore w:val="0"/>
        <w:kinsoku/>
        <w:topLinePunct w:val="0"/>
        <w:bidi w:val="0"/>
        <w:spacing w:line="360" w:lineRule="auto"/>
        <w:ind w:firstLine="1995" w:firstLineChars="552"/>
        <w:rPr>
          <w:rFonts w:hint="eastAsia" w:ascii="宋体" w:hAnsi="宋体"/>
          <w:b/>
          <w:color w:val="auto"/>
          <w:sz w:val="36"/>
          <w:szCs w:val="36"/>
          <w:highlight w:val="none"/>
        </w:rPr>
      </w:pPr>
      <w:r>
        <w:rPr>
          <w:rFonts w:hint="eastAsia" w:ascii="宋体" w:hAnsi="宋体"/>
          <w:b/>
          <w:color w:val="auto"/>
          <w:sz w:val="36"/>
          <w:szCs w:val="36"/>
          <w:highlight w:val="none"/>
        </w:rPr>
        <w:t>采购项目编号：</w:t>
      </w:r>
      <w:r>
        <w:rPr>
          <w:rFonts w:hint="eastAsia" w:ascii="宋体" w:hAnsi="宋体"/>
          <w:b/>
          <w:color w:val="auto"/>
          <w:sz w:val="36"/>
          <w:szCs w:val="36"/>
          <w:highlight w:val="none"/>
          <w:u w:val="single"/>
        </w:rPr>
        <w:t xml:space="preserve">                     </w:t>
      </w:r>
    </w:p>
    <w:p w14:paraId="56F3CD02">
      <w:pPr>
        <w:pageBreakBefore w:val="0"/>
        <w:kinsoku/>
        <w:topLinePunct w:val="0"/>
        <w:bidi w:val="0"/>
        <w:spacing w:line="360" w:lineRule="auto"/>
        <w:ind w:firstLine="1995" w:firstLineChars="552"/>
        <w:rPr>
          <w:rFonts w:hint="eastAsia" w:ascii="宋体" w:hAnsi="宋体"/>
          <w:b/>
          <w:color w:val="auto"/>
          <w:sz w:val="36"/>
          <w:szCs w:val="36"/>
          <w:highlight w:val="none"/>
        </w:rPr>
      </w:pPr>
      <w:r>
        <w:rPr>
          <w:rFonts w:hint="eastAsia" w:ascii="宋体" w:hAnsi="宋体"/>
          <w:b/>
          <w:color w:val="auto"/>
          <w:sz w:val="36"/>
          <w:szCs w:val="36"/>
          <w:highlight w:val="none"/>
        </w:rPr>
        <w:t>采购计划编号：</w:t>
      </w:r>
      <w:r>
        <w:rPr>
          <w:rFonts w:hint="eastAsia" w:ascii="宋体" w:hAnsi="宋体"/>
          <w:b/>
          <w:color w:val="auto"/>
          <w:sz w:val="36"/>
          <w:szCs w:val="36"/>
          <w:highlight w:val="none"/>
          <w:u w:val="single"/>
        </w:rPr>
        <w:t xml:space="preserve">                     </w:t>
      </w:r>
    </w:p>
    <w:p w14:paraId="64D3C14C">
      <w:pPr>
        <w:pageBreakBefore w:val="0"/>
        <w:kinsoku/>
        <w:topLinePunct w:val="0"/>
        <w:bidi w:val="0"/>
        <w:spacing w:line="360" w:lineRule="auto"/>
        <w:ind w:firstLine="1308" w:firstLineChars="545"/>
        <w:rPr>
          <w:rFonts w:hint="eastAsia" w:ascii="宋体" w:hAnsi="宋体" w:cs="宋体"/>
          <w:color w:val="auto"/>
          <w:sz w:val="24"/>
          <w:highlight w:val="none"/>
        </w:rPr>
      </w:pPr>
    </w:p>
    <w:p w14:paraId="6BC40129">
      <w:pPr>
        <w:pageBreakBefore w:val="0"/>
        <w:kinsoku/>
        <w:topLinePunct w:val="0"/>
        <w:bidi w:val="0"/>
        <w:spacing w:line="360" w:lineRule="auto"/>
        <w:ind w:firstLine="1995" w:firstLineChars="552"/>
        <w:rPr>
          <w:rFonts w:hint="eastAsia" w:ascii="宋体" w:hAnsi="宋体"/>
          <w:b/>
          <w:color w:val="auto"/>
          <w:sz w:val="36"/>
          <w:szCs w:val="36"/>
          <w:highlight w:val="none"/>
          <w:u w:val="single"/>
        </w:rPr>
      </w:pPr>
    </w:p>
    <w:p w14:paraId="6E9054D5">
      <w:pPr>
        <w:pageBreakBefore w:val="0"/>
        <w:kinsoku/>
        <w:topLinePunct w:val="0"/>
        <w:bidi w:val="0"/>
        <w:spacing w:line="360" w:lineRule="auto"/>
        <w:ind w:firstLine="1995" w:firstLineChars="552"/>
        <w:rPr>
          <w:rFonts w:hint="eastAsia" w:ascii="宋体" w:hAnsi="宋体"/>
          <w:b/>
          <w:color w:val="auto"/>
          <w:sz w:val="36"/>
          <w:szCs w:val="36"/>
          <w:highlight w:val="none"/>
          <w:u w:val="single"/>
        </w:rPr>
      </w:pPr>
    </w:p>
    <w:p w14:paraId="0EA98ED1">
      <w:pPr>
        <w:pageBreakBefore w:val="0"/>
        <w:tabs>
          <w:tab w:val="left" w:pos="7200"/>
        </w:tabs>
        <w:kinsoku/>
        <w:topLinePunct w:val="0"/>
        <w:bidi w:val="0"/>
        <w:spacing w:line="360" w:lineRule="auto"/>
        <w:ind w:firstLine="1995" w:firstLineChars="552"/>
        <w:rPr>
          <w:rFonts w:hint="eastAsia" w:ascii="宋体" w:hAnsi="宋体"/>
          <w:b/>
          <w:color w:val="auto"/>
          <w:sz w:val="36"/>
          <w:szCs w:val="36"/>
          <w:highlight w:val="none"/>
          <w:u w:val="single"/>
        </w:rPr>
      </w:pPr>
      <w:r>
        <w:rPr>
          <w:rFonts w:hint="eastAsia" w:ascii="宋体" w:hAnsi="宋体"/>
          <w:b/>
          <w:color w:val="auto"/>
          <w:sz w:val="36"/>
          <w:szCs w:val="36"/>
          <w:highlight w:val="none"/>
        </w:rPr>
        <w:t>采购人：</w:t>
      </w:r>
      <w:r>
        <w:rPr>
          <w:rFonts w:hint="eastAsia" w:ascii="宋体" w:hAnsi="宋体"/>
          <w:b/>
          <w:color w:val="auto"/>
          <w:sz w:val="36"/>
          <w:szCs w:val="36"/>
          <w:highlight w:val="none"/>
          <w:u w:val="single"/>
        </w:rPr>
        <w:t xml:space="preserve">                       </w:t>
      </w:r>
    </w:p>
    <w:p w14:paraId="124234D8">
      <w:pPr>
        <w:pageBreakBefore w:val="0"/>
        <w:tabs>
          <w:tab w:val="left" w:pos="7380"/>
        </w:tabs>
        <w:kinsoku/>
        <w:topLinePunct w:val="0"/>
        <w:bidi w:val="0"/>
        <w:spacing w:line="360" w:lineRule="auto"/>
        <w:ind w:firstLine="1995" w:firstLineChars="552"/>
        <w:rPr>
          <w:rFonts w:hint="eastAsia" w:ascii="宋体"/>
          <w:b/>
          <w:bCs/>
          <w:color w:val="auto"/>
          <w:sz w:val="44"/>
          <w:highlight w:val="none"/>
        </w:rPr>
      </w:pPr>
      <w:r>
        <w:rPr>
          <w:rFonts w:hint="eastAsia" w:ascii="宋体" w:hAnsi="宋体"/>
          <w:b/>
          <w:color w:val="auto"/>
          <w:sz w:val="36"/>
          <w:szCs w:val="36"/>
          <w:highlight w:val="none"/>
          <w:lang w:eastAsia="zh-CN"/>
        </w:rPr>
        <w:t>成交</w:t>
      </w:r>
      <w:r>
        <w:rPr>
          <w:rFonts w:hint="eastAsia" w:ascii="宋体" w:hAnsi="宋体"/>
          <w:b/>
          <w:color w:val="auto"/>
          <w:sz w:val="36"/>
          <w:szCs w:val="36"/>
          <w:highlight w:val="none"/>
        </w:rPr>
        <w:t>供应商：</w:t>
      </w:r>
      <w:r>
        <w:rPr>
          <w:rFonts w:hint="eastAsia" w:ascii="宋体" w:hAnsi="宋体"/>
          <w:b/>
          <w:color w:val="auto"/>
          <w:sz w:val="36"/>
          <w:szCs w:val="36"/>
          <w:highlight w:val="none"/>
          <w:u w:val="single"/>
        </w:rPr>
        <w:t xml:space="preserve">                   </w:t>
      </w:r>
    </w:p>
    <w:p w14:paraId="2F699150">
      <w:pPr>
        <w:pageBreakBefore w:val="0"/>
        <w:tabs>
          <w:tab w:val="left" w:pos="7380"/>
        </w:tabs>
        <w:kinsoku/>
        <w:topLinePunct w:val="0"/>
        <w:bidi w:val="0"/>
        <w:spacing w:line="360" w:lineRule="auto"/>
        <w:rPr>
          <w:rFonts w:hint="eastAsia" w:ascii="宋体"/>
          <w:b/>
          <w:bCs/>
          <w:color w:val="auto"/>
          <w:sz w:val="44"/>
          <w:highlight w:val="none"/>
        </w:rPr>
      </w:pPr>
    </w:p>
    <w:p w14:paraId="0FABF092">
      <w:pPr>
        <w:keepNext/>
        <w:keepLines/>
        <w:pageBreakBefore w:val="0"/>
        <w:kinsoku/>
        <w:topLinePunct w:val="0"/>
        <w:bidi w:val="0"/>
        <w:spacing w:line="360" w:lineRule="auto"/>
        <w:jc w:val="center"/>
        <w:rPr>
          <w:b/>
          <w:color w:val="auto"/>
          <w:kern w:val="0"/>
          <w:sz w:val="24"/>
          <w:szCs w:val="20"/>
          <w:highlight w:val="none"/>
        </w:rPr>
      </w:pPr>
      <w:r>
        <w:rPr>
          <w:rFonts w:hint="eastAsia" w:ascii="宋体"/>
          <w:b/>
          <w:bCs/>
          <w:color w:val="auto"/>
          <w:sz w:val="44"/>
          <w:highlight w:val="none"/>
        </w:rPr>
        <w:br w:type="page"/>
      </w:r>
      <w:r>
        <w:rPr>
          <w:rFonts w:hint="eastAsia"/>
          <w:b/>
          <w:color w:val="auto"/>
          <w:sz w:val="24"/>
          <w:highlight w:val="none"/>
        </w:rPr>
        <w:t>第一部分</w:t>
      </w:r>
      <w:r>
        <w:rPr>
          <w:b/>
          <w:color w:val="auto"/>
          <w:sz w:val="24"/>
          <w:highlight w:val="none"/>
        </w:rPr>
        <w:t xml:space="preserve"> </w:t>
      </w:r>
      <w:r>
        <w:rPr>
          <w:rFonts w:hint="eastAsia"/>
          <w:b/>
          <w:color w:val="auto"/>
          <w:sz w:val="24"/>
          <w:highlight w:val="none"/>
        </w:rPr>
        <w:t>协议书</w:t>
      </w:r>
    </w:p>
    <w:p w14:paraId="180F3AF4">
      <w:pPr>
        <w:pageBreakBefore w:val="0"/>
        <w:kinsoku/>
        <w:topLinePunct w:val="0"/>
        <w:bidi w:val="0"/>
        <w:spacing w:line="360" w:lineRule="auto"/>
        <w:ind w:firstLine="475"/>
        <w:rPr>
          <w:rFonts w:hAnsi="Courier New"/>
          <w:color w:val="auto"/>
          <w:highlight w:val="none"/>
        </w:rPr>
      </w:pPr>
    </w:p>
    <w:p w14:paraId="73EB6BCD">
      <w:pPr>
        <w:pageBreakBefore w:val="0"/>
        <w:widowControl/>
        <w:kinsoku/>
        <w:topLinePunct w:val="0"/>
        <w:bidi w:val="0"/>
        <w:spacing w:line="360" w:lineRule="auto"/>
        <w:jc w:val="left"/>
        <w:rPr>
          <w:rFonts w:hAnsi="Courier New"/>
          <w:b/>
          <w:color w:val="auto"/>
          <w:sz w:val="24"/>
          <w:szCs w:val="20"/>
          <w:highlight w:val="none"/>
        </w:rPr>
      </w:pPr>
    </w:p>
    <w:p w14:paraId="299DD2C7">
      <w:pPr>
        <w:pStyle w:val="11"/>
        <w:rPr>
          <w:rFonts w:hAnsi="Courier New"/>
          <w:b/>
          <w:color w:val="auto"/>
          <w:sz w:val="24"/>
          <w:szCs w:val="20"/>
          <w:highlight w:val="none"/>
        </w:rPr>
      </w:pPr>
    </w:p>
    <w:p w14:paraId="166E3677">
      <w:pPr>
        <w:spacing w:line="480" w:lineRule="exact"/>
        <w:rPr>
          <w:rFonts w:hint="eastAsia" w:hAnsi="宋体" w:cs="宋体"/>
          <w:color w:val="auto"/>
          <w:sz w:val="24"/>
          <w:szCs w:val="24"/>
          <w:highlight w:val="none"/>
        </w:rPr>
      </w:pPr>
      <w:r>
        <w:rPr>
          <w:rFonts w:hint="eastAsia" w:hAnsi="宋体" w:cs="宋体"/>
          <w:color w:val="auto"/>
          <w:sz w:val="24"/>
          <w:szCs w:val="24"/>
          <w:highlight w:val="none"/>
        </w:rPr>
        <w:t xml:space="preserve">发包人（全称）：                          </w:t>
      </w:r>
    </w:p>
    <w:p w14:paraId="655EFE68">
      <w:pPr>
        <w:spacing w:line="480" w:lineRule="exact"/>
        <w:rPr>
          <w:rFonts w:hint="eastAsia" w:hAnsi="宋体" w:cs="宋体"/>
          <w:color w:val="auto"/>
          <w:sz w:val="24"/>
          <w:szCs w:val="24"/>
          <w:highlight w:val="none"/>
        </w:rPr>
      </w:pPr>
      <w:r>
        <w:rPr>
          <w:rFonts w:hint="eastAsia" w:hAnsi="宋体" w:cs="宋体"/>
          <w:color w:val="auto"/>
          <w:sz w:val="24"/>
          <w:szCs w:val="24"/>
          <w:highlight w:val="none"/>
        </w:rPr>
        <w:t xml:space="preserve">承包人（全称）：                          </w:t>
      </w:r>
    </w:p>
    <w:p w14:paraId="0FB7F301">
      <w:pPr>
        <w:spacing w:line="480" w:lineRule="exact"/>
        <w:rPr>
          <w:rFonts w:hint="eastAsia" w:hAnsi="宋体" w:cs="宋体"/>
          <w:color w:val="auto"/>
          <w:sz w:val="24"/>
          <w:szCs w:val="24"/>
          <w:highlight w:val="none"/>
        </w:rPr>
      </w:pPr>
      <w:r>
        <w:rPr>
          <w:rFonts w:hint="eastAsia" w:hAnsi="宋体" w:cs="宋体"/>
          <w:color w:val="auto"/>
          <w:sz w:val="24"/>
          <w:szCs w:val="24"/>
          <w:highlight w:val="none"/>
        </w:rPr>
        <w:t xml:space="preserve">    依照《中华人民共和国政府采购法》、《</w:t>
      </w:r>
      <w:r>
        <w:rPr>
          <w:rFonts w:hint="eastAsia" w:hAnsi="宋体" w:cs="宋体"/>
          <w:color w:val="auto"/>
          <w:sz w:val="24"/>
          <w:szCs w:val="24"/>
          <w:highlight w:val="none"/>
          <w:lang w:eastAsia="zh-CN"/>
        </w:rPr>
        <w:t>中华人民共和国民法典</w:t>
      </w:r>
      <w:r>
        <w:rPr>
          <w:rFonts w:hint="eastAsia" w:hAnsi="宋体" w:cs="宋体"/>
          <w:color w:val="auto"/>
          <w:sz w:val="24"/>
          <w:szCs w:val="24"/>
          <w:highlight w:val="none"/>
        </w:rPr>
        <w:t>》和《中华人民共和国建筑法》及其他有关法律、行政法规，遵循平等、自愿、公平和诚实信用的原则，双方就本工程事项协商一致，订立本合同。</w:t>
      </w:r>
    </w:p>
    <w:p w14:paraId="05D744E5">
      <w:pPr>
        <w:spacing w:line="480" w:lineRule="exact"/>
        <w:rPr>
          <w:rFonts w:hint="eastAsia" w:hAnsi="宋体" w:cs="宋体"/>
          <w:color w:val="auto"/>
          <w:sz w:val="24"/>
          <w:szCs w:val="24"/>
          <w:highlight w:val="none"/>
        </w:rPr>
      </w:pPr>
      <w:r>
        <w:rPr>
          <w:rFonts w:hint="eastAsia" w:hAnsi="宋体" w:cs="宋体"/>
          <w:color w:val="auto"/>
          <w:sz w:val="24"/>
          <w:szCs w:val="24"/>
          <w:highlight w:val="none"/>
        </w:rPr>
        <w:t xml:space="preserve">    一、工程概况</w:t>
      </w:r>
    </w:p>
    <w:p w14:paraId="53B5F250">
      <w:pPr>
        <w:spacing w:line="480" w:lineRule="exact"/>
        <w:rPr>
          <w:rFonts w:hint="eastAsia" w:hAnsi="宋体" w:eastAsia="宋体" w:cs="宋体"/>
          <w:color w:val="auto"/>
          <w:sz w:val="24"/>
          <w:szCs w:val="24"/>
          <w:highlight w:val="none"/>
        </w:rPr>
      </w:pPr>
      <w:r>
        <w:rPr>
          <w:rFonts w:hint="eastAsia" w:hAnsi="宋体" w:cs="宋体"/>
          <w:color w:val="auto"/>
          <w:sz w:val="24"/>
          <w:szCs w:val="24"/>
          <w:highlight w:val="none"/>
        </w:rPr>
        <w:t xml:space="preserve">    </w:t>
      </w:r>
      <w:r>
        <w:rPr>
          <w:rFonts w:hint="eastAsia" w:hAnsi="宋体" w:eastAsia="宋体" w:cs="宋体"/>
          <w:color w:val="auto"/>
          <w:sz w:val="24"/>
          <w:szCs w:val="24"/>
          <w:highlight w:val="none"/>
        </w:rPr>
        <w:t>工程名称：</w:t>
      </w:r>
      <w:r>
        <w:rPr>
          <w:rFonts w:hint="eastAsia" w:hAnsi="宋体" w:eastAsia="宋体" w:cs="宋体"/>
          <w:color w:val="auto"/>
          <w:sz w:val="24"/>
          <w:szCs w:val="24"/>
          <w:highlight w:val="none"/>
          <w:lang w:val="en-US" w:eastAsia="zh-CN"/>
        </w:rPr>
        <w:t xml:space="preserve"> </w:t>
      </w:r>
      <w:r>
        <w:rPr>
          <w:rFonts w:hint="eastAsia" w:hAnsi="宋体" w:eastAsia="宋体" w:cs="宋体"/>
          <w:color w:val="auto"/>
          <w:sz w:val="24"/>
          <w:szCs w:val="24"/>
          <w:highlight w:val="none"/>
          <w:lang w:eastAsia="zh-CN"/>
        </w:rPr>
        <w:t xml:space="preserve"> </w:t>
      </w:r>
      <w:r>
        <w:rPr>
          <w:rFonts w:hint="eastAsia" w:hAnsi="宋体" w:eastAsia="宋体" w:cs="宋体"/>
          <w:color w:val="auto"/>
          <w:sz w:val="24"/>
          <w:szCs w:val="24"/>
          <w:highlight w:val="none"/>
        </w:rPr>
        <w:t xml:space="preserve"> </w:t>
      </w:r>
    </w:p>
    <w:p w14:paraId="3AF5556B">
      <w:pPr>
        <w:spacing w:line="480" w:lineRule="exac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 xml:space="preserve">    工程地点：</w:t>
      </w:r>
      <w:r>
        <w:rPr>
          <w:rFonts w:hint="eastAsia" w:hAnsi="宋体" w:eastAsia="宋体" w:cs="宋体"/>
          <w:color w:val="auto"/>
          <w:sz w:val="24"/>
          <w:szCs w:val="24"/>
          <w:highlight w:val="none"/>
          <w:lang w:val="en-US" w:eastAsia="zh-CN"/>
        </w:rPr>
        <w:t xml:space="preserve"> </w:t>
      </w:r>
    </w:p>
    <w:p w14:paraId="3084A48E">
      <w:pPr>
        <w:spacing w:line="480" w:lineRule="exac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 xml:space="preserve">    建筑规模:</w:t>
      </w:r>
    </w:p>
    <w:p w14:paraId="067FDDEB">
      <w:pPr>
        <w:spacing w:line="480" w:lineRule="exact"/>
        <w:rPr>
          <w:rFonts w:hAnsi="宋体" w:cs="宋体"/>
          <w:color w:val="auto"/>
          <w:sz w:val="24"/>
          <w:szCs w:val="24"/>
          <w:highlight w:val="none"/>
        </w:rPr>
      </w:pPr>
      <w:r>
        <w:rPr>
          <w:rFonts w:hint="eastAsia" w:hAnsi="宋体" w:cs="宋体"/>
          <w:color w:val="auto"/>
          <w:sz w:val="24"/>
          <w:szCs w:val="24"/>
          <w:highlight w:val="none"/>
        </w:rPr>
        <w:t xml:space="preserve">    资金来源：</w:t>
      </w:r>
      <w:r>
        <w:rPr>
          <w:rFonts w:hint="eastAsia" w:hAnsi="宋体" w:cs="宋体"/>
          <w:color w:val="auto"/>
          <w:sz w:val="24"/>
          <w:szCs w:val="24"/>
          <w:highlight w:val="none"/>
          <w:lang w:eastAsia="zh-CN"/>
        </w:rPr>
        <w:t>财政</w:t>
      </w:r>
      <w:r>
        <w:rPr>
          <w:rFonts w:hint="eastAsia" w:hAnsi="宋体" w:cs="宋体"/>
          <w:color w:val="auto"/>
          <w:sz w:val="24"/>
          <w:szCs w:val="24"/>
          <w:highlight w:val="none"/>
          <w:lang w:val="en-US" w:eastAsia="zh-CN"/>
        </w:rPr>
        <w:t>性</w:t>
      </w:r>
      <w:r>
        <w:rPr>
          <w:rFonts w:hint="eastAsia" w:hAnsi="宋体" w:cs="宋体"/>
          <w:color w:val="auto"/>
          <w:sz w:val="24"/>
          <w:szCs w:val="24"/>
          <w:highlight w:val="none"/>
        </w:rPr>
        <w:t>资金</w:t>
      </w:r>
    </w:p>
    <w:p w14:paraId="18B1EB02">
      <w:pPr>
        <w:spacing w:line="480" w:lineRule="exact"/>
        <w:rPr>
          <w:rFonts w:hint="eastAsia" w:hAnsi="宋体" w:cs="宋体"/>
          <w:color w:val="auto"/>
          <w:sz w:val="24"/>
          <w:szCs w:val="24"/>
          <w:highlight w:val="none"/>
        </w:rPr>
      </w:pPr>
      <w:r>
        <w:rPr>
          <w:rFonts w:hint="eastAsia" w:hAnsi="宋体" w:cs="宋体"/>
          <w:color w:val="auto"/>
          <w:sz w:val="24"/>
          <w:szCs w:val="24"/>
          <w:highlight w:val="none"/>
        </w:rPr>
        <w:t xml:space="preserve">    二、工程承包范围</w:t>
      </w:r>
    </w:p>
    <w:p w14:paraId="7DAC93E1">
      <w:pPr>
        <w:spacing w:line="480" w:lineRule="exact"/>
        <w:ind w:firstLine="480"/>
        <w:rPr>
          <w:rFonts w:hint="eastAsia" w:hAnsi="宋体" w:cs="宋体"/>
          <w:color w:val="auto"/>
          <w:sz w:val="24"/>
          <w:szCs w:val="24"/>
          <w:highlight w:val="none"/>
        </w:rPr>
      </w:pPr>
      <w:r>
        <w:rPr>
          <w:rFonts w:hint="eastAsia" w:hAnsi="宋体" w:cs="宋体"/>
          <w:color w:val="auto"/>
          <w:sz w:val="24"/>
          <w:szCs w:val="24"/>
          <w:highlight w:val="none"/>
        </w:rPr>
        <w:t>承包范围：</w:t>
      </w:r>
    </w:p>
    <w:p w14:paraId="712EC746">
      <w:pPr>
        <w:spacing w:line="480" w:lineRule="exact"/>
        <w:ind w:firstLine="480"/>
        <w:rPr>
          <w:rFonts w:hint="eastAsia" w:hAnsi="宋体" w:cs="宋体"/>
          <w:color w:val="auto"/>
          <w:sz w:val="24"/>
          <w:szCs w:val="24"/>
          <w:highlight w:val="none"/>
        </w:rPr>
      </w:pPr>
      <w:r>
        <w:rPr>
          <w:rFonts w:hint="eastAsia" w:hAnsi="宋体" w:cs="宋体"/>
          <w:color w:val="auto"/>
          <w:sz w:val="24"/>
          <w:szCs w:val="24"/>
          <w:highlight w:val="none"/>
        </w:rPr>
        <w:t>三、合同工期</w:t>
      </w:r>
    </w:p>
    <w:p w14:paraId="258B6BCD">
      <w:pPr>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计划</w:t>
      </w:r>
      <w:r>
        <w:rPr>
          <w:rFonts w:hint="eastAsia" w:hAnsi="宋体" w:cs="宋体"/>
          <w:color w:val="auto"/>
          <w:sz w:val="24"/>
          <w:szCs w:val="24"/>
          <w:highlight w:val="none"/>
        </w:rPr>
        <w:t>开工日期：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p>
    <w:p w14:paraId="24852708">
      <w:pPr>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计划</w:t>
      </w:r>
      <w:r>
        <w:rPr>
          <w:rFonts w:hint="eastAsia" w:hAnsi="宋体" w:cs="宋体"/>
          <w:color w:val="auto"/>
          <w:sz w:val="24"/>
          <w:szCs w:val="24"/>
          <w:highlight w:val="none"/>
        </w:rPr>
        <w:t>竣工日期：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p>
    <w:p w14:paraId="149BBFEE">
      <w:pPr>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合同工期总日历天数：</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。工期总日历天数与根据前述计划开竣工日期计算的工期天数不一致的，以工期总日历天数为准。</w:t>
      </w:r>
    </w:p>
    <w:p w14:paraId="1E09FAC7">
      <w:pPr>
        <w:spacing w:line="480" w:lineRule="exact"/>
        <w:rPr>
          <w:rFonts w:hint="eastAsia" w:hAnsi="宋体" w:cs="宋体"/>
          <w:color w:val="auto"/>
          <w:sz w:val="24"/>
          <w:szCs w:val="24"/>
          <w:highlight w:val="none"/>
        </w:rPr>
      </w:pPr>
      <w:r>
        <w:rPr>
          <w:rFonts w:hint="eastAsia" w:hAnsi="宋体" w:cs="宋体"/>
          <w:color w:val="auto"/>
          <w:sz w:val="24"/>
          <w:szCs w:val="24"/>
          <w:highlight w:val="none"/>
        </w:rPr>
        <w:t xml:space="preserve">   四、质量标准</w:t>
      </w:r>
    </w:p>
    <w:p w14:paraId="448673A7">
      <w:pPr>
        <w:spacing w:line="480" w:lineRule="exact"/>
        <w:rPr>
          <w:rFonts w:hint="eastAsia" w:hAnsi="宋体" w:cs="宋体"/>
          <w:color w:val="auto"/>
          <w:sz w:val="24"/>
          <w:szCs w:val="24"/>
          <w:highlight w:val="none"/>
        </w:rPr>
      </w:pPr>
      <w:r>
        <w:rPr>
          <w:rFonts w:hint="eastAsia" w:hAnsi="宋体" w:cs="宋体"/>
          <w:color w:val="auto"/>
          <w:sz w:val="24"/>
          <w:szCs w:val="24"/>
          <w:highlight w:val="none"/>
        </w:rPr>
        <w:t xml:space="preserve">   工程质量标准：</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37BF75EC">
      <w:pPr>
        <w:spacing w:line="480" w:lineRule="exact"/>
        <w:rPr>
          <w:rFonts w:hint="eastAsia" w:hAnsi="宋体" w:cs="宋体"/>
          <w:color w:val="auto"/>
          <w:sz w:val="24"/>
          <w:szCs w:val="24"/>
          <w:highlight w:val="none"/>
        </w:rPr>
      </w:pPr>
      <w:r>
        <w:rPr>
          <w:rFonts w:hint="eastAsia" w:hAnsi="宋体" w:cs="宋体"/>
          <w:color w:val="auto"/>
          <w:sz w:val="24"/>
          <w:szCs w:val="24"/>
          <w:highlight w:val="none"/>
        </w:rPr>
        <w:t xml:space="preserve">   五、合同价款</w:t>
      </w:r>
    </w:p>
    <w:p w14:paraId="51AF3CB7">
      <w:pPr>
        <w:spacing w:line="480" w:lineRule="exact"/>
        <w:ind w:left="480" w:hanging="480" w:hangingChars="200"/>
        <w:rPr>
          <w:rFonts w:hint="eastAsia" w:hAnsi="宋体" w:cs="宋体"/>
          <w:color w:val="auto"/>
          <w:sz w:val="24"/>
          <w:szCs w:val="24"/>
          <w:highlight w:val="none"/>
        </w:rPr>
      </w:pPr>
      <w:r>
        <w:rPr>
          <w:rFonts w:hint="eastAsia" w:hAnsi="宋体" w:cs="宋体"/>
          <w:color w:val="auto"/>
          <w:sz w:val="24"/>
          <w:szCs w:val="24"/>
          <w:highlight w:val="none"/>
        </w:rPr>
        <w:t xml:space="preserve">    本合同采用</w:t>
      </w:r>
      <w:r>
        <w:rPr>
          <w:rFonts w:hint="eastAsia" w:hAnsi="宋体" w:cs="宋体"/>
          <w:color w:val="auto"/>
          <w:sz w:val="24"/>
          <w:szCs w:val="24"/>
          <w:highlight w:val="none"/>
          <w:u w:val="single"/>
          <w:lang w:val="en-US" w:eastAsia="zh-CN"/>
        </w:rPr>
        <w:t>固定综合单价</w:t>
      </w:r>
      <w:r>
        <w:rPr>
          <w:rFonts w:hint="eastAsia" w:hAnsi="宋体" w:cs="宋体"/>
          <w:color w:val="auto"/>
          <w:sz w:val="24"/>
          <w:szCs w:val="24"/>
          <w:highlight w:val="none"/>
          <w:u w:val="single"/>
        </w:rPr>
        <w:t>方式</w:t>
      </w:r>
      <w:r>
        <w:rPr>
          <w:rFonts w:hint="eastAsia" w:hAnsi="宋体" w:cs="宋体"/>
          <w:color w:val="auto"/>
          <w:sz w:val="24"/>
          <w:szCs w:val="24"/>
          <w:highlight w:val="none"/>
        </w:rPr>
        <w:t>，合同金额为：人民币</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p>
    <w:p w14:paraId="49D7094A">
      <w:pPr>
        <w:spacing w:line="480" w:lineRule="exact"/>
        <w:rPr>
          <w:rFonts w:hint="eastAsia" w:hAnsi="宋体" w:cs="宋体"/>
          <w:color w:val="auto"/>
          <w:sz w:val="24"/>
          <w:szCs w:val="24"/>
          <w:highlight w:val="none"/>
        </w:rPr>
      </w:pPr>
      <w:r>
        <w:rPr>
          <w:rFonts w:hint="eastAsia" w:hAnsi="宋体" w:cs="宋体"/>
          <w:color w:val="auto"/>
          <w:sz w:val="24"/>
          <w:szCs w:val="24"/>
          <w:highlight w:val="none"/>
        </w:rPr>
        <w:t xml:space="preserve">   六、组成合同的文件</w:t>
      </w:r>
    </w:p>
    <w:p w14:paraId="07C5292B">
      <w:pPr>
        <w:spacing w:line="480" w:lineRule="exact"/>
        <w:rPr>
          <w:rFonts w:hint="eastAsia" w:hAnsi="宋体" w:cs="宋体"/>
          <w:color w:val="auto"/>
          <w:sz w:val="24"/>
          <w:szCs w:val="24"/>
          <w:highlight w:val="none"/>
        </w:rPr>
      </w:pPr>
      <w:r>
        <w:rPr>
          <w:rFonts w:hint="eastAsia" w:hAnsi="宋体" w:cs="宋体"/>
          <w:color w:val="auto"/>
          <w:sz w:val="24"/>
          <w:szCs w:val="24"/>
          <w:highlight w:val="none"/>
        </w:rPr>
        <w:t xml:space="preserve">    组成本合同的文件包括：</w:t>
      </w:r>
    </w:p>
    <w:p w14:paraId="70DAAFDB">
      <w:pPr>
        <w:spacing w:line="480" w:lineRule="exact"/>
        <w:rPr>
          <w:rFonts w:hint="eastAsia" w:hAnsi="宋体" w:cs="宋体"/>
          <w:color w:val="auto"/>
          <w:sz w:val="24"/>
          <w:szCs w:val="24"/>
          <w:highlight w:val="none"/>
        </w:rPr>
      </w:pPr>
      <w:r>
        <w:rPr>
          <w:rFonts w:hint="eastAsia" w:hAnsi="宋体" w:cs="宋体"/>
          <w:color w:val="auto"/>
          <w:sz w:val="24"/>
          <w:szCs w:val="24"/>
          <w:highlight w:val="none"/>
        </w:rPr>
        <w:t xml:space="preserve">   1、本合同协议书</w:t>
      </w:r>
    </w:p>
    <w:p w14:paraId="75CC819A">
      <w:pPr>
        <w:spacing w:line="480" w:lineRule="exact"/>
        <w:ind w:left="0" w:leftChars="0" w:firstLine="338" w:firstLineChars="141"/>
        <w:rPr>
          <w:rFonts w:hint="eastAsia" w:hAnsi="宋体" w:cs="宋体"/>
          <w:color w:val="auto"/>
          <w:sz w:val="24"/>
          <w:szCs w:val="24"/>
          <w:highlight w:val="none"/>
        </w:rPr>
      </w:pPr>
      <w:r>
        <w:rPr>
          <w:rFonts w:hint="eastAsia" w:hAnsi="宋体" w:cs="宋体"/>
          <w:color w:val="auto"/>
          <w:sz w:val="24"/>
          <w:szCs w:val="24"/>
          <w:highlight w:val="none"/>
        </w:rPr>
        <w:t>2、成交通知书</w:t>
      </w:r>
    </w:p>
    <w:p w14:paraId="6A5654F8">
      <w:pPr>
        <w:spacing w:line="480" w:lineRule="exact"/>
        <w:ind w:left="0" w:leftChars="0" w:firstLine="338" w:firstLineChars="141"/>
        <w:rPr>
          <w:rFonts w:hint="eastAsia" w:hAnsi="宋体" w:cs="宋体"/>
          <w:color w:val="auto"/>
          <w:sz w:val="24"/>
          <w:szCs w:val="24"/>
          <w:highlight w:val="none"/>
        </w:rPr>
      </w:pPr>
      <w:r>
        <w:rPr>
          <w:rFonts w:hint="eastAsia" w:hAnsi="宋体" w:cs="宋体"/>
          <w:color w:val="auto"/>
          <w:sz w:val="24"/>
          <w:szCs w:val="24"/>
          <w:highlight w:val="none"/>
        </w:rPr>
        <w:t>3、响应文件及其附件</w:t>
      </w:r>
    </w:p>
    <w:p w14:paraId="6064C079">
      <w:pPr>
        <w:spacing w:line="480" w:lineRule="exact"/>
        <w:ind w:left="0" w:leftChars="0" w:firstLine="338" w:firstLineChars="141"/>
        <w:rPr>
          <w:rFonts w:hint="eastAsia" w:hAnsi="宋体" w:cs="宋体"/>
          <w:color w:val="auto"/>
          <w:sz w:val="24"/>
          <w:szCs w:val="24"/>
          <w:highlight w:val="none"/>
        </w:rPr>
      </w:pPr>
      <w:r>
        <w:rPr>
          <w:rFonts w:hint="eastAsia" w:hAnsi="宋体" w:cs="宋体"/>
          <w:color w:val="auto"/>
          <w:sz w:val="24"/>
          <w:szCs w:val="24"/>
          <w:highlight w:val="none"/>
        </w:rPr>
        <w:t>4、本合同专用条款</w:t>
      </w:r>
    </w:p>
    <w:p w14:paraId="7DEAEF2D">
      <w:pPr>
        <w:spacing w:line="480" w:lineRule="exact"/>
        <w:ind w:left="0" w:leftChars="0" w:firstLine="338" w:firstLineChars="141"/>
        <w:rPr>
          <w:rFonts w:hint="eastAsia" w:hAnsi="宋体" w:cs="宋体"/>
          <w:color w:val="auto"/>
          <w:sz w:val="24"/>
          <w:szCs w:val="24"/>
          <w:highlight w:val="none"/>
        </w:rPr>
      </w:pPr>
      <w:r>
        <w:rPr>
          <w:rFonts w:hint="eastAsia" w:hAnsi="宋体" w:cs="宋体"/>
          <w:color w:val="auto"/>
          <w:sz w:val="24"/>
          <w:szCs w:val="24"/>
          <w:highlight w:val="none"/>
        </w:rPr>
        <w:t>5、本合同通用条款</w:t>
      </w:r>
    </w:p>
    <w:p w14:paraId="700EC1EF">
      <w:pPr>
        <w:spacing w:line="480" w:lineRule="exact"/>
        <w:ind w:left="0" w:leftChars="0" w:firstLine="338" w:firstLineChars="141"/>
        <w:rPr>
          <w:rFonts w:hint="eastAsia" w:hAnsi="宋体" w:cs="宋体"/>
          <w:color w:val="auto"/>
          <w:sz w:val="24"/>
          <w:szCs w:val="24"/>
          <w:highlight w:val="none"/>
        </w:rPr>
      </w:pPr>
      <w:r>
        <w:rPr>
          <w:rFonts w:hint="eastAsia" w:hAnsi="宋体" w:cs="宋体"/>
          <w:color w:val="auto"/>
          <w:sz w:val="24"/>
          <w:szCs w:val="24"/>
          <w:highlight w:val="none"/>
        </w:rPr>
        <w:t>6、标准、规范及有关技术文件</w:t>
      </w:r>
    </w:p>
    <w:p w14:paraId="37DDE7B8">
      <w:pPr>
        <w:spacing w:line="480" w:lineRule="exact"/>
        <w:ind w:left="0" w:leftChars="0" w:firstLine="338" w:firstLineChars="141"/>
        <w:rPr>
          <w:rFonts w:hint="eastAsia" w:hAnsi="宋体" w:cs="宋体"/>
          <w:color w:val="auto"/>
          <w:sz w:val="24"/>
          <w:szCs w:val="24"/>
          <w:highlight w:val="none"/>
        </w:rPr>
      </w:pPr>
      <w:r>
        <w:rPr>
          <w:rFonts w:hint="eastAsia" w:hAnsi="宋体" w:cs="宋体"/>
          <w:color w:val="auto"/>
          <w:sz w:val="24"/>
          <w:szCs w:val="24"/>
          <w:highlight w:val="none"/>
        </w:rPr>
        <w:t>7、工程量清单</w:t>
      </w:r>
    </w:p>
    <w:p w14:paraId="574E5ECA">
      <w:pPr>
        <w:spacing w:line="480" w:lineRule="exact"/>
        <w:ind w:left="0" w:leftChars="0" w:firstLine="338" w:firstLineChars="141"/>
        <w:rPr>
          <w:rFonts w:hint="eastAsia" w:hAnsi="宋体" w:cs="宋体"/>
          <w:color w:val="auto"/>
          <w:sz w:val="24"/>
          <w:szCs w:val="24"/>
          <w:highlight w:val="none"/>
        </w:rPr>
      </w:pPr>
      <w:r>
        <w:rPr>
          <w:rFonts w:hint="eastAsia" w:hAnsi="宋体" w:cs="宋体"/>
          <w:color w:val="auto"/>
          <w:sz w:val="24"/>
          <w:szCs w:val="24"/>
          <w:highlight w:val="none"/>
        </w:rPr>
        <w:t>8、其他合同文件：</w:t>
      </w:r>
    </w:p>
    <w:p w14:paraId="439F0208">
      <w:pPr>
        <w:spacing w:line="480" w:lineRule="exact"/>
        <w:ind w:left="0" w:leftChars="0" w:firstLine="338" w:firstLineChars="141"/>
        <w:rPr>
          <w:rFonts w:hint="eastAsia" w:hAnsi="宋体" w:cs="宋体"/>
          <w:color w:val="auto"/>
          <w:sz w:val="24"/>
          <w:szCs w:val="24"/>
          <w:highlight w:val="none"/>
        </w:rPr>
      </w:pPr>
      <w:r>
        <w:rPr>
          <w:rFonts w:hint="eastAsia" w:hAnsi="宋体" w:cs="宋体"/>
          <w:color w:val="auto"/>
          <w:sz w:val="24"/>
          <w:szCs w:val="24"/>
          <w:highlight w:val="none"/>
        </w:rPr>
        <w:t>双方有关工程听洽商、变更等书面协议或文件视为本合同的组成部分。</w:t>
      </w:r>
    </w:p>
    <w:p w14:paraId="54729AA8">
      <w:pPr>
        <w:spacing w:line="480" w:lineRule="exact"/>
        <w:ind w:left="0" w:leftChars="0" w:firstLine="338" w:firstLineChars="141"/>
        <w:rPr>
          <w:rFonts w:hint="eastAsia" w:hAnsi="宋体" w:cs="宋体"/>
          <w:color w:val="auto"/>
          <w:sz w:val="24"/>
          <w:szCs w:val="24"/>
          <w:highlight w:val="none"/>
        </w:rPr>
      </w:pPr>
      <w:r>
        <w:rPr>
          <w:rFonts w:hint="eastAsia" w:hAnsi="宋体" w:cs="宋体"/>
          <w:color w:val="auto"/>
          <w:sz w:val="24"/>
          <w:szCs w:val="24"/>
          <w:highlight w:val="none"/>
        </w:rPr>
        <w:t>七、本协议书中有关词语定义与本合同第二部分《通用条款》中分别赋予它们的定义相同。</w:t>
      </w:r>
    </w:p>
    <w:p w14:paraId="03FF95F3">
      <w:pPr>
        <w:spacing w:line="480" w:lineRule="exact"/>
        <w:ind w:left="0" w:leftChars="0" w:firstLine="338" w:firstLineChars="141"/>
        <w:rPr>
          <w:rFonts w:hint="eastAsia" w:hAnsi="宋体" w:cs="宋体"/>
          <w:color w:val="auto"/>
          <w:sz w:val="24"/>
          <w:szCs w:val="24"/>
          <w:highlight w:val="none"/>
        </w:rPr>
      </w:pPr>
      <w:r>
        <w:rPr>
          <w:rFonts w:hint="eastAsia" w:hAnsi="宋体" w:cs="宋体"/>
          <w:color w:val="auto"/>
          <w:sz w:val="24"/>
          <w:szCs w:val="24"/>
          <w:highlight w:val="none"/>
        </w:rPr>
        <w:t>八、承包人向发包人承诺按照合同约定进行施工、竣工并在质量保修期内承担工程质量保修责任。</w:t>
      </w:r>
    </w:p>
    <w:p w14:paraId="61C956C9">
      <w:pPr>
        <w:spacing w:line="480" w:lineRule="exact"/>
        <w:ind w:left="0" w:leftChars="0" w:firstLine="338" w:firstLineChars="141"/>
        <w:rPr>
          <w:rFonts w:hint="eastAsia" w:hAnsi="宋体" w:cs="宋体"/>
          <w:color w:val="auto"/>
          <w:sz w:val="24"/>
          <w:szCs w:val="24"/>
          <w:highlight w:val="none"/>
        </w:rPr>
      </w:pPr>
      <w:r>
        <w:rPr>
          <w:rFonts w:hint="eastAsia" w:hAnsi="宋体" w:cs="宋体"/>
          <w:color w:val="auto"/>
          <w:sz w:val="24"/>
          <w:szCs w:val="24"/>
          <w:highlight w:val="none"/>
        </w:rPr>
        <w:t>九、发包人向承包人承诺按照合同约定的期限和方式支付合同价款及其他应当支付的款项。</w:t>
      </w:r>
    </w:p>
    <w:p w14:paraId="74389F97">
      <w:pPr>
        <w:spacing w:line="480" w:lineRule="exact"/>
        <w:ind w:left="0" w:leftChars="0" w:firstLine="338" w:firstLineChars="141"/>
        <w:rPr>
          <w:rFonts w:hint="eastAsia" w:hAnsi="宋体" w:cs="宋体"/>
          <w:color w:val="auto"/>
          <w:sz w:val="24"/>
          <w:szCs w:val="24"/>
          <w:highlight w:val="none"/>
        </w:rPr>
      </w:pPr>
      <w:r>
        <w:rPr>
          <w:rFonts w:hint="eastAsia" w:hAnsi="宋体" w:cs="宋体"/>
          <w:color w:val="auto"/>
          <w:sz w:val="24"/>
          <w:szCs w:val="24"/>
          <w:highlight w:val="none"/>
        </w:rPr>
        <w:t>十、合同生效</w:t>
      </w:r>
    </w:p>
    <w:p w14:paraId="1867198F">
      <w:pPr>
        <w:spacing w:line="480" w:lineRule="exact"/>
        <w:rPr>
          <w:rFonts w:hint="eastAsia" w:hAnsi="宋体" w:cs="宋体"/>
          <w:color w:val="auto"/>
          <w:sz w:val="24"/>
          <w:szCs w:val="24"/>
          <w:highlight w:val="none"/>
        </w:rPr>
      </w:pPr>
      <w:r>
        <w:rPr>
          <w:rFonts w:hint="eastAsia" w:hAnsi="宋体" w:cs="宋体"/>
          <w:color w:val="auto"/>
          <w:sz w:val="24"/>
          <w:szCs w:val="24"/>
          <w:highlight w:val="none"/>
        </w:rPr>
        <w:t xml:space="preserve">    1、合同订立时间：      年      月      日。</w:t>
      </w:r>
    </w:p>
    <w:p w14:paraId="53A7505B">
      <w:pPr>
        <w:spacing w:line="480" w:lineRule="exact"/>
        <w:rPr>
          <w:rFonts w:hint="eastAsia" w:hAnsi="宋体" w:cs="宋体"/>
          <w:color w:val="auto"/>
          <w:sz w:val="24"/>
          <w:szCs w:val="24"/>
          <w:highlight w:val="none"/>
        </w:rPr>
      </w:pPr>
      <w:r>
        <w:rPr>
          <w:rFonts w:hint="eastAsia" w:hAnsi="宋体" w:cs="宋体"/>
          <w:color w:val="auto"/>
          <w:sz w:val="24"/>
          <w:szCs w:val="24"/>
          <w:highlight w:val="none"/>
        </w:rPr>
        <w:t xml:space="preserve">    2、合同订立地点：广西壮族自治区南宁市。</w:t>
      </w:r>
    </w:p>
    <w:p w14:paraId="102439D5">
      <w:pPr>
        <w:spacing w:line="480" w:lineRule="exact"/>
        <w:rPr>
          <w:rFonts w:hint="eastAsia" w:hAnsi="宋体" w:cs="宋体"/>
          <w:color w:val="auto"/>
          <w:sz w:val="24"/>
          <w:szCs w:val="24"/>
          <w:highlight w:val="none"/>
        </w:rPr>
      </w:pPr>
      <w:r>
        <w:rPr>
          <w:rFonts w:hint="eastAsia" w:hAnsi="宋体" w:cs="宋体"/>
          <w:color w:val="auto"/>
          <w:sz w:val="24"/>
          <w:szCs w:val="24"/>
          <w:highlight w:val="none"/>
        </w:rPr>
        <w:t xml:space="preserve">    3、本合同经双方法定代表人或其授权代理人签字或盖章，并加盖双方单位公章后生效。</w:t>
      </w:r>
    </w:p>
    <w:p w14:paraId="595D787E">
      <w:pPr>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4、本合同一式     份，正本两份、副本    份，具有同等法律效力。</w:t>
      </w:r>
    </w:p>
    <w:p w14:paraId="2B091388">
      <w:pPr>
        <w:spacing w:line="480" w:lineRule="exact"/>
        <w:rPr>
          <w:rFonts w:hint="eastAsia" w:hAnsi="宋体" w:cs="宋体"/>
          <w:color w:val="auto"/>
          <w:sz w:val="24"/>
          <w:szCs w:val="24"/>
          <w:highlight w:val="none"/>
        </w:rPr>
      </w:pPr>
    </w:p>
    <w:p w14:paraId="57DB32FA">
      <w:pPr>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发包人：(公章)                  承包人：(公章)</w:t>
      </w:r>
    </w:p>
    <w:p w14:paraId="208C033A">
      <w:pPr>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住  所：</w:t>
      </w:r>
      <w:r>
        <w:rPr>
          <w:rFonts w:hint="eastAsia" w:hAnsi="宋体" w:cs="宋体"/>
          <w:color w:val="auto"/>
          <w:sz w:val="24"/>
          <w:szCs w:val="24"/>
          <w:highlight w:val="none"/>
        </w:rPr>
        <w:tab/>
      </w:r>
      <w:r>
        <w:rPr>
          <w:rFonts w:hint="eastAsia" w:hAnsi="宋体" w:cs="宋体"/>
          <w:color w:val="auto"/>
          <w:sz w:val="24"/>
          <w:szCs w:val="24"/>
          <w:highlight w:val="none"/>
        </w:rPr>
        <w:t xml:space="preserve">                      住  所：</w:t>
      </w:r>
    </w:p>
    <w:p w14:paraId="4DC2FFE5">
      <w:pPr>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法定代表人： </w:t>
      </w:r>
      <w:r>
        <w:rPr>
          <w:rFonts w:hint="eastAsia" w:hAnsi="宋体" w:cs="宋体"/>
          <w:color w:val="auto"/>
          <w:sz w:val="24"/>
          <w:szCs w:val="24"/>
          <w:highlight w:val="none"/>
        </w:rPr>
        <w:tab/>
      </w:r>
      <w:r>
        <w:rPr>
          <w:rFonts w:hint="eastAsia" w:hAnsi="宋体" w:cs="宋体"/>
          <w:color w:val="auto"/>
          <w:sz w:val="24"/>
          <w:szCs w:val="24"/>
          <w:highlight w:val="none"/>
        </w:rPr>
        <w:t xml:space="preserve">                  法定代表人：</w:t>
      </w:r>
    </w:p>
    <w:p w14:paraId="5264297C">
      <w:pPr>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委托代理人： </w:t>
      </w:r>
      <w:r>
        <w:rPr>
          <w:rFonts w:hint="eastAsia" w:hAnsi="宋体" w:cs="宋体"/>
          <w:color w:val="auto"/>
          <w:sz w:val="24"/>
          <w:szCs w:val="24"/>
          <w:highlight w:val="none"/>
        </w:rPr>
        <w:tab/>
      </w:r>
      <w:r>
        <w:rPr>
          <w:rFonts w:hint="eastAsia" w:hAnsi="宋体" w:cs="宋体"/>
          <w:color w:val="auto"/>
          <w:sz w:val="24"/>
          <w:szCs w:val="24"/>
          <w:highlight w:val="none"/>
        </w:rPr>
        <w:t xml:space="preserve">                  委托代理人：</w:t>
      </w:r>
    </w:p>
    <w:p w14:paraId="6BD93F0B">
      <w:pPr>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电  话： </w:t>
      </w:r>
      <w:r>
        <w:rPr>
          <w:rFonts w:hint="eastAsia" w:hAnsi="宋体" w:cs="宋体"/>
          <w:color w:val="auto"/>
          <w:sz w:val="24"/>
          <w:szCs w:val="24"/>
          <w:highlight w:val="none"/>
        </w:rPr>
        <w:tab/>
      </w:r>
      <w:r>
        <w:rPr>
          <w:rFonts w:hint="eastAsia" w:hAnsi="宋体" w:cs="宋体"/>
          <w:color w:val="auto"/>
          <w:sz w:val="24"/>
          <w:szCs w:val="24"/>
          <w:highlight w:val="none"/>
        </w:rPr>
        <w:t xml:space="preserve">                      电  话：</w:t>
      </w:r>
    </w:p>
    <w:p w14:paraId="225E8041">
      <w:pPr>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传  真： </w:t>
      </w:r>
      <w:r>
        <w:rPr>
          <w:rFonts w:hint="eastAsia" w:hAnsi="宋体" w:cs="宋体"/>
          <w:color w:val="auto"/>
          <w:sz w:val="24"/>
          <w:szCs w:val="24"/>
          <w:highlight w:val="none"/>
        </w:rPr>
        <w:tab/>
      </w:r>
      <w:r>
        <w:rPr>
          <w:rFonts w:hint="eastAsia" w:hAnsi="宋体" w:cs="宋体"/>
          <w:color w:val="auto"/>
          <w:sz w:val="24"/>
          <w:szCs w:val="24"/>
          <w:highlight w:val="none"/>
        </w:rPr>
        <w:t xml:space="preserve">                      传  真：</w:t>
      </w:r>
    </w:p>
    <w:p w14:paraId="47F66729">
      <w:pPr>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开户银行： </w:t>
      </w:r>
      <w:r>
        <w:rPr>
          <w:rFonts w:hint="eastAsia" w:hAnsi="宋体" w:cs="宋体"/>
          <w:color w:val="auto"/>
          <w:sz w:val="24"/>
          <w:szCs w:val="24"/>
          <w:highlight w:val="none"/>
        </w:rPr>
        <w:tab/>
      </w:r>
      <w:r>
        <w:rPr>
          <w:rFonts w:hint="eastAsia" w:hAnsi="宋体" w:cs="宋体"/>
          <w:color w:val="auto"/>
          <w:sz w:val="24"/>
          <w:szCs w:val="24"/>
          <w:highlight w:val="none"/>
        </w:rPr>
        <w:t xml:space="preserve">                   开户银行：</w:t>
      </w:r>
    </w:p>
    <w:p w14:paraId="0DDBA4DD">
      <w:pPr>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帐  号： </w:t>
      </w:r>
      <w:r>
        <w:rPr>
          <w:rFonts w:hint="eastAsia" w:hAnsi="宋体" w:cs="宋体"/>
          <w:color w:val="auto"/>
          <w:sz w:val="24"/>
          <w:szCs w:val="24"/>
          <w:highlight w:val="none"/>
        </w:rPr>
        <w:tab/>
      </w:r>
      <w:r>
        <w:rPr>
          <w:rFonts w:hint="eastAsia" w:hAnsi="宋体" w:cs="宋体"/>
          <w:color w:val="auto"/>
          <w:sz w:val="24"/>
          <w:szCs w:val="24"/>
          <w:highlight w:val="none"/>
        </w:rPr>
        <w:t xml:space="preserve">                      帐  号：</w:t>
      </w:r>
    </w:p>
    <w:p w14:paraId="4DB14971">
      <w:pPr>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邮政编码： </w:t>
      </w:r>
      <w:r>
        <w:rPr>
          <w:rFonts w:hint="eastAsia" w:hAnsi="宋体" w:cs="宋体"/>
          <w:color w:val="auto"/>
          <w:sz w:val="24"/>
          <w:szCs w:val="24"/>
          <w:highlight w:val="none"/>
        </w:rPr>
        <w:tab/>
      </w:r>
      <w:r>
        <w:rPr>
          <w:rFonts w:hint="eastAsia" w:hAnsi="宋体" w:cs="宋体"/>
          <w:color w:val="auto"/>
          <w:sz w:val="24"/>
          <w:szCs w:val="24"/>
          <w:highlight w:val="none"/>
        </w:rPr>
        <w:t xml:space="preserve">                   邮政编码：</w:t>
      </w:r>
    </w:p>
    <w:p w14:paraId="2AD20011">
      <w:pPr>
        <w:spacing w:line="480" w:lineRule="exact"/>
        <w:ind w:firstLine="482" w:firstLineChars="200"/>
        <w:jc w:val="center"/>
        <w:rPr>
          <w:rFonts w:hint="eastAsia" w:hAnsi="宋体" w:cs="宋体"/>
          <w:b/>
          <w:bCs/>
          <w:color w:val="auto"/>
          <w:sz w:val="24"/>
          <w:szCs w:val="24"/>
          <w:highlight w:val="none"/>
        </w:rPr>
      </w:pPr>
    </w:p>
    <w:p w14:paraId="27844A1B">
      <w:pPr>
        <w:keepNext/>
        <w:keepLines/>
        <w:spacing w:beforeLines="0" w:afterLines="0" w:line="360" w:lineRule="auto"/>
        <w:jc w:val="center"/>
        <w:rPr>
          <w:rFonts w:hint="eastAsia" w:ascii="宋体" w:hAnsi="宋体" w:eastAsia="宋体" w:cs="宋体"/>
          <w:b/>
          <w:color w:val="auto"/>
          <w:sz w:val="24"/>
          <w:szCs w:val="24"/>
          <w:highlight w:val="none"/>
        </w:rPr>
      </w:pPr>
    </w:p>
    <w:p w14:paraId="7FF07197">
      <w:pPr>
        <w:keepNext/>
        <w:keepLines/>
        <w:spacing w:beforeLines="0" w:afterLines="0" w:line="360" w:lineRule="auto"/>
        <w:jc w:val="center"/>
        <w:rPr>
          <w:rFonts w:hint="eastAsia" w:ascii="宋体" w:hAnsi="宋体" w:eastAsia="宋体" w:cs="宋体"/>
          <w:b/>
          <w:color w:val="auto"/>
          <w:sz w:val="24"/>
          <w:szCs w:val="24"/>
          <w:highlight w:val="none"/>
        </w:rPr>
      </w:pPr>
    </w:p>
    <w:p w14:paraId="798F0117">
      <w:pPr>
        <w:keepNext/>
        <w:keepLines/>
        <w:spacing w:beforeLines="0" w:afterLines="0" w:line="360" w:lineRule="auto"/>
        <w:jc w:val="center"/>
        <w:rPr>
          <w:rFonts w:hint="eastAsia" w:ascii="宋体" w:hAnsi="宋体" w:eastAsia="宋体" w:cs="宋体"/>
          <w:b/>
          <w:color w:val="auto"/>
          <w:sz w:val="24"/>
          <w:szCs w:val="24"/>
          <w:highlight w:val="none"/>
        </w:rPr>
      </w:pPr>
    </w:p>
    <w:p w14:paraId="10B43A0B">
      <w:pPr>
        <w:keepNext/>
        <w:keepLines/>
        <w:spacing w:beforeLines="0" w:afterLines="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第二部分：合同通用条款</w:t>
      </w:r>
    </w:p>
    <w:p w14:paraId="56E77F0E">
      <w:pPr>
        <w:snapToGrid w:val="0"/>
        <w:spacing w:beforeLines="0" w:afterLines="0" w:line="360" w:lineRule="auto"/>
        <w:rPr>
          <w:rFonts w:hint="eastAsia" w:ascii="宋体" w:hAnsi="宋体" w:eastAsia="宋体" w:cs="宋体"/>
          <w:b/>
          <w:color w:val="auto"/>
          <w:sz w:val="36"/>
          <w:szCs w:val="24"/>
          <w:highlight w:val="none"/>
        </w:rPr>
      </w:pPr>
    </w:p>
    <w:p w14:paraId="39AA2BB5">
      <w:pPr>
        <w:snapToGrid w:val="0"/>
        <w:spacing w:beforeLines="0" w:afterLines="0" w:line="360" w:lineRule="auto"/>
        <w:rPr>
          <w:rFonts w:hint="eastAsia" w:ascii="宋体" w:hAnsi="宋体" w:eastAsia="宋体" w:cs="宋体"/>
          <w:color w:val="auto"/>
          <w:sz w:val="21"/>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1"/>
          <w:szCs w:val="24"/>
          <w:highlight w:val="none"/>
        </w:rPr>
        <w:t xml:space="preserve">  本项目《建设工程施工竞争性磋商文件》的“合同通用条款”，</w:t>
      </w:r>
      <w:r>
        <w:rPr>
          <w:rFonts w:hint="eastAsia" w:ascii="宋体" w:hAnsi="宋体" w:eastAsia="宋体" w:cs="宋体"/>
          <w:color w:val="auto"/>
          <w:sz w:val="21"/>
          <w:szCs w:val="21"/>
          <w:highlight w:val="none"/>
        </w:rPr>
        <w:t>采用国家工商行政管理局和建设部颁发的《建设工程施工合同（示范文本）》（GF-2017-0201）的“合同通用条款”</w:t>
      </w:r>
      <w:r>
        <w:rPr>
          <w:rFonts w:hint="eastAsia" w:ascii="宋体" w:hAnsi="宋体" w:eastAsia="宋体" w:cs="宋体"/>
          <w:color w:val="auto"/>
          <w:sz w:val="24"/>
          <w:szCs w:val="24"/>
          <w:highlight w:val="none"/>
        </w:rPr>
        <w:t>。</w:t>
      </w:r>
    </w:p>
    <w:p w14:paraId="3E1B7AED">
      <w:pPr>
        <w:spacing w:beforeLines="0" w:afterLines="0" w:line="360" w:lineRule="auto"/>
        <w:ind w:firstLine="198"/>
        <w:rPr>
          <w:rFonts w:hint="eastAsia" w:ascii="宋体" w:hAnsi="宋体" w:eastAsia="宋体" w:cs="宋体"/>
          <w:color w:val="auto"/>
          <w:sz w:val="21"/>
          <w:szCs w:val="24"/>
          <w:highlight w:val="none"/>
        </w:rPr>
      </w:pPr>
    </w:p>
    <w:p w14:paraId="49577CCD">
      <w:pPr>
        <w:spacing w:beforeLines="0" w:afterLines="0" w:line="360" w:lineRule="auto"/>
        <w:ind w:firstLine="198"/>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br w:type="page"/>
      </w:r>
    </w:p>
    <w:p w14:paraId="3BC8F6A9">
      <w:pPr>
        <w:keepNext/>
        <w:keepLines/>
        <w:spacing w:beforeLines="0" w:afterLines="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第三部分：合同专用条款</w:t>
      </w:r>
    </w:p>
    <w:p w14:paraId="2A25CAD2">
      <w:pPr>
        <w:spacing w:beforeLines="0" w:afterLines="0"/>
        <w:rPr>
          <w:rFonts w:hint="eastAsia" w:ascii="宋体" w:hAnsi="宋体" w:eastAsia="宋体" w:cs="宋体"/>
          <w:color w:val="auto"/>
          <w:sz w:val="21"/>
          <w:szCs w:val="24"/>
          <w:highlight w:val="none"/>
        </w:rPr>
      </w:pPr>
      <w:bookmarkStart w:id="130" w:name="_Toc351203633"/>
      <w:bookmarkStart w:id="131" w:name="_Toc15810"/>
      <w:bookmarkStart w:id="132" w:name="_Toc373478339"/>
      <w:bookmarkStart w:id="133" w:name="_Toc389065258"/>
      <w:bookmarkStart w:id="134" w:name="_Toc373227692"/>
      <w:r>
        <w:rPr>
          <w:rFonts w:hint="eastAsia" w:ascii="宋体" w:hAnsi="宋体" w:eastAsia="宋体" w:cs="宋体"/>
          <w:color w:val="auto"/>
          <w:sz w:val="21"/>
          <w:szCs w:val="24"/>
          <w:highlight w:val="none"/>
        </w:rPr>
        <w:t>1</w:t>
      </w:r>
      <w:bookmarkStart w:id="135" w:name="_Toc296503156"/>
      <w:bookmarkStart w:id="136" w:name="_Toc296347155"/>
      <w:bookmarkStart w:id="137" w:name="_Toc297048342"/>
      <w:bookmarkStart w:id="138" w:name="_Toc297120456"/>
      <w:bookmarkStart w:id="139" w:name="_Toc292559361"/>
      <w:bookmarkStart w:id="140" w:name="_Toc296890984"/>
      <w:bookmarkStart w:id="141" w:name="_Toc296944495"/>
      <w:bookmarkStart w:id="142" w:name="_Toc296891196"/>
      <w:bookmarkStart w:id="143" w:name="_Toc292559866"/>
      <w:bookmarkStart w:id="144" w:name="_Toc296346657"/>
      <w:r>
        <w:rPr>
          <w:rFonts w:hint="eastAsia" w:ascii="宋体" w:hAnsi="宋体" w:eastAsia="宋体" w:cs="宋体"/>
          <w:color w:val="auto"/>
          <w:sz w:val="21"/>
          <w:szCs w:val="24"/>
          <w:highlight w:val="none"/>
        </w:rPr>
        <w:t>. 一般约定</w:t>
      </w:r>
      <w:bookmarkEnd w:id="130"/>
      <w:bookmarkEnd w:id="131"/>
      <w:bookmarkEnd w:id="132"/>
      <w:bookmarkEnd w:id="133"/>
      <w:bookmarkEnd w:id="134"/>
    </w:p>
    <w:bookmarkEnd w:id="135"/>
    <w:bookmarkEnd w:id="136"/>
    <w:bookmarkEnd w:id="137"/>
    <w:bookmarkEnd w:id="138"/>
    <w:bookmarkEnd w:id="139"/>
    <w:bookmarkEnd w:id="140"/>
    <w:bookmarkEnd w:id="141"/>
    <w:bookmarkEnd w:id="142"/>
    <w:bookmarkEnd w:id="143"/>
    <w:bookmarkEnd w:id="144"/>
    <w:p w14:paraId="19C0D088">
      <w:pPr>
        <w:spacing w:beforeLines="0" w:afterLines="0"/>
        <w:rPr>
          <w:rFonts w:hint="eastAsia" w:ascii="宋体" w:hAnsi="宋体" w:eastAsia="宋体" w:cs="宋体"/>
          <w:color w:val="auto"/>
          <w:sz w:val="21"/>
          <w:szCs w:val="24"/>
          <w:highlight w:val="none"/>
        </w:rPr>
      </w:pPr>
      <w:bookmarkStart w:id="145" w:name="_Toc19922"/>
      <w:bookmarkStart w:id="146" w:name="_Toc373227693"/>
      <w:bookmarkStart w:id="147" w:name="_Toc389065259"/>
      <w:bookmarkStart w:id="148" w:name="_Toc373478340"/>
      <w:r>
        <w:rPr>
          <w:rFonts w:hint="eastAsia" w:ascii="宋体" w:hAnsi="宋体" w:eastAsia="宋体" w:cs="宋体"/>
          <w:color w:val="auto"/>
          <w:sz w:val="21"/>
          <w:szCs w:val="24"/>
          <w:highlight w:val="none"/>
        </w:rPr>
        <w:t>1.1 词语定义</w:t>
      </w:r>
      <w:bookmarkEnd w:id="145"/>
      <w:bookmarkEnd w:id="146"/>
      <w:bookmarkEnd w:id="147"/>
      <w:bookmarkEnd w:id="148"/>
    </w:p>
    <w:p w14:paraId="61CFFE21">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合同</w:t>
      </w:r>
    </w:p>
    <w:p w14:paraId="4797938E">
      <w:pPr>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1.1.1.10 其他合同文件包括：</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4"/>
          <w:highlight w:val="none"/>
          <w:u w:val="single"/>
        </w:rPr>
        <w:t>（1）本合同协议书；（2）中标通知书；（3）投标函及其附录；（4）专用合同条款及其附件；（5）本通用合同条款；（6）技术标准和要求；（7）图纸会审记录、施工组织设计及施工方案、设计变更、发包人和监理工程师通知及指令、现场签证、工程技术联系单、发承包人确认的相关文件资料等有关工程洽商、变更等书面协议；（8）工程报告单及预算书；（9）招标文件及其附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29A26D3">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合同当事人及其他相关方</w:t>
      </w:r>
    </w:p>
    <w:p w14:paraId="2FA971A6">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 监理人：</w:t>
      </w:r>
    </w:p>
    <w:p w14:paraId="62574962">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1982FF7B">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0E0E95C2">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16F430FA">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734836FD">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68E1D8B9">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 设计人：</w:t>
      </w:r>
    </w:p>
    <w:p w14:paraId="32B9BF09">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02EB5444">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1817E6C3">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0ACE66F1">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3CB7860B">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57FD5DBC">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14:paraId="4388446E">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1.1.3.7 作为施工现场组成部分的其他场所包括：</w:t>
      </w:r>
      <w:r>
        <w:rPr>
          <w:rFonts w:hint="eastAsia" w:ascii="宋体" w:hAnsi="宋体" w:eastAsia="宋体" w:cs="宋体"/>
          <w:color w:val="auto"/>
          <w:sz w:val="21"/>
          <w:szCs w:val="24"/>
          <w:highlight w:val="none"/>
          <w:u w:val="single"/>
        </w:rPr>
        <w:t xml:space="preserve">永久占地和临时占地      </w:t>
      </w:r>
      <w:r>
        <w:rPr>
          <w:rFonts w:hint="eastAsia" w:ascii="宋体" w:hAnsi="宋体" w:eastAsia="宋体" w:cs="宋体"/>
          <w:color w:val="auto"/>
          <w:sz w:val="21"/>
          <w:szCs w:val="21"/>
          <w:highlight w:val="none"/>
        </w:rPr>
        <w:t>。</w:t>
      </w:r>
    </w:p>
    <w:p w14:paraId="0265D0CA">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1.1.3.9 永久占地包括：</w:t>
      </w:r>
      <w:r>
        <w:rPr>
          <w:rFonts w:hint="eastAsia" w:ascii="宋体" w:hAnsi="宋体" w:eastAsia="宋体" w:cs="宋体"/>
          <w:color w:val="auto"/>
          <w:sz w:val="21"/>
          <w:szCs w:val="24"/>
          <w:highlight w:val="none"/>
          <w:u w:val="single"/>
        </w:rPr>
        <w:t xml:space="preserve">  通用条款1.1.3.9 执行    </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3D3B6AAC">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 临时占地包括：</w:t>
      </w:r>
      <w:r>
        <w:rPr>
          <w:rFonts w:hint="eastAsia" w:ascii="宋体" w:hAnsi="宋体" w:eastAsia="宋体" w:cs="宋体"/>
          <w:color w:val="auto"/>
          <w:sz w:val="21"/>
          <w:szCs w:val="24"/>
          <w:highlight w:val="none"/>
          <w:u w:val="single"/>
        </w:rPr>
        <w:t xml:space="preserve">    通用条款1.1.3.10 执行 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14:paraId="16237407">
      <w:pPr>
        <w:spacing w:beforeLines="0" w:afterLines="0" w:line="360" w:lineRule="auto"/>
        <w:rPr>
          <w:rFonts w:hint="eastAsia" w:ascii="宋体" w:hAnsi="宋体" w:eastAsia="宋体" w:cs="宋体"/>
          <w:color w:val="auto"/>
          <w:sz w:val="21"/>
          <w:szCs w:val="21"/>
          <w:highlight w:val="none"/>
        </w:rPr>
      </w:pPr>
      <w:bookmarkStart w:id="149" w:name="_Toc5337"/>
      <w:bookmarkStart w:id="150" w:name="_Toc389065260"/>
      <w:bookmarkStart w:id="151" w:name="_Toc373478341"/>
      <w:bookmarkStart w:id="152" w:name="_Toc373227694"/>
      <w:r>
        <w:rPr>
          <w:rFonts w:hint="eastAsia" w:ascii="宋体" w:hAnsi="宋体" w:eastAsia="宋体" w:cs="宋体"/>
          <w:color w:val="auto"/>
          <w:sz w:val="21"/>
          <w:szCs w:val="21"/>
          <w:highlight w:val="none"/>
        </w:rPr>
        <w:t>1.3 法律</w:t>
      </w:r>
      <w:bookmarkEnd w:id="149"/>
      <w:bookmarkEnd w:id="150"/>
      <w:bookmarkEnd w:id="151"/>
      <w:bookmarkEnd w:id="152"/>
    </w:p>
    <w:p w14:paraId="47B94275">
      <w:pPr>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适用于合同的其他规范性文件：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4"/>
          <w:highlight w:val="none"/>
          <w:u w:val="single"/>
        </w:rPr>
        <w:t>按通用条款1.3条执行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F309B9C">
      <w:pPr>
        <w:spacing w:beforeLines="0" w:afterLines="0" w:line="360" w:lineRule="auto"/>
        <w:rPr>
          <w:rFonts w:hint="eastAsia" w:ascii="宋体" w:hAnsi="宋体" w:eastAsia="宋体" w:cs="宋体"/>
          <w:color w:val="auto"/>
          <w:sz w:val="21"/>
          <w:szCs w:val="21"/>
          <w:highlight w:val="none"/>
        </w:rPr>
      </w:pPr>
      <w:bookmarkStart w:id="153" w:name="_Toc373478342"/>
      <w:bookmarkStart w:id="154" w:name="_Toc389065261"/>
      <w:bookmarkStart w:id="155" w:name="_Toc373227695"/>
      <w:bookmarkStart w:id="156" w:name="_Toc12820"/>
      <w:r>
        <w:rPr>
          <w:rFonts w:hint="eastAsia" w:ascii="宋体" w:hAnsi="宋体" w:eastAsia="宋体" w:cs="宋体"/>
          <w:color w:val="auto"/>
          <w:sz w:val="21"/>
          <w:szCs w:val="21"/>
          <w:highlight w:val="none"/>
        </w:rPr>
        <w:t>1.4 标准和规范</w:t>
      </w:r>
      <w:bookmarkEnd w:id="153"/>
      <w:bookmarkEnd w:id="154"/>
      <w:bookmarkEnd w:id="155"/>
      <w:bookmarkEnd w:id="156"/>
    </w:p>
    <w:p w14:paraId="634781C5">
      <w:pPr>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适用于工程的标准规范包括：</w:t>
      </w:r>
      <w:r>
        <w:rPr>
          <w:rFonts w:hint="eastAsia" w:ascii="宋体" w:hAnsi="宋体" w:eastAsia="宋体" w:cs="宋体"/>
          <w:color w:val="auto"/>
          <w:sz w:val="21"/>
          <w:szCs w:val="24"/>
          <w:highlight w:val="none"/>
          <w:u w:val="single"/>
        </w:rPr>
        <w:t xml:space="preserve">按通用条款1.4.1条执行____   </w:t>
      </w:r>
      <w:r>
        <w:rPr>
          <w:rFonts w:hint="eastAsia" w:ascii="宋体" w:hAnsi="宋体" w:eastAsia="宋体" w:cs="宋体"/>
          <w:color w:val="auto"/>
          <w:sz w:val="21"/>
          <w:szCs w:val="21"/>
          <w:highlight w:val="none"/>
        </w:rPr>
        <w:t>。</w:t>
      </w:r>
    </w:p>
    <w:p w14:paraId="77F0722A">
      <w:pPr>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发包人提供国外标准、规范的名称：</w:t>
      </w:r>
      <w:r>
        <w:rPr>
          <w:rFonts w:hint="eastAsia" w:ascii="宋体" w:hAnsi="宋体" w:eastAsia="宋体" w:cs="宋体"/>
          <w:color w:val="auto"/>
          <w:sz w:val="21"/>
          <w:szCs w:val="21"/>
          <w:highlight w:val="none"/>
          <w:u w:val="single"/>
        </w:rPr>
        <w:t xml:space="preserve">无  </w:t>
      </w:r>
      <w:r>
        <w:rPr>
          <w:rFonts w:hint="eastAsia" w:ascii="宋体" w:hAnsi="宋体" w:eastAsia="宋体" w:cs="宋体"/>
          <w:color w:val="auto"/>
          <w:sz w:val="21"/>
          <w:szCs w:val="21"/>
          <w:highlight w:val="none"/>
        </w:rPr>
        <w:t>；</w:t>
      </w:r>
    </w:p>
    <w:p w14:paraId="7B68BA57">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发包人提供国外标准、规范的份数：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64B49B6D">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发包人提供国外标准、规范的名称：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77972EAD">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发包人对工程的技术标准和功能要求的特殊要求：</w:t>
      </w:r>
      <w:r>
        <w:rPr>
          <w:rFonts w:hint="eastAsia" w:ascii="宋体" w:hAnsi="宋体" w:eastAsia="宋体" w:cs="宋体"/>
          <w:color w:val="auto"/>
          <w:sz w:val="21"/>
          <w:szCs w:val="21"/>
          <w:highlight w:val="none"/>
          <w:u w:val="single"/>
        </w:rPr>
        <w:t xml:space="preserve">无   </w:t>
      </w:r>
      <w:r>
        <w:rPr>
          <w:rFonts w:hint="eastAsia" w:ascii="宋体" w:hAnsi="宋体" w:eastAsia="宋体" w:cs="宋体"/>
          <w:color w:val="auto"/>
          <w:sz w:val="21"/>
          <w:szCs w:val="21"/>
          <w:highlight w:val="none"/>
        </w:rPr>
        <w:t>。</w:t>
      </w:r>
    </w:p>
    <w:p w14:paraId="0A6DC989">
      <w:pPr>
        <w:spacing w:beforeLines="0" w:afterLines="0"/>
        <w:rPr>
          <w:rFonts w:hint="eastAsia" w:ascii="宋体" w:hAnsi="宋体" w:eastAsia="宋体" w:cs="宋体"/>
          <w:color w:val="auto"/>
          <w:sz w:val="21"/>
          <w:szCs w:val="24"/>
          <w:highlight w:val="none"/>
        </w:rPr>
      </w:pPr>
      <w:bookmarkStart w:id="157" w:name="_Toc373478343"/>
      <w:bookmarkStart w:id="158" w:name="_Toc389065262"/>
      <w:bookmarkStart w:id="159" w:name="_Toc373227696"/>
      <w:bookmarkStart w:id="160" w:name="_Toc15264"/>
      <w:r>
        <w:rPr>
          <w:rFonts w:hint="eastAsia" w:ascii="宋体" w:hAnsi="宋体" w:eastAsia="宋体" w:cs="宋体"/>
          <w:color w:val="auto"/>
          <w:sz w:val="21"/>
          <w:szCs w:val="24"/>
          <w:highlight w:val="none"/>
        </w:rPr>
        <w:t>1.5 合同文件的优先顺序</w:t>
      </w:r>
      <w:bookmarkEnd w:id="157"/>
      <w:bookmarkEnd w:id="158"/>
      <w:bookmarkEnd w:id="159"/>
      <w:bookmarkEnd w:id="160"/>
    </w:p>
    <w:p w14:paraId="3BB5D58B">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合同文件组成及优先顺序为：</w:t>
      </w:r>
    </w:p>
    <w:p w14:paraId="77DC5E55">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（1）合同协议书；</w:t>
      </w:r>
    </w:p>
    <w:p w14:paraId="4738BA69">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（2）成交通知书（如有）；</w:t>
      </w:r>
    </w:p>
    <w:p w14:paraId="75809389">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（3）投标函及其附录（如有）；</w:t>
      </w:r>
    </w:p>
    <w:p w14:paraId="06E48AAB">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（4）专用合同条款及其附件；</w:t>
      </w:r>
    </w:p>
    <w:p w14:paraId="1E1F3283">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（5）通用合同条款；</w:t>
      </w:r>
    </w:p>
    <w:p w14:paraId="4BCAAC05">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技术标准和要求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3C09A9C">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 xml:space="preserve">图纸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9DEF6D0">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已标价工程量清单</w:t>
      </w:r>
      <w:r>
        <w:rPr>
          <w:rFonts w:hint="eastAsia" w:ascii="宋体" w:hAnsi="宋体" w:eastAsia="宋体" w:cs="宋体"/>
          <w:color w:val="auto"/>
          <w:sz w:val="21"/>
          <w:szCs w:val="21"/>
          <w:highlight w:val="none"/>
        </w:rPr>
        <w:t xml:space="preserve">  ；</w:t>
      </w:r>
    </w:p>
    <w:p w14:paraId="4E997277">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 (适用于实行工程量清单计价的项目) ；</w:t>
      </w:r>
    </w:p>
    <w:p w14:paraId="3917A53C">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(10)</w:t>
      </w:r>
      <w:r>
        <w:rPr>
          <w:rFonts w:hint="eastAsia" w:ascii="宋体" w:hAnsi="宋体" w:eastAsia="宋体" w:cs="宋体"/>
          <w:color w:val="auto"/>
          <w:sz w:val="21"/>
          <w:szCs w:val="24"/>
          <w:highlight w:val="none"/>
          <w:u w:val="single"/>
        </w:rPr>
        <w:t xml:space="preserve">其他合同文件：           </w:t>
      </w:r>
      <w:r>
        <w:rPr>
          <w:rFonts w:hint="eastAsia" w:ascii="宋体" w:hAnsi="宋体" w:eastAsia="宋体" w:cs="宋体"/>
          <w:color w:val="auto"/>
          <w:sz w:val="21"/>
          <w:szCs w:val="21"/>
          <w:highlight w:val="none"/>
        </w:rPr>
        <w:t>。</w:t>
      </w:r>
    </w:p>
    <w:p w14:paraId="2D63E7C8">
      <w:pPr>
        <w:spacing w:beforeLines="0" w:afterLines="0" w:line="360" w:lineRule="auto"/>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61888815">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说明：（6）、（7）、（8）、（10）填空内容分别限于技术标准和要求、图纸、已标价工程量清单或预算书、其他合同文件四者之一，其优先顺序可根据采取的不同合同方式由双方约定。</w:t>
      </w:r>
    </w:p>
    <w:p w14:paraId="7836C624">
      <w:pPr>
        <w:spacing w:beforeLines="0" w:afterLines="0"/>
        <w:rPr>
          <w:rFonts w:hint="eastAsia" w:ascii="宋体" w:hAnsi="宋体" w:eastAsia="宋体" w:cs="宋体"/>
          <w:color w:val="auto"/>
          <w:sz w:val="21"/>
          <w:szCs w:val="24"/>
          <w:highlight w:val="none"/>
        </w:rPr>
      </w:pPr>
      <w:bookmarkStart w:id="161" w:name="_Toc373227697"/>
      <w:bookmarkStart w:id="162" w:name="_Toc373478344"/>
      <w:bookmarkStart w:id="163" w:name="_Toc389065263"/>
      <w:bookmarkStart w:id="164" w:name="_Toc4783"/>
      <w:r>
        <w:rPr>
          <w:rFonts w:hint="eastAsia" w:ascii="宋体" w:hAnsi="宋体" w:eastAsia="宋体" w:cs="宋体"/>
          <w:color w:val="auto"/>
          <w:sz w:val="21"/>
          <w:szCs w:val="24"/>
          <w:highlight w:val="none"/>
        </w:rPr>
        <w:t>1.6 图纸和承包人文件</w:t>
      </w:r>
      <w:bookmarkEnd w:id="161"/>
      <w:bookmarkEnd w:id="162"/>
      <w:bookmarkEnd w:id="163"/>
      <w:bookmarkEnd w:id="164"/>
      <w:r>
        <w:rPr>
          <w:rFonts w:hint="eastAsia" w:ascii="宋体" w:hAnsi="宋体" w:eastAsia="宋体" w:cs="宋体"/>
          <w:color w:val="auto"/>
          <w:sz w:val="21"/>
          <w:szCs w:val="24"/>
          <w:highlight w:val="none"/>
        </w:rPr>
        <w:tab/>
      </w:r>
    </w:p>
    <w:p w14:paraId="713B05A7">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图纸的提供</w:t>
      </w:r>
    </w:p>
    <w:p w14:paraId="19A926F9">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发包人向承包人提供图纸的期限：</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4"/>
          <w:highlight w:val="none"/>
          <w:u w:val="single"/>
        </w:rPr>
        <w:t>开工前7个工作日内</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14:paraId="62AC9572">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发包人向承包人提供图纸的数量：</w:t>
      </w:r>
      <w:r>
        <w:rPr>
          <w:rFonts w:hint="eastAsia" w:ascii="宋体" w:hAnsi="宋体" w:eastAsia="宋体" w:cs="宋体"/>
          <w:color w:val="auto"/>
          <w:sz w:val="21"/>
          <w:szCs w:val="21"/>
          <w:highlight w:val="none"/>
          <w:u w:val="single"/>
        </w:rPr>
        <w:t>一式贰套，承包人需要增加图纸套数的，发包人应代为复制，复制费用由承包人承担</w:t>
      </w:r>
      <w:r>
        <w:rPr>
          <w:rFonts w:hint="eastAsia" w:ascii="宋体" w:hAnsi="宋体" w:eastAsia="宋体" w:cs="宋体"/>
          <w:color w:val="auto"/>
          <w:sz w:val="21"/>
          <w:szCs w:val="21"/>
          <w:highlight w:val="none"/>
        </w:rPr>
        <w:t>；</w:t>
      </w:r>
    </w:p>
    <w:p w14:paraId="1AB880FD">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发包人向承包人提供图纸的内容：</w:t>
      </w:r>
      <w:r>
        <w:rPr>
          <w:rFonts w:hint="eastAsia" w:ascii="宋体" w:hAnsi="宋体" w:eastAsia="宋体" w:cs="宋体"/>
          <w:color w:val="auto"/>
          <w:sz w:val="21"/>
          <w:szCs w:val="21"/>
          <w:highlight w:val="none"/>
          <w:u w:val="single"/>
        </w:rPr>
        <w:t>经施工图审查通过的施工图纸</w:t>
      </w:r>
      <w:r>
        <w:rPr>
          <w:rFonts w:hint="eastAsia" w:ascii="宋体" w:hAnsi="宋体" w:eastAsia="宋体" w:cs="宋体"/>
          <w:color w:val="auto"/>
          <w:sz w:val="21"/>
          <w:szCs w:val="21"/>
          <w:highlight w:val="none"/>
        </w:rPr>
        <w:t>。</w:t>
      </w:r>
    </w:p>
    <w:p w14:paraId="1668DABB">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承包人文件</w:t>
      </w:r>
    </w:p>
    <w:p w14:paraId="2771A1A5">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需要由承包人提供的文件，包括：</w:t>
      </w:r>
      <w:r>
        <w:rPr>
          <w:rFonts w:hint="eastAsia" w:ascii="宋体" w:hAnsi="宋体" w:eastAsia="宋体" w:cs="宋体"/>
          <w:color w:val="auto"/>
          <w:sz w:val="21"/>
          <w:szCs w:val="21"/>
          <w:highlight w:val="none"/>
          <w:u w:val="single"/>
        </w:rPr>
        <w:t>（1）提交施工组织设计（施工方案）；（2）提交符合规定的工程总进度计划；（3）提交分年、分季、分月的进度计划和相应的进度统计报表</w:t>
      </w:r>
      <w:r>
        <w:rPr>
          <w:rFonts w:hint="eastAsia" w:ascii="宋体" w:hAnsi="宋体" w:eastAsia="宋体" w:cs="宋体"/>
          <w:color w:val="auto"/>
          <w:sz w:val="21"/>
          <w:szCs w:val="21"/>
          <w:highlight w:val="none"/>
        </w:rPr>
        <w:t>；</w:t>
      </w:r>
    </w:p>
    <w:p w14:paraId="3413D385">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承包人提供的文件的期限为：</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4"/>
          <w:highlight w:val="none"/>
          <w:u w:val="single"/>
        </w:rPr>
        <w:t>（1）收到发包人全部设计图纸后3天内提供；（2）在开工前7天；月报表每月25日前提交，季报表每季度第一个月25日前提交，年报表每年最后月25日前提交</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14:paraId="1A89D9F2">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承包人提供的文件的数量为：</w:t>
      </w:r>
      <w:r>
        <w:rPr>
          <w:rFonts w:hint="eastAsia" w:ascii="宋体" w:hAnsi="宋体" w:eastAsia="宋体" w:cs="宋体"/>
          <w:color w:val="auto"/>
          <w:sz w:val="21"/>
          <w:szCs w:val="21"/>
          <w:highlight w:val="none"/>
          <w:u w:val="single"/>
        </w:rPr>
        <w:t>一式贰套</w:t>
      </w:r>
      <w:r>
        <w:rPr>
          <w:rFonts w:hint="eastAsia" w:ascii="宋体" w:hAnsi="宋体" w:eastAsia="宋体" w:cs="宋体"/>
          <w:color w:val="auto"/>
          <w:sz w:val="21"/>
          <w:szCs w:val="21"/>
          <w:highlight w:val="none"/>
        </w:rPr>
        <w:t>；</w:t>
      </w:r>
    </w:p>
    <w:p w14:paraId="354EF775">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color w:val="auto"/>
          <w:sz w:val="21"/>
          <w:szCs w:val="21"/>
          <w:highlight w:val="none"/>
          <w:u w:val="single"/>
        </w:rPr>
        <w:t>书面材料</w:t>
      </w:r>
      <w:r>
        <w:rPr>
          <w:rFonts w:hint="eastAsia" w:ascii="宋体" w:hAnsi="宋体" w:eastAsia="宋体" w:cs="宋体"/>
          <w:color w:val="auto"/>
          <w:sz w:val="21"/>
          <w:szCs w:val="21"/>
          <w:highlight w:val="none"/>
        </w:rPr>
        <w:t>；</w:t>
      </w:r>
    </w:p>
    <w:p w14:paraId="25EE1430">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发包人审批承包人文件的期限：</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4"/>
          <w:highlight w:val="none"/>
          <w:u w:val="single"/>
        </w:rPr>
        <w:t>收到后7个工作日内确认批复</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14:paraId="34FF1880">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现场图纸准备</w:t>
      </w:r>
    </w:p>
    <w:p w14:paraId="793F55E1">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关于现场图纸准备的约定：</w:t>
      </w:r>
      <w:r>
        <w:rPr>
          <w:rFonts w:hint="eastAsia" w:ascii="宋体" w:hAnsi="宋体" w:eastAsia="宋体" w:cs="宋体"/>
          <w:color w:val="auto"/>
          <w:sz w:val="21"/>
          <w:szCs w:val="21"/>
          <w:highlight w:val="none"/>
          <w:u w:val="single"/>
        </w:rPr>
        <w:t>按通用条款1.6.5条执行</w:t>
      </w:r>
      <w:r>
        <w:rPr>
          <w:rFonts w:hint="eastAsia" w:ascii="宋体" w:hAnsi="宋体" w:eastAsia="宋体" w:cs="宋体"/>
          <w:color w:val="auto"/>
          <w:sz w:val="21"/>
          <w:szCs w:val="21"/>
          <w:highlight w:val="none"/>
        </w:rPr>
        <w:t>。</w:t>
      </w:r>
    </w:p>
    <w:p w14:paraId="6921BD84">
      <w:pPr>
        <w:spacing w:beforeLines="0" w:afterLines="0"/>
        <w:rPr>
          <w:rFonts w:hint="eastAsia" w:ascii="宋体" w:hAnsi="宋体" w:eastAsia="宋体" w:cs="宋体"/>
          <w:color w:val="auto"/>
          <w:sz w:val="21"/>
          <w:szCs w:val="24"/>
          <w:highlight w:val="none"/>
        </w:rPr>
      </w:pPr>
      <w:bookmarkStart w:id="165" w:name="_Toc373478345"/>
      <w:bookmarkStart w:id="166" w:name="_Toc389065264"/>
      <w:bookmarkStart w:id="167" w:name="_Toc373227698"/>
      <w:bookmarkStart w:id="168" w:name="_Toc11291"/>
      <w:r>
        <w:rPr>
          <w:rFonts w:hint="eastAsia" w:ascii="宋体" w:hAnsi="宋体" w:eastAsia="宋体" w:cs="宋体"/>
          <w:color w:val="auto"/>
          <w:sz w:val="21"/>
          <w:szCs w:val="24"/>
          <w:highlight w:val="none"/>
        </w:rPr>
        <w:t>1.7 联络</w:t>
      </w:r>
      <w:bookmarkEnd w:id="165"/>
      <w:bookmarkEnd w:id="166"/>
      <w:bookmarkEnd w:id="167"/>
      <w:bookmarkEnd w:id="168"/>
    </w:p>
    <w:p w14:paraId="194AB43E">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1.7.1发包人和承包人应当在</w:t>
      </w:r>
      <w:r>
        <w:rPr>
          <w:rFonts w:hint="eastAsia" w:ascii="宋体" w:hAnsi="宋体" w:eastAsia="宋体" w:cs="宋体"/>
          <w:color w:val="auto"/>
          <w:sz w:val="21"/>
          <w:szCs w:val="21"/>
          <w:highlight w:val="none"/>
          <w:u w:val="single"/>
        </w:rPr>
        <w:t xml:space="preserve">3  </w:t>
      </w:r>
      <w:r>
        <w:rPr>
          <w:rFonts w:hint="eastAsia" w:ascii="宋体" w:hAnsi="宋体" w:eastAsia="宋体" w:cs="宋体"/>
          <w:color w:val="auto"/>
          <w:sz w:val="21"/>
          <w:szCs w:val="21"/>
          <w:highlight w:val="none"/>
        </w:rPr>
        <w:t>天内将与合同有关的通知、批准、证明、证书、指示、指令、要求、请求、同意、意见、确定和决定等书面函件送达对方当事人。</w:t>
      </w:r>
    </w:p>
    <w:p w14:paraId="7A72CFCE">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发包人接收文件的地点：</w:t>
      </w:r>
      <w:r>
        <w:rPr>
          <w:rFonts w:hint="eastAsia" w:ascii="宋体" w:hAnsi="宋体" w:eastAsia="宋体" w:cs="宋体"/>
          <w:color w:val="auto"/>
          <w:sz w:val="21"/>
          <w:szCs w:val="21"/>
          <w:highlight w:val="none"/>
          <w:u w:val="single"/>
        </w:rPr>
        <w:t>发包人指定地点</w:t>
      </w:r>
      <w:r>
        <w:rPr>
          <w:rFonts w:hint="eastAsia" w:ascii="宋体" w:hAnsi="宋体" w:eastAsia="宋体" w:cs="宋体"/>
          <w:color w:val="auto"/>
          <w:sz w:val="21"/>
          <w:szCs w:val="21"/>
          <w:highlight w:val="none"/>
        </w:rPr>
        <w:t>；</w:t>
      </w:r>
    </w:p>
    <w:p w14:paraId="6E634217">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发包人指定的接收人为：</w:t>
      </w:r>
      <w:r>
        <w:rPr>
          <w:rFonts w:hint="eastAsia" w:ascii="宋体" w:hAnsi="宋体" w:eastAsia="宋体" w:cs="宋体"/>
          <w:color w:val="auto"/>
          <w:sz w:val="21"/>
          <w:szCs w:val="21"/>
          <w:highlight w:val="none"/>
          <w:u w:val="single"/>
        </w:rPr>
        <w:t>业主代表（现场）    </w:t>
      </w:r>
      <w:r>
        <w:rPr>
          <w:rFonts w:hint="eastAsia" w:ascii="宋体" w:hAnsi="宋体" w:eastAsia="宋体" w:cs="宋体"/>
          <w:color w:val="auto"/>
          <w:sz w:val="21"/>
          <w:szCs w:val="21"/>
          <w:highlight w:val="none"/>
        </w:rPr>
        <w:t>。</w:t>
      </w:r>
    </w:p>
    <w:p w14:paraId="05F55AE1">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承包人接收文件的地点：</w:t>
      </w:r>
      <w:r>
        <w:rPr>
          <w:rFonts w:hint="eastAsia" w:ascii="宋体" w:hAnsi="宋体" w:eastAsia="宋体" w:cs="宋体"/>
          <w:color w:val="auto"/>
          <w:sz w:val="21"/>
          <w:szCs w:val="21"/>
          <w:highlight w:val="none"/>
          <w:u w:val="single"/>
        </w:rPr>
        <w:t>承包人施工场地管理机构的办公地点</w:t>
      </w:r>
      <w:r>
        <w:rPr>
          <w:rFonts w:hint="eastAsia" w:ascii="宋体" w:hAnsi="宋体" w:eastAsia="宋体" w:cs="宋体"/>
          <w:color w:val="auto"/>
          <w:sz w:val="21"/>
          <w:szCs w:val="21"/>
          <w:highlight w:val="none"/>
        </w:rPr>
        <w:t>；</w:t>
      </w:r>
    </w:p>
    <w:p w14:paraId="6BDE4572">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承包人指定的接收人为：</w:t>
      </w:r>
      <w:r>
        <w:rPr>
          <w:rFonts w:hint="eastAsia" w:ascii="宋体" w:hAnsi="宋体" w:eastAsia="宋体" w:cs="宋体"/>
          <w:color w:val="auto"/>
          <w:sz w:val="21"/>
          <w:szCs w:val="21"/>
          <w:highlight w:val="none"/>
          <w:u w:val="single"/>
        </w:rPr>
        <w:t>项目经理或资料员</w:t>
      </w:r>
      <w:r>
        <w:rPr>
          <w:rFonts w:hint="eastAsia" w:ascii="宋体" w:hAnsi="宋体" w:eastAsia="宋体" w:cs="宋体"/>
          <w:color w:val="auto"/>
          <w:sz w:val="21"/>
          <w:szCs w:val="21"/>
          <w:highlight w:val="none"/>
        </w:rPr>
        <w:t>。</w:t>
      </w:r>
    </w:p>
    <w:p w14:paraId="20A96436">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监理人接收文件的地点：</w:t>
      </w:r>
      <w:r>
        <w:rPr>
          <w:rFonts w:hint="eastAsia" w:ascii="宋体" w:hAnsi="宋体" w:eastAsia="宋体" w:cs="宋体"/>
          <w:color w:val="auto"/>
          <w:sz w:val="21"/>
          <w:szCs w:val="21"/>
          <w:highlight w:val="none"/>
          <w:u w:val="single"/>
        </w:rPr>
        <w:t>施工现场监理人办公地点 </w:t>
      </w:r>
      <w:r>
        <w:rPr>
          <w:rFonts w:hint="eastAsia" w:ascii="宋体" w:hAnsi="宋体" w:eastAsia="宋体" w:cs="宋体"/>
          <w:color w:val="auto"/>
          <w:sz w:val="21"/>
          <w:szCs w:val="21"/>
          <w:highlight w:val="none"/>
        </w:rPr>
        <w:t>；</w:t>
      </w:r>
    </w:p>
    <w:p w14:paraId="4E771BB5">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监理人指定的接收人为：</w:t>
      </w:r>
      <w:r>
        <w:rPr>
          <w:rFonts w:hint="eastAsia" w:ascii="宋体" w:hAnsi="宋体" w:eastAsia="宋体" w:cs="宋体"/>
          <w:color w:val="auto"/>
          <w:sz w:val="21"/>
          <w:szCs w:val="21"/>
          <w:highlight w:val="none"/>
          <w:u w:val="single"/>
        </w:rPr>
        <w:t>总监理工程师或总监代表  </w:t>
      </w:r>
      <w:r>
        <w:rPr>
          <w:rFonts w:hint="eastAsia" w:ascii="宋体" w:hAnsi="宋体" w:eastAsia="宋体" w:cs="宋体"/>
          <w:color w:val="auto"/>
          <w:sz w:val="21"/>
          <w:szCs w:val="21"/>
          <w:highlight w:val="none"/>
        </w:rPr>
        <w:t>。</w:t>
      </w:r>
    </w:p>
    <w:p w14:paraId="06F609BB">
      <w:pPr>
        <w:spacing w:beforeLines="0" w:afterLines="0"/>
        <w:rPr>
          <w:rFonts w:hint="eastAsia" w:ascii="宋体" w:hAnsi="宋体" w:eastAsia="宋体" w:cs="宋体"/>
          <w:color w:val="auto"/>
          <w:sz w:val="21"/>
          <w:szCs w:val="24"/>
          <w:highlight w:val="none"/>
        </w:rPr>
      </w:pPr>
      <w:bookmarkStart w:id="169" w:name="_Toc373227699"/>
      <w:bookmarkStart w:id="170" w:name="_Toc22269"/>
      <w:bookmarkStart w:id="171" w:name="_Toc373478346"/>
      <w:bookmarkStart w:id="172" w:name="_Toc389065265"/>
      <w:r>
        <w:rPr>
          <w:rFonts w:hint="eastAsia" w:ascii="宋体" w:hAnsi="宋体" w:eastAsia="宋体" w:cs="宋体"/>
          <w:color w:val="auto"/>
          <w:sz w:val="21"/>
          <w:szCs w:val="24"/>
          <w:highlight w:val="none"/>
        </w:rPr>
        <w:t>1.10 交通运输</w:t>
      </w:r>
      <w:bookmarkEnd w:id="169"/>
      <w:bookmarkEnd w:id="170"/>
      <w:bookmarkEnd w:id="171"/>
      <w:bookmarkEnd w:id="172"/>
    </w:p>
    <w:p w14:paraId="1883ECB7">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173" w:name="_Toc318581155"/>
      <w:bookmarkStart w:id="174" w:name="_Toc303539100"/>
      <w:bookmarkStart w:id="175" w:name="_Toc300934943"/>
      <w:bookmarkStart w:id="176" w:name="_Toc304295521"/>
      <w:bookmarkStart w:id="177" w:name="_Toc312677986"/>
      <w:r>
        <w:rPr>
          <w:rFonts w:hint="eastAsia" w:ascii="宋体" w:hAnsi="宋体" w:eastAsia="宋体" w:cs="宋体"/>
          <w:color w:val="auto"/>
          <w:sz w:val="21"/>
          <w:szCs w:val="21"/>
          <w:highlight w:val="none"/>
        </w:rPr>
        <w:t>.10.1 出入现场的权利</w:t>
      </w:r>
    </w:p>
    <w:p w14:paraId="6A0AF881">
      <w:pPr>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关于出入现场的权利的约定：</w:t>
      </w:r>
      <w:r>
        <w:rPr>
          <w:rFonts w:hint="eastAsia" w:ascii="宋体" w:hAnsi="宋体" w:eastAsia="宋体" w:cs="宋体"/>
          <w:color w:val="auto"/>
          <w:sz w:val="21"/>
          <w:szCs w:val="21"/>
          <w:highlight w:val="none"/>
          <w:u w:val="single"/>
        </w:rPr>
        <w:t>与施工无关的人员需出入现场须经承发包双方同意</w:t>
      </w:r>
      <w:r>
        <w:rPr>
          <w:rFonts w:hint="eastAsia" w:ascii="宋体" w:hAnsi="宋体" w:eastAsia="宋体" w:cs="宋体"/>
          <w:color w:val="auto"/>
          <w:sz w:val="21"/>
          <w:szCs w:val="21"/>
          <w:highlight w:val="none"/>
        </w:rPr>
        <w:t>。</w:t>
      </w:r>
    </w:p>
    <w:bookmarkEnd w:id="173"/>
    <w:bookmarkEnd w:id="174"/>
    <w:bookmarkEnd w:id="175"/>
    <w:bookmarkEnd w:id="176"/>
    <w:bookmarkEnd w:id="177"/>
    <w:p w14:paraId="35783954">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178" w:name="_Toc304295522"/>
      <w:bookmarkStart w:id="179" w:name="_Toc303539101"/>
      <w:bookmarkStart w:id="180" w:name="_Toc312677987"/>
      <w:bookmarkStart w:id="181" w:name="_Toc318581156"/>
      <w:bookmarkStart w:id="182" w:name="_Toc300934944"/>
      <w:r>
        <w:rPr>
          <w:rFonts w:hint="eastAsia" w:ascii="宋体" w:hAnsi="宋体" w:eastAsia="宋体" w:cs="宋体"/>
          <w:color w:val="auto"/>
          <w:sz w:val="21"/>
          <w:szCs w:val="21"/>
          <w:highlight w:val="none"/>
        </w:rPr>
        <w:t>.10.3 场内交通</w:t>
      </w:r>
    </w:p>
    <w:p w14:paraId="1B02464F">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关于场外交通和场内交通的边界的约定：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D11FBDC">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关于发包人向承包人免费提供满足工程施工需要的场内道路和交通设施的约定：</w:t>
      </w:r>
      <w:r>
        <w:rPr>
          <w:rFonts w:hint="eastAsia" w:ascii="宋体" w:hAnsi="宋体" w:eastAsia="宋体" w:cs="宋体"/>
          <w:color w:val="auto"/>
          <w:sz w:val="21"/>
          <w:szCs w:val="21"/>
          <w:highlight w:val="none"/>
          <w:u w:val="single"/>
        </w:rPr>
        <w:t xml:space="preserve">由承包人根据现场实际自行考虑，费用自理  </w:t>
      </w:r>
      <w:r>
        <w:rPr>
          <w:rFonts w:hint="eastAsia" w:ascii="宋体" w:hAnsi="宋体" w:eastAsia="宋体" w:cs="宋体"/>
          <w:color w:val="auto"/>
          <w:sz w:val="21"/>
          <w:szCs w:val="21"/>
          <w:highlight w:val="none"/>
        </w:rPr>
        <w:t>。</w:t>
      </w:r>
      <w:bookmarkEnd w:id="178"/>
      <w:bookmarkEnd w:id="179"/>
      <w:bookmarkEnd w:id="180"/>
      <w:bookmarkEnd w:id="181"/>
      <w:bookmarkEnd w:id="182"/>
      <w:bookmarkStart w:id="183" w:name="_Toc318581157"/>
    </w:p>
    <w:p w14:paraId="0DA87DE4">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1.10.4 超大件和超重件的运输</w:t>
      </w:r>
    </w:p>
    <w:p w14:paraId="4136DBB7">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运输超大件或超重件所需的道路和桥梁临时加固改造费用和其他有关费用由</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承担。</w:t>
      </w:r>
    </w:p>
    <w:bookmarkEnd w:id="183"/>
    <w:p w14:paraId="73E2EE65">
      <w:pPr>
        <w:spacing w:beforeLines="0" w:afterLines="0"/>
        <w:rPr>
          <w:rFonts w:hint="eastAsia" w:ascii="宋体" w:hAnsi="宋体" w:eastAsia="宋体" w:cs="宋体"/>
          <w:color w:val="auto"/>
          <w:sz w:val="21"/>
          <w:szCs w:val="24"/>
          <w:highlight w:val="none"/>
        </w:rPr>
      </w:pPr>
      <w:bookmarkStart w:id="184" w:name="_Toc389065266"/>
      <w:bookmarkStart w:id="185" w:name="_Toc373478347"/>
      <w:bookmarkStart w:id="186" w:name="_Toc14351"/>
      <w:bookmarkStart w:id="187" w:name="_Toc373227700"/>
      <w:r>
        <w:rPr>
          <w:rFonts w:hint="eastAsia" w:ascii="宋体" w:hAnsi="宋体" w:eastAsia="宋体" w:cs="宋体"/>
          <w:color w:val="auto"/>
          <w:sz w:val="21"/>
          <w:szCs w:val="24"/>
          <w:highlight w:val="none"/>
        </w:rPr>
        <w:t>1.11 知识产权</w:t>
      </w:r>
      <w:bookmarkEnd w:id="184"/>
      <w:bookmarkEnd w:id="185"/>
      <w:bookmarkEnd w:id="186"/>
      <w:bookmarkEnd w:id="187"/>
    </w:p>
    <w:p w14:paraId="75539E8A">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4"/>
          <w:highlight w:val="none"/>
          <w:u w:val="single"/>
        </w:rPr>
        <w:t>属于发包人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C7820A1">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关于发包人提供的上述文件的使用限制的要求：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承包人可以为实现本合同目的而复制、使用此类文件，但不能用于与合同无关的其他事项，未经发包人同意，承包人不得为了合同以外的目的而复制、使用上述文件或将之提供给任何第三方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2E1C64F">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 关于承包人为实施工程所编制文件的著作权的归属：</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属于承包人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4527D3F">
      <w:pPr>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关于承包人提供的上述文件的使用限制的要求：</w:t>
      </w:r>
      <w:r>
        <w:rPr>
          <w:rFonts w:hint="eastAsia" w:ascii="宋体" w:hAnsi="宋体" w:eastAsia="宋体" w:cs="宋体"/>
          <w:color w:val="auto"/>
          <w:sz w:val="21"/>
          <w:szCs w:val="24"/>
          <w:highlight w:val="none"/>
          <w:u w:val="single"/>
        </w:rPr>
        <w:t>承包人可因实施工程的运行、调试、维修、改造等目的而复制、使用此类文件，但不能用于与合同无关的其他事项。未经发包人书面同意，承包人不得为了合同以外的目的而复制、使用上述文件或将之提供给任何第三方</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14:paraId="0BE4F081">
      <w:pPr>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1.11.4 承包人在施工过程中所采用的专利、专有技术、技术秘密的使用费的承担方式：</w:t>
      </w:r>
      <w:r>
        <w:rPr>
          <w:rFonts w:hint="eastAsia" w:ascii="宋体" w:hAnsi="宋体" w:eastAsia="宋体" w:cs="宋体"/>
          <w:color w:val="auto"/>
          <w:sz w:val="21"/>
          <w:szCs w:val="24"/>
          <w:highlight w:val="none"/>
          <w:u w:val="single"/>
        </w:rPr>
        <w:t>承包人在合同签订前和签订时已确定采用的专利、专有技术、技术秘密的使用费已包含在签约合同价中。（由承包人承担）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7A6BAAB">
      <w:pPr>
        <w:spacing w:beforeLines="0" w:afterLines="0" w:line="360" w:lineRule="auto"/>
        <w:rPr>
          <w:rFonts w:hint="eastAsia" w:ascii="宋体" w:hAnsi="宋体" w:eastAsia="宋体" w:cs="宋体"/>
          <w:color w:val="auto"/>
          <w:sz w:val="21"/>
          <w:szCs w:val="21"/>
          <w:highlight w:val="none"/>
        </w:rPr>
      </w:pPr>
      <w:bookmarkStart w:id="188" w:name="_Toc389065267"/>
      <w:bookmarkStart w:id="189" w:name="_Toc23074"/>
      <w:bookmarkStart w:id="190" w:name="_Toc373227701"/>
      <w:bookmarkStart w:id="191" w:name="_Toc373478348"/>
      <w:r>
        <w:rPr>
          <w:rFonts w:hint="eastAsia" w:ascii="宋体" w:hAnsi="宋体" w:eastAsia="宋体" w:cs="宋体"/>
          <w:color w:val="auto"/>
          <w:sz w:val="21"/>
          <w:szCs w:val="21"/>
          <w:highlight w:val="none"/>
        </w:rPr>
        <w:t>1.13工程量清单错误的修正</w:t>
      </w:r>
      <w:bookmarkEnd w:id="188"/>
      <w:bookmarkEnd w:id="189"/>
      <w:bookmarkEnd w:id="190"/>
      <w:bookmarkEnd w:id="191"/>
    </w:p>
    <w:p w14:paraId="5EA000D7">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出现工程量清单工程量偏差时，是否调整合同价格：</w:t>
      </w:r>
      <w:r>
        <w:rPr>
          <w:rFonts w:hint="eastAsia" w:ascii="宋体" w:hAnsi="宋体" w:eastAsia="宋体" w:cs="宋体"/>
          <w:color w:val="auto"/>
          <w:sz w:val="21"/>
          <w:szCs w:val="24"/>
          <w:highlight w:val="none"/>
          <w:u w:val="single"/>
        </w:rPr>
        <w:t xml:space="preserve">□是     </w:t>
      </w:r>
      <w:r>
        <w:rPr>
          <w:rFonts w:hint="eastAsia" w:ascii="宋体" w:hAnsi="宋体" w:cs="宋体"/>
          <w:color w:val="auto"/>
          <w:sz w:val="21"/>
          <w:szCs w:val="24"/>
          <w:highlight w:val="none"/>
          <w:u w:val="single"/>
          <w:lang w:eastAsia="zh-CN"/>
        </w:rPr>
        <w:t>☑</w:t>
      </w:r>
      <w:r>
        <w:rPr>
          <w:rFonts w:hint="eastAsia" w:ascii="宋体" w:hAnsi="宋体" w:eastAsia="宋体" w:cs="宋体"/>
          <w:color w:val="auto"/>
          <w:sz w:val="21"/>
          <w:szCs w:val="24"/>
          <w:highlight w:val="none"/>
          <w:u w:val="single"/>
        </w:rPr>
        <w:t>否</w:t>
      </w:r>
      <w:r>
        <w:rPr>
          <w:rFonts w:hint="eastAsia" w:ascii="宋体" w:hAnsi="宋体" w:eastAsia="宋体" w:cs="宋体"/>
          <w:color w:val="auto"/>
          <w:sz w:val="21"/>
          <w:szCs w:val="21"/>
          <w:highlight w:val="none"/>
        </w:rPr>
        <w:t>。</w:t>
      </w:r>
    </w:p>
    <w:p w14:paraId="56725ABD">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允许调整合同价格的工程量偏差范围及其调整办法：</w:t>
      </w:r>
    </w:p>
    <w:p w14:paraId="56702A05">
      <w:pPr>
        <w:spacing w:beforeLines="0" w:afterLines="0" w:line="360" w:lineRule="auto"/>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w:t>
      </w:r>
      <w:r>
        <w:rPr>
          <w:rFonts w:hint="eastAsia" w:ascii="宋体" w:hAnsi="宋体" w:eastAsia="宋体" w:cs="宋体"/>
          <w:color w:val="auto"/>
          <w:sz w:val="21"/>
          <w:szCs w:val="24"/>
          <w:highlight w:val="none"/>
          <w:u w:val="single"/>
        </w:rPr>
        <w:t xml:space="preserve"> 除严重不平衡报价外，无论分部分项工程量清单项目中的工程量变化多少均不调整                 </w:t>
      </w:r>
      <w:r>
        <w:rPr>
          <w:rFonts w:hint="eastAsia" w:ascii="宋体" w:hAnsi="宋体" w:eastAsia="宋体" w:cs="宋体"/>
          <w:color w:val="auto"/>
          <w:sz w:val="21"/>
          <w:szCs w:val="24"/>
          <w:highlight w:val="none"/>
        </w:rPr>
        <w:t>。</w:t>
      </w:r>
    </w:p>
    <w:p w14:paraId="0F3A4E51">
      <w:pPr>
        <w:spacing w:beforeLines="0" w:afterLines="0" w:line="360" w:lineRule="auto"/>
        <w:ind w:firstLine="420" w:firstLineChars="200"/>
        <w:rPr>
          <w:rFonts w:hint="eastAsia" w:ascii="宋体" w:hAnsi="宋体" w:eastAsia="宋体" w:cs="宋体"/>
          <w:color w:val="auto"/>
          <w:sz w:val="21"/>
          <w:szCs w:val="24"/>
          <w:highlight w:val="none"/>
          <w:u w:val="single"/>
        </w:rPr>
      </w:pPr>
      <w:r>
        <w:rPr>
          <w:rFonts w:hint="eastAsia" w:ascii="宋体" w:hAnsi="宋体" w:eastAsia="宋体" w:cs="宋体"/>
          <w:color w:val="auto"/>
          <w:sz w:val="21"/>
          <w:szCs w:val="24"/>
          <w:highlight w:val="none"/>
        </w:rPr>
        <w:t>□</w:t>
      </w:r>
      <w:r>
        <w:rPr>
          <w:rFonts w:hint="eastAsia" w:ascii="宋体" w:hAnsi="宋体" w:eastAsia="宋体" w:cs="宋体"/>
          <w:color w:val="auto"/>
          <w:sz w:val="21"/>
          <w:szCs w:val="24"/>
          <w:highlight w:val="none"/>
          <w:u w:val="single"/>
        </w:rPr>
        <w:t xml:space="preserve">承包人实际完成的某单项清单项目工程量与招标工程量清单工程量偏差超过 </w:t>
      </w:r>
      <w:r>
        <w:rPr>
          <w:rFonts w:hint="eastAsia" w:ascii="宋体" w:hAnsi="宋体" w:cs="宋体"/>
          <w:color w:val="auto"/>
          <w:sz w:val="21"/>
          <w:szCs w:val="24"/>
          <w:highlight w:val="none"/>
          <w:u w:val="single"/>
          <w:lang w:val="en-US" w:eastAsia="zh-CN"/>
        </w:rPr>
        <w:t>5</w:t>
      </w:r>
      <w:r>
        <w:rPr>
          <w:rFonts w:hint="eastAsia" w:ascii="宋体" w:hAnsi="宋体" w:eastAsia="宋体" w:cs="宋体"/>
          <w:color w:val="auto"/>
          <w:sz w:val="21"/>
          <w:szCs w:val="24"/>
          <w:highlight w:val="none"/>
          <w:u w:val="single"/>
        </w:rPr>
        <w:t xml:space="preserve"> %且该单项清单造价超过合同总价</w:t>
      </w:r>
      <w:r>
        <w:rPr>
          <w:rFonts w:hint="eastAsia" w:ascii="宋体" w:hAnsi="宋体" w:cs="宋体"/>
          <w:color w:val="auto"/>
          <w:sz w:val="21"/>
          <w:szCs w:val="24"/>
          <w:highlight w:val="none"/>
          <w:u w:val="single"/>
          <w:lang w:val="en-US" w:eastAsia="zh-CN"/>
        </w:rPr>
        <w:t>5</w:t>
      </w:r>
      <w:r>
        <w:rPr>
          <w:rFonts w:hint="eastAsia" w:ascii="宋体" w:hAnsi="宋体" w:eastAsia="宋体" w:cs="宋体"/>
          <w:color w:val="auto"/>
          <w:sz w:val="21"/>
          <w:szCs w:val="24"/>
          <w:highlight w:val="none"/>
          <w:u w:val="single"/>
        </w:rPr>
        <w:t xml:space="preserve"> %以上的，超过后增加部分工程量或减少后剩余部分工程量的综合单价按以下方法调整：                                    。</w:t>
      </w:r>
    </w:p>
    <w:p w14:paraId="4C430A6F">
      <w:pPr>
        <w:spacing w:beforeLines="0" w:afterLines="0"/>
        <w:rPr>
          <w:rFonts w:hint="eastAsia" w:ascii="宋体" w:hAnsi="宋体" w:eastAsia="宋体" w:cs="宋体"/>
          <w:color w:val="auto"/>
          <w:sz w:val="21"/>
          <w:szCs w:val="24"/>
          <w:highlight w:val="none"/>
        </w:rPr>
      </w:pPr>
      <w:bookmarkStart w:id="192" w:name="_Toc389065268"/>
      <w:bookmarkStart w:id="193" w:name="_Toc9409"/>
      <w:bookmarkStart w:id="194" w:name="_Toc373227702"/>
      <w:bookmarkStart w:id="195" w:name="_Toc373478349"/>
      <w:bookmarkStart w:id="196" w:name="_Toc351203634"/>
      <w:r>
        <w:rPr>
          <w:rFonts w:hint="eastAsia" w:ascii="宋体" w:hAnsi="宋体" w:eastAsia="宋体" w:cs="宋体"/>
          <w:color w:val="auto"/>
          <w:sz w:val="21"/>
          <w:szCs w:val="24"/>
          <w:highlight w:val="none"/>
        </w:rPr>
        <w:t>2</w:t>
      </w:r>
      <w:bookmarkStart w:id="197" w:name="_Toc296891197"/>
      <w:bookmarkStart w:id="198" w:name="_Toc297120457"/>
      <w:bookmarkStart w:id="199" w:name="_Toc296347156"/>
      <w:bookmarkStart w:id="200" w:name="_Toc296503157"/>
      <w:bookmarkStart w:id="201" w:name="_Toc292559362"/>
      <w:bookmarkStart w:id="202" w:name="_Toc296944496"/>
      <w:bookmarkStart w:id="203" w:name="_Toc297048343"/>
      <w:bookmarkStart w:id="204" w:name="_Toc296346658"/>
      <w:bookmarkStart w:id="205" w:name="_Toc296890985"/>
      <w:bookmarkStart w:id="206" w:name="_Toc292559867"/>
      <w:r>
        <w:rPr>
          <w:rFonts w:hint="eastAsia" w:ascii="宋体" w:hAnsi="宋体" w:eastAsia="宋体" w:cs="宋体"/>
          <w:color w:val="auto"/>
          <w:sz w:val="21"/>
          <w:szCs w:val="24"/>
          <w:highlight w:val="none"/>
        </w:rPr>
        <w:t>. 发包人</w:t>
      </w:r>
      <w:bookmarkEnd w:id="192"/>
      <w:bookmarkEnd w:id="193"/>
      <w:bookmarkEnd w:id="194"/>
      <w:bookmarkEnd w:id="195"/>
      <w:bookmarkEnd w:id="196"/>
    </w:p>
    <w:bookmarkEnd w:id="197"/>
    <w:bookmarkEnd w:id="198"/>
    <w:bookmarkEnd w:id="199"/>
    <w:bookmarkEnd w:id="200"/>
    <w:bookmarkEnd w:id="201"/>
    <w:bookmarkEnd w:id="202"/>
    <w:bookmarkEnd w:id="203"/>
    <w:bookmarkEnd w:id="204"/>
    <w:bookmarkEnd w:id="205"/>
    <w:bookmarkEnd w:id="206"/>
    <w:p w14:paraId="3361CE4F">
      <w:pPr>
        <w:spacing w:beforeLines="0" w:afterLines="0"/>
        <w:rPr>
          <w:rFonts w:hint="eastAsia" w:ascii="宋体" w:hAnsi="宋体" w:eastAsia="宋体" w:cs="宋体"/>
          <w:color w:val="auto"/>
          <w:sz w:val="21"/>
          <w:szCs w:val="24"/>
          <w:highlight w:val="none"/>
        </w:rPr>
      </w:pPr>
      <w:bookmarkStart w:id="207" w:name="_Toc389065269"/>
      <w:bookmarkStart w:id="208" w:name="_Toc28751"/>
      <w:bookmarkStart w:id="209" w:name="_Toc373227703"/>
      <w:bookmarkStart w:id="210" w:name="_Toc373478350"/>
      <w:r>
        <w:rPr>
          <w:rFonts w:hint="eastAsia" w:ascii="宋体" w:hAnsi="宋体" w:eastAsia="宋体" w:cs="宋体"/>
          <w:color w:val="auto"/>
          <w:sz w:val="21"/>
          <w:szCs w:val="24"/>
          <w:highlight w:val="none"/>
        </w:rPr>
        <w:t>2.2 发包人代表</w:t>
      </w:r>
      <w:bookmarkEnd w:id="207"/>
      <w:bookmarkEnd w:id="208"/>
      <w:bookmarkEnd w:id="209"/>
      <w:bookmarkEnd w:id="210"/>
    </w:p>
    <w:p w14:paraId="0F83915C">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p>
    <w:p w14:paraId="4D0856A1">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7E67F313">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2DAB8EEC">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2959745B">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14:paraId="67D02BC1">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14:paraId="6A8ABA9A">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646CC57C">
      <w:pPr>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发包人对发包人代表的授权范围如下：</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4"/>
          <w:highlight w:val="none"/>
          <w:u w:val="single"/>
        </w:rPr>
        <w:t>负责处理合同履行过程中与发包人有关的事宜：对本工程质量、工期、进度、安全、文明施工及材料和设备进场进行监督检查；对涉及工期延长、设计变更、现场收方及签证、已完工程量报告、竣工结算报告等影响工程造价的相关事项作出处理；办理中间交工、工程验收手续；审核工程进度报表、督促监理工程师行使职权以及协调施工现场各方面的关系</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14:paraId="4778FB70">
      <w:pPr>
        <w:spacing w:beforeLines="0" w:afterLines="0"/>
        <w:rPr>
          <w:rFonts w:hint="eastAsia" w:ascii="宋体" w:hAnsi="宋体" w:eastAsia="宋体" w:cs="宋体"/>
          <w:color w:val="auto"/>
          <w:sz w:val="21"/>
          <w:szCs w:val="24"/>
          <w:highlight w:val="none"/>
        </w:rPr>
      </w:pPr>
      <w:bookmarkStart w:id="211" w:name="_Toc389065270"/>
      <w:bookmarkStart w:id="212" w:name="_Toc4499"/>
      <w:bookmarkStart w:id="213" w:name="_Toc373227704"/>
      <w:bookmarkStart w:id="214" w:name="_Toc373478351"/>
      <w:r>
        <w:rPr>
          <w:rFonts w:hint="eastAsia" w:ascii="宋体" w:hAnsi="宋体" w:eastAsia="宋体" w:cs="宋体"/>
          <w:color w:val="auto"/>
          <w:sz w:val="21"/>
          <w:szCs w:val="24"/>
          <w:highlight w:val="none"/>
        </w:rPr>
        <w:t>2.4 施工现场、施工条件和基础资料的提供</w:t>
      </w:r>
      <w:bookmarkEnd w:id="211"/>
      <w:bookmarkEnd w:id="212"/>
      <w:bookmarkEnd w:id="213"/>
      <w:bookmarkEnd w:id="214"/>
    </w:p>
    <w:p w14:paraId="42FEEA17">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提供施工现场</w:t>
      </w:r>
    </w:p>
    <w:p w14:paraId="3862FE35">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关于发包人移交施工现场的期限要求：</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4"/>
          <w:highlight w:val="none"/>
          <w:u w:val="single"/>
        </w:rPr>
        <w:t>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2809CE8">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提供施工条件</w:t>
      </w:r>
    </w:p>
    <w:p w14:paraId="7C51BEEE">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关于发包人应负责提供施工所需要的条件，包括：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37BDA37">
      <w:pPr>
        <w:spacing w:beforeLines="0" w:afterLines="0"/>
        <w:rPr>
          <w:rFonts w:hint="eastAsia" w:ascii="宋体" w:hAnsi="宋体" w:eastAsia="宋体" w:cs="宋体"/>
          <w:color w:val="auto"/>
          <w:sz w:val="21"/>
          <w:szCs w:val="24"/>
          <w:highlight w:val="none"/>
        </w:rPr>
      </w:pPr>
      <w:bookmarkStart w:id="215" w:name="_Toc389065271"/>
      <w:bookmarkStart w:id="216" w:name="_Toc373478352"/>
      <w:bookmarkStart w:id="217" w:name="_Toc20337"/>
      <w:bookmarkStart w:id="218" w:name="_Toc373227705"/>
      <w:r>
        <w:rPr>
          <w:rFonts w:hint="eastAsia" w:ascii="宋体" w:hAnsi="宋体" w:eastAsia="宋体" w:cs="宋体"/>
          <w:color w:val="auto"/>
          <w:sz w:val="21"/>
          <w:szCs w:val="24"/>
          <w:highlight w:val="none"/>
        </w:rPr>
        <w:t>2.5 资金来源证明及支付担保</w:t>
      </w:r>
      <w:bookmarkEnd w:id="215"/>
      <w:bookmarkEnd w:id="216"/>
      <w:bookmarkEnd w:id="217"/>
      <w:bookmarkEnd w:id="218"/>
    </w:p>
    <w:p w14:paraId="3A657188">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发包人提供资金来源证明的期限要求：</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4"/>
          <w:highlight w:val="none"/>
          <w:u w:val="single"/>
        </w:rPr>
        <w:t>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1858F10">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发包人是否提供支付担保：</w:t>
      </w:r>
      <w:r>
        <w:rPr>
          <w:rFonts w:hint="eastAsia" w:ascii="宋体" w:hAnsi="宋体" w:eastAsia="宋体" w:cs="宋体"/>
          <w:color w:val="auto"/>
          <w:sz w:val="21"/>
          <w:szCs w:val="21"/>
          <w:highlight w:val="none"/>
          <w:u w:val="single"/>
        </w:rPr>
        <w:t xml:space="preserve">否     </w:t>
      </w:r>
      <w:r>
        <w:rPr>
          <w:rFonts w:hint="eastAsia" w:ascii="宋体" w:hAnsi="宋体" w:eastAsia="宋体" w:cs="宋体"/>
          <w:color w:val="auto"/>
          <w:sz w:val="21"/>
          <w:szCs w:val="21"/>
          <w:highlight w:val="none"/>
        </w:rPr>
        <w:t>。</w:t>
      </w:r>
    </w:p>
    <w:p w14:paraId="2E98BB65">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发包人提供支付担保的形式：</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4"/>
          <w:highlight w:val="none"/>
          <w:u w:val="single"/>
        </w:rPr>
        <w:t>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1076590">
      <w:pPr>
        <w:spacing w:beforeLines="0" w:afterLines="0" w:line="360" w:lineRule="auto"/>
        <w:ind w:firstLine="420" w:firstLineChars="200"/>
        <w:rPr>
          <w:rFonts w:hint="eastAsia" w:ascii="宋体" w:hAnsi="宋体" w:eastAsia="宋体" w:cs="宋体"/>
          <w:color w:val="auto"/>
          <w:sz w:val="21"/>
          <w:szCs w:val="21"/>
          <w:highlight w:val="none"/>
          <w:u w:val="single"/>
        </w:rPr>
      </w:pPr>
    </w:p>
    <w:p w14:paraId="018CB056">
      <w:pPr>
        <w:spacing w:beforeLines="0" w:afterLines="0"/>
        <w:rPr>
          <w:rFonts w:hint="eastAsia" w:ascii="宋体" w:hAnsi="宋体" w:eastAsia="宋体" w:cs="宋体"/>
          <w:color w:val="auto"/>
          <w:sz w:val="21"/>
          <w:szCs w:val="24"/>
          <w:highlight w:val="none"/>
        </w:rPr>
      </w:pPr>
      <w:bookmarkStart w:id="219" w:name="_Toc373478353"/>
      <w:bookmarkStart w:id="220" w:name="_Toc26761"/>
      <w:bookmarkStart w:id="221" w:name="_Toc373227706"/>
      <w:bookmarkStart w:id="222" w:name="_Toc351203635"/>
      <w:bookmarkStart w:id="223" w:name="_Toc389065272"/>
      <w:r>
        <w:rPr>
          <w:rFonts w:hint="eastAsia" w:ascii="宋体" w:hAnsi="宋体" w:eastAsia="宋体" w:cs="宋体"/>
          <w:color w:val="auto"/>
          <w:sz w:val="21"/>
          <w:szCs w:val="24"/>
          <w:highlight w:val="none"/>
        </w:rPr>
        <w:t>3</w:t>
      </w:r>
      <w:bookmarkStart w:id="224" w:name="_Toc296346659"/>
      <w:bookmarkStart w:id="225" w:name="_Toc296347157"/>
      <w:bookmarkStart w:id="226" w:name="_Toc296944497"/>
      <w:bookmarkStart w:id="227" w:name="_Toc296503158"/>
      <w:bookmarkStart w:id="228" w:name="_Toc296891198"/>
      <w:bookmarkStart w:id="229" w:name="_Toc297120458"/>
      <w:bookmarkStart w:id="230" w:name="_Toc292559868"/>
      <w:bookmarkStart w:id="231" w:name="_Toc296890986"/>
      <w:bookmarkStart w:id="232" w:name="_Toc297048344"/>
      <w:bookmarkStart w:id="233" w:name="_Toc292559363"/>
      <w:r>
        <w:rPr>
          <w:rFonts w:hint="eastAsia" w:ascii="宋体" w:hAnsi="宋体" w:eastAsia="宋体" w:cs="宋体"/>
          <w:color w:val="auto"/>
          <w:sz w:val="21"/>
          <w:szCs w:val="24"/>
          <w:highlight w:val="none"/>
        </w:rPr>
        <w:t>. 承包人</w:t>
      </w:r>
      <w:bookmarkEnd w:id="219"/>
      <w:bookmarkEnd w:id="220"/>
      <w:bookmarkEnd w:id="221"/>
      <w:bookmarkEnd w:id="222"/>
      <w:bookmarkEnd w:id="223"/>
    </w:p>
    <w:bookmarkEnd w:id="224"/>
    <w:bookmarkEnd w:id="225"/>
    <w:bookmarkEnd w:id="226"/>
    <w:bookmarkEnd w:id="227"/>
    <w:bookmarkEnd w:id="228"/>
    <w:bookmarkEnd w:id="229"/>
    <w:bookmarkEnd w:id="230"/>
    <w:bookmarkEnd w:id="231"/>
    <w:bookmarkEnd w:id="232"/>
    <w:bookmarkEnd w:id="233"/>
    <w:p w14:paraId="6B7EAFB6">
      <w:pPr>
        <w:spacing w:beforeLines="0" w:afterLines="0"/>
        <w:rPr>
          <w:rFonts w:hint="eastAsia" w:ascii="宋体" w:hAnsi="宋体" w:eastAsia="宋体" w:cs="宋体"/>
          <w:color w:val="auto"/>
          <w:sz w:val="21"/>
          <w:szCs w:val="24"/>
          <w:highlight w:val="none"/>
        </w:rPr>
      </w:pPr>
      <w:bookmarkStart w:id="234" w:name="_Toc373478354"/>
      <w:bookmarkStart w:id="235" w:name="_Toc373227707"/>
      <w:bookmarkStart w:id="236" w:name="_Toc389065273"/>
      <w:bookmarkStart w:id="237" w:name="_Toc15899"/>
      <w:r>
        <w:rPr>
          <w:rFonts w:hint="eastAsia" w:ascii="宋体" w:hAnsi="宋体" w:eastAsia="宋体" w:cs="宋体"/>
          <w:color w:val="auto"/>
          <w:sz w:val="21"/>
          <w:szCs w:val="24"/>
          <w:highlight w:val="none"/>
        </w:rPr>
        <w:t>3.1 承包人的一般义务</w:t>
      </w:r>
      <w:bookmarkEnd w:id="234"/>
      <w:bookmarkEnd w:id="235"/>
      <w:bookmarkEnd w:id="236"/>
      <w:bookmarkEnd w:id="237"/>
    </w:p>
    <w:p w14:paraId="387978C3">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（9）承包人提交的竣工资料的内容：</w:t>
      </w:r>
    </w:p>
    <w:p w14:paraId="5193246E">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按照法律规定和合同约定编制的竣工资料，符合工程所在地建设行政主管部门和（或）城市建设档案管理机构有关施工资料的要求，并立卷及归档   </w:t>
      </w:r>
      <w:r>
        <w:rPr>
          <w:rFonts w:hint="eastAsia" w:ascii="宋体" w:hAnsi="宋体" w:eastAsia="宋体" w:cs="宋体"/>
          <w:color w:val="auto"/>
          <w:sz w:val="21"/>
          <w:szCs w:val="21"/>
          <w:highlight w:val="none"/>
        </w:rPr>
        <w:t>。</w:t>
      </w:r>
    </w:p>
    <w:p w14:paraId="0E0B49F7">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承包人需要提交的竣工资料套数：</w:t>
      </w:r>
      <w:r>
        <w:rPr>
          <w:rFonts w:hint="eastAsia" w:ascii="宋体" w:hAnsi="宋体" w:eastAsia="宋体" w:cs="宋体"/>
          <w:color w:val="auto"/>
          <w:sz w:val="21"/>
          <w:szCs w:val="21"/>
          <w:highlight w:val="none"/>
          <w:u w:val="single"/>
        </w:rPr>
        <w:t xml:space="preserve">  壹式</w:t>
      </w:r>
      <w:r>
        <w:rPr>
          <w:rFonts w:hint="eastAsia" w:ascii="宋体" w:hAnsi="宋体" w:eastAsia="宋体" w:cs="宋体"/>
          <w:color w:val="auto"/>
          <w:sz w:val="21"/>
          <w:szCs w:val="24"/>
          <w:highlight w:val="none"/>
          <w:u w:val="single"/>
        </w:rPr>
        <w:t>肆套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74FDE3E">
      <w:pPr>
        <w:spacing w:beforeLines="0" w:afterLines="0" w:line="360" w:lineRule="auto"/>
        <w:ind w:left="424" w:left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承包人提交的竣工资料的费用承担：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由承包人承担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6E65B00">
      <w:pPr>
        <w:spacing w:beforeLines="0" w:afterLines="0" w:line="360" w:lineRule="auto"/>
        <w:ind w:left="424" w:left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承包人提交的竣工资料移交时间：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经过验收合格后30日历天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54C0489">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承包人提交的竣工资料形式要求：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书面及电子文档</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4DCB508">
      <w:pPr>
        <w:spacing w:beforeLines="0" w:afterLines="0" w:line="360" w:lineRule="auto"/>
        <w:ind w:left="424" w:left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（10）承包人应履行的其他义务：</w:t>
      </w:r>
    </w:p>
    <w:p w14:paraId="74C97B4B">
      <w:pPr>
        <w:spacing w:beforeLines="0" w:afterLines="0" w:line="360" w:lineRule="auto"/>
        <w:ind w:left="424" w:leftChars="202"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中华人民共和国工会法》、《国务院关于进一步做好为农民工服务工作的意见》（国发〔2014〕40号）、《中华全国总工会关于深入贯彻落实&lt;国务院关于进一步做好为农民工服务工作的意见&gt;的实施意见》（总工发〔2015〕14号）有关要求，深入开展“农民工入会集中行动”。</w:t>
      </w:r>
    </w:p>
    <w:p w14:paraId="7B546E84">
      <w:pPr>
        <w:spacing w:beforeLines="0" w:afterLines="0"/>
        <w:rPr>
          <w:rFonts w:hint="eastAsia" w:ascii="宋体" w:hAnsi="宋体" w:eastAsia="宋体" w:cs="宋体"/>
          <w:color w:val="auto"/>
          <w:sz w:val="21"/>
          <w:szCs w:val="24"/>
          <w:highlight w:val="none"/>
        </w:rPr>
      </w:pPr>
      <w:bookmarkStart w:id="238" w:name="_Toc389065274"/>
      <w:bookmarkStart w:id="239" w:name="_Toc20483"/>
      <w:bookmarkStart w:id="240" w:name="_Toc373478355"/>
      <w:bookmarkStart w:id="241" w:name="_Toc373227708"/>
      <w:r>
        <w:rPr>
          <w:rFonts w:hint="eastAsia" w:ascii="宋体" w:hAnsi="宋体" w:eastAsia="宋体" w:cs="宋体"/>
          <w:color w:val="auto"/>
          <w:sz w:val="21"/>
          <w:szCs w:val="24"/>
          <w:highlight w:val="none"/>
        </w:rPr>
        <w:t>3.2 项目经理</w:t>
      </w:r>
      <w:bookmarkEnd w:id="238"/>
      <w:bookmarkEnd w:id="239"/>
      <w:bookmarkEnd w:id="240"/>
      <w:bookmarkEnd w:id="241"/>
    </w:p>
    <w:p w14:paraId="1CEE453D">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项目经理：</w:t>
      </w:r>
    </w:p>
    <w:p w14:paraId="5C0665A0">
      <w:pPr>
        <w:spacing w:beforeLines="0" w:afterLines="0" w:line="360" w:lineRule="auto"/>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姓    名：</w:t>
      </w:r>
      <w:r>
        <w:rPr>
          <w:rFonts w:hint="eastAsia" w:ascii="宋体" w:hAnsi="宋体" w:eastAsia="宋体" w:cs="宋体"/>
          <w:color w:val="auto"/>
          <w:sz w:val="21"/>
          <w:szCs w:val="24"/>
          <w:highlight w:val="none"/>
          <w:u w:val="single"/>
        </w:rPr>
        <w:t>         </w:t>
      </w:r>
      <w:r>
        <w:rPr>
          <w:rFonts w:hint="eastAsia" w:ascii="宋体" w:hAnsi="宋体" w:eastAsia="宋体" w:cs="宋体"/>
          <w:color w:val="auto"/>
          <w:sz w:val="21"/>
          <w:szCs w:val="24"/>
          <w:highlight w:val="none"/>
        </w:rPr>
        <w:t>；</w:t>
      </w:r>
    </w:p>
    <w:p w14:paraId="13F6EB44">
      <w:pPr>
        <w:spacing w:beforeLines="0" w:afterLines="0" w:line="360" w:lineRule="auto"/>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身份证号：</w:t>
      </w:r>
      <w:r>
        <w:rPr>
          <w:rFonts w:hint="eastAsia" w:ascii="宋体" w:hAnsi="宋体" w:eastAsia="宋体" w:cs="宋体"/>
          <w:color w:val="auto"/>
          <w:sz w:val="21"/>
          <w:szCs w:val="24"/>
          <w:highlight w:val="none"/>
          <w:u w:val="single"/>
        </w:rPr>
        <w:t>         </w:t>
      </w:r>
      <w:r>
        <w:rPr>
          <w:rFonts w:hint="eastAsia" w:ascii="宋体" w:hAnsi="宋体" w:eastAsia="宋体" w:cs="宋体"/>
          <w:color w:val="auto"/>
          <w:sz w:val="21"/>
          <w:szCs w:val="24"/>
          <w:highlight w:val="none"/>
        </w:rPr>
        <w:t>；</w:t>
      </w:r>
    </w:p>
    <w:p w14:paraId="127FD873">
      <w:pPr>
        <w:spacing w:beforeLines="0" w:afterLines="0" w:line="360" w:lineRule="auto"/>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建造师执业资格等级：</w:t>
      </w:r>
      <w:r>
        <w:rPr>
          <w:rFonts w:hint="eastAsia" w:ascii="宋体" w:hAnsi="宋体" w:eastAsia="宋体" w:cs="宋体"/>
          <w:color w:val="auto"/>
          <w:sz w:val="21"/>
          <w:szCs w:val="24"/>
          <w:highlight w:val="none"/>
          <w:u w:val="single"/>
        </w:rPr>
        <w:t>   </w:t>
      </w:r>
      <w:r>
        <w:rPr>
          <w:rFonts w:hint="eastAsia" w:ascii="宋体" w:hAnsi="宋体" w:eastAsia="宋体" w:cs="宋体"/>
          <w:color w:val="auto"/>
          <w:sz w:val="21"/>
          <w:szCs w:val="24"/>
          <w:highlight w:val="none"/>
        </w:rPr>
        <w:t>；</w:t>
      </w:r>
    </w:p>
    <w:p w14:paraId="117128A2">
      <w:pPr>
        <w:spacing w:beforeLines="0" w:afterLines="0" w:line="360" w:lineRule="auto"/>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建造师注册证书号：</w:t>
      </w:r>
      <w:r>
        <w:rPr>
          <w:rFonts w:hint="eastAsia" w:ascii="宋体" w:hAnsi="宋体" w:eastAsia="宋体" w:cs="宋体"/>
          <w:color w:val="auto"/>
          <w:sz w:val="21"/>
          <w:szCs w:val="24"/>
          <w:highlight w:val="none"/>
          <w:u w:val="single"/>
        </w:rPr>
        <w:t> </w:t>
      </w:r>
      <w:r>
        <w:rPr>
          <w:rFonts w:hint="eastAsia" w:ascii="宋体" w:hAnsi="宋体" w:eastAsia="宋体" w:cs="宋体"/>
          <w:color w:val="auto"/>
          <w:sz w:val="21"/>
          <w:szCs w:val="24"/>
          <w:highlight w:val="none"/>
        </w:rPr>
        <w:t>；</w:t>
      </w:r>
    </w:p>
    <w:p w14:paraId="20F8B88E">
      <w:pPr>
        <w:spacing w:beforeLines="0" w:afterLines="0" w:line="360" w:lineRule="auto"/>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建造师执业印章号：</w:t>
      </w:r>
      <w:r>
        <w:rPr>
          <w:rFonts w:hint="eastAsia" w:ascii="宋体" w:hAnsi="宋体" w:eastAsia="宋体" w:cs="宋体"/>
          <w:color w:val="auto"/>
          <w:sz w:val="21"/>
          <w:szCs w:val="24"/>
          <w:highlight w:val="none"/>
          <w:u w:val="single"/>
        </w:rPr>
        <w:t> </w:t>
      </w:r>
      <w:r>
        <w:rPr>
          <w:rFonts w:hint="eastAsia" w:ascii="宋体" w:hAnsi="宋体" w:eastAsia="宋体" w:cs="宋体"/>
          <w:color w:val="auto"/>
          <w:sz w:val="21"/>
          <w:szCs w:val="24"/>
          <w:highlight w:val="none"/>
        </w:rPr>
        <w:t>；</w:t>
      </w:r>
    </w:p>
    <w:p w14:paraId="33A59B05">
      <w:pPr>
        <w:spacing w:beforeLines="0" w:afterLines="0" w:line="360" w:lineRule="auto"/>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安全生产考核合格证书号：</w:t>
      </w:r>
      <w:r>
        <w:rPr>
          <w:rFonts w:hint="eastAsia" w:ascii="宋体" w:hAnsi="宋体" w:eastAsia="宋体" w:cs="宋体"/>
          <w:color w:val="auto"/>
          <w:sz w:val="21"/>
          <w:szCs w:val="24"/>
          <w:highlight w:val="none"/>
          <w:u w:val="single"/>
        </w:rPr>
        <w:t> </w:t>
      </w:r>
      <w:r>
        <w:rPr>
          <w:rFonts w:hint="eastAsia" w:ascii="宋体" w:hAnsi="宋体" w:eastAsia="宋体" w:cs="宋体"/>
          <w:color w:val="auto"/>
          <w:sz w:val="21"/>
          <w:szCs w:val="24"/>
          <w:highlight w:val="none"/>
        </w:rPr>
        <w:t>；</w:t>
      </w:r>
    </w:p>
    <w:p w14:paraId="374A8E93">
      <w:pPr>
        <w:spacing w:beforeLines="0" w:afterLines="0" w:line="360" w:lineRule="auto"/>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联系电话：</w:t>
      </w:r>
      <w:r>
        <w:rPr>
          <w:rFonts w:hint="eastAsia" w:ascii="宋体" w:hAnsi="宋体" w:eastAsia="宋体" w:cs="宋体"/>
          <w:color w:val="auto"/>
          <w:sz w:val="21"/>
          <w:szCs w:val="24"/>
          <w:highlight w:val="none"/>
          <w:u w:val="single"/>
        </w:rPr>
        <w:t>         </w:t>
      </w:r>
      <w:r>
        <w:rPr>
          <w:rFonts w:hint="eastAsia" w:ascii="宋体" w:hAnsi="宋体" w:eastAsia="宋体" w:cs="宋体"/>
          <w:color w:val="auto"/>
          <w:sz w:val="21"/>
          <w:szCs w:val="24"/>
          <w:highlight w:val="none"/>
        </w:rPr>
        <w:t>；</w:t>
      </w:r>
    </w:p>
    <w:p w14:paraId="27529C50">
      <w:pPr>
        <w:spacing w:beforeLines="0" w:afterLines="0" w:line="360" w:lineRule="auto"/>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电子信箱：</w:t>
      </w:r>
      <w:r>
        <w:rPr>
          <w:rFonts w:hint="eastAsia" w:ascii="宋体" w:hAnsi="宋体" w:eastAsia="宋体" w:cs="宋体"/>
          <w:color w:val="auto"/>
          <w:sz w:val="21"/>
          <w:szCs w:val="24"/>
          <w:highlight w:val="none"/>
          <w:u w:val="single"/>
        </w:rPr>
        <w:t>         </w:t>
      </w:r>
      <w:r>
        <w:rPr>
          <w:rFonts w:hint="eastAsia" w:ascii="宋体" w:hAnsi="宋体" w:eastAsia="宋体" w:cs="宋体"/>
          <w:color w:val="auto"/>
          <w:sz w:val="21"/>
          <w:szCs w:val="24"/>
          <w:highlight w:val="none"/>
        </w:rPr>
        <w:t>；</w:t>
      </w:r>
    </w:p>
    <w:p w14:paraId="09C93768">
      <w:pPr>
        <w:spacing w:beforeLines="0" w:afterLines="0" w:line="360" w:lineRule="auto"/>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通信地址：</w:t>
      </w:r>
      <w:r>
        <w:rPr>
          <w:rFonts w:hint="eastAsia" w:ascii="宋体" w:hAnsi="宋体" w:eastAsia="宋体" w:cs="宋体"/>
          <w:color w:val="auto"/>
          <w:sz w:val="21"/>
          <w:szCs w:val="24"/>
          <w:highlight w:val="none"/>
          <w:u w:val="single"/>
        </w:rPr>
        <w:t>         </w:t>
      </w:r>
      <w:r>
        <w:rPr>
          <w:rFonts w:hint="eastAsia" w:ascii="宋体" w:hAnsi="宋体" w:eastAsia="宋体" w:cs="宋体"/>
          <w:color w:val="auto"/>
          <w:sz w:val="21"/>
          <w:szCs w:val="24"/>
          <w:highlight w:val="none"/>
        </w:rPr>
        <w:t>；</w:t>
      </w:r>
    </w:p>
    <w:p w14:paraId="10B370D9">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承包人对项目经理的授权范围如下：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 xml:space="preserve">全面负责施工前期准备和施工过程中的安全、质量、进度管理及相关技术文件的确认。项目经理和项目部管理人员未经承包人书面授权及委托的不得以承包人名义向外赊购材料、借款、租用建筑周转材料、雇佣劳动力、签订分包合同等一切为承包人创设债权或债务的行为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7F60890">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关于项目经理每月在施工现场的时间要求：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不得少于施工时间的80%</w:t>
      </w:r>
      <w:r>
        <w:rPr>
          <w:rFonts w:hint="eastAsia" w:ascii="宋体" w:hAnsi="宋体" w:eastAsia="宋体" w:cs="宋体"/>
          <w:color w:val="auto"/>
          <w:sz w:val="21"/>
          <w:szCs w:val="21"/>
          <w:highlight w:val="none"/>
        </w:rPr>
        <w:t>。</w:t>
      </w:r>
    </w:p>
    <w:p w14:paraId="19FE8DDA">
      <w:pPr>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承包人未提交劳动合同，以及没有为项目经理缴纳社会保险证明的违约责任：</w:t>
      </w:r>
    </w:p>
    <w:p w14:paraId="7D423535">
      <w:pPr>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承包人应向发包人支付 5 万元的违约金，发包人有权责令承包人限期提交劳动合同并补缴社会保险，如逾期不提交劳动合同或不补缴社会保险的，视为承包人违约，承包人应从发包人责令其提交合同或补缴社会保险（以先出现的时间为准）之日起，按 10000 元/天的标准向发包人支付违约金   </w:t>
      </w:r>
      <w:r>
        <w:rPr>
          <w:rFonts w:hint="eastAsia" w:ascii="宋体" w:hAnsi="宋体" w:eastAsia="宋体" w:cs="宋体"/>
          <w:color w:val="auto"/>
          <w:sz w:val="21"/>
          <w:szCs w:val="21"/>
          <w:highlight w:val="none"/>
        </w:rPr>
        <w:t>。</w:t>
      </w:r>
    </w:p>
    <w:p w14:paraId="343AE58C">
      <w:pPr>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项目经理未经批准，擅自离开施工现场的违约责任：</w:t>
      </w:r>
      <w:r>
        <w:rPr>
          <w:rFonts w:hint="eastAsia" w:ascii="宋体" w:hAnsi="宋体" w:eastAsia="宋体" w:cs="宋体"/>
          <w:color w:val="auto"/>
          <w:sz w:val="21"/>
          <w:szCs w:val="21"/>
          <w:highlight w:val="none"/>
          <w:u w:val="single"/>
        </w:rPr>
        <w:t xml:space="preserve">项目经理每月在岗带班时间不得少于当月施工时间的80%。未经发包人同意或正当理由，项目经理每月在岗带班时间少于当月施工时间80%的，少在岗带班一天，发包人有权处违约金 500.00 元/日（人民币）  </w:t>
      </w:r>
      <w:r>
        <w:rPr>
          <w:rFonts w:hint="eastAsia" w:ascii="宋体" w:hAnsi="宋体" w:eastAsia="宋体" w:cs="宋体"/>
          <w:color w:val="auto"/>
          <w:sz w:val="21"/>
          <w:szCs w:val="21"/>
          <w:highlight w:val="none"/>
        </w:rPr>
        <w:t>。</w:t>
      </w:r>
    </w:p>
    <w:p w14:paraId="485D4F3E">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 承包人擅自更换项目经理的违约责任：</w:t>
      </w:r>
      <w:r>
        <w:rPr>
          <w:rFonts w:hint="eastAsia" w:ascii="宋体" w:hAnsi="宋体" w:eastAsia="宋体" w:cs="宋体"/>
          <w:color w:val="auto"/>
          <w:sz w:val="21"/>
          <w:szCs w:val="24"/>
          <w:highlight w:val="none"/>
          <w:u w:val="single"/>
        </w:rPr>
        <w:t>承包人项目经理必须与承包人投标时所承诺的人员一致，并在（开工日期）  前到任。在监理人向承包人颁发竣工验收合格证书（竣工证明材料名称）前，项目经理不得同时兼任其他任何项目的项目经理（符合桂建管﹝2013﹞17号和桂建管﹝2014﹞25号文除外）。未经发包人书面同意，承包人擅自更换项目经理的视为违约，发包人有权上报建设行政主管部门并报有关规规定处罚</w:t>
      </w:r>
      <w:r>
        <w:rPr>
          <w:rFonts w:hint="eastAsia" w:ascii="宋体" w:hAnsi="宋体" w:eastAsia="宋体" w:cs="宋体"/>
          <w:color w:val="auto"/>
          <w:sz w:val="21"/>
          <w:szCs w:val="21"/>
          <w:highlight w:val="none"/>
        </w:rPr>
        <w:t>。</w:t>
      </w:r>
    </w:p>
    <w:p w14:paraId="6213D79E">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 承包人无正当理由拒绝更换项目经理的违约责任：</w:t>
      </w:r>
      <w:r>
        <w:rPr>
          <w:rFonts w:hint="eastAsia" w:ascii="宋体" w:hAnsi="宋体" w:eastAsia="宋体" w:cs="宋体"/>
          <w:color w:val="auto"/>
          <w:sz w:val="21"/>
          <w:szCs w:val="24"/>
          <w:highlight w:val="none"/>
          <w:u w:val="single"/>
        </w:rPr>
        <w:t>因承包人项目经理不称职，发包人要求调换而未及时调换的，视为承包人违约，发包人有权上报建设行政主管部门并报有关规规定处罚</w:t>
      </w:r>
      <w:r>
        <w:rPr>
          <w:rFonts w:hint="eastAsia" w:ascii="宋体" w:hAnsi="宋体" w:eastAsia="宋体" w:cs="宋体"/>
          <w:color w:val="auto"/>
          <w:sz w:val="21"/>
          <w:szCs w:val="21"/>
          <w:highlight w:val="none"/>
        </w:rPr>
        <w:t>。</w:t>
      </w:r>
    </w:p>
    <w:p w14:paraId="6945AA52">
      <w:pPr>
        <w:spacing w:beforeLines="0" w:afterLines="0"/>
        <w:rPr>
          <w:rFonts w:hint="eastAsia" w:ascii="宋体" w:hAnsi="宋体" w:eastAsia="宋体" w:cs="宋体"/>
          <w:color w:val="auto"/>
          <w:sz w:val="21"/>
          <w:szCs w:val="24"/>
          <w:highlight w:val="none"/>
        </w:rPr>
      </w:pPr>
      <w:bookmarkStart w:id="242" w:name="_Toc17124"/>
      <w:bookmarkStart w:id="243" w:name="_Toc389065275"/>
      <w:bookmarkStart w:id="244" w:name="_Toc373227709"/>
      <w:bookmarkStart w:id="245" w:name="_Toc373478356"/>
      <w:r>
        <w:rPr>
          <w:rFonts w:hint="eastAsia" w:ascii="宋体" w:hAnsi="宋体" w:eastAsia="宋体" w:cs="宋体"/>
          <w:color w:val="auto"/>
          <w:sz w:val="21"/>
          <w:szCs w:val="24"/>
          <w:highlight w:val="none"/>
        </w:rPr>
        <w:t>3.3 承包人人员</w:t>
      </w:r>
      <w:bookmarkEnd w:id="242"/>
      <w:bookmarkEnd w:id="243"/>
      <w:bookmarkEnd w:id="244"/>
      <w:bookmarkEnd w:id="245"/>
    </w:p>
    <w:p w14:paraId="32D441EE">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承包人提交项目管理机构及施工现场管理人员安排报告的期限：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拟投入本项目管理机构及施工现场管理人员必须与承包人投标时所承诺的人员一致，开工前7个工作日提交</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8C8C7CE">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承包人无正当理由拒绝撤换主要施工管理人员的违约责任：</w:t>
      </w:r>
      <w:r>
        <w:rPr>
          <w:rFonts w:hint="eastAsia" w:ascii="宋体" w:hAnsi="宋体" w:eastAsia="宋体" w:cs="宋体"/>
          <w:color w:val="auto"/>
          <w:sz w:val="21"/>
          <w:szCs w:val="21"/>
          <w:highlight w:val="none"/>
          <w:u w:val="single"/>
        </w:rPr>
        <w:t>因承包人主要施工管理人员不称职，发包人要求调换而无正当理由拒绝撤换或未及时调换的，视为承包人违约，必须向发包人交纳处罚金，处罚标准：技术负责人1000.00元/人•次（人民币）；专业工程师800.00元/人•次（人民币）</w:t>
      </w:r>
      <w:r>
        <w:rPr>
          <w:rFonts w:hint="eastAsia" w:ascii="宋体" w:hAnsi="宋体" w:eastAsia="宋体" w:cs="宋体"/>
          <w:color w:val="auto"/>
          <w:sz w:val="21"/>
          <w:szCs w:val="21"/>
          <w:highlight w:val="none"/>
        </w:rPr>
        <w:t>。</w:t>
      </w:r>
    </w:p>
    <w:p w14:paraId="00EB2966">
      <w:pPr>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3.3.4 承包人主要施工管理人员离开施工现场的批准要求：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经项目业主批准同意方能离开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CB8705E">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 承包人擅自更换主要施工管理人员的违约责任：</w:t>
      </w:r>
      <w:r>
        <w:rPr>
          <w:rFonts w:hint="eastAsia" w:ascii="宋体" w:hAnsi="宋体" w:eastAsia="宋体" w:cs="宋体"/>
          <w:color w:val="auto"/>
          <w:sz w:val="21"/>
          <w:szCs w:val="24"/>
          <w:highlight w:val="none"/>
          <w:u w:val="single"/>
        </w:rPr>
        <w:t>项目技术负责人、专职安全员及其承诺的其它在场管理人员未经发包人书面同意不准擅自更换，擅自更换项目技术负责人处10000元/人•次（人民币）违约金；擅自更换专职安全员处1000元/人•次（人民币）违约金；擅自更换其它在场管理人员处500元/人•次（人民币）违约金</w:t>
      </w:r>
      <w:r>
        <w:rPr>
          <w:rFonts w:hint="eastAsia" w:ascii="宋体" w:hAnsi="宋体" w:eastAsia="宋体" w:cs="宋体"/>
          <w:color w:val="auto"/>
          <w:sz w:val="21"/>
          <w:szCs w:val="21"/>
          <w:highlight w:val="none"/>
        </w:rPr>
        <w:t>。</w:t>
      </w:r>
    </w:p>
    <w:p w14:paraId="4F2E1182">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承包人主要施工管理人员擅自离开施工现场的违约责任：</w:t>
      </w:r>
      <w:r>
        <w:rPr>
          <w:rFonts w:hint="eastAsia" w:ascii="宋体" w:hAnsi="宋体" w:eastAsia="宋体" w:cs="宋体"/>
          <w:color w:val="auto"/>
          <w:sz w:val="21"/>
          <w:szCs w:val="24"/>
          <w:highlight w:val="none"/>
          <w:u w:val="single"/>
        </w:rPr>
        <w:t>未经发包人同意，项目技术负责人擅自离岗的，视为承包人违约，发包人有权上报建设行政主管部门并报有关规规定处罚；未经发包人同意，专职安全员擅自离岗的，视为承包人违约，发包人有权上报建设行政主管部门并报有关规规定处罚；其它在场管理人员擅自离岗的，视为承包人违约，发包人有权上报建设行政主管部门并报有关规规定处罚</w:t>
      </w:r>
      <w:r>
        <w:rPr>
          <w:rFonts w:hint="eastAsia" w:ascii="宋体" w:hAnsi="宋体" w:eastAsia="宋体" w:cs="宋体"/>
          <w:color w:val="auto"/>
          <w:sz w:val="21"/>
          <w:szCs w:val="21"/>
          <w:highlight w:val="none"/>
        </w:rPr>
        <w:t>。</w:t>
      </w:r>
    </w:p>
    <w:p w14:paraId="5D69FD34">
      <w:pPr>
        <w:spacing w:beforeLines="0" w:afterLines="0"/>
        <w:rPr>
          <w:rFonts w:hint="eastAsia" w:ascii="宋体" w:hAnsi="宋体" w:eastAsia="宋体" w:cs="宋体"/>
          <w:color w:val="auto"/>
          <w:sz w:val="21"/>
          <w:szCs w:val="24"/>
          <w:highlight w:val="none"/>
        </w:rPr>
      </w:pPr>
      <w:bookmarkStart w:id="246" w:name="_Toc373227710"/>
      <w:bookmarkStart w:id="247" w:name="_Toc3880"/>
      <w:bookmarkStart w:id="248" w:name="_Toc389065276"/>
      <w:bookmarkStart w:id="249" w:name="_Toc373478357"/>
      <w:r>
        <w:rPr>
          <w:rFonts w:hint="eastAsia" w:ascii="宋体" w:hAnsi="宋体" w:eastAsia="宋体" w:cs="宋体"/>
          <w:color w:val="auto"/>
          <w:sz w:val="21"/>
          <w:szCs w:val="24"/>
          <w:highlight w:val="none"/>
        </w:rPr>
        <w:t>3</w:t>
      </w:r>
      <w:bookmarkStart w:id="250" w:name="_Toc296346660"/>
      <w:bookmarkStart w:id="251" w:name="_Toc296944498"/>
      <w:bookmarkStart w:id="252" w:name="_Toc300934945"/>
      <w:bookmarkStart w:id="253" w:name="_Toc292559869"/>
      <w:bookmarkStart w:id="254" w:name="_Toc303539102"/>
      <w:bookmarkStart w:id="255" w:name="_Toc296890987"/>
      <w:bookmarkStart w:id="256" w:name="_Toc312677988"/>
      <w:bookmarkStart w:id="257" w:name="_Toc296347158"/>
      <w:bookmarkStart w:id="258" w:name="_Toc296891199"/>
      <w:bookmarkStart w:id="259" w:name="_Toc292559364"/>
      <w:bookmarkStart w:id="260" w:name="_Toc297048345"/>
      <w:bookmarkStart w:id="261" w:name="_Toc297120459"/>
      <w:bookmarkStart w:id="262" w:name="_Toc297123492"/>
      <w:bookmarkStart w:id="263" w:name="_Toc304295523"/>
      <w:bookmarkStart w:id="264" w:name="_Toc296503159"/>
      <w:bookmarkStart w:id="265" w:name="_Toc297216151"/>
      <w:r>
        <w:rPr>
          <w:rFonts w:hint="eastAsia" w:ascii="宋体" w:hAnsi="宋体" w:eastAsia="宋体" w:cs="宋体"/>
          <w:color w:val="auto"/>
          <w:sz w:val="21"/>
          <w:szCs w:val="24"/>
          <w:highlight w:val="none"/>
        </w:rPr>
        <w:t>.5 分包</w:t>
      </w:r>
      <w:bookmarkEnd w:id="246"/>
      <w:bookmarkEnd w:id="247"/>
      <w:bookmarkEnd w:id="248"/>
      <w:bookmarkEnd w:id="249"/>
    </w:p>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14:paraId="452EA89C">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266" w:name="_Toc296891200"/>
      <w:bookmarkStart w:id="267" w:name="_Toc296347159"/>
      <w:bookmarkStart w:id="268" w:name="_Toc297120460"/>
      <w:bookmarkStart w:id="269" w:name="_Toc304295524"/>
      <w:bookmarkStart w:id="270" w:name="_Toc297216152"/>
      <w:bookmarkStart w:id="271" w:name="_Toc296503160"/>
      <w:bookmarkStart w:id="272" w:name="_Toc300934946"/>
      <w:bookmarkStart w:id="273" w:name="_Toc292559870"/>
      <w:bookmarkStart w:id="274" w:name="_Toc303539103"/>
      <w:bookmarkStart w:id="275" w:name="_Toc297123493"/>
      <w:bookmarkStart w:id="276" w:name="_Toc312677989"/>
      <w:bookmarkStart w:id="277" w:name="_Toc318581158"/>
      <w:bookmarkStart w:id="278" w:name="_Toc297048346"/>
      <w:bookmarkStart w:id="279" w:name="_Toc296944499"/>
      <w:bookmarkStart w:id="280" w:name="_Toc296890988"/>
      <w:bookmarkStart w:id="281" w:name="_Toc292559365"/>
      <w:bookmarkStart w:id="282" w:name="_Toc296346661"/>
      <w:r>
        <w:rPr>
          <w:rFonts w:hint="eastAsia" w:ascii="宋体" w:hAnsi="宋体" w:eastAsia="宋体" w:cs="宋体"/>
          <w:color w:val="auto"/>
          <w:sz w:val="21"/>
          <w:szCs w:val="21"/>
          <w:highlight w:val="none"/>
        </w:rPr>
        <w:t>.5.1 分包的一般约定</w:t>
      </w:r>
    </w:p>
    <w:p w14:paraId="6A76C5F5">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禁止分包的工程包括：</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4"/>
          <w:highlight w:val="none"/>
          <w:u w:val="single"/>
        </w:rPr>
        <w:t>本工程禁止分包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834176E">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主体结构、关键性工作的范围：</w:t>
      </w:r>
      <w:r>
        <w:rPr>
          <w:rFonts w:hint="eastAsia" w:ascii="宋体" w:hAnsi="宋体" w:eastAsia="宋体" w:cs="宋体"/>
          <w:color w:val="auto"/>
          <w:sz w:val="21"/>
          <w:szCs w:val="21"/>
          <w:highlight w:val="none"/>
          <w:u w:val="single"/>
        </w:rPr>
        <w:t xml:space="preserve">本工程不允许违法分包   </w:t>
      </w:r>
      <w:r>
        <w:rPr>
          <w:rFonts w:hint="eastAsia" w:ascii="宋体" w:hAnsi="宋体" w:eastAsia="宋体" w:cs="宋体"/>
          <w:color w:val="auto"/>
          <w:sz w:val="21"/>
          <w:szCs w:val="21"/>
          <w:highlight w:val="none"/>
        </w:rPr>
        <w:t>。</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5BEB6FFD">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283" w:name="_Toc318581159"/>
      <w:bookmarkStart w:id="284" w:name="_Toc312677990"/>
      <w:r>
        <w:rPr>
          <w:rFonts w:hint="eastAsia" w:ascii="宋体" w:hAnsi="宋体" w:eastAsia="宋体" w:cs="宋体"/>
          <w:color w:val="auto"/>
          <w:sz w:val="21"/>
          <w:szCs w:val="21"/>
          <w:highlight w:val="none"/>
        </w:rPr>
        <w:t>.5.2 分包的确定</w:t>
      </w:r>
    </w:p>
    <w:p w14:paraId="0D7F02F9">
      <w:pPr>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允许分包的专业工程包括：</w:t>
      </w:r>
      <w:r>
        <w:rPr>
          <w:rFonts w:hint="eastAsia" w:ascii="宋体" w:hAnsi="宋体" w:eastAsia="宋体" w:cs="宋体"/>
          <w:color w:val="auto"/>
          <w:sz w:val="21"/>
          <w:szCs w:val="21"/>
          <w:highlight w:val="none"/>
          <w:u w:val="single"/>
        </w:rPr>
        <w:t xml:space="preserve">所需分包的工程需经过发包人书面同意   </w:t>
      </w:r>
      <w:r>
        <w:rPr>
          <w:rFonts w:hint="eastAsia" w:ascii="宋体" w:hAnsi="宋体" w:eastAsia="宋体" w:cs="宋体"/>
          <w:color w:val="auto"/>
          <w:sz w:val="21"/>
          <w:szCs w:val="21"/>
          <w:highlight w:val="none"/>
        </w:rPr>
        <w:t>。</w:t>
      </w:r>
    </w:p>
    <w:p w14:paraId="2EF1C147">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其他关于分包的约定：</w:t>
      </w:r>
    </w:p>
    <w:p w14:paraId="34187AAB">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0164A65D">
      <w:pPr>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（2）在相关分包合同签订并报送有关建设行政主管部门备案后7天内，承包人应当将一份副本提交给监理人，承包人应保障分包工作不得再次分包。</w:t>
      </w:r>
    </w:p>
    <w:p w14:paraId="59545A81">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（3）未经承包人和监理人审批同意的分包工程和分包人，承包人有权拒绝验收分包工程和支付相应款项，由此引起的发包人费用增加和(或)延误的工期由发包人承担。</w:t>
      </w:r>
    </w:p>
    <w:p w14:paraId="6D10E37B">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（4）承包人有以下情况之一者，发包人有权解除合同：</w:t>
      </w:r>
    </w:p>
    <w:p w14:paraId="4657D597">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①个人承包工程，包括本人单位及外单位人员承包，发包人不承认其个人拥有任何资质等级及营业许可资格。</w:t>
      </w:r>
    </w:p>
    <w:p w14:paraId="3A6C07CC">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②几个人联合承包工程，就地组织暗分包队伍，不具备完成本工程的技术、机械能力，被发包人判定为没有能力履行的承包人。</w:t>
      </w:r>
    </w:p>
    <w:p w14:paraId="6A38A5B8">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③就地转包全部的工程，以谋取高额转让费、管理费的承包人。</w:t>
      </w:r>
    </w:p>
    <w:p w14:paraId="37BEA420">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④承包人有部分分包现象（其中包括冒充承包人下属单位的挂勾单位，凭口头协议参与施工的分包人及其他暗分包个体户），一经发现核实，发包人将采取驱逐该暗分包人措施。</w:t>
      </w:r>
    </w:p>
    <w:p w14:paraId="1426E261">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3.5.4 分包合同价款</w:t>
      </w:r>
    </w:p>
    <w:bookmarkEnd w:id="283"/>
    <w:bookmarkEnd w:id="284"/>
    <w:p w14:paraId="0D15EB34">
      <w:pPr>
        <w:spacing w:beforeLines="0" w:afterLines="0" w:line="360" w:lineRule="auto"/>
        <w:ind w:firstLine="420" w:firstLineChars="200"/>
        <w:rPr>
          <w:rFonts w:hint="eastAsia" w:ascii="宋体" w:hAnsi="宋体" w:eastAsia="宋体" w:cs="宋体"/>
          <w:color w:val="auto"/>
          <w:sz w:val="21"/>
          <w:szCs w:val="21"/>
          <w:highlight w:val="none"/>
        </w:rPr>
      </w:pPr>
      <w:bookmarkStart w:id="285" w:name="_Toc373478358"/>
      <w:bookmarkStart w:id="286" w:name="_Toc389065277"/>
      <w:bookmarkStart w:id="287" w:name="_Toc373227711"/>
      <w:r>
        <w:rPr>
          <w:rFonts w:hint="eastAsia" w:ascii="宋体" w:hAnsi="宋体" w:eastAsia="宋体" w:cs="宋体"/>
          <w:color w:val="auto"/>
          <w:sz w:val="21"/>
          <w:szCs w:val="21"/>
          <w:highlight w:val="none"/>
        </w:rPr>
        <w:t>关于分包合同价款支付的约定：</w:t>
      </w:r>
      <w:r>
        <w:rPr>
          <w:rFonts w:hint="eastAsia" w:ascii="宋体" w:hAnsi="宋体" w:eastAsia="宋体" w:cs="宋体"/>
          <w:color w:val="auto"/>
          <w:sz w:val="21"/>
          <w:szCs w:val="21"/>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48E1C66B">
      <w:pPr>
        <w:spacing w:beforeLines="0" w:afterLines="0"/>
        <w:rPr>
          <w:rFonts w:hint="eastAsia" w:ascii="宋体" w:hAnsi="宋体" w:eastAsia="宋体" w:cs="宋体"/>
          <w:color w:val="auto"/>
          <w:sz w:val="21"/>
          <w:szCs w:val="24"/>
          <w:highlight w:val="none"/>
        </w:rPr>
      </w:pPr>
      <w:bookmarkStart w:id="288" w:name="_Toc8082"/>
      <w:r>
        <w:rPr>
          <w:rFonts w:hint="eastAsia" w:ascii="宋体" w:hAnsi="宋体" w:eastAsia="宋体" w:cs="宋体"/>
          <w:color w:val="auto"/>
          <w:sz w:val="21"/>
          <w:szCs w:val="24"/>
          <w:highlight w:val="none"/>
        </w:rPr>
        <w:t>3.6 工程照管与成品、半成品保护</w:t>
      </w:r>
      <w:bookmarkEnd w:id="285"/>
      <w:bookmarkEnd w:id="286"/>
      <w:bookmarkEnd w:id="287"/>
      <w:bookmarkEnd w:id="288"/>
    </w:p>
    <w:p w14:paraId="74DBFCDA">
      <w:pPr>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承包人负责照管工程及工程相关的材料、工程设备的起始时间：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签订合同之日起，完成工程移交之日止</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4529DA3">
      <w:pPr>
        <w:spacing w:beforeLines="0" w:afterLines="0" w:line="360" w:lineRule="auto"/>
        <w:jc w:val="left"/>
        <w:rPr>
          <w:rFonts w:hint="eastAsia" w:ascii="宋体" w:hAnsi="宋体" w:eastAsia="宋体" w:cs="宋体"/>
          <w:color w:val="auto"/>
          <w:sz w:val="21"/>
          <w:szCs w:val="21"/>
          <w:highlight w:val="none"/>
        </w:rPr>
      </w:pPr>
      <w:bookmarkStart w:id="289" w:name="_Toc373478359"/>
      <w:bookmarkStart w:id="290" w:name="_Toc389065278"/>
      <w:bookmarkStart w:id="291" w:name="_Toc373227712"/>
      <w:bookmarkStart w:id="292" w:name="_Toc8926"/>
      <w:r>
        <w:rPr>
          <w:rFonts w:hint="eastAsia" w:ascii="宋体" w:hAnsi="宋体" w:eastAsia="宋体" w:cs="宋体"/>
          <w:color w:val="auto"/>
          <w:sz w:val="21"/>
          <w:szCs w:val="24"/>
          <w:highlight w:val="none"/>
        </w:rPr>
        <w:t xml:space="preserve">3.7 </w:t>
      </w:r>
      <w:r>
        <w:rPr>
          <w:rFonts w:hint="eastAsia" w:ascii="宋体" w:hAnsi="宋体" w:eastAsia="宋体" w:cs="宋体"/>
          <w:color w:val="auto"/>
          <w:sz w:val="21"/>
          <w:szCs w:val="21"/>
          <w:highlight w:val="none"/>
        </w:rPr>
        <w:t>履约</w:t>
      </w:r>
      <w:bookmarkEnd w:id="289"/>
      <w:bookmarkEnd w:id="290"/>
      <w:bookmarkEnd w:id="291"/>
      <w:r>
        <w:rPr>
          <w:rFonts w:hint="eastAsia" w:ascii="宋体" w:hAnsi="宋体" w:eastAsia="宋体" w:cs="宋体"/>
          <w:color w:val="auto"/>
          <w:sz w:val="21"/>
          <w:szCs w:val="21"/>
          <w:highlight w:val="none"/>
        </w:rPr>
        <w:t>保证金</w:t>
      </w:r>
      <w:bookmarkEnd w:id="292"/>
    </w:p>
    <w:p w14:paraId="5EF975A1">
      <w:pPr>
        <w:spacing w:beforeLines="0" w:afterLines="0" w:line="360" w:lineRule="auto"/>
        <w:ind w:firstLine="420" w:firstLineChars="200"/>
        <w:jc w:val="left"/>
        <w:rPr>
          <w:rFonts w:hint="eastAsia" w:ascii="宋体" w:hAnsi="宋体" w:eastAsia="宋体" w:cs="宋体"/>
          <w:color w:val="auto"/>
          <w:sz w:val="21"/>
          <w:szCs w:val="21"/>
          <w:highlight w:val="none"/>
        </w:rPr>
      </w:pPr>
      <w:bookmarkStart w:id="293" w:name="_Toc389065279"/>
      <w:bookmarkStart w:id="294" w:name="_Toc351203636"/>
      <w:bookmarkStart w:id="295" w:name="_Toc373478360"/>
      <w:bookmarkStart w:id="296" w:name="_Toc373227713"/>
      <w:r>
        <w:rPr>
          <w:rFonts w:hint="eastAsia" w:ascii="宋体" w:hAnsi="宋体" w:eastAsia="宋体" w:cs="宋体"/>
          <w:color w:val="auto"/>
          <w:sz w:val="21"/>
          <w:szCs w:val="21"/>
          <w:highlight w:val="none"/>
        </w:rPr>
        <w:t>承包人提供履约担保的形式、金额及期限的：本项目不收取履约保证金</w:t>
      </w:r>
    </w:p>
    <w:p w14:paraId="0282ACCE">
      <w:pPr>
        <w:spacing w:beforeLines="0" w:afterLines="0"/>
        <w:rPr>
          <w:rFonts w:hint="eastAsia" w:ascii="宋体" w:hAnsi="宋体" w:eastAsia="宋体" w:cs="宋体"/>
          <w:color w:val="auto"/>
          <w:sz w:val="21"/>
          <w:szCs w:val="24"/>
          <w:highlight w:val="none"/>
        </w:rPr>
      </w:pPr>
      <w:bookmarkStart w:id="297" w:name="_Toc32460"/>
      <w:r>
        <w:rPr>
          <w:rFonts w:hint="eastAsia" w:ascii="宋体" w:hAnsi="宋体" w:eastAsia="宋体" w:cs="宋体"/>
          <w:color w:val="auto"/>
          <w:sz w:val="21"/>
          <w:szCs w:val="24"/>
          <w:highlight w:val="none"/>
        </w:rPr>
        <w:t>4</w:t>
      </w:r>
      <w:bookmarkStart w:id="298" w:name="_Toc292559871"/>
      <w:bookmarkStart w:id="299" w:name="_Toc292559366"/>
      <w:bookmarkStart w:id="300" w:name="_Toc296347161"/>
      <w:bookmarkStart w:id="301" w:name="_Toc296944501"/>
      <w:bookmarkStart w:id="302" w:name="_Toc267251413"/>
      <w:bookmarkStart w:id="303" w:name="_Toc296890990"/>
      <w:bookmarkStart w:id="304" w:name="_Toc296891202"/>
      <w:bookmarkStart w:id="305" w:name="_Toc297048348"/>
      <w:bookmarkStart w:id="306" w:name="_Toc296503162"/>
      <w:bookmarkStart w:id="307" w:name="_Toc297120462"/>
      <w:bookmarkStart w:id="308" w:name="_Toc296346663"/>
      <w:r>
        <w:rPr>
          <w:rFonts w:hint="eastAsia" w:ascii="宋体" w:hAnsi="宋体" w:eastAsia="宋体" w:cs="宋体"/>
          <w:color w:val="auto"/>
          <w:sz w:val="21"/>
          <w:szCs w:val="24"/>
          <w:highlight w:val="none"/>
        </w:rPr>
        <w:t>. 监</w:t>
      </w:r>
      <w:bookmarkEnd w:id="298"/>
      <w:bookmarkEnd w:id="299"/>
      <w:bookmarkEnd w:id="300"/>
      <w:bookmarkEnd w:id="301"/>
      <w:bookmarkEnd w:id="302"/>
      <w:bookmarkEnd w:id="303"/>
      <w:bookmarkEnd w:id="304"/>
      <w:bookmarkEnd w:id="305"/>
      <w:bookmarkEnd w:id="306"/>
      <w:bookmarkEnd w:id="307"/>
      <w:bookmarkEnd w:id="308"/>
      <w:r>
        <w:rPr>
          <w:rFonts w:hint="eastAsia" w:ascii="宋体" w:hAnsi="宋体" w:eastAsia="宋体" w:cs="宋体"/>
          <w:color w:val="auto"/>
          <w:sz w:val="21"/>
          <w:szCs w:val="24"/>
          <w:highlight w:val="none"/>
        </w:rPr>
        <w:t>理人</w:t>
      </w:r>
      <w:bookmarkEnd w:id="293"/>
      <w:bookmarkEnd w:id="294"/>
      <w:bookmarkEnd w:id="295"/>
      <w:bookmarkEnd w:id="296"/>
      <w:bookmarkEnd w:id="297"/>
    </w:p>
    <w:p w14:paraId="407D4F7A">
      <w:pPr>
        <w:spacing w:beforeLines="0" w:afterLines="0"/>
        <w:rPr>
          <w:rFonts w:hint="eastAsia" w:ascii="宋体" w:hAnsi="宋体" w:eastAsia="宋体" w:cs="宋体"/>
          <w:color w:val="auto"/>
          <w:sz w:val="21"/>
          <w:szCs w:val="24"/>
          <w:highlight w:val="none"/>
        </w:rPr>
      </w:pPr>
      <w:bookmarkStart w:id="309" w:name="_Toc389065280"/>
      <w:bookmarkStart w:id="310" w:name="_Toc28478"/>
      <w:bookmarkStart w:id="311" w:name="_Toc373478361"/>
      <w:bookmarkStart w:id="312" w:name="_Toc373227714"/>
      <w:r>
        <w:rPr>
          <w:rFonts w:hint="eastAsia" w:ascii="宋体" w:hAnsi="宋体" w:eastAsia="宋体" w:cs="宋体"/>
          <w:color w:val="auto"/>
          <w:sz w:val="21"/>
          <w:szCs w:val="24"/>
          <w:highlight w:val="none"/>
        </w:rPr>
        <w:t>4.1 监理人的一般规定</w:t>
      </w:r>
      <w:bookmarkEnd w:id="309"/>
      <w:bookmarkEnd w:id="310"/>
      <w:bookmarkEnd w:id="311"/>
      <w:bookmarkEnd w:id="312"/>
    </w:p>
    <w:p w14:paraId="72B70BD3">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57A578C">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关于监理人的监理权限：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2BA3E427">
      <w:pPr>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关于监理人在施工现场的办公场所、生活场所的提供和费用承担的约定：</w:t>
      </w:r>
      <w:r>
        <w:rPr>
          <w:rFonts w:hint="eastAsia" w:ascii="宋体" w:hAnsi="宋体" w:eastAsia="宋体" w:cs="宋体"/>
          <w:color w:val="auto"/>
          <w:sz w:val="21"/>
          <w:szCs w:val="21"/>
          <w:highlight w:val="none"/>
          <w:u w:val="single"/>
        </w:rPr>
        <w:t xml:space="preserve">              </w:t>
      </w:r>
    </w:p>
    <w:p w14:paraId="1DEA5754">
      <w:pPr>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F61415C">
      <w:pPr>
        <w:spacing w:beforeLines="0" w:afterLines="0"/>
        <w:rPr>
          <w:rFonts w:hint="eastAsia" w:ascii="宋体" w:hAnsi="宋体" w:eastAsia="宋体" w:cs="宋体"/>
          <w:color w:val="auto"/>
          <w:sz w:val="21"/>
          <w:szCs w:val="24"/>
          <w:highlight w:val="none"/>
        </w:rPr>
      </w:pPr>
      <w:bookmarkStart w:id="313" w:name="_Toc373478362"/>
      <w:bookmarkStart w:id="314" w:name="_Toc12326"/>
      <w:bookmarkStart w:id="315" w:name="_Toc373227715"/>
      <w:bookmarkStart w:id="316" w:name="_Toc389065281"/>
      <w:r>
        <w:rPr>
          <w:rFonts w:hint="eastAsia" w:ascii="宋体" w:hAnsi="宋体" w:eastAsia="宋体" w:cs="宋体"/>
          <w:color w:val="auto"/>
          <w:sz w:val="21"/>
          <w:szCs w:val="24"/>
          <w:highlight w:val="none"/>
        </w:rPr>
        <w:t>4.2 监理人员</w:t>
      </w:r>
      <w:bookmarkEnd w:id="313"/>
      <w:bookmarkEnd w:id="314"/>
      <w:bookmarkEnd w:id="315"/>
      <w:bookmarkEnd w:id="316"/>
    </w:p>
    <w:p w14:paraId="0BD10883">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p w14:paraId="395697CC">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58333F2F">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75FD423A">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监理工程师执业资格证书号：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5DBBB3E0">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51AD940B">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59B9AB66">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047DCFC0">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关于监理人的其他约定：</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55ED42C5">
      <w:pPr>
        <w:spacing w:beforeLines="0" w:afterLines="0"/>
        <w:rPr>
          <w:rFonts w:hint="eastAsia" w:ascii="宋体" w:hAnsi="宋体" w:eastAsia="宋体" w:cs="宋体"/>
          <w:color w:val="auto"/>
          <w:sz w:val="21"/>
          <w:szCs w:val="24"/>
          <w:highlight w:val="none"/>
        </w:rPr>
      </w:pPr>
      <w:bookmarkStart w:id="317" w:name="_Toc373227716"/>
      <w:bookmarkStart w:id="318" w:name="_Toc373478363"/>
      <w:bookmarkStart w:id="319" w:name="_Toc389065282"/>
      <w:bookmarkStart w:id="320" w:name="_Toc6626"/>
      <w:r>
        <w:rPr>
          <w:rFonts w:hint="eastAsia" w:ascii="宋体" w:hAnsi="宋体" w:eastAsia="宋体" w:cs="宋体"/>
          <w:color w:val="auto"/>
          <w:sz w:val="21"/>
          <w:szCs w:val="24"/>
          <w:highlight w:val="none"/>
        </w:rPr>
        <w:t>4.4 商定或确定</w:t>
      </w:r>
      <w:bookmarkEnd w:id="317"/>
      <w:bookmarkEnd w:id="318"/>
      <w:bookmarkEnd w:id="319"/>
      <w:bookmarkEnd w:id="320"/>
    </w:p>
    <w:p w14:paraId="6192CEBD">
      <w:pPr>
        <w:spacing w:beforeLines="0" w:afterLines="0" w:line="360" w:lineRule="auto"/>
        <w:ind w:firstLine="420" w:firstLineChars="200"/>
        <w:rPr>
          <w:rFonts w:hint="eastAsia" w:ascii="宋体" w:hAnsi="宋体" w:eastAsia="宋体" w:cs="宋体"/>
          <w:color w:val="auto"/>
          <w:sz w:val="21"/>
          <w:szCs w:val="21"/>
          <w:highlight w:val="none"/>
        </w:rPr>
      </w:pPr>
      <w:bookmarkStart w:id="321" w:name="_Toc267251418"/>
      <w:r>
        <w:rPr>
          <w:rFonts w:hint="eastAsia" w:ascii="宋体" w:hAnsi="宋体" w:eastAsia="宋体" w:cs="宋体"/>
          <w:color w:val="auto"/>
          <w:sz w:val="21"/>
          <w:szCs w:val="21"/>
          <w:highlight w:val="none"/>
        </w:rPr>
        <w:t>在发包人和承包人不能通过协商达成一致意见时，发包人授权监理人对以下事项进行确定：</w:t>
      </w:r>
    </w:p>
    <w:p w14:paraId="4ECA1FB8">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0EAE913">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300F6D9">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CA06D57">
      <w:pPr>
        <w:spacing w:beforeLines="0" w:afterLines="0"/>
        <w:rPr>
          <w:rFonts w:hint="eastAsia" w:ascii="宋体" w:hAnsi="宋体" w:eastAsia="宋体" w:cs="宋体"/>
          <w:color w:val="auto"/>
          <w:sz w:val="21"/>
          <w:szCs w:val="24"/>
          <w:highlight w:val="none"/>
        </w:rPr>
      </w:pPr>
      <w:bookmarkStart w:id="322" w:name="_Toc373478364"/>
      <w:bookmarkStart w:id="323" w:name="_Toc28100"/>
      <w:bookmarkStart w:id="324" w:name="_Toc389065283"/>
      <w:bookmarkStart w:id="325" w:name="_Toc351203637"/>
      <w:bookmarkStart w:id="326" w:name="_Toc373227717"/>
      <w:r>
        <w:rPr>
          <w:rFonts w:hint="eastAsia" w:ascii="宋体" w:hAnsi="宋体" w:eastAsia="宋体" w:cs="宋体"/>
          <w:color w:val="auto"/>
          <w:sz w:val="21"/>
          <w:szCs w:val="24"/>
          <w:highlight w:val="none"/>
        </w:rPr>
        <w:t>5</w:t>
      </w:r>
      <w:bookmarkEnd w:id="321"/>
      <w:bookmarkStart w:id="327" w:name="_Toc296944502"/>
      <w:bookmarkStart w:id="328" w:name="_Toc296891203"/>
      <w:bookmarkStart w:id="329" w:name="_Toc297048349"/>
      <w:bookmarkStart w:id="330" w:name="_Toc296347162"/>
      <w:bookmarkStart w:id="331" w:name="_Toc296346664"/>
      <w:bookmarkStart w:id="332" w:name="_Toc296890991"/>
      <w:bookmarkStart w:id="333" w:name="_Toc297120463"/>
      <w:bookmarkStart w:id="334" w:name="_Toc292559367"/>
      <w:bookmarkStart w:id="335" w:name="_Toc296503163"/>
      <w:bookmarkStart w:id="336" w:name="_Toc292559872"/>
      <w:r>
        <w:rPr>
          <w:rFonts w:hint="eastAsia" w:ascii="宋体" w:hAnsi="宋体" w:eastAsia="宋体" w:cs="宋体"/>
          <w:color w:val="auto"/>
          <w:sz w:val="21"/>
          <w:szCs w:val="24"/>
          <w:highlight w:val="none"/>
        </w:rPr>
        <w:t>. 工程质量</w:t>
      </w:r>
      <w:bookmarkEnd w:id="322"/>
      <w:bookmarkEnd w:id="323"/>
      <w:bookmarkEnd w:id="324"/>
      <w:bookmarkEnd w:id="325"/>
      <w:bookmarkEnd w:id="326"/>
    </w:p>
    <w:p w14:paraId="005F0BB7">
      <w:pPr>
        <w:spacing w:beforeLines="0" w:afterLines="0"/>
        <w:rPr>
          <w:rFonts w:hint="eastAsia" w:ascii="宋体" w:hAnsi="宋体" w:eastAsia="宋体" w:cs="宋体"/>
          <w:color w:val="auto"/>
          <w:sz w:val="21"/>
          <w:szCs w:val="24"/>
          <w:highlight w:val="none"/>
        </w:rPr>
      </w:pPr>
      <w:bookmarkStart w:id="337" w:name="_Toc373227718"/>
      <w:bookmarkStart w:id="338" w:name="_Toc373478365"/>
      <w:bookmarkStart w:id="339" w:name="_Toc15241"/>
      <w:bookmarkStart w:id="340" w:name="_Toc389065284"/>
      <w:r>
        <w:rPr>
          <w:rFonts w:hint="eastAsia" w:ascii="宋体" w:hAnsi="宋体" w:eastAsia="宋体" w:cs="宋体"/>
          <w:color w:val="auto"/>
          <w:sz w:val="21"/>
          <w:szCs w:val="24"/>
          <w:highlight w:val="none"/>
        </w:rPr>
        <w:t>5.1 质量要求</w:t>
      </w:r>
      <w:bookmarkEnd w:id="337"/>
      <w:bookmarkEnd w:id="338"/>
      <w:bookmarkEnd w:id="339"/>
      <w:bookmarkEnd w:id="340"/>
    </w:p>
    <w:p w14:paraId="445ED75D">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w:t>
      </w:r>
      <w:bookmarkStart w:id="341" w:name="_Toc312677997"/>
      <w:bookmarkStart w:id="342" w:name="_Toc318581164"/>
      <w:bookmarkStart w:id="343" w:name="_Toc300934949"/>
      <w:bookmarkStart w:id="344" w:name="_Toc304295527"/>
      <w:bookmarkStart w:id="345" w:name="_Toc297216155"/>
      <w:bookmarkStart w:id="346" w:name="_Toc303539106"/>
      <w:bookmarkStart w:id="347" w:name="_Toc297123496"/>
      <w:r>
        <w:rPr>
          <w:rFonts w:hint="eastAsia" w:ascii="宋体" w:hAnsi="宋体" w:eastAsia="宋体" w:cs="宋体"/>
          <w:color w:val="auto"/>
          <w:sz w:val="21"/>
          <w:szCs w:val="21"/>
          <w:highlight w:val="none"/>
        </w:rPr>
        <w:t>.1.1 特殊质量标准和要求：</w:t>
      </w:r>
      <w:r>
        <w:rPr>
          <w:rFonts w:hint="eastAsia" w:ascii="宋体" w:hAnsi="宋体" w:eastAsia="宋体" w:cs="宋体"/>
          <w:color w:val="auto"/>
          <w:sz w:val="21"/>
          <w:szCs w:val="21"/>
          <w:highlight w:val="none"/>
          <w:u w:val="single"/>
        </w:rPr>
        <w:t>严格执行广西壮族自治区住房和城乡建设厅《关于严格实行房屋建筑和市政基础设施工程质量终身责任承诺、永久性质量责任标牌、终身责任信息档案等制度的通知》(桂建管[2014]96号)和南宁市城乡建设委员会《关于落实建设工程质量终身责任，加强工程质量管理的通知》（南建质安[2014]155号）要求，落实建设工程质量终身责任。</w:t>
      </w:r>
    </w:p>
    <w:p w14:paraId="26386DE3">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关于工程奖项的约定：</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125C2C65">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根据《研究市政工程质量提升工作专题会议纪要（市人民政府工作专题会议纪要【2019】69 号）》文件精神，政府投资工程的工程质量等级最低应为市优工程。</w:t>
      </w:r>
    </w:p>
    <w:p w14:paraId="0B2756AA">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隐蔽工程检查</w:t>
      </w:r>
    </w:p>
    <w:p w14:paraId="2304DA5F">
      <w:pPr>
        <w:spacing w:beforeLines="0" w:afterLines="0" w:line="41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6EF5E1BC">
      <w:pPr>
        <w:spacing w:beforeLines="0" w:afterLines="0" w:line="41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监理人不能按时进行检查时，应提前</w:t>
      </w:r>
      <w:r>
        <w:rPr>
          <w:rFonts w:hint="eastAsia" w:ascii="宋体" w:hAnsi="宋体" w:eastAsia="宋体" w:cs="宋体"/>
          <w:color w:val="auto"/>
          <w:sz w:val="21"/>
          <w:szCs w:val="21"/>
          <w:highlight w:val="none"/>
          <w:u w:val="single"/>
        </w:rPr>
        <w:t xml:space="preserve">  24  </w:t>
      </w:r>
      <w:r>
        <w:rPr>
          <w:rFonts w:hint="eastAsia" w:ascii="宋体" w:hAnsi="宋体" w:eastAsia="宋体" w:cs="宋体"/>
          <w:color w:val="auto"/>
          <w:sz w:val="21"/>
          <w:szCs w:val="21"/>
          <w:highlight w:val="none"/>
        </w:rPr>
        <w:t>小时提交书面延期要求。</w:t>
      </w:r>
    </w:p>
    <w:p w14:paraId="6DE6CA18">
      <w:pPr>
        <w:spacing w:beforeLines="0" w:afterLines="0" w:line="41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48  </w:t>
      </w:r>
      <w:r>
        <w:rPr>
          <w:rFonts w:hint="eastAsia" w:ascii="宋体" w:hAnsi="宋体" w:eastAsia="宋体" w:cs="宋体"/>
          <w:color w:val="auto"/>
          <w:sz w:val="21"/>
          <w:szCs w:val="21"/>
          <w:highlight w:val="none"/>
        </w:rPr>
        <w:t>小时。</w:t>
      </w:r>
    </w:p>
    <w:p w14:paraId="1E6EC0F3">
      <w:pPr>
        <w:spacing w:beforeLines="0" w:afterLines="0" w:line="410" w:lineRule="exact"/>
        <w:rPr>
          <w:rFonts w:hint="eastAsia" w:ascii="宋体" w:hAnsi="宋体" w:eastAsia="宋体" w:cs="宋体"/>
          <w:color w:val="auto"/>
          <w:sz w:val="21"/>
          <w:szCs w:val="24"/>
          <w:highlight w:val="none"/>
        </w:rPr>
      </w:pPr>
      <w:bookmarkStart w:id="348" w:name="_Toc373227719"/>
      <w:bookmarkStart w:id="349" w:name="_Toc373478366"/>
      <w:bookmarkStart w:id="350" w:name="_Toc351203638"/>
      <w:bookmarkStart w:id="351" w:name="_Toc16364"/>
      <w:bookmarkStart w:id="352" w:name="_Toc389065285"/>
      <w:r>
        <w:rPr>
          <w:rFonts w:hint="eastAsia" w:ascii="宋体" w:hAnsi="宋体" w:eastAsia="宋体" w:cs="宋体"/>
          <w:color w:val="auto"/>
          <w:sz w:val="21"/>
          <w:szCs w:val="24"/>
          <w:highlight w:val="none"/>
        </w:rPr>
        <w:t>6. 安全文明施工与环境保护</w:t>
      </w:r>
      <w:bookmarkEnd w:id="348"/>
      <w:bookmarkEnd w:id="349"/>
      <w:bookmarkEnd w:id="350"/>
      <w:bookmarkEnd w:id="351"/>
      <w:bookmarkEnd w:id="352"/>
    </w:p>
    <w:p w14:paraId="6838422F">
      <w:pPr>
        <w:spacing w:beforeLines="0" w:afterLines="0" w:line="410" w:lineRule="exact"/>
        <w:rPr>
          <w:rFonts w:hint="eastAsia" w:ascii="宋体" w:hAnsi="宋体" w:eastAsia="宋体" w:cs="宋体"/>
          <w:color w:val="auto"/>
          <w:sz w:val="21"/>
          <w:szCs w:val="24"/>
          <w:highlight w:val="none"/>
        </w:rPr>
      </w:pPr>
      <w:bookmarkStart w:id="353" w:name="_Toc373478367"/>
      <w:bookmarkStart w:id="354" w:name="_Toc19419"/>
      <w:bookmarkStart w:id="355" w:name="_Toc389065286"/>
      <w:bookmarkStart w:id="356" w:name="_Toc373227720"/>
      <w:r>
        <w:rPr>
          <w:rFonts w:hint="eastAsia" w:ascii="宋体" w:hAnsi="宋体" w:eastAsia="宋体" w:cs="宋体"/>
          <w:color w:val="auto"/>
          <w:sz w:val="21"/>
          <w:szCs w:val="24"/>
          <w:highlight w:val="none"/>
        </w:rPr>
        <w:t>6.1 安全文明施工</w:t>
      </w:r>
      <w:bookmarkEnd w:id="353"/>
      <w:bookmarkEnd w:id="354"/>
      <w:bookmarkEnd w:id="355"/>
      <w:bookmarkEnd w:id="356"/>
    </w:p>
    <w:p w14:paraId="22E1F4F7">
      <w:pPr>
        <w:spacing w:beforeLines="0" w:afterLines="0" w:line="41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color w:val="auto"/>
          <w:sz w:val="21"/>
          <w:szCs w:val="21"/>
          <w:highlight w:val="none"/>
          <w:u w:val="single"/>
        </w:rPr>
        <w:t xml:space="preserve">   按合同通用条款 6.1.1 款执行 。</w:t>
      </w:r>
    </w:p>
    <w:p w14:paraId="2BACFC25">
      <w:pPr>
        <w:spacing w:beforeLines="0" w:afterLines="0" w:line="41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关于安全文明施工奖项的约定：</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05BD7911">
      <w:pPr>
        <w:spacing w:beforeLines="0" w:afterLines="0" w:line="41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color w:val="auto"/>
          <w:sz w:val="21"/>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73375782">
      <w:pPr>
        <w:spacing w:beforeLines="0" w:afterLines="0" w:line="41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color w:val="auto"/>
          <w:sz w:val="21"/>
          <w:szCs w:val="21"/>
          <w:highlight w:val="none"/>
          <w:u w:val="single"/>
        </w:rPr>
        <w:t xml:space="preserve">       按通用条款 6.1.4 执行      </w:t>
      </w:r>
      <w:r>
        <w:rPr>
          <w:rFonts w:hint="eastAsia" w:ascii="宋体" w:hAnsi="宋体" w:eastAsia="宋体" w:cs="宋体"/>
          <w:color w:val="auto"/>
          <w:sz w:val="21"/>
          <w:szCs w:val="21"/>
          <w:highlight w:val="none"/>
        </w:rPr>
        <w:t>。</w:t>
      </w:r>
    </w:p>
    <w:p w14:paraId="16919CBA">
      <w:pPr>
        <w:spacing w:beforeLines="0" w:afterLines="0" w:line="41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14:paraId="170FC32D">
      <w:pPr>
        <w:pStyle w:val="34"/>
        <w:spacing w:beforeLines="0" w:afterLines="0" w:line="41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合同当事人对文明施工的要求：严格执行《大气污染防治法》（主席令第三十一号）、《南宁市建设工程质量和安全生产管理办法》（南宁市人民政府令 第46号）、《南宁市建设工程质量安全标准化图集》、《南宁市建设工程施工现场管理若干规定》（南宁市人民政府令 第8号）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抑尘喷淋等有效措施，确保建设工程各项安全防护、文明施工措施及其费用在工地一线按标准落实到位。</w:t>
      </w:r>
    </w:p>
    <w:p w14:paraId="42193794">
      <w:pPr>
        <w:pStyle w:val="34"/>
        <w:spacing w:beforeLines="0" w:afterLines="0" w:line="410" w:lineRule="exact"/>
        <w:ind w:firstLine="420" w:firstLineChars="200"/>
        <w:jc w:val="left"/>
        <w:rPr>
          <w:rFonts w:hint="eastAsia" w:ascii="宋体" w:hAnsi="宋体" w:eastAsia="宋体" w:cs="宋体"/>
          <w:color w:val="auto"/>
          <w:sz w:val="21"/>
          <w:szCs w:val="21"/>
          <w:highlight w:val="none"/>
        </w:rPr>
      </w:pPr>
      <w:bookmarkStart w:id="357" w:name="_Toc389065287"/>
      <w:bookmarkStart w:id="358" w:name="_Toc373227721"/>
      <w:bookmarkStart w:id="359" w:name="_Toc373478368"/>
      <w:r>
        <w:rPr>
          <w:rFonts w:hint="eastAsia" w:ascii="宋体" w:hAnsi="宋体" w:eastAsia="宋体" w:cs="宋体"/>
          <w:color w:val="auto"/>
          <w:sz w:val="21"/>
          <w:szCs w:val="21"/>
          <w:highlight w:val="none"/>
        </w:rPr>
        <w:t>6.1.6 关于安全文明施工费支付比例和支付期限的约定：</w:t>
      </w:r>
    </w:p>
    <w:p w14:paraId="56CB14CF">
      <w:pPr>
        <w:pStyle w:val="34"/>
        <w:autoSpaceDE w:val="0"/>
        <w:autoSpaceDN w:val="0"/>
        <w:adjustRightInd w:val="0"/>
        <w:spacing w:beforeLines="0" w:afterLines="0" w:line="41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（1）本合同价款已包含安全文明施工费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元。</w:t>
      </w:r>
    </w:p>
    <w:p w14:paraId="1AC485DD">
      <w:pPr>
        <w:pStyle w:val="34"/>
        <w:autoSpaceDE w:val="0"/>
        <w:autoSpaceDN w:val="0"/>
        <w:adjustRightInd w:val="0"/>
        <w:spacing w:beforeLines="0" w:afterLines="0" w:line="41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（2）使用要求：专款专用。具体按</w:t>
      </w:r>
      <w:r>
        <w:rPr>
          <w:rFonts w:hint="eastAsia" w:ascii="宋体" w:hAnsi="宋体" w:eastAsia="宋体" w:cs="宋体"/>
          <w:color w:val="auto"/>
          <w:kern w:val="0"/>
          <w:sz w:val="21"/>
          <w:szCs w:val="21"/>
          <w:highlight w:val="none"/>
          <w:u w:val="single"/>
        </w:rPr>
        <w:t>《广西壮族自治区建设工程安全文明施工费使用管理细则》（桂建质〔2015〕16号）</w:t>
      </w:r>
      <w:r>
        <w:rPr>
          <w:rFonts w:hint="eastAsia" w:ascii="宋体" w:hAnsi="宋体" w:eastAsia="宋体" w:cs="宋体"/>
          <w:color w:val="auto"/>
          <w:kern w:val="0"/>
          <w:sz w:val="21"/>
          <w:szCs w:val="21"/>
          <w:highlight w:val="none"/>
        </w:rPr>
        <w:t>相关规定执行。</w:t>
      </w:r>
    </w:p>
    <w:p w14:paraId="60641465">
      <w:pPr>
        <w:autoSpaceDE w:val="0"/>
        <w:autoSpaceDN w:val="0"/>
        <w:adjustRightInd w:val="0"/>
        <w:spacing w:beforeLines="0" w:afterLines="0" w:line="41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（3）支付约定：与进度款同期支付，安全文明施工费预付款在工程进度款累计金额超过合同价的5%时开始起扣，每月从支付给承包商的工程款内按安全文明预付款占合同总价的同一百分比扣回。</w:t>
      </w:r>
    </w:p>
    <w:p w14:paraId="2CB2E8A1">
      <w:pPr>
        <w:autoSpaceDE w:val="0"/>
        <w:autoSpaceDN w:val="0"/>
        <w:adjustRightInd w:val="0"/>
        <w:spacing w:beforeLines="0" w:afterLines="0" w:line="41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（4）建设单位按规定将安全生产费用转入施工单位设立的安全生产费用专户。</w:t>
      </w:r>
    </w:p>
    <w:p w14:paraId="7CCF6735">
      <w:pPr>
        <w:autoSpaceDE w:val="0"/>
        <w:autoSpaceDN w:val="0"/>
        <w:adjustRightInd w:val="0"/>
        <w:spacing w:beforeLines="0" w:afterLines="0" w:line="41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（5）工程施工完成后安全生产费用尚有结余的，结余部分由建设单位收回。</w:t>
      </w:r>
    </w:p>
    <w:p w14:paraId="2897C8D5">
      <w:pPr>
        <w:autoSpaceDE w:val="0"/>
        <w:autoSpaceDN w:val="0"/>
        <w:adjustRightInd w:val="0"/>
        <w:spacing w:beforeLines="0" w:afterLines="0" w:line="41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（6）施工单位将安全生产费用使用情况定期报告建设单位和监理单位，并提供相应的材料接受建设行政主管部门对此事项监管。</w:t>
      </w:r>
      <w:bookmarkStart w:id="360" w:name="_Toc30263"/>
    </w:p>
    <w:p w14:paraId="40FCDFFC">
      <w:pPr>
        <w:autoSpaceDE w:val="0"/>
        <w:autoSpaceDN w:val="0"/>
        <w:adjustRightInd w:val="0"/>
        <w:spacing w:beforeLines="0" w:afterLines="0" w:line="410" w:lineRule="exact"/>
        <w:ind w:firstLine="420" w:firstLineChars="200"/>
        <w:jc w:val="left"/>
        <w:rPr>
          <w:rFonts w:hint="eastAsia" w:ascii="宋体" w:hAnsi="宋体" w:eastAsia="宋体" w:cs="宋体"/>
          <w:color w:val="auto"/>
          <w:kern w:val="0"/>
          <w:sz w:val="21"/>
          <w:szCs w:val="24"/>
          <w:highlight w:val="none"/>
        </w:rPr>
      </w:pPr>
      <w:r>
        <w:rPr>
          <w:rFonts w:hint="eastAsia" w:ascii="宋体" w:hAnsi="宋体" w:eastAsia="宋体" w:cs="宋体"/>
          <w:color w:val="auto"/>
          <w:sz w:val="21"/>
          <w:szCs w:val="24"/>
          <w:highlight w:val="none"/>
        </w:rPr>
        <w:t xml:space="preserve">6.3 </w:t>
      </w:r>
      <w:r>
        <w:rPr>
          <w:rFonts w:hint="eastAsia" w:ascii="宋体" w:hAnsi="宋体" w:eastAsia="宋体" w:cs="宋体"/>
          <w:color w:val="auto"/>
          <w:kern w:val="0"/>
          <w:sz w:val="21"/>
          <w:szCs w:val="24"/>
          <w:highlight w:val="none"/>
        </w:rPr>
        <w:t>环境保护</w:t>
      </w:r>
      <w:bookmarkEnd w:id="357"/>
      <w:bookmarkEnd w:id="358"/>
      <w:bookmarkEnd w:id="359"/>
      <w:bookmarkEnd w:id="360"/>
    </w:p>
    <w:p w14:paraId="1B2C8C3A">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因施工需要，经发包人批准，由承包人办理有关施工场地交通、环卫和施工噪音管理等手续，费用由承包人负责。</w:t>
      </w:r>
    </w:p>
    <w:p w14:paraId="4DC4BACD">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经过城市道路的施工车辆，必须按交警、城管、运输等部门相关规定执行。由于施工车辆造成的道路、环境等污染，其责任和费用均由承包人承担。</w:t>
      </w:r>
    </w:p>
    <w:p w14:paraId="23E9F0D0">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根据《南宁市挥发性有机物污染防治实施方案（2019-2020年）》（南环委办〔2019〕166号）文件精神，宜优先使用低VOCs含量的涂料、油漆和有机溶剂。</w:t>
      </w:r>
    </w:p>
    <w:bookmarkEnd w:id="341"/>
    <w:bookmarkEnd w:id="342"/>
    <w:bookmarkEnd w:id="343"/>
    <w:bookmarkEnd w:id="344"/>
    <w:bookmarkEnd w:id="345"/>
    <w:bookmarkEnd w:id="346"/>
    <w:bookmarkEnd w:id="347"/>
    <w:p w14:paraId="7981C871">
      <w:pPr>
        <w:spacing w:beforeLines="0" w:afterLines="0"/>
        <w:rPr>
          <w:rFonts w:hint="eastAsia" w:ascii="宋体" w:hAnsi="宋体" w:eastAsia="宋体" w:cs="宋体"/>
          <w:color w:val="auto"/>
          <w:sz w:val="21"/>
          <w:szCs w:val="24"/>
          <w:highlight w:val="none"/>
        </w:rPr>
      </w:pPr>
      <w:bookmarkStart w:id="361" w:name="_Toc373227722"/>
      <w:bookmarkStart w:id="362" w:name="_Toc389065288"/>
      <w:bookmarkStart w:id="363" w:name="_Toc89"/>
      <w:bookmarkStart w:id="364" w:name="_Toc373478369"/>
      <w:bookmarkStart w:id="365" w:name="_Toc351203639"/>
      <w:r>
        <w:rPr>
          <w:rFonts w:hint="eastAsia" w:ascii="宋体" w:hAnsi="宋体" w:eastAsia="宋体" w:cs="宋体"/>
          <w:color w:val="auto"/>
          <w:sz w:val="21"/>
          <w:szCs w:val="24"/>
          <w:highlight w:val="none"/>
        </w:rPr>
        <w:t>7. 工期和进度</w:t>
      </w:r>
      <w:bookmarkEnd w:id="361"/>
      <w:bookmarkEnd w:id="362"/>
      <w:bookmarkEnd w:id="363"/>
      <w:bookmarkEnd w:id="364"/>
      <w:bookmarkEnd w:id="365"/>
    </w:p>
    <w:p w14:paraId="1ECE64D6">
      <w:pPr>
        <w:spacing w:beforeLines="0" w:afterLines="0"/>
        <w:rPr>
          <w:rFonts w:hint="eastAsia" w:ascii="宋体" w:hAnsi="宋体" w:eastAsia="宋体" w:cs="宋体"/>
          <w:color w:val="auto"/>
          <w:sz w:val="21"/>
          <w:szCs w:val="24"/>
          <w:highlight w:val="none"/>
        </w:rPr>
      </w:pPr>
      <w:bookmarkStart w:id="366" w:name="_Toc373227723"/>
      <w:bookmarkStart w:id="367" w:name="_Toc373478370"/>
      <w:bookmarkStart w:id="368" w:name="_Toc11077"/>
      <w:bookmarkStart w:id="369" w:name="_Toc389065289"/>
      <w:r>
        <w:rPr>
          <w:rFonts w:hint="eastAsia" w:ascii="宋体" w:hAnsi="宋体" w:eastAsia="宋体" w:cs="宋体"/>
          <w:color w:val="auto"/>
          <w:sz w:val="21"/>
          <w:szCs w:val="24"/>
          <w:highlight w:val="none"/>
        </w:rPr>
        <w:t>7.1 施工组织设计</w:t>
      </w:r>
      <w:bookmarkEnd w:id="366"/>
      <w:bookmarkEnd w:id="367"/>
      <w:bookmarkEnd w:id="368"/>
      <w:bookmarkEnd w:id="369"/>
    </w:p>
    <w:p w14:paraId="437620B1">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7.1.1 合同当事人约定的施工组织设计应包括的其他内容：</w:t>
      </w:r>
      <w:r>
        <w:rPr>
          <w:rFonts w:hint="eastAsia" w:ascii="宋体" w:hAnsi="宋体" w:eastAsia="宋体" w:cs="宋体"/>
          <w:color w:val="auto"/>
          <w:sz w:val="21"/>
          <w:szCs w:val="21"/>
          <w:highlight w:val="none"/>
          <w:u w:val="single"/>
        </w:rPr>
        <w:t xml:space="preserve"> 按有关规定执行  </w:t>
      </w:r>
      <w:r>
        <w:rPr>
          <w:rFonts w:hint="eastAsia" w:ascii="宋体" w:hAnsi="宋体" w:eastAsia="宋体" w:cs="宋体"/>
          <w:color w:val="auto"/>
          <w:sz w:val="21"/>
          <w:szCs w:val="21"/>
          <w:highlight w:val="none"/>
        </w:rPr>
        <w:t>。</w:t>
      </w:r>
    </w:p>
    <w:p w14:paraId="354A46BF">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7.1.2 施工组织设计的提交和修改</w:t>
      </w:r>
    </w:p>
    <w:p w14:paraId="0C7E560F">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承包人提交详细施工组织设计的期限的约定：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工程开工前7个工作日内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DA53197">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发包人和监理人在收到详细的施工组织设计后确认或提出修改意见的期限：</w:t>
      </w:r>
      <w:r>
        <w:rPr>
          <w:rFonts w:hint="eastAsia" w:ascii="宋体" w:hAnsi="宋体" w:eastAsia="宋体" w:cs="宋体"/>
          <w:color w:val="auto"/>
          <w:sz w:val="21"/>
          <w:szCs w:val="21"/>
          <w:highlight w:val="none"/>
          <w:u w:val="single"/>
        </w:rPr>
        <w:t xml:space="preserve">  从收到承包人提供的施工组织设计（施工方案）之日起七天内予以确认，如有重大异议必须在收到上述资料之日起五天内以书面形式送达承包人，逾期不确认也不提出书面意见的，视为同意   </w:t>
      </w:r>
      <w:r>
        <w:rPr>
          <w:rFonts w:hint="eastAsia" w:ascii="宋体" w:hAnsi="宋体" w:eastAsia="宋体" w:cs="宋体"/>
          <w:color w:val="auto"/>
          <w:sz w:val="21"/>
          <w:szCs w:val="21"/>
          <w:highlight w:val="none"/>
        </w:rPr>
        <w:t>。</w:t>
      </w:r>
    </w:p>
    <w:p w14:paraId="354C763D">
      <w:pPr>
        <w:spacing w:beforeLines="0" w:afterLines="0"/>
        <w:rPr>
          <w:rFonts w:hint="eastAsia" w:ascii="宋体" w:hAnsi="宋体" w:eastAsia="宋体" w:cs="宋体"/>
          <w:color w:val="auto"/>
          <w:sz w:val="21"/>
          <w:szCs w:val="24"/>
          <w:highlight w:val="none"/>
        </w:rPr>
      </w:pPr>
      <w:bookmarkStart w:id="370" w:name="_Toc389065290"/>
      <w:bookmarkStart w:id="371" w:name="_Toc373478371"/>
      <w:bookmarkStart w:id="372" w:name="_Toc24506"/>
      <w:bookmarkStart w:id="373" w:name="_Toc373227724"/>
      <w:r>
        <w:rPr>
          <w:rFonts w:hint="eastAsia" w:ascii="宋体" w:hAnsi="宋体" w:eastAsia="宋体" w:cs="宋体"/>
          <w:color w:val="auto"/>
          <w:sz w:val="21"/>
          <w:szCs w:val="24"/>
          <w:highlight w:val="none"/>
        </w:rPr>
        <w:t>7</w:t>
      </w:r>
      <w:bookmarkStart w:id="374" w:name="_Toc312678005"/>
      <w:bookmarkStart w:id="375" w:name="_Toc303539123"/>
      <w:bookmarkStart w:id="376" w:name="_Toc297123514"/>
      <w:bookmarkStart w:id="377" w:name="_Toc300934966"/>
      <w:bookmarkStart w:id="378" w:name="_Toc304295541"/>
      <w:bookmarkStart w:id="379" w:name="_Toc312677479"/>
      <w:bookmarkStart w:id="380" w:name="_Toc297216173"/>
      <w:r>
        <w:rPr>
          <w:rFonts w:hint="eastAsia" w:ascii="宋体" w:hAnsi="宋体" w:eastAsia="宋体" w:cs="宋体"/>
          <w:color w:val="auto"/>
          <w:sz w:val="21"/>
          <w:szCs w:val="24"/>
          <w:highlight w:val="none"/>
        </w:rPr>
        <w:t>.2 施工进度计划</w:t>
      </w:r>
      <w:bookmarkEnd w:id="370"/>
      <w:bookmarkEnd w:id="371"/>
      <w:bookmarkEnd w:id="372"/>
      <w:bookmarkEnd w:id="373"/>
    </w:p>
    <w:p w14:paraId="0511E770">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14:paraId="3DF77EA6">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发包人和监理人在收到修订的施工进度计划后确认或提出修改意见的期限：  </w:t>
      </w:r>
      <w:r>
        <w:rPr>
          <w:rFonts w:hint="eastAsia" w:ascii="宋体" w:hAnsi="宋体" w:eastAsia="宋体" w:cs="宋体"/>
          <w:color w:val="auto"/>
          <w:sz w:val="21"/>
          <w:szCs w:val="21"/>
          <w:highlight w:val="none"/>
          <w:u w:val="single"/>
        </w:rPr>
        <w:t xml:space="preserve">收到之后3 个工作日内 </w:t>
      </w:r>
      <w:r>
        <w:rPr>
          <w:rFonts w:hint="eastAsia" w:ascii="宋体" w:hAnsi="宋体" w:eastAsia="宋体" w:cs="宋体"/>
          <w:color w:val="auto"/>
          <w:sz w:val="21"/>
          <w:szCs w:val="21"/>
          <w:highlight w:val="none"/>
        </w:rPr>
        <w:t xml:space="preserve">   。</w:t>
      </w:r>
    </w:p>
    <w:p w14:paraId="32D4DA17">
      <w:pPr>
        <w:spacing w:beforeLines="0" w:afterLines="0"/>
        <w:rPr>
          <w:rFonts w:hint="eastAsia" w:ascii="宋体" w:hAnsi="宋体" w:eastAsia="宋体" w:cs="宋体"/>
          <w:color w:val="auto"/>
          <w:sz w:val="21"/>
          <w:szCs w:val="24"/>
          <w:highlight w:val="none"/>
        </w:rPr>
      </w:pPr>
      <w:bookmarkStart w:id="381" w:name="_Toc12066"/>
      <w:bookmarkStart w:id="382" w:name="_Toc373227725"/>
      <w:bookmarkStart w:id="383" w:name="_Toc389065291"/>
      <w:bookmarkStart w:id="384" w:name="_Toc373478372"/>
      <w:r>
        <w:rPr>
          <w:rFonts w:hint="eastAsia" w:ascii="宋体" w:hAnsi="宋体" w:eastAsia="宋体" w:cs="宋体"/>
          <w:color w:val="auto"/>
          <w:sz w:val="21"/>
          <w:szCs w:val="24"/>
          <w:highlight w:val="none"/>
        </w:rPr>
        <w:t>7.3 开工</w:t>
      </w:r>
      <w:bookmarkEnd w:id="381"/>
      <w:bookmarkEnd w:id="382"/>
      <w:bookmarkEnd w:id="383"/>
      <w:bookmarkEnd w:id="384"/>
    </w:p>
    <w:p w14:paraId="425524B4">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开工准备</w:t>
      </w:r>
    </w:p>
    <w:p w14:paraId="14DBA1A9">
      <w:pPr>
        <w:spacing w:beforeLines="0" w:afterLines="0" w:line="360" w:lineRule="auto"/>
        <w:ind w:firstLine="426"/>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关于承包人提交工程开工报审表的期限：</w:t>
      </w:r>
      <w:r>
        <w:rPr>
          <w:rFonts w:hint="eastAsia" w:ascii="宋体" w:hAnsi="宋体" w:eastAsia="宋体" w:cs="宋体"/>
          <w:color w:val="auto"/>
          <w:sz w:val="21"/>
          <w:szCs w:val="21"/>
          <w:highlight w:val="none"/>
          <w:u w:val="single"/>
        </w:rPr>
        <w:t xml:space="preserve">  承包人在图纸会审和设计交底之日起 7 个工作日内报送 </w:t>
      </w:r>
      <w:r>
        <w:rPr>
          <w:rFonts w:hint="eastAsia" w:ascii="宋体" w:hAnsi="宋体" w:eastAsia="宋体" w:cs="宋体"/>
          <w:color w:val="auto"/>
          <w:sz w:val="21"/>
          <w:szCs w:val="21"/>
          <w:highlight w:val="none"/>
        </w:rPr>
        <w:t>。</w:t>
      </w:r>
    </w:p>
    <w:p w14:paraId="77CA41F6">
      <w:pPr>
        <w:spacing w:beforeLines="0" w:afterLines="0" w:line="360" w:lineRule="auto"/>
        <w:ind w:firstLine="426"/>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关于发包人应完成的其他开工准备工作及期限：</w:t>
      </w:r>
      <w:r>
        <w:rPr>
          <w:rFonts w:hint="eastAsia" w:ascii="宋体" w:hAnsi="宋体" w:eastAsia="宋体" w:cs="宋体"/>
          <w:color w:val="auto"/>
          <w:sz w:val="21"/>
          <w:szCs w:val="21"/>
          <w:highlight w:val="none"/>
          <w:u w:val="single"/>
        </w:rPr>
        <w:t xml:space="preserve">  签订合同后 14 天内 </w:t>
      </w:r>
      <w:r>
        <w:rPr>
          <w:rFonts w:hint="eastAsia" w:ascii="宋体" w:hAnsi="宋体" w:eastAsia="宋体" w:cs="宋体"/>
          <w:color w:val="auto"/>
          <w:sz w:val="21"/>
          <w:szCs w:val="21"/>
          <w:highlight w:val="none"/>
        </w:rPr>
        <w:t>。</w:t>
      </w:r>
    </w:p>
    <w:p w14:paraId="335F2A62">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关于承包人应完成的其他开工准备工作及期限：</w:t>
      </w:r>
      <w:r>
        <w:rPr>
          <w:rFonts w:hint="eastAsia" w:ascii="宋体" w:hAnsi="宋体" w:eastAsia="宋体" w:cs="宋体"/>
          <w:color w:val="auto"/>
          <w:sz w:val="21"/>
          <w:szCs w:val="21"/>
          <w:highlight w:val="none"/>
          <w:u w:val="single"/>
        </w:rPr>
        <w:t xml:space="preserve">  签订合同后 14 天内 </w:t>
      </w:r>
      <w:r>
        <w:rPr>
          <w:rFonts w:hint="eastAsia" w:ascii="宋体" w:hAnsi="宋体" w:eastAsia="宋体" w:cs="宋体"/>
          <w:color w:val="auto"/>
          <w:sz w:val="21"/>
          <w:szCs w:val="21"/>
          <w:highlight w:val="none"/>
        </w:rPr>
        <w:t>。</w:t>
      </w:r>
    </w:p>
    <w:p w14:paraId="673F3E49">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 开工通知</w:t>
      </w:r>
    </w:p>
    <w:p w14:paraId="314B68F5">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因发包人原因造成监理人未能在计划开工日期之日起</w:t>
      </w:r>
      <w:r>
        <w:rPr>
          <w:rFonts w:hint="eastAsia" w:ascii="宋体" w:hAnsi="宋体" w:eastAsia="宋体" w:cs="宋体"/>
          <w:color w:val="auto"/>
          <w:sz w:val="21"/>
          <w:szCs w:val="21"/>
          <w:highlight w:val="none"/>
          <w:u w:val="single"/>
        </w:rPr>
        <w:t xml:space="preserve"> 90  </w:t>
      </w:r>
      <w:r>
        <w:rPr>
          <w:rFonts w:hint="eastAsia" w:ascii="宋体" w:hAnsi="宋体" w:eastAsia="宋体" w:cs="宋体"/>
          <w:color w:val="auto"/>
          <w:sz w:val="21"/>
          <w:szCs w:val="21"/>
          <w:highlight w:val="none"/>
        </w:rPr>
        <w:t>天内发出开工通知的，承包人有权提出价格调整要求，或者解除合同。</w:t>
      </w:r>
    </w:p>
    <w:bookmarkEnd w:id="374"/>
    <w:bookmarkEnd w:id="375"/>
    <w:bookmarkEnd w:id="376"/>
    <w:bookmarkEnd w:id="377"/>
    <w:bookmarkEnd w:id="378"/>
    <w:bookmarkEnd w:id="379"/>
    <w:bookmarkEnd w:id="380"/>
    <w:p w14:paraId="6172E86E">
      <w:pPr>
        <w:spacing w:beforeLines="0" w:afterLines="0"/>
        <w:rPr>
          <w:rFonts w:hint="eastAsia" w:ascii="宋体" w:hAnsi="宋体" w:eastAsia="宋体" w:cs="宋体"/>
          <w:color w:val="auto"/>
          <w:sz w:val="21"/>
          <w:szCs w:val="24"/>
          <w:highlight w:val="none"/>
        </w:rPr>
      </w:pPr>
      <w:bookmarkStart w:id="385" w:name="_Toc5444"/>
      <w:bookmarkStart w:id="386" w:name="_Toc373227726"/>
      <w:bookmarkStart w:id="387" w:name="_Toc389065292"/>
      <w:bookmarkStart w:id="388" w:name="_Toc373478373"/>
      <w:r>
        <w:rPr>
          <w:rFonts w:hint="eastAsia" w:ascii="宋体" w:hAnsi="宋体" w:eastAsia="宋体" w:cs="宋体"/>
          <w:color w:val="auto"/>
          <w:sz w:val="21"/>
          <w:szCs w:val="24"/>
          <w:highlight w:val="none"/>
        </w:rPr>
        <w:t>7.4 测量放线</w:t>
      </w:r>
      <w:bookmarkEnd w:id="385"/>
      <w:bookmarkEnd w:id="386"/>
      <w:bookmarkEnd w:id="387"/>
      <w:bookmarkEnd w:id="388"/>
    </w:p>
    <w:p w14:paraId="00CB00D4">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7.4.1发包人通过监理人向承包人提供测量基准点、基准线和水准点及其书面资料的期限：</w:t>
      </w:r>
    </w:p>
    <w:p w14:paraId="21977B83">
      <w:pPr>
        <w:spacing w:beforeLines="0" w:afterLines="0"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《开工通知》标明的开工日期前七天内，以书面形式交给承包人，双方现场进行交验  </w:t>
      </w:r>
      <w:r>
        <w:rPr>
          <w:rFonts w:hint="eastAsia" w:ascii="宋体" w:hAnsi="宋体" w:eastAsia="宋体" w:cs="宋体"/>
          <w:color w:val="auto"/>
          <w:sz w:val="21"/>
          <w:szCs w:val="21"/>
          <w:highlight w:val="none"/>
        </w:rPr>
        <w:t>。</w:t>
      </w:r>
    </w:p>
    <w:p w14:paraId="2ECA0D48">
      <w:pPr>
        <w:spacing w:beforeLines="0" w:afterLines="0"/>
        <w:rPr>
          <w:rFonts w:hint="eastAsia" w:ascii="宋体" w:hAnsi="宋体" w:eastAsia="宋体" w:cs="宋体"/>
          <w:color w:val="auto"/>
          <w:sz w:val="21"/>
          <w:szCs w:val="24"/>
          <w:highlight w:val="none"/>
        </w:rPr>
      </w:pPr>
      <w:bookmarkStart w:id="389" w:name="_Toc21949"/>
      <w:bookmarkStart w:id="390" w:name="_Toc389065293"/>
      <w:bookmarkStart w:id="391" w:name="_Toc373227727"/>
      <w:bookmarkStart w:id="392" w:name="_Toc373478374"/>
      <w:r>
        <w:rPr>
          <w:rFonts w:hint="eastAsia" w:ascii="宋体" w:hAnsi="宋体" w:eastAsia="宋体" w:cs="宋体"/>
          <w:color w:val="auto"/>
          <w:sz w:val="21"/>
          <w:szCs w:val="24"/>
          <w:highlight w:val="none"/>
        </w:rPr>
        <w:t>7</w:t>
      </w:r>
      <w:bookmarkStart w:id="393" w:name="_Toc297216175"/>
      <w:bookmarkStart w:id="394" w:name="_Toc300934968"/>
      <w:bookmarkStart w:id="395" w:name="_Toc303539125"/>
      <w:bookmarkStart w:id="396" w:name="_Toc297123516"/>
      <w:bookmarkStart w:id="397" w:name="_Toc304295546"/>
      <w:bookmarkStart w:id="398" w:name="_Toc312678010"/>
      <w:bookmarkStart w:id="399" w:name="_Toc312677484"/>
      <w:r>
        <w:rPr>
          <w:rFonts w:hint="eastAsia" w:ascii="宋体" w:hAnsi="宋体" w:eastAsia="宋体" w:cs="宋体"/>
          <w:color w:val="auto"/>
          <w:sz w:val="21"/>
          <w:szCs w:val="24"/>
          <w:highlight w:val="none"/>
        </w:rPr>
        <w:t>.5 工期延误</w:t>
      </w:r>
      <w:bookmarkEnd w:id="389"/>
      <w:bookmarkEnd w:id="390"/>
      <w:bookmarkEnd w:id="391"/>
      <w:bookmarkEnd w:id="392"/>
    </w:p>
    <w:bookmarkEnd w:id="393"/>
    <w:bookmarkEnd w:id="394"/>
    <w:bookmarkEnd w:id="395"/>
    <w:bookmarkEnd w:id="396"/>
    <w:bookmarkEnd w:id="397"/>
    <w:bookmarkEnd w:id="398"/>
    <w:bookmarkEnd w:id="399"/>
    <w:p w14:paraId="21278B28">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7.5.1 因发包人原因导致工期延误</w:t>
      </w:r>
    </w:p>
    <w:p w14:paraId="5E6B6D63">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（7）因发包人原因导致工期延误的其他情形：</w:t>
      </w:r>
      <w:r>
        <w:rPr>
          <w:rFonts w:hint="eastAsia" w:ascii="宋体" w:hAnsi="宋体" w:eastAsia="宋体" w:cs="宋体"/>
          <w:color w:val="auto"/>
          <w:sz w:val="21"/>
          <w:szCs w:val="21"/>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eastAsia="宋体" w:cs="宋体"/>
          <w:color w:val="auto"/>
          <w:sz w:val="21"/>
          <w:szCs w:val="21"/>
          <w:highlight w:val="none"/>
        </w:rPr>
        <w:t xml:space="preserve"> 。</w:t>
      </w:r>
    </w:p>
    <w:p w14:paraId="5C7BC72B">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400" w:name="_Toc318581169"/>
      <w:bookmarkStart w:id="401" w:name="_Toc312678012"/>
      <w:bookmarkStart w:id="402" w:name="_Toc312677486"/>
      <w:bookmarkStart w:id="403" w:name="_Toc297216177"/>
      <w:bookmarkStart w:id="404" w:name="_Toc300934970"/>
      <w:bookmarkStart w:id="405" w:name="_Toc304295548"/>
      <w:bookmarkStart w:id="406" w:name="_Toc303539127"/>
      <w:bookmarkStart w:id="407" w:name="_Toc297123518"/>
      <w:r>
        <w:rPr>
          <w:rFonts w:hint="eastAsia" w:ascii="宋体" w:hAnsi="宋体" w:eastAsia="宋体" w:cs="宋体"/>
          <w:color w:val="auto"/>
          <w:sz w:val="21"/>
          <w:szCs w:val="21"/>
          <w:highlight w:val="none"/>
        </w:rPr>
        <w:t>.5.2 因承包人原因导致工期延误</w:t>
      </w:r>
    </w:p>
    <w:bookmarkEnd w:id="400"/>
    <w:bookmarkEnd w:id="401"/>
    <w:bookmarkEnd w:id="402"/>
    <w:p w14:paraId="76ED9F2C">
      <w:pPr>
        <w:pStyle w:val="44"/>
        <w:spacing w:beforeLines="0" w:afterLines="0" w:line="360" w:lineRule="auto"/>
        <w:ind w:firstLine="48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4"/>
          <w:szCs w:val="21"/>
          <w:highlight w:val="none"/>
        </w:rPr>
        <w:t xml:space="preserve">双方约定经监理工程师确认，工期相应顺延的情况： </w:t>
      </w:r>
      <w:r>
        <w:rPr>
          <w:rFonts w:hint="eastAsia" w:ascii="宋体" w:hAnsi="宋体" w:eastAsia="宋体" w:cs="宋体"/>
          <w:color w:val="auto"/>
          <w:kern w:val="0"/>
          <w:sz w:val="21"/>
          <w:szCs w:val="24"/>
          <w:highlight w:val="none"/>
          <w:u w:val="single"/>
          <w:lang w:val="en-US" w:eastAsia="zh-CN" w:bidi="ar-SA"/>
        </w:rPr>
        <w:t xml:space="preserve"> 满足专用条款第 7.5.1 条 及专用条款 7.7 条及当地政府指令性要求（包括规划调整、征地等）原因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7868661">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w:t>
      </w:r>
      <w:bookmarkStart w:id="408" w:name="_Toc318581170"/>
      <w:bookmarkStart w:id="409" w:name="_Toc312677487"/>
      <w:bookmarkStart w:id="410" w:name="_Toc312678013"/>
      <w:r>
        <w:rPr>
          <w:rFonts w:hint="eastAsia" w:ascii="宋体" w:hAnsi="宋体" w:eastAsia="宋体" w:cs="宋体"/>
          <w:color w:val="auto"/>
          <w:sz w:val="21"/>
          <w:szCs w:val="21"/>
          <w:highlight w:val="none"/>
        </w:rPr>
        <w:t>承包人原因造成工期延误，逾期竣工违约金的计算方法为：</w:t>
      </w:r>
      <w:bookmarkEnd w:id="403"/>
      <w:bookmarkEnd w:id="404"/>
      <w:bookmarkEnd w:id="405"/>
      <w:bookmarkEnd w:id="406"/>
      <w:bookmarkEnd w:id="407"/>
      <w:bookmarkEnd w:id="408"/>
      <w:bookmarkEnd w:id="409"/>
      <w:bookmarkEnd w:id="410"/>
      <w:r>
        <w:rPr>
          <w:rFonts w:hint="eastAsia" w:ascii="宋体" w:hAnsi="宋体" w:eastAsia="宋体" w:cs="宋体"/>
          <w:color w:val="auto"/>
          <w:sz w:val="21"/>
          <w:szCs w:val="24"/>
          <w:highlight w:val="none"/>
          <w:u w:val="single"/>
        </w:rPr>
        <w:t>按逾期竣工的单项工程罚款，每延误一天,按单项工程应支付给承包人的结算造价的万分之四处罚,罚款直接从结算款中扣除。误期时间从规定竣工日期起直到实际竣工日期的天数（扣除发包人批准顺延的工期）。</w:t>
      </w:r>
      <w:r>
        <w:rPr>
          <w:rFonts w:hint="eastAsia" w:ascii="宋体" w:hAnsi="宋体" w:eastAsia="宋体" w:cs="宋体"/>
          <w:color w:val="auto"/>
          <w:sz w:val="21"/>
          <w:szCs w:val="24"/>
          <w:highlight w:val="none"/>
        </w:rPr>
        <w:t>因承包人原因造成工期延误，逾期竣工违约金的上限：</w:t>
      </w:r>
      <w:r>
        <w:rPr>
          <w:rFonts w:hint="eastAsia" w:ascii="宋体" w:hAnsi="宋体" w:eastAsia="宋体" w:cs="宋体"/>
          <w:color w:val="auto"/>
          <w:sz w:val="21"/>
          <w:szCs w:val="24"/>
          <w:highlight w:val="none"/>
          <w:u w:val="single"/>
        </w:rPr>
        <w:t>逾期竣工的单位工程合同价扣除建安劳保费、发包人材料价款后的5%</w:t>
      </w:r>
      <w:r>
        <w:rPr>
          <w:rFonts w:hint="eastAsia" w:ascii="宋体" w:hAnsi="宋体" w:eastAsia="宋体" w:cs="宋体"/>
          <w:color w:val="auto"/>
          <w:sz w:val="21"/>
          <w:szCs w:val="24"/>
          <w:highlight w:val="none"/>
        </w:rPr>
        <w:t>。</w:t>
      </w:r>
      <w:bookmarkStart w:id="411" w:name="_Toc312678014"/>
      <w:bookmarkStart w:id="412" w:name="_Toc318581171"/>
    </w:p>
    <w:bookmarkEnd w:id="411"/>
    <w:bookmarkEnd w:id="412"/>
    <w:p w14:paraId="338A7CDF">
      <w:pPr>
        <w:spacing w:beforeLines="0" w:afterLines="0"/>
        <w:rPr>
          <w:rFonts w:hint="eastAsia" w:ascii="宋体" w:hAnsi="宋体" w:eastAsia="宋体" w:cs="宋体"/>
          <w:color w:val="auto"/>
          <w:sz w:val="21"/>
          <w:szCs w:val="24"/>
          <w:highlight w:val="none"/>
        </w:rPr>
      </w:pPr>
      <w:bookmarkStart w:id="413" w:name="_Toc373227728"/>
      <w:bookmarkStart w:id="414" w:name="_Toc389065294"/>
      <w:bookmarkStart w:id="415" w:name="_Toc11238"/>
      <w:bookmarkStart w:id="416" w:name="_Toc373478375"/>
      <w:r>
        <w:rPr>
          <w:rFonts w:hint="eastAsia" w:ascii="宋体" w:hAnsi="宋体" w:eastAsia="宋体" w:cs="宋体"/>
          <w:color w:val="auto"/>
          <w:sz w:val="21"/>
          <w:szCs w:val="24"/>
          <w:highlight w:val="none"/>
        </w:rPr>
        <w:t>7</w:t>
      </w:r>
      <w:bookmarkStart w:id="417" w:name="_Toc303539128"/>
      <w:bookmarkStart w:id="418" w:name="_Toc300934971"/>
      <w:bookmarkStart w:id="419" w:name="_Toc297123519"/>
      <w:bookmarkStart w:id="420" w:name="_Toc297216178"/>
      <w:bookmarkStart w:id="421" w:name="_Toc312678015"/>
      <w:bookmarkStart w:id="422" w:name="_Toc304295549"/>
      <w:r>
        <w:rPr>
          <w:rFonts w:hint="eastAsia" w:ascii="宋体" w:hAnsi="宋体" w:eastAsia="宋体" w:cs="宋体"/>
          <w:color w:val="auto"/>
          <w:sz w:val="21"/>
          <w:szCs w:val="24"/>
          <w:highlight w:val="none"/>
        </w:rPr>
        <w:t>.6 不</w:t>
      </w:r>
      <w:bookmarkEnd w:id="417"/>
      <w:bookmarkEnd w:id="418"/>
      <w:bookmarkEnd w:id="419"/>
      <w:bookmarkEnd w:id="420"/>
      <w:bookmarkEnd w:id="421"/>
      <w:bookmarkEnd w:id="422"/>
      <w:r>
        <w:rPr>
          <w:rFonts w:hint="eastAsia" w:ascii="宋体" w:hAnsi="宋体" w:eastAsia="宋体" w:cs="宋体"/>
          <w:color w:val="auto"/>
          <w:sz w:val="21"/>
          <w:szCs w:val="24"/>
          <w:highlight w:val="none"/>
        </w:rPr>
        <w:t>利物质条件</w:t>
      </w:r>
      <w:bookmarkEnd w:id="413"/>
      <w:bookmarkEnd w:id="414"/>
      <w:bookmarkEnd w:id="415"/>
      <w:bookmarkEnd w:id="416"/>
    </w:p>
    <w:p w14:paraId="3DB70D7B">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bookmarkStart w:id="423" w:name="_Toc312678016"/>
      <w:bookmarkStart w:id="424" w:name="_Toc318581172"/>
      <w:bookmarkStart w:id="425" w:name="_Toc304295550"/>
      <w:bookmarkStart w:id="426" w:name="_Toc303539129"/>
      <w:bookmarkStart w:id="427" w:name="_Toc297123520"/>
      <w:bookmarkStart w:id="428" w:name="_Toc297216179"/>
      <w:bookmarkStart w:id="429" w:name="_Toc300934972"/>
      <w:r>
        <w:rPr>
          <w:rFonts w:hint="eastAsia" w:ascii="宋体" w:hAnsi="宋体" w:eastAsia="宋体" w:cs="宋体"/>
          <w:color w:val="auto"/>
          <w:sz w:val="21"/>
          <w:szCs w:val="21"/>
          <w:highlight w:val="none"/>
        </w:rPr>
        <w:t>不利物质条件的其他情形和有关约定：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以有关部门发布的文告或文件为准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423"/>
    <w:bookmarkEnd w:id="424"/>
    <w:bookmarkEnd w:id="425"/>
    <w:bookmarkEnd w:id="426"/>
    <w:bookmarkEnd w:id="427"/>
    <w:bookmarkEnd w:id="428"/>
    <w:bookmarkEnd w:id="429"/>
    <w:p w14:paraId="444D9BEB">
      <w:pPr>
        <w:spacing w:beforeLines="0" w:afterLines="0"/>
        <w:rPr>
          <w:rFonts w:hint="eastAsia" w:ascii="宋体" w:hAnsi="宋体" w:eastAsia="宋体" w:cs="宋体"/>
          <w:color w:val="auto"/>
          <w:sz w:val="21"/>
          <w:szCs w:val="24"/>
          <w:highlight w:val="none"/>
        </w:rPr>
      </w:pPr>
      <w:bookmarkStart w:id="430" w:name="_Toc373478376"/>
      <w:bookmarkStart w:id="431" w:name="_Toc21019"/>
      <w:bookmarkStart w:id="432" w:name="_Toc373227729"/>
      <w:bookmarkStart w:id="433" w:name="_Toc389065295"/>
      <w:r>
        <w:rPr>
          <w:rFonts w:hint="eastAsia" w:ascii="宋体" w:hAnsi="宋体" w:eastAsia="宋体" w:cs="宋体"/>
          <w:color w:val="auto"/>
          <w:sz w:val="21"/>
          <w:szCs w:val="24"/>
          <w:highlight w:val="none"/>
        </w:rPr>
        <w:t>7</w:t>
      </w:r>
      <w:bookmarkStart w:id="434" w:name="_Toc312678017"/>
      <w:bookmarkStart w:id="435" w:name="_Toc304295551"/>
      <w:bookmarkStart w:id="436" w:name="_Toc297216180"/>
      <w:bookmarkStart w:id="437" w:name="_Toc303539130"/>
      <w:bookmarkStart w:id="438" w:name="_Toc297123521"/>
      <w:bookmarkStart w:id="439" w:name="_Toc300934973"/>
      <w:r>
        <w:rPr>
          <w:rFonts w:hint="eastAsia" w:ascii="宋体" w:hAnsi="宋体" w:eastAsia="宋体" w:cs="宋体"/>
          <w:color w:val="auto"/>
          <w:sz w:val="21"/>
          <w:szCs w:val="24"/>
          <w:highlight w:val="none"/>
        </w:rPr>
        <w:t>.7 异常恶劣的气候条件</w:t>
      </w:r>
      <w:bookmarkEnd w:id="430"/>
      <w:bookmarkEnd w:id="431"/>
      <w:bookmarkEnd w:id="432"/>
      <w:bookmarkEnd w:id="433"/>
    </w:p>
    <w:bookmarkEnd w:id="434"/>
    <w:bookmarkEnd w:id="435"/>
    <w:bookmarkEnd w:id="436"/>
    <w:bookmarkEnd w:id="437"/>
    <w:bookmarkEnd w:id="438"/>
    <w:bookmarkEnd w:id="439"/>
    <w:p w14:paraId="42EE5AAD">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发包人和承包人同意以下情形视为异常恶劣的气候条件：</w:t>
      </w:r>
    </w:p>
    <w:p w14:paraId="21E75BD9">
      <w:pPr>
        <w:pStyle w:val="44"/>
        <w:spacing w:beforeLines="0" w:afterLines="0" w:line="360" w:lineRule="auto"/>
        <w:jc w:val="left"/>
        <w:rPr>
          <w:rFonts w:hint="eastAsia" w:ascii="宋体" w:hAnsi="宋体" w:eastAsia="宋体" w:cs="宋体"/>
          <w:color w:val="auto"/>
          <w:kern w:val="0"/>
          <w:sz w:val="21"/>
          <w:szCs w:val="21"/>
          <w:highlight w:val="none"/>
        </w:rPr>
      </w:pPr>
      <w:bookmarkStart w:id="440" w:name="_Toc22298"/>
      <w:bookmarkStart w:id="441" w:name="_Toc373227730"/>
      <w:bookmarkStart w:id="442" w:name="_Toc389065296"/>
      <w:bookmarkStart w:id="443" w:name="_Toc373478377"/>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 xml:space="preserve"> 6 级以上地震 ； </w:t>
      </w:r>
    </w:p>
    <w:p w14:paraId="6FD4A84A">
      <w:pPr>
        <w:pStyle w:val="44"/>
        <w:spacing w:beforeLines="0" w:afterLines="0"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 </w:t>
      </w:r>
      <w:r>
        <w:rPr>
          <w:rFonts w:hint="eastAsia" w:ascii="宋体" w:hAnsi="宋体" w:eastAsia="宋体" w:cs="宋体"/>
          <w:color w:val="auto"/>
          <w:kern w:val="0"/>
          <w:sz w:val="21"/>
          <w:szCs w:val="21"/>
          <w:highlight w:val="none"/>
          <w:u w:val="single"/>
        </w:rPr>
        <w:t xml:space="preserve">10 级以上持续 1 天的大风 ； </w:t>
      </w:r>
    </w:p>
    <w:p w14:paraId="13401CC3">
      <w:pPr>
        <w:pStyle w:val="44"/>
        <w:spacing w:beforeLines="0" w:afterLines="0"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 </w:t>
      </w:r>
      <w:r>
        <w:rPr>
          <w:rFonts w:hint="eastAsia" w:ascii="宋体" w:hAnsi="宋体" w:eastAsia="宋体" w:cs="宋体"/>
          <w:color w:val="auto"/>
          <w:kern w:val="0"/>
          <w:sz w:val="21"/>
          <w:szCs w:val="21"/>
          <w:highlight w:val="none"/>
          <w:u w:val="single"/>
        </w:rPr>
        <w:t>日气温低于零摄氏度的严寒大于 3 天；</w:t>
      </w:r>
      <w:r>
        <w:rPr>
          <w:rFonts w:hint="eastAsia" w:ascii="宋体" w:hAnsi="宋体" w:eastAsia="宋体" w:cs="宋体"/>
          <w:color w:val="auto"/>
          <w:kern w:val="0"/>
          <w:sz w:val="21"/>
          <w:szCs w:val="21"/>
          <w:highlight w:val="none"/>
        </w:rPr>
        <w:t xml:space="preserve"> </w:t>
      </w:r>
    </w:p>
    <w:p w14:paraId="64E70087">
      <w:pPr>
        <w:pStyle w:val="44"/>
        <w:spacing w:beforeLines="0" w:afterLines="0"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（4） </w:t>
      </w:r>
      <w:r>
        <w:rPr>
          <w:rFonts w:hint="eastAsia" w:ascii="宋体" w:hAnsi="宋体" w:eastAsia="宋体" w:cs="宋体"/>
          <w:color w:val="auto"/>
          <w:kern w:val="0"/>
          <w:sz w:val="21"/>
          <w:szCs w:val="21"/>
          <w:highlight w:val="none"/>
          <w:u w:val="single"/>
        </w:rPr>
        <w:t xml:space="preserve">日气温超过 40 摄氏度的高温大于 3 天； </w:t>
      </w:r>
    </w:p>
    <w:p w14:paraId="5B0682E5">
      <w:pPr>
        <w:pStyle w:val="44"/>
        <w:spacing w:beforeLines="0" w:afterLines="0"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（5） </w:t>
      </w:r>
      <w:r>
        <w:rPr>
          <w:rFonts w:hint="eastAsia" w:ascii="宋体" w:hAnsi="宋体" w:eastAsia="宋体" w:cs="宋体"/>
          <w:color w:val="auto"/>
          <w:kern w:val="0"/>
          <w:sz w:val="21"/>
          <w:szCs w:val="21"/>
          <w:highlight w:val="none"/>
          <w:u w:val="single"/>
        </w:rPr>
        <w:t xml:space="preserve">一日内降雨达 200mm 的暴雨（以气象部门公布的为准） </w:t>
      </w:r>
      <w:r>
        <w:rPr>
          <w:rFonts w:hint="eastAsia" w:ascii="宋体" w:hAnsi="宋体" w:eastAsia="宋体" w:cs="宋体"/>
          <w:color w:val="auto"/>
          <w:kern w:val="0"/>
          <w:sz w:val="21"/>
          <w:szCs w:val="21"/>
          <w:highlight w:val="none"/>
        </w:rPr>
        <w:t>；</w:t>
      </w:r>
    </w:p>
    <w:p w14:paraId="6E98DD42">
      <w:pPr>
        <w:pStyle w:val="44"/>
        <w:spacing w:beforeLines="0" w:afterLines="0"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r>
        <w:rPr>
          <w:rFonts w:hint="eastAsia" w:ascii="宋体" w:hAnsi="宋体" w:eastAsia="宋体" w:cs="宋体"/>
          <w:color w:val="auto"/>
          <w:kern w:val="0"/>
          <w:sz w:val="21"/>
          <w:szCs w:val="21"/>
          <w:highlight w:val="none"/>
          <w:u w:val="single"/>
        </w:rPr>
        <w:t>造成的工程损坏的冰雹和大雪灾害；其它异常恶劣气候灾害（以气象部门公布的为准）</w:t>
      </w:r>
      <w:r>
        <w:rPr>
          <w:rFonts w:hint="eastAsia" w:ascii="宋体" w:hAnsi="宋体" w:eastAsia="宋体" w:cs="宋体"/>
          <w:color w:val="auto"/>
          <w:kern w:val="0"/>
          <w:sz w:val="21"/>
          <w:szCs w:val="21"/>
          <w:highlight w:val="none"/>
        </w:rPr>
        <w:t>。</w:t>
      </w:r>
    </w:p>
    <w:p w14:paraId="649500E7">
      <w:pPr>
        <w:spacing w:beforeLines="0" w:afterLine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7.9 提前竣工</w:t>
      </w:r>
      <w:bookmarkEnd w:id="440"/>
      <w:bookmarkEnd w:id="441"/>
      <w:bookmarkEnd w:id="442"/>
      <w:bookmarkEnd w:id="443"/>
    </w:p>
    <w:p w14:paraId="6C653811">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7.9.2提前竣工（赶工）增加费的计算方法：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7E29E784">
      <w:pPr>
        <w:spacing w:beforeLines="0" w:afterLines="0"/>
        <w:rPr>
          <w:rFonts w:hint="eastAsia" w:ascii="宋体" w:hAnsi="宋体" w:eastAsia="宋体" w:cs="宋体"/>
          <w:color w:val="auto"/>
          <w:sz w:val="21"/>
          <w:szCs w:val="24"/>
          <w:highlight w:val="none"/>
        </w:rPr>
      </w:pPr>
      <w:bookmarkStart w:id="444" w:name="_Toc19507"/>
      <w:bookmarkStart w:id="445" w:name="_Toc351203640"/>
      <w:bookmarkStart w:id="446" w:name="_Toc373478378"/>
      <w:bookmarkStart w:id="447" w:name="_Toc389065297"/>
      <w:bookmarkStart w:id="448" w:name="_Toc373227731"/>
      <w:r>
        <w:rPr>
          <w:rFonts w:hint="eastAsia" w:ascii="宋体" w:hAnsi="宋体" w:eastAsia="宋体" w:cs="宋体"/>
          <w:color w:val="auto"/>
          <w:sz w:val="21"/>
          <w:szCs w:val="24"/>
          <w:highlight w:val="none"/>
        </w:rPr>
        <w:t>8. 材料与设备</w:t>
      </w:r>
      <w:bookmarkEnd w:id="444"/>
      <w:bookmarkEnd w:id="445"/>
      <w:bookmarkEnd w:id="446"/>
      <w:bookmarkEnd w:id="447"/>
      <w:bookmarkEnd w:id="448"/>
    </w:p>
    <w:bookmarkEnd w:id="327"/>
    <w:bookmarkEnd w:id="328"/>
    <w:bookmarkEnd w:id="329"/>
    <w:bookmarkEnd w:id="330"/>
    <w:bookmarkEnd w:id="331"/>
    <w:bookmarkEnd w:id="332"/>
    <w:bookmarkEnd w:id="333"/>
    <w:bookmarkEnd w:id="334"/>
    <w:bookmarkEnd w:id="335"/>
    <w:bookmarkEnd w:id="336"/>
    <w:p w14:paraId="5E38B51C">
      <w:pPr>
        <w:spacing w:beforeLines="0" w:afterLines="0"/>
        <w:rPr>
          <w:rFonts w:hint="eastAsia" w:ascii="宋体" w:hAnsi="宋体" w:eastAsia="宋体" w:cs="宋体"/>
          <w:color w:val="auto"/>
          <w:sz w:val="21"/>
          <w:szCs w:val="24"/>
          <w:highlight w:val="none"/>
        </w:rPr>
      </w:pPr>
      <w:bookmarkStart w:id="449" w:name="_Toc373227732"/>
      <w:bookmarkStart w:id="450" w:name="_Toc389065298"/>
      <w:bookmarkStart w:id="451" w:name="_Toc373478379"/>
      <w:bookmarkStart w:id="452" w:name="_Toc24535"/>
      <w:r>
        <w:rPr>
          <w:rFonts w:hint="eastAsia" w:ascii="宋体" w:hAnsi="宋体" w:eastAsia="宋体" w:cs="宋体"/>
          <w:color w:val="auto"/>
          <w:sz w:val="21"/>
          <w:szCs w:val="24"/>
          <w:highlight w:val="none"/>
        </w:rPr>
        <w:t>8.2 承包人采购材料与工程设备</w:t>
      </w:r>
      <w:bookmarkEnd w:id="449"/>
      <w:bookmarkEnd w:id="450"/>
      <w:bookmarkEnd w:id="451"/>
      <w:bookmarkEnd w:id="452"/>
    </w:p>
    <w:p w14:paraId="00205D02">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除已标价工程量清单《发包人提供主要材料和工程设备一览表》（表-21）中明确的材料、工程设备外，由承包人负责材料和工程设备的采购、运输和保管，承包人所采购的材料和工程设施各类技术参数，必须满足或优于施工图的技术参数要求，如发现不符合施工图技术参数要求的，发包人可拒绝验收，一切损失及造成的后果由承包人承担。《承包人提供主要材料和工程设备一览表》（表-22）见已标价工程量清单。</w:t>
      </w:r>
    </w:p>
    <w:p w14:paraId="29DEEA0A">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bookmarkStart w:id="453" w:name="_Toc373478380"/>
      <w:bookmarkStart w:id="454" w:name="_Toc389065299"/>
      <w:bookmarkStart w:id="455" w:name="_Toc373227733"/>
      <w:r>
        <w:rPr>
          <w:rFonts w:hint="eastAsia" w:ascii="宋体" w:hAnsi="宋体" w:eastAsia="宋体" w:cs="宋体"/>
          <w:color w:val="auto"/>
          <w:sz w:val="21"/>
          <w:szCs w:val="21"/>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6F0D728E">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满足南宁市城乡建设委员会南宁市工业和信息化委员会关于重新印发《南宁市城乡建设委员会和南宁市工业和信息化委员会关于推广应用高性能混凝土的通知》的通知（南建规【2016】1号）要求的，本工程必须使用高性能混凝土。 </w:t>
      </w:r>
    </w:p>
    <w:p w14:paraId="583ADC36">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满足南宁市人民政府印发的《南宁市人民政府关于推广使用预拌砂浆的实施意见》（南府规〔2016〕12 号）要求的，本工程必须使用预拌砂浆。</w:t>
      </w:r>
    </w:p>
    <w:p w14:paraId="0BCB955B">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满足《南宁市松材线虫病防控工作领导小组工作制度》要求，要求涉木产品供货商对应施检疫的产品提供《植物检疫证书》；涉及松木质包装材料的，积极配合林业部门做好检疫工作。</w:t>
      </w:r>
    </w:p>
    <w:p w14:paraId="7229955A">
      <w:pPr>
        <w:spacing w:beforeLines="0" w:afterLines="0"/>
        <w:rPr>
          <w:rFonts w:hint="eastAsia" w:ascii="宋体" w:hAnsi="宋体" w:eastAsia="宋体" w:cs="宋体"/>
          <w:color w:val="auto"/>
          <w:sz w:val="21"/>
          <w:szCs w:val="24"/>
          <w:highlight w:val="none"/>
        </w:rPr>
      </w:pPr>
      <w:bookmarkStart w:id="456" w:name="_Toc3731"/>
      <w:r>
        <w:rPr>
          <w:rFonts w:hint="eastAsia" w:ascii="宋体" w:hAnsi="宋体" w:eastAsia="宋体" w:cs="宋体"/>
          <w:color w:val="auto"/>
          <w:sz w:val="21"/>
          <w:szCs w:val="24"/>
          <w:highlight w:val="none"/>
        </w:rPr>
        <w:t>8</w:t>
      </w:r>
      <w:bookmarkStart w:id="457" w:name="_Toc296346668"/>
      <w:bookmarkStart w:id="458" w:name="_Toc296503167"/>
      <w:bookmarkStart w:id="459" w:name="_Toc296944506"/>
      <w:bookmarkStart w:id="460" w:name="_Toc297120467"/>
      <w:bookmarkStart w:id="461" w:name="_Toc296347166"/>
      <w:bookmarkStart w:id="462" w:name="_Toc296891207"/>
      <w:bookmarkStart w:id="463" w:name="_Toc300934979"/>
      <w:bookmarkStart w:id="464" w:name="_Toc304295556"/>
      <w:bookmarkStart w:id="465" w:name="_Toc296890995"/>
      <w:bookmarkStart w:id="466" w:name="_Toc280868654"/>
      <w:bookmarkStart w:id="467" w:name="_Toc312678019"/>
      <w:bookmarkStart w:id="468" w:name="_Toc292559372"/>
      <w:bookmarkStart w:id="469" w:name="_Toc303539136"/>
      <w:bookmarkStart w:id="470" w:name="_Toc297123527"/>
      <w:bookmarkStart w:id="471" w:name="_Toc297048353"/>
      <w:bookmarkStart w:id="472" w:name="_Toc292559877"/>
      <w:bookmarkStart w:id="473" w:name="_Toc297216186"/>
      <w:bookmarkStart w:id="474" w:name="_Toc312677493"/>
      <w:bookmarkStart w:id="475" w:name="_Toc267251424"/>
      <w:bookmarkStart w:id="476" w:name="_Toc280868655"/>
      <w:bookmarkStart w:id="477" w:name="_Toc280868656"/>
      <w:r>
        <w:rPr>
          <w:rFonts w:hint="eastAsia" w:ascii="宋体" w:hAnsi="宋体" w:eastAsia="宋体" w:cs="宋体"/>
          <w:color w:val="auto"/>
          <w:sz w:val="21"/>
          <w:szCs w:val="24"/>
          <w:highlight w:val="none"/>
        </w:rPr>
        <w:t>.4 材料与工程设备的保管与使用</w:t>
      </w:r>
      <w:bookmarkEnd w:id="453"/>
      <w:bookmarkEnd w:id="454"/>
      <w:bookmarkEnd w:id="455"/>
      <w:bookmarkEnd w:id="456"/>
    </w:p>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14:paraId="1AC23011">
      <w:pPr>
        <w:pStyle w:val="44"/>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8</w:t>
      </w:r>
      <w:bookmarkStart w:id="478" w:name="_Toc292559373"/>
      <w:bookmarkStart w:id="479" w:name="_Toc292559878"/>
      <w:bookmarkStart w:id="480" w:name="_Toc303539137"/>
      <w:bookmarkStart w:id="481" w:name="_Toc304295557"/>
      <w:bookmarkStart w:id="482" w:name="_Toc297048354"/>
      <w:bookmarkStart w:id="483" w:name="_Toc296503168"/>
      <w:bookmarkStart w:id="484" w:name="_Toc296346669"/>
      <w:bookmarkStart w:id="485" w:name="_Toc312678020"/>
      <w:bookmarkStart w:id="486" w:name="_Toc296347167"/>
      <w:bookmarkStart w:id="487" w:name="_Toc297123528"/>
      <w:bookmarkStart w:id="488" w:name="_Toc296944507"/>
      <w:bookmarkStart w:id="489" w:name="_Toc296890996"/>
      <w:bookmarkStart w:id="490" w:name="_Toc300934980"/>
      <w:bookmarkStart w:id="491" w:name="_Toc312677494"/>
      <w:bookmarkStart w:id="492" w:name="_Toc296891208"/>
      <w:bookmarkStart w:id="493" w:name="_Toc318581173"/>
      <w:bookmarkStart w:id="494" w:name="_Toc297120468"/>
      <w:bookmarkStart w:id="495" w:name="_Toc297216187"/>
      <w:r>
        <w:rPr>
          <w:rFonts w:hint="eastAsia" w:ascii="宋体" w:hAnsi="宋体" w:eastAsia="宋体" w:cs="宋体"/>
          <w:color w:val="auto"/>
          <w:kern w:val="0"/>
          <w:sz w:val="21"/>
          <w:szCs w:val="21"/>
          <w:highlight w:val="none"/>
        </w:rPr>
        <w:t>.4.1发包人供应的材料设备的保管费用的承担：</w:t>
      </w:r>
      <w:r>
        <w:rPr>
          <w:rFonts w:hint="eastAsia" w:ascii="宋体" w:hAnsi="宋体" w:eastAsia="宋体" w:cs="宋体"/>
          <w:color w:val="auto"/>
          <w:kern w:val="0"/>
          <w:sz w:val="21"/>
          <w:szCs w:val="21"/>
          <w:highlight w:val="none"/>
          <w:u w:val="single"/>
        </w:rPr>
        <w:t xml:space="preserve"> 材料设备堆放至发包人指定的存放地点后，所发生的一切保管、运输费用均由承包人承担，因保管不力所造成的损失由承包人负责。移交承包人之前由发包人承担  </w:t>
      </w:r>
      <w:r>
        <w:rPr>
          <w:rFonts w:hint="eastAsia" w:ascii="宋体" w:hAnsi="宋体" w:eastAsia="宋体" w:cs="宋体"/>
          <w:color w:val="auto"/>
          <w:sz w:val="21"/>
          <w:szCs w:val="21"/>
          <w:highlight w:val="none"/>
        </w:rPr>
        <w:t>。</w:t>
      </w:r>
    </w:p>
    <w:bookmarkEnd w:id="478"/>
    <w:bookmarkEnd w:id="479"/>
    <w:p w14:paraId="17956CB5">
      <w:pPr>
        <w:spacing w:beforeLines="0" w:afterLines="0"/>
        <w:rPr>
          <w:rFonts w:hint="eastAsia" w:ascii="宋体" w:hAnsi="宋体" w:eastAsia="宋体" w:cs="宋体"/>
          <w:color w:val="auto"/>
          <w:sz w:val="21"/>
          <w:szCs w:val="21"/>
          <w:highlight w:val="none"/>
        </w:rPr>
      </w:pPr>
      <w:bookmarkStart w:id="496" w:name="_Toc15900"/>
      <w:bookmarkStart w:id="497" w:name="_Toc373227734"/>
      <w:bookmarkStart w:id="498" w:name="_Toc389065300"/>
      <w:bookmarkStart w:id="499" w:name="_Toc373478381"/>
      <w:r>
        <w:rPr>
          <w:rFonts w:hint="eastAsia" w:ascii="宋体" w:hAnsi="宋体" w:eastAsia="宋体" w:cs="宋体"/>
          <w:color w:val="auto"/>
          <w:sz w:val="21"/>
          <w:szCs w:val="21"/>
          <w:highlight w:val="none"/>
        </w:rPr>
        <w:t>8.6 样品</w:t>
      </w:r>
      <w:bookmarkEnd w:id="496"/>
      <w:bookmarkEnd w:id="497"/>
      <w:bookmarkEnd w:id="498"/>
      <w:bookmarkEnd w:id="499"/>
    </w:p>
    <w:p w14:paraId="584033CE">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8.6.1 样品的报送与封存</w:t>
      </w:r>
    </w:p>
    <w:p w14:paraId="46BD2329">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需要承包人报送样品的材料或工程设备，样品的种类、名称、规格、数量要求：</w:t>
      </w:r>
      <w:r>
        <w:rPr>
          <w:rFonts w:hint="eastAsia" w:ascii="宋体" w:hAnsi="宋体" w:eastAsia="宋体" w:cs="宋体"/>
          <w:color w:val="auto"/>
          <w:sz w:val="21"/>
          <w:szCs w:val="21"/>
          <w:highlight w:val="none"/>
          <w:u w:val="single"/>
        </w:rPr>
        <w:t>主要材料涉及品种、款式、颜色等方面内容的，承包人应提交准备合格的材料样品送发包人选定。</w:t>
      </w:r>
    </w:p>
    <w:p w14:paraId="3C7951EA">
      <w:pPr>
        <w:spacing w:beforeLines="0" w:afterLines="0"/>
        <w:rPr>
          <w:rFonts w:hint="eastAsia" w:ascii="宋体" w:hAnsi="宋体" w:eastAsia="宋体" w:cs="宋体"/>
          <w:color w:val="auto"/>
          <w:sz w:val="21"/>
          <w:szCs w:val="24"/>
          <w:highlight w:val="none"/>
        </w:rPr>
      </w:pPr>
      <w:bookmarkStart w:id="500" w:name="_Toc373227735"/>
      <w:bookmarkStart w:id="501" w:name="_Toc389065301"/>
      <w:bookmarkStart w:id="502" w:name="_Toc21051"/>
      <w:bookmarkStart w:id="503" w:name="_Toc373478382"/>
      <w:r>
        <w:rPr>
          <w:rFonts w:hint="eastAsia" w:ascii="宋体" w:hAnsi="宋体" w:eastAsia="宋体" w:cs="宋体"/>
          <w:color w:val="auto"/>
          <w:sz w:val="21"/>
          <w:szCs w:val="24"/>
          <w:highlight w:val="none"/>
        </w:rPr>
        <w:t>8.8 施工设备和临时设施</w:t>
      </w:r>
      <w:bookmarkEnd w:id="500"/>
      <w:bookmarkEnd w:id="501"/>
      <w:bookmarkEnd w:id="502"/>
      <w:bookmarkEnd w:id="503"/>
    </w:p>
    <w:p w14:paraId="38A0AEE7">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8.8.1 承包人提供的施工设备和临时设施</w:t>
      </w:r>
    </w:p>
    <w:p w14:paraId="56A2EFF4">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除专用合同条款另有约定的其他独立承包人和监理人指示的他人提供条件外，承包人运入施工场地的所有施工设备以及在施工场地建设的临时设施仅限于用于合同工程。</w:t>
      </w:r>
    </w:p>
    <w:p w14:paraId="5EAABA8E">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关于修建临时设施费用承担的约定：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由承包人自行承担</w:t>
      </w:r>
      <w:r>
        <w:rPr>
          <w:rFonts w:hint="eastAsia" w:ascii="宋体" w:hAnsi="宋体" w:eastAsia="宋体" w:cs="宋体"/>
          <w:color w:val="auto"/>
          <w:sz w:val="21"/>
          <w:szCs w:val="21"/>
          <w:highlight w:val="none"/>
          <w:u w:val="single"/>
        </w:rPr>
        <w:t xml:space="preserve">         </w:t>
      </w:r>
    </w:p>
    <w:p w14:paraId="2022A346">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8.8.2 发包人提供的施工设备和临时设施</w:t>
      </w:r>
    </w:p>
    <w:p w14:paraId="12CCA8AD">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0834BD96">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发包人提供的施工设备和临时设施的运行、维护、拆除、清运费用的承担人：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14:paraId="11CAAC2B">
      <w:pPr>
        <w:spacing w:beforeLines="0" w:afterLines="0"/>
        <w:rPr>
          <w:rFonts w:hint="eastAsia" w:ascii="宋体" w:hAnsi="宋体" w:eastAsia="宋体" w:cs="宋体"/>
          <w:color w:val="auto"/>
          <w:sz w:val="21"/>
          <w:szCs w:val="24"/>
          <w:highlight w:val="none"/>
        </w:rPr>
      </w:pPr>
      <w:bookmarkStart w:id="504" w:name="_Toc351203641"/>
      <w:bookmarkStart w:id="505" w:name="_Toc373227736"/>
      <w:bookmarkStart w:id="506" w:name="_Toc27616"/>
      <w:bookmarkStart w:id="507" w:name="_Toc373478383"/>
      <w:bookmarkStart w:id="508" w:name="_Toc389065302"/>
      <w:r>
        <w:rPr>
          <w:rFonts w:hint="eastAsia" w:ascii="宋体" w:hAnsi="宋体" w:eastAsia="宋体" w:cs="宋体"/>
          <w:color w:val="auto"/>
          <w:sz w:val="21"/>
          <w:szCs w:val="24"/>
          <w:highlight w:val="none"/>
        </w:rPr>
        <w:t>9</w:t>
      </w:r>
      <w:bookmarkEnd w:id="475"/>
      <w:bookmarkEnd w:id="476"/>
      <w:bookmarkEnd w:id="477"/>
      <w:bookmarkStart w:id="509" w:name="_Toc297123533"/>
      <w:bookmarkStart w:id="510" w:name="_Toc312678021"/>
      <w:bookmarkStart w:id="511" w:name="_Toc297216192"/>
      <w:bookmarkStart w:id="512" w:name="_Toc303539139"/>
      <w:bookmarkStart w:id="513" w:name="_Toc304295559"/>
      <w:bookmarkStart w:id="514" w:name="_Toc312677495"/>
      <w:bookmarkStart w:id="515" w:name="_Toc300934982"/>
      <w:bookmarkStart w:id="516" w:name="_Toc297120473"/>
      <w:bookmarkStart w:id="517" w:name="_Toc297048359"/>
      <w:bookmarkStart w:id="518" w:name="_Toc292559883"/>
      <w:bookmarkStart w:id="519" w:name="_Toc267251428"/>
      <w:bookmarkStart w:id="520" w:name="_Toc267251427"/>
      <w:bookmarkStart w:id="521" w:name="_Toc296944512"/>
      <w:bookmarkStart w:id="522" w:name="_Toc296891213"/>
      <w:bookmarkStart w:id="523" w:name="_Toc292559378"/>
      <w:bookmarkStart w:id="524" w:name="_Toc296346674"/>
      <w:bookmarkStart w:id="525" w:name="_Toc296891001"/>
      <w:bookmarkStart w:id="526" w:name="_Toc296347172"/>
      <w:bookmarkStart w:id="527" w:name="_Toc296503173"/>
      <w:r>
        <w:rPr>
          <w:rFonts w:hint="eastAsia" w:ascii="宋体" w:hAnsi="宋体" w:eastAsia="宋体" w:cs="宋体"/>
          <w:color w:val="auto"/>
          <w:sz w:val="21"/>
          <w:szCs w:val="24"/>
          <w:highlight w:val="none"/>
        </w:rPr>
        <w:t>. 试验与检验</w:t>
      </w:r>
      <w:bookmarkEnd w:id="504"/>
      <w:bookmarkEnd w:id="505"/>
      <w:bookmarkEnd w:id="506"/>
      <w:bookmarkEnd w:id="507"/>
      <w:bookmarkEnd w:id="508"/>
    </w:p>
    <w:bookmarkEnd w:id="509"/>
    <w:bookmarkEnd w:id="510"/>
    <w:bookmarkEnd w:id="511"/>
    <w:bookmarkEnd w:id="512"/>
    <w:bookmarkEnd w:id="513"/>
    <w:bookmarkEnd w:id="514"/>
    <w:bookmarkEnd w:id="515"/>
    <w:p w14:paraId="35AF4371">
      <w:pPr>
        <w:spacing w:beforeLines="0" w:afterLines="0"/>
        <w:rPr>
          <w:rFonts w:hint="eastAsia" w:ascii="宋体" w:hAnsi="宋体" w:eastAsia="宋体" w:cs="宋体"/>
          <w:color w:val="auto"/>
          <w:sz w:val="21"/>
          <w:szCs w:val="24"/>
          <w:highlight w:val="none"/>
        </w:rPr>
      </w:pPr>
      <w:bookmarkStart w:id="528" w:name="_Toc389065303"/>
      <w:bookmarkStart w:id="529" w:name="_Toc8792"/>
      <w:bookmarkStart w:id="530" w:name="_Toc373227737"/>
      <w:bookmarkStart w:id="531" w:name="_Toc373478384"/>
      <w:r>
        <w:rPr>
          <w:rFonts w:hint="eastAsia" w:ascii="宋体" w:hAnsi="宋体" w:eastAsia="宋体" w:cs="宋体"/>
          <w:color w:val="auto"/>
          <w:sz w:val="21"/>
          <w:szCs w:val="24"/>
          <w:highlight w:val="none"/>
        </w:rPr>
        <w:t>9</w:t>
      </w:r>
      <w:bookmarkStart w:id="532" w:name="_Toc300934983"/>
      <w:bookmarkStart w:id="533" w:name="_Toc312678022"/>
      <w:bookmarkStart w:id="534" w:name="_Toc312677496"/>
      <w:bookmarkStart w:id="535" w:name="_Toc297216193"/>
      <w:bookmarkStart w:id="536" w:name="_Toc297123534"/>
      <w:bookmarkStart w:id="537" w:name="_Toc303539140"/>
      <w:bookmarkStart w:id="538" w:name="_Toc304295560"/>
      <w:r>
        <w:rPr>
          <w:rFonts w:hint="eastAsia" w:ascii="宋体" w:hAnsi="宋体" w:eastAsia="宋体" w:cs="宋体"/>
          <w:color w:val="auto"/>
          <w:sz w:val="21"/>
          <w:szCs w:val="24"/>
          <w:highlight w:val="none"/>
        </w:rPr>
        <w:t>.1 试验设备与试验人员</w:t>
      </w:r>
      <w:bookmarkEnd w:id="528"/>
      <w:bookmarkEnd w:id="529"/>
      <w:bookmarkEnd w:id="530"/>
      <w:bookmarkEnd w:id="531"/>
    </w:p>
    <w:bookmarkEnd w:id="532"/>
    <w:bookmarkEnd w:id="533"/>
    <w:bookmarkEnd w:id="534"/>
    <w:bookmarkEnd w:id="535"/>
    <w:bookmarkEnd w:id="536"/>
    <w:bookmarkEnd w:id="537"/>
    <w:bookmarkEnd w:id="538"/>
    <w:p w14:paraId="665FD428">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539" w:name="_Toc303539141"/>
      <w:bookmarkStart w:id="540" w:name="_Toc297123535"/>
      <w:bookmarkStart w:id="541" w:name="_Toc300934984"/>
      <w:bookmarkStart w:id="542" w:name="_Toc297216194"/>
      <w:bookmarkStart w:id="543" w:name="_Toc304295561"/>
      <w:bookmarkStart w:id="544" w:name="_Toc312677497"/>
      <w:bookmarkStart w:id="545" w:name="_Toc312678023"/>
      <w:bookmarkStart w:id="546" w:name="_Toc318581174"/>
      <w:r>
        <w:rPr>
          <w:rFonts w:hint="eastAsia" w:ascii="宋体" w:hAnsi="宋体" w:eastAsia="宋体" w:cs="宋体"/>
          <w:color w:val="auto"/>
          <w:sz w:val="21"/>
          <w:szCs w:val="21"/>
          <w:highlight w:val="none"/>
        </w:rPr>
        <w:t>.1.2 试验设备</w:t>
      </w:r>
    </w:p>
    <w:p w14:paraId="4423E32C">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施工现场需要配置的试验场所：</w:t>
      </w:r>
      <w:bookmarkEnd w:id="539"/>
      <w:bookmarkEnd w:id="540"/>
      <w:bookmarkEnd w:id="541"/>
      <w:bookmarkEnd w:id="542"/>
      <w:bookmarkEnd w:id="543"/>
      <w:bookmarkEnd w:id="544"/>
      <w:bookmarkEnd w:id="545"/>
      <w:bookmarkStart w:id="547" w:name="_Toc304295562"/>
      <w:bookmarkStart w:id="548" w:name="_Toc300934985"/>
      <w:bookmarkStart w:id="549" w:name="_Toc297123536"/>
      <w:bookmarkStart w:id="550" w:name="_Toc312678024"/>
      <w:bookmarkStart w:id="551" w:name="_Toc297216195"/>
      <w:bookmarkStart w:id="552" w:name="_Toc303539142"/>
      <w:bookmarkStart w:id="553" w:name="_Toc312677498"/>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由承包人自理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C537008">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施工现场需要配备的试验设备：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由承包人自理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E7956CA">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施工现场需要具备的其他试验条件：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由承包人自理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1A73EEE">
      <w:pPr>
        <w:spacing w:beforeLines="0" w:afterLines="0"/>
        <w:rPr>
          <w:rFonts w:hint="eastAsia" w:ascii="宋体" w:hAnsi="宋体" w:eastAsia="宋体" w:cs="宋体"/>
          <w:color w:val="auto"/>
          <w:sz w:val="21"/>
          <w:szCs w:val="24"/>
          <w:highlight w:val="none"/>
        </w:rPr>
      </w:pPr>
      <w:bookmarkStart w:id="554" w:name="_Toc373227738"/>
      <w:bookmarkStart w:id="555" w:name="_Toc389065304"/>
      <w:bookmarkStart w:id="556" w:name="_Toc373478385"/>
      <w:bookmarkStart w:id="557" w:name="_Toc9320"/>
      <w:r>
        <w:rPr>
          <w:rFonts w:hint="eastAsia" w:ascii="宋体" w:hAnsi="宋体" w:eastAsia="宋体" w:cs="宋体"/>
          <w:color w:val="auto"/>
          <w:sz w:val="21"/>
          <w:szCs w:val="24"/>
          <w:highlight w:val="none"/>
        </w:rPr>
        <w:t>9.4 现场工艺试验</w:t>
      </w:r>
      <w:bookmarkEnd w:id="554"/>
      <w:bookmarkEnd w:id="555"/>
      <w:bookmarkEnd w:id="556"/>
      <w:bookmarkEnd w:id="557"/>
      <w:r>
        <w:rPr>
          <w:rFonts w:hint="eastAsia" w:ascii="宋体" w:hAnsi="宋体" w:eastAsia="宋体" w:cs="宋体"/>
          <w:color w:val="auto"/>
          <w:sz w:val="21"/>
          <w:szCs w:val="24"/>
          <w:highlight w:val="none"/>
        </w:rPr>
        <w:t xml:space="preserve"> </w:t>
      </w:r>
    </w:p>
    <w:p w14:paraId="2682AA69">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现场工艺试验的有关约定：</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097BA402">
      <w:pPr>
        <w:spacing w:beforeLines="0" w:afterLines="0"/>
        <w:rPr>
          <w:rFonts w:hint="eastAsia" w:ascii="宋体" w:hAnsi="宋体" w:eastAsia="宋体" w:cs="宋体"/>
          <w:color w:val="auto"/>
          <w:sz w:val="21"/>
          <w:szCs w:val="24"/>
          <w:highlight w:val="none"/>
        </w:rPr>
      </w:pPr>
      <w:bookmarkStart w:id="558" w:name="_Toc24256"/>
      <w:bookmarkStart w:id="559" w:name="OLE_LINK1"/>
      <w:r>
        <w:rPr>
          <w:rFonts w:hint="eastAsia" w:ascii="宋体" w:hAnsi="宋体" w:eastAsia="宋体" w:cs="宋体"/>
          <w:color w:val="auto"/>
          <w:sz w:val="21"/>
          <w:szCs w:val="24"/>
          <w:highlight w:val="none"/>
        </w:rPr>
        <w:t>9.5 检验费用</w:t>
      </w:r>
      <w:bookmarkEnd w:id="558"/>
    </w:p>
    <w:p w14:paraId="589FACC8">
      <w:pPr>
        <w:spacing w:beforeLines="0" w:afterLines="0"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bookmarkEnd w:id="546"/>
    <w:bookmarkEnd w:id="547"/>
    <w:bookmarkEnd w:id="548"/>
    <w:bookmarkEnd w:id="549"/>
    <w:bookmarkEnd w:id="550"/>
    <w:bookmarkEnd w:id="551"/>
    <w:bookmarkEnd w:id="552"/>
    <w:bookmarkEnd w:id="553"/>
    <w:bookmarkEnd w:id="559"/>
    <w:p w14:paraId="17BAF519">
      <w:pPr>
        <w:spacing w:beforeLines="0" w:afterLines="0"/>
        <w:rPr>
          <w:rFonts w:hint="eastAsia" w:ascii="宋体" w:hAnsi="宋体" w:eastAsia="宋体" w:cs="宋体"/>
          <w:color w:val="auto"/>
          <w:sz w:val="21"/>
          <w:szCs w:val="24"/>
          <w:highlight w:val="none"/>
        </w:rPr>
      </w:pPr>
      <w:bookmarkStart w:id="560" w:name="_Toc373227739"/>
      <w:bookmarkStart w:id="561" w:name="_Toc351203642"/>
      <w:bookmarkStart w:id="562" w:name="_Toc389065305"/>
      <w:bookmarkStart w:id="563" w:name="_Toc373478386"/>
      <w:bookmarkStart w:id="564" w:name="_Toc6988"/>
      <w:r>
        <w:rPr>
          <w:rFonts w:hint="eastAsia" w:ascii="宋体" w:hAnsi="宋体" w:eastAsia="宋体" w:cs="宋体"/>
          <w:color w:val="auto"/>
          <w:sz w:val="21"/>
          <w:szCs w:val="24"/>
          <w:highlight w:val="none"/>
        </w:rPr>
        <w:t>1</w:t>
      </w:r>
      <w:bookmarkEnd w:id="516"/>
      <w:bookmarkEnd w:id="517"/>
      <w:bookmarkEnd w:id="518"/>
      <w:bookmarkEnd w:id="519"/>
      <w:bookmarkEnd w:id="520"/>
      <w:bookmarkEnd w:id="521"/>
      <w:bookmarkEnd w:id="522"/>
      <w:bookmarkEnd w:id="523"/>
      <w:bookmarkEnd w:id="524"/>
      <w:bookmarkEnd w:id="525"/>
      <w:bookmarkEnd w:id="526"/>
      <w:bookmarkEnd w:id="527"/>
      <w:bookmarkStart w:id="565" w:name="_Toc297216199"/>
      <w:bookmarkStart w:id="566" w:name="_Toc303539146"/>
      <w:bookmarkStart w:id="567" w:name="_Toc296346694"/>
      <w:bookmarkStart w:id="568" w:name="_Toc297120493"/>
      <w:bookmarkStart w:id="569" w:name="_Toc292559903"/>
      <w:bookmarkStart w:id="570" w:name="_Toc296944532"/>
      <w:bookmarkStart w:id="571" w:name="_Toc296347192"/>
      <w:bookmarkStart w:id="572" w:name="_Toc297048379"/>
      <w:bookmarkStart w:id="573" w:name="_Toc296891233"/>
      <w:bookmarkStart w:id="574" w:name="_Toc300934989"/>
      <w:bookmarkStart w:id="575" w:name="_Toc297123540"/>
      <w:bookmarkStart w:id="576" w:name="_Toc296891021"/>
      <w:bookmarkStart w:id="577" w:name="_Toc292559398"/>
      <w:bookmarkStart w:id="578" w:name="_Toc296503193"/>
      <w:bookmarkStart w:id="579" w:name="_Toc304295566"/>
      <w:bookmarkStart w:id="580" w:name="_Toc312678025"/>
      <w:bookmarkStart w:id="581" w:name="_Toc312677499"/>
      <w:bookmarkStart w:id="582" w:name="_Toc267251433"/>
      <w:bookmarkStart w:id="583" w:name="_Toc267251440"/>
      <w:bookmarkStart w:id="584" w:name="_Toc267251439"/>
      <w:bookmarkStart w:id="585" w:name="_Toc267251435"/>
      <w:bookmarkStart w:id="586" w:name="_Toc267251441"/>
      <w:bookmarkStart w:id="587" w:name="_Toc267251437"/>
      <w:bookmarkStart w:id="588" w:name="_Toc267251442"/>
      <w:r>
        <w:rPr>
          <w:rFonts w:hint="eastAsia" w:ascii="宋体" w:hAnsi="宋体" w:eastAsia="宋体" w:cs="宋体"/>
          <w:color w:val="auto"/>
          <w:sz w:val="21"/>
          <w:szCs w:val="24"/>
          <w:highlight w:val="none"/>
        </w:rPr>
        <w:t>0. 变更</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bookmarkEnd w:id="580"/>
    <w:bookmarkEnd w:id="581"/>
    <w:p w14:paraId="44637161">
      <w:pPr>
        <w:spacing w:beforeLines="0" w:afterLines="0"/>
        <w:rPr>
          <w:rFonts w:hint="eastAsia" w:ascii="宋体" w:hAnsi="宋体" w:eastAsia="宋体" w:cs="宋体"/>
          <w:color w:val="auto"/>
          <w:sz w:val="21"/>
          <w:szCs w:val="21"/>
          <w:highlight w:val="none"/>
        </w:rPr>
      </w:pPr>
      <w:bookmarkStart w:id="589" w:name="_Toc373478387"/>
      <w:bookmarkStart w:id="590" w:name="_Toc373227740"/>
      <w:bookmarkStart w:id="591" w:name="_Toc23389"/>
      <w:bookmarkStart w:id="592" w:name="_Toc389065306"/>
      <w:r>
        <w:rPr>
          <w:rFonts w:hint="eastAsia" w:ascii="宋体" w:hAnsi="宋体" w:eastAsia="宋体" w:cs="宋体"/>
          <w:color w:val="auto"/>
          <w:sz w:val="21"/>
          <w:szCs w:val="24"/>
          <w:highlight w:val="none"/>
        </w:rPr>
        <w:t>1</w:t>
      </w:r>
      <w:bookmarkStart w:id="593" w:name="_Toc300934990"/>
      <w:bookmarkStart w:id="594" w:name="_Toc312678026"/>
      <w:bookmarkStart w:id="595" w:name="_Toc297048380"/>
      <w:bookmarkStart w:id="596" w:name="_Toc303539147"/>
      <w:bookmarkStart w:id="597" w:name="_Toc292559399"/>
      <w:bookmarkStart w:id="598" w:name="_Toc292559904"/>
      <w:bookmarkStart w:id="599" w:name="_Toc297123541"/>
      <w:bookmarkStart w:id="600" w:name="_Toc296891234"/>
      <w:bookmarkStart w:id="601" w:name="_Toc296346695"/>
      <w:bookmarkStart w:id="602" w:name="_Toc296347193"/>
      <w:bookmarkStart w:id="603" w:name="_Toc304295567"/>
      <w:bookmarkStart w:id="604" w:name="_Toc296503194"/>
      <w:bookmarkStart w:id="605" w:name="_Toc312677500"/>
      <w:bookmarkStart w:id="606" w:name="_Toc296944533"/>
      <w:bookmarkStart w:id="607" w:name="_Toc297216200"/>
      <w:bookmarkStart w:id="608" w:name="_Toc297120494"/>
      <w:bookmarkStart w:id="609" w:name="_Toc296891022"/>
      <w:r>
        <w:rPr>
          <w:rFonts w:hint="eastAsia" w:ascii="宋体" w:hAnsi="宋体" w:eastAsia="宋体" w:cs="宋体"/>
          <w:color w:val="auto"/>
          <w:sz w:val="21"/>
          <w:szCs w:val="24"/>
          <w:highlight w:val="none"/>
        </w:rPr>
        <w:t>0.</w:t>
      </w:r>
      <w:r>
        <w:rPr>
          <w:rFonts w:hint="eastAsia" w:ascii="宋体" w:hAnsi="宋体" w:eastAsia="宋体" w:cs="宋体"/>
          <w:color w:val="auto"/>
          <w:sz w:val="21"/>
          <w:szCs w:val="21"/>
          <w:highlight w:val="none"/>
        </w:rPr>
        <w:t>1 变更的范围</w:t>
      </w:r>
      <w:bookmarkEnd w:id="589"/>
      <w:bookmarkEnd w:id="590"/>
      <w:bookmarkEnd w:id="591"/>
      <w:bookmarkEnd w:id="592"/>
    </w:p>
    <w:p w14:paraId="0C7155DB">
      <w:pPr>
        <w:pStyle w:val="44"/>
        <w:spacing w:beforeLines="0" w:afterLines="0" w:line="360" w:lineRule="auto"/>
        <w:ind w:firstLine="4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关于变更的范围的约定：</w:t>
      </w:r>
      <w:r>
        <w:rPr>
          <w:rFonts w:hint="eastAsia" w:ascii="宋体" w:hAnsi="宋体" w:eastAsia="宋体" w:cs="宋体"/>
          <w:color w:val="auto"/>
          <w:sz w:val="21"/>
          <w:szCs w:val="21"/>
          <w:highlight w:val="none"/>
          <w:u w:val="single"/>
        </w:rPr>
        <w:t xml:space="preserve">   除通用合同条款约定的范围外，发包人有权根据本工程的实际提出其他的变更事项。凡涉及合同价款增减变化的变更事项，必须以发包人代表及总监理工程师共同签字并经发包人盖章确认后的书面文件为准    </w:t>
      </w:r>
      <w:r>
        <w:rPr>
          <w:rFonts w:hint="eastAsia" w:ascii="宋体" w:hAnsi="宋体" w:eastAsia="宋体" w:cs="宋体"/>
          <w:color w:val="auto"/>
          <w:sz w:val="21"/>
          <w:szCs w:val="21"/>
          <w:highlight w:val="none"/>
        </w:rPr>
        <w:t>。</w:t>
      </w:r>
    </w:p>
    <w:p w14:paraId="13D03EA3">
      <w:pPr>
        <w:spacing w:beforeLines="0" w:afterLines="0"/>
        <w:rPr>
          <w:rFonts w:hint="eastAsia" w:ascii="宋体" w:hAnsi="宋体" w:eastAsia="宋体" w:cs="宋体"/>
          <w:color w:val="auto"/>
          <w:sz w:val="21"/>
          <w:szCs w:val="21"/>
          <w:highlight w:val="none"/>
        </w:rPr>
      </w:pPr>
      <w:bookmarkStart w:id="610" w:name="_Toc20664"/>
      <w:bookmarkStart w:id="611" w:name="_Toc373478388"/>
      <w:bookmarkStart w:id="612" w:name="_Toc389065307"/>
      <w:bookmarkStart w:id="613" w:name="_Toc373227741"/>
      <w:r>
        <w:rPr>
          <w:rFonts w:hint="eastAsia" w:ascii="宋体" w:hAnsi="宋体" w:eastAsia="宋体" w:cs="宋体"/>
          <w:color w:val="auto"/>
          <w:sz w:val="21"/>
          <w:szCs w:val="21"/>
          <w:highlight w:val="none"/>
        </w:rPr>
        <w:t>10.3 变更程序</w:t>
      </w:r>
      <w:bookmarkEnd w:id="610"/>
      <w:bookmarkEnd w:id="611"/>
      <w:bookmarkEnd w:id="612"/>
      <w:bookmarkEnd w:id="613"/>
    </w:p>
    <w:p w14:paraId="77AE2D8E">
      <w:pPr>
        <w:pStyle w:val="14"/>
        <w:spacing w:beforeLines="0" w:afterLines="0" w:line="360" w:lineRule="auto"/>
        <w:ind w:firstLine="441" w:firstLineChars="210"/>
        <w:rPr>
          <w:rFonts w:hint="eastAsia" w:hAnsi="宋体" w:cs="宋体"/>
          <w:color w:val="auto"/>
          <w:sz w:val="21"/>
          <w:szCs w:val="21"/>
          <w:highlight w:val="none"/>
        </w:rPr>
      </w:pPr>
      <w:r>
        <w:rPr>
          <w:rFonts w:hint="eastAsia" w:hAnsi="宋体" w:cs="宋体"/>
          <w:color w:val="auto"/>
          <w:sz w:val="21"/>
          <w:szCs w:val="21"/>
          <w:highlight w:val="none"/>
        </w:rPr>
        <w:t>10.3.1国有投资项目：</w:t>
      </w:r>
    </w:p>
    <w:p w14:paraId="5EF45E75">
      <w:pPr>
        <w:pStyle w:val="14"/>
        <w:spacing w:beforeLines="0" w:afterLines="0" w:line="360" w:lineRule="auto"/>
        <w:ind w:firstLine="441" w:firstLineChars="210"/>
        <w:rPr>
          <w:rFonts w:hint="eastAsia" w:hAnsi="宋体" w:cs="宋体"/>
          <w:color w:val="auto"/>
          <w:sz w:val="21"/>
          <w:szCs w:val="21"/>
          <w:highlight w:val="none"/>
        </w:rPr>
      </w:pPr>
      <w:r>
        <w:rPr>
          <w:rFonts w:hint="eastAsia" w:hAnsi="宋体" w:cs="宋体"/>
          <w:color w:val="auto"/>
          <w:sz w:val="21"/>
          <w:szCs w:val="21"/>
          <w:highlight w:val="none"/>
        </w:rPr>
        <w:t>⑴设计变更和工程签证，按南宁市政府或相关部门的规定办理。属不可抗力（自然灾害、突发事件等）造成变更的，按特事特办原则予以办理。</w:t>
      </w:r>
    </w:p>
    <w:p w14:paraId="4EA989D4">
      <w:pPr>
        <w:pStyle w:val="14"/>
        <w:spacing w:beforeLines="0" w:afterLines="0" w:line="360" w:lineRule="auto"/>
        <w:ind w:firstLine="441" w:firstLineChars="210"/>
        <w:rPr>
          <w:rFonts w:hint="eastAsia" w:hAnsi="宋体" w:cs="宋体"/>
          <w:color w:val="auto"/>
          <w:sz w:val="21"/>
          <w:szCs w:val="21"/>
          <w:highlight w:val="none"/>
        </w:rPr>
      </w:pPr>
      <w:r>
        <w:rPr>
          <w:rFonts w:hint="eastAsia" w:hAnsi="宋体" w:cs="宋体"/>
          <w:color w:val="auto"/>
          <w:sz w:val="21"/>
          <w:szCs w:val="21"/>
          <w:highlight w:val="none"/>
        </w:rPr>
        <w:t>⑵建设单位在实施项目过程中，若发生单价变动，由建设单位、监理单位、施工单位及其他相关单位共同商定并签字确认，并按规定办理相关手续。</w:t>
      </w:r>
    </w:p>
    <w:p w14:paraId="19346DD3">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7FFE7D0C">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10.3.2 非国有投资项目： </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3615FEB1">
      <w:pPr>
        <w:spacing w:beforeLines="0" w:afterLines="0"/>
        <w:rPr>
          <w:rFonts w:hint="eastAsia" w:ascii="宋体" w:hAnsi="宋体" w:eastAsia="宋体" w:cs="宋体"/>
          <w:color w:val="auto"/>
          <w:sz w:val="21"/>
          <w:szCs w:val="21"/>
          <w:highlight w:val="none"/>
        </w:rPr>
      </w:pPr>
      <w:bookmarkStart w:id="614" w:name="_Toc19438"/>
      <w:bookmarkStart w:id="615" w:name="_Toc373227742"/>
      <w:bookmarkStart w:id="616" w:name="_Toc389065308"/>
      <w:bookmarkStart w:id="617" w:name="_Toc373478389"/>
      <w:r>
        <w:rPr>
          <w:rFonts w:hint="eastAsia" w:ascii="宋体" w:hAnsi="宋体" w:eastAsia="宋体" w:cs="宋体"/>
          <w:color w:val="auto"/>
          <w:sz w:val="21"/>
          <w:szCs w:val="21"/>
          <w:highlight w:val="none"/>
        </w:rPr>
        <w:t>10.4 变更估价</w:t>
      </w:r>
      <w:bookmarkEnd w:id="614"/>
      <w:bookmarkEnd w:id="615"/>
      <w:bookmarkEnd w:id="616"/>
      <w:bookmarkEnd w:id="617"/>
    </w:p>
    <w:p w14:paraId="0F504F3A">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14:paraId="6C2F6DB5">
      <w:pPr>
        <w:pStyle w:val="44"/>
        <w:spacing w:beforeLines="0" w:afterLines="0" w:line="360" w:lineRule="auto"/>
        <w:ind w:firstLine="420" w:firstLineChars="200"/>
        <w:jc w:val="left"/>
        <w:rPr>
          <w:rFonts w:hint="eastAsia" w:ascii="宋体" w:hAnsi="宋体" w:eastAsia="宋体" w:cs="宋体"/>
          <w:color w:val="auto"/>
          <w:sz w:val="21"/>
          <w:szCs w:val="21"/>
          <w:highlight w:val="none"/>
          <w:u w:val="single"/>
        </w:rPr>
      </w:pPr>
      <w:bookmarkStart w:id="618" w:name="_Toc251051742"/>
      <w:r>
        <w:rPr>
          <w:rFonts w:hint="eastAsia" w:ascii="宋体" w:hAnsi="宋体" w:eastAsia="宋体" w:cs="宋体"/>
          <w:color w:val="auto"/>
          <w:sz w:val="21"/>
          <w:szCs w:val="21"/>
          <w:highlight w:val="none"/>
        </w:rPr>
        <w:t xml:space="preserve">关于变更估价的约定: </w:t>
      </w:r>
      <w:bookmarkEnd w:id="618"/>
      <w:r>
        <w:rPr>
          <w:rFonts w:hint="eastAsia" w:ascii="宋体" w:hAnsi="宋体" w:eastAsia="宋体" w:cs="宋体"/>
          <w:color w:val="auto"/>
          <w:sz w:val="21"/>
          <w:szCs w:val="21"/>
          <w:highlight w:val="none"/>
          <w:u w:val="single"/>
        </w:rPr>
        <w:t>本合同实施期间因工程量清单漏项、工程变更及相关签证引起工程项目、工程量变化的,其工程量按实际发生并监理工程师及发包人确认，变更合同价款按下列方法进行：（1） 合同中已有相同清单项目的，按合同该清单项目价格进行计算；（2） 合同中只有类似清单项目的，参照该类似清单项目价格进行计算；（3）合同中没有适用或类似子目的价格计算方法：有定额的套定额（土石方工程除外），并乘以下浮系数（中标价/公布的工程招标控制价）计算，其中材料价格按施工期间的《南宁建设工程造价信息》相应价格信息进行计算；《南宁建设工程造价信息》没有相应价格信息的按市场价计算不下浮；无定额可套的，根据市场价格协商确定综合价格不下浮；新增项目的单价必须经南宁市政府财政评审中心审定。</w:t>
      </w:r>
    </w:p>
    <w:p w14:paraId="39C61E4C">
      <w:pPr>
        <w:pStyle w:val="44"/>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工程变更导致实际完成的变更工程量与已标价清单或预算书中列明的该项目工程量有偏差时，其综合单价的确定按专用条款“1.13 工程量清单错误的修正”执行。</w:t>
      </w:r>
    </w:p>
    <w:p w14:paraId="7CAF3800">
      <w:pPr>
        <w:spacing w:beforeLines="0" w:afterLines="0"/>
        <w:rPr>
          <w:rFonts w:hint="eastAsia" w:ascii="宋体" w:hAnsi="宋体" w:eastAsia="宋体" w:cs="宋体"/>
          <w:color w:val="auto"/>
          <w:sz w:val="21"/>
          <w:szCs w:val="24"/>
          <w:highlight w:val="none"/>
        </w:rPr>
      </w:pPr>
      <w:bookmarkStart w:id="619" w:name="_Toc389065309"/>
      <w:bookmarkStart w:id="620" w:name="_Toc5293"/>
      <w:bookmarkStart w:id="621" w:name="_Toc373227743"/>
      <w:bookmarkStart w:id="622" w:name="_Toc373478390"/>
      <w:r>
        <w:rPr>
          <w:rFonts w:hint="eastAsia" w:ascii="宋体" w:hAnsi="宋体" w:eastAsia="宋体" w:cs="宋体"/>
          <w:color w:val="auto"/>
          <w:sz w:val="21"/>
          <w:szCs w:val="24"/>
          <w:highlight w:val="none"/>
        </w:rPr>
        <w:t>1</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Start w:id="623" w:name="_Toc297120497"/>
      <w:bookmarkStart w:id="624" w:name="_Toc296503197"/>
      <w:bookmarkStart w:id="625" w:name="_Toc297216203"/>
      <w:bookmarkStart w:id="626" w:name="_Toc296347196"/>
      <w:bookmarkStart w:id="627" w:name="_Toc296944536"/>
      <w:bookmarkStart w:id="628" w:name="_Toc296891025"/>
      <w:bookmarkStart w:id="629" w:name="_Toc300934993"/>
      <w:bookmarkStart w:id="630" w:name="_Toc292559907"/>
      <w:bookmarkStart w:id="631" w:name="_Toc303539150"/>
      <w:bookmarkStart w:id="632" w:name="_Toc292559402"/>
      <w:bookmarkStart w:id="633" w:name="_Toc297123544"/>
      <w:bookmarkStart w:id="634" w:name="_Toc296346698"/>
      <w:bookmarkStart w:id="635" w:name="_Toc296891237"/>
      <w:bookmarkStart w:id="636" w:name="_Toc297048383"/>
      <w:bookmarkStart w:id="637" w:name="_Toc304295570"/>
      <w:bookmarkStart w:id="638" w:name="_Toc312678029"/>
      <w:bookmarkStart w:id="639" w:name="_Toc312677503"/>
      <w:r>
        <w:rPr>
          <w:rFonts w:hint="eastAsia" w:ascii="宋体" w:hAnsi="宋体" w:eastAsia="宋体" w:cs="宋体"/>
          <w:color w:val="auto"/>
          <w:sz w:val="21"/>
          <w:szCs w:val="24"/>
          <w:highlight w:val="none"/>
        </w:rPr>
        <w:t>0.5 承</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Start w:id="640" w:name="_Toc300934994"/>
      <w:bookmarkStart w:id="641" w:name="_Toc296347202"/>
      <w:bookmarkStart w:id="642" w:name="_Toc292559913"/>
      <w:bookmarkStart w:id="643" w:name="_Toc296944542"/>
      <w:bookmarkStart w:id="644" w:name="_Toc297048389"/>
      <w:bookmarkStart w:id="645" w:name="_Toc297123545"/>
      <w:bookmarkStart w:id="646" w:name="_Toc297216204"/>
      <w:bookmarkStart w:id="647" w:name="_Toc297120503"/>
      <w:bookmarkStart w:id="648" w:name="_Toc292559408"/>
      <w:bookmarkStart w:id="649" w:name="_Toc296503203"/>
      <w:bookmarkStart w:id="650" w:name="_Toc296891031"/>
      <w:bookmarkStart w:id="651" w:name="_Toc296891243"/>
      <w:bookmarkStart w:id="652" w:name="_Toc296346704"/>
      <w:bookmarkStart w:id="653" w:name="_Toc303539151"/>
      <w:r>
        <w:rPr>
          <w:rFonts w:hint="eastAsia" w:ascii="宋体" w:hAnsi="宋体" w:eastAsia="宋体" w:cs="宋体"/>
          <w:color w:val="auto"/>
          <w:sz w:val="21"/>
          <w:szCs w:val="24"/>
          <w:highlight w:val="none"/>
        </w:rPr>
        <w:t>包人的合理化建议</w:t>
      </w:r>
      <w:bookmarkEnd w:id="619"/>
      <w:bookmarkEnd w:id="620"/>
      <w:bookmarkEnd w:id="621"/>
      <w:bookmarkEnd w:id="622"/>
    </w:p>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14:paraId="6D919DBB">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监理人审查承包人合理化建议的期限：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按通用条款 10.5 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A0CA389">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按通用条款 10.5 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D2A23B0">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w:t>
      </w:r>
      <w:bookmarkStart w:id="654" w:name="_Toc296891244"/>
      <w:bookmarkStart w:id="655" w:name="_Toc303539152"/>
      <w:bookmarkStart w:id="656" w:name="_Toc318581175"/>
      <w:bookmarkStart w:id="657" w:name="_Toc296944543"/>
      <w:bookmarkStart w:id="658" w:name="_Toc296346705"/>
      <w:bookmarkStart w:id="659" w:name="_Toc304295571"/>
      <w:bookmarkStart w:id="660" w:name="_Toc296347203"/>
      <w:bookmarkStart w:id="661" w:name="_Toc297216205"/>
      <w:bookmarkStart w:id="662" w:name="_Toc312678030"/>
      <w:bookmarkStart w:id="663" w:name="_Toc296503204"/>
      <w:bookmarkStart w:id="664" w:name="_Toc297123546"/>
      <w:bookmarkStart w:id="665" w:name="_Toc312677504"/>
      <w:bookmarkStart w:id="666" w:name="_Toc292559914"/>
      <w:bookmarkStart w:id="667" w:name="_Toc296891032"/>
      <w:bookmarkStart w:id="668" w:name="_Toc297120504"/>
      <w:bookmarkStart w:id="669" w:name="_Toc300934995"/>
      <w:bookmarkStart w:id="670" w:name="_Toc297048390"/>
      <w:bookmarkStart w:id="671" w:name="_Toc292559409"/>
      <w:r>
        <w:rPr>
          <w:rFonts w:hint="eastAsia" w:ascii="宋体" w:hAnsi="宋体" w:eastAsia="宋体" w:cs="宋体"/>
          <w:color w:val="auto"/>
          <w:sz w:val="21"/>
          <w:szCs w:val="21"/>
          <w:highlight w:val="none"/>
        </w:rPr>
        <w:t>包人提出的合理化建议降低了合同价格或者提高了工程经济效益的奖励的方法和金额为：</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14:paraId="22FC8262">
      <w:pPr>
        <w:spacing w:beforeLines="0" w:afterLines="0"/>
        <w:rPr>
          <w:rFonts w:hint="eastAsia" w:ascii="宋体" w:hAnsi="宋体" w:eastAsia="宋体" w:cs="宋体"/>
          <w:color w:val="auto"/>
          <w:sz w:val="21"/>
          <w:szCs w:val="24"/>
          <w:highlight w:val="none"/>
        </w:rPr>
      </w:pPr>
      <w:bookmarkStart w:id="672" w:name="_Toc373478391"/>
      <w:bookmarkStart w:id="673" w:name="_Toc26302"/>
      <w:bookmarkStart w:id="674" w:name="_Toc389065310"/>
      <w:bookmarkStart w:id="675" w:name="_Toc373227744"/>
      <w:r>
        <w:rPr>
          <w:rFonts w:hint="eastAsia" w:ascii="宋体" w:hAnsi="宋体" w:eastAsia="宋体" w:cs="宋体"/>
          <w:color w:val="auto"/>
          <w:sz w:val="21"/>
          <w:szCs w:val="24"/>
          <w:highlight w:val="none"/>
        </w:rPr>
        <w:t>1</w:t>
      </w:r>
      <w:bookmarkStart w:id="676" w:name="_Toc296891239"/>
      <w:bookmarkStart w:id="677" w:name="_Toc292559404"/>
      <w:bookmarkStart w:id="678" w:name="_Toc296944538"/>
      <w:bookmarkStart w:id="679" w:name="_Toc296503199"/>
      <w:bookmarkStart w:id="680" w:name="_Toc304295574"/>
      <w:bookmarkStart w:id="681" w:name="_Toc303539154"/>
      <w:bookmarkStart w:id="682" w:name="_Toc300934997"/>
      <w:bookmarkStart w:id="683" w:name="_Toc312677507"/>
      <w:bookmarkStart w:id="684" w:name="_Toc297120499"/>
      <w:bookmarkStart w:id="685" w:name="_Toc296891027"/>
      <w:bookmarkStart w:id="686" w:name="_Toc297123548"/>
      <w:bookmarkStart w:id="687" w:name="_Toc297048385"/>
      <w:bookmarkStart w:id="688" w:name="_Toc296346700"/>
      <w:bookmarkStart w:id="689" w:name="_Toc312678033"/>
      <w:bookmarkStart w:id="690" w:name="_Toc296347198"/>
      <w:bookmarkStart w:id="691" w:name="_Toc292559909"/>
      <w:bookmarkStart w:id="692" w:name="_Toc297216207"/>
      <w:r>
        <w:rPr>
          <w:rFonts w:hint="eastAsia" w:ascii="宋体" w:hAnsi="宋体" w:eastAsia="宋体" w:cs="宋体"/>
          <w:color w:val="auto"/>
          <w:sz w:val="21"/>
          <w:szCs w:val="24"/>
          <w:highlight w:val="none"/>
        </w:rPr>
        <w:t>0.7 暂估价</w:t>
      </w:r>
      <w:bookmarkEnd w:id="672"/>
      <w:bookmarkEnd w:id="673"/>
      <w:bookmarkEnd w:id="674"/>
      <w:bookmarkEnd w:id="675"/>
    </w:p>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14:paraId="46A2AAB4">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w:t>
      </w:r>
      <w:bookmarkStart w:id="693" w:name="_Toc312677508"/>
      <w:bookmarkStart w:id="694" w:name="_Toc318581176"/>
      <w:bookmarkStart w:id="695" w:name="_Toc312678034"/>
      <w:r>
        <w:rPr>
          <w:rFonts w:hint="eastAsia" w:ascii="宋体" w:hAnsi="宋体" w:eastAsia="宋体" w:cs="宋体"/>
          <w:color w:val="auto"/>
          <w:sz w:val="21"/>
          <w:szCs w:val="21"/>
          <w:highlight w:val="none"/>
        </w:rPr>
        <w:t>估价材料和工程设备的明细详见已标价工程量清单《材料（工程设备）暂估价格及调整表》（表12-2）和《专业工程暂估价表》（表12-3）。</w:t>
      </w:r>
    </w:p>
    <w:bookmarkEnd w:id="693"/>
    <w:bookmarkEnd w:id="694"/>
    <w:bookmarkEnd w:id="695"/>
    <w:p w14:paraId="6BD581B9">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696" w:name="_Toc318581177"/>
      <w:bookmarkStart w:id="697" w:name="_Toc312677509"/>
      <w:bookmarkStart w:id="698" w:name="_Toc312678035"/>
      <w:r>
        <w:rPr>
          <w:rFonts w:hint="eastAsia" w:ascii="宋体" w:hAnsi="宋体" w:eastAsia="宋体" w:cs="宋体"/>
          <w:color w:val="auto"/>
          <w:sz w:val="21"/>
          <w:szCs w:val="21"/>
          <w:highlight w:val="none"/>
        </w:rPr>
        <w:t>0.7.1 依法必须招标的暂估价项目</w:t>
      </w:r>
    </w:p>
    <w:bookmarkEnd w:id="696"/>
    <w:bookmarkEnd w:id="697"/>
    <w:bookmarkEnd w:id="698"/>
    <w:p w14:paraId="4680D9F2">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对于依法必须招标的暂估价项目的确认和批准采取第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种方式确定。</w:t>
      </w:r>
    </w:p>
    <w:p w14:paraId="17C16AF3">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10.7.2 不属于依法必须招标的暂估价项目</w:t>
      </w:r>
    </w:p>
    <w:p w14:paraId="4D412D5F">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对于不属于依法必须招标的暂估价项目的确认和批准采取第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种方式确定。</w:t>
      </w:r>
    </w:p>
    <w:p w14:paraId="3632D4ED">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第3种方式：承包人直接实施的暂估价项目</w:t>
      </w:r>
    </w:p>
    <w:p w14:paraId="069CBFE7">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承包人直接实施的暂估价项目的约定：</w:t>
      </w:r>
      <w:r>
        <w:rPr>
          <w:rFonts w:hint="eastAsia" w:ascii="宋体" w:hAnsi="宋体" w:eastAsia="宋体" w:cs="宋体"/>
          <w:color w:val="auto"/>
          <w:sz w:val="21"/>
          <w:szCs w:val="21"/>
          <w:highlight w:val="none"/>
          <w:u w:val="single"/>
        </w:rPr>
        <w:t xml:space="preserve">  报经发包人同意之后方可实施 </w:t>
      </w:r>
      <w:r>
        <w:rPr>
          <w:rFonts w:hint="eastAsia" w:ascii="宋体" w:hAnsi="宋体" w:eastAsia="宋体" w:cs="宋体"/>
          <w:color w:val="auto"/>
          <w:sz w:val="21"/>
          <w:szCs w:val="21"/>
          <w:highlight w:val="none"/>
        </w:rPr>
        <w:t>。</w:t>
      </w:r>
    </w:p>
    <w:p w14:paraId="4E9447B9">
      <w:pPr>
        <w:spacing w:beforeLines="0" w:afterLines="0"/>
        <w:rPr>
          <w:rFonts w:hint="eastAsia" w:ascii="宋体" w:hAnsi="宋体" w:eastAsia="宋体" w:cs="宋体"/>
          <w:color w:val="auto"/>
          <w:sz w:val="21"/>
          <w:szCs w:val="24"/>
          <w:highlight w:val="none"/>
        </w:rPr>
      </w:pPr>
      <w:bookmarkStart w:id="699" w:name="_Toc373227745"/>
      <w:bookmarkStart w:id="700" w:name="_Toc373478392"/>
      <w:bookmarkStart w:id="701" w:name="_Toc389065311"/>
      <w:bookmarkStart w:id="702" w:name="_Toc6476"/>
      <w:r>
        <w:rPr>
          <w:rFonts w:hint="eastAsia" w:ascii="宋体" w:hAnsi="宋体" w:eastAsia="宋体" w:cs="宋体"/>
          <w:color w:val="auto"/>
          <w:sz w:val="21"/>
          <w:szCs w:val="24"/>
          <w:highlight w:val="none"/>
        </w:rPr>
        <w:t>10.8 暂列金额</w:t>
      </w:r>
      <w:bookmarkEnd w:id="699"/>
      <w:bookmarkEnd w:id="700"/>
      <w:bookmarkEnd w:id="701"/>
      <w:bookmarkEnd w:id="702"/>
    </w:p>
    <w:p w14:paraId="1B6CAAF0">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合同当事人关于暂列金额使用的约定：</w:t>
      </w:r>
      <w:r>
        <w:rPr>
          <w:rFonts w:hint="eastAsia" w:ascii="宋体" w:hAnsi="宋体" w:eastAsia="宋体" w:cs="宋体"/>
          <w:color w:val="auto"/>
          <w:sz w:val="21"/>
          <w:szCs w:val="21"/>
          <w:highlight w:val="none"/>
          <w:u w:val="single"/>
        </w:rPr>
        <w:t xml:space="preserve"> 以发包人要求为准，内容详见工程量清单  </w:t>
      </w:r>
      <w:r>
        <w:rPr>
          <w:rFonts w:hint="eastAsia" w:ascii="宋体" w:hAnsi="宋体" w:eastAsia="宋体" w:cs="宋体"/>
          <w:color w:val="auto"/>
          <w:sz w:val="21"/>
          <w:szCs w:val="21"/>
          <w:highlight w:val="none"/>
        </w:rPr>
        <w:t>。</w:t>
      </w:r>
    </w:p>
    <w:p w14:paraId="5A7E0E85">
      <w:pPr>
        <w:numPr>
          <w:ilvl w:val="0"/>
          <w:numId w:val="4"/>
        </w:numPr>
        <w:spacing w:beforeLines="0" w:afterLines="0"/>
        <w:rPr>
          <w:rFonts w:hint="eastAsia" w:ascii="宋体" w:hAnsi="宋体" w:eastAsia="宋体" w:cs="宋体"/>
          <w:color w:val="auto"/>
          <w:sz w:val="21"/>
          <w:szCs w:val="24"/>
          <w:highlight w:val="none"/>
        </w:rPr>
      </w:pPr>
      <w:bookmarkStart w:id="703" w:name="_Toc15950"/>
      <w:bookmarkStart w:id="704" w:name="_Toc373478393"/>
      <w:bookmarkStart w:id="705" w:name="_Toc373227746"/>
      <w:bookmarkStart w:id="706" w:name="_Toc389065312"/>
      <w:bookmarkStart w:id="707" w:name="_Toc351203643"/>
      <w:r>
        <w:rPr>
          <w:rFonts w:hint="eastAsia" w:ascii="宋体" w:hAnsi="宋体" w:eastAsia="宋体" w:cs="宋体"/>
          <w:color w:val="auto"/>
          <w:sz w:val="21"/>
          <w:szCs w:val="24"/>
          <w:highlight w:val="none"/>
        </w:rPr>
        <w:t>价格调整</w:t>
      </w:r>
      <w:bookmarkEnd w:id="703"/>
      <w:bookmarkEnd w:id="704"/>
      <w:bookmarkEnd w:id="705"/>
      <w:bookmarkEnd w:id="706"/>
      <w:bookmarkEnd w:id="707"/>
    </w:p>
    <w:p w14:paraId="2C17BDCD">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①法律变化引起的调整；</w:t>
      </w:r>
    </w:p>
    <w:p w14:paraId="3595D125">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②工程变更、项目特征不符、工程量清单缺项、工程量偏差引起的调整；</w:t>
      </w:r>
    </w:p>
    <w:p w14:paraId="7BC9A99E">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③计日工引起的调整。</w:t>
      </w:r>
    </w:p>
    <w:p w14:paraId="774182D1">
      <w:pPr>
        <w:spacing w:beforeLines="0" w:afterLines="0"/>
        <w:rPr>
          <w:rFonts w:hint="eastAsia" w:ascii="宋体" w:hAnsi="宋体" w:eastAsia="宋体" w:cs="宋体"/>
          <w:color w:val="auto"/>
          <w:sz w:val="21"/>
          <w:szCs w:val="24"/>
          <w:highlight w:val="none"/>
        </w:rPr>
      </w:pPr>
      <w:bookmarkStart w:id="708" w:name="_Toc373478394"/>
      <w:bookmarkStart w:id="709" w:name="_Toc373227747"/>
      <w:bookmarkStart w:id="710" w:name="_Toc389065313"/>
      <w:bookmarkStart w:id="711" w:name="_Toc13425"/>
      <w:bookmarkStart w:id="712" w:name="_Toc300935000"/>
      <w:bookmarkStart w:id="713" w:name="_Toc296347200"/>
      <w:bookmarkStart w:id="714" w:name="_Toc296503201"/>
      <w:bookmarkStart w:id="715" w:name="_Toc292559911"/>
      <w:bookmarkStart w:id="716" w:name="_Toc303539157"/>
      <w:bookmarkStart w:id="717" w:name="_Toc304295577"/>
      <w:bookmarkStart w:id="718" w:name="_Toc312678039"/>
      <w:bookmarkStart w:id="719" w:name="_Toc297216209"/>
      <w:bookmarkStart w:id="720" w:name="_Toc297123550"/>
      <w:bookmarkStart w:id="721" w:name="_Toc296346702"/>
      <w:bookmarkStart w:id="722" w:name="_Toc297120501"/>
      <w:bookmarkStart w:id="723" w:name="_Toc297048387"/>
      <w:bookmarkStart w:id="724" w:name="_Toc292559406"/>
      <w:bookmarkStart w:id="725" w:name="_Toc296891029"/>
      <w:bookmarkStart w:id="726" w:name="_Toc296944540"/>
      <w:bookmarkStart w:id="727" w:name="_Toc296891241"/>
      <w:r>
        <w:rPr>
          <w:rFonts w:hint="eastAsia" w:ascii="宋体" w:hAnsi="宋体" w:eastAsia="宋体" w:cs="宋体"/>
          <w:color w:val="auto"/>
          <w:sz w:val="21"/>
          <w:szCs w:val="24"/>
          <w:highlight w:val="none"/>
        </w:rPr>
        <w:t>11.1 市场价格波动引起的调整</w:t>
      </w:r>
      <w:bookmarkEnd w:id="708"/>
      <w:bookmarkEnd w:id="709"/>
      <w:bookmarkEnd w:id="710"/>
      <w:bookmarkEnd w:id="711"/>
    </w:p>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14:paraId="7ADACCC2">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市场价格波动是否调整合同价格的约定：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第三种方式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638C5C5">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因市场价格波动调整合同价格，采用以下第</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种方式对合同价格进行调整：</w:t>
      </w:r>
    </w:p>
    <w:p w14:paraId="0449CB33">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第1种方式：采用价格指数进行价格调整。</w:t>
      </w:r>
    </w:p>
    <w:p w14:paraId="6ACFAF78">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关于各可调因子、定值和变值权重，以及基本价格指数及其来源的约定：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233430F">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第2种方式：采用造价信息进行价格调整。</w:t>
      </w:r>
    </w:p>
    <w:p w14:paraId="0EE58962">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（1）允许调整的主要材料和设备、基期价格、风险系数、投标报价：详见《承包人提供主要材料和设备一览表》</w:t>
      </w:r>
      <w:r>
        <w:rPr>
          <w:rFonts w:hint="eastAsia" w:ascii="宋体" w:hAnsi="宋体" w:eastAsia="宋体" w:cs="宋体"/>
          <w:color w:val="auto"/>
          <w:sz w:val="21"/>
          <w:szCs w:val="24"/>
          <w:highlight w:val="none"/>
        </w:rPr>
        <w:t>,价差调整部分仅计算税金，除此表列明的材料、设备外，其余材料设备价差原则上不予调整</w:t>
      </w:r>
      <w:r>
        <w:rPr>
          <w:rFonts w:hint="eastAsia" w:ascii="宋体" w:hAnsi="宋体" w:eastAsia="宋体" w:cs="宋体"/>
          <w:color w:val="auto"/>
          <w:sz w:val="21"/>
          <w:szCs w:val="21"/>
          <w:highlight w:val="none"/>
        </w:rPr>
        <w:t>。</w:t>
      </w:r>
    </w:p>
    <w:p w14:paraId="06B6C460">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（2）主要材料和设备确认价：</w:t>
      </w:r>
    </w:p>
    <w:p w14:paraId="6319185C">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按施工期间《</w:t>
      </w:r>
      <w:r>
        <w:rPr>
          <w:rFonts w:hint="eastAsia" w:ascii="宋体" w:hAnsi="宋体" w:eastAsia="宋体" w:cs="宋体"/>
          <w:color w:val="auto"/>
          <w:sz w:val="21"/>
          <w:szCs w:val="21"/>
          <w:highlight w:val="none"/>
          <w:u w:val="single"/>
        </w:rPr>
        <w:t xml:space="preserve"> 南宁 </w:t>
      </w:r>
      <w:r>
        <w:rPr>
          <w:rFonts w:hint="eastAsia" w:ascii="宋体" w:hAnsi="宋体" w:eastAsia="宋体" w:cs="宋体"/>
          <w:color w:val="auto"/>
          <w:sz w:val="21"/>
          <w:szCs w:val="21"/>
          <w:highlight w:val="none"/>
        </w:rPr>
        <w:t>市建设工程造价信息》加权平均计算，信息价没有的按通用条款规定确定。</w:t>
      </w:r>
    </w:p>
    <w:p w14:paraId="096C41F8">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（3）价差计算方法：</w:t>
      </w:r>
    </w:p>
    <w:p w14:paraId="5FC19829">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4"/>
          <w:highlight w:val="none"/>
        </w:rPr>
        <w:t>《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单价*（1+风险系数），价格下跌价差=确认价-投标报价*（1+风险系数）。</w:t>
      </w:r>
    </w:p>
    <w:p w14:paraId="48CD3055">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1"/>
          <w:highlight w:val="none"/>
        </w:rPr>
        <w:t>②承包人在《承包人提供主要材料和设备一览表》中载明的材料和设备投标报价高于基准价格的：</w:t>
      </w:r>
      <w:r>
        <w:rPr>
          <w:rFonts w:hint="eastAsia" w:ascii="宋体" w:hAnsi="宋体" w:eastAsia="宋体" w:cs="宋体"/>
          <w:color w:val="auto"/>
          <w:sz w:val="21"/>
          <w:szCs w:val="24"/>
          <w:highlight w:val="none"/>
        </w:rPr>
        <w:t>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2B8AD4AE">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③承包人在《承包人提供主要材料和设备一览表》中载明的材料和设备单价等于基准单价的：合同履行期间材料和设备单价涨跌幅以基准单价为基础超过约定的风险范围时，其超过部分据实调整。</w:t>
      </w:r>
      <w:r>
        <w:rPr>
          <w:rFonts w:hint="eastAsia" w:ascii="宋体" w:hAnsi="宋体" w:eastAsia="宋体" w:cs="宋体"/>
          <w:color w:val="auto"/>
          <w:sz w:val="21"/>
          <w:szCs w:val="24"/>
          <w:highlight w:val="none"/>
        </w:rPr>
        <w:t>价差计算公式：上涨或下跌价差=确认价-基准单价*（1+风险系数）</w:t>
      </w:r>
    </w:p>
    <w:p w14:paraId="0F0155EC">
      <w:pPr>
        <w:spacing w:beforeLines="0" w:afterLines="0" w:line="360" w:lineRule="auto"/>
        <w:ind w:firstLine="64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其他价格调整方式：除合同约定可以调整的主要材料外，材料单价在合同实施期间不因市场价格变化因素而变动，因征地拆迁影响及重大设计变更 等发包人的原因，在招标后延迟开工或中途停建重新复工的施工工期内，主要材料涨跌的调整幅度按南重点办【2014】29 号文执行。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bookmarkEnd w:id="582"/>
    <w:bookmarkEnd w:id="583"/>
    <w:bookmarkEnd w:id="584"/>
    <w:bookmarkEnd w:id="585"/>
    <w:bookmarkEnd w:id="586"/>
    <w:bookmarkEnd w:id="587"/>
    <w:p w14:paraId="3E3AC85E">
      <w:pPr>
        <w:spacing w:beforeLines="0" w:afterLines="0"/>
        <w:rPr>
          <w:rFonts w:hint="eastAsia" w:ascii="宋体" w:hAnsi="宋体" w:eastAsia="宋体" w:cs="宋体"/>
          <w:color w:val="auto"/>
          <w:sz w:val="21"/>
          <w:szCs w:val="24"/>
          <w:highlight w:val="none"/>
        </w:rPr>
      </w:pPr>
      <w:bookmarkStart w:id="728" w:name="_Toc292559410"/>
      <w:bookmarkStart w:id="729" w:name="_Toc297120505"/>
      <w:bookmarkStart w:id="730" w:name="_Toc297048391"/>
      <w:bookmarkStart w:id="731" w:name="_Toc296891245"/>
      <w:bookmarkStart w:id="732" w:name="_Toc296944544"/>
      <w:bookmarkStart w:id="733" w:name="_Toc296503205"/>
      <w:bookmarkStart w:id="734" w:name="_Toc296347204"/>
      <w:bookmarkStart w:id="735" w:name="_Toc296346706"/>
      <w:bookmarkStart w:id="736" w:name="_Toc292559915"/>
      <w:bookmarkStart w:id="737" w:name="_Toc296891033"/>
      <w:bookmarkStart w:id="738" w:name="_Toc373478395"/>
      <w:bookmarkStart w:id="739" w:name="_Toc351203644"/>
      <w:bookmarkStart w:id="740" w:name="_Toc4351"/>
      <w:bookmarkStart w:id="741" w:name="_Toc373227748"/>
      <w:bookmarkStart w:id="742" w:name="_Toc303539159"/>
      <w:bookmarkStart w:id="743" w:name="_Toc300935002"/>
      <w:bookmarkStart w:id="744" w:name="_Toc297123552"/>
      <w:bookmarkStart w:id="745" w:name="_Toc304295579"/>
      <w:bookmarkStart w:id="746" w:name="_Toc297216211"/>
      <w:bookmarkStart w:id="747" w:name="_Toc312678040"/>
      <w:r>
        <w:rPr>
          <w:rFonts w:hint="eastAsia" w:ascii="宋体" w:hAnsi="宋体" w:eastAsia="宋体" w:cs="宋体"/>
          <w:color w:val="auto"/>
          <w:sz w:val="21"/>
          <w:szCs w:val="24"/>
          <w:highlight w:val="none"/>
        </w:rPr>
        <w:t xml:space="preserve">12. </w:t>
      </w:r>
      <w:bookmarkEnd w:id="728"/>
      <w:bookmarkEnd w:id="729"/>
      <w:bookmarkEnd w:id="730"/>
      <w:bookmarkEnd w:id="731"/>
      <w:bookmarkEnd w:id="732"/>
      <w:bookmarkEnd w:id="733"/>
      <w:bookmarkEnd w:id="734"/>
      <w:bookmarkEnd w:id="735"/>
      <w:bookmarkEnd w:id="736"/>
      <w:bookmarkEnd w:id="737"/>
      <w:r>
        <w:rPr>
          <w:rFonts w:hint="eastAsia" w:ascii="宋体" w:hAnsi="宋体" w:eastAsia="宋体" w:cs="宋体"/>
          <w:color w:val="auto"/>
          <w:sz w:val="21"/>
          <w:szCs w:val="24"/>
          <w:highlight w:val="none"/>
        </w:rPr>
        <w:t>合同价格、计量与支付</w:t>
      </w:r>
      <w:bookmarkEnd w:id="738"/>
      <w:bookmarkEnd w:id="739"/>
      <w:bookmarkEnd w:id="740"/>
      <w:bookmarkEnd w:id="741"/>
    </w:p>
    <w:bookmarkEnd w:id="742"/>
    <w:bookmarkEnd w:id="743"/>
    <w:bookmarkEnd w:id="744"/>
    <w:bookmarkEnd w:id="745"/>
    <w:bookmarkEnd w:id="746"/>
    <w:bookmarkEnd w:id="747"/>
    <w:p w14:paraId="20986E20">
      <w:pPr>
        <w:spacing w:beforeLines="0" w:afterLines="0"/>
        <w:rPr>
          <w:rFonts w:hint="eastAsia" w:ascii="宋体" w:hAnsi="宋体" w:eastAsia="宋体" w:cs="宋体"/>
          <w:color w:val="auto"/>
          <w:sz w:val="21"/>
          <w:szCs w:val="24"/>
          <w:highlight w:val="none"/>
        </w:rPr>
      </w:pPr>
      <w:bookmarkStart w:id="748" w:name="_Toc292559411"/>
      <w:bookmarkStart w:id="749" w:name="_Toc267251461"/>
      <w:bookmarkStart w:id="750" w:name="_Toc292559916"/>
      <w:bookmarkStart w:id="751" w:name="_Toc297120506"/>
      <w:bookmarkStart w:id="752" w:name="_Toc296347205"/>
      <w:bookmarkStart w:id="753" w:name="_Toc296891246"/>
      <w:bookmarkStart w:id="754" w:name="_Toc296891034"/>
      <w:bookmarkStart w:id="755" w:name="_Toc296944545"/>
      <w:bookmarkStart w:id="756" w:name="_Toc296346707"/>
      <w:bookmarkStart w:id="757" w:name="_Toc297048392"/>
      <w:bookmarkStart w:id="758" w:name="_Toc296503206"/>
      <w:bookmarkStart w:id="759" w:name="_Toc373227749"/>
      <w:bookmarkStart w:id="760" w:name="_Toc13093"/>
      <w:bookmarkStart w:id="761" w:name="_Toc373478396"/>
      <w:bookmarkStart w:id="762" w:name="_Toc389065314"/>
      <w:bookmarkStart w:id="763" w:name="_Toc304295580"/>
      <w:bookmarkStart w:id="764" w:name="_Toc297216212"/>
      <w:bookmarkStart w:id="765" w:name="_Toc312678041"/>
      <w:bookmarkStart w:id="766" w:name="_Toc297123553"/>
      <w:bookmarkStart w:id="767" w:name="_Toc303539160"/>
      <w:bookmarkStart w:id="768" w:name="_Toc300935003"/>
      <w:r>
        <w:rPr>
          <w:rFonts w:hint="eastAsia" w:ascii="宋体" w:hAnsi="宋体" w:eastAsia="宋体" w:cs="宋体"/>
          <w:color w:val="auto"/>
          <w:sz w:val="21"/>
          <w:szCs w:val="24"/>
          <w:highlight w:val="none"/>
        </w:rPr>
        <w:t>12.1 合</w:t>
      </w:r>
      <w:bookmarkEnd w:id="748"/>
      <w:bookmarkEnd w:id="749"/>
      <w:bookmarkEnd w:id="750"/>
      <w:r>
        <w:rPr>
          <w:rFonts w:hint="eastAsia" w:ascii="宋体" w:hAnsi="宋体" w:eastAsia="宋体" w:cs="宋体"/>
          <w:color w:val="auto"/>
          <w:sz w:val="21"/>
          <w:szCs w:val="24"/>
          <w:highlight w:val="none"/>
        </w:rPr>
        <w:t>同价</w:t>
      </w:r>
      <w:bookmarkEnd w:id="751"/>
      <w:bookmarkEnd w:id="752"/>
      <w:bookmarkEnd w:id="753"/>
      <w:bookmarkEnd w:id="754"/>
      <w:bookmarkEnd w:id="755"/>
      <w:bookmarkEnd w:id="756"/>
      <w:bookmarkEnd w:id="757"/>
      <w:bookmarkEnd w:id="758"/>
      <w:r>
        <w:rPr>
          <w:rFonts w:hint="eastAsia" w:ascii="宋体" w:hAnsi="宋体" w:eastAsia="宋体" w:cs="宋体"/>
          <w:color w:val="auto"/>
          <w:sz w:val="21"/>
          <w:szCs w:val="24"/>
          <w:highlight w:val="none"/>
        </w:rPr>
        <w:t>格形式</w:t>
      </w:r>
      <w:bookmarkEnd w:id="759"/>
      <w:bookmarkEnd w:id="760"/>
      <w:bookmarkEnd w:id="761"/>
      <w:bookmarkEnd w:id="762"/>
    </w:p>
    <w:bookmarkEnd w:id="763"/>
    <w:bookmarkEnd w:id="764"/>
    <w:bookmarkEnd w:id="765"/>
    <w:bookmarkEnd w:id="766"/>
    <w:bookmarkEnd w:id="767"/>
    <w:bookmarkEnd w:id="768"/>
    <w:p w14:paraId="75557059">
      <w:pPr>
        <w:spacing w:beforeLines="0" w:afterLines="0" w:line="360" w:lineRule="auto"/>
        <w:ind w:firstLine="420" w:firstLineChars="200"/>
        <w:jc w:val="left"/>
        <w:rPr>
          <w:rFonts w:hint="eastAsia" w:ascii="宋体" w:hAnsi="宋体" w:eastAsia="宋体" w:cs="宋体"/>
          <w:color w:val="auto"/>
          <w:sz w:val="21"/>
          <w:szCs w:val="21"/>
          <w:highlight w:val="none"/>
        </w:rPr>
      </w:pPr>
      <w:bookmarkStart w:id="769" w:name="_Toc373227750"/>
      <w:bookmarkStart w:id="770" w:name="_Toc389065315"/>
      <w:bookmarkStart w:id="771" w:name="_Toc373478397"/>
      <w:bookmarkStart w:id="772" w:name="_Toc297216213"/>
      <w:bookmarkStart w:id="773" w:name="_Toc300935004"/>
      <w:bookmarkStart w:id="774" w:name="_Toc297123554"/>
      <w:bookmarkStart w:id="775" w:name="_Toc312678042"/>
      <w:bookmarkStart w:id="776" w:name="_Toc303539161"/>
      <w:bookmarkStart w:id="777" w:name="_Toc304295581"/>
      <w:bookmarkStart w:id="778" w:name="_Toc292559917"/>
      <w:bookmarkStart w:id="779" w:name="_Toc296891247"/>
      <w:bookmarkStart w:id="780" w:name="_Toc296347206"/>
      <w:bookmarkStart w:id="781" w:name="_Toc296503207"/>
      <w:bookmarkStart w:id="782" w:name="_Toc297120507"/>
      <w:bookmarkStart w:id="783" w:name="_Toc296944546"/>
      <w:bookmarkStart w:id="784" w:name="_Toc296346708"/>
      <w:bookmarkStart w:id="785" w:name="_Toc296891035"/>
      <w:bookmarkStart w:id="786" w:name="_Toc292559412"/>
      <w:bookmarkStart w:id="787" w:name="_Toc297048393"/>
      <w:r>
        <w:rPr>
          <w:rFonts w:hint="eastAsia" w:ascii="宋体" w:hAnsi="宋体" w:eastAsia="宋体" w:cs="宋体"/>
          <w:color w:val="auto"/>
          <w:sz w:val="21"/>
          <w:szCs w:val="21"/>
          <w:highlight w:val="none"/>
        </w:rPr>
        <w:t>本工程采用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固定</w:t>
      </w:r>
      <w:r>
        <w:rPr>
          <w:rFonts w:hint="eastAsia" w:ascii="宋体" w:hAnsi="宋体" w:cs="宋体"/>
          <w:color w:val="auto"/>
          <w:sz w:val="21"/>
          <w:szCs w:val="24"/>
          <w:highlight w:val="none"/>
          <w:u w:val="single"/>
          <w:lang w:val="en-US" w:eastAsia="zh-CN"/>
        </w:rPr>
        <w:t>综合</w:t>
      </w:r>
      <w:r>
        <w:rPr>
          <w:rFonts w:hint="eastAsia" w:hAnsi="宋体" w:eastAsia="宋体" w:cs="宋体"/>
          <w:color w:val="auto"/>
          <w:sz w:val="21"/>
          <w:szCs w:val="24"/>
          <w:highlight w:val="none"/>
          <w:u w:val="single"/>
          <w:lang w:val="en-US" w:eastAsia="zh-CN"/>
        </w:rPr>
        <w:t>单价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合同价格形式</w:t>
      </w:r>
      <w:r>
        <w:rPr>
          <w:rFonts w:hint="eastAsia" w:ascii="宋体" w:hAnsi="宋体" w:eastAsia="宋体" w:cs="宋体"/>
          <w:color w:val="auto"/>
          <w:sz w:val="21"/>
          <w:szCs w:val="24"/>
          <w:highlight w:val="none"/>
        </w:rPr>
        <w:t>，合同价格包含增值税，本工程计价时采用的增值税计税方法为：</w:t>
      </w:r>
      <w:r>
        <w:rPr>
          <w:rFonts w:hint="eastAsia" w:ascii="宋体" w:hAnsi="宋体" w:cs="宋体"/>
          <w:color w:val="auto"/>
          <w:sz w:val="21"/>
          <w:szCs w:val="24"/>
          <w:highlight w:val="none"/>
          <w:lang w:eastAsia="zh-CN"/>
        </w:rPr>
        <w:t>☑</w:t>
      </w:r>
      <w:r>
        <w:rPr>
          <w:rFonts w:hint="eastAsia" w:ascii="宋体" w:hAnsi="宋体" w:eastAsia="宋体" w:cs="宋体"/>
          <w:color w:val="auto"/>
          <w:sz w:val="21"/>
          <w:szCs w:val="24"/>
          <w:highlight w:val="none"/>
        </w:rPr>
        <w:t>一般计税法   □简易计税法</w:t>
      </w:r>
      <w:r>
        <w:rPr>
          <w:rFonts w:hint="eastAsia" w:ascii="宋体" w:hAnsi="宋体" w:eastAsia="宋体" w:cs="宋体"/>
          <w:color w:val="auto"/>
          <w:sz w:val="21"/>
          <w:szCs w:val="21"/>
          <w:highlight w:val="none"/>
        </w:rPr>
        <w:t>。</w:t>
      </w:r>
    </w:p>
    <w:p w14:paraId="6C18BD7E">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w:t>
      </w:r>
    </w:p>
    <w:p w14:paraId="0A377F57">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采用</w:t>
      </w:r>
      <w:r>
        <w:rPr>
          <w:rFonts w:hint="eastAsia" w:ascii="宋体" w:hAnsi="宋体" w:cs="宋体"/>
          <w:color w:val="auto"/>
          <w:sz w:val="21"/>
          <w:szCs w:val="24"/>
          <w:highlight w:val="none"/>
          <w:lang w:val="en-US" w:eastAsia="zh-CN"/>
        </w:rPr>
        <w:t>固定</w:t>
      </w:r>
      <w:r>
        <w:rPr>
          <w:rFonts w:hint="eastAsia" w:ascii="宋体" w:hAnsi="宋体" w:eastAsia="宋体" w:cs="宋体"/>
          <w:color w:val="auto"/>
          <w:sz w:val="21"/>
          <w:szCs w:val="24"/>
          <w:highlight w:val="none"/>
        </w:rPr>
        <w:t>综合单价合同方式时，工程量按建设单位、监理单位、施工单位三方确认的竣工图结算。</w:t>
      </w:r>
    </w:p>
    <w:p w14:paraId="2151D86D">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综合单价包含的风险范围：</w:t>
      </w:r>
      <w:r>
        <w:rPr>
          <w:rFonts w:hint="eastAsia" w:ascii="宋体" w:hAnsi="宋体" w:eastAsia="宋体" w:cs="宋体"/>
          <w:color w:val="auto"/>
          <w:sz w:val="21"/>
          <w:szCs w:val="24"/>
          <w:highlight w:val="none"/>
          <w:u w:val="single"/>
        </w:rPr>
        <w:t>除工程变更、项目特征不符、工程量清单缺项、工程量偏差、政策性调整、本工程《承包人提供主要材料和设备一览表》中约定的材料和设备价格变动风险以外的其他风险因素。</w:t>
      </w:r>
    </w:p>
    <w:p w14:paraId="53EF5685">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风险范围以外合同价格的调整方法：</w:t>
      </w:r>
    </w:p>
    <w:p w14:paraId="1183FFC0">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①工程变更、项目特征不符、工程量清单缺项：按10.4.1变更估价原则的约定调整。</w:t>
      </w:r>
    </w:p>
    <w:p w14:paraId="7B7BDE7C">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②工程量偏差：按1.13工程量清单错误修正的约定调整。</w:t>
      </w:r>
    </w:p>
    <w:p w14:paraId="7F5F6FDC">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③政策性调整：按自治区住房城乡建设厅或工程所在地住房城乡建设主管部门颁布的文件执行。</w:t>
      </w:r>
    </w:p>
    <w:p w14:paraId="6032EA22">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④材料价格风险：按11.1的约定调整。</w:t>
      </w:r>
    </w:p>
    <w:p w14:paraId="21F6F549">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⑤其它：</w:t>
      </w:r>
      <w:r>
        <w:rPr>
          <w:rFonts w:hint="eastAsia" w:ascii="宋体" w:hAnsi="宋体" w:eastAsia="宋体" w:cs="宋体"/>
          <w:color w:val="auto"/>
          <w:sz w:val="21"/>
          <w:szCs w:val="24"/>
          <w:highlight w:val="none"/>
          <w:u w:val="single"/>
        </w:rPr>
        <w:t xml:space="preserve">    无     </w:t>
      </w:r>
      <w:r>
        <w:rPr>
          <w:rFonts w:hint="eastAsia" w:ascii="宋体" w:hAnsi="宋体" w:eastAsia="宋体" w:cs="宋体"/>
          <w:color w:val="auto"/>
          <w:sz w:val="21"/>
          <w:szCs w:val="24"/>
          <w:highlight w:val="none"/>
        </w:rPr>
        <w:t>。</w:t>
      </w:r>
    </w:p>
    <w:p w14:paraId="3AA79D3F">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w:t>
      </w:r>
    </w:p>
    <w:p w14:paraId="7F41835C">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总价包含的风险范围：包含除工程变更、政策性调整、</w:t>
      </w:r>
      <w:r>
        <w:rPr>
          <w:rFonts w:hint="eastAsia" w:ascii="宋体" w:hAnsi="宋体" w:eastAsia="宋体" w:cs="宋体"/>
          <w:color w:val="auto"/>
          <w:sz w:val="21"/>
          <w:szCs w:val="24"/>
          <w:highlight w:val="none"/>
          <w:u w:val="single"/>
        </w:rPr>
        <w:t xml:space="preserve">本工程《承包人提供主要材料和设备一览表》中约定的材料和设备价格变动风险以外的其他风险。除工程变更外，结算时不再对招标施工图对应的工程量重新计量    </w:t>
      </w:r>
      <w:r>
        <w:rPr>
          <w:rFonts w:hint="eastAsia" w:ascii="宋体" w:hAnsi="宋体" w:eastAsia="宋体" w:cs="宋体"/>
          <w:color w:val="auto"/>
          <w:sz w:val="21"/>
          <w:szCs w:val="24"/>
          <w:highlight w:val="none"/>
        </w:rPr>
        <w:t>。</w:t>
      </w:r>
    </w:p>
    <w:p w14:paraId="6BD6ACA8">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风险范围以外合同价格的调整方法：</w:t>
      </w:r>
    </w:p>
    <w:p w14:paraId="016D1691">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①工程变更：按10.4.1变更估价原则的约定调整。</w:t>
      </w:r>
    </w:p>
    <w:p w14:paraId="23AA6431">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②政策性调整：按自治区住房城乡建设厅或工程所在地住房城乡建设主管部门颁布的文件执行。</w:t>
      </w:r>
    </w:p>
    <w:p w14:paraId="65E7D3AD">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③材料价格风险：按11.1的约定调整。</w:t>
      </w:r>
    </w:p>
    <w:p w14:paraId="5D89B449">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fldChar w:fldCharType="begin"/>
      </w:r>
      <w:r>
        <w:rPr>
          <w:rFonts w:hint="eastAsia" w:ascii="宋体" w:hAnsi="宋体" w:eastAsia="宋体" w:cs="宋体"/>
          <w:color w:val="auto"/>
          <w:sz w:val="21"/>
          <w:szCs w:val="24"/>
          <w:highlight w:val="none"/>
        </w:rPr>
        <w:instrText xml:space="preserve"> = 4 \* GB3 </w:instrText>
      </w:r>
      <w:r>
        <w:rPr>
          <w:rFonts w:hint="eastAsia" w:ascii="宋体" w:hAnsi="宋体" w:eastAsia="宋体" w:cs="宋体"/>
          <w:color w:val="auto"/>
          <w:sz w:val="21"/>
          <w:szCs w:val="24"/>
          <w:highlight w:val="none"/>
        </w:rPr>
        <w:fldChar w:fldCharType="separate"/>
      </w:r>
      <w:r>
        <w:rPr>
          <w:rFonts w:hint="eastAsia" w:ascii="宋体" w:hAnsi="宋体" w:eastAsia="宋体" w:cs="宋体"/>
          <w:color w:val="auto"/>
          <w:sz w:val="21"/>
          <w:szCs w:val="24"/>
          <w:highlight w:val="none"/>
        </w:rPr>
        <w:t>④</w:t>
      </w:r>
      <w:r>
        <w:rPr>
          <w:rFonts w:hint="eastAsia" w:ascii="宋体" w:hAnsi="宋体" w:eastAsia="宋体" w:cs="宋体"/>
          <w:color w:val="auto"/>
          <w:sz w:val="21"/>
          <w:szCs w:val="24"/>
          <w:highlight w:val="none"/>
        </w:rPr>
        <w:fldChar w:fldCharType="end"/>
      </w:r>
      <w:r>
        <w:rPr>
          <w:rFonts w:hint="eastAsia" w:ascii="宋体" w:hAnsi="宋体" w:eastAsia="宋体" w:cs="宋体"/>
          <w:color w:val="auto"/>
          <w:sz w:val="21"/>
          <w:szCs w:val="24"/>
          <w:highlight w:val="none"/>
        </w:rPr>
        <w:t>其它：</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rPr>
        <w:t>。</w:t>
      </w:r>
    </w:p>
    <w:p w14:paraId="2E47DCD5">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（3）其他价格方式：</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rPr>
        <w:t>。</w:t>
      </w:r>
    </w:p>
    <w:p w14:paraId="41B997A0">
      <w:pPr>
        <w:spacing w:beforeLines="0" w:afterLines="0"/>
        <w:rPr>
          <w:rFonts w:hint="eastAsia" w:ascii="宋体" w:hAnsi="宋体" w:eastAsia="宋体" w:cs="宋体"/>
          <w:color w:val="auto"/>
          <w:sz w:val="21"/>
          <w:szCs w:val="24"/>
          <w:highlight w:val="none"/>
        </w:rPr>
      </w:pPr>
      <w:bookmarkStart w:id="788" w:name="_Toc1843"/>
      <w:r>
        <w:rPr>
          <w:rFonts w:hint="eastAsia" w:ascii="宋体" w:hAnsi="宋体" w:eastAsia="宋体" w:cs="宋体"/>
          <w:color w:val="auto"/>
          <w:sz w:val="21"/>
          <w:szCs w:val="24"/>
          <w:highlight w:val="none"/>
        </w:rPr>
        <w:t>12.2 预付款</w:t>
      </w:r>
      <w:bookmarkEnd w:id="769"/>
      <w:bookmarkEnd w:id="770"/>
      <w:bookmarkEnd w:id="771"/>
      <w:bookmarkEnd w:id="788"/>
    </w:p>
    <w:bookmarkEnd w:id="772"/>
    <w:bookmarkEnd w:id="773"/>
    <w:bookmarkEnd w:id="774"/>
    <w:bookmarkEnd w:id="775"/>
    <w:bookmarkEnd w:id="776"/>
    <w:bookmarkEnd w:id="777"/>
    <w:p w14:paraId="2DD76232">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12.2.1 预付款的支付</w:t>
      </w:r>
    </w:p>
    <w:p w14:paraId="69ADE247">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预付款支付比例或金额：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2E9256D">
      <w:pPr>
        <w:pStyle w:val="4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Style w:val="25"/>
          <w:rFonts w:hint="eastAsia" w:ascii="Calibri" w:hAnsi="Calibri" w:eastAsia="宋体" w:cs="宋体"/>
          <w:color w:val="auto"/>
          <w:highlight w:val="none"/>
          <w:u w:val="single"/>
          <w:lang w:val="en-US" w:eastAsia="zh-CN"/>
        </w:rPr>
        <w:t xml:space="preserve"> </w:t>
      </w:r>
      <w:r>
        <w:rPr>
          <w:rFonts w:hint="eastAsia" w:ascii="宋体" w:hAnsi="宋体" w:eastAsia="宋体" w:cs="宋体"/>
          <w:color w:val="auto"/>
          <w:sz w:val="21"/>
          <w:szCs w:val="21"/>
          <w:highlight w:val="none"/>
        </w:rPr>
        <w:t>。</w:t>
      </w:r>
    </w:p>
    <w:p w14:paraId="39A1B999">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预付款扣回的方式：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521E9940">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14:paraId="12F10711">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承包人提交预付款担保的期限：</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0CF6590C">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预付款担保的形式为：</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bookmarkEnd w:id="778"/>
    <w:bookmarkEnd w:id="779"/>
    <w:bookmarkEnd w:id="780"/>
    <w:bookmarkEnd w:id="781"/>
    <w:bookmarkEnd w:id="782"/>
    <w:bookmarkEnd w:id="783"/>
    <w:bookmarkEnd w:id="784"/>
    <w:bookmarkEnd w:id="785"/>
    <w:bookmarkEnd w:id="786"/>
    <w:bookmarkEnd w:id="787"/>
    <w:p w14:paraId="0E49C33E">
      <w:pPr>
        <w:spacing w:beforeLines="0" w:afterLines="0" w:line="360" w:lineRule="auto"/>
        <w:ind w:firstLine="420" w:firstLineChars="200"/>
        <w:jc w:val="left"/>
        <w:rPr>
          <w:rFonts w:hint="eastAsia" w:ascii="宋体" w:hAnsi="宋体" w:eastAsia="宋体" w:cs="宋体"/>
          <w:color w:val="auto"/>
          <w:sz w:val="21"/>
          <w:szCs w:val="24"/>
          <w:highlight w:val="none"/>
        </w:rPr>
      </w:pPr>
      <w:bookmarkStart w:id="789" w:name="_Toc373478398"/>
      <w:bookmarkStart w:id="790" w:name="_Toc389065316"/>
      <w:bookmarkStart w:id="791" w:name="_Toc373227751"/>
    </w:p>
    <w:p w14:paraId="1A4DB4D5">
      <w:pPr>
        <w:spacing w:beforeLines="0" w:afterLines="0"/>
        <w:rPr>
          <w:rFonts w:hint="eastAsia" w:ascii="宋体" w:hAnsi="宋体" w:eastAsia="宋体" w:cs="宋体"/>
          <w:color w:val="auto"/>
          <w:sz w:val="21"/>
          <w:szCs w:val="24"/>
          <w:highlight w:val="none"/>
        </w:rPr>
      </w:pPr>
      <w:bookmarkStart w:id="792" w:name="_Toc30134"/>
      <w:r>
        <w:rPr>
          <w:rFonts w:hint="eastAsia" w:ascii="宋体" w:hAnsi="宋体" w:eastAsia="宋体" w:cs="宋体"/>
          <w:color w:val="auto"/>
          <w:sz w:val="21"/>
          <w:szCs w:val="24"/>
          <w:highlight w:val="none"/>
        </w:rPr>
        <w:t>12.3 计量</w:t>
      </w:r>
      <w:bookmarkEnd w:id="789"/>
      <w:bookmarkEnd w:id="790"/>
      <w:bookmarkEnd w:id="791"/>
      <w:bookmarkEnd w:id="792"/>
    </w:p>
    <w:p w14:paraId="331A1B79">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12.3.1 计量原则</w:t>
      </w:r>
    </w:p>
    <w:p w14:paraId="5323935A">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w:t>
      </w:r>
      <w:r>
        <w:rPr>
          <w:rFonts w:hint="eastAsia" w:ascii="宋体" w:hAnsi="宋体" w:eastAsia="宋体" w:cs="宋体"/>
          <w:color w:val="auto"/>
          <w:sz w:val="21"/>
          <w:szCs w:val="21"/>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2943A469">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12.3.2 计量周期</w:t>
      </w:r>
    </w:p>
    <w:p w14:paraId="10EBA92A">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关于计量周期的约定：</w:t>
      </w:r>
      <w:r>
        <w:rPr>
          <w:rFonts w:hint="eastAsia" w:ascii="宋体" w:hAnsi="宋体" w:eastAsia="宋体" w:cs="宋体"/>
          <w:color w:val="auto"/>
          <w:sz w:val="21"/>
          <w:szCs w:val="21"/>
          <w:highlight w:val="none"/>
          <w:u w:val="single"/>
        </w:rPr>
        <w:t>每月25日前</w:t>
      </w:r>
      <w:r>
        <w:rPr>
          <w:rFonts w:hint="eastAsia" w:ascii="宋体" w:hAnsi="宋体" w:eastAsia="宋体" w:cs="宋体"/>
          <w:color w:val="auto"/>
          <w:sz w:val="21"/>
          <w:szCs w:val="21"/>
          <w:highlight w:val="none"/>
        </w:rPr>
        <w:t>。</w:t>
      </w:r>
    </w:p>
    <w:p w14:paraId="266B8A23">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12.3.3 单价合同的计量</w:t>
      </w:r>
    </w:p>
    <w:p w14:paraId="3E5CDCD0">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关于单价合同计量的约定：</w:t>
      </w:r>
    </w:p>
    <w:p w14:paraId="3A679E50">
      <w:pPr>
        <w:spacing w:beforeLines="0" w:afterLines="0" w:line="360" w:lineRule="auto"/>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工程量清单所列的工程量，不能作为承包人按合同履行其责任依据，实际施工中发生的工程量增加或减少并不影响承包人履行合同的责任，工程结算以完成的实际工程量为准。</w:t>
      </w:r>
    </w:p>
    <w:p w14:paraId="671C1178">
      <w:pPr>
        <w:spacing w:beforeLines="0" w:afterLines="0" w:line="360" w:lineRule="auto"/>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467BF5C4">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12.3.4 总价合同的计量</w:t>
      </w:r>
    </w:p>
    <w:p w14:paraId="74D4DD2D">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（1）总价合同计量约定：进度款按支付分解表支付，支付分解表在招标完成后签合同之前制定，具体详见本专用合同条款12.4.6。</w:t>
      </w:r>
    </w:p>
    <w:p w14:paraId="5363A799">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12.3.6 其他价格形式合同的计量</w:t>
      </w:r>
    </w:p>
    <w:p w14:paraId="5F235AED">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其他价格形式的计量方式和程序：</w:t>
      </w:r>
      <w:r>
        <w:rPr>
          <w:rFonts w:hint="eastAsia" w:ascii="宋体" w:hAnsi="宋体" w:eastAsia="宋体" w:cs="宋体"/>
          <w:color w:val="auto"/>
          <w:sz w:val="21"/>
          <w:szCs w:val="21"/>
          <w:highlight w:val="none"/>
          <w:u w:val="single"/>
        </w:rPr>
        <w:t xml:space="preserve">无       </w:t>
      </w:r>
      <w:r>
        <w:rPr>
          <w:rFonts w:hint="eastAsia" w:ascii="宋体" w:hAnsi="宋体" w:eastAsia="宋体" w:cs="宋体"/>
          <w:color w:val="auto"/>
          <w:sz w:val="21"/>
          <w:szCs w:val="21"/>
          <w:highlight w:val="none"/>
        </w:rPr>
        <w:t>。</w:t>
      </w:r>
    </w:p>
    <w:p w14:paraId="2B8BD9AE">
      <w:pPr>
        <w:spacing w:beforeLines="0" w:afterLines="0"/>
        <w:rPr>
          <w:rFonts w:hint="eastAsia" w:ascii="宋体" w:hAnsi="宋体" w:eastAsia="宋体" w:cs="宋体"/>
          <w:color w:val="auto"/>
          <w:sz w:val="21"/>
          <w:szCs w:val="24"/>
          <w:highlight w:val="none"/>
        </w:rPr>
      </w:pPr>
      <w:bookmarkStart w:id="793" w:name="_Toc389065317"/>
      <w:bookmarkStart w:id="794" w:name="_Toc373227752"/>
      <w:bookmarkStart w:id="795" w:name="_Toc23445"/>
      <w:bookmarkStart w:id="796" w:name="_Toc373478399"/>
      <w:r>
        <w:rPr>
          <w:rFonts w:hint="eastAsia" w:ascii="宋体" w:hAnsi="宋体" w:eastAsia="宋体" w:cs="宋体"/>
          <w:color w:val="auto"/>
          <w:sz w:val="21"/>
          <w:szCs w:val="24"/>
          <w:highlight w:val="none"/>
        </w:rPr>
        <w:t>12.4 工程进度款支付</w:t>
      </w:r>
      <w:bookmarkEnd w:id="793"/>
      <w:bookmarkEnd w:id="794"/>
      <w:bookmarkEnd w:id="795"/>
      <w:bookmarkEnd w:id="796"/>
    </w:p>
    <w:p w14:paraId="39D4BD9A">
      <w:pPr>
        <w:spacing w:beforeLines="0" w:afterLines="0" w:line="360" w:lineRule="auto"/>
        <w:ind w:firstLine="420" w:firstLineChars="200"/>
        <w:jc w:val="left"/>
        <w:rPr>
          <w:rFonts w:hint="default" w:ascii="宋体" w:hAnsi="宋体" w:eastAsia="宋体" w:cs="宋体"/>
          <w:color w:val="auto"/>
          <w:sz w:val="21"/>
          <w:szCs w:val="21"/>
          <w:highlight w:val="none"/>
          <w:u w:val="single"/>
          <w:lang w:val="en-US" w:eastAsia="zh-CN"/>
        </w:rPr>
      </w:pPr>
      <w:bookmarkStart w:id="797" w:name="_Toc292559921"/>
      <w:bookmarkStart w:id="798" w:name="_Toc292559416"/>
      <w:bookmarkStart w:id="799" w:name="_Toc296891251"/>
      <w:bookmarkStart w:id="800" w:name="_Toc303539163"/>
      <w:bookmarkStart w:id="801" w:name="_Toc296503211"/>
      <w:bookmarkStart w:id="802" w:name="_Toc297120511"/>
      <w:bookmarkStart w:id="803" w:name="_Toc296891039"/>
      <w:bookmarkStart w:id="804" w:name="_Toc296944550"/>
      <w:bookmarkStart w:id="805" w:name="_Toc297123556"/>
      <w:bookmarkStart w:id="806" w:name="_Toc300935006"/>
      <w:bookmarkStart w:id="807" w:name="_Toc296346712"/>
      <w:bookmarkStart w:id="808" w:name="_Toc297216215"/>
      <w:bookmarkStart w:id="809" w:name="_Toc296347210"/>
      <w:bookmarkStart w:id="810" w:name="_Toc297048397"/>
      <w:r>
        <w:rPr>
          <w:rFonts w:hint="eastAsia" w:ascii="宋体" w:hAnsi="宋体" w:eastAsia="宋体" w:cs="宋体"/>
          <w:color w:val="auto"/>
          <w:sz w:val="21"/>
          <w:szCs w:val="21"/>
          <w:highlight w:val="none"/>
        </w:rPr>
        <w:t>12.4.1 付款方式及条件：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p>
    <w:p w14:paraId="73F03E3F">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14:paraId="6516E565">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关于进度付款申请单编制的约定：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按通用条款12.4.2执行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CEB9F73">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Pr>
          <w:rFonts w:hint="eastAsia" w:ascii="宋体" w:hAnsi="宋体" w:eastAsia="宋体" w:cs="宋体"/>
          <w:color w:val="auto"/>
          <w:sz w:val="21"/>
          <w:szCs w:val="21"/>
          <w:highlight w:val="none"/>
        </w:rPr>
        <w:t>2.4.3 进度付款申请单的提交</w:t>
      </w:r>
    </w:p>
    <w:p w14:paraId="5AA2A365">
      <w:pPr>
        <w:spacing w:beforeLines="0" w:afterLines="0" w:line="360" w:lineRule="auto"/>
        <w:ind w:firstLine="420" w:firstLineChars="200"/>
        <w:jc w:val="left"/>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（1）单价合同进度付款申请单提交的约定：</w:t>
      </w:r>
    </w:p>
    <w:p w14:paraId="4BCDBEA7">
      <w:pPr>
        <w:spacing w:beforeLines="0" w:afterLines="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承包人申请工程进度款时，承包人向发包人提供以下资料：①《工程用款支付证书》；②《财政性资金投资项目用款核定通知书》；③工程量计量报表（格式按财政局业务科室具体要求） </w:t>
      </w:r>
      <w:r>
        <w:rPr>
          <w:rFonts w:hint="eastAsia" w:ascii="宋体" w:hAnsi="宋体" w:eastAsia="宋体" w:cs="宋体"/>
          <w:color w:val="auto"/>
          <w:sz w:val="21"/>
          <w:szCs w:val="21"/>
          <w:highlight w:val="none"/>
        </w:rPr>
        <w:t>。</w:t>
      </w:r>
    </w:p>
    <w:p w14:paraId="5A2F274C">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（2）总价合同进度付款申请单提交的约定：</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0E81E300">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（3）其他价格形式合同进度付款申请单提交的约定：</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08BE1377">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14:paraId="0F6D6F97">
      <w:pPr>
        <w:pStyle w:val="44"/>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（1）监理人审查并报送发包人的期限：</w:t>
      </w:r>
      <w:r>
        <w:rPr>
          <w:rFonts w:hint="eastAsia" w:ascii="宋体" w:hAnsi="宋体" w:eastAsia="宋体" w:cs="宋体"/>
          <w:color w:val="auto"/>
          <w:sz w:val="21"/>
          <w:szCs w:val="21"/>
          <w:highlight w:val="none"/>
          <w:u w:val="single"/>
        </w:rPr>
        <w:t xml:space="preserve"> 监理人应在收到承包人进度付款申请 单以及相关资料后 7 个工作人内完成审查并报送发包人   </w:t>
      </w:r>
      <w:r>
        <w:rPr>
          <w:rFonts w:hint="eastAsia" w:ascii="宋体" w:hAnsi="宋体" w:eastAsia="宋体" w:cs="宋体"/>
          <w:color w:val="auto"/>
          <w:sz w:val="21"/>
          <w:szCs w:val="21"/>
          <w:highlight w:val="none"/>
        </w:rPr>
        <w:t>。</w:t>
      </w:r>
    </w:p>
    <w:p w14:paraId="01C127A5">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color w:val="auto"/>
          <w:sz w:val="21"/>
          <w:szCs w:val="21"/>
          <w:highlight w:val="none"/>
          <w:u w:val="single"/>
        </w:rPr>
        <w:t xml:space="preserve"> 发包人应在收到后 7 个工作日内完成审批并签发进度款支付证书       </w:t>
      </w:r>
      <w:r>
        <w:rPr>
          <w:rFonts w:hint="eastAsia" w:ascii="宋体" w:hAnsi="宋体" w:eastAsia="宋体" w:cs="宋体"/>
          <w:color w:val="auto"/>
          <w:sz w:val="21"/>
          <w:szCs w:val="21"/>
          <w:highlight w:val="none"/>
        </w:rPr>
        <w:t>。</w:t>
      </w:r>
    </w:p>
    <w:p w14:paraId="3E593CD1">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（2）发包人支付进度款的期限：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自收到承包人递交的申请单起15天内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33B7E1C">
      <w:pPr>
        <w:spacing w:beforeLines="0" w:afterLines="0" w:line="360" w:lineRule="auto"/>
        <w:ind w:firstLine="525" w:firstLineChars="2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发包人逾期支付进度款的违约金的计算方式：</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7E93AB66">
      <w:pPr>
        <w:spacing w:beforeLines="0" w:afterLines="0" w:line="360" w:lineRule="auto"/>
        <w:ind w:firstLine="525" w:firstLineChars="2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进度款支付方式：</w:t>
      </w:r>
      <w:r>
        <w:rPr>
          <w:rFonts w:hint="eastAsia" w:ascii="宋体" w:hAnsi="宋体" w:eastAsia="宋体" w:cs="宋体"/>
          <w:color w:val="auto"/>
          <w:sz w:val="21"/>
          <w:szCs w:val="21"/>
          <w:highlight w:val="none"/>
          <w:u w:val="single"/>
        </w:rPr>
        <w:t>银行转账</w:t>
      </w:r>
      <w:r>
        <w:rPr>
          <w:rFonts w:hint="eastAsia" w:ascii="宋体" w:hAnsi="宋体" w:eastAsia="宋体" w:cs="宋体"/>
          <w:color w:val="auto"/>
          <w:sz w:val="21"/>
          <w:szCs w:val="21"/>
          <w:highlight w:val="none"/>
        </w:rPr>
        <w:t>。</w:t>
      </w:r>
    </w:p>
    <w:p w14:paraId="76C0C16C">
      <w:pPr>
        <w:spacing w:beforeLines="0" w:afterLines="0" w:line="360" w:lineRule="auto"/>
        <w:ind w:firstLine="525" w:firstLineChars="25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 农民工工资支付</w:t>
      </w:r>
    </w:p>
    <w:p w14:paraId="5D83B392">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14:paraId="3E321B14">
      <w:pPr>
        <w:spacing w:beforeLines="0" w:afterLines="0" w:line="360" w:lineRule="auto"/>
        <w:ind w:firstLine="525" w:firstLineChars="25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2）发包人依据工程进度，按与承包人约定的农民工支付比例，将工程人工费分账支付到承包人的农民工工资专户，工程完工时发包人向承包人农民工工资专户支付的完工工程量的人工费支付比例不低于   %，其余工程进度款项由发包人支付到承包人的单位基本户。</w:t>
      </w:r>
    </w:p>
    <w:p w14:paraId="287EC274">
      <w:pPr>
        <w:spacing w:beforeLines="0" w:afterLines="0" w:line="360" w:lineRule="auto"/>
        <w:ind w:firstLine="525" w:firstLineChars="25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   %。其余分包工程进度款项由承包人支付到分包人的单位基本户。</w:t>
      </w:r>
    </w:p>
    <w:p w14:paraId="70467021">
      <w:pPr>
        <w:spacing w:beforeLines="0" w:afterLines="0" w:line="360" w:lineRule="auto"/>
        <w:ind w:firstLine="525" w:firstLineChars="25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4）凡未向付款单位提供农民工工资专户的，或者请款单位在申请工程进度款时未将人工费单列的，付款单位有权拒绝支付工程进度款。</w:t>
      </w:r>
    </w:p>
    <w:p w14:paraId="72F1BE31">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5）农民工工资使用要求：专款专用，除发放工人工资外，不得用于其他用途。</w:t>
      </w:r>
    </w:p>
    <w:p w14:paraId="66B2F62D">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6）承包人将农民工工资支付情况定期报告发包人和监理单位，并提供相应的材料接受建设行政主管部门和劳动保障行政主管部门对此事项监管。</w:t>
      </w:r>
    </w:p>
    <w:p w14:paraId="7BE1D4F9">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（4）农民工工资支付专用账户：××××公司</w:t>
      </w:r>
      <w:r>
        <w:rPr>
          <w:rFonts w:hint="eastAsia" w:ascii="宋体" w:hAnsi="宋体" w:cs="宋体"/>
          <w:color w:val="auto"/>
          <w:sz w:val="21"/>
          <w:szCs w:val="24"/>
          <w:highlight w:val="none"/>
          <w:lang w:eastAsia="zh-CN"/>
        </w:rPr>
        <w:t>。</w:t>
      </w:r>
      <w:r>
        <w:rPr>
          <w:rFonts w:hint="eastAsia" w:ascii="宋体" w:hAnsi="宋体" w:cs="宋体"/>
          <w:color w:val="auto"/>
          <w:sz w:val="21"/>
          <w:szCs w:val="24"/>
          <w:highlight w:val="none"/>
          <w:lang w:val="en-US" w:eastAsia="zh-CN"/>
        </w:rPr>
        <w:t xml:space="preserve">  </w:t>
      </w:r>
      <w:r>
        <w:rPr>
          <w:rFonts w:hint="eastAsia" w:ascii="宋体" w:hAnsi="宋体" w:eastAsia="宋体" w:cs="宋体"/>
          <w:color w:val="auto"/>
          <w:sz w:val="21"/>
          <w:szCs w:val="24"/>
          <w:highlight w:val="none"/>
        </w:rPr>
        <w:t>账号：                   。</w:t>
      </w:r>
    </w:p>
    <w:p w14:paraId="316542C8">
      <w:pPr>
        <w:spacing w:beforeLines="0" w:afterLines="0" w:line="360" w:lineRule="auto"/>
        <w:ind w:firstLine="525" w:firstLineChars="25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12.4.6 支付分解表的编制</w:t>
      </w:r>
    </w:p>
    <w:p w14:paraId="1FCF7237">
      <w:pPr>
        <w:spacing w:beforeLines="0" w:afterLines="0" w:line="360" w:lineRule="auto"/>
        <w:ind w:firstLine="525" w:firstLineChars="250"/>
        <w:jc w:val="left"/>
        <w:rPr>
          <w:rFonts w:hint="eastAsia" w:ascii="宋体" w:hAnsi="宋体" w:eastAsia="宋体" w:cs="宋体"/>
          <w:color w:val="auto"/>
          <w:sz w:val="21"/>
          <w:szCs w:val="24"/>
          <w:highlight w:val="none"/>
          <w:u w:val="single"/>
        </w:rPr>
      </w:pPr>
      <w:r>
        <w:rPr>
          <w:rFonts w:hint="eastAsia" w:ascii="宋体" w:hAnsi="宋体" w:eastAsia="宋体" w:cs="宋体"/>
          <w:color w:val="auto"/>
          <w:sz w:val="21"/>
          <w:szCs w:val="24"/>
          <w:highlight w:val="none"/>
        </w:rPr>
        <w:t>（1） 总价合同支付分解表的编制与审批：</w:t>
      </w:r>
      <w:r>
        <w:rPr>
          <w:rFonts w:hint="eastAsia" w:ascii="宋体" w:hAnsi="宋体" w:eastAsia="宋体" w:cs="宋体"/>
          <w:color w:val="auto"/>
          <w:sz w:val="21"/>
          <w:szCs w:val="24"/>
          <w:highlight w:val="none"/>
          <w:u w:val="single"/>
        </w:rPr>
        <w:t xml:space="preserve">  总价合同支付分分解表在招标完成后由发包人和承包人共同编制，发包人审批，并作为本合同内容。</w:t>
      </w:r>
    </w:p>
    <w:p w14:paraId="5A8AA433">
      <w:pPr>
        <w:spacing w:beforeLines="0" w:afterLines="0" w:line="360" w:lineRule="auto"/>
        <w:ind w:firstLine="525" w:firstLineChars="25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4"/>
          <w:highlight w:val="none"/>
        </w:rPr>
        <w:t>（2）单价合同的总价项目支付分解表的编制与审批：总价项目不采用支付分解表的方式计算，而按《建设工程工程量清单计价规范（GB50500-2013）广西壮族自治区实施细则》的规定执行。</w:t>
      </w:r>
    </w:p>
    <w:bookmarkEnd w:id="588"/>
    <w:p w14:paraId="3874159C">
      <w:pPr>
        <w:spacing w:beforeLines="0" w:afterLines="0"/>
        <w:rPr>
          <w:rFonts w:hint="eastAsia" w:ascii="宋体" w:hAnsi="宋体" w:eastAsia="宋体" w:cs="宋体"/>
          <w:color w:val="auto"/>
          <w:sz w:val="21"/>
          <w:szCs w:val="24"/>
          <w:highlight w:val="none"/>
        </w:rPr>
      </w:pPr>
      <w:bookmarkStart w:id="811" w:name="_Toc351203645"/>
      <w:bookmarkStart w:id="812" w:name="_Toc372"/>
      <w:bookmarkStart w:id="813" w:name="_Toc389065318"/>
      <w:bookmarkStart w:id="814" w:name="_Toc373227753"/>
      <w:bookmarkStart w:id="815" w:name="_Toc373478400"/>
      <w:bookmarkStart w:id="816" w:name="_Toc312678053"/>
      <w:bookmarkStart w:id="817" w:name="_Toc297123564"/>
      <w:bookmarkStart w:id="818" w:name="_Toc292559424"/>
      <w:bookmarkStart w:id="819" w:name="_Toc303539172"/>
      <w:bookmarkStart w:id="820" w:name="_Toc296503219"/>
      <w:bookmarkStart w:id="821" w:name="_Toc296891047"/>
      <w:bookmarkStart w:id="822" w:name="_Toc297216223"/>
      <w:bookmarkStart w:id="823" w:name="_Toc296944558"/>
      <w:bookmarkStart w:id="824" w:name="_Toc300935015"/>
      <w:bookmarkStart w:id="825" w:name="_Toc304295593"/>
      <w:bookmarkStart w:id="826" w:name="_Toc296891259"/>
      <w:bookmarkStart w:id="827" w:name="_Toc296347218"/>
      <w:bookmarkStart w:id="828" w:name="_Toc292559929"/>
      <w:bookmarkStart w:id="829" w:name="_Toc297048405"/>
      <w:bookmarkStart w:id="830" w:name="_Toc297120519"/>
      <w:bookmarkStart w:id="831" w:name="_Toc296346720"/>
      <w:r>
        <w:rPr>
          <w:rFonts w:hint="eastAsia" w:ascii="宋体" w:hAnsi="宋体" w:eastAsia="宋体" w:cs="宋体"/>
          <w:color w:val="auto"/>
          <w:sz w:val="21"/>
          <w:szCs w:val="24"/>
          <w:highlight w:val="none"/>
        </w:rPr>
        <w:t>13. 验收和工程试车</w:t>
      </w:r>
      <w:bookmarkEnd w:id="811"/>
      <w:bookmarkEnd w:id="812"/>
      <w:bookmarkEnd w:id="813"/>
      <w:bookmarkEnd w:id="814"/>
      <w:bookmarkEnd w:id="815"/>
    </w:p>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14:paraId="67FFDFE6">
      <w:pPr>
        <w:spacing w:beforeLines="0" w:afterLines="0"/>
        <w:rPr>
          <w:rFonts w:hint="eastAsia" w:ascii="宋体" w:hAnsi="宋体" w:eastAsia="宋体" w:cs="宋体"/>
          <w:color w:val="auto"/>
          <w:sz w:val="21"/>
          <w:szCs w:val="24"/>
          <w:highlight w:val="none"/>
        </w:rPr>
      </w:pPr>
      <w:bookmarkStart w:id="832" w:name="_Toc389065319"/>
      <w:bookmarkStart w:id="833" w:name="_Toc373227754"/>
      <w:bookmarkStart w:id="834" w:name="_Toc1622"/>
      <w:bookmarkStart w:id="835" w:name="_Toc373478401"/>
      <w:r>
        <w:rPr>
          <w:rFonts w:hint="eastAsia" w:ascii="宋体" w:hAnsi="宋体" w:eastAsia="宋体" w:cs="宋体"/>
          <w:color w:val="auto"/>
          <w:sz w:val="21"/>
          <w:szCs w:val="24"/>
          <w:highlight w:val="none"/>
        </w:rPr>
        <w:t>13.1 分部分项工程验收</w:t>
      </w:r>
      <w:bookmarkEnd w:id="832"/>
      <w:bookmarkEnd w:id="833"/>
      <w:bookmarkEnd w:id="834"/>
      <w:bookmarkEnd w:id="835"/>
    </w:p>
    <w:p w14:paraId="6305037C">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color w:val="auto"/>
          <w:sz w:val="21"/>
          <w:szCs w:val="21"/>
          <w:highlight w:val="none"/>
          <w:u w:val="single"/>
        </w:rPr>
        <w:t xml:space="preserve">   24 </w:t>
      </w:r>
      <w:r>
        <w:rPr>
          <w:rFonts w:hint="eastAsia" w:ascii="宋体" w:hAnsi="宋体" w:eastAsia="宋体" w:cs="宋体"/>
          <w:color w:val="auto"/>
          <w:sz w:val="21"/>
          <w:szCs w:val="21"/>
          <w:highlight w:val="none"/>
        </w:rPr>
        <w:t>小时提交书面延期要求。</w:t>
      </w:r>
    </w:p>
    <w:p w14:paraId="4425ECB5">
      <w:pPr>
        <w:spacing w:beforeLines="0" w:afterLines="0" w:line="36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48  </w:t>
      </w:r>
      <w:r>
        <w:rPr>
          <w:rFonts w:hint="eastAsia" w:ascii="宋体" w:hAnsi="宋体" w:eastAsia="宋体" w:cs="宋体"/>
          <w:color w:val="auto"/>
          <w:sz w:val="21"/>
          <w:szCs w:val="21"/>
          <w:highlight w:val="none"/>
        </w:rPr>
        <w:t>小时。</w:t>
      </w:r>
    </w:p>
    <w:p w14:paraId="3ABCAC52">
      <w:pPr>
        <w:spacing w:beforeLines="0" w:afterLines="0"/>
        <w:rPr>
          <w:rFonts w:hint="eastAsia" w:ascii="宋体" w:hAnsi="宋体" w:eastAsia="宋体" w:cs="宋体"/>
          <w:color w:val="auto"/>
          <w:sz w:val="21"/>
          <w:szCs w:val="24"/>
          <w:highlight w:val="none"/>
        </w:rPr>
      </w:pPr>
      <w:bookmarkStart w:id="836" w:name="_Toc373478402"/>
      <w:bookmarkStart w:id="837" w:name="_Toc23904"/>
      <w:bookmarkStart w:id="838" w:name="_Toc373227755"/>
      <w:bookmarkStart w:id="839" w:name="_Toc389065320"/>
      <w:bookmarkStart w:id="840" w:name="_Toc300935016"/>
      <w:bookmarkStart w:id="841" w:name="_Toc292559428"/>
      <w:bookmarkStart w:id="842" w:name="_Toc312678056"/>
      <w:bookmarkStart w:id="843" w:name="_Toc292559933"/>
      <w:bookmarkStart w:id="844" w:name="_Toc296346724"/>
      <w:bookmarkStart w:id="845" w:name="_Toc303539173"/>
      <w:bookmarkStart w:id="846" w:name="_Toc296347222"/>
      <w:bookmarkStart w:id="847" w:name="_Toc304295596"/>
      <w:bookmarkStart w:id="848" w:name="_Toc296503223"/>
      <w:bookmarkStart w:id="849" w:name="_Toc297120523"/>
      <w:bookmarkStart w:id="850" w:name="_Toc296891263"/>
      <w:bookmarkStart w:id="851" w:name="_Toc297048409"/>
      <w:bookmarkStart w:id="852" w:name="_Toc296891051"/>
      <w:bookmarkStart w:id="853" w:name="_Toc296944562"/>
      <w:bookmarkStart w:id="854" w:name="_Toc297123565"/>
      <w:bookmarkStart w:id="855" w:name="_Toc297216224"/>
      <w:bookmarkStart w:id="856" w:name="_Toc267251473"/>
      <w:bookmarkStart w:id="857" w:name="_Toc267251470"/>
      <w:bookmarkStart w:id="858" w:name="_Toc267251475"/>
      <w:bookmarkStart w:id="859" w:name="_Toc267251472"/>
      <w:bookmarkStart w:id="860" w:name="_Toc267251474"/>
      <w:bookmarkStart w:id="861" w:name="_Toc267251471"/>
      <w:bookmarkStart w:id="862" w:name="_Toc267251476"/>
      <w:r>
        <w:rPr>
          <w:rFonts w:hint="eastAsia" w:ascii="宋体" w:hAnsi="宋体" w:eastAsia="宋体" w:cs="宋体"/>
          <w:color w:val="auto"/>
          <w:sz w:val="21"/>
          <w:szCs w:val="24"/>
          <w:highlight w:val="none"/>
        </w:rPr>
        <w:t>13.2 竣工验收</w:t>
      </w:r>
      <w:bookmarkEnd w:id="836"/>
      <w:bookmarkEnd w:id="837"/>
      <w:bookmarkEnd w:id="838"/>
      <w:bookmarkEnd w:id="839"/>
    </w:p>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14:paraId="75386C36">
      <w:pPr>
        <w:spacing w:beforeLines="0" w:afterLines="0" w:line="360" w:lineRule="auto"/>
        <w:ind w:firstLine="420" w:firstLineChars="200"/>
        <w:jc w:val="left"/>
        <w:rPr>
          <w:rFonts w:hint="eastAsia" w:ascii="宋体" w:hAnsi="宋体" w:eastAsia="宋体" w:cs="宋体"/>
          <w:color w:val="auto"/>
          <w:sz w:val="21"/>
          <w:szCs w:val="21"/>
          <w:highlight w:val="none"/>
        </w:rPr>
      </w:pPr>
      <w:bookmarkStart w:id="863" w:name="_Toc280868704"/>
      <w:bookmarkStart w:id="864" w:name="_Toc280868705"/>
      <w:bookmarkStart w:id="865" w:name="_Toc280868706"/>
      <w:bookmarkStart w:id="866" w:name="_Toc280868707"/>
      <w:bookmarkStart w:id="867" w:name="_Toc280868708"/>
      <w:bookmarkStart w:id="868" w:name="_Toc280868709"/>
      <w:r>
        <w:rPr>
          <w:rFonts w:hint="eastAsia" w:ascii="宋体" w:hAnsi="宋体" w:eastAsia="宋体" w:cs="宋体"/>
          <w:color w:val="auto"/>
          <w:sz w:val="21"/>
          <w:szCs w:val="21"/>
          <w:highlight w:val="none"/>
        </w:rPr>
        <w:t>13.2.1竣工验收条件</w:t>
      </w:r>
    </w:p>
    <w:p w14:paraId="103DB8A7">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3B3E315">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竣工验收资料的份数：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C6C973F">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承包人提供竣工图的约定：</w:t>
      </w:r>
      <w:r>
        <w:rPr>
          <w:rFonts w:hint="eastAsia" w:ascii="宋体" w:hAnsi="宋体" w:eastAsia="宋体" w:cs="宋体"/>
          <w:color w:val="auto"/>
          <w:sz w:val="21"/>
          <w:szCs w:val="21"/>
          <w:highlight w:val="none"/>
          <w:u w:val="single"/>
        </w:rPr>
        <w:t>竣工验收正式通过后5天（工程造价在500万元以下含500万元）、10天（工程造价在500万元至1000万元之间含1000万元）、15天（工程造价在1000万元以上），提供竣工图的数量分别为2套、4套、6套。</w:t>
      </w:r>
    </w:p>
    <w:p w14:paraId="3B7DAF1A">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13.2.2竣工验收程序</w:t>
      </w:r>
    </w:p>
    <w:bookmarkEnd w:id="863"/>
    <w:p w14:paraId="68797C30">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关于竣工验收程序的约定：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按通用条款 13.2.2 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839A24E">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发包人不按照本项约定组织竣工验收、颁发工程接收证书的违约金的计算方法：</w:t>
      </w:r>
      <w:r>
        <w:rPr>
          <w:rFonts w:hint="eastAsia" w:ascii="宋体" w:hAnsi="宋体" w:eastAsia="宋体" w:cs="宋体"/>
          <w:color w:val="auto"/>
          <w:sz w:val="21"/>
          <w:szCs w:val="21"/>
          <w:highlight w:val="none"/>
          <w:u w:val="single"/>
        </w:rPr>
        <w:t xml:space="preserve">         </w:t>
      </w:r>
    </w:p>
    <w:p w14:paraId="7FEEB7B9">
      <w:pPr>
        <w:spacing w:beforeLines="0" w:afterLines="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bookmarkEnd w:id="864"/>
    <w:p w14:paraId="4E9530A0">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p>
    <w:bookmarkEnd w:id="865"/>
    <w:p w14:paraId="32E55DAD">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承包人向发包人移交工程的期限：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颁发工程接收证书后 7 个工作日内完成工程的移交</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3D597D3">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发包人未按本合同约定接收全部或部分工程的，违约金的计算方法为：</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bookmarkEnd w:id="866"/>
    <w:p w14:paraId="76ABE32C">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承包人未按时移交工程的，违约金的计算方法为：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每逾期一天，承包人按合同价款的万分之四向发包人支付违约金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0E9B554">
      <w:pPr>
        <w:spacing w:beforeLines="0" w:afterLines="0"/>
        <w:rPr>
          <w:rFonts w:hint="eastAsia" w:ascii="宋体" w:hAnsi="宋体" w:eastAsia="宋体" w:cs="宋体"/>
          <w:color w:val="auto"/>
          <w:sz w:val="21"/>
          <w:szCs w:val="24"/>
          <w:highlight w:val="none"/>
        </w:rPr>
      </w:pPr>
      <w:bookmarkStart w:id="869" w:name="_Toc373478403"/>
      <w:bookmarkStart w:id="870" w:name="_Toc2983"/>
      <w:bookmarkStart w:id="871" w:name="_Toc373227756"/>
      <w:bookmarkStart w:id="872" w:name="_Toc389065321"/>
      <w:r>
        <w:rPr>
          <w:rFonts w:hint="eastAsia" w:ascii="宋体" w:hAnsi="宋体" w:eastAsia="宋体" w:cs="宋体"/>
          <w:color w:val="auto"/>
          <w:sz w:val="21"/>
          <w:szCs w:val="24"/>
          <w:highlight w:val="none"/>
        </w:rPr>
        <w:t>13.3 工程试车</w:t>
      </w:r>
      <w:bookmarkEnd w:id="869"/>
      <w:bookmarkEnd w:id="870"/>
      <w:bookmarkEnd w:id="871"/>
      <w:bookmarkEnd w:id="872"/>
    </w:p>
    <w:bookmarkEnd w:id="867"/>
    <w:p w14:paraId="17D8988F">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13.3.1 试车程序</w:t>
      </w:r>
    </w:p>
    <w:p w14:paraId="785DE364">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工程试车内容：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按通用条款 13.3.1 条执行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DD63DE6">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（1）单机无负荷试车费用由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承担；</w:t>
      </w:r>
    </w:p>
    <w:p w14:paraId="20469053">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（2）无负荷联动试车费用由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承担。</w:t>
      </w:r>
    </w:p>
    <w:p w14:paraId="40D18EB3">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13.3.3 投料试车</w:t>
      </w:r>
    </w:p>
    <w:p w14:paraId="738D4D4A">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关于投料试车相关事项的约定：</w:t>
      </w:r>
      <w:r>
        <w:rPr>
          <w:rFonts w:hint="eastAsia" w:ascii="宋体" w:hAnsi="宋体" w:eastAsia="宋体" w:cs="宋体"/>
          <w:color w:val="auto"/>
          <w:sz w:val="21"/>
          <w:szCs w:val="21"/>
          <w:highlight w:val="none"/>
          <w:u w:val="single"/>
        </w:rPr>
        <w:t xml:space="preserve">  投料试运行应在工程竣工验收后由发包人负责，如发包人要求在工程竣工验收前进行或需要承包人配合时，应征得承包人同意，另行签订补充协议   </w:t>
      </w:r>
      <w:r>
        <w:rPr>
          <w:rFonts w:hint="eastAsia" w:ascii="宋体" w:hAnsi="宋体" w:eastAsia="宋体" w:cs="宋体"/>
          <w:color w:val="auto"/>
          <w:sz w:val="21"/>
          <w:szCs w:val="21"/>
          <w:highlight w:val="none"/>
        </w:rPr>
        <w:t>。</w:t>
      </w:r>
    </w:p>
    <w:p w14:paraId="040D8305">
      <w:pPr>
        <w:spacing w:beforeLines="0" w:afterLines="0"/>
        <w:rPr>
          <w:rFonts w:hint="eastAsia" w:ascii="宋体" w:hAnsi="宋体" w:eastAsia="宋体" w:cs="宋体"/>
          <w:color w:val="auto"/>
          <w:sz w:val="21"/>
          <w:szCs w:val="24"/>
          <w:highlight w:val="none"/>
        </w:rPr>
      </w:pPr>
      <w:bookmarkStart w:id="873" w:name="_Toc373227757"/>
      <w:bookmarkStart w:id="874" w:name="_Toc373478404"/>
      <w:bookmarkStart w:id="875" w:name="_Toc389065322"/>
      <w:bookmarkStart w:id="876" w:name="_Toc31058"/>
      <w:r>
        <w:rPr>
          <w:rFonts w:hint="eastAsia" w:ascii="宋体" w:hAnsi="宋体" w:eastAsia="宋体" w:cs="宋体"/>
          <w:color w:val="auto"/>
          <w:sz w:val="21"/>
          <w:szCs w:val="24"/>
          <w:highlight w:val="none"/>
        </w:rPr>
        <w:t>13.6 竣工退场</w:t>
      </w:r>
      <w:bookmarkEnd w:id="873"/>
      <w:bookmarkEnd w:id="874"/>
      <w:bookmarkEnd w:id="875"/>
      <w:bookmarkEnd w:id="876"/>
    </w:p>
    <w:p w14:paraId="060A73AB">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13.6.1 竣工退场</w:t>
      </w:r>
    </w:p>
    <w:p w14:paraId="171E6D76">
      <w:pPr>
        <w:pStyle w:val="44"/>
        <w:spacing w:beforeLines="0" w:afterLines="0"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承包人完成竣工退场的期限：</w:t>
      </w:r>
      <w:r>
        <w:rPr>
          <w:rFonts w:hint="eastAsia" w:ascii="宋体" w:hAnsi="宋体" w:eastAsia="宋体" w:cs="宋体"/>
          <w:color w:val="auto"/>
          <w:sz w:val="21"/>
          <w:szCs w:val="21"/>
          <w:highlight w:val="none"/>
          <w:u w:val="single"/>
        </w:rPr>
        <w:t xml:space="preserve">  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  </w:t>
      </w:r>
      <w:r>
        <w:rPr>
          <w:rFonts w:hint="eastAsia" w:ascii="宋体" w:hAnsi="宋体" w:eastAsia="宋体" w:cs="宋体"/>
          <w:color w:val="auto"/>
          <w:kern w:val="0"/>
          <w:sz w:val="21"/>
          <w:szCs w:val="21"/>
          <w:highlight w:val="none"/>
        </w:rPr>
        <w:t>。</w:t>
      </w:r>
    </w:p>
    <w:p w14:paraId="12740CFE">
      <w:pPr>
        <w:spacing w:beforeLines="0" w:afterLines="0"/>
        <w:rPr>
          <w:rFonts w:hint="eastAsia" w:ascii="宋体" w:hAnsi="宋体" w:eastAsia="宋体" w:cs="宋体"/>
          <w:color w:val="auto"/>
          <w:sz w:val="21"/>
          <w:szCs w:val="24"/>
          <w:highlight w:val="none"/>
        </w:rPr>
      </w:pPr>
      <w:bookmarkStart w:id="877" w:name="_Toc373478405"/>
      <w:bookmarkStart w:id="878" w:name="_Toc20157"/>
      <w:bookmarkStart w:id="879" w:name="_Toc389065323"/>
      <w:bookmarkStart w:id="880" w:name="_Toc351203646"/>
      <w:bookmarkStart w:id="881" w:name="_Toc373227758"/>
      <w:r>
        <w:rPr>
          <w:rFonts w:hint="eastAsia" w:ascii="宋体" w:hAnsi="宋体" w:eastAsia="宋体" w:cs="宋体"/>
          <w:color w:val="auto"/>
          <w:sz w:val="21"/>
          <w:szCs w:val="24"/>
          <w:highlight w:val="none"/>
        </w:rPr>
        <w:t>14. 竣工结算</w:t>
      </w:r>
      <w:bookmarkEnd w:id="877"/>
      <w:bookmarkEnd w:id="878"/>
      <w:bookmarkEnd w:id="879"/>
      <w:bookmarkEnd w:id="880"/>
      <w:bookmarkEnd w:id="881"/>
    </w:p>
    <w:p w14:paraId="46FABA5B">
      <w:pPr>
        <w:spacing w:beforeLines="0" w:afterLines="0"/>
        <w:rPr>
          <w:rFonts w:hint="eastAsia" w:ascii="宋体" w:hAnsi="宋体" w:eastAsia="宋体" w:cs="宋体"/>
          <w:color w:val="auto"/>
          <w:sz w:val="21"/>
          <w:szCs w:val="24"/>
          <w:highlight w:val="none"/>
        </w:rPr>
      </w:pPr>
      <w:bookmarkStart w:id="882" w:name="_Toc7016"/>
      <w:bookmarkStart w:id="883" w:name="_Toc373478406"/>
      <w:bookmarkStart w:id="884" w:name="_Toc373227759"/>
      <w:bookmarkStart w:id="885" w:name="_Toc389065324"/>
      <w:r>
        <w:rPr>
          <w:rFonts w:hint="eastAsia" w:ascii="宋体" w:hAnsi="宋体" w:eastAsia="宋体" w:cs="宋体"/>
          <w:color w:val="auto"/>
          <w:sz w:val="21"/>
          <w:szCs w:val="24"/>
          <w:highlight w:val="none"/>
        </w:rPr>
        <w:t>14.1 竣工付款申请</w:t>
      </w:r>
      <w:bookmarkEnd w:id="882"/>
      <w:bookmarkEnd w:id="883"/>
      <w:bookmarkEnd w:id="884"/>
      <w:bookmarkEnd w:id="885"/>
    </w:p>
    <w:p w14:paraId="735601FE">
      <w:pPr>
        <w:spacing w:beforeLines="0" w:afterLines="0" w:line="360" w:lineRule="auto"/>
        <w:ind w:firstLine="420" w:firstLineChars="200"/>
        <w:jc w:val="left"/>
        <w:rPr>
          <w:rFonts w:hint="eastAsia" w:ascii="宋体" w:hAnsi="宋体" w:eastAsia="宋体" w:cs="宋体"/>
          <w:color w:val="auto"/>
          <w:sz w:val="21"/>
          <w:szCs w:val="21"/>
          <w:highlight w:val="none"/>
        </w:rPr>
      </w:pPr>
      <w:bookmarkStart w:id="886" w:name="_Toc373478407"/>
      <w:bookmarkStart w:id="887" w:name="_Toc389065325"/>
      <w:bookmarkStart w:id="888" w:name="_Toc373227760"/>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color w:val="auto"/>
          <w:sz w:val="21"/>
          <w:szCs w:val="21"/>
          <w:highlight w:val="none"/>
          <w:u w:val="single"/>
        </w:rPr>
        <w:t xml:space="preserve"> 本工程结算审定后 28 日内  </w:t>
      </w:r>
      <w:r>
        <w:rPr>
          <w:rFonts w:hint="eastAsia" w:ascii="宋体" w:hAnsi="宋体" w:eastAsia="宋体" w:cs="宋体"/>
          <w:color w:val="auto"/>
          <w:sz w:val="21"/>
          <w:szCs w:val="21"/>
          <w:highlight w:val="none"/>
        </w:rPr>
        <w:t>。</w:t>
      </w:r>
    </w:p>
    <w:p w14:paraId="2B29EA21">
      <w:pPr>
        <w:pStyle w:val="44"/>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竣工付款申请单应包括的内容：</w:t>
      </w:r>
      <w:r>
        <w:rPr>
          <w:rFonts w:hint="eastAsia" w:ascii="宋体" w:hAnsi="宋体" w:eastAsia="宋体" w:cs="宋体"/>
          <w:color w:val="auto"/>
          <w:sz w:val="21"/>
          <w:szCs w:val="21"/>
          <w:highlight w:val="none"/>
          <w:u w:val="single"/>
        </w:rPr>
        <w:t xml:space="preserve">   除通用合同条款第 14.1 款约定的内容外，还应包括：工程结算审核结论书   </w:t>
      </w:r>
      <w:r>
        <w:rPr>
          <w:rFonts w:hint="eastAsia" w:ascii="宋体" w:hAnsi="宋体" w:eastAsia="宋体" w:cs="宋体"/>
          <w:color w:val="auto"/>
          <w:sz w:val="21"/>
          <w:szCs w:val="21"/>
          <w:highlight w:val="none"/>
        </w:rPr>
        <w:t>。</w:t>
      </w:r>
    </w:p>
    <w:p w14:paraId="55C37ECA">
      <w:pPr>
        <w:spacing w:beforeLines="0" w:afterLines="0"/>
        <w:rPr>
          <w:rFonts w:hint="eastAsia" w:ascii="宋体" w:hAnsi="宋体" w:eastAsia="宋体" w:cs="宋体"/>
          <w:color w:val="auto"/>
          <w:sz w:val="21"/>
          <w:szCs w:val="24"/>
          <w:highlight w:val="none"/>
        </w:rPr>
      </w:pPr>
      <w:bookmarkStart w:id="889" w:name="_Toc5653"/>
      <w:r>
        <w:rPr>
          <w:rFonts w:hint="eastAsia" w:ascii="宋体" w:hAnsi="宋体" w:eastAsia="宋体" w:cs="宋体"/>
          <w:color w:val="auto"/>
          <w:sz w:val="21"/>
          <w:szCs w:val="24"/>
          <w:highlight w:val="none"/>
        </w:rPr>
        <w:t>14.2 竣工结算审核</w:t>
      </w:r>
      <w:bookmarkEnd w:id="886"/>
      <w:bookmarkEnd w:id="887"/>
      <w:bookmarkEnd w:id="888"/>
      <w:bookmarkEnd w:id="889"/>
    </w:p>
    <w:p w14:paraId="05856BAB">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发包人审批竣工付款申请单的期限：</w:t>
      </w:r>
    </w:p>
    <w:tbl>
      <w:tblPr>
        <w:tblStyle w:val="23"/>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3224"/>
        <w:gridCol w:w="5776"/>
      </w:tblGrid>
      <w:tr w14:paraId="7AD6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8E5BBC">
            <w:pPr>
              <w:spacing w:beforeLines="0" w:afterLines="0" w:line="360" w:lineRule="auto"/>
              <w:rPr>
                <w:rFonts w:hint="eastAsia" w:ascii="宋体" w:hAnsi="宋体" w:eastAsia="宋体" w:cs="宋体"/>
                <w:color w:val="auto"/>
                <w:sz w:val="21"/>
                <w:szCs w:val="21"/>
                <w:highlight w:val="none"/>
              </w:rPr>
            </w:pPr>
          </w:p>
        </w:tc>
        <w:tc>
          <w:tcPr>
            <w:tcW w:w="32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D23F45">
            <w:pPr>
              <w:spacing w:beforeLines="0" w:afterLines="0" w:line="360" w:lineRule="auto"/>
              <w:ind w:firstLine="27" w:firstLineChars="1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工程竣工结算报告金额</w:t>
            </w:r>
          </w:p>
        </w:tc>
        <w:tc>
          <w:tcPr>
            <w:tcW w:w="5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84E901">
            <w:pPr>
              <w:spacing w:beforeLines="0" w:afterLines="0" w:line="360" w:lineRule="auto"/>
              <w:ind w:firstLine="441" w:firstLineChars="2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发包人审查时间</w:t>
            </w:r>
          </w:p>
        </w:tc>
      </w:tr>
      <w:tr w14:paraId="7AD5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09D0E2">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6F5687">
            <w:pPr>
              <w:spacing w:beforeLines="0" w:afterLines="0" w:line="360" w:lineRule="auto"/>
              <w:ind w:firstLine="27" w:firstLineChars="1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500万元以下</w:t>
            </w:r>
          </w:p>
        </w:tc>
        <w:tc>
          <w:tcPr>
            <w:tcW w:w="5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216A89">
            <w:pPr>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从接到竣工结算报告和完整的竣工结算资料之日起20天</w:t>
            </w:r>
          </w:p>
        </w:tc>
      </w:tr>
      <w:tr w14:paraId="0BD1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72ADC3">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841574">
            <w:pPr>
              <w:spacing w:beforeLines="0" w:afterLines="0" w:line="360" w:lineRule="auto"/>
              <w:ind w:firstLine="27" w:firstLineChars="1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500万元-2000万元</w:t>
            </w:r>
          </w:p>
        </w:tc>
        <w:tc>
          <w:tcPr>
            <w:tcW w:w="5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0B9A6A">
            <w:pPr>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从接到竣工结算报告和完整的竣工结算资料之日起30天</w:t>
            </w:r>
          </w:p>
        </w:tc>
      </w:tr>
      <w:tr w14:paraId="38DC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68EBC1">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2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0C0867">
            <w:pPr>
              <w:spacing w:beforeLines="0" w:afterLines="0" w:line="360" w:lineRule="auto"/>
              <w:ind w:firstLine="27" w:firstLineChars="1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2000万元-5000万元</w:t>
            </w:r>
          </w:p>
        </w:tc>
        <w:tc>
          <w:tcPr>
            <w:tcW w:w="5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A0E762">
            <w:pPr>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从接到竣工结算报告和完整的竣工结算资料之日起45天</w:t>
            </w:r>
          </w:p>
        </w:tc>
      </w:tr>
      <w:tr w14:paraId="6DE5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9D36B1">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2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2BC419">
            <w:pPr>
              <w:spacing w:beforeLines="0" w:afterLines="0" w:line="360" w:lineRule="auto"/>
              <w:ind w:firstLine="27" w:firstLineChars="1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5000万元以上</w:t>
            </w:r>
          </w:p>
        </w:tc>
        <w:tc>
          <w:tcPr>
            <w:tcW w:w="5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BC1C51">
            <w:pPr>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从接到竣工结算报告和完整的竣工结算资料之日起60天</w:t>
            </w:r>
          </w:p>
        </w:tc>
      </w:tr>
      <w:tr w14:paraId="4B6E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11EC73">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2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5C5389">
            <w:pPr>
              <w:spacing w:beforeLines="0" w:afterLines="0" w:line="360" w:lineRule="auto"/>
              <w:ind w:firstLine="27" w:firstLineChars="1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5000万以上每增加0.5亿(不足0.5亿不增加)</w:t>
            </w:r>
          </w:p>
        </w:tc>
        <w:tc>
          <w:tcPr>
            <w:tcW w:w="5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208AAE">
            <w:pPr>
              <w:spacing w:beforeLines="0" w:afterLines="0" w:line="360" w:lineRule="auto"/>
              <w:ind w:firstLine="441" w:firstLineChars="2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增加10天</w:t>
            </w:r>
          </w:p>
        </w:tc>
      </w:tr>
    </w:tbl>
    <w:p w14:paraId="751DE176">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因承包人提供的结算资料不完整而需要补充或承包人不按时对账耽误时间时，审查时间应相应顺延。</w:t>
      </w:r>
    </w:p>
    <w:p w14:paraId="290A23BF">
      <w:pPr>
        <w:spacing w:beforeLines="0" w:afterLines="0"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4"/>
          <w:highlight w:val="none"/>
        </w:rPr>
        <w:t>竣工</w:t>
      </w:r>
      <w:r>
        <w:rPr>
          <w:rFonts w:hint="eastAsia" w:ascii="宋体" w:hAnsi="宋体" w:eastAsia="宋体" w:cs="宋体"/>
          <w:color w:val="auto"/>
          <w:sz w:val="21"/>
          <w:szCs w:val="21"/>
          <w:highlight w:val="none"/>
        </w:rPr>
        <w:t>结算审核约定：</w:t>
      </w:r>
    </w:p>
    <w:p w14:paraId="583C152B">
      <w:pPr>
        <w:spacing w:beforeLines="0" w:afterLines="0" w:line="400" w:lineRule="exact"/>
        <w:ind w:firstLine="411" w:firstLineChars="19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非国有投资项目：</w:t>
      </w:r>
      <w:r>
        <w:rPr>
          <w:rFonts w:hint="eastAsia" w:ascii="宋体" w:hAnsi="宋体" w:eastAsia="宋体" w:cs="宋体"/>
          <w:color w:val="auto"/>
          <w:sz w:val="21"/>
          <w:szCs w:val="21"/>
          <w:highlight w:val="none"/>
          <w:u w:val="single"/>
        </w:rPr>
        <w:t>1、工程竣工验收报告经发包人认可后   天内，承包人向发包人递交竣工验收合格资料及完整的结算资料和报告，双方按照协议书约定的合同价款及专用条款约定的合同价调整内容，进行工程竣工结算。2、发包人收到承包人递交的竣工结算报告及结算资料之日起   天内进行审核，给予确认或者提出初审意见。发包人逾期不予审定结算的视为发包人已同意上述竣工结算报告及结算资料，并以此作为最终结算的依据。发包人初审竣工结算完毕之日起  天内，按审定后的结算价款，通知经办银行向承包人支付工程竣工结算价款。承包人应根据发包人的需要随时将竣工工程交付发包人。</w:t>
      </w:r>
    </w:p>
    <w:p w14:paraId="74FDDC73">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国有投资项目：（双方结合各地政府或有关部门管理规定进行局部调整）              </w:t>
      </w:r>
    </w:p>
    <w:p w14:paraId="34342F33">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color w:val="auto"/>
          <w:sz w:val="21"/>
          <w:szCs w:val="21"/>
          <w:highlight w:val="none"/>
          <w:u w:val="single"/>
        </w:rPr>
        <w:t xml:space="preserve">     56 天内       </w:t>
      </w:r>
      <w:r>
        <w:rPr>
          <w:rFonts w:hint="eastAsia" w:ascii="宋体" w:hAnsi="宋体" w:eastAsia="宋体" w:cs="宋体"/>
          <w:color w:val="auto"/>
          <w:sz w:val="21"/>
          <w:szCs w:val="21"/>
          <w:highlight w:val="none"/>
        </w:rPr>
        <w:t>。</w:t>
      </w:r>
    </w:p>
    <w:p w14:paraId="42CFF84C">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color w:val="auto"/>
          <w:sz w:val="21"/>
          <w:szCs w:val="21"/>
          <w:highlight w:val="none"/>
          <w:u w:val="single"/>
        </w:rPr>
        <w:t xml:space="preserve">    按本合同通用条款    </w:t>
      </w:r>
      <w:r>
        <w:rPr>
          <w:rFonts w:hint="eastAsia" w:ascii="宋体" w:hAnsi="宋体" w:eastAsia="宋体" w:cs="宋体"/>
          <w:color w:val="auto"/>
          <w:sz w:val="21"/>
          <w:szCs w:val="21"/>
          <w:highlight w:val="none"/>
        </w:rPr>
        <w:t>。</w:t>
      </w:r>
    </w:p>
    <w:p w14:paraId="4BBF2044">
      <w:pPr>
        <w:spacing w:beforeLines="0" w:afterLines="0"/>
        <w:rPr>
          <w:rFonts w:hint="eastAsia" w:ascii="宋体" w:hAnsi="宋体" w:eastAsia="宋体" w:cs="宋体"/>
          <w:color w:val="auto"/>
          <w:sz w:val="21"/>
          <w:szCs w:val="24"/>
          <w:highlight w:val="none"/>
        </w:rPr>
      </w:pPr>
      <w:bookmarkStart w:id="890" w:name="_Toc373227761"/>
      <w:bookmarkStart w:id="891" w:name="_Toc373478408"/>
      <w:bookmarkStart w:id="892" w:name="_Toc389065326"/>
      <w:bookmarkStart w:id="893" w:name="_Toc28081"/>
      <w:r>
        <w:rPr>
          <w:rFonts w:hint="eastAsia" w:ascii="宋体" w:hAnsi="宋体" w:eastAsia="宋体" w:cs="宋体"/>
          <w:color w:val="auto"/>
          <w:sz w:val="21"/>
          <w:szCs w:val="24"/>
          <w:highlight w:val="none"/>
        </w:rPr>
        <w:t>14.4 最终结清</w:t>
      </w:r>
      <w:bookmarkEnd w:id="890"/>
      <w:bookmarkEnd w:id="891"/>
      <w:bookmarkEnd w:id="892"/>
      <w:bookmarkEnd w:id="893"/>
    </w:p>
    <w:p w14:paraId="3D70E3CE">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14.4.1 最终结清申请单</w:t>
      </w:r>
    </w:p>
    <w:p w14:paraId="4BF70F35">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承包人提交最终结清申请单的份数：</w:t>
      </w:r>
      <w:r>
        <w:rPr>
          <w:rFonts w:hint="eastAsia" w:ascii="宋体" w:hAnsi="宋体" w:eastAsia="宋体" w:cs="宋体"/>
          <w:color w:val="auto"/>
          <w:sz w:val="21"/>
          <w:szCs w:val="24"/>
          <w:highlight w:val="none"/>
          <w:u w:val="single"/>
        </w:rPr>
        <w:t xml:space="preserve">    壹式陆份    </w:t>
      </w:r>
      <w:r>
        <w:rPr>
          <w:rFonts w:hint="eastAsia" w:ascii="宋体" w:hAnsi="宋体" w:eastAsia="宋体" w:cs="宋体"/>
          <w:color w:val="auto"/>
          <w:sz w:val="21"/>
          <w:szCs w:val="24"/>
          <w:highlight w:val="none"/>
        </w:rPr>
        <w:t>。</w:t>
      </w:r>
    </w:p>
    <w:p w14:paraId="55D500B1">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承包人提交最终结算申请单的期限：</w:t>
      </w:r>
      <w:r>
        <w:rPr>
          <w:rFonts w:hint="eastAsia" w:ascii="宋体" w:hAnsi="宋体" w:eastAsia="宋体" w:cs="宋体"/>
          <w:color w:val="auto"/>
          <w:sz w:val="21"/>
          <w:szCs w:val="24"/>
          <w:highlight w:val="none"/>
          <w:u w:val="single"/>
        </w:rPr>
        <w:t xml:space="preserve">   按合同通用条款执行    </w:t>
      </w:r>
      <w:r>
        <w:rPr>
          <w:rFonts w:hint="eastAsia" w:ascii="宋体" w:hAnsi="宋体" w:eastAsia="宋体" w:cs="宋体"/>
          <w:color w:val="auto"/>
          <w:sz w:val="21"/>
          <w:szCs w:val="24"/>
          <w:highlight w:val="none"/>
        </w:rPr>
        <w:t xml:space="preserve">。 </w:t>
      </w:r>
    </w:p>
    <w:p w14:paraId="49D08F32">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14.4.2 最终结清证书和支付</w:t>
      </w:r>
    </w:p>
    <w:p w14:paraId="6F0C4F30">
      <w:pPr>
        <w:pStyle w:val="44"/>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4"/>
          <w:highlight w:val="none"/>
          <w:lang w:val="en-US" w:eastAsia="zh-CN" w:bidi="ar-SA"/>
        </w:rPr>
        <w:t>（1）发包人完成最终结清申请单的审批并颁发最终结清证书的期限：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1"/>
          <w:szCs w:val="21"/>
          <w:highlight w:val="none"/>
          <w:u w:val="single"/>
        </w:rPr>
        <w:t xml:space="preserve">缺陷责任期终止证书颁发后 14 天内          </w:t>
      </w:r>
      <w:r>
        <w:rPr>
          <w:rFonts w:hint="eastAsia" w:ascii="宋体" w:hAnsi="宋体" w:eastAsia="宋体" w:cs="宋体"/>
          <w:color w:val="auto"/>
          <w:sz w:val="21"/>
          <w:szCs w:val="21"/>
          <w:highlight w:val="none"/>
        </w:rPr>
        <w:t>。</w:t>
      </w:r>
    </w:p>
    <w:p w14:paraId="6B6080EE">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（2）发包人完成支付的期限：</w:t>
      </w:r>
      <w:r>
        <w:rPr>
          <w:rFonts w:hint="eastAsia" w:ascii="宋体" w:hAnsi="宋体" w:eastAsia="宋体" w:cs="宋体"/>
          <w:color w:val="auto"/>
          <w:sz w:val="21"/>
          <w:szCs w:val="24"/>
          <w:highlight w:val="none"/>
          <w:u w:val="single"/>
        </w:rPr>
        <w:t xml:space="preserve"> 缺陷责任期终止证书颁发后 28 天内   </w:t>
      </w:r>
      <w:r>
        <w:rPr>
          <w:rFonts w:hint="eastAsia" w:ascii="宋体" w:hAnsi="宋体" w:eastAsia="宋体" w:cs="宋体"/>
          <w:color w:val="auto"/>
          <w:sz w:val="21"/>
          <w:szCs w:val="24"/>
          <w:highlight w:val="none"/>
        </w:rPr>
        <w:t>。</w:t>
      </w:r>
    </w:p>
    <w:bookmarkEnd w:id="856"/>
    <w:bookmarkEnd w:id="857"/>
    <w:bookmarkEnd w:id="858"/>
    <w:bookmarkEnd w:id="859"/>
    <w:bookmarkEnd w:id="860"/>
    <w:bookmarkEnd w:id="861"/>
    <w:bookmarkEnd w:id="862"/>
    <w:bookmarkEnd w:id="868"/>
    <w:p w14:paraId="2BA29AF6">
      <w:pPr>
        <w:spacing w:beforeLines="0" w:afterLines="0"/>
        <w:rPr>
          <w:rFonts w:hint="eastAsia" w:ascii="宋体" w:hAnsi="宋体" w:eastAsia="宋体" w:cs="宋体"/>
          <w:color w:val="auto"/>
          <w:sz w:val="21"/>
          <w:szCs w:val="24"/>
          <w:highlight w:val="none"/>
        </w:rPr>
      </w:pPr>
      <w:bookmarkStart w:id="894" w:name="_Toc373478409"/>
      <w:bookmarkStart w:id="895" w:name="_Toc373227762"/>
      <w:bookmarkStart w:id="896" w:name="_Toc4833"/>
      <w:bookmarkStart w:id="897" w:name="_Toc389065327"/>
      <w:bookmarkStart w:id="898" w:name="_Toc351203647"/>
      <w:bookmarkStart w:id="899" w:name="_Toc267251483"/>
      <w:bookmarkStart w:id="900" w:name="_Toc267251484"/>
      <w:bookmarkStart w:id="901" w:name="_Toc267251482"/>
      <w:bookmarkStart w:id="902" w:name="_Toc267251485"/>
      <w:bookmarkStart w:id="903" w:name="_Toc267251488"/>
      <w:bookmarkStart w:id="904" w:name="_Toc267251490"/>
      <w:bookmarkStart w:id="905" w:name="_Toc267251486"/>
      <w:bookmarkStart w:id="906" w:name="_Toc267251489"/>
      <w:bookmarkStart w:id="907" w:name="_Toc267251492"/>
      <w:bookmarkStart w:id="908" w:name="_Toc267251497"/>
      <w:bookmarkStart w:id="909" w:name="_Toc267251502"/>
      <w:bookmarkStart w:id="910" w:name="_Toc267251491"/>
      <w:bookmarkStart w:id="911" w:name="_Toc267251499"/>
      <w:bookmarkStart w:id="912" w:name="_Toc267251494"/>
      <w:bookmarkStart w:id="913" w:name="_Toc267251495"/>
      <w:bookmarkStart w:id="914" w:name="_Toc267251501"/>
      <w:bookmarkStart w:id="915" w:name="_Toc267251496"/>
      <w:bookmarkStart w:id="916" w:name="_Toc267251503"/>
      <w:bookmarkStart w:id="917" w:name="_Toc267251493"/>
      <w:bookmarkStart w:id="918" w:name="_Toc267251498"/>
      <w:bookmarkStart w:id="919" w:name="_Toc267251506"/>
      <w:bookmarkStart w:id="920" w:name="_Toc267251504"/>
      <w:bookmarkStart w:id="921" w:name="_Toc267251507"/>
      <w:bookmarkStart w:id="922" w:name="_Toc267251508"/>
      <w:bookmarkStart w:id="923" w:name="_Toc267251513"/>
      <w:bookmarkStart w:id="924" w:name="_Toc267251511"/>
      <w:bookmarkStart w:id="925" w:name="_Toc267251510"/>
      <w:bookmarkStart w:id="926" w:name="_Toc267251509"/>
      <w:bookmarkStart w:id="927" w:name="_Toc267251515"/>
      <w:bookmarkStart w:id="928" w:name="_Toc267251514"/>
      <w:r>
        <w:rPr>
          <w:rFonts w:hint="eastAsia" w:ascii="宋体" w:hAnsi="宋体" w:eastAsia="宋体" w:cs="宋体"/>
          <w:color w:val="auto"/>
          <w:sz w:val="21"/>
          <w:szCs w:val="24"/>
          <w:highlight w:val="none"/>
        </w:rPr>
        <w:t>15. 缺陷责任期与保修</w:t>
      </w:r>
      <w:bookmarkEnd w:id="894"/>
      <w:bookmarkEnd w:id="895"/>
      <w:bookmarkEnd w:id="896"/>
      <w:bookmarkEnd w:id="897"/>
      <w:bookmarkEnd w:id="898"/>
    </w:p>
    <w:p w14:paraId="245E5B4E">
      <w:pPr>
        <w:spacing w:beforeLines="0" w:afterLines="0"/>
        <w:rPr>
          <w:rFonts w:hint="eastAsia" w:ascii="宋体" w:hAnsi="宋体" w:eastAsia="宋体" w:cs="宋体"/>
          <w:color w:val="auto"/>
          <w:sz w:val="21"/>
          <w:szCs w:val="24"/>
          <w:highlight w:val="none"/>
        </w:rPr>
      </w:pPr>
      <w:bookmarkStart w:id="929" w:name="_Toc373227763"/>
      <w:bookmarkStart w:id="930" w:name="_Toc22134"/>
      <w:bookmarkStart w:id="931" w:name="_Toc389065328"/>
      <w:bookmarkStart w:id="932" w:name="_Toc373478410"/>
      <w:r>
        <w:rPr>
          <w:rFonts w:hint="eastAsia" w:ascii="宋体" w:hAnsi="宋体" w:eastAsia="宋体" w:cs="宋体"/>
          <w:color w:val="auto"/>
          <w:sz w:val="21"/>
          <w:szCs w:val="24"/>
          <w:highlight w:val="none"/>
        </w:rPr>
        <w:t>15.2 缺陷责任期</w:t>
      </w:r>
      <w:bookmarkEnd w:id="899"/>
      <w:bookmarkEnd w:id="929"/>
      <w:bookmarkEnd w:id="930"/>
      <w:bookmarkEnd w:id="931"/>
      <w:bookmarkEnd w:id="932"/>
    </w:p>
    <w:p w14:paraId="13845F28">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缺陷责任期的具体期限：</w:t>
      </w:r>
      <w:r>
        <w:rPr>
          <w:rFonts w:hint="eastAsia" w:ascii="宋体" w:hAnsi="宋体" w:eastAsia="宋体" w:cs="宋体"/>
          <w:color w:val="auto"/>
          <w:sz w:val="21"/>
          <w:szCs w:val="21"/>
          <w:highlight w:val="none"/>
          <w:u w:val="single"/>
        </w:rPr>
        <w:t xml:space="preserve">   按照工程质量保修条例执行   </w:t>
      </w:r>
      <w:r>
        <w:rPr>
          <w:rFonts w:hint="eastAsia" w:ascii="宋体" w:hAnsi="宋体" w:eastAsia="宋体" w:cs="宋体"/>
          <w:color w:val="auto"/>
          <w:sz w:val="21"/>
          <w:szCs w:val="21"/>
          <w:highlight w:val="none"/>
        </w:rPr>
        <w:t>。</w:t>
      </w:r>
    </w:p>
    <w:p w14:paraId="5EA1ED30">
      <w:pPr>
        <w:spacing w:beforeLines="0" w:afterLines="0"/>
        <w:rPr>
          <w:rFonts w:hint="eastAsia" w:ascii="宋体" w:hAnsi="宋体" w:eastAsia="宋体" w:cs="宋体"/>
          <w:color w:val="auto"/>
          <w:sz w:val="21"/>
          <w:szCs w:val="24"/>
          <w:highlight w:val="none"/>
        </w:rPr>
      </w:pPr>
      <w:bookmarkStart w:id="933" w:name="_Toc373478411"/>
      <w:bookmarkStart w:id="934" w:name="_Toc3258"/>
      <w:bookmarkStart w:id="935" w:name="_Toc389065329"/>
      <w:bookmarkStart w:id="936" w:name="_Toc373227764"/>
      <w:r>
        <w:rPr>
          <w:rFonts w:hint="eastAsia" w:ascii="宋体" w:hAnsi="宋体" w:eastAsia="宋体" w:cs="宋体"/>
          <w:color w:val="auto"/>
          <w:sz w:val="21"/>
          <w:szCs w:val="24"/>
          <w:highlight w:val="none"/>
        </w:rPr>
        <w:t>15.3 质量保证金</w:t>
      </w:r>
      <w:bookmarkEnd w:id="933"/>
      <w:bookmarkEnd w:id="934"/>
      <w:bookmarkEnd w:id="935"/>
      <w:bookmarkEnd w:id="936"/>
    </w:p>
    <w:p w14:paraId="634C98EE">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B30BBD3">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15.3.1 承包人提供质量保证金的方式</w:t>
      </w:r>
    </w:p>
    <w:p w14:paraId="5065CAB3">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质量保证金采用以下第</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2</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w:t>
      </w:r>
    </w:p>
    <w:p w14:paraId="57694827">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（1）质量保证金保函，保证金额为：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B85D535">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（2）发包人按工程价款结算总额的</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4"/>
          <w:highlight w:val="none"/>
        </w:rPr>
        <w:t>不得超过3%</w:t>
      </w:r>
      <w:r>
        <w:rPr>
          <w:rFonts w:hint="eastAsia" w:ascii="宋体" w:hAnsi="宋体" w:eastAsia="宋体" w:cs="宋体"/>
          <w:color w:val="auto"/>
          <w:sz w:val="21"/>
          <w:szCs w:val="21"/>
          <w:highlight w:val="none"/>
        </w:rPr>
        <w:t>）预留工程质量保修金，待缺陷责任期满后返还，</w:t>
      </w:r>
      <w:r>
        <w:rPr>
          <w:rFonts w:hint="eastAsia" w:ascii="宋体" w:hAnsi="宋体" w:eastAsia="宋体" w:cs="宋体"/>
          <w:color w:val="auto"/>
          <w:sz w:val="21"/>
          <w:szCs w:val="24"/>
          <w:highlight w:val="none"/>
        </w:rPr>
        <w:t>是否付息及利息计算方式为：</w:t>
      </w:r>
      <w:r>
        <w:rPr>
          <w:rFonts w:hint="eastAsia" w:ascii="宋体" w:hAnsi="宋体" w:eastAsia="宋体" w:cs="宋体"/>
          <w:color w:val="auto"/>
          <w:sz w:val="21"/>
          <w:szCs w:val="24"/>
          <w:highlight w:val="none"/>
          <w:u w:val="single"/>
        </w:rPr>
        <w:t xml:space="preserve">  </w:t>
      </w:r>
      <w:r>
        <w:rPr>
          <w:rFonts w:hint="eastAsia" w:ascii="宋体" w:hAnsi="宋体" w:cs="宋体"/>
          <w:color w:val="auto"/>
          <w:sz w:val="21"/>
          <w:szCs w:val="24"/>
          <w:highlight w:val="none"/>
          <w:u w:val="single"/>
          <w:lang w:val="en-US" w:eastAsia="zh-CN"/>
        </w:rPr>
        <w:t>否</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1"/>
          <w:highlight w:val="none"/>
        </w:rPr>
        <w:t>；</w:t>
      </w:r>
    </w:p>
    <w:p w14:paraId="7FA20F7A">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E62D77A">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15.3.2 质量保证金的扣留</w:t>
      </w:r>
    </w:p>
    <w:p w14:paraId="1202E429">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质量保证金的扣留采取以下第</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2</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w:t>
      </w:r>
    </w:p>
    <w:p w14:paraId="574B2E8F">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（1）在支付工程进度款时逐次扣留，质量保证金的计算基数不包括预付款的支付、扣回以及价格调整的金额；</w:t>
      </w:r>
    </w:p>
    <w:p w14:paraId="6667CBEB">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4"/>
          <w:highlight w:val="none"/>
        </w:rPr>
        <w:t xml:space="preserve">工程竣工结算时，一次性扣留质量保证金，由承包人以银行保函、保证保险替代预留质量保证金，保函金额不得高于工程价款结算总额的 </w:t>
      </w:r>
      <w:r>
        <w:rPr>
          <w:rFonts w:hint="eastAsia" w:ascii="宋体" w:hAnsi="宋体" w:cs="宋体"/>
          <w:color w:val="auto"/>
          <w:sz w:val="21"/>
          <w:szCs w:val="24"/>
          <w:highlight w:val="none"/>
          <w:lang w:val="en-US" w:eastAsia="zh-CN"/>
        </w:rPr>
        <w:t>3</w:t>
      </w:r>
      <w:r>
        <w:rPr>
          <w:rFonts w:hint="eastAsia" w:ascii="宋体" w:hAnsi="宋体" w:eastAsia="宋体" w:cs="宋体"/>
          <w:color w:val="auto"/>
          <w:sz w:val="21"/>
          <w:szCs w:val="24"/>
          <w:highlight w:val="none"/>
        </w:rPr>
        <w:t xml:space="preserve"> %；</w:t>
      </w:r>
    </w:p>
    <w:p w14:paraId="34956691">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（3）其他扣留方式: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A7E5F50">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关于质量保证金的补充约定：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bookmarkEnd w:id="900"/>
    <w:bookmarkEnd w:id="901"/>
    <w:p w14:paraId="2D9C4A93">
      <w:pPr>
        <w:spacing w:beforeLines="0" w:afterLines="0"/>
        <w:rPr>
          <w:rFonts w:hint="eastAsia" w:ascii="宋体" w:hAnsi="宋体" w:eastAsia="宋体" w:cs="宋体"/>
          <w:color w:val="auto"/>
          <w:sz w:val="21"/>
          <w:szCs w:val="24"/>
          <w:highlight w:val="none"/>
        </w:rPr>
      </w:pPr>
      <w:bookmarkStart w:id="937" w:name="_Toc22419"/>
      <w:bookmarkStart w:id="938" w:name="_Toc389065330"/>
      <w:bookmarkStart w:id="939" w:name="_Toc373478412"/>
      <w:bookmarkStart w:id="940" w:name="_Toc373227765"/>
      <w:r>
        <w:rPr>
          <w:rFonts w:hint="eastAsia" w:ascii="宋体" w:hAnsi="宋体" w:eastAsia="宋体" w:cs="宋体"/>
          <w:color w:val="auto"/>
          <w:sz w:val="21"/>
          <w:szCs w:val="24"/>
          <w:highlight w:val="none"/>
        </w:rPr>
        <w:t>15.4 保修</w:t>
      </w:r>
      <w:bookmarkEnd w:id="937"/>
      <w:bookmarkEnd w:id="938"/>
      <w:bookmarkEnd w:id="939"/>
      <w:bookmarkEnd w:id="940"/>
    </w:p>
    <w:bookmarkEnd w:id="902"/>
    <w:p w14:paraId="2DD8EA3A">
      <w:pPr>
        <w:spacing w:beforeLines="0" w:afterLines="0" w:line="360" w:lineRule="auto"/>
        <w:ind w:firstLine="409" w:firstLine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 保修责任</w:t>
      </w:r>
    </w:p>
    <w:p w14:paraId="4F6CC1A2">
      <w:pPr>
        <w:spacing w:beforeLines="0" w:afterLines="0" w:line="360" w:lineRule="auto"/>
        <w:ind w:firstLine="409" w:firstLine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工程保修期为：</w:t>
      </w:r>
      <w:r>
        <w:rPr>
          <w:rFonts w:hint="eastAsia" w:ascii="宋体" w:hAnsi="宋体" w:eastAsia="宋体" w:cs="宋体"/>
          <w:color w:val="auto"/>
          <w:sz w:val="21"/>
          <w:szCs w:val="21"/>
          <w:highlight w:val="none"/>
          <w:u w:val="single"/>
        </w:rPr>
        <w:t xml:space="preserve">  项目通过竣工验收合格后</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年     </w:t>
      </w:r>
      <w:r>
        <w:rPr>
          <w:rFonts w:hint="eastAsia" w:ascii="宋体" w:hAnsi="宋体" w:eastAsia="宋体" w:cs="宋体"/>
          <w:color w:val="auto"/>
          <w:sz w:val="21"/>
          <w:szCs w:val="21"/>
          <w:highlight w:val="none"/>
        </w:rPr>
        <w:t>。</w:t>
      </w:r>
    </w:p>
    <w:p w14:paraId="586B87B1">
      <w:pPr>
        <w:spacing w:beforeLines="0" w:afterLines="0" w:line="360" w:lineRule="auto"/>
        <w:ind w:firstLine="409" w:firstLineChars="195"/>
        <w:jc w:val="left"/>
        <w:rPr>
          <w:rFonts w:hint="eastAsia" w:ascii="宋体" w:hAnsi="宋体" w:eastAsia="宋体" w:cs="宋体"/>
          <w:color w:val="auto"/>
          <w:sz w:val="21"/>
          <w:szCs w:val="21"/>
          <w:highlight w:val="none"/>
          <w:u w:val="single"/>
        </w:rPr>
      </w:pPr>
    </w:p>
    <w:p w14:paraId="65F145DA">
      <w:pPr>
        <w:spacing w:beforeLines="0" w:afterLines="0" w:line="360" w:lineRule="auto"/>
        <w:ind w:firstLine="409" w:firstLine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 修复通知</w:t>
      </w:r>
    </w:p>
    <w:p w14:paraId="654A03B9">
      <w:pPr>
        <w:spacing w:beforeLines="0" w:afterLines="0" w:line="360" w:lineRule="auto"/>
        <w:ind w:firstLine="409" w:firstLineChars="195"/>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承包人收到保修通知并到达工程现场的合理时间：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按质量保修书执行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903"/>
    <w:bookmarkEnd w:id="904"/>
    <w:bookmarkEnd w:id="905"/>
    <w:bookmarkEnd w:id="906"/>
    <w:p w14:paraId="69DDD7AE">
      <w:pPr>
        <w:spacing w:beforeLines="0" w:afterLines="0"/>
        <w:rPr>
          <w:rFonts w:hint="eastAsia" w:ascii="宋体" w:hAnsi="宋体" w:eastAsia="宋体" w:cs="宋体"/>
          <w:color w:val="auto"/>
          <w:sz w:val="21"/>
          <w:szCs w:val="24"/>
          <w:highlight w:val="none"/>
        </w:rPr>
      </w:pPr>
      <w:bookmarkStart w:id="941" w:name="_Toc373227766"/>
      <w:bookmarkStart w:id="942" w:name="_Toc389065331"/>
      <w:bookmarkStart w:id="943" w:name="_Toc7183"/>
      <w:bookmarkStart w:id="944" w:name="_Toc351203648"/>
      <w:bookmarkStart w:id="945" w:name="_Toc373478413"/>
      <w:bookmarkStart w:id="946" w:name="_Toc280868717"/>
      <w:bookmarkStart w:id="947" w:name="_Toc280868718"/>
      <w:r>
        <w:rPr>
          <w:rFonts w:hint="eastAsia" w:ascii="宋体" w:hAnsi="宋体" w:eastAsia="宋体" w:cs="宋体"/>
          <w:color w:val="auto"/>
          <w:sz w:val="21"/>
          <w:szCs w:val="24"/>
          <w:highlight w:val="none"/>
        </w:rPr>
        <w:t>16. 违约</w:t>
      </w:r>
      <w:bookmarkEnd w:id="941"/>
      <w:bookmarkEnd w:id="942"/>
      <w:bookmarkEnd w:id="943"/>
      <w:bookmarkEnd w:id="944"/>
      <w:bookmarkEnd w:id="945"/>
    </w:p>
    <w:p w14:paraId="49D9FA51">
      <w:pPr>
        <w:spacing w:beforeLines="0" w:afterLines="0"/>
        <w:rPr>
          <w:rFonts w:hint="eastAsia" w:ascii="宋体" w:hAnsi="宋体" w:eastAsia="宋体" w:cs="宋体"/>
          <w:color w:val="auto"/>
          <w:sz w:val="21"/>
          <w:szCs w:val="24"/>
          <w:highlight w:val="none"/>
        </w:rPr>
      </w:pPr>
      <w:bookmarkStart w:id="948" w:name="_Toc389065332"/>
      <w:bookmarkStart w:id="949" w:name="_Toc373227767"/>
      <w:bookmarkStart w:id="950" w:name="_Toc373478414"/>
      <w:bookmarkStart w:id="951" w:name="_Toc21939"/>
      <w:r>
        <w:rPr>
          <w:rFonts w:hint="eastAsia" w:ascii="宋体" w:hAnsi="宋体" w:eastAsia="宋体" w:cs="宋体"/>
          <w:color w:val="auto"/>
          <w:sz w:val="21"/>
          <w:szCs w:val="24"/>
          <w:highlight w:val="none"/>
        </w:rPr>
        <w:t>16.1 发包人违约</w:t>
      </w:r>
      <w:bookmarkEnd w:id="948"/>
      <w:bookmarkEnd w:id="949"/>
      <w:bookmarkEnd w:id="950"/>
      <w:bookmarkEnd w:id="951"/>
    </w:p>
    <w:p w14:paraId="34D9AEC8">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16.1.1发包人违约的情形</w:t>
      </w:r>
    </w:p>
    <w:p w14:paraId="73CA6BD1">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发包人违约的其他情形：</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38BF4B38">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16.1.2 发包人违约的责任</w:t>
      </w:r>
    </w:p>
    <w:p w14:paraId="48E06D5C">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发包人违约责任的承担方式和计算方法：</w:t>
      </w:r>
    </w:p>
    <w:p w14:paraId="78BEC693">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（1）因发包人原因未能在计划开工日期前7天内下达开工通知的违约责任：</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433A92B7">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（2）因发包人原因未能按合同约定支付合同价款的违约责任：</w:t>
      </w:r>
      <w:r>
        <w:rPr>
          <w:rFonts w:hint="eastAsia" w:ascii="宋体" w:hAnsi="宋体" w:eastAsia="宋体" w:cs="宋体"/>
          <w:color w:val="auto"/>
          <w:sz w:val="21"/>
          <w:szCs w:val="21"/>
          <w:highlight w:val="none"/>
          <w:u w:val="single"/>
        </w:rPr>
        <w:t xml:space="preserve">   承包人与发包人签订延期付款协议，延期付款协议须经财政部门及双方认可。     </w:t>
      </w:r>
      <w:r>
        <w:rPr>
          <w:rFonts w:hint="eastAsia" w:ascii="宋体" w:hAnsi="宋体" w:eastAsia="宋体" w:cs="宋体"/>
          <w:color w:val="auto"/>
          <w:sz w:val="21"/>
          <w:szCs w:val="21"/>
          <w:highlight w:val="none"/>
        </w:rPr>
        <w:t>。</w:t>
      </w:r>
    </w:p>
    <w:p w14:paraId="2370004A">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（3）发包人违反第10.1款〔变更的范围〕第（2）项约定，自行实施被取消的工作或转由他人实施的违约责任：</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3689B7E5">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40918027">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（5）因发包人违反合同约定造成暂停施工的违约责任：</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73F9A4EB">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（6）发包人无正当理由没有在约定期限内发出复工指示，导致承包人无法复工的违约责任：</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5EF5193D">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244A960B">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因发包人违约解除合同</w:t>
      </w:r>
    </w:p>
    <w:p w14:paraId="0F89C88F">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承包人按16.1.1项〔发包人违约的情形〕约定暂停施工满</w:t>
      </w:r>
      <w:r>
        <w:rPr>
          <w:rFonts w:hint="eastAsia" w:ascii="宋体" w:hAnsi="宋体" w:eastAsia="宋体" w:cs="宋体"/>
          <w:color w:val="auto"/>
          <w:sz w:val="21"/>
          <w:szCs w:val="21"/>
          <w:highlight w:val="none"/>
          <w:u w:val="single"/>
        </w:rPr>
        <w:t xml:space="preserve">  28 </w:t>
      </w:r>
      <w:r>
        <w:rPr>
          <w:rFonts w:hint="eastAsia" w:ascii="宋体" w:hAnsi="宋体" w:eastAsia="宋体" w:cs="宋体"/>
          <w:color w:val="auto"/>
          <w:sz w:val="21"/>
          <w:szCs w:val="21"/>
          <w:highlight w:val="none"/>
        </w:rPr>
        <w:t>天后发包人仍不纠正其违约行为并致使合同目的不能实现的，承包人有权解除合同。</w:t>
      </w:r>
    </w:p>
    <w:p w14:paraId="73852594">
      <w:pPr>
        <w:spacing w:beforeLines="0" w:afterLines="0"/>
        <w:rPr>
          <w:rFonts w:hint="eastAsia" w:ascii="宋体" w:hAnsi="宋体" w:eastAsia="宋体" w:cs="宋体"/>
          <w:color w:val="auto"/>
          <w:sz w:val="21"/>
          <w:szCs w:val="24"/>
          <w:highlight w:val="none"/>
        </w:rPr>
      </w:pPr>
      <w:bookmarkStart w:id="952" w:name="_Toc373227768"/>
      <w:bookmarkStart w:id="953" w:name="_Toc28910"/>
      <w:bookmarkStart w:id="954" w:name="_Toc389065333"/>
      <w:bookmarkStart w:id="955" w:name="_Toc373478415"/>
      <w:r>
        <w:rPr>
          <w:rFonts w:hint="eastAsia" w:ascii="宋体" w:hAnsi="宋体" w:eastAsia="宋体" w:cs="宋体"/>
          <w:color w:val="auto"/>
          <w:sz w:val="21"/>
          <w:szCs w:val="24"/>
          <w:highlight w:val="none"/>
        </w:rPr>
        <w:t>16.2 承包人违约</w:t>
      </w:r>
      <w:bookmarkEnd w:id="952"/>
      <w:bookmarkEnd w:id="953"/>
      <w:bookmarkEnd w:id="954"/>
      <w:bookmarkEnd w:id="955"/>
    </w:p>
    <w:p w14:paraId="1F367355">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16.2.1 承包人违约的情形</w:t>
      </w:r>
    </w:p>
    <w:p w14:paraId="6A14FE87">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承包人违约的其他情形：</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承包人有违反 2015 年《南宁市人民政府关于修改〈南宁市建设工程造价管理办法〉的决定》（南宁市人民政府令 第 34 号）规定的，按规定给予处罚。《南宁市建设工程造价管理办法》没有规定的按本合同《通用条款》执行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AC505F3">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16.2.2承包人违约的责任</w:t>
      </w:r>
    </w:p>
    <w:p w14:paraId="6323B5F7">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承包人违约责任的承担方式和计算方法：</w:t>
      </w:r>
    </w:p>
    <w:p w14:paraId="134D4E2A">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4CCEAA67">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（2）承包人有本合同通用条款第16.2.1（6）条情形的，或经监理人检验认为修复质量不合格而承包人拒绝再进行修补的，发包人将扣除承包人全部质量保修金。</w:t>
      </w:r>
    </w:p>
    <w:p w14:paraId="028A642B">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有本专用合同条款3.2、3.3条违约责任的，发包人有权扣除承包人的违约金。违约金金额在承包人的计量支付款内扣除。监理人预先下发含有罚款意向的指令，如承包人不及时采取措施纠正，则在指令下达后十五天下发罚款通知书（不再陈述罚款理由）。承包人被罚款后由发包人从最后一次计量支付时扣除。承包人在合同期内，完成合同规定的全部工程，且质量合格，在本工程施工竣工验收后十五天内可申请返还全部或部分罚款，返还金额由监理人审核，发包人批准。罚款金额返还时不包括银行利息。</w:t>
      </w:r>
    </w:p>
    <w:p w14:paraId="20910F10">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16.2.3 因承包人违约解除合同</w:t>
      </w:r>
    </w:p>
    <w:p w14:paraId="2B9374B7">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关于承包人违约解除合同的特别约定：</w:t>
      </w:r>
      <w:r>
        <w:rPr>
          <w:rFonts w:hint="eastAsia" w:ascii="宋体" w:hAnsi="宋体" w:eastAsia="宋体" w:cs="宋体"/>
          <w:color w:val="auto"/>
          <w:sz w:val="21"/>
          <w:szCs w:val="21"/>
          <w:highlight w:val="none"/>
          <w:u w:val="single"/>
        </w:rPr>
        <w:t>承包人有违反以下情况之一的，发包人有权解除合同</w:t>
      </w:r>
      <w:r>
        <w:rPr>
          <w:rFonts w:hint="eastAsia" w:ascii="宋体" w:hAnsi="宋体" w:eastAsia="宋体" w:cs="宋体"/>
          <w:color w:val="auto"/>
          <w:sz w:val="21"/>
          <w:szCs w:val="21"/>
          <w:highlight w:val="none"/>
        </w:rPr>
        <w:t>。</w:t>
      </w:r>
    </w:p>
    <w:p w14:paraId="2F2BFF72">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(1)承包人无正当理由不按开工通知的要求及时进场组织施工和不按签订协议书时商定的进度计划有效地开展施工准备，造成工期延误的；</w:t>
      </w:r>
    </w:p>
    <w:p w14:paraId="30299010">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(2)承包人违反本合同通用条款第3.5条规定私自将合同或合同的任何部分或任何权利转让给其他人，或私自将工程或工程的一部分分包出去的；</w:t>
      </w:r>
    </w:p>
    <w:p w14:paraId="66E083D0">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(3)未经监理人批准，承包人私自将已按投标文件承诺进入工地的工程设备、施工设备、临时工程或材料撤离工地的；</w:t>
      </w:r>
    </w:p>
    <w:p w14:paraId="1BD935D0">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(4)由于承包人原因拒绝按合同进度计划及时完成合同规定的工程，而又未采取有效措施赶上进度，造成工期严重延误的；</w:t>
      </w:r>
    </w:p>
    <w:p w14:paraId="423C8209">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(5)承包人否认合同有效或拒绝履行合同规定的承包人义务，或由于法律、财务等原因导致承包人无法继续履行或实质上已停止履行合同的义务的；</w:t>
      </w:r>
    </w:p>
    <w:p w14:paraId="7CF2686A">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4"/>
          <w:highlight w:val="none"/>
        </w:rPr>
        <w:t xml:space="preserve"> 合同签订且具备法定开工条件后之日起十五日内，承包人无法按合同规定及投标文件的承诺进场经监理工程师认可的该施工阶段应有的全部人员和机械的。</w:t>
      </w:r>
    </w:p>
    <w:p w14:paraId="2C3BE0FE">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费用由承包人承担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D5E4279">
      <w:pPr>
        <w:spacing w:beforeLines="0" w:afterLines="0"/>
        <w:rPr>
          <w:rFonts w:hint="eastAsia" w:ascii="宋体" w:hAnsi="宋体" w:eastAsia="宋体" w:cs="宋体"/>
          <w:color w:val="auto"/>
          <w:sz w:val="21"/>
          <w:szCs w:val="24"/>
          <w:highlight w:val="none"/>
        </w:rPr>
      </w:pPr>
      <w:bookmarkStart w:id="956" w:name="_Toc389065334"/>
      <w:bookmarkStart w:id="957" w:name="_Toc373478416"/>
      <w:bookmarkStart w:id="958" w:name="_Toc373227769"/>
      <w:bookmarkStart w:id="959" w:name="_Toc28282"/>
      <w:bookmarkStart w:id="960" w:name="_Toc351203649"/>
      <w:r>
        <w:rPr>
          <w:rFonts w:hint="eastAsia" w:ascii="宋体" w:hAnsi="宋体" w:eastAsia="宋体" w:cs="宋体"/>
          <w:color w:val="auto"/>
          <w:sz w:val="21"/>
          <w:szCs w:val="24"/>
          <w:highlight w:val="none"/>
        </w:rPr>
        <w:t>17. 不可抗力</w:t>
      </w:r>
      <w:bookmarkEnd w:id="956"/>
      <w:bookmarkEnd w:id="957"/>
      <w:bookmarkEnd w:id="958"/>
      <w:bookmarkEnd w:id="959"/>
      <w:bookmarkEnd w:id="960"/>
      <w:r>
        <w:rPr>
          <w:rFonts w:hint="eastAsia" w:ascii="宋体" w:hAnsi="宋体" w:eastAsia="宋体" w:cs="宋体"/>
          <w:color w:val="auto"/>
          <w:sz w:val="21"/>
          <w:szCs w:val="24"/>
          <w:highlight w:val="none"/>
        </w:rPr>
        <w:t xml:space="preserve"> </w:t>
      </w:r>
      <w:bookmarkEnd w:id="946"/>
    </w:p>
    <w:p w14:paraId="025359B1">
      <w:pPr>
        <w:spacing w:beforeLines="0" w:afterLines="0"/>
        <w:rPr>
          <w:rFonts w:hint="eastAsia" w:ascii="宋体" w:hAnsi="宋体" w:eastAsia="宋体" w:cs="宋体"/>
          <w:color w:val="auto"/>
          <w:sz w:val="21"/>
          <w:szCs w:val="24"/>
          <w:highlight w:val="none"/>
        </w:rPr>
      </w:pPr>
      <w:bookmarkStart w:id="961" w:name="_Toc389065335"/>
      <w:bookmarkStart w:id="962" w:name="_Toc373478417"/>
      <w:bookmarkStart w:id="963" w:name="_Toc373227770"/>
      <w:bookmarkStart w:id="964" w:name="_Toc20751"/>
      <w:r>
        <w:rPr>
          <w:rFonts w:hint="eastAsia" w:ascii="宋体" w:hAnsi="宋体" w:eastAsia="宋体" w:cs="宋体"/>
          <w:color w:val="auto"/>
          <w:sz w:val="21"/>
          <w:szCs w:val="24"/>
          <w:highlight w:val="none"/>
        </w:rPr>
        <w:t>17.1 不可抗力的确认</w:t>
      </w:r>
      <w:bookmarkEnd w:id="961"/>
      <w:bookmarkEnd w:id="962"/>
      <w:bookmarkEnd w:id="963"/>
      <w:bookmarkEnd w:id="964"/>
    </w:p>
    <w:p w14:paraId="7C0A3483">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除通用合同条款约定的不可抗力事件之外，视为不可抗力的其他情形：</w:t>
      </w:r>
      <w:r>
        <w:rPr>
          <w:rFonts w:hint="eastAsia" w:ascii="宋体" w:hAnsi="宋体" w:eastAsia="宋体" w:cs="宋体"/>
          <w:color w:val="auto"/>
          <w:sz w:val="21"/>
          <w:szCs w:val="21"/>
          <w:highlight w:val="none"/>
          <w:u w:val="single"/>
        </w:rPr>
        <w:t xml:space="preserve"> 因政府或相关主管部门要求导致项目中断施工  </w:t>
      </w:r>
      <w:r>
        <w:rPr>
          <w:rFonts w:hint="eastAsia" w:ascii="宋体" w:hAnsi="宋体" w:eastAsia="宋体" w:cs="宋体"/>
          <w:color w:val="auto"/>
          <w:sz w:val="21"/>
          <w:szCs w:val="21"/>
          <w:highlight w:val="none"/>
        </w:rPr>
        <w:t>。</w:t>
      </w:r>
    </w:p>
    <w:p w14:paraId="4DFF8A03">
      <w:pPr>
        <w:spacing w:beforeLines="0" w:afterLines="0"/>
        <w:rPr>
          <w:rFonts w:hint="eastAsia" w:ascii="宋体" w:hAnsi="宋体" w:eastAsia="宋体" w:cs="宋体"/>
          <w:color w:val="auto"/>
          <w:sz w:val="21"/>
          <w:szCs w:val="24"/>
          <w:highlight w:val="none"/>
        </w:rPr>
      </w:pPr>
      <w:bookmarkStart w:id="965" w:name="_Toc31960"/>
      <w:bookmarkStart w:id="966" w:name="_Toc389065336"/>
      <w:bookmarkStart w:id="967" w:name="_Toc373227771"/>
      <w:bookmarkStart w:id="968" w:name="_Toc373478418"/>
      <w:r>
        <w:rPr>
          <w:rFonts w:hint="eastAsia" w:ascii="宋体" w:hAnsi="宋体" w:eastAsia="宋体" w:cs="宋体"/>
          <w:color w:val="auto"/>
          <w:sz w:val="21"/>
          <w:szCs w:val="24"/>
          <w:highlight w:val="none"/>
        </w:rPr>
        <w:t>17.4 因不可抗力解除合同</w:t>
      </w:r>
      <w:bookmarkEnd w:id="965"/>
      <w:bookmarkEnd w:id="966"/>
      <w:bookmarkEnd w:id="967"/>
      <w:bookmarkEnd w:id="968"/>
    </w:p>
    <w:p w14:paraId="4A312304">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w:t>
      </w:r>
      <w:r>
        <w:rPr>
          <w:rFonts w:hint="eastAsia" w:ascii="宋体" w:hAnsi="宋体" w:eastAsia="宋体" w:cs="宋体"/>
          <w:color w:val="auto"/>
          <w:sz w:val="21"/>
          <w:szCs w:val="21"/>
          <w:highlight w:val="none"/>
          <w:u w:val="single"/>
        </w:rPr>
        <w:t xml:space="preserve"> 28 </w:t>
      </w:r>
      <w:r>
        <w:rPr>
          <w:rFonts w:hint="eastAsia" w:ascii="宋体" w:hAnsi="宋体" w:eastAsia="宋体" w:cs="宋体"/>
          <w:color w:val="auto"/>
          <w:sz w:val="21"/>
          <w:szCs w:val="21"/>
          <w:highlight w:val="none"/>
        </w:rPr>
        <w:t>天内完成款项的支付。</w:t>
      </w:r>
    </w:p>
    <w:p w14:paraId="066F4156">
      <w:pPr>
        <w:spacing w:beforeLines="0" w:afterLines="0"/>
        <w:rPr>
          <w:rFonts w:hint="eastAsia" w:ascii="宋体" w:hAnsi="宋体" w:eastAsia="宋体" w:cs="宋体"/>
          <w:color w:val="auto"/>
          <w:sz w:val="21"/>
          <w:szCs w:val="24"/>
          <w:highlight w:val="none"/>
        </w:rPr>
      </w:pPr>
      <w:bookmarkStart w:id="969" w:name="_Toc373478419"/>
      <w:bookmarkStart w:id="970" w:name="_Toc351203650"/>
      <w:bookmarkStart w:id="971" w:name="_Toc373227772"/>
      <w:bookmarkStart w:id="972" w:name="_Toc389065337"/>
      <w:bookmarkStart w:id="973" w:name="_Toc3919"/>
      <w:r>
        <w:rPr>
          <w:rFonts w:hint="eastAsia" w:ascii="宋体" w:hAnsi="宋体" w:eastAsia="宋体" w:cs="宋体"/>
          <w:color w:val="auto"/>
          <w:sz w:val="21"/>
          <w:szCs w:val="24"/>
          <w:highlight w:val="none"/>
        </w:rPr>
        <w:t>18. 保险</w:t>
      </w:r>
      <w:bookmarkEnd w:id="969"/>
      <w:bookmarkEnd w:id="970"/>
      <w:bookmarkEnd w:id="971"/>
      <w:bookmarkEnd w:id="972"/>
      <w:bookmarkEnd w:id="973"/>
    </w:p>
    <w:bookmarkEnd w:id="947"/>
    <w:p w14:paraId="278205A1">
      <w:pPr>
        <w:spacing w:beforeLines="0" w:afterLines="0"/>
        <w:rPr>
          <w:rFonts w:hint="eastAsia" w:ascii="宋体" w:hAnsi="宋体" w:eastAsia="宋体" w:cs="宋体"/>
          <w:color w:val="auto"/>
          <w:sz w:val="21"/>
          <w:szCs w:val="24"/>
          <w:highlight w:val="none"/>
        </w:rPr>
      </w:pPr>
      <w:bookmarkStart w:id="974" w:name="_Toc389065338"/>
      <w:bookmarkStart w:id="975" w:name="_Toc373478420"/>
      <w:bookmarkStart w:id="976" w:name="_Toc9503"/>
      <w:bookmarkStart w:id="977" w:name="_Toc373227773"/>
      <w:r>
        <w:rPr>
          <w:rFonts w:hint="eastAsia" w:ascii="宋体" w:hAnsi="宋体" w:eastAsia="宋体" w:cs="宋体"/>
          <w:color w:val="auto"/>
          <w:sz w:val="21"/>
          <w:szCs w:val="24"/>
          <w:highlight w:val="none"/>
        </w:rPr>
        <w:t>18.1 工程保险</w:t>
      </w:r>
      <w:bookmarkEnd w:id="974"/>
      <w:bookmarkEnd w:id="975"/>
      <w:bookmarkEnd w:id="976"/>
      <w:bookmarkEnd w:id="977"/>
    </w:p>
    <w:p w14:paraId="3538387D">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关于工程保险的特别约定：</w:t>
      </w:r>
      <w:r>
        <w:rPr>
          <w:rFonts w:hint="eastAsia" w:ascii="宋体" w:hAnsi="宋体" w:eastAsia="宋体" w:cs="宋体"/>
          <w:color w:val="auto"/>
          <w:sz w:val="21"/>
          <w:szCs w:val="21"/>
          <w:highlight w:val="none"/>
          <w:u w:val="single"/>
        </w:rPr>
        <w:t xml:space="preserve">  发包人可根据需要投保工程质量保险；对已投保的工程项目，承包人应积极配合保险公司开展相关工作。</w:t>
      </w:r>
      <w:r>
        <w:rPr>
          <w:rFonts w:hint="eastAsia" w:ascii="宋体" w:hAnsi="宋体" w:eastAsia="宋体" w:cs="宋体"/>
          <w:color w:val="auto"/>
          <w:sz w:val="21"/>
          <w:szCs w:val="21"/>
          <w:highlight w:val="none"/>
        </w:rPr>
        <w:t>。</w:t>
      </w:r>
    </w:p>
    <w:p w14:paraId="6F6A70F5">
      <w:pPr>
        <w:spacing w:beforeLines="0" w:afterLines="0"/>
        <w:rPr>
          <w:rFonts w:hint="eastAsia" w:ascii="宋体" w:hAnsi="宋体" w:eastAsia="宋体" w:cs="宋体"/>
          <w:color w:val="auto"/>
          <w:sz w:val="21"/>
          <w:szCs w:val="24"/>
          <w:highlight w:val="none"/>
        </w:rPr>
      </w:pPr>
      <w:bookmarkStart w:id="978" w:name="_Toc4100"/>
      <w:bookmarkStart w:id="979" w:name="_Toc373227774"/>
      <w:bookmarkStart w:id="980" w:name="_Toc389065339"/>
      <w:bookmarkStart w:id="981" w:name="_Toc373478421"/>
      <w:r>
        <w:rPr>
          <w:rFonts w:hint="eastAsia" w:ascii="宋体" w:hAnsi="宋体" w:eastAsia="宋体" w:cs="宋体"/>
          <w:color w:val="auto"/>
          <w:sz w:val="21"/>
          <w:szCs w:val="24"/>
          <w:highlight w:val="none"/>
        </w:rPr>
        <w:t>18.3 其他保险</w:t>
      </w:r>
      <w:bookmarkEnd w:id="978"/>
      <w:bookmarkEnd w:id="979"/>
      <w:bookmarkEnd w:id="980"/>
      <w:bookmarkEnd w:id="981"/>
    </w:p>
    <w:p w14:paraId="30B027D7">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关于其他保险的约定：</w:t>
      </w:r>
      <w:r>
        <w:rPr>
          <w:rFonts w:hint="eastAsia" w:ascii="宋体" w:hAnsi="宋体" w:eastAsia="宋体" w:cs="宋体"/>
          <w:color w:val="auto"/>
          <w:sz w:val="21"/>
          <w:szCs w:val="21"/>
          <w:highlight w:val="none"/>
          <w:u w:val="single"/>
        </w:rPr>
        <w:t xml:space="preserve">   承包人必须为施工现场从事施工的自有作业人员和管理人员办理意外伤害保险，并支付保险费，费用已包含在综合单价中不再另计计价     </w:t>
      </w:r>
      <w:r>
        <w:rPr>
          <w:rFonts w:hint="eastAsia" w:ascii="宋体" w:hAnsi="宋体" w:eastAsia="宋体" w:cs="宋体"/>
          <w:color w:val="auto"/>
          <w:sz w:val="21"/>
          <w:szCs w:val="21"/>
          <w:highlight w:val="none"/>
        </w:rPr>
        <w:t>。</w:t>
      </w:r>
    </w:p>
    <w:p w14:paraId="5BB41AE7">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承包人是否应为其施工设备等办理财产保险：</w:t>
      </w:r>
      <w:r>
        <w:rPr>
          <w:rFonts w:hint="eastAsia" w:ascii="宋体" w:hAnsi="宋体" w:eastAsia="宋体" w:cs="宋体"/>
          <w:color w:val="auto"/>
          <w:sz w:val="21"/>
          <w:szCs w:val="21"/>
          <w:highlight w:val="none"/>
          <w:u w:val="single"/>
        </w:rPr>
        <w:t xml:space="preserve">  承包人自行考虑    </w:t>
      </w:r>
      <w:r>
        <w:rPr>
          <w:rFonts w:hint="eastAsia" w:ascii="宋体" w:hAnsi="宋体" w:eastAsia="宋体" w:cs="宋体"/>
          <w:color w:val="auto"/>
          <w:sz w:val="21"/>
          <w:szCs w:val="21"/>
          <w:highlight w:val="none"/>
        </w:rPr>
        <w:t>。</w:t>
      </w:r>
    </w:p>
    <w:p w14:paraId="753A2154">
      <w:pPr>
        <w:spacing w:beforeLines="0" w:afterLines="0"/>
        <w:rPr>
          <w:rFonts w:hint="eastAsia" w:ascii="宋体" w:hAnsi="宋体" w:eastAsia="宋体" w:cs="宋体"/>
          <w:color w:val="auto"/>
          <w:sz w:val="21"/>
          <w:szCs w:val="24"/>
          <w:highlight w:val="none"/>
        </w:rPr>
      </w:pPr>
      <w:bookmarkStart w:id="982" w:name="_Toc373478422"/>
      <w:bookmarkStart w:id="983" w:name="_Toc389065340"/>
      <w:bookmarkStart w:id="984" w:name="_Toc373227775"/>
      <w:bookmarkStart w:id="985" w:name="_Toc20108"/>
      <w:r>
        <w:rPr>
          <w:rFonts w:hint="eastAsia" w:ascii="宋体" w:hAnsi="宋体" w:eastAsia="宋体" w:cs="宋体"/>
          <w:color w:val="auto"/>
          <w:sz w:val="21"/>
          <w:szCs w:val="24"/>
          <w:highlight w:val="none"/>
        </w:rPr>
        <w:t>18.7 通知义务</w:t>
      </w:r>
      <w:bookmarkEnd w:id="982"/>
      <w:bookmarkEnd w:id="983"/>
      <w:bookmarkEnd w:id="984"/>
      <w:bookmarkEnd w:id="985"/>
    </w:p>
    <w:p w14:paraId="3153BF23">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关于变更保险合同时的通知义务的约定：</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bookmarkEnd w:id="907"/>
    <w:bookmarkEnd w:id="908"/>
    <w:bookmarkEnd w:id="909"/>
    <w:bookmarkEnd w:id="910"/>
    <w:bookmarkEnd w:id="911"/>
    <w:bookmarkEnd w:id="912"/>
    <w:bookmarkEnd w:id="913"/>
    <w:bookmarkEnd w:id="914"/>
    <w:bookmarkEnd w:id="915"/>
    <w:bookmarkEnd w:id="916"/>
    <w:bookmarkEnd w:id="917"/>
    <w:bookmarkEnd w:id="918"/>
    <w:p w14:paraId="7BB971A9">
      <w:pPr>
        <w:spacing w:beforeLines="0" w:afterLines="0"/>
        <w:rPr>
          <w:rFonts w:hint="eastAsia" w:ascii="宋体" w:hAnsi="宋体" w:eastAsia="宋体" w:cs="宋体"/>
          <w:color w:val="auto"/>
          <w:sz w:val="21"/>
          <w:szCs w:val="24"/>
          <w:highlight w:val="none"/>
        </w:rPr>
      </w:pPr>
      <w:bookmarkStart w:id="986" w:name="_Toc373227776"/>
      <w:bookmarkStart w:id="987" w:name="_Toc373478423"/>
      <w:bookmarkStart w:id="988" w:name="_Toc351203651"/>
      <w:bookmarkStart w:id="989" w:name="_Toc18626"/>
      <w:bookmarkStart w:id="990" w:name="_Toc389065341"/>
      <w:r>
        <w:rPr>
          <w:rFonts w:hint="eastAsia" w:ascii="宋体" w:hAnsi="宋体" w:eastAsia="宋体" w:cs="宋体"/>
          <w:color w:val="auto"/>
          <w:sz w:val="21"/>
          <w:szCs w:val="24"/>
          <w:highlight w:val="none"/>
        </w:rPr>
        <w:t>20. 争议解决</w:t>
      </w:r>
      <w:bookmarkEnd w:id="986"/>
      <w:bookmarkEnd w:id="987"/>
      <w:bookmarkEnd w:id="988"/>
      <w:bookmarkEnd w:id="989"/>
      <w:bookmarkEnd w:id="990"/>
    </w:p>
    <w:bookmarkEnd w:id="919"/>
    <w:bookmarkEnd w:id="920"/>
    <w:p w14:paraId="02E33622">
      <w:pPr>
        <w:spacing w:beforeLines="0" w:afterLines="0"/>
        <w:rPr>
          <w:rFonts w:hint="eastAsia" w:ascii="宋体" w:hAnsi="宋体" w:eastAsia="宋体" w:cs="宋体"/>
          <w:color w:val="auto"/>
          <w:sz w:val="21"/>
          <w:szCs w:val="24"/>
          <w:highlight w:val="none"/>
        </w:rPr>
      </w:pPr>
      <w:bookmarkStart w:id="991" w:name="_Toc389065342"/>
      <w:bookmarkStart w:id="992" w:name="_Toc373227777"/>
      <w:bookmarkStart w:id="993" w:name="_Toc373478424"/>
      <w:bookmarkStart w:id="994" w:name="_Toc24166"/>
      <w:r>
        <w:rPr>
          <w:rFonts w:hint="eastAsia" w:ascii="宋体" w:hAnsi="宋体" w:eastAsia="宋体" w:cs="宋体"/>
          <w:color w:val="auto"/>
          <w:sz w:val="21"/>
          <w:szCs w:val="24"/>
          <w:highlight w:val="none"/>
        </w:rPr>
        <w:t>20.3 争</w:t>
      </w:r>
      <w:bookmarkEnd w:id="921"/>
      <w:r>
        <w:rPr>
          <w:rFonts w:hint="eastAsia" w:ascii="宋体" w:hAnsi="宋体" w:eastAsia="宋体" w:cs="宋体"/>
          <w:color w:val="auto"/>
          <w:sz w:val="21"/>
          <w:szCs w:val="24"/>
          <w:highlight w:val="none"/>
        </w:rPr>
        <w:t>议评审</w:t>
      </w:r>
      <w:bookmarkEnd w:id="991"/>
      <w:bookmarkEnd w:id="992"/>
      <w:bookmarkEnd w:id="993"/>
      <w:bookmarkEnd w:id="994"/>
    </w:p>
    <w:p w14:paraId="1DC981D3">
      <w:pPr>
        <w:spacing w:beforeLines="0" w:afterLines="0" w:line="360" w:lineRule="auto"/>
        <w:ind w:left="149" w:leftChars="71" w:firstLine="315" w:firstLineChars="15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合同当事人是否同意将工程争议提交争议评审小组决定：</w:t>
      </w:r>
      <w:r>
        <w:rPr>
          <w:rFonts w:hint="eastAsia" w:ascii="宋体" w:hAnsi="宋体" w:eastAsia="宋体" w:cs="宋体"/>
          <w:color w:val="auto"/>
          <w:sz w:val="21"/>
          <w:szCs w:val="21"/>
          <w:highlight w:val="none"/>
          <w:u w:val="single"/>
        </w:rPr>
        <w:t xml:space="preserve">是               </w:t>
      </w:r>
      <w:r>
        <w:rPr>
          <w:rFonts w:hint="eastAsia" w:ascii="宋体" w:hAnsi="宋体" w:eastAsia="宋体" w:cs="宋体"/>
          <w:color w:val="auto"/>
          <w:sz w:val="21"/>
          <w:szCs w:val="21"/>
          <w:highlight w:val="none"/>
        </w:rPr>
        <w:t>。</w:t>
      </w:r>
    </w:p>
    <w:p w14:paraId="6646D280">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20.3.1 争议评审小组的确定</w:t>
      </w:r>
    </w:p>
    <w:p w14:paraId="09240402">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争议评审小组成员的确定：</w:t>
      </w:r>
      <w:r>
        <w:rPr>
          <w:rFonts w:hint="eastAsia" w:ascii="宋体" w:hAnsi="宋体" w:eastAsia="宋体" w:cs="宋体"/>
          <w:color w:val="auto"/>
          <w:sz w:val="21"/>
          <w:szCs w:val="21"/>
          <w:highlight w:val="none"/>
          <w:u w:val="single"/>
        </w:rPr>
        <w:t xml:space="preserve">      按本合同通用条款相关规定执行      </w:t>
      </w:r>
      <w:r>
        <w:rPr>
          <w:rFonts w:hint="eastAsia" w:ascii="宋体" w:hAnsi="宋体" w:eastAsia="宋体" w:cs="宋体"/>
          <w:color w:val="auto"/>
          <w:sz w:val="21"/>
          <w:szCs w:val="21"/>
          <w:highlight w:val="none"/>
        </w:rPr>
        <w:t>。</w:t>
      </w:r>
    </w:p>
    <w:p w14:paraId="3FD7C5D1">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选定争议评审员的期限：</w:t>
      </w:r>
      <w:r>
        <w:rPr>
          <w:rFonts w:hint="eastAsia" w:ascii="宋体" w:hAnsi="宋体" w:eastAsia="宋体" w:cs="宋体"/>
          <w:color w:val="auto"/>
          <w:sz w:val="21"/>
          <w:szCs w:val="21"/>
          <w:highlight w:val="none"/>
          <w:u w:val="single"/>
        </w:rPr>
        <w:t xml:space="preserve"> 按本合同通用条款相关规定执行   </w:t>
      </w:r>
      <w:r>
        <w:rPr>
          <w:rFonts w:hint="eastAsia" w:ascii="宋体" w:hAnsi="宋体" w:eastAsia="宋体" w:cs="宋体"/>
          <w:color w:val="auto"/>
          <w:sz w:val="21"/>
          <w:szCs w:val="21"/>
          <w:highlight w:val="none"/>
        </w:rPr>
        <w:t>。</w:t>
      </w:r>
    </w:p>
    <w:p w14:paraId="1D5B0E9C">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争议评审小组成员的报酬承担方式：</w:t>
      </w:r>
      <w:r>
        <w:rPr>
          <w:rFonts w:hint="eastAsia" w:ascii="宋体" w:hAnsi="宋体" w:eastAsia="宋体" w:cs="宋体"/>
          <w:color w:val="auto"/>
          <w:sz w:val="21"/>
          <w:szCs w:val="21"/>
          <w:highlight w:val="none"/>
          <w:u w:val="single"/>
        </w:rPr>
        <w:t xml:space="preserve"> 按本合同通用条款相关规定执行  </w:t>
      </w:r>
      <w:r>
        <w:rPr>
          <w:rFonts w:hint="eastAsia" w:ascii="宋体" w:hAnsi="宋体" w:eastAsia="宋体" w:cs="宋体"/>
          <w:color w:val="auto"/>
          <w:sz w:val="21"/>
          <w:szCs w:val="21"/>
          <w:highlight w:val="none"/>
        </w:rPr>
        <w:t>。</w:t>
      </w:r>
    </w:p>
    <w:p w14:paraId="6759BED1">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其他事项的约定：</w:t>
      </w:r>
      <w:r>
        <w:rPr>
          <w:rFonts w:hint="eastAsia" w:ascii="宋体" w:hAnsi="宋体" w:eastAsia="宋体" w:cs="宋体"/>
          <w:color w:val="auto"/>
          <w:sz w:val="21"/>
          <w:szCs w:val="21"/>
          <w:highlight w:val="none"/>
          <w:u w:val="single"/>
        </w:rPr>
        <w:t xml:space="preserve">  按本合同通用条款相关规定执行    </w:t>
      </w:r>
      <w:r>
        <w:rPr>
          <w:rFonts w:hint="eastAsia" w:ascii="宋体" w:hAnsi="宋体" w:eastAsia="宋体" w:cs="宋体"/>
          <w:color w:val="auto"/>
          <w:sz w:val="21"/>
          <w:szCs w:val="21"/>
          <w:highlight w:val="none"/>
        </w:rPr>
        <w:t>。</w:t>
      </w:r>
    </w:p>
    <w:p w14:paraId="48B9BDB2">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20.3.2 争议评审小组的决定</w:t>
      </w:r>
    </w:p>
    <w:p w14:paraId="0674DF15">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合同当事人关于本项的约定：</w:t>
      </w:r>
      <w:r>
        <w:rPr>
          <w:rFonts w:hint="eastAsia" w:ascii="宋体" w:hAnsi="宋体" w:eastAsia="宋体" w:cs="宋体"/>
          <w:color w:val="auto"/>
          <w:sz w:val="21"/>
          <w:szCs w:val="21"/>
          <w:highlight w:val="none"/>
          <w:u w:val="single"/>
        </w:rPr>
        <w:t xml:space="preserve">  按本合同通用条款相关规定执行     </w:t>
      </w:r>
      <w:r>
        <w:rPr>
          <w:rFonts w:hint="eastAsia" w:ascii="宋体" w:hAnsi="宋体" w:eastAsia="宋体" w:cs="宋体"/>
          <w:color w:val="auto"/>
          <w:sz w:val="21"/>
          <w:szCs w:val="21"/>
          <w:highlight w:val="none"/>
        </w:rPr>
        <w:t>。</w:t>
      </w:r>
    </w:p>
    <w:p w14:paraId="338181D2">
      <w:pPr>
        <w:spacing w:beforeLines="0" w:afterLines="0"/>
        <w:rPr>
          <w:rFonts w:hint="eastAsia" w:ascii="宋体" w:hAnsi="宋体" w:eastAsia="宋体" w:cs="宋体"/>
          <w:color w:val="auto"/>
          <w:sz w:val="21"/>
          <w:szCs w:val="24"/>
          <w:highlight w:val="none"/>
        </w:rPr>
      </w:pPr>
      <w:bookmarkStart w:id="995" w:name="_Toc373227778"/>
      <w:bookmarkStart w:id="996" w:name="_Toc389065343"/>
      <w:bookmarkStart w:id="997" w:name="_Toc24467"/>
      <w:bookmarkStart w:id="998" w:name="_Toc373478425"/>
      <w:r>
        <w:rPr>
          <w:rFonts w:hint="eastAsia" w:ascii="宋体" w:hAnsi="宋体" w:eastAsia="宋体" w:cs="宋体"/>
          <w:color w:val="auto"/>
          <w:sz w:val="21"/>
          <w:szCs w:val="24"/>
          <w:highlight w:val="none"/>
        </w:rPr>
        <w:t>20.4 仲裁或诉讼</w:t>
      </w:r>
      <w:bookmarkEnd w:id="922"/>
      <w:bookmarkEnd w:id="995"/>
      <w:bookmarkEnd w:id="996"/>
      <w:bookmarkEnd w:id="997"/>
      <w:bookmarkEnd w:id="998"/>
    </w:p>
    <w:p w14:paraId="78DC24C7">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种方式解决：</w:t>
      </w:r>
    </w:p>
    <w:p w14:paraId="728E48DB">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仲裁委员会按照该会仲裁规则进行仲裁，仲裁裁决是终局的，对合同双方均有约束力。</w:t>
      </w:r>
    </w:p>
    <w:p w14:paraId="445D4D10">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 xml:space="preserve">   工程所在地 </w:t>
      </w:r>
      <w:r>
        <w:rPr>
          <w:rFonts w:hint="eastAsia" w:ascii="宋体" w:hAnsi="宋体" w:eastAsia="宋体" w:cs="宋体"/>
          <w:color w:val="auto"/>
          <w:sz w:val="21"/>
          <w:szCs w:val="21"/>
          <w:highlight w:val="none"/>
        </w:rPr>
        <w:t>人民法院起诉。</w:t>
      </w:r>
      <w:bookmarkEnd w:id="923"/>
      <w:bookmarkEnd w:id="924"/>
      <w:bookmarkEnd w:id="925"/>
      <w:bookmarkEnd w:id="926"/>
      <w:bookmarkEnd w:id="927"/>
      <w:bookmarkEnd w:id="928"/>
    </w:p>
    <w:p w14:paraId="7B579CA8">
      <w:pPr>
        <w:pStyle w:val="11"/>
        <w:rPr>
          <w:rFonts w:hint="eastAsia"/>
          <w:color w:val="auto"/>
          <w:highlight w:val="none"/>
        </w:rPr>
        <w:sectPr>
          <w:footerReference r:id="rId11" w:type="first"/>
          <w:footerReference r:id="rId10" w:type="default"/>
          <w:pgSz w:w="11907" w:h="16840"/>
          <w:pgMar w:top="1247" w:right="964" w:bottom="1134" w:left="964" w:header="851" w:footer="1077" w:gutter="0"/>
          <w:cols w:space="720" w:num="1"/>
          <w:titlePg/>
        </w:sectPr>
      </w:pPr>
    </w:p>
    <w:p w14:paraId="07D6F0E5">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 xml:space="preserve">附件：    </w:t>
      </w:r>
    </w:p>
    <w:p w14:paraId="41A92C99">
      <w:pPr>
        <w:pageBreakBefore w:val="0"/>
        <w:kinsoku/>
        <w:overflowPunct/>
        <w:topLinePunct w:val="0"/>
        <w:bidi w:val="0"/>
        <w:spacing w:line="360" w:lineRule="auto"/>
        <w:jc w:val="center"/>
        <w:rPr>
          <w:rFonts w:hint="eastAsia" w:ascii="宋体" w:hAnsi="宋体" w:eastAsia="宋体"/>
          <w:color w:val="auto"/>
          <w:sz w:val="24"/>
          <w:highlight w:val="none"/>
        </w:rPr>
      </w:pPr>
      <w:r>
        <w:rPr>
          <w:rFonts w:hint="eastAsia" w:ascii="宋体" w:hAnsi="宋体" w:eastAsia="宋体"/>
          <w:color w:val="auto"/>
          <w:sz w:val="24"/>
          <w:highlight w:val="none"/>
        </w:rPr>
        <w:t>工程质量保修书</w:t>
      </w:r>
    </w:p>
    <w:p w14:paraId="0EA33AC0">
      <w:pPr>
        <w:pageBreakBefore w:val="0"/>
        <w:kinsoku/>
        <w:overflowPunct/>
        <w:topLinePunct w:val="0"/>
        <w:bidi w:val="0"/>
        <w:spacing w:line="360" w:lineRule="auto"/>
        <w:ind w:firstLine="480"/>
        <w:rPr>
          <w:rFonts w:hint="eastAsia" w:ascii="宋体" w:hAnsi="宋体" w:eastAsia="宋体"/>
          <w:color w:val="auto"/>
          <w:sz w:val="24"/>
          <w:highlight w:val="none"/>
        </w:rPr>
      </w:pPr>
      <w:r>
        <w:rPr>
          <w:rFonts w:hint="eastAsia" w:ascii="宋体" w:hAnsi="宋体" w:eastAsia="宋体"/>
          <w:color w:val="auto"/>
          <w:sz w:val="24"/>
          <w:highlight w:val="none"/>
        </w:rPr>
        <w:t>发包人（全称）：</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 </w:t>
      </w:r>
    </w:p>
    <w:p w14:paraId="3E3730B6">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　　承包人（全称）：</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 </w:t>
      </w:r>
    </w:p>
    <w:p w14:paraId="7F352C40">
      <w:pPr>
        <w:pageBreakBefore w:val="0"/>
        <w:kinsoku/>
        <w:overflowPunct/>
        <w:topLinePunct w:val="0"/>
        <w:bidi w:val="0"/>
        <w:spacing w:line="360" w:lineRule="auto"/>
        <w:rPr>
          <w:rFonts w:hint="eastAsia" w:ascii="宋体" w:hAnsi="宋体" w:eastAsia="宋体"/>
          <w:color w:val="auto"/>
          <w:sz w:val="24"/>
          <w:highlight w:val="none"/>
        </w:rPr>
      </w:pPr>
    </w:p>
    <w:p w14:paraId="3611ED4B">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　　发包人和承包人根据《中华人民共和国建筑法》和《建设工程质量管理条例》，经协商一致就</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lang w:eastAsia="zh-CN"/>
        </w:rPr>
        <w:t>南宁市西乡塘区金腾小学学生宿舍楼标准化改造及地面硬化等工程</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（工程全称）签订工程质量保修书。</w:t>
      </w:r>
    </w:p>
    <w:p w14:paraId="468CD8E2">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　　一、工程质量保修范围和内容</w:t>
      </w:r>
    </w:p>
    <w:p w14:paraId="3F4E40F3">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　　承包人在质量保修期内，按照有关法律规定和合同约定，承担工程质量保修责任。</w:t>
      </w:r>
    </w:p>
    <w:p w14:paraId="41B847FA">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　　质量保修范围包括</w:t>
      </w:r>
      <w:r>
        <w:rPr>
          <w:rFonts w:hint="eastAsia" w:ascii="宋体" w:hAnsi="宋体"/>
          <w:color w:val="auto"/>
          <w:sz w:val="24"/>
          <w:highlight w:val="none"/>
          <w:u w:val="single"/>
          <w:lang w:eastAsia="zh-CN"/>
        </w:rPr>
        <w:t>南宁市西乡塘区金腾小学学生宿舍楼标准化改造及地面硬化等工程</w:t>
      </w:r>
      <w:r>
        <w:rPr>
          <w:rFonts w:hint="eastAsia" w:ascii="宋体" w:hAnsi="宋体" w:eastAsia="宋体"/>
          <w:color w:val="auto"/>
          <w:sz w:val="24"/>
          <w:highlight w:val="none"/>
        </w:rPr>
        <w:t>，以及双方约定的其他项目。具体保修的内容，双方约定如下：</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3501260B">
      <w:pPr>
        <w:pageBreakBefore w:val="0"/>
        <w:kinsoku/>
        <w:overflowPunct/>
        <w:topLinePunct w:val="0"/>
        <w:bidi w:val="0"/>
        <w:spacing w:line="360" w:lineRule="auto"/>
        <w:rPr>
          <w:rFonts w:hint="eastAsia" w:ascii="宋体" w:hAnsi="宋体" w:eastAsia="宋体"/>
          <w:b/>
          <w:color w:val="auto"/>
          <w:sz w:val="24"/>
          <w:highlight w:val="none"/>
        </w:rPr>
      </w:pPr>
      <w:r>
        <w:rPr>
          <w:rFonts w:hint="eastAsia" w:ascii="宋体" w:hAnsi="宋体" w:eastAsia="宋体"/>
          <w:b/>
          <w:color w:val="auto"/>
          <w:sz w:val="24"/>
          <w:highlight w:val="none"/>
        </w:rPr>
        <w:t>　　</w:t>
      </w:r>
      <w:r>
        <w:rPr>
          <w:rFonts w:hint="eastAsia" w:ascii="宋体" w:hAnsi="宋体" w:eastAsia="宋体"/>
          <w:color w:val="auto"/>
          <w:sz w:val="24"/>
          <w:highlight w:val="none"/>
        </w:rPr>
        <w:t>二、质量保修期</w:t>
      </w:r>
    </w:p>
    <w:p w14:paraId="0714CE0E">
      <w:pPr>
        <w:pageBreakBefore w:val="0"/>
        <w:kinsoku/>
        <w:overflowPunct/>
        <w:topLinePunct w:val="0"/>
        <w:bidi w:val="0"/>
        <w:spacing w:line="360" w:lineRule="auto"/>
        <w:ind w:firstLine="480"/>
        <w:rPr>
          <w:rFonts w:hint="eastAsia" w:ascii="宋体" w:hAnsi="宋体" w:eastAsia="宋体"/>
          <w:color w:val="auto"/>
          <w:sz w:val="24"/>
          <w:highlight w:val="none"/>
        </w:rPr>
      </w:pPr>
      <w:r>
        <w:rPr>
          <w:rFonts w:hint="eastAsia" w:ascii="宋体" w:hAnsi="宋体" w:eastAsia="宋体"/>
          <w:color w:val="auto"/>
          <w:sz w:val="24"/>
          <w:highlight w:val="none"/>
        </w:rPr>
        <w:t>根据《建设工程质量管理条例》及有关规定，工程的质量保修期如下：</w:t>
      </w:r>
    </w:p>
    <w:p w14:paraId="5E6A98C7">
      <w:pPr>
        <w:pageBreakBefore w:val="0"/>
        <w:kinsoku/>
        <w:overflowPunct/>
        <w:topLinePunct w:val="0"/>
        <w:bidi w:val="0"/>
        <w:spacing w:line="360" w:lineRule="auto"/>
        <w:ind w:firstLine="480"/>
        <w:rPr>
          <w:rFonts w:hint="eastAsia" w:ascii="宋体" w:hAnsi="宋体" w:eastAsia="宋体"/>
          <w:color w:val="auto"/>
          <w:sz w:val="24"/>
          <w:highlight w:val="none"/>
        </w:rPr>
      </w:pPr>
      <w:r>
        <w:rPr>
          <w:rFonts w:hint="eastAsia" w:ascii="宋体" w:hAnsi="宋体" w:eastAsia="宋体"/>
          <w:color w:val="auto"/>
          <w:sz w:val="24"/>
          <w:highlight w:val="none"/>
        </w:rPr>
        <w:t>1．地基基础工程和主体结构工程为设计文件规定的工程合理使用年限；</w:t>
      </w:r>
    </w:p>
    <w:p w14:paraId="4CC9DE55">
      <w:pPr>
        <w:pageBreakBefore w:val="0"/>
        <w:kinsoku/>
        <w:overflowPunct/>
        <w:topLinePunct w:val="0"/>
        <w:bidi w:val="0"/>
        <w:spacing w:line="360" w:lineRule="auto"/>
        <w:ind w:firstLine="480"/>
        <w:rPr>
          <w:rFonts w:hint="eastAsia" w:ascii="宋体" w:hAnsi="宋体" w:eastAsia="宋体"/>
          <w:color w:val="auto"/>
          <w:sz w:val="24"/>
          <w:highlight w:val="none"/>
        </w:rPr>
      </w:pPr>
      <w:r>
        <w:rPr>
          <w:rFonts w:hint="eastAsia" w:ascii="宋体" w:hAnsi="宋体" w:eastAsia="宋体"/>
          <w:color w:val="auto"/>
          <w:sz w:val="24"/>
          <w:highlight w:val="none"/>
        </w:rPr>
        <w:t>2．屋面防水工程、有防水要求的卫生间、房间和外墙面的防渗为</w:t>
      </w:r>
      <w:r>
        <w:rPr>
          <w:rFonts w:hint="eastAsia" w:ascii="宋体" w:hAnsi="宋体" w:eastAsia="宋体"/>
          <w:color w:val="auto"/>
          <w:sz w:val="24"/>
          <w:highlight w:val="none"/>
          <w:u w:val="single"/>
        </w:rPr>
        <w:t xml:space="preserve"> 5 </w:t>
      </w:r>
      <w:r>
        <w:rPr>
          <w:rFonts w:hint="eastAsia" w:ascii="宋体" w:hAnsi="宋体" w:eastAsia="宋体"/>
          <w:color w:val="auto"/>
          <w:sz w:val="24"/>
          <w:highlight w:val="none"/>
        </w:rPr>
        <w:t>年；</w:t>
      </w:r>
    </w:p>
    <w:p w14:paraId="18EBE702">
      <w:pPr>
        <w:pageBreakBefore w:val="0"/>
        <w:kinsoku/>
        <w:overflowPunct/>
        <w:topLinePunct w:val="0"/>
        <w:bidi w:val="0"/>
        <w:spacing w:line="360" w:lineRule="auto"/>
        <w:ind w:left="420" w:firstLine="120"/>
        <w:rPr>
          <w:rFonts w:hint="eastAsia" w:ascii="宋体" w:hAnsi="宋体" w:eastAsia="宋体"/>
          <w:color w:val="auto"/>
          <w:sz w:val="24"/>
          <w:highlight w:val="none"/>
        </w:rPr>
      </w:pPr>
      <w:r>
        <w:rPr>
          <w:rFonts w:hint="eastAsia" w:ascii="宋体" w:hAnsi="宋体" w:eastAsia="宋体"/>
          <w:color w:val="auto"/>
          <w:sz w:val="24"/>
          <w:highlight w:val="none"/>
        </w:rPr>
        <w:t>3．装修工程为</w:t>
      </w:r>
      <w:r>
        <w:rPr>
          <w:rFonts w:hint="eastAsia" w:ascii="宋体" w:hAnsi="宋体" w:eastAsia="宋体"/>
          <w:color w:val="auto"/>
          <w:sz w:val="24"/>
          <w:highlight w:val="none"/>
          <w:u w:val="single"/>
        </w:rPr>
        <w:t>2</w:t>
      </w:r>
      <w:r>
        <w:rPr>
          <w:rFonts w:hint="eastAsia" w:ascii="宋体" w:hAnsi="宋体" w:eastAsia="宋体"/>
          <w:color w:val="auto"/>
          <w:sz w:val="24"/>
          <w:highlight w:val="none"/>
        </w:rPr>
        <w:t>年；</w:t>
      </w:r>
    </w:p>
    <w:p w14:paraId="29BFD290">
      <w:pPr>
        <w:pageBreakBefore w:val="0"/>
        <w:kinsoku/>
        <w:overflowPunct/>
        <w:topLinePunct w:val="0"/>
        <w:bidi w:val="0"/>
        <w:spacing w:line="360" w:lineRule="auto"/>
        <w:ind w:left="420" w:firstLine="120"/>
        <w:rPr>
          <w:rFonts w:hint="eastAsia" w:ascii="宋体" w:hAnsi="宋体" w:eastAsia="宋体"/>
          <w:color w:val="auto"/>
          <w:sz w:val="24"/>
          <w:highlight w:val="none"/>
        </w:rPr>
      </w:pPr>
      <w:r>
        <w:rPr>
          <w:rFonts w:hint="eastAsia" w:ascii="宋体" w:hAnsi="宋体" w:eastAsia="宋体"/>
          <w:color w:val="auto"/>
          <w:sz w:val="24"/>
          <w:highlight w:val="none"/>
        </w:rPr>
        <w:t>4．电气管线、给排水管道、设备安装工程为</w:t>
      </w:r>
      <w:r>
        <w:rPr>
          <w:rFonts w:hint="eastAsia" w:ascii="宋体" w:hAnsi="宋体" w:eastAsia="宋体"/>
          <w:color w:val="auto"/>
          <w:sz w:val="24"/>
          <w:highlight w:val="none"/>
          <w:u w:val="single"/>
        </w:rPr>
        <w:t xml:space="preserve"> 2 </w:t>
      </w:r>
      <w:r>
        <w:rPr>
          <w:rFonts w:hint="eastAsia" w:ascii="宋体" w:hAnsi="宋体" w:eastAsia="宋体"/>
          <w:color w:val="auto"/>
          <w:sz w:val="24"/>
          <w:highlight w:val="none"/>
        </w:rPr>
        <w:t>年；</w:t>
      </w:r>
    </w:p>
    <w:p w14:paraId="288BF76E">
      <w:pPr>
        <w:pageBreakBefore w:val="0"/>
        <w:kinsoku/>
        <w:overflowPunct/>
        <w:topLinePunct w:val="0"/>
        <w:bidi w:val="0"/>
        <w:spacing w:line="360" w:lineRule="auto"/>
        <w:ind w:left="420" w:firstLine="120"/>
        <w:rPr>
          <w:rFonts w:hint="eastAsia" w:ascii="宋体" w:hAnsi="宋体" w:eastAsia="宋体"/>
          <w:color w:val="auto"/>
          <w:sz w:val="24"/>
          <w:highlight w:val="none"/>
        </w:rPr>
      </w:pPr>
      <w:r>
        <w:rPr>
          <w:rFonts w:hint="eastAsia" w:ascii="宋体" w:hAnsi="宋体" w:eastAsia="宋体"/>
          <w:color w:val="auto"/>
          <w:sz w:val="24"/>
          <w:highlight w:val="none"/>
        </w:rPr>
        <w:t>5．供热与供冷系统为</w:t>
      </w:r>
      <w:r>
        <w:rPr>
          <w:rFonts w:hint="eastAsia" w:ascii="宋体" w:hAnsi="宋体" w:eastAsia="宋体"/>
          <w:color w:val="auto"/>
          <w:sz w:val="24"/>
          <w:highlight w:val="none"/>
          <w:u w:val="single"/>
        </w:rPr>
        <w:t>2</w:t>
      </w:r>
      <w:r>
        <w:rPr>
          <w:rFonts w:hint="eastAsia" w:ascii="宋体" w:hAnsi="宋体" w:eastAsia="宋体"/>
          <w:color w:val="auto"/>
          <w:sz w:val="24"/>
          <w:highlight w:val="none"/>
        </w:rPr>
        <w:t>个采暖期、供冷期；</w:t>
      </w:r>
    </w:p>
    <w:p w14:paraId="5E35DEA5">
      <w:pPr>
        <w:pageBreakBefore w:val="0"/>
        <w:kinsoku/>
        <w:overflowPunct/>
        <w:topLinePunct w:val="0"/>
        <w:bidi w:val="0"/>
        <w:spacing w:line="360" w:lineRule="auto"/>
        <w:ind w:left="420" w:firstLine="120"/>
        <w:rPr>
          <w:rFonts w:hint="eastAsia" w:ascii="宋体" w:hAnsi="宋体" w:eastAsia="宋体"/>
          <w:color w:val="auto"/>
          <w:sz w:val="24"/>
          <w:highlight w:val="none"/>
        </w:rPr>
      </w:pPr>
      <w:r>
        <w:rPr>
          <w:rFonts w:hint="eastAsia" w:ascii="宋体" w:hAnsi="宋体" w:eastAsia="宋体"/>
          <w:color w:val="auto"/>
          <w:sz w:val="24"/>
          <w:highlight w:val="none"/>
        </w:rPr>
        <w:t>6．住宅小区内的给排水设施、道路等配套工程为</w:t>
      </w:r>
      <w:r>
        <w:rPr>
          <w:rFonts w:hint="eastAsia" w:ascii="宋体" w:hAnsi="宋体" w:eastAsia="宋体"/>
          <w:color w:val="auto"/>
          <w:sz w:val="24"/>
          <w:highlight w:val="none"/>
          <w:u w:val="single"/>
        </w:rPr>
        <w:t xml:space="preserve"> 2</w:t>
      </w:r>
      <w:r>
        <w:rPr>
          <w:rFonts w:hint="eastAsia" w:ascii="宋体" w:hAnsi="宋体" w:eastAsia="宋体"/>
          <w:color w:val="auto"/>
          <w:sz w:val="24"/>
          <w:highlight w:val="none"/>
        </w:rPr>
        <w:t>年；</w:t>
      </w:r>
    </w:p>
    <w:p w14:paraId="22EB95D6">
      <w:pPr>
        <w:pageBreakBefore w:val="0"/>
        <w:kinsoku/>
        <w:overflowPunct/>
        <w:topLinePunct w:val="0"/>
        <w:bidi w:val="0"/>
        <w:spacing w:line="360" w:lineRule="auto"/>
        <w:ind w:left="420" w:firstLine="120"/>
        <w:rPr>
          <w:rFonts w:hint="eastAsia" w:ascii="宋体" w:hAnsi="宋体" w:eastAsia="宋体"/>
          <w:color w:val="auto"/>
          <w:sz w:val="24"/>
          <w:highlight w:val="none"/>
        </w:rPr>
      </w:pPr>
      <w:r>
        <w:rPr>
          <w:rFonts w:hint="eastAsia" w:ascii="宋体" w:hAnsi="宋体" w:eastAsia="宋体"/>
          <w:color w:val="auto"/>
          <w:sz w:val="24"/>
          <w:highlight w:val="none"/>
        </w:rPr>
        <w:t>7. 运动场工程为</w:t>
      </w:r>
      <w:r>
        <w:rPr>
          <w:rFonts w:hint="eastAsia" w:ascii="宋体" w:hAnsi="宋体" w:eastAsia="宋体"/>
          <w:color w:val="auto"/>
          <w:sz w:val="24"/>
          <w:highlight w:val="none"/>
          <w:u w:val="single"/>
        </w:rPr>
        <w:t>2</w:t>
      </w:r>
      <w:r>
        <w:rPr>
          <w:rFonts w:hint="eastAsia" w:ascii="宋体" w:hAnsi="宋体" w:eastAsia="宋体"/>
          <w:color w:val="auto"/>
          <w:sz w:val="24"/>
          <w:highlight w:val="none"/>
        </w:rPr>
        <w:t>年；</w:t>
      </w:r>
    </w:p>
    <w:p w14:paraId="75C9CEB7">
      <w:pPr>
        <w:pageBreakBefore w:val="0"/>
        <w:kinsoku/>
        <w:overflowPunct/>
        <w:topLinePunct w:val="0"/>
        <w:bidi w:val="0"/>
        <w:spacing w:line="360" w:lineRule="auto"/>
        <w:ind w:left="420" w:firstLine="120"/>
        <w:rPr>
          <w:rFonts w:hint="eastAsia" w:ascii="宋体" w:hAnsi="宋体" w:eastAsia="宋体"/>
          <w:color w:val="auto"/>
          <w:sz w:val="24"/>
          <w:highlight w:val="none"/>
        </w:rPr>
      </w:pPr>
      <w:r>
        <w:rPr>
          <w:rFonts w:hint="eastAsia" w:ascii="宋体" w:hAnsi="宋体" w:eastAsia="宋体"/>
          <w:color w:val="auto"/>
          <w:sz w:val="24"/>
          <w:highlight w:val="none"/>
        </w:rPr>
        <w:t>8．其他项目保修期限约定如下：</w:t>
      </w:r>
      <w:r>
        <w:rPr>
          <w:rFonts w:hint="eastAsia" w:ascii="宋体" w:hAnsi="宋体" w:eastAsia="宋体"/>
          <w:color w:val="auto"/>
          <w:sz w:val="24"/>
          <w:highlight w:val="none"/>
          <w:u w:val="single"/>
        </w:rPr>
        <w:t xml:space="preserve"> 绿化工程部分绿化植株成活率要求达到98%以上  </w:t>
      </w:r>
    </w:p>
    <w:p w14:paraId="721A79A1">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质量保修期自工程竣工验收合格之日起计算。</w:t>
      </w:r>
    </w:p>
    <w:p w14:paraId="7EB6C909">
      <w:pPr>
        <w:pageBreakBefore w:val="0"/>
        <w:kinsoku/>
        <w:overflowPunct/>
        <w:topLinePunct w:val="0"/>
        <w:bidi w:val="0"/>
        <w:spacing w:line="360" w:lineRule="auto"/>
        <w:ind w:firstLine="480"/>
        <w:rPr>
          <w:rFonts w:hint="eastAsia" w:ascii="宋体" w:hAnsi="宋体" w:eastAsia="宋体"/>
          <w:color w:val="auto"/>
          <w:sz w:val="24"/>
          <w:highlight w:val="none"/>
        </w:rPr>
      </w:pPr>
      <w:r>
        <w:rPr>
          <w:rFonts w:hint="eastAsia" w:ascii="宋体" w:hAnsi="宋体" w:eastAsia="宋体"/>
          <w:color w:val="auto"/>
          <w:sz w:val="24"/>
          <w:highlight w:val="none"/>
        </w:rPr>
        <w:t>三、缺陷责任期</w:t>
      </w:r>
    </w:p>
    <w:p w14:paraId="00BE30C7">
      <w:pPr>
        <w:pageBreakBefore w:val="0"/>
        <w:kinsoku/>
        <w:overflowPunct/>
        <w:topLinePunct w:val="0"/>
        <w:bidi w:val="0"/>
        <w:spacing w:line="360" w:lineRule="auto"/>
        <w:ind w:firstLine="480"/>
        <w:rPr>
          <w:rFonts w:hint="eastAsia" w:ascii="宋体" w:hAnsi="宋体" w:eastAsia="宋体"/>
          <w:color w:val="auto"/>
          <w:sz w:val="24"/>
          <w:highlight w:val="none"/>
        </w:rPr>
      </w:pPr>
      <w:r>
        <w:rPr>
          <w:rFonts w:hint="eastAsia" w:ascii="宋体" w:hAnsi="宋体" w:eastAsia="宋体"/>
          <w:color w:val="auto"/>
          <w:sz w:val="24"/>
          <w:highlight w:val="none"/>
        </w:rPr>
        <w:t>工程缺陷责任期为</w:t>
      </w:r>
      <w:r>
        <w:rPr>
          <w:rFonts w:hint="eastAsia" w:ascii="宋体" w:hAnsi="宋体"/>
          <w:color w:val="auto"/>
          <w:sz w:val="24"/>
          <w:highlight w:val="none"/>
          <w:u w:val="single"/>
          <w:lang w:val="en-US" w:eastAsia="zh-CN"/>
        </w:rPr>
        <w:t>12</w:t>
      </w:r>
      <w:r>
        <w:rPr>
          <w:rFonts w:hint="eastAsia" w:ascii="宋体" w:hAnsi="宋体" w:eastAsia="宋体"/>
          <w:color w:val="auto"/>
          <w:sz w:val="24"/>
          <w:highlight w:val="none"/>
        </w:rPr>
        <w:t>个月，缺陷责任期自工程竣工验收合格之日起计算。单位工程先于全部工程进行验收，单位工程缺陷责任期自单位工程验收合格之日起算。</w:t>
      </w:r>
    </w:p>
    <w:p w14:paraId="2C1BC5F9">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 xml:space="preserve">    四、质量保修责任</w:t>
      </w:r>
    </w:p>
    <w:p w14:paraId="2831F7FD">
      <w:pPr>
        <w:pageBreakBefore w:val="0"/>
        <w:kinsoku/>
        <w:overflowPunct/>
        <w:topLinePunct w:val="0"/>
        <w:bidi w:val="0"/>
        <w:spacing w:line="360" w:lineRule="auto"/>
        <w:ind w:left="105" w:firstLine="492"/>
        <w:rPr>
          <w:rFonts w:hint="eastAsia" w:ascii="宋体" w:hAnsi="宋体" w:eastAsia="宋体"/>
          <w:color w:val="auto"/>
          <w:sz w:val="24"/>
          <w:highlight w:val="none"/>
        </w:rPr>
      </w:pPr>
      <w:r>
        <w:rPr>
          <w:rFonts w:hint="eastAsia" w:ascii="宋体" w:hAnsi="宋体" w:eastAsia="宋体"/>
          <w:color w:val="auto"/>
          <w:sz w:val="24"/>
          <w:highlight w:val="none"/>
        </w:rPr>
        <w:t>1．属于保修范围、内容的项目，承包人应当在接到保修通知之日起7天内派人保修。承包人不在约定期限内派人保修的，发包人可以委托他人修理。</w:t>
      </w:r>
    </w:p>
    <w:p w14:paraId="594DCA52">
      <w:pPr>
        <w:pageBreakBefore w:val="0"/>
        <w:kinsoku/>
        <w:overflowPunct/>
        <w:topLinePunct w:val="0"/>
        <w:bidi w:val="0"/>
        <w:spacing w:line="360" w:lineRule="auto"/>
        <w:ind w:left="105" w:firstLine="492"/>
        <w:rPr>
          <w:rFonts w:hint="eastAsia" w:ascii="宋体" w:hAnsi="宋体" w:eastAsia="宋体"/>
          <w:color w:val="auto"/>
          <w:sz w:val="24"/>
          <w:highlight w:val="none"/>
        </w:rPr>
      </w:pPr>
      <w:r>
        <w:rPr>
          <w:rFonts w:hint="eastAsia" w:ascii="宋体" w:hAnsi="宋体" w:eastAsia="宋体"/>
          <w:color w:val="auto"/>
          <w:sz w:val="24"/>
          <w:highlight w:val="none"/>
        </w:rPr>
        <w:t>2．发生紧急事故需抢修的，承包人在接到事故通知后，应当立即到达事故现场抢修。</w:t>
      </w:r>
    </w:p>
    <w:p w14:paraId="12ADC569">
      <w:pPr>
        <w:pageBreakBefore w:val="0"/>
        <w:kinsoku/>
        <w:overflowPunct/>
        <w:topLinePunct w:val="0"/>
        <w:bidi w:val="0"/>
        <w:spacing w:line="360" w:lineRule="auto"/>
        <w:ind w:left="105" w:firstLine="492"/>
        <w:rPr>
          <w:rFonts w:hint="eastAsia" w:ascii="宋体" w:hAnsi="宋体" w:eastAsia="宋体"/>
          <w:color w:val="auto"/>
          <w:sz w:val="24"/>
          <w:highlight w:val="none"/>
        </w:rPr>
      </w:pPr>
      <w:r>
        <w:rPr>
          <w:rFonts w:hint="eastAsia" w:ascii="宋体" w:hAnsi="宋体" w:eastAsia="宋体"/>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B4033F2">
      <w:pPr>
        <w:pageBreakBefore w:val="0"/>
        <w:kinsoku/>
        <w:overflowPunct/>
        <w:topLinePunct w:val="0"/>
        <w:bidi w:val="0"/>
        <w:spacing w:line="360" w:lineRule="auto"/>
        <w:ind w:left="420" w:firstLine="120"/>
        <w:rPr>
          <w:rFonts w:hint="eastAsia" w:ascii="宋体" w:hAnsi="宋体" w:eastAsia="宋体"/>
          <w:color w:val="auto"/>
          <w:sz w:val="24"/>
          <w:highlight w:val="none"/>
        </w:rPr>
      </w:pPr>
      <w:r>
        <w:rPr>
          <w:rFonts w:hint="eastAsia" w:ascii="宋体" w:hAnsi="宋体" w:eastAsia="宋体"/>
          <w:color w:val="auto"/>
          <w:sz w:val="24"/>
          <w:highlight w:val="none"/>
        </w:rPr>
        <w:t>4．质量保修完成后，由发包人组织验收。</w:t>
      </w:r>
    </w:p>
    <w:p w14:paraId="76D570D7">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　　五、保修费用</w:t>
      </w:r>
    </w:p>
    <w:p w14:paraId="7E52D7A6">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　　保修费用由造成质量缺陷的责任方承担。</w:t>
      </w:r>
    </w:p>
    <w:p w14:paraId="2A1AD19A">
      <w:pPr>
        <w:pageBreakBefore w:val="0"/>
        <w:kinsoku/>
        <w:overflowPunct/>
        <w:topLinePunct w:val="0"/>
        <w:bidi w:val="0"/>
        <w:spacing w:line="360" w:lineRule="auto"/>
        <w:ind w:firstLine="600"/>
        <w:jc w:val="left"/>
        <w:rPr>
          <w:rFonts w:hint="eastAsia" w:ascii="宋体" w:hAnsi="宋体" w:eastAsia="宋体"/>
          <w:color w:val="auto"/>
          <w:sz w:val="24"/>
          <w:highlight w:val="none"/>
          <w:u w:val="single"/>
        </w:rPr>
      </w:pPr>
      <w:r>
        <w:rPr>
          <w:rFonts w:hint="eastAsia" w:ascii="宋体" w:hAnsi="宋体" w:eastAsia="宋体"/>
          <w:b/>
          <w:color w:val="auto"/>
          <w:sz w:val="24"/>
          <w:highlight w:val="none"/>
        </w:rPr>
        <w:t>六</w:t>
      </w:r>
      <w:r>
        <w:rPr>
          <w:rFonts w:hint="eastAsia" w:ascii="宋体" w:hAnsi="宋体" w:eastAsia="宋体"/>
          <w:color w:val="auto"/>
          <w:sz w:val="24"/>
          <w:highlight w:val="none"/>
        </w:rPr>
        <w:t>、双方约定的其他工程质量保修事项：</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3E8F4DF9">
      <w:pPr>
        <w:pageBreakBefore w:val="0"/>
        <w:kinsoku/>
        <w:overflowPunct/>
        <w:topLinePunct w:val="0"/>
        <w:bidi w:val="0"/>
        <w:spacing w:line="360" w:lineRule="auto"/>
        <w:ind w:firstLine="456"/>
        <w:rPr>
          <w:rFonts w:hint="eastAsia" w:ascii="宋体" w:hAnsi="宋体" w:eastAsia="宋体"/>
          <w:color w:val="auto"/>
          <w:sz w:val="24"/>
          <w:highlight w:val="none"/>
        </w:rPr>
      </w:pPr>
      <w:r>
        <w:rPr>
          <w:rFonts w:hint="eastAsia" w:ascii="宋体" w:hAnsi="宋体" w:eastAsia="宋体"/>
          <w:color w:val="auto"/>
          <w:sz w:val="24"/>
          <w:highlight w:val="none"/>
        </w:rPr>
        <w:t>工程质量保修书由发包人、承包人在工程竣工验收前共同签署，作为施工合同附件，其有效期限至保修期满。</w:t>
      </w:r>
    </w:p>
    <w:p w14:paraId="0848D4F6">
      <w:pPr>
        <w:pageBreakBefore w:val="0"/>
        <w:kinsoku/>
        <w:overflowPunct/>
        <w:topLinePunct w:val="0"/>
        <w:bidi w:val="0"/>
        <w:spacing w:line="360" w:lineRule="auto"/>
        <w:ind w:firstLine="420"/>
        <w:rPr>
          <w:rFonts w:hint="eastAsia" w:ascii="宋体" w:hAnsi="宋体" w:eastAsia="宋体"/>
          <w:color w:val="auto"/>
          <w:sz w:val="24"/>
          <w:highlight w:val="none"/>
        </w:rPr>
      </w:pPr>
    </w:p>
    <w:p w14:paraId="6C4EE077">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发包人(公章)：</w:t>
      </w:r>
      <w:r>
        <w:rPr>
          <w:rFonts w:hint="eastAsia" w:ascii="宋体" w:hAnsi="宋体" w:eastAsia="宋体"/>
          <w:color w:val="auto"/>
          <w:sz w:val="24"/>
          <w:highlight w:val="none"/>
          <w:u w:val="single"/>
        </w:rPr>
        <w:t xml:space="preserve">        </w:t>
      </w:r>
      <w:r>
        <w:rPr>
          <w:rFonts w:hint="eastAsia" w:ascii="宋体" w:hAnsi="宋体" w:eastAsia="宋体"/>
          <w:color w:val="auto"/>
          <w:sz w:val="24"/>
          <w:highlight w:val="none"/>
        </w:rPr>
        <w:t xml:space="preserve">          承包人(公章)：</w:t>
      </w:r>
      <w:r>
        <w:rPr>
          <w:rFonts w:hint="eastAsia" w:ascii="宋体" w:hAnsi="宋体" w:eastAsia="宋体"/>
          <w:color w:val="auto"/>
          <w:sz w:val="24"/>
          <w:highlight w:val="none"/>
          <w:u w:val="single"/>
        </w:rPr>
        <w:t xml:space="preserve">           </w:t>
      </w:r>
    </w:p>
    <w:p w14:paraId="4CB81003">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地  址：</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                 地  址：</w:t>
      </w:r>
      <w:r>
        <w:rPr>
          <w:rFonts w:hint="eastAsia" w:ascii="宋体" w:hAnsi="宋体" w:eastAsia="宋体"/>
          <w:color w:val="auto"/>
          <w:sz w:val="24"/>
          <w:highlight w:val="none"/>
          <w:u w:val="single"/>
        </w:rPr>
        <w:t xml:space="preserve">       </w:t>
      </w:r>
    </w:p>
    <w:p w14:paraId="2E2A0A16">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法定代表人(签字)：</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          法定代表人(签字)：</w:t>
      </w:r>
      <w:r>
        <w:rPr>
          <w:rFonts w:hint="eastAsia" w:ascii="宋体" w:hAnsi="宋体" w:eastAsia="宋体"/>
          <w:color w:val="auto"/>
          <w:sz w:val="24"/>
          <w:highlight w:val="none"/>
          <w:u w:val="single"/>
        </w:rPr>
        <w:t xml:space="preserve">       </w:t>
      </w:r>
    </w:p>
    <w:p w14:paraId="0DE9BF11">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委托代理人(签字)：</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          委托代理人(签字)：</w:t>
      </w:r>
      <w:r>
        <w:rPr>
          <w:rFonts w:hint="eastAsia" w:ascii="宋体" w:hAnsi="宋体" w:eastAsia="宋体"/>
          <w:color w:val="auto"/>
          <w:sz w:val="24"/>
          <w:highlight w:val="none"/>
          <w:u w:val="single"/>
        </w:rPr>
        <w:t xml:space="preserve">       </w:t>
      </w:r>
    </w:p>
    <w:p w14:paraId="6013CFAA">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电  话：</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         电  话：</w:t>
      </w:r>
      <w:r>
        <w:rPr>
          <w:rFonts w:hint="eastAsia" w:ascii="宋体" w:hAnsi="宋体" w:eastAsia="宋体"/>
          <w:color w:val="auto"/>
          <w:sz w:val="24"/>
          <w:highlight w:val="none"/>
          <w:u w:val="single"/>
        </w:rPr>
        <w:t xml:space="preserve">     </w:t>
      </w:r>
    </w:p>
    <w:p w14:paraId="67F73137">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传  真：</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           传  真：</w:t>
      </w:r>
      <w:r>
        <w:rPr>
          <w:rFonts w:hint="eastAsia" w:ascii="宋体" w:hAnsi="宋体" w:eastAsia="宋体"/>
          <w:color w:val="auto"/>
          <w:sz w:val="24"/>
          <w:highlight w:val="none"/>
          <w:u w:val="single"/>
        </w:rPr>
        <w:t xml:space="preserve">     </w:t>
      </w:r>
    </w:p>
    <w:p w14:paraId="68BBF22A">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开户银行：</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       开户银行：</w:t>
      </w:r>
      <w:r>
        <w:rPr>
          <w:rFonts w:hint="eastAsia" w:ascii="宋体" w:hAnsi="宋体" w:eastAsia="宋体"/>
          <w:color w:val="auto"/>
          <w:sz w:val="24"/>
          <w:highlight w:val="none"/>
          <w:u w:val="single"/>
        </w:rPr>
        <w:t xml:space="preserve">   </w:t>
      </w:r>
    </w:p>
    <w:p w14:paraId="0A8A8A5D">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账  号：</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       账  号：</w:t>
      </w:r>
      <w:r>
        <w:rPr>
          <w:rFonts w:hint="eastAsia" w:ascii="宋体" w:hAnsi="宋体" w:eastAsia="宋体"/>
          <w:color w:val="auto"/>
          <w:sz w:val="24"/>
          <w:highlight w:val="none"/>
          <w:u w:val="single"/>
        </w:rPr>
        <w:t xml:space="preserve">     </w:t>
      </w:r>
    </w:p>
    <w:p w14:paraId="4719B01B">
      <w:pPr>
        <w:rPr>
          <w:rFonts w:hint="eastAsia"/>
          <w:color w:val="auto"/>
          <w:highlight w:val="none"/>
        </w:rPr>
        <w:sectPr>
          <w:pgSz w:w="11907" w:h="16840"/>
          <w:pgMar w:top="1247" w:right="964" w:bottom="1134" w:left="964" w:header="851" w:footer="1077" w:gutter="0"/>
          <w:cols w:space="720" w:num="1"/>
          <w:titlePg/>
        </w:sectPr>
      </w:pPr>
      <w:r>
        <w:rPr>
          <w:rFonts w:hint="eastAsia" w:ascii="宋体" w:hAnsi="宋体" w:eastAsia="宋体"/>
          <w:color w:val="auto"/>
          <w:sz w:val="24"/>
          <w:highlight w:val="none"/>
        </w:rPr>
        <w:t>邮政编码：</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             邮政编码：</w:t>
      </w:r>
      <w:r>
        <w:rPr>
          <w:rFonts w:hint="eastAsia" w:ascii="宋体" w:hAnsi="宋体" w:eastAsia="宋体"/>
          <w:color w:val="auto"/>
          <w:sz w:val="24"/>
          <w:highlight w:val="none"/>
          <w:u w:val="single"/>
        </w:rPr>
        <w:t xml:space="preserve">   </w:t>
      </w:r>
      <w:r>
        <w:rPr>
          <w:rFonts w:hint="eastAsia" w:ascii="宋体" w:hAnsi="宋体" w:eastAsia="宋体" w:cs="宋体"/>
          <w:color w:val="auto"/>
          <w:highlight w:val="none"/>
        </w:rPr>
        <w:br w:type="page"/>
      </w:r>
    </w:p>
    <w:p w14:paraId="1C711869">
      <w:pPr>
        <w:pStyle w:val="2"/>
        <w:jc w:val="center"/>
        <w:rPr>
          <w:rFonts w:hint="default" w:eastAsia="宋体"/>
          <w:color w:val="auto"/>
          <w:highlight w:val="none"/>
          <w:lang w:val="en-US" w:eastAsia="zh-CN"/>
        </w:rPr>
      </w:pPr>
      <w:bookmarkStart w:id="999" w:name="_Toc13697"/>
      <w:bookmarkStart w:id="1000" w:name="_Toc23153"/>
      <w:r>
        <w:rPr>
          <w:rFonts w:hint="eastAsia" w:ascii="宋体" w:hAnsi="宋体" w:eastAsia="宋体" w:cs="宋体"/>
          <w:color w:val="auto"/>
          <w:highlight w:val="none"/>
        </w:rPr>
        <w:t xml:space="preserve">第七章 </w:t>
      </w:r>
      <w:r>
        <w:rPr>
          <w:rFonts w:hint="eastAsia" w:ascii="宋体" w:hAnsi="宋体" w:eastAsia="宋体" w:cs="宋体"/>
          <w:color w:val="auto"/>
          <w:highlight w:val="none"/>
          <w:lang w:val="en-US" w:eastAsia="zh-CN"/>
        </w:rPr>
        <w:t>工程量清单（另册）</w:t>
      </w:r>
      <w:bookmarkEnd w:id="999"/>
      <w:bookmarkEnd w:id="1000"/>
    </w:p>
    <w:p w14:paraId="2B3BBE7B">
      <w:pPr>
        <w:tabs>
          <w:tab w:val="left" w:pos="3261"/>
        </w:tabs>
        <w:spacing w:line="360" w:lineRule="auto"/>
        <w:contextualSpacing/>
        <w:jc w:val="center"/>
        <w:rPr>
          <w:rFonts w:hint="eastAsia" w:ascii="宋体" w:hAnsi="宋体" w:eastAsia="宋体" w:cs="宋体"/>
          <w:b/>
          <w:color w:val="auto"/>
          <w:sz w:val="44"/>
          <w:szCs w:val="44"/>
          <w:highlight w:val="none"/>
        </w:rPr>
        <w:sectPr>
          <w:headerReference r:id="rId12" w:type="default"/>
          <w:footerReference r:id="rId13"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F0FBDE6">
      <w:pPr>
        <w:pStyle w:val="2"/>
        <w:jc w:val="center"/>
        <w:rPr>
          <w:rFonts w:hint="eastAsia"/>
          <w:color w:val="auto"/>
          <w:highlight w:val="none"/>
        </w:rPr>
      </w:pPr>
      <w:bookmarkStart w:id="1001" w:name="_Toc948"/>
      <w:bookmarkStart w:id="1002" w:name="_Toc6522"/>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 xml:space="preserve">章 </w:t>
      </w:r>
      <w:r>
        <w:rPr>
          <w:rFonts w:hint="eastAsia" w:ascii="宋体" w:hAnsi="宋体" w:eastAsia="宋体" w:cs="宋体"/>
          <w:color w:val="auto"/>
          <w:highlight w:val="none"/>
          <w:lang w:val="en-US" w:eastAsia="zh-CN"/>
        </w:rPr>
        <w:t>图纸（另册）</w:t>
      </w:r>
      <w:bookmarkEnd w:id="1001"/>
      <w:bookmarkEnd w:id="1002"/>
    </w:p>
    <w:p w14:paraId="53818341">
      <w:pPr>
        <w:pStyle w:val="20"/>
        <w:rPr>
          <w:rFonts w:hint="eastAsia"/>
          <w:color w:val="auto"/>
          <w:highlight w:val="none"/>
        </w:rPr>
      </w:pPr>
    </w:p>
    <w:p w14:paraId="4B1A07F6">
      <w:pPr>
        <w:rPr>
          <w:rFonts w:hint="eastAsia"/>
          <w:color w:val="auto"/>
          <w:highlight w:val="none"/>
        </w:rPr>
      </w:pPr>
    </w:p>
    <w:p w14:paraId="1667A19D">
      <w:pPr>
        <w:pStyle w:val="20"/>
        <w:rPr>
          <w:rFonts w:hint="eastAsia"/>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6785B1EB">
      <w:pPr>
        <w:pStyle w:val="2"/>
        <w:spacing w:line="360" w:lineRule="auto"/>
        <w:jc w:val="center"/>
        <w:rPr>
          <w:rFonts w:hint="eastAsia" w:ascii="宋体" w:hAnsi="宋体" w:eastAsia="宋体" w:cs="宋体"/>
          <w:b/>
          <w:bCs/>
          <w:color w:val="auto"/>
          <w:highlight w:val="none"/>
          <w:lang w:val="en-US"/>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bookmarkStart w:id="1003" w:name="_Toc11110"/>
      <w:bookmarkStart w:id="1004" w:name="_Toc5640"/>
      <w:bookmarkStart w:id="1005" w:name="_Toc24083"/>
      <w:r>
        <w:rPr>
          <w:rFonts w:hint="eastAsia" w:ascii="宋体" w:hAnsi="宋体" w:eastAsia="宋体" w:cs="宋体"/>
          <w:b/>
          <w:bCs/>
          <w:color w:val="auto"/>
          <w:highlight w:val="none"/>
        </w:rPr>
        <w:t>第</w:t>
      </w:r>
      <w:r>
        <w:rPr>
          <w:rFonts w:hint="eastAsia" w:ascii="宋体" w:hAnsi="宋体" w:eastAsia="宋体" w:cs="宋体"/>
          <w:b/>
          <w:bCs/>
          <w:color w:val="auto"/>
          <w:highlight w:val="none"/>
          <w:lang w:val="en-US" w:eastAsia="zh-CN"/>
        </w:rPr>
        <w:t>九</w:t>
      </w:r>
      <w:r>
        <w:rPr>
          <w:rFonts w:hint="eastAsia" w:ascii="宋体" w:hAnsi="宋体" w:eastAsia="宋体" w:cs="宋体"/>
          <w:b/>
          <w:bCs/>
          <w:color w:val="auto"/>
          <w:highlight w:val="none"/>
        </w:rPr>
        <w:t>章 质疑、投诉材料格式</w:t>
      </w:r>
      <w:bookmarkEnd w:id="1003"/>
      <w:bookmarkEnd w:id="1004"/>
      <w:bookmarkEnd w:id="1005"/>
    </w:p>
    <w:p w14:paraId="30F1F054">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0FFA5283">
      <w:pPr>
        <w:pStyle w:val="14"/>
        <w:spacing w:line="360" w:lineRule="auto"/>
        <w:ind w:firstLine="482" w:firstLineChars="200"/>
        <w:contextualSpacing/>
        <w:rPr>
          <w:rFonts w:hint="eastAsia" w:ascii="宋体" w:hAnsi="宋体" w:eastAsia="宋体" w:cs="宋体"/>
          <w:b/>
          <w:bCs/>
          <w:color w:val="auto"/>
          <w:sz w:val="24"/>
          <w:szCs w:val="24"/>
          <w:highlight w:val="none"/>
        </w:rPr>
      </w:pPr>
    </w:p>
    <w:p w14:paraId="251FB43B">
      <w:pPr>
        <w:pStyle w:val="14"/>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2E5C95F7">
      <w:pPr>
        <w:pStyle w:val="14"/>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A729228">
      <w:pPr>
        <w:pStyle w:val="14"/>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C6E4D97">
      <w:pPr>
        <w:pStyle w:val="14"/>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A138906">
      <w:pPr>
        <w:pStyle w:val="14"/>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4AF73BD5">
      <w:pPr>
        <w:pStyle w:val="14"/>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6C8BA53E">
      <w:pPr>
        <w:pStyle w:val="14"/>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C0924F0">
      <w:pPr>
        <w:pStyle w:val="14"/>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5BDDBB31">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21E2D3E5">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7C0EC7FD">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514A4FE0">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26797A75">
      <w:pPr>
        <w:pStyle w:val="14"/>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1BFFBC23">
      <w:pPr>
        <w:pStyle w:val="14"/>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14052AE2">
      <w:pPr>
        <w:pStyle w:val="14"/>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332A7A57">
      <w:pPr>
        <w:pStyle w:val="14"/>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15372E4D">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27DCD72A">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04F3D9F5">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4CC9784E">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55336DCE">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881F3BD">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25C9504E">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4CA98040">
      <w:pPr>
        <w:pStyle w:val="14"/>
        <w:spacing w:line="360" w:lineRule="auto"/>
        <w:ind w:left="25" w:leftChars="12" w:firstLine="352" w:firstLineChars="147"/>
        <w:contextualSpacing/>
        <w:rPr>
          <w:rFonts w:hint="eastAsia" w:ascii="宋体" w:hAnsi="宋体" w:eastAsia="宋体" w:cs="宋体"/>
          <w:color w:val="auto"/>
          <w:sz w:val="24"/>
          <w:szCs w:val="24"/>
          <w:highlight w:val="none"/>
        </w:rPr>
      </w:pPr>
    </w:p>
    <w:p w14:paraId="1903A9EC">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15620DA9">
      <w:pPr>
        <w:pStyle w:val="14"/>
        <w:spacing w:line="360" w:lineRule="auto"/>
        <w:ind w:left="25" w:leftChars="12" w:firstLine="352" w:firstLineChars="147"/>
        <w:contextualSpacing/>
        <w:rPr>
          <w:rFonts w:hint="eastAsia" w:ascii="宋体" w:hAnsi="宋体" w:eastAsia="宋体" w:cs="宋体"/>
          <w:color w:val="auto"/>
          <w:sz w:val="24"/>
          <w:szCs w:val="24"/>
          <w:highlight w:val="none"/>
        </w:rPr>
      </w:pPr>
    </w:p>
    <w:p w14:paraId="68C64144">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3162C721">
      <w:pPr>
        <w:pStyle w:val="14"/>
        <w:spacing w:line="360" w:lineRule="auto"/>
        <w:contextualSpacing/>
        <w:rPr>
          <w:rFonts w:hint="eastAsia" w:ascii="宋体" w:hAnsi="宋体" w:eastAsia="宋体" w:cs="宋体"/>
          <w:b/>
          <w:color w:val="auto"/>
          <w:sz w:val="24"/>
          <w:szCs w:val="24"/>
          <w:highlight w:val="none"/>
          <w:lang w:eastAsia="zh-CN"/>
        </w:rPr>
      </w:pPr>
    </w:p>
    <w:p w14:paraId="219CFAB6">
      <w:pPr>
        <w:pStyle w:val="14"/>
        <w:spacing w:line="360" w:lineRule="auto"/>
        <w:contextualSpacing/>
        <w:rPr>
          <w:rFonts w:hint="eastAsia" w:ascii="宋体" w:hAnsi="宋体" w:eastAsia="宋体" w:cs="宋体"/>
          <w:b/>
          <w:color w:val="auto"/>
          <w:sz w:val="24"/>
          <w:szCs w:val="24"/>
          <w:highlight w:val="none"/>
          <w:lang w:eastAsia="zh-CN"/>
        </w:rPr>
      </w:pPr>
    </w:p>
    <w:p w14:paraId="0D143A92">
      <w:pPr>
        <w:pStyle w:val="14"/>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44258A6A">
      <w:pPr>
        <w:pStyle w:val="14"/>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2B88905C">
      <w:pPr>
        <w:pStyle w:val="14"/>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3B0F91F">
      <w:pPr>
        <w:pStyle w:val="14"/>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57552A72">
      <w:pPr>
        <w:pStyle w:val="14"/>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726506A9">
      <w:pPr>
        <w:pStyle w:val="14"/>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54C3B30C">
      <w:pPr>
        <w:pStyle w:val="14"/>
        <w:snapToGrid w:val="0"/>
        <w:spacing w:line="360" w:lineRule="auto"/>
        <w:rPr>
          <w:rFonts w:hint="eastAsia" w:ascii="宋体" w:hAnsi="宋体" w:eastAsia="宋体" w:cs="宋体"/>
          <w:b/>
          <w:color w:val="auto"/>
          <w:sz w:val="24"/>
          <w:szCs w:val="24"/>
          <w:highlight w:val="none"/>
        </w:rPr>
      </w:pPr>
    </w:p>
    <w:p w14:paraId="34EAE11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44"/>
          <w:highlight w:val="none"/>
        </w:rPr>
        <w:br w:type="page"/>
      </w:r>
      <w:r>
        <w:rPr>
          <w:rFonts w:hint="eastAsia" w:ascii="宋体" w:hAnsi="宋体" w:eastAsia="宋体" w:cs="宋体"/>
          <w:b/>
          <w:bCs/>
          <w:color w:val="auto"/>
          <w:sz w:val="32"/>
          <w:szCs w:val="32"/>
          <w:highlight w:val="none"/>
        </w:rPr>
        <w:t>投诉书（格式）</w:t>
      </w:r>
    </w:p>
    <w:p w14:paraId="6A170D9A">
      <w:pPr>
        <w:pStyle w:val="14"/>
        <w:snapToGrid w:val="0"/>
        <w:spacing w:line="360" w:lineRule="auto"/>
        <w:ind w:firstLine="482" w:firstLineChars="200"/>
        <w:rPr>
          <w:rFonts w:hint="eastAsia" w:ascii="宋体" w:hAnsi="宋体" w:eastAsia="宋体" w:cs="宋体"/>
          <w:b/>
          <w:bCs/>
          <w:color w:val="auto"/>
          <w:sz w:val="24"/>
          <w:szCs w:val="24"/>
          <w:highlight w:val="none"/>
        </w:rPr>
      </w:pPr>
    </w:p>
    <w:p w14:paraId="6ACFC03F">
      <w:pPr>
        <w:pStyle w:val="14"/>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40CDF88B">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84DFC3D">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F5F19D0">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1FEDA968">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415E83C">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0436A0EE">
      <w:pPr>
        <w:pStyle w:val="14"/>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3A6827AF">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8E8F9A1">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644217EF">
      <w:pPr>
        <w:pStyle w:val="14"/>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606F4661">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2B5BB12">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691B02FB">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0A8BC7B8">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3AC58FF3">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03D82DB2">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773A9DBC">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15EBE8E">
      <w:pPr>
        <w:pStyle w:val="14"/>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6D53940C">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5590F778">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1B8BECBB">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7D09042D">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77F8AEBC">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573989B5">
      <w:pPr>
        <w:pStyle w:val="14"/>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23025663">
      <w:pPr>
        <w:pStyle w:val="14"/>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6F967525">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3F9EB249">
      <w:pPr>
        <w:pStyle w:val="14"/>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3ADCEC4F">
      <w:pPr>
        <w:pStyle w:val="14"/>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3A6123C">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4A8EF7A0">
      <w:pPr>
        <w:pStyle w:val="14"/>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55ADE45C">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0FC36BE4">
      <w:pPr>
        <w:pStyle w:val="14"/>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3A350F3">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4BE0A06D">
      <w:pPr>
        <w:pStyle w:val="14"/>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75E0CFBE">
      <w:pPr>
        <w:pStyle w:val="14"/>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07CBE06">
      <w:pPr>
        <w:pStyle w:val="14"/>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3001CBA6">
      <w:pPr>
        <w:pStyle w:val="14"/>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55ECDDCA">
      <w:pPr>
        <w:pStyle w:val="14"/>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67DD83C2">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1D71F1F1">
      <w:pPr>
        <w:pStyle w:val="14"/>
        <w:spacing w:line="360" w:lineRule="auto"/>
        <w:ind w:left="25" w:leftChars="12" w:firstLine="352" w:firstLineChars="147"/>
        <w:rPr>
          <w:rFonts w:hint="eastAsia" w:ascii="宋体" w:hAnsi="宋体" w:eastAsia="宋体" w:cs="宋体"/>
          <w:color w:val="auto"/>
          <w:sz w:val="24"/>
          <w:szCs w:val="24"/>
          <w:highlight w:val="none"/>
        </w:rPr>
      </w:pPr>
    </w:p>
    <w:p w14:paraId="2567A3F3">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035FECBE">
      <w:pPr>
        <w:pStyle w:val="14"/>
        <w:spacing w:line="360" w:lineRule="auto"/>
        <w:ind w:left="25" w:leftChars="12" w:firstLine="352" w:firstLineChars="147"/>
        <w:rPr>
          <w:rFonts w:hint="eastAsia" w:ascii="宋体" w:hAnsi="宋体" w:eastAsia="宋体" w:cs="宋体"/>
          <w:color w:val="auto"/>
          <w:sz w:val="24"/>
          <w:szCs w:val="24"/>
          <w:highlight w:val="none"/>
        </w:rPr>
      </w:pPr>
    </w:p>
    <w:p w14:paraId="0EBD93A7">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7B2A0809">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30388A26">
      <w:pPr>
        <w:pStyle w:val="14"/>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57AA406E">
      <w:pPr>
        <w:pStyle w:val="14"/>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31912C21">
      <w:pPr>
        <w:pStyle w:val="1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2B0BCC5">
      <w:pPr>
        <w:pStyle w:val="1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79B86447">
      <w:pPr>
        <w:pStyle w:val="1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25444219">
      <w:pPr>
        <w:pStyle w:val="1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629C9059">
      <w:pPr>
        <w:pStyle w:val="14"/>
        <w:spacing w:line="360" w:lineRule="auto"/>
        <w:ind w:left="25" w:leftChars="12" w:firstLine="354" w:firstLineChars="147"/>
        <w:rPr>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4EAC95BE">
      <w:pPr>
        <w:rPr>
          <w:rFonts w:hint="eastAsia"/>
          <w:color w:val="auto"/>
          <w:highlight w:val="none"/>
        </w:rPr>
      </w:pPr>
    </w:p>
    <w:p w14:paraId="4017560C">
      <w:pPr>
        <w:rPr>
          <w:rFonts w:hint="eastAsia"/>
          <w:color w:val="auto"/>
          <w:highlight w:val="none"/>
        </w:rPr>
      </w:pPr>
    </w:p>
    <w:p w14:paraId="18683CDC">
      <w:pPr>
        <w:rPr>
          <w:color w:val="auto"/>
          <w:highlight w:val="none"/>
        </w:rPr>
      </w:pPr>
    </w:p>
    <w:sectPr>
      <w:footerReference r:id="rId16" w:type="first"/>
      <w:headerReference r:id="rId14" w:type="default"/>
      <w:footerReference r:id="rId15"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A4DBE">
    <w:pPr>
      <w:pStyle w:val="16"/>
      <w:tabs>
        <w:tab w:val="center" w:pos="4439"/>
        <w:tab w:val="clear" w:pos="4153"/>
      </w:tabs>
      <w:jc w:val="both"/>
    </w:pPr>
  </w:p>
  <w:p w14:paraId="0E9A8616">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53134">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E00CE6">
                          <w:pPr>
                            <w:pStyle w:val="16"/>
                            <w:jc w:val="center"/>
                          </w:pPr>
                          <w:r>
                            <w:fldChar w:fldCharType="begin"/>
                          </w:r>
                          <w:r>
                            <w:instrText xml:space="preserve"> PAGE  \* MERGEFORMAT </w:instrText>
                          </w:r>
                          <w:r>
                            <w:fldChar w:fldCharType="separate"/>
                          </w:r>
                          <w:r>
                            <w:t>90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BE00CE6">
                    <w:pPr>
                      <w:pStyle w:val="16"/>
                      <w:jc w:val="center"/>
                    </w:pPr>
                    <w:r>
                      <w:fldChar w:fldCharType="begin"/>
                    </w:r>
                    <w:r>
                      <w:instrText xml:space="preserve"> PAGE  \* MERGEFORMAT </w:instrText>
                    </w:r>
                    <w:r>
                      <w:fldChar w:fldCharType="separate"/>
                    </w:r>
                    <w:r>
                      <w:t>90</w:t>
                    </w:r>
                    <w:r>
                      <w:fldChar w:fldCharType="end"/>
                    </w:r>
                  </w:p>
                </w:txbxContent>
              </v:textbox>
            </v:shape>
          </w:pict>
        </mc:Fallback>
      </mc:AlternateContent>
    </w:r>
  </w:p>
  <w:p w14:paraId="1A6601E4">
    <w:pPr>
      <w:pStyle w:val="1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4E998">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9C769B">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59C769B">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EE065">
    <w:pPr>
      <w:pStyle w:val="16"/>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5AC6AF"/>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445AC6AF"/>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0C4CD">
    <w:pPr>
      <w:pStyle w:val="16"/>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22E067">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1A22E067">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4DD80E30">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CF007">
    <w:pPr>
      <w:pStyle w:val="16"/>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E2376A2">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14:paraId="5E2376A2">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14E1F5DE">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675EE">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DB5ACC">
                          <w:pPr>
                            <w:pStyle w:val="16"/>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67DB5ACC">
                    <w:pPr>
                      <w:pStyle w:val="16"/>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AD690">
    <w:pPr>
      <w:pStyle w:val="16"/>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0F61F6">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hMYs0BAACn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hMYs0BAACnAwAADgAAAAAAAAABACAAAAAeAQAAZHJzL2Uy&#10;b0RvYy54bWxQSwUGAAAAAAYABgBZAQAAXQUAAAAA&#10;">
              <v:fill on="f" focussize="0,0"/>
              <v:stroke on="f"/>
              <v:imagedata o:title=""/>
              <o:lock v:ext="edit" aspectratio="f"/>
              <v:textbox inset="0mm,0mm,0mm,0mm" style="mso-fit-shape-to-text:t;">
                <w:txbxContent>
                  <w:p w14:paraId="1B0F61F6">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p w14:paraId="506BDA8F">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39822">
    <w:pPr>
      <w:pStyle w:val="16"/>
      <w:tabs>
        <w:tab w:val="center" w:pos="4989"/>
        <w:tab w:val="clear" w:pos="4153"/>
      </w:tabs>
      <w:ind w:right="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19B26D2">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14:paraId="019B26D2">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r>
      <w:rPr>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D1312">
    <w:pPr>
      <w:pStyle w:val="16"/>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F3E7FA1">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ftXS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BY3YUmJZQYnfvr96/Tn&#10;3+nvT4I+FKj3UGPevcfMOHxyAybPfkBn4j3IYNIXGRGMo7zHs7xiiISnR9WyqkoMcYzNF8QvHp/7&#10;APGzcIYko6EB55dlZYevEMfUOSVVs+5WaZ1nqC3pEfWyurrML84hRNcWiyQWY7fJisN2mKhtXXtE&#10;Zj0uQUMt7jwl+otFjdO+zEaYje1s7H1Quy4vVGoF/M0+Yju5y1RhhJ0K4/Qyz2nT0no8veesx79r&#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D9+1dIBAAClAwAADgAAAAAAAAABACAAAAAi&#10;AQAAZHJzL2Uyb0RvYy54bWxQSwUGAAAAAAYABgBZAQAAZgUAAAAA&#10;">
              <v:fill on="f" focussize="0,0"/>
              <v:stroke on="f" weight="1.25pt"/>
              <v:imagedata o:title=""/>
              <o:lock v:ext="edit" aspectratio="f"/>
              <v:textbox inset="0mm,0mm,0mm,0mm" style="mso-fit-shape-to-text:t;">
                <w:txbxContent>
                  <w:p w14:paraId="7F3E7FA1">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BFD28">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499FB7">
                          <w:pPr>
                            <w:pStyle w:val="16"/>
                          </w:pPr>
                          <w:r>
                            <w:fldChar w:fldCharType="begin"/>
                          </w:r>
                          <w:r>
                            <w:instrText xml:space="preserve"> PAGE  \* MERGEFORMAT </w:instrText>
                          </w:r>
                          <w:r>
                            <w:fldChar w:fldCharType="separate"/>
                          </w:r>
                          <w:r>
                            <w:t>105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05VZckBAACb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TlVlyQEAAJsDAAAOAAAAAAAAAAEAIAAAAB4BAABkcnMvZTJvRG9j&#10;LnhtbFBLBQYAAAAABgAGAFkBAABZBQAAAAA=&#10;">
              <v:fill on="f" focussize="0,0"/>
              <v:stroke on="f"/>
              <v:imagedata o:title=""/>
              <o:lock v:ext="edit" aspectratio="f"/>
              <v:textbox inset="0mm,0mm,0mm,0mm" style="mso-fit-shape-to-text:t;">
                <w:txbxContent>
                  <w:p w14:paraId="22499FB7">
                    <w:pPr>
                      <w:pStyle w:val="16"/>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5DAA7">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C8102">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F5718">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22A42B04"/>
    <w:multiLevelType w:val="singleLevel"/>
    <w:tmpl w:val="22A42B04"/>
    <w:lvl w:ilvl="0" w:tentative="0">
      <w:start w:val="1"/>
      <w:numFmt w:val="decimal"/>
      <w:pStyle w:val="7"/>
      <w:lvlText w:val="%1."/>
      <w:lvlJc w:val="left"/>
      <w:pPr>
        <w:tabs>
          <w:tab w:val="left" w:pos="360"/>
        </w:tabs>
        <w:ind w:left="360" w:hanging="360"/>
      </w:pPr>
    </w:lvl>
  </w:abstractNum>
  <w:abstractNum w:abstractNumId="3">
    <w:nsid w:val="5498E193"/>
    <w:multiLevelType w:val="multilevel"/>
    <w:tmpl w:val="5498E193"/>
    <w:lvl w:ilvl="0" w:tentative="0">
      <w:start w:val="11"/>
      <w:numFmt w:val="decimal"/>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zAPps6V6djw8IVEtqLZ3EqLRchc=" w:salt="2Jd5GGtGEOo2xGGrUqA0I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OTcyNWZlNDA1YTc2OGIwMTdjNTU2ZmQwNTk2NWEifQ=="/>
  </w:docVars>
  <w:rsids>
    <w:rsidRoot w:val="4A792BC1"/>
    <w:rsid w:val="003A6B66"/>
    <w:rsid w:val="0082537F"/>
    <w:rsid w:val="00A67D58"/>
    <w:rsid w:val="00FD0177"/>
    <w:rsid w:val="01393B8B"/>
    <w:rsid w:val="028E4F47"/>
    <w:rsid w:val="02B80216"/>
    <w:rsid w:val="031501B1"/>
    <w:rsid w:val="041D47D5"/>
    <w:rsid w:val="042518DB"/>
    <w:rsid w:val="0442423B"/>
    <w:rsid w:val="04965A88"/>
    <w:rsid w:val="04C56DBD"/>
    <w:rsid w:val="04F955FF"/>
    <w:rsid w:val="075726ED"/>
    <w:rsid w:val="088C6C99"/>
    <w:rsid w:val="09E71B0D"/>
    <w:rsid w:val="0A0A57FB"/>
    <w:rsid w:val="0A0C3321"/>
    <w:rsid w:val="0A1D552E"/>
    <w:rsid w:val="0ADC2637"/>
    <w:rsid w:val="0B195A81"/>
    <w:rsid w:val="0B714C98"/>
    <w:rsid w:val="0C10516F"/>
    <w:rsid w:val="0C41127C"/>
    <w:rsid w:val="0CA32483"/>
    <w:rsid w:val="0CDD1445"/>
    <w:rsid w:val="0DB02216"/>
    <w:rsid w:val="0E372937"/>
    <w:rsid w:val="0E7B0A75"/>
    <w:rsid w:val="0EE152C7"/>
    <w:rsid w:val="0F1609AB"/>
    <w:rsid w:val="0F57119C"/>
    <w:rsid w:val="0F8F00B0"/>
    <w:rsid w:val="0F965814"/>
    <w:rsid w:val="0FCF2158"/>
    <w:rsid w:val="0FD83CA6"/>
    <w:rsid w:val="10BA7FBF"/>
    <w:rsid w:val="10CB7366"/>
    <w:rsid w:val="112847B9"/>
    <w:rsid w:val="116C71C0"/>
    <w:rsid w:val="11AE74B8"/>
    <w:rsid w:val="1224566C"/>
    <w:rsid w:val="125B46F2"/>
    <w:rsid w:val="14554682"/>
    <w:rsid w:val="14861F22"/>
    <w:rsid w:val="164E59A4"/>
    <w:rsid w:val="1732013F"/>
    <w:rsid w:val="18324737"/>
    <w:rsid w:val="188B3EA1"/>
    <w:rsid w:val="18AB7F70"/>
    <w:rsid w:val="19B412DF"/>
    <w:rsid w:val="1A8702C3"/>
    <w:rsid w:val="1AB459E5"/>
    <w:rsid w:val="1ABD5F72"/>
    <w:rsid w:val="1AEB6F83"/>
    <w:rsid w:val="1B54323F"/>
    <w:rsid w:val="1D867E58"/>
    <w:rsid w:val="1D8B2357"/>
    <w:rsid w:val="1E547D20"/>
    <w:rsid w:val="1E6C5F91"/>
    <w:rsid w:val="1F901EA7"/>
    <w:rsid w:val="20444601"/>
    <w:rsid w:val="20E90B8D"/>
    <w:rsid w:val="21844ABB"/>
    <w:rsid w:val="22242C0A"/>
    <w:rsid w:val="227B299A"/>
    <w:rsid w:val="22C32593"/>
    <w:rsid w:val="23A62490"/>
    <w:rsid w:val="23E9080A"/>
    <w:rsid w:val="240741FA"/>
    <w:rsid w:val="2431093C"/>
    <w:rsid w:val="248E3EEA"/>
    <w:rsid w:val="250375D0"/>
    <w:rsid w:val="252D5589"/>
    <w:rsid w:val="25980FCB"/>
    <w:rsid w:val="25CC2EDF"/>
    <w:rsid w:val="262212E9"/>
    <w:rsid w:val="262615A8"/>
    <w:rsid w:val="26A7481C"/>
    <w:rsid w:val="27D45306"/>
    <w:rsid w:val="285464EA"/>
    <w:rsid w:val="28A874FD"/>
    <w:rsid w:val="28CA7A04"/>
    <w:rsid w:val="292245BC"/>
    <w:rsid w:val="29695D84"/>
    <w:rsid w:val="2B7451B5"/>
    <w:rsid w:val="2C284F37"/>
    <w:rsid w:val="2C352ADB"/>
    <w:rsid w:val="2CD81465"/>
    <w:rsid w:val="2D891CC6"/>
    <w:rsid w:val="2E556795"/>
    <w:rsid w:val="2EE20BAD"/>
    <w:rsid w:val="2F030435"/>
    <w:rsid w:val="2FE63E17"/>
    <w:rsid w:val="30B6162E"/>
    <w:rsid w:val="30CA7DBD"/>
    <w:rsid w:val="30D15875"/>
    <w:rsid w:val="31D37CFE"/>
    <w:rsid w:val="31F91ADC"/>
    <w:rsid w:val="333F24FE"/>
    <w:rsid w:val="3345560D"/>
    <w:rsid w:val="33F6237A"/>
    <w:rsid w:val="34192975"/>
    <w:rsid w:val="34433EE4"/>
    <w:rsid w:val="35FA7C22"/>
    <w:rsid w:val="36956DC4"/>
    <w:rsid w:val="36DF1C32"/>
    <w:rsid w:val="376E466E"/>
    <w:rsid w:val="37ED732A"/>
    <w:rsid w:val="390E0962"/>
    <w:rsid w:val="39870694"/>
    <w:rsid w:val="39D709A6"/>
    <w:rsid w:val="3A7B09AA"/>
    <w:rsid w:val="3B1F25AF"/>
    <w:rsid w:val="3C893B48"/>
    <w:rsid w:val="3D4E3533"/>
    <w:rsid w:val="3D6176CB"/>
    <w:rsid w:val="3D7E51A4"/>
    <w:rsid w:val="3DCB0641"/>
    <w:rsid w:val="3E1D3DC6"/>
    <w:rsid w:val="3E3A2D68"/>
    <w:rsid w:val="3E403BBA"/>
    <w:rsid w:val="3E8409D1"/>
    <w:rsid w:val="3EAA6E99"/>
    <w:rsid w:val="3EFF6AAC"/>
    <w:rsid w:val="3F470381"/>
    <w:rsid w:val="3FC61085"/>
    <w:rsid w:val="400A04EA"/>
    <w:rsid w:val="42554A87"/>
    <w:rsid w:val="43127AF9"/>
    <w:rsid w:val="431E5B0C"/>
    <w:rsid w:val="432A1A6E"/>
    <w:rsid w:val="43516F22"/>
    <w:rsid w:val="443006B8"/>
    <w:rsid w:val="456B0172"/>
    <w:rsid w:val="47176357"/>
    <w:rsid w:val="48037987"/>
    <w:rsid w:val="49656BC0"/>
    <w:rsid w:val="49C16B93"/>
    <w:rsid w:val="4A050C18"/>
    <w:rsid w:val="4A32048B"/>
    <w:rsid w:val="4A792BC1"/>
    <w:rsid w:val="4B1D6F30"/>
    <w:rsid w:val="4B614574"/>
    <w:rsid w:val="4CA117D7"/>
    <w:rsid w:val="4D8209E3"/>
    <w:rsid w:val="4DA97C50"/>
    <w:rsid w:val="4E775148"/>
    <w:rsid w:val="4F7479F9"/>
    <w:rsid w:val="4F960564"/>
    <w:rsid w:val="4F9D7AB3"/>
    <w:rsid w:val="50CD5C46"/>
    <w:rsid w:val="50D94BAC"/>
    <w:rsid w:val="51210806"/>
    <w:rsid w:val="51226553"/>
    <w:rsid w:val="52490566"/>
    <w:rsid w:val="525D691E"/>
    <w:rsid w:val="52B40010"/>
    <w:rsid w:val="53351C00"/>
    <w:rsid w:val="54120E10"/>
    <w:rsid w:val="544D7966"/>
    <w:rsid w:val="5579122C"/>
    <w:rsid w:val="56B43F29"/>
    <w:rsid w:val="56EA4FBA"/>
    <w:rsid w:val="57AC699D"/>
    <w:rsid w:val="58005F43"/>
    <w:rsid w:val="58AD4249"/>
    <w:rsid w:val="59124EEB"/>
    <w:rsid w:val="5928560F"/>
    <w:rsid w:val="596B0902"/>
    <w:rsid w:val="599C50C8"/>
    <w:rsid w:val="59E07779"/>
    <w:rsid w:val="5A025174"/>
    <w:rsid w:val="5ACD29CE"/>
    <w:rsid w:val="5B984AFF"/>
    <w:rsid w:val="5C06444B"/>
    <w:rsid w:val="5CE72757"/>
    <w:rsid w:val="5CE868B8"/>
    <w:rsid w:val="5D9F1487"/>
    <w:rsid w:val="5DAF5613"/>
    <w:rsid w:val="600A073C"/>
    <w:rsid w:val="61555AB1"/>
    <w:rsid w:val="61B21B87"/>
    <w:rsid w:val="61F824B8"/>
    <w:rsid w:val="623E51B7"/>
    <w:rsid w:val="63042A79"/>
    <w:rsid w:val="63472E3E"/>
    <w:rsid w:val="636B2C30"/>
    <w:rsid w:val="63CF5861"/>
    <w:rsid w:val="642B7896"/>
    <w:rsid w:val="64FD1951"/>
    <w:rsid w:val="65B90E14"/>
    <w:rsid w:val="666F593F"/>
    <w:rsid w:val="66B81126"/>
    <w:rsid w:val="66F0347B"/>
    <w:rsid w:val="673006EC"/>
    <w:rsid w:val="67375865"/>
    <w:rsid w:val="68E85E7D"/>
    <w:rsid w:val="69926B5E"/>
    <w:rsid w:val="699B6A4B"/>
    <w:rsid w:val="6AF208ED"/>
    <w:rsid w:val="6AFE7291"/>
    <w:rsid w:val="6CD73CCE"/>
    <w:rsid w:val="6D723464"/>
    <w:rsid w:val="6D8D69C1"/>
    <w:rsid w:val="6DAD515A"/>
    <w:rsid w:val="6DDB7D5E"/>
    <w:rsid w:val="6E1D2EA1"/>
    <w:rsid w:val="6E791ED2"/>
    <w:rsid w:val="6FC11894"/>
    <w:rsid w:val="70041C78"/>
    <w:rsid w:val="70480FAF"/>
    <w:rsid w:val="70737109"/>
    <w:rsid w:val="709C1888"/>
    <w:rsid w:val="710B5F0A"/>
    <w:rsid w:val="721970A7"/>
    <w:rsid w:val="7282726A"/>
    <w:rsid w:val="735A00A9"/>
    <w:rsid w:val="73FA52FA"/>
    <w:rsid w:val="75D91A00"/>
    <w:rsid w:val="75FA4D6A"/>
    <w:rsid w:val="762416C6"/>
    <w:rsid w:val="771B4819"/>
    <w:rsid w:val="771D511D"/>
    <w:rsid w:val="77C15CBD"/>
    <w:rsid w:val="77DA4BE2"/>
    <w:rsid w:val="77F14ABF"/>
    <w:rsid w:val="78FF1545"/>
    <w:rsid w:val="7916510E"/>
    <w:rsid w:val="7933180A"/>
    <w:rsid w:val="797901E1"/>
    <w:rsid w:val="798C478A"/>
    <w:rsid w:val="7A2E4F6E"/>
    <w:rsid w:val="7AFA648A"/>
    <w:rsid w:val="7B787909"/>
    <w:rsid w:val="7C491B71"/>
    <w:rsid w:val="7C757A82"/>
    <w:rsid w:val="7CD82038"/>
    <w:rsid w:val="7D0C34C4"/>
    <w:rsid w:val="7D807FDA"/>
    <w:rsid w:val="7DC21711"/>
    <w:rsid w:val="7E953427"/>
    <w:rsid w:val="7EE76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9"/>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tabs>
        <w:tab w:val="left" w:pos="540"/>
        <w:tab w:val="left" w:pos="900"/>
      </w:tabs>
      <w:jc w:val="center"/>
    </w:pPr>
    <w:rPr>
      <w:rFonts w:hAnsi="宋体" w:cs="宋体"/>
      <w:color w:val="000000"/>
      <w:sz w:val="32"/>
      <w:szCs w:val="32"/>
    </w:rPr>
  </w:style>
  <w:style w:type="paragraph" w:styleId="7">
    <w:name w:val="List Number"/>
    <w:basedOn w:val="1"/>
    <w:qFormat/>
    <w:uiPriority w:val="0"/>
    <w:pPr>
      <w:numPr>
        <w:ilvl w:val="0"/>
        <w:numId w:val="1"/>
      </w:numPr>
    </w:pPr>
  </w:style>
  <w:style w:type="paragraph" w:styleId="8">
    <w:name w:val="Normal Indent"/>
    <w:basedOn w:val="1"/>
    <w:unhideWhenUsed/>
    <w:qFormat/>
    <w:uiPriority w:val="99"/>
    <w:pPr>
      <w:ind w:firstLine="420"/>
    </w:pPr>
    <w:rPr>
      <w:szCs w:val="20"/>
    </w:rPr>
  </w:style>
  <w:style w:type="paragraph" w:styleId="9">
    <w:name w:val="annotation text"/>
    <w:basedOn w:val="1"/>
    <w:unhideWhenUsed/>
    <w:qFormat/>
    <w:uiPriority w:val="99"/>
    <w:pPr>
      <w:jc w:val="left"/>
    </w:pPr>
  </w:style>
  <w:style w:type="paragraph" w:styleId="10">
    <w:name w:val="Body Text 3"/>
    <w:basedOn w:val="1"/>
    <w:qFormat/>
    <w:uiPriority w:val="99"/>
    <w:pPr>
      <w:spacing w:after="120"/>
    </w:pPr>
    <w:rPr>
      <w:sz w:val="16"/>
      <w:szCs w:val="16"/>
    </w:rPr>
  </w:style>
  <w:style w:type="paragraph" w:styleId="11">
    <w:name w:val="Body Text"/>
    <w:basedOn w:val="1"/>
    <w:next w:val="1"/>
    <w:unhideWhenUsed/>
    <w:qFormat/>
    <w:uiPriority w:val="99"/>
    <w:pPr>
      <w:spacing w:after="120"/>
    </w:pPr>
  </w:style>
  <w:style w:type="paragraph" w:styleId="12">
    <w:name w:val="Body Text Indent"/>
    <w:basedOn w:val="1"/>
    <w:unhideWhenUsed/>
    <w:qFormat/>
    <w:uiPriority w:val="99"/>
    <w:pPr>
      <w:ind w:firstLine="830" w:firstLineChars="352"/>
    </w:pPr>
    <w:rPr>
      <w:rFonts w:ascii="仿宋_GB2312" w:eastAsia="仿宋_GB2312"/>
      <w:kern w:val="0"/>
      <w:sz w:val="32"/>
      <w:szCs w:val="20"/>
    </w:rPr>
  </w:style>
  <w:style w:type="paragraph" w:styleId="13">
    <w:name w:val="List 2"/>
    <w:basedOn w:val="1"/>
    <w:unhideWhenUsed/>
    <w:qFormat/>
    <w:uiPriority w:val="99"/>
    <w:pPr>
      <w:ind w:left="100" w:leftChars="200" w:hanging="200" w:hangingChars="200"/>
      <w:contextualSpacing/>
    </w:pPr>
  </w:style>
  <w:style w:type="paragraph" w:styleId="14">
    <w:name w:val="Plain Text"/>
    <w:basedOn w:val="1"/>
    <w:unhideWhenUsed/>
    <w:qFormat/>
    <w:uiPriority w:val="99"/>
    <w:rPr>
      <w:rFonts w:ascii="宋体" w:hAnsi="Courier New"/>
      <w:kern w:val="0"/>
      <w:sz w:val="20"/>
      <w:szCs w:val="21"/>
    </w:rPr>
  </w:style>
  <w:style w:type="paragraph" w:styleId="15">
    <w:name w:val="Date"/>
    <w:basedOn w:val="1"/>
    <w:next w:val="1"/>
    <w:unhideWhenUsed/>
    <w:qFormat/>
    <w:uiPriority w:val="99"/>
    <w:pPr>
      <w:ind w:left="100" w:leftChars="2500"/>
    </w:pPr>
  </w:style>
  <w:style w:type="paragraph" w:styleId="16">
    <w:name w:val="footer"/>
    <w:basedOn w:val="1"/>
    <w:next w:val="1"/>
    <w:unhideWhenUsed/>
    <w:qFormat/>
    <w:uiPriority w:val="0"/>
    <w:pPr>
      <w:tabs>
        <w:tab w:val="center" w:pos="4153"/>
        <w:tab w:val="right" w:pos="8306"/>
      </w:tabs>
      <w:snapToGrid w:val="0"/>
      <w:jc w:val="left"/>
    </w:pPr>
    <w:rPr>
      <w:kern w:val="0"/>
      <w:sz w:val="18"/>
      <w:szCs w:val="18"/>
    </w:rPr>
  </w:style>
  <w:style w:type="paragraph" w:styleId="17">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style>
  <w:style w:type="paragraph" w:styleId="19">
    <w:name w:val="List"/>
    <w:basedOn w:val="1"/>
    <w:unhideWhenUsed/>
    <w:qFormat/>
    <w:uiPriority w:val="99"/>
    <w:pPr>
      <w:ind w:left="200" w:hanging="200" w:hangingChars="200"/>
      <w:contextualSpacing/>
    </w:pPr>
  </w:style>
  <w:style w:type="paragraph" w:styleId="20">
    <w:name w:val="toc 2"/>
    <w:basedOn w:val="1"/>
    <w:next w:val="1"/>
    <w:unhideWhenUsed/>
    <w:qFormat/>
    <w:uiPriority w:val="39"/>
    <w:pPr>
      <w:tabs>
        <w:tab w:val="right" w:leader="dot" w:pos="8296"/>
      </w:tabs>
      <w:ind w:left="420" w:leftChars="200"/>
    </w:pPr>
  </w:style>
  <w:style w:type="paragraph" w:styleId="21">
    <w:name w:val="Title"/>
    <w:basedOn w:val="1"/>
    <w:next w:val="1"/>
    <w:qFormat/>
    <w:uiPriority w:val="0"/>
    <w:pPr>
      <w:widowControl/>
      <w:overflowPunct w:val="0"/>
      <w:autoSpaceDE w:val="0"/>
      <w:autoSpaceDN w:val="0"/>
      <w:adjustRightInd w:val="0"/>
      <w:jc w:val="center"/>
      <w:textAlignment w:val="baseline"/>
    </w:pPr>
    <w:rPr>
      <w:rFonts w:ascii="Calibri" w:hAnsi="Calibri"/>
      <w:b/>
      <w:kern w:val="0"/>
      <w:sz w:val="24"/>
      <w:szCs w:val="20"/>
      <w:lang w:val="en-GB"/>
    </w:rPr>
  </w:style>
  <w:style w:type="paragraph" w:styleId="22">
    <w:name w:val="Body Text First Indent 2"/>
    <w:basedOn w:val="12"/>
    <w:next w:val="1"/>
    <w:qFormat/>
    <w:uiPriority w:val="0"/>
    <w:pPr>
      <w:spacing w:before="240" w:after="120" w:line="360" w:lineRule="auto"/>
      <w:ind w:left="420" w:leftChars="200" w:firstLine="420" w:firstLineChars="200"/>
    </w:pPr>
    <w:rPr>
      <w:rFonts w:ascii="宋体" w:hAnsi="Calibri" w:eastAsia="宋体" w:cs="宋体"/>
      <w:kern w:val="2"/>
      <w:sz w:val="21"/>
      <w:szCs w:val="24"/>
    </w:rPr>
  </w:style>
  <w:style w:type="table" w:styleId="24">
    <w:name w:val="Table Grid"/>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Hyperlink"/>
    <w:unhideWhenUsed/>
    <w:qFormat/>
    <w:uiPriority w:val="99"/>
    <w:rPr>
      <w:color w:val="0000FF"/>
      <w:u w:val="single"/>
    </w:rPr>
  </w:style>
  <w:style w:type="paragraph" w:customStyle="1" w:styleId="27">
    <w:name w:val="正文2"/>
    <w:basedOn w:val="1"/>
    <w:qFormat/>
    <w:uiPriority w:val="0"/>
    <w:pPr>
      <w:adjustRightInd w:val="0"/>
      <w:spacing w:before="156" w:line="360" w:lineRule="auto"/>
      <w:ind w:firstLine="510" w:firstLineChars="200"/>
    </w:pPr>
    <w:rPr>
      <w:kern w:val="0"/>
      <w:sz w:val="24"/>
      <w:szCs w:val="20"/>
    </w:rPr>
  </w:style>
  <w:style w:type="paragraph" w:customStyle="1" w:styleId="28">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29">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10"/>
    <w:qFormat/>
    <w:uiPriority w:val="0"/>
    <w:rPr>
      <w:rFonts w:hint="default" w:ascii="Times New Roman" w:hAnsi="Times New Roman" w:cs="Times New Roman"/>
    </w:rPr>
  </w:style>
  <w:style w:type="paragraph" w:customStyle="1" w:styleId="33">
    <w:name w:val="正文_2"/>
    <w:basedOn w:val="3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3"/>
    <w:basedOn w:val="1"/>
    <w:qFormat/>
    <w:uiPriority w:val="0"/>
    <w:rPr>
      <w:szCs w:val="22"/>
    </w:rPr>
  </w:style>
  <w:style w:type="paragraph" w:customStyle="1" w:styleId="35">
    <w:name w:val="表格文字115"/>
    <w:basedOn w:val="1"/>
    <w:qFormat/>
    <w:uiPriority w:val="0"/>
    <w:pPr>
      <w:spacing w:before="25" w:after="25"/>
      <w:jc w:val="left"/>
    </w:pPr>
    <w:rPr>
      <w:bCs/>
      <w:spacing w:val="10"/>
      <w:kern w:val="0"/>
      <w:sz w:val="24"/>
    </w:rPr>
  </w:style>
  <w:style w:type="paragraph" w:customStyle="1" w:styleId="36">
    <w:name w:val="Normal Indent1"/>
    <w:basedOn w:val="1"/>
    <w:qFormat/>
    <w:uiPriority w:val="0"/>
    <w:pPr>
      <w:spacing w:line="660" w:lineRule="exact"/>
      <w:ind w:firstLine="720"/>
    </w:pPr>
    <w:rPr>
      <w:rFonts w:eastAsia="Cambria Math"/>
      <w:sz w:val="36"/>
      <w:szCs w:val="36"/>
    </w:rPr>
  </w:style>
  <w:style w:type="paragraph" w:customStyle="1" w:styleId="37">
    <w:name w:val="font5"/>
    <w:basedOn w:val="1"/>
    <w:qFormat/>
    <w:uiPriority w:val="0"/>
    <w:pPr>
      <w:widowControl/>
      <w:spacing w:before="100" w:beforeAutospacing="1" w:after="100" w:afterAutospacing="1"/>
      <w:jc w:val="left"/>
    </w:pPr>
    <w:rPr>
      <w:kern w:val="0"/>
      <w:sz w:val="24"/>
      <w:szCs w:val="20"/>
    </w:rPr>
  </w:style>
  <w:style w:type="paragraph" w:customStyle="1" w:styleId="38">
    <w:name w:val="正文文本 (2)4"/>
    <w:basedOn w:val="1"/>
    <w:qFormat/>
    <w:uiPriority w:val="0"/>
    <w:pPr>
      <w:shd w:val="clear" w:color="auto" w:fill="FFFFFF"/>
      <w:spacing w:before="300" w:line="439" w:lineRule="exact"/>
      <w:jc w:val="distribute"/>
    </w:pPr>
    <w:rPr>
      <w:rFonts w:ascii="MingLiU" w:hAnsi="MingLiU" w:eastAsia="MingLiU"/>
      <w:spacing w:val="20"/>
    </w:rPr>
  </w:style>
  <w:style w:type="character" w:customStyle="1" w:styleId="39">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40">
    <w:name w:val="正文文本 (2) + 5.5 pt1"/>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paragraph" w:customStyle="1" w:styleId="41">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Default"/>
    <w:basedOn w:val="21"/>
    <w:next w:val="2"/>
    <w:qFormat/>
    <w:uiPriority w:val="0"/>
    <w:pPr>
      <w:autoSpaceDE w:val="0"/>
      <w:autoSpaceDN w:val="0"/>
      <w:adjustRightInd w:val="0"/>
    </w:pPr>
    <w:rPr>
      <w:rFonts w:ascii="华文中宋" w:hAnsi="Times New Roman" w:eastAsia="华文中宋" w:cs="华文中宋"/>
      <w:color w:val="000000"/>
      <w:sz w:val="24"/>
      <w:szCs w:val="24"/>
    </w:rPr>
  </w:style>
  <w:style w:type="paragraph" w:customStyle="1" w:styleId="4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文本1"/>
    <w:basedOn w:val="1"/>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23480</Words>
  <Characters>25498</Characters>
  <Lines>0</Lines>
  <Paragraphs>0</Paragraphs>
  <TotalTime>40</TotalTime>
  <ScaleCrop>false</ScaleCrop>
  <LinksUpToDate>false</LinksUpToDate>
  <CharactersWithSpaces>25745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2023-08-08T10:52:00Z</dcterms:created>
  <dc:creator>HMM</dc:creator>
  <cp:lastModifiedBy>Q</cp:lastModifiedBy>
  <cp:lastPrinted>2023-09-11T02:23:00Z</cp:lastPrinted>
  <dcterms:modified xsi:type="dcterms:W3CDTF">2025-07-11T03:25:01Z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80C8EF6169B343CB96D7D9F06527E246_13</vt:lpwstr>
  </property>
  <property fmtid="{D5CDD505-2E9C-101B-9397-08002B2CF9AE}" pid="4" name="KSOTemplateDocerSaveRecord">
    <vt:lpwstr>eyJoZGlkIjoiN2RlNGFmOTViYmYwYjhlMGVjNTI3NTc3ZGEzMmZjZGMiLCJ1c2VySWQiOiIxMTUxMTg0MzI4In0=</vt:lpwstr>
  </property>
</Properties>
</file>